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42F3" w14:textId="77777777" w:rsidR="004A72F2" w:rsidRPr="00A5562B" w:rsidRDefault="004A72F2" w:rsidP="007524E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</w:rPr>
      </w:pPr>
      <w:r w:rsidRPr="00A5562B">
        <w:rPr>
          <w:rFonts w:asciiTheme="minorHAnsi" w:hAnsiTheme="minorHAnsi" w:cstheme="minorHAnsi"/>
          <w:bCs/>
        </w:rPr>
        <w:t xml:space="preserve">THE CONVENTION ON WETLANDS </w:t>
      </w:r>
    </w:p>
    <w:p w14:paraId="2D8C41B7" w14:textId="77777777" w:rsidR="004A72F2" w:rsidRPr="00A5562B" w:rsidRDefault="004A72F2" w:rsidP="007524E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</w:rPr>
      </w:pPr>
      <w:r w:rsidRPr="00A5562B">
        <w:rPr>
          <w:rFonts w:asciiTheme="minorHAnsi" w:hAnsiTheme="minorHAnsi" w:cstheme="minorHAnsi"/>
          <w:bCs/>
        </w:rPr>
        <w:t xml:space="preserve">62nd </w:t>
      </w:r>
      <w:r>
        <w:rPr>
          <w:rFonts w:asciiTheme="minorHAnsi" w:hAnsiTheme="minorHAnsi" w:cstheme="minorHAnsi"/>
          <w:bCs/>
        </w:rPr>
        <w:t>m</w:t>
      </w:r>
      <w:r w:rsidRPr="00A5562B">
        <w:rPr>
          <w:rFonts w:asciiTheme="minorHAnsi" w:hAnsiTheme="minorHAnsi" w:cstheme="minorHAnsi"/>
          <w:bCs/>
        </w:rPr>
        <w:t>eeting of the Standing Committee</w:t>
      </w:r>
    </w:p>
    <w:p w14:paraId="78C1D05C" w14:textId="77777777" w:rsidR="004A72F2" w:rsidRPr="00A5562B" w:rsidRDefault="004A72F2" w:rsidP="007524E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</w:rPr>
      </w:pPr>
      <w:r w:rsidRPr="00A5562B">
        <w:rPr>
          <w:rFonts w:asciiTheme="minorHAnsi" w:hAnsiTheme="minorHAnsi" w:cstheme="minorHAnsi"/>
          <w:bCs/>
        </w:rPr>
        <w:t>Gland, Switzerland, 4-8 September 2023</w:t>
      </w:r>
    </w:p>
    <w:p w14:paraId="6C0CD29D" w14:textId="77777777" w:rsidR="00DF2386" w:rsidRPr="00073625" w:rsidRDefault="00DF2386" w:rsidP="007972E0">
      <w:pPr>
        <w:outlineLvl w:val="0"/>
        <w:rPr>
          <w:b/>
          <w:sz w:val="28"/>
          <w:szCs w:val="28"/>
        </w:rPr>
      </w:pPr>
    </w:p>
    <w:p w14:paraId="42F8BA29" w14:textId="5B0E47B4" w:rsidR="00DF2386" w:rsidRPr="00D245A1" w:rsidRDefault="00DF2386" w:rsidP="005C445D">
      <w:pPr>
        <w:ind w:left="0" w:firstLine="0"/>
        <w:jc w:val="right"/>
        <w:rPr>
          <w:rFonts w:cs="Arial"/>
          <w:sz w:val="28"/>
          <w:szCs w:val="28"/>
        </w:rPr>
      </w:pPr>
      <w:r w:rsidRPr="00073625">
        <w:rPr>
          <w:rFonts w:cs="Arial"/>
          <w:b/>
          <w:sz w:val="28"/>
          <w:szCs w:val="28"/>
        </w:rPr>
        <w:t>SC</w:t>
      </w:r>
      <w:r w:rsidR="005A286A" w:rsidRPr="00073625">
        <w:rPr>
          <w:rFonts w:cs="Arial"/>
          <w:b/>
          <w:sz w:val="28"/>
          <w:szCs w:val="28"/>
        </w:rPr>
        <w:t>62</w:t>
      </w:r>
      <w:r w:rsidR="00073625" w:rsidRPr="00073625">
        <w:rPr>
          <w:rFonts w:cs="Arial"/>
          <w:b/>
          <w:sz w:val="28"/>
          <w:szCs w:val="28"/>
        </w:rPr>
        <w:t xml:space="preserve"> </w:t>
      </w:r>
      <w:r w:rsidR="00073625">
        <w:rPr>
          <w:rFonts w:cs="Arial"/>
          <w:b/>
          <w:sz w:val="28"/>
          <w:szCs w:val="28"/>
        </w:rPr>
        <w:t>Doc.</w:t>
      </w:r>
      <w:r w:rsidR="00073625" w:rsidRPr="00073625">
        <w:rPr>
          <w:rFonts w:cs="Arial"/>
          <w:b/>
          <w:sz w:val="28"/>
          <w:szCs w:val="28"/>
        </w:rPr>
        <w:t>18</w:t>
      </w:r>
    </w:p>
    <w:p w14:paraId="5B0A8ABD" w14:textId="77777777" w:rsidR="00DF2386" w:rsidRDefault="00DF2386" w:rsidP="005C445D">
      <w:pPr>
        <w:ind w:left="0" w:firstLine="0"/>
        <w:rPr>
          <w:rFonts w:cs="Arial"/>
          <w:b/>
          <w:sz w:val="28"/>
          <w:szCs w:val="28"/>
        </w:rPr>
      </w:pPr>
    </w:p>
    <w:p w14:paraId="3E795851" w14:textId="2A0066AB" w:rsidR="00DF2386" w:rsidRDefault="00EC4519" w:rsidP="005C445D">
      <w:pPr>
        <w:ind w:left="0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Resource Mobilization </w:t>
      </w:r>
      <w:r w:rsidR="00CC63F8">
        <w:rPr>
          <w:rFonts w:cs="Arial"/>
          <w:b/>
          <w:sz w:val="28"/>
          <w:szCs w:val="28"/>
        </w:rPr>
        <w:t>Work Plan</w:t>
      </w:r>
      <w:r w:rsidR="00966D68">
        <w:rPr>
          <w:rFonts w:cs="Arial"/>
          <w:b/>
          <w:sz w:val="28"/>
          <w:szCs w:val="28"/>
        </w:rPr>
        <w:t xml:space="preserve"> 2023-2025</w:t>
      </w:r>
    </w:p>
    <w:p w14:paraId="503DE53B" w14:textId="77777777" w:rsidR="00DF2386" w:rsidRDefault="00DF2386" w:rsidP="007972E0">
      <w:pPr>
        <w:rPr>
          <w:rFonts w:ascii="Garamond" w:hAnsi="Garamond" w:cs="Arial"/>
        </w:rPr>
      </w:pPr>
    </w:p>
    <w:p w14:paraId="718FDF0C" w14:textId="77777777" w:rsidR="009E0AE8" w:rsidRPr="009B2CEE" w:rsidRDefault="000C2489" w:rsidP="007972E0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inline distT="0" distB="0" distL="0" distR="0" wp14:anchorId="03E187D0" wp14:editId="7D3CCF8F">
                <wp:extent cx="5895975" cy="1104900"/>
                <wp:effectExtent l="0" t="0" r="2857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A72D" w14:textId="77777777" w:rsidR="000C2489" w:rsidRDefault="000C2489" w:rsidP="000C24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065664C2" w14:textId="77777777" w:rsidR="000C2489" w:rsidRDefault="000C2489" w:rsidP="000C2489">
                            <w:pPr>
                              <w:pStyle w:val="ColorfulList-Accent11"/>
                              <w:ind w:left="0"/>
                            </w:pPr>
                          </w:p>
                          <w:p w14:paraId="3B64203F" w14:textId="0D18DEC9" w:rsidR="00EC4519" w:rsidRPr="00C2411D" w:rsidRDefault="007972E0" w:rsidP="006305C5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>
                              <w:t xml:space="preserve">The </w:t>
                            </w:r>
                            <w:r w:rsidR="000C2489">
                              <w:t xml:space="preserve">Standing Committee is </w:t>
                            </w:r>
                            <w:r w:rsidR="00C2411D">
                              <w:rPr>
                                <w:rFonts w:cs="Calibri"/>
                              </w:rPr>
                              <w:t>invited to</w:t>
                            </w:r>
                            <w:r w:rsidR="00046657">
                              <w:rPr>
                                <w:rFonts w:cs="Calibri"/>
                              </w:rPr>
                              <w:t xml:space="preserve"> take note of and approve </w:t>
                            </w:r>
                            <w:r w:rsidR="00F535CE">
                              <w:rPr>
                                <w:rFonts w:cs="Calibri"/>
                              </w:rPr>
                              <w:t xml:space="preserve">the </w:t>
                            </w:r>
                            <w:r w:rsidR="006B34FD">
                              <w:rPr>
                                <w:rFonts w:cs="Calibri"/>
                              </w:rPr>
                              <w:t xml:space="preserve">Resource </w:t>
                            </w:r>
                            <w:r w:rsidR="001C31AE">
                              <w:rPr>
                                <w:rFonts w:cs="Calibri"/>
                              </w:rPr>
                              <w:t>Mobilization</w:t>
                            </w:r>
                            <w:r w:rsidR="00955C1A">
                              <w:rPr>
                                <w:rFonts w:cs="Calibri"/>
                              </w:rPr>
                              <w:t xml:space="preserve"> Work Plan</w:t>
                            </w:r>
                            <w:r w:rsidR="009B67EC">
                              <w:rPr>
                                <w:rFonts w:cs="Calibri"/>
                              </w:rPr>
                              <w:t xml:space="preserve">, which reflects </w:t>
                            </w:r>
                            <w:r w:rsidR="00955C1A">
                              <w:rPr>
                                <w:rFonts w:cs="Calibri"/>
                              </w:rPr>
                              <w:t>the update</w:t>
                            </w:r>
                            <w:r w:rsidR="00915044">
                              <w:rPr>
                                <w:rFonts w:cs="Calibri"/>
                              </w:rPr>
                              <w:t>s to the</w:t>
                            </w:r>
                            <w:r w:rsidR="00955C1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9B67EC">
                              <w:rPr>
                                <w:rFonts w:cs="Calibri"/>
                              </w:rPr>
                              <w:t>non-core</w:t>
                            </w:r>
                            <w:r w:rsidR="00955C1A">
                              <w:rPr>
                                <w:rFonts w:cs="Calibri"/>
                              </w:rPr>
                              <w:t xml:space="preserve"> fundraising </w:t>
                            </w:r>
                            <w:r w:rsidR="009B67EC">
                              <w:rPr>
                                <w:rFonts w:cs="Calibri"/>
                              </w:rPr>
                              <w:t xml:space="preserve">priorities </w:t>
                            </w:r>
                            <w:r w:rsidR="00955C1A">
                              <w:rPr>
                                <w:rFonts w:cs="Calibri"/>
                              </w:rPr>
                              <w:t>app</w:t>
                            </w:r>
                            <w:r w:rsidR="00C40E0E">
                              <w:rPr>
                                <w:rFonts w:cs="Calibri"/>
                              </w:rPr>
                              <w:t xml:space="preserve">roved </w:t>
                            </w:r>
                            <w:r w:rsidR="001C31AE">
                              <w:rPr>
                                <w:rFonts w:cs="Calibri"/>
                              </w:rPr>
                              <w:t>for the 2023-2025</w:t>
                            </w:r>
                            <w:r w:rsidR="00073625" w:rsidRPr="00073625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073625">
                              <w:rPr>
                                <w:rFonts w:cs="Calibri"/>
                              </w:rPr>
                              <w:t>triennium</w:t>
                            </w:r>
                            <w:r w:rsidR="00915044">
                              <w:rPr>
                                <w:rFonts w:cs="Calibri"/>
                              </w:rPr>
                              <w:t>.</w:t>
                            </w:r>
                            <w:r w:rsidR="001C31AE">
                              <w:rPr>
                                <w:rFonts w:cs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0B35EC74" w14:textId="77777777" w:rsidR="000C2489" w:rsidRDefault="000C2489" w:rsidP="00275F13">
                            <w:pPr>
                              <w:pStyle w:val="ColorfulList-Accent11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3E187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4.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">
                <v:textbox>
                  <w:txbxContent>
                    <w:p w14:paraId="7F6CA72D" w14:textId="77777777" w:rsidR="000C2489" w:rsidRDefault="000C2489" w:rsidP="000C24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065664C2" w14:textId="77777777" w:rsidR="000C2489" w:rsidRDefault="000C2489" w:rsidP="000C2489">
                      <w:pPr>
                        <w:pStyle w:val="ColorfulList-Accent11"/>
                        <w:ind w:left="0"/>
                      </w:pPr>
                    </w:p>
                    <w:p w14:paraId="3B64203F" w14:textId="0D18DEC9" w:rsidR="00EC4519" w:rsidRPr="00C2411D" w:rsidRDefault="007972E0" w:rsidP="006305C5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>
                        <w:t xml:space="preserve">The </w:t>
                      </w:r>
                      <w:r w:rsidR="000C2489">
                        <w:t xml:space="preserve">Standing Committee is </w:t>
                      </w:r>
                      <w:r w:rsidR="00C2411D">
                        <w:rPr>
                          <w:rFonts w:cs="Calibri"/>
                        </w:rPr>
                        <w:t>invited to</w:t>
                      </w:r>
                      <w:r w:rsidR="00046657">
                        <w:rPr>
                          <w:rFonts w:cs="Calibri"/>
                        </w:rPr>
                        <w:t xml:space="preserve"> take note of and approve </w:t>
                      </w:r>
                      <w:r w:rsidR="00F535CE">
                        <w:rPr>
                          <w:rFonts w:cs="Calibri"/>
                        </w:rPr>
                        <w:t xml:space="preserve">the </w:t>
                      </w:r>
                      <w:r w:rsidR="006B34FD">
                        <w:rPr>
                          <w:rFonts w:cs="Calibri"/>
                        </w:rPr>
                        <w:t xml:space="preserve">Resource </w:t>
                      </w:r>
                      <w:r w:rsidR="001C31AE">
                        <w:rPr>
                          <w:rFonts w:cs="Calibri"/>
                        </w:rPr>
                        <w:t>Mobilization</w:t>
                      </w:r>
                      <w:r w:rsidR="00955C1A">
                        <w:rPr>
                          <w:rFonts w:cs="Calibri"/>
                        </w:rPr>
                        <w:t xml:space="preserve"> Work Plan</w:t>
                      </w:r>
                      <w:r w:rsidR="009B67EC">
                        <w:rPr>
                          <w:rFonts w:cs="Calibri"/>
                        </w:rPr>
                        <w:t xml:space="preserve">, which reflects </w:t>
                      </w:r>
                      <w:r w:rsidR="00955C1A">
                        <w:rPr>
                          <w:rFonts w:cs="Calibri"/>
                        </w:rPr>
                        <w:t>the update</w:t>
                      </w:r>
                      <w:r w:rsidR="00915044">
                        <w:rPr>
                          <w:rFonts w:cs="Calibri"/>
                        </w:rPr>
                        <w:t>s to the</w:t>
                      </w:r>
                      <w:r w:rsidR="00955C1A">
                        <w:rPr>
                          <w:rFonts w:cs="Calibri"/>
                        </w:rPr>
                        <w:t xml:space="preserve"> </w:t>
                      </w:r>
                      <w:r w:rsidR="009B67EC">
                        <w:rPr>
                          <w:rFonts w:cs="Calibri"/>
                        </w:rPr>
                        <w:t>non-core</w:t>
                      </w:r>
                      <w:r w:rsidR="00955C1A">
                        <w:rPr>
                          <w:rFonts w:cs="Calibri"/>
                        </w:rPr>
                        <w:t xml:space="preserve"> fundraising </w:t>
                      </w:r>
                      <w:r w:rsidR="009B67EC">
                        <w:rPr>
                          <w:rFonts w:cs="Calibri"/>
                        </w:rPr>
                        <w:t xml:space="preserve">priorities </w:t>
                      </w:r>
                      <w:r w:rsidR="00955C1A">
                        <w:rPr>
                          <w:rFonts w:cs="Calibri"/>
                        </w:rPr>
                        <w:t>app</w:t>
                      </w:r>
                      <w:r w:rsidR="00C40E0E">
                        <w:rPr>
                          <w:rFonts w:cs="Calibri"/>
                        </w:rPr>
                        <w:t xml:space="preserve">roved </w:t>
                      </w:r>
                      <w:r w:rsidR="001C31AE">
                        <w:rPr>
                          <w:rFonts w:cs="Calibri"/>
                        </w:rPr>
                        <w:t>for the 2023-2025</w:t>
                      </w:r>
                      <w:r w:rsidR="00073625" w:rsidRPr="00073625">
                        <w:rPr>
                          <w:rFonts w:cs="Calibri"/>
                        </w:rPr>
                        <w:t xml:space="preserve"> </w:t>
                      </w:r>
                      <w:r w:rsidR="00073625">
                        <w:rPr>
                          <w:rFonts w:cs="Calibri"/>
                        </w:rPr>
                        <w:t>triennium</w:t>
                      </w:r>
                      <w:r w:rsidR="00915044">
                        <w:rPr>
                          <w:rFonts w:cs="Calibri"/>
                        </w:rPr>
                        <w:t>.</w:t>
                      </w:r>
                      <w:r w:rsidR="001C31AE">
                        <w:rPr>
                          <w:rFonts w:cs="Calibri"/>
                        </w:rPr>
                        <w:t xml:space="preserve"> </w:t>
                      </w:r>
                    </w:p>
                    <w:p w14:paraId="0B35EC74" w14:textId="77777777" w:rsidR="000C2489" w:rsidRDefault="000C2489" w:rsidP="00275F13">
                      <w:pPr>
                        <w:pStyle w:val="ColorfulList-Accent11"/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6CCEAA" w14:textId="77777777" w:rsidR="00EC4519" w:rsidRDefault="00EC4519" w:rsidP="007972E0">
      <w:pPr>
        <w:rPr>
          <w:rFonts w:cs="Arial"/>
          <w:b/>
        </w:rPr>
      </w:pPr>
    </w:p>
    <w:p w14:paraId="64411A9C" w14:textId="77777777" w:rsidR="007972E0" w:rsidRDefault="007972E0" w:rsidP="007972E0">
      <w:pPr>
        <w:rPr>
          <w:rFonts w:cs="Arial"/>
          <w:b/>
        </w:rPr>
      </w:pPr>
    </w:p>
    <w:p w14:paraId="487AF683" w14:textId="3F30D295" w:rsidR="0098651C" w:rsidRDefault="00EC4519" w:rsidP="007972E0">
      <w:pPr>
        <w:rPr>
          <w:rFonts w:asciiTheme="minorHAnsi" w:eastAsiaTheme="minorHAnsi" w:hAnsiTheme="minorHAnsi" w:cstheme="minorHAnsi"/>
          <w:b/>
        </w:rPr>
      </w:pPr>
      <w:r w:rsidRPr="00EC4519">
        <w:rPr>
          <w:rFonts w:asciiTheme="minorHAnsi" w:eastAsiaTheme="minorHAnsi" w:hAnsiTheme="minorHAnsi" w:cstheme="minorHAnsi"/>
          <w:b/>
        </w:rPr>
        <w:t>Introduction</w:t>
      </w:r>
    </w:p>
    <w:p w14:paraId="72EAF943" w14:textId="77777777" w:rsidR="007830E8" w:rsidRDefault="007830E8" w:rsidP="007972E0">
      <w:pPr>
        <w:rPr>
          <w:rFonts w:asciiTheme="minorHAnsi" w:eastAsiaTheme="minorHAnsi" w:hAnsiTheme="minorHAnsi" w:cstheme="minorHAnsi"/>
          <w:b/>
        </w:rPr>
      </w:pPr>
    </w:p>
    <w:p w14:paraId="2C7F56A6" w14:textId="3034C78E" w:rsidR="00555BA9" w:rsidRPr="00073625" w:rsidRDefault="00073625" w:rsidP="00073625">
      <w:pPr>
        <w:ind w:left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1.</w:t>
      </w:r>
      <w:r>
        <w:rPr>
          <w:rFonts w:asciiTheme="minorHAnsi" w:eastAsiaTheme="minorHAnsi" w:hAnsiTheme="minorHAnsi" w:cstheme="minorHAnsi"/>
        </w:rPr>
        <w:tab/>
      </w:r>
      <w:r w:rsidR="00B007F4" w:rsidRPr="00073625">
        <w:rPr>
          <w:rFonts w:asciiTheme="minorHAnsi" w:eastAsiaTheme="minorHAnsi" w:hAnsiTheme="minorHAnsi" w:cstheme="minorHAnsi"/>
        </w:rPr>
        <w:t xml:space="preserve">The </w:t>
      </w:r>
      <w:r w:rsidR="00095C2C" w:rsidRPr="00073625">
        <w:rPr>
          <w:rFonts w:asciiTheme="minorHAnsi" w:eastAsiaTheme="minorHAnsi" w:hAnsiTheme="minorHAnsi" w:cstheme="minorHAnsi"/>
        </w:rPr>
        <w:t>Resource Mobilization Work</w:t>
      </w:r>
      <w:r w:rsidR="002613BD" w:rsidRPr="00073625">
        <w:rPr>
          <w:rFonts w:asciiTheme="minorHAnsi" w:eastAsiaTheme="minorHAnsi" w:hAnsiTheme="minorHAnsi" w:cstheme="minorHAnsi"/>
        </w:rPr>
        <w:t xml:space="preserve"> P</w:t>
      </w:r>
      <w:r w:rsidR="00615DAE" w:rsidRPr="00073625">
        <w:rPr>
          <w:rFonts w:asciiTheme="minorHAnsi" w:eastAsiaTheme="minorHAnsi" w:hAnsiTheme="minorHAnsi" w:cstheme="minorHAnsi"/>
        </w:rPr>
        <w:t>lan</w:t>
      </w:r>
      <w:r w:rsidR="00B007F4" w:rsidRPr="00073625">
        <w:rPr>
          <w:rFonts w:asciiTheme="minorHAnsi" w:eastAsiaTheme="minorHAnsi" w:hAnsiTheme="minorHAnsi" w:cstheme="minorHAnsi"/>
        </w:rPr>
        <w:t xml:space="preserve"> sets out</w:t>
      </w:r>
      <w:r w:rsidR="005B5CB5" w:rsidRPr="00073625">
        <w:rPr>
          <w:rFonts w:asciiTheme="minorHAnsi" w:eastAsiaTheme="minorHAnsi" w:hAnsiTheme="minorHAnsi" w:cstheme="minorHAnsi"/>
        </w:rPr>
        <w:t xml:space="preserve"> and guides</w:t>
      </w:r>
      <w:r w:rsidR="00B007F4" w:rsidRPr="00073625">
        <w:rPr>
          <w:rFonts w:asciiTheme="minorHAnsi" w:eastAsiaTheme="minorHAnsi" w:hAnsiTheme="minorHAnsi" w:cstheme="minorHAnsi"/>
        </w:rPr>
        <w:t xml:space="preserve"> </w:t>
      </w:r>
      <w:r w:rsidR="00804188" w:rsidRPr="00073625">
        <w:rPr>
          <w:rFonts w:asciiTheme="minorHAnsi" w:eastAsiaTheme="minorHAnsi" w:hAnsiTheme="minorHAnsi" w:cstheme="minorHAnsi"/>
        </w:rPr>
        <w:t xml:space="preserve">the </w:t>
      </w:r>
      <w:r w:rsidR="00B007F4" w:rsidRPr="00073625">
        <w:rPr>
          <w:rFonts w:asciiTheme="minorHAnsi" w:eastAsiaTheme="minorHAnsi" w:hAnsiTheme="minorHAnsi" w:cstheme="minorHAnsi"/>
        </w:rPr>
        <w:t>Secretariat</w:t>
      </w:r>
      <w:r w:rsidR="00804188" w:rsidRPr="00073625">
        <w:rPr>
          <w:rFonts w:asciiTheme="minorHAnsi" w:eastAsiaTheme="minorHAnsi" w:hAnsiTheme="minorHAnsi" w:cstheme="minorHAnsi"/>
        </w:rPr>
        <w:t>’s approach</w:t>
      </w:r>
      <w:r w:rsidR="00B007F4" w:rsidRPr="00073625">
        <w:rPr>
          <w:rFonts w:asciiTheme="minorHAnsi" w:eastAsiaTheme="minorHAnsi" w:hAnsiTheme="minorHAnsi" w:cstheme="minorHAnsi"/>
        </w:rPr>
        <w:t xml:space="preserve"> to secure </w:t>
      </w:r>
      <w:r w:rsidR="00A01E6F" w:rsidRPr="00073625">
        <w:rPr>
          <w:rFonts w:asciiTheme="minorHAnsi" w:eastAsiaTheme="minorHAnsi" w:hAnsiTheme="minorHAnsi" w:cstheme="minorHAnsi"/>
        </w:rPr>
        <w:t xml:space="preserve">funding </w:t>
      </w:r>
      <w:r w:rsidR="00D2023C" w:rsidRPr="00073625">
        <w:rPr>
          <w:rFonts w:asciiTheme="minorHAnsi" w:eastAsiaTheme="minorHAnsi" w:hAnsiTheme="minorHAnsi" w:cstheme="minorHAnsi"/>
        </w:rPr>
        <w:t>for priority activities</w:t>
      </w:r>
      <w:r w:rsidR="00804188" w:rsidRPr="00073625">
        <w:rPr>
          <w:rFonts w:asciiTheme="minorHAnsi" w:eastAsiaTheme="minorHAnsi" w:hAnsiTheme="minorHAnsi" w:cstheme="minorHAnsi"/>
        </w:rPr>
        <w:t xml:space="preserve"> </w:t>
      </w:r>
      <w:r w:rsidR="00D2023C" w:rsidRPr="00073625">
        <w:rPr>
          <w:rFonts w:asciiTheme="minorHAnsi" w:eastAsiaTheme="minorHAnsi" w:hAnsiTheme="minorHAnsi" w:cstheme="minorHAnsi"/>
        </w:rPr>
        <w:t>not included within the core budget</w:t>
      </w:r>
      <w:r w:rsidR="000B76DB" w:rsidRPr="00073625">
        <w:rPr>
          <w:rFonts w:asciiTheme="minorHAnsi" w:eastAsiaTheme="minorHAnsi" w:hAnsiTheme="minorHAnsi" w:cstheme="minorHAnsi"/>
        </w:rPr>
        <w:t xml:space="preserve">. </w:t>
      </w:r>
      <w:r w:rsidR="00310A9C" w:rsidRPr="00073625">
        <w:rPr>
          <w:rFonts w:asciiTheme="minorHAnsi" w:eastAsiaTheme="minorHAnsi" w:hAnsiTheme="minorHAnsi" w:cstheme="minorHAnsi"/>
        </w:rPr>
        <w:t>Furthermore,</w:t>
      </w:r>
      <w:r w:rsidR="000B76DB" w:rsidRPr="00073625">
        <w:rPr>
          <w:rFonts w:asciiTheme="minorHAnsi" w:eastAsiaTheme="minorHAnsi" w:hAnsiTheme="minorHAnsi" w:cstheme="minorHAnsi"/>
        </w:rPr>
        <w:t xml:space="preserve"> it presents </w:t>
      </w:r>
      <w:r w:rsidR="003358FF" w:rsidRPr="00073625">
        <w:rPr>
          <w:rFonts w:asciiTheme="minorHAnsi" w:eastAsiaTheme="minorHAnsi" w:hAnsiTheme="minorHAnsi" w:cstheme="minorHAnsi"/>
        </w:rPr>
        <w:t>the activities</w:t>
      </w:r>
      <w:r w:rsidR="000B76DB" w:rsidRPr="00073625">
        <w:rPr>
          <w:rFonts w:asciiTheme="minorHAnsi" w:eastAsiaTheme="minorHAnsi" w:hAnsiTheme="minorHAnsi" w:cstheme="minorHAnsi"/>
        </w:rPr>
        <w:t xml:space="preserve"> proposed</w:t>
      </w:r>
      <w:r w:rsidR="00E93F24" w:rsidRPr="00073625">
        <w:rPr>
          <w:rFonts w:asciiTheme="minorHAnsi" w:eastAsiaTheme="minorHAnsi" w:hAnsiTheme="minorHAnsi" w:cstheme="minorHAnsi"/>
        </w:rPr>
        <w:t xml:space="preserve"> to facilitate resource mobilization </w:t>
      </w:r>
      <w:r w:rsidR="0034656F" w:rsidRPr="00073625">
        <w:rPr>
          <w:rFonts w:asciiTheme="minorHAnsi" w:eastAsiaTheme="minorHAnsi" w:hAnsiTheme="minorHAnsi" w:cstheme="minorHAnsi"/>
        </w:rPr>
        <w:t xml:space="preserve">for </w:t>
      </w:r>
      <w:r w:rsidR="000B76DB" w:rsidRPr="00073625">
        <w:rPr>
          <w:rFonts w:asciiTheme="minorHAnsi" w:eastAsiaTheme="minorHAnsi" w:hAnsiTheme="minorHAnsi" w:cstheme="minorHAnsi"/>
        </w:rPr>
        <w:t>Contracting Parties</w:t>
      </w:r>
      <w:r w:rsidR="007F0929" w:rsidRPr="00073625">
        <w:rPr>
          <w:rFonts w:asciiTheme="minorHAnsi" w:eastAsiaTheme="minorHAnsi" w:hAnsiTheme="minorHAnsi" w:cstheme="minorHAnsi"/>
        </w:rPr>
        <w:t xml:space="preserve">, </w:t>
      </w:r>
      <w:r w:rsidR="00BF6436" w:rsidRPr="00073625">
        <w:rPr>
          <w:rFonts w:asciiTheme="minorHAnsi" w:eastAsiaTheme="minorHAnsi" w:hAnsiTheme="minorHAnsi" w:cstheme="minorHAnsi"/>
        </w:rPr>
        <w:t>a</w:t>
      </w:r>
      <w:r w:rsidR="007F0929" w:rsidRPr="00073625">
        <w:rPr>
          <w:rFonts w:asciiTheme="minorHAnsi" w:eastAsiaTheme="minorHAnsi" w:hAnsiTheme="minorHAnsi" w:cstheme="minorHAnsi"/>
        </w:rPr>
        <w:t>t</w:t>
      </w:r>
      <w:r w:rsidR="00BF6436" w:rsidRPr="00073625">
        <w:rPr>
          <w:rFonts w:asciiTheme="minorHAnsi" w:eastAsiaTheme="minorHAnsi" w:hAnsiTheme="minorHAnsi" w:cstheme="minorHAnsi"/>
        </w:rPr>
        <w:t xml:space="preserve"> </w:t>
      </w:r>
      <w:r w:rsidR="000B3626" w:rsidRPr="00073625">
        <w:rPr>
          <w:rFonts w:asciiTheme="minorHAnsi" w:eastAsiaTheme="minorHAnsi" w:hAnsiTheme="minorHAnsi" w:cstheme="minorHAnsi"/>
        </w:rPr>
        <w:t xml:space="preserve">the local, </w:t>
      </w:r>
      <w:r w:rsidR="00555BA9" w:rsidRPr="00073625">
        <w:rPr>
          <w:rFonts w:asciiTheme="minorHAnsi" w:eastAsiaTheme="minorHAnsi" w:hAnsiTheme="minorHAnsi" w:cstheme="minorHAnsi"/>
        </w:rPr>
        <w:t>national,</w:t>
      </w:r>
      <w:r w:rsidR="000B3626" w:rsidRPr="00073625">
        <w:rPr>
          <w:rFonts w:asciiTheme="minorHAnsi" w:eastAsiaTheme="minorHAnsi" w:hAnsiTheme="minorHAnsi" w:cstheme="minorHAnsi"/>
        </w:rPr>
        <w:t xml:space="preserve"> and regional level</w:t>
      </w:r>
      <w:r w:rsidR="007F0929" w:rsidRPr="00073625">
        <w:rPr>
          <w:rFonts w:asciiTheme="minorHAnsi" w:eastAsiaTheme="minorHAnsi" w:hAnsiTheme="minorHAnsi" w:cstheme="minorHAnsi"/>
        </w:rPr>
        <w:t>s</w:t>
      </w:r>
      <w:r w:rsidR="00BF6436" w:rsidRPr="00073625">
        <w:rPr>
          <w:rFonts w:asciiTheme="minorHAnsi" w:eastAsiaTheme="minorHAnsi" w:hAnsiTheme="minorHAnsi" w:cstheme="minorHAnsi"/>
        </w:rPr>
        <w:t xml:space="preserve"> as ref</w:t>
      </w:r>
      <w:r w:rsidR="000B3626" w:rsidRPr="00073625">
        <w:rPr>
          <w:rFonts w:asciiTheme="minorHAnsi" w:eastAsiaTheme="minorHAnsi" w:hAnsiTheme="minorHAnsi" w:cstheme="minorHAnsi"/>
        </w:rPr>
        <w:t xml:space="preserve">erenced in </w:t>
      </w:r>
      <w:r w:rsidR="007F09D5" w:rsidRPr="00073625">
        <w:rPr>
          <w:rFonts w:asciiTheme="minorHAnsi" w:eastAsiaTheme="minorHAnsi" w:hAnsiTheme="minorHAnsi" w:cstheme="minorHAnsi"/>
        </w:rPr>
        <w:t>Resolution XII.7</w:t>
      </w:r>
      <w:r w:rsidR="00AA6F39">
        <w:rPr>
          <w:rFonts w:asciiTheme="minorHAnsi" w:eastAsiaTheme="minorHAnsi" w:hAnsiTheme="minorHAnsi" w:cstheme="minorHAnsi"/>
        </w:rPr>
        <w:t xml:space="preserve"> on </w:t>
      </w:r>
      <w:r w:rsidR="00AA6F39" w:rsidRPr="00AA6F39">
        <w:rPr>
          <w:rFonts w:asciiTheme="minorHAnsi" w:eastAsiaTheme="minorHAnsi" w:hAnsiTheme="minorHAnsi" w:cstheme="minorHAnsi"/>
          <w:i/>
        </w:rPr>
        <w:t>Resource Mobilization and Partnership Framework of the Ramsar Convention</w:t>
      </w:r>
      <w:r w:rsidR="00804188" w:rsidRPr="00073625">
        <w:rPr>
          <w:rFonts w:asciiTheme="minorHAnsi" w:eastAsiaTheme="minorHAnsi" w:hAnsiTheme="minorHAnsi" w:cstheme="minorHAnsi"/>
        </w:rPr>
        <w:t xml:space="preserve">. </w:t>
      </w:r>
      <w:r w:rsidR="007F09D5" w:rsidRPr="00073625">
        <w:rPr>
          <w:rFonts w:asciiTheme="minorHAnsi" w:eastAsiaTheme="minorHAnsi" w:hAnsiTheme="minorHAnsi" w:cstheme="minorHAnsi"/>
        </w:rPr>
        <w:t xml:space="preserve"> </w:t>
      </w:r>
    </w:p>
    <w:p w14:paraId="46FF336B" w14:textId="001B25A2" w:rsidR="000B3626" w:rsidRPr="00073625" w:rsidRDefault="0032703B" w:rsidP="00073625">
      <w:pPr>
        <w:ind w:left="426"/>
        <w:rPr>
          <w:rFonts w:asciiTheme="minorHAnsi" w:eastAsiaTheme="minorHAnsi" w:hAnsiTheme="minorHAnsi" w:cstheme="minorHAnsi"/>
        </w:rPr>
      </w:pPr>
      <w:r w:rsidRPr="00073625">
        <w:rPr>
          <w:rFonts w:asciiTheme="minorHAnsi" w:eastAsiaTheme="minorHAnsi" w:hAnsiTheme="minorHAnsi" w:cstheme="minorHAnsi"/>
        </w:rPr>
        <w:t xml:space="preserve"> </w:t>
      </w:r>
    </w:p>
    <w:p w14:paraId="4DEB33A1" w14:textId="75F43376" w:rsidR="004E4374" w:rsidRPr="00073625" w:rsidRDefault="00073625" w:rsidP="00073625">
      <w:pPr>
        <w:ind w:left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2.</w:t>
      </w:r>
      <w:r>
        <w:rPr>
          <w:rFonts w:asciiTheme="minorHAnsi" w:eastAsiaTheme="minorHAnsi" w:hAnsiTheme="minorHAnsi" w:cstheme="minorHAnsi"/>
        </w:rPr>
        <w:tab/>
      </w:r>
      <w:r w:rsidR="005B61FD" w:rsidRPr="00073625">
        <w:rPr>
          <w:rFonts w:asciiTheme="minorHAnsi" w:eastAsiaTheme="minorHAnsi" w:hAnsiTheme="minorHAnsi" w:cstheme="minorHAnsi"/>
        </w:rPr>
        <w:t>T</w:t>
      </w:r>
      <w:r w:rsidR="005E5D0E" w:rsidRPr="00073625">
        <w:rPr>
          <w:rFonts w:asciiTheme="minorHAnsi" w:eastAsiaTheme="minorHAnsi" w:hAnsiTheme="minorHAnsi" w:cstheme="minorHAnsi"/>
        </w:rPr>
        <w:t>he</w:t>
      </w:r>
      <w:r w:rsidR="00570550" w:rsidRPr="00073625">
        <w:rPr>
          <w:rFonts w:asciiTheme="minorHAnsi" w:eastAsiaTheme="minorHAnsi" w:hAnsiTheme="minorHAnsi" w:cstheme="minorHAnsi"/>
        </w:rPr>
        <w:t xml:space="preserve"> first</w:t>
      </w:r>
      <w:r w:rsidR="00555BA9" w:rsidRPr="00073625">
        <w:rPr>
          <w:rFonts w:asciiTheme="minorHAnsi" w:eastAsiaTheme="minorHAnsi" w:hAnsiTheme="minorHAnsi" w:cstheme="minorHAnsi"/>
        </w:rPr>
        <w:t xml:space="preserve"> Resource Mobilization </w:t>
      </w:r>
      <w:r w:rsidR="003358FF" w:rsidRPr="00073625">
        <w:rPr>
          <w:rFonts w:asciiTheme="minorHAnsi" w:eastAsiaTheme="minorHAnsi" w:hAnsiTheme="minorHAnsi" w:cstheme="minorHAnsi"/>
        </w:rPr>
        <w:t>Work</w:t>
      </w:r>
      <w:r w:rsidR="00683790" w:rsidRPr="00073625">
        <w:rPr>
          <w:rFonts w:asciiTheme="minorHAnsi" w:eastAsiaTheme="minorHAnsi" w:hAnsiTheme="minorHAnsi" w:cstheme="minorHAnsi"/>
        </w:rPr>
        <w:t xml:space="preserve"> P</w:t>
      </w:r>
      <w:r w:rsidR="003358FF" w:rsidRPr="00073625">
        <w:rPr>
          <w:rFonts w:asciiTheme="minorHAnsi" w:eastAsiaTheme="minorHAnsi" w:hAnsiTheme="minorHAnsi" w:cstheme="minorHAnsi"/>
        </w:rPr>
        <w:t>lan</w:t>
      </w:r>
      <w:r w:rsidR="00DD71D6" w:rsidRPr="00073625">
        <w:rPr>
          <w:rFonts w:asciiTheme="minorHAnsi" w:eastAsiaTheme="minorHAnsi" w:hAnsiTheme="minorHAnsi" w:cstheme="minorHAnsi"/>
        </w:rPr>
        <w:t xml:space="preserve"> developed by</w:t>
      </w:r>
      <w:r w:rsidR="008977AA" w:rsidRPr="00073625">
        <w:rPr>
          <w:rFonts w:asciiTheme="minorHAnsi" w:eastAsiaTheme="minorHAnsi" w:hAnsiTheme="minorHAnsi" w:cstheme="minorHAnsi"/>
        </w:rPr>
        <w:t xml:space="preserve"> </w:t>
      </w:r>
      <w:r w:rsidR="00DD71D6" w:rsidRPr="00073625">
        <w:rPr>
          <w:rFonts w:asciiTheme="minorHAnsi" w:eastAsiaTheme="minorHAnsi" w:hAnsiTheme="minorHAnsi" w:cstheme="minorHAnsi"/>
        </w:rPr>
        <w:t xml:space="preserve">the Secretariat </w:t>
      </w:r>
      <w:r w:rsidR="00056BB9" w:rsidRPr="00073625">
        <w:rPr>
          <w:rFonts w:asciiTheme="minorHAnsi" w:eastAsiaTheme="minorHAnsi" w:hAnsiTheme="minorHAnsi" w:cstheme="minorHAnsi"/>
        </w:rPr>
        <w:t>was</w:t>
      </w:r>
      <w:r w:rsidR="00DD71D6" w:rsidRPr="00073625">
        <w:rPr>
          <w:rFonts w:asciiTheme="minorHAnsi" w:eastAsiaTheme="minorHAnsi" w:hAnsiTheme="minorHAnsi" w:cstheme="minorHAnsi"/>
        </w:rPr>
        <w:t xml:space="preserve"> presented </w:t>
      </w:r>
      <w:r w:rsidR="00D55239">
        <w:rPr>
          <w:rFonts w:asciiTheme="minorHAnsi" w:eastAsiaTheme="minorHAnsi" w:hAnsiTheme="minorHAnsi" w:cstheme="minorHAnsi"/>
        </w:rPr>
        <w:t>to</w:t>
      </w:r>
      <w:r w:rsidR="005B61FD" w:rsidRPr="00073625">
        <w:rPr>
          <w:rFonts w:asciiTheme="minorHAnsi" w:eastAsiaTheme="minorHAnsi" w:hAnsiTheme="minorHAnsi" w:cstheme="minorHAnsi"/>
        </w:rPr>
        <w:t xml:space="preserve"> the 57</w:t>
      </w:r>
      <w:r w:rsidR="005B61FD" w:rsidRPr="00AA6F39">
        <w:rPr>
          <w:rFonts w:asciiTheme="minorHAnsi" w:eastAsiaTheme="minorHAnsi" w:hAnsiTheme="minorHAnsi" w:cstheme="minorHAnsi"/>
        </w:rPr>
        <w:t xml:space="preserve">th </w:t>
      </w:r>
      <w:r w:rsidR="00AA6F39">
        <w:rPr>
          <w:rFonts w:asciiTheme="minorHAnsi" w:eastAsiaTheme="minorHAnsi" w:hAnsiTheme="minorHAnsi" w:cstheme="minorHAnsi"/>
        </w:rPr>
        <w:t>m</w:t>
      </w:r>
      <w:r w:rsidR="00AA6F39" w:rsidRPr="00073625">
        <w:rPr>
          <w:rFonts w:asciiTheme="minorHAnsi" w:eastAsiaTheme="minorHAnsi" w:hAnsiTheme="minorHAnsi" w:cstheme="minorHAnsi"/>
        </w:rPr>
        <w:t xml:space="preserve">eeting </w:t>
      </w:r>
      <w:r w:rsidR="00AA6F39">
        <w:rPr>
          <w:rFonts w:asciiTheme="minorHAnsi" w:eastAsiaTheme="minorHAnsi" w:hAnsiTheme="minorHAnsi" w:cstheme="minorHAnsi"/>
        </w:rPr>
        <w:t xml:space="preserve">of the </w:t>
      </w:r>
      <w:r w:rsidR="00AA6F39" w:rsidRPr="00073625">
        <w:rPr>
          <w:rFonts w:asciiTheme="minorHAnsi" w:eastAsiaTheme="minorHAnsi" w:hAnsiTheme="minorHAnsi" w:cstheme="minorHAnsi"/>
        </w:rPr>
        <w:t xml:space="preserve">Standing Committee </w:t>
      </w:r>
      <w:r w:rsidR="00AA6F39">
        <w:rPr>
          <w:rFonts w:asciiTheme="minorHAnsi" w:eastAsiaTheme="minorHAnsi" w:hAnsiTheme="minorHAnsi" w:cstheme="minorHAnsi"/>
        </w:rPr>
        <w:t xml:space="preserve">(SC57) </w:t>
      </w:r>
      <w:r w:rsidR="00056BB9" w:rsidRPr="00073625">
        <w:rPr>
          <w:rFonts w:asciiTheme="minorHAnsi" w:eastAsiaTheme="minorHAnsi" w:hAnsiTheme="minorHAnsi" w:cstheme="minorHAnsi"/>
        </w:rPr>
        <w:t xml:space="preserve">in </w:t>
      </w:r>
      <w:r w:rsidR="00B41529" w:rsidRPr="00073625">
        <w:rPr>
          <w:rFonts w:asciiTheme="minorHAnsi" w:eastAsiaTheme="minorHAnsi" w:hAnsiTheme="minorHAnsi" w:cstheme="minorHAnsi"/>
        </w:rPr>
        <w:t>2019.</w:t>
      </w:r>
      <w:r w:rsidR="005B61FD" w:rsidRPr="00073625">
        <w:rPr>
          <w:rFonts w:asciiTheme="minorHAnsi" w:eastAsiaTheme="minorHAnsi" w:hAnsiTheme="minorHAnsi" w:cstheme="minorHAnsi"/>
        </w:rPr>
        <w:t xml:space="preserve"> T</w:t>
      </w:r>
      <w:r w:rsidR="00C80AEB" w:rsidRPr="00073625">
        <w:rPr>
          <w:rFonts w:asciiTheme="minorHAnsi" w:eastAsiaTheme="minorHAnsi" w:hAnsiTheme="minorHAnsi" w:cstheme="minorHAnsi"/>
        </w:rPr>
        <w:t>he Work Plan</w:t>
      </w:r>
      <w:r w:rsidR="00AA6F39">
        <w:rPr>
          <w:rFonts w:asciiTheme="minorHAnsi" w:eastAsiaTheme="minorHAnsi" w:hAnsiTheme="minorHAnsi" w:cstheme="minorHAnsi"/>
        </w:rPr>
        <w:t>,</w:t>
      </w:r>
      <w:r w:rsidR="00C80AEB" w:rsidRPr="00073625">
        <w:rPr>
          <w:rFonts w:asciiTheme="minorHAnsi" w:eastAsiaTheme="minorHAnsi" w:hAnsiTheme="minorHAnsi" w:cstheme="minorHAnsi"/>
        </w:rPr>
        <w:t xml:space="preserve"> </w:t>
      </w:r>
      <w:r w:rsidR="00200197" w:rsidRPr="00073625">
        <w:rPr>
          <w:rFonts w:asciiTheme="minorHAnsi" w:eastAsiaTheme="minorHAnsi" w:hAnsiTheme="minorHAnsi" w:cstheme="minorHAnsi"/>
        </w:rPr>
        <w:t xml:space="preserve">presented as </w:t>
      </w:r>
      <w:r w:rsidR="00EC096B" w:rsidRPr="00073625">
        <w:rPr>
          <w:rFonts w:asciiTheme="minorHAnsi" w:eastAsiaTheme="minorHAnsi" w:hAnsiTheme="minorHAnsi" w:cstheme="minorHAnsi"/>
        </w:rPr>
        <w:t xml:space="preserve">document </w:t>
      </w:r>
      <w:r w:rsidR="00D55239">
        <w:rPr>
          <w:rFonts w:asciiTheme="minorHAnsi" w:eastAsiaTheme="minorHAnsi" w:hAnsiTheme="minorHAnsi" w:cstheme="minorHAnsi"/>
        </w:rPr>
        <w:t>SC57 Doc.19</w:t>
      </w:r>
      <w:r w:rsidR="00AD1EE9" w:rsidRPr="00073625">
        <w:rPr>
          <w:rFonts w:asciiTheme="minorHAnsi" w:eastAsiaTheme="minorHAnsi" w:hAnsiTheme="minorHAnsi" w:cstheme="minorHAnsi"/>
        </w:rPr>
        <w:t>,</w:t>
      </w:r>
      <w:r w:rsidR="00EC096B" w:rsidRPr="00073625">
        <w:rPr>
          <w:rFonts w:asciiTheme="minorHAnsi" w:eastAsiaTheme="minorHAnsi" w:hAnsiTheme="minorHAnsi" w:cstheme="minorHAnsi"/>
        </w:rPr>
        <w:t xml:space="preserve"> </w:t>
      </w:r>
      <w:r w:rsidR="00C80AEB" w:rsidRPr="00073625">
        <w:rPr>
          <w:rFonts w:asciiTheme="minorHAnsi" w:eastAsiaTheme="minorHAnsi" w:hAnsiTheme="minorHAnsi" w:cstheme="minorHAnsi"/>
        </w:rPr>
        <w:t>laid out the</w:t>
      </w:r>
      <w:r w:rsidR="00555BA9" w:rsidRPr="00073625">
        <w:rPr>
          <w:rFonts w:asciiTheme="minorHAnsi" w:eastAsiaTheme="minorHAnsi" w:hAnsiTheme="minorHAnsi" w:cstheme="minorHAnsi"/>
        </w:rPr>
        <w:t xml:space="preserve"> </w:t>
      </w:r>
      <w:r w:rsidR="00C80AEB" w:rsidRPr="00073625">
        <w:rPr>
          <w:rFonts w:asciiTheme="minorHAnsi" w:eastAsiaTheme="minorHAnsi" w:hAnsiTheme="minorHAnsi" w:cstheme="minorHAnsi"/>
        </w:rPr>
        <w:t>resource mobilization</w:t>
      </w:r>
      <w:r w:rsidR="00555BA9" w:rsidRPr="00073625">
        <w:rPr>
          <w:rFonts w:asciiTheme="minorHAnsi" w:eastAsiaTheme="minorHAnsi" w:hAnsiTheme="minorHAnsi" w:cstheme="minorHAnsi"/>
        </w:rPr>
        <w:t xml:space="preserve"> objectives, strategic </w:t>
      </w:r>
      <w:r w:rsidR="00CB50F3" w:rsidRPr="00073625">
        <w:rPr>
          <w:rFonts w:asciiTheme="minorHAnsi" w:eastAsiaTheme="minorHAnsi" w:hAnsiTheme="minorHAnsi" w:cstheme="minorHAnsi"/>
        </w:rPr>
        <w:t>aims,</w:t>
      </w:r>
      <w:r w:rsidR="00555BA9" w:rsidRPr="00073625">
        <w:rPr>
          <w:rFonts w:asciiTheme="minorHAnsi" w:eastAsiaTheme="minorHAnsi" w:hAnsiTheme="minorHAnsi" w:cstheme="minorHAnsi"/>
        </w:rPr>
        <w:t xml:space="preserve"> and implementation timelines to raise non-core funds for priorities approved by </w:t>
      </w:r>
      <w:r w:rsidR="00AA6F39">
        <w:rPr>
          <w:rFonts w:asciiTheme="minorHAnsi" w:eastAsiaTheme="minorHAnsi" w:hAnsiTheme="minorHAnsi" w:cstheme="minorHAnsi"/>
        </w:rPr>
        <w:t>P</w:t>
      </w:r>
      <w:r w:rsidR="00555BA9" w:rsidRPr="00073625">
        <w:rPr>
          <w:rFonts w:asciiTheme="minorHAnsi" w:eastAsiaTheme="minorHAnsi" w:hAnsiTheme="minorHAnsi" w:cstheme="minorHAnsi"/>
        </w:rPr>
        <w:t xml:space="preserve">arties at </w:t>
      </w:r>
      <w:r w:rsidR="00AA6F39">
        <w:rPr>
          <w:rFonts w:asciiTheme="minorHAnsi" w:eastAsiaTheme="minorHAnsi" w:hAnsiTheme="minorHAnsi" w:cstheme="minorHAnsi"/>
        </w:rPr>
        <w:t>the 13th meeting of the Conference of the Contracting Parties (</w:t>
      </w:r>
      <w:r w:rsidR="00555BA9" w:rsidRPr="00073625">
        <w:rPr>
          <w:rFonts w:asciiTheme="minorHAnsi" w:eastAsiaTheme="minorHAnsi" w:hAnsiTheme="minorHAnsi" w:cstheme="minorHAnsi"/>
        </w:rPr>
        <w:t>COP13</w:t>
      </w:r>
      <w:r w:rsidR="00AA6F39">
        <w:rPr>
          <w:rFonts w:asciiTheme="minorHAnsi" w:eastAsiaTheme="minorHAnsi" w:hAnsiTheme="minorHAnsi" w:cstheme="minorHAnsi"/>
        </w:rPr>
        <w:t>, 2018)</w:t>
      </w:r>
      <w:r w:rsidR="00F029DC" w:rsidRPr="00073625">
        <w:rPr>
          <w:rFonts w:asciiTheme="minorHAnsi" w:eastAsiaTheme="minorHAnsi" w:hAnsiTheme="minorHAnsi" w:cstheme="minorHAnsi"/>
        </w:rPr>
        <w:t xml:space="preserve"> for the 2019</w:t>
      </w:r>
      <w:r w:rsidR="00AA6F39">
        <w:rPr>
          <w:rFonts w:asciiTheme="minorHAnsi" w:eastAsiaTheme="minorHAnsi" w:hAnsiTheme="minorHAnsi" w:cstheme="minorHAnsi"/>
        </w:rPr>
        <w:t>-</w:t>
      </w:r>
      <w:r w:rsidR="00F029DC" w:rsidRPr="00073625">
        <w:rPr>
          <w:rFonts w:asciiTheme="minorHAnsi" w:eastAsiaTheme="minorHAnsi" w:hAnsiTheme="minorHAnsi" w:cstheme="minorHAnsi"/>
        </w:rPr>
        <w:t>2021</w:t>
      </w:r>
      <w:r w:rsidR="00AA6F39" w:rsidRPr="00AA6F39">
        <w:rPr>
          <w:rFonts w:asciiTheme="minorHAnsi" w:eastAsiaTheme="minorHAnsi" w:hAnsiTheme="minorHAnsi" w:cstheme="minorHAnsi"/>
        </w:rPr>
        <w:t xml:space="preserve"> </w:t>
      </w:r>
      <w:r w:rsidR="00AA6F39" w:rsidRPr="00073625">
        <w:rPr>
          <w:rFonts w:asciiTheme="minorHAnsi" w:eastAsiaTheme="minorHAnsi" w:hAnsiTheme="minorHAnsi" w:cstheme="minorHAnsi"/>
        </w:rPr>
        <w:t>triennium</w:t>
      </w:r>
      <w:r w:rsidR="00F029DC" w:rsidRPr="00073625">
        <w:rPr>
          <w:rFonts w:asciiTheme="minorHAnsi" w:eastAsiaTheme="minorHAnsi" w:hAnsiTheme="minorHAnsi" w:cstheme="minorHAnsi"/>
        </w:rPr>
        <w:t>.</w:t>
      </w:r>
    </w:p>
    <w:p w14:paraId="2698E27F" w14:textId="22DB28D3" w:rsidR="00BB6EAC" w:rsidRPr="004E4374" w:rsidRDefault="00BB6EAC" w:rsidP="00073625">
      <w:pPr>
        <w:ind w:left="426"/>
        <w:rPr>
          <w:rFonts w:asciiTheme="minorHAnsi" w:eastAsiaTheme="minorHAnsi" w:hAnsiTheme="minorHAnsi" w:cstheme="minorHAnsi"/>
        </w:rPr>
      </w:pPr>
    </w:p>
    <w:p w14:paraId="25493617" w14:textId="34671E78" w:rsidR="00B61DD1" w:rsidRDefault="00073625" w:rsidP="00073625">
      <w:pPr>
        <w:ind w:left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3.</w:t>
      </w:r>
      <w:r>
        <w:rPr>
          <w:rFonts w:asciiTheme="minorHAnsi" w:eastAsiaTheme="minorHAnsi" w:hAnsiTheme="minorHAnsi" w:cstheme="minorHAnsi"/>
        </w:rPr>
        <w:tab/>
      </w:r>
      <w:r w:rsidR="00BB6EAC" w:rsidRPr="00073625">
        <w:rPr>
          <w:rFonts w:asciiTheme="minorHAnsi" w:eastAsiaTheme="minorHAnsi" w:hAnsiTheme="minorHAnsi" w:cstheme="minorHAnsi"/>
        </w:rPr>
        <w:t xml:space="preserve">Resolution XIV.1 </w:t>
      </w:r>
      <w:r w:rsidR="00AA6F39">
        <w:rPr>
          <w:rFonts w:asciiTheme="minorHAnsi" w:eastAsiaTheme="minorHAnsi" w:hAnsiTheme="minorHAnsi" w:cstheme="minorHAnsi"/>
        </w:rPr>
        <w:t xml:space="preserve">on </w:t>
      </w:r>
      <w:r w:rsidR="00AA6F39" w:rsidRPr="00AA6F39">
        <w:rPr>
          <w:rFonts w:asciiTheme="minorHAnsi" w:eastAsiaTheme="minorHAnsi" w:hAnsiTheme="minorHAnsi" w:cstheme="minorHAnsi"/>
          <w:i/>
        </w:rPr>
        <w:t>Financial and budgetary matters</w:t>
      </w:r>
      <w:r w:rsidR="00AA6F39" w:rsidRPr="00AA6F39">
        <w:rPr>
          <w:rFonts w:asciiTheme="minorHAnsi" w:eastAsiaTheme="minorHAnsi" w:hAnsiTheme="minorHAnsi" w:cstheme="minorHAnsi"/>
        </w:rPr>
        <w:t xml:space="preserve"> </w:t>
      </w:r>
      <w:r w:rsidR="00BB6EAC" w:rsidRPr="00073625">
        <w:rPr>
          <w:rFonts w:asciiTheme="minorHAnsi" w:eastAsiaTheme="minorHAnsi" w:hAnsiTheme="minorHAnsi" w:cstheme="minorHAnsi"/>
        </w:rPr>
        <w:t>request</w:t>
      </w:r>
      <w:r w:rsidR="00AA6F39">
        <w:rPr>
          <w:rFonts w:asciiTheme="minorHAnsi" w:eastAsiaTheme="minorHAnsi" w:hAnsiTheme="minorHAnsi" w:cstheme="minorHAnsi"/>
        </w:rPr>
        <w:t>s</w:t>
      </w:r>
      <w:r w:rsidR="00BB6EAC" w:rsidRPr="00073625">
        <w:rPr>
          <w:rFonts w:asciiTheme="minorHAnsi" w:eastAsiaTheme="minorHAnsi" w:hAnsiTheme="minorHAnsi" w:cstheme="minorHAnsi"/>
        </w:rPr>
        <w:t xml:space="preserve"> the Secretariat to update </w:t>
      </w:r>
      <w:r w:rsidR="00614418" w:rsidRPr="00073625">
        <w:rPr>
          <w:rFonts w:asciiTheme="minorHAnsi" w:eastAsiaTheme="minorHAnsi" w:hAnsiTheme="minorHAnsi" w:cstheme="minorHAnsi"/>
        </w:rPr>
        <w:t xml:space="preserve">the Resource Mobilization </w:t>
      </w:r>
      <w:r w:rsidR="00676106" w:rsidRPr="00073625">
        <w:rPr>
          <w:rFonts w:asciiTheme="minorHAnsi" w:eastAsiaTheme="minorHAnsi" w:hAnsiTheme="minorHAnsi" w:cstheme="minorHAnsi"/>
        </w:rPr>
        <w:t>Wor</w:t>
      </w:r>
      <w:r w:rsidR="00676106">
        <w:rPr>
          <w:rFonts w:asciiTheme="minorHAnsi" w:eastAsiaTheme="minorHAnsi" w:hAnsiTheme="minorHAnsi" w:cstheme="minorHAnsi"/>
        </w:rPr>
        <w:t>k P</w:t>
      </w:r>
      <w:r w:rsidR="00676106" w:rsidRPr="00073625">
        <w:rPr>
          <w:rFonts w:asciiTheme="minorHAnsi" w:eastAsiaTheme="minorHAnsi" w:hAnsiTheme="minorHAnsi" w:cstheme="minorHAnsi"/>
        </w:rPr>
        <w:t xml:space="preserve">lan </w:t>
      </w:r>
      <w:r w:rsidR="00BB6EAC" w:rsidRPr="00073625">
        <w:rPr>
          <w:rFonts w:asciiTheme="minorHAnsi" w:eastAsiaTheme="minorHAnsi" w:hAnsiTheme="minorHAnsi" w:cstheme="minorHAnsi"/>
        </w:rPr>
        <w:t xml:space="preserve">to reflect </w:t>
      </w:r>
      <w:r w:rsidR="00BE0B8E" w:rsidRPr="00073625">
        <w:rPr>
          <w:rFonts w:asciiTheme="minorHAnsi" w:eastAsiaTheme="minorHAnsi" w:hAnsiTheme="minorHAnsi" w:cstheme="minorHAnsi"/>
        </w:rPr>
        <w:t>the fundraising</w:t>
      </w:r>
      <w:r w:rsidR="005968E8" w:rsidRPr="00073625">
        <w:rPr>
          <w:rFonts w:asciiTheme="minorHAnsi" w:eastAsiaTheme="minorHAnsi" w:hAnsiTheme="minorHAnsi" w:cstheme="minorHAnsi"/>
        </w:rPr>
        <w:t xml:space="preserve"> </w:t>
      </w:r>
      <w:r w:rsidR="00BB6EAC" w:rsidRPr="00073625">
        <w:rPr>
          <w:rFonts w:asciiTheme="minorHAnsi" w:eastAsiaTheme="minorHAnsi" w:hAnsiTheme="minorHAnsi" w:cstheme="minorHAnsi"/>
        </w:rPr>
        <w:t xml:space="preserve">priorities </w:t>
      </w:r>
      <w:r w:rsidR="005968E8" w:rsidRPr="00073625">
        <w:rPr>
          <w:rFonts w:asciiTheme="minorHAnsi" w:eastAsiaTheme="minorHAnsi" w:hAnsiTheme="minorHAnsi" w:cstheme="minorHAnsi"/>
        </w:rPr>
        <w:t>approved</w:t>
      </w:r>
      <w:r w:rsidR="00BB6EAC" w:rsidRPr="00073625">
        <w:rPr>
          <w:rFonts w:asciiTheme="minorHAnsi" w:eastAsiaTheme="minorHAnsi" w:hAnsiTheme="minorHAnsi" w:cstheme="minorHAnsi"/>
        </w:rPr>
        <w:t xml:space="preserve"> by the Contracting Parties at </w:t>
      </w:r>
      <w:r w:rsidR="00F029DC" w:rsidRPr="00073625">
        <w:rPr>
          <w:rFonts w:asciiTheme="minorHAnsi" w:eastAsiaTheme="minorHAnsi" w:hAnsiTheme="minorHAnsi" w:cstheme="minorHAnsi"/>
        </w:rPr>
        <w:t>COP14 and</w:t>
      </w:r>
      <w:r w:rsidR="00BB6EAC" w:rsidRPr="00073625">
        <w:rPr>
          <w:rFonts w:asciiTheme="minorHAnsi" w:eastAsiaTheme="minorHAnsi" w:hAnsiTheme="minorHAnsi" w:cstheme="minorHAnsi"/>
        </w:rPr>
        <w:t xml:space="preserve"> make it available to the Standing Committee at its 62nd meeting for consideration</w:t>
      </w:r>
      <w:r w:rsidR="00B61DD1" w:rsidRPr="00073625">
        <w:rPr>
          <w:rFonts w:asciiTheme="minorHAnsi" w:eastAsiaTheme="minorHAnsi" w:hAnsiTheme="minorHAnsi" w:cstheme="minorHAnsi"/>
        </w:rPr>
        <w:t>.</w:t>
      </w:r>
      <w:r w:rsidR="00C35FF5" w:rsidRPr="00073625">
        <w:rPr>
          <w:rFonts w:asciiTheme="minorHAnsi" w:eastAsiaTheme="minorHAnsi" w:hAnsiTheme="minorHAnsi" w:cstheme="minorHAnsi"/>
        </w:rPr>
        <w:t xml:space="preserve"> The objectives and strategic aims as previously stated in document SC5</w:t>
      </w:r>
      <w:r w:rsidR="00BA7F55">
        <w:rPr>
          <w:rFonts w:asciiTheme="minorHAnsi" w:eastAsiaTheme="minorHAnsi" w:hAnsiTheme="minorHAnsi" w:cstheme="minorHAnsi"/>
        </w:rPr>
        <w:t>7 Doc.19</w:t>
      </w:r>
      <w:r w:rsidR="00C35FF5">
        <w:rPr>
          <w:rStyle w:val="FootnoteReference"/>
          <w:rFonts w:asciiTheme="minorHAnsi" w:eastAsiaTheme="minorHAnsi" w:hAnsiTheme="minorHAnsi" w:cstheme="minorHAnsi"/>
        </w:rPr>
        <w:footnoteReference w:id="1"/>
      </w:r>
      <w:r w:rsidR="00676106">
        <w:rPr>
          <w:rFonts w:asciiTheme="minorHAnsi" w:eastAsiaTheme="minorHAnsi" w:hAnsiTheme="minorHAnsi" w:cstheme="minorHAnsi"/>
        </w:rPr>
        <w:t xml:space="preserve"> </w:t>
      </w:r>
      <w:r w:rsidR="00C35FF5" w:rsidRPr="00073625">
        <w:rPr>
          <w:rFonts w:asciiTheme="minorHAnsi" w:eastAsiaTheme="minorHAnsi" w:hAnsiTheme="minorHAnsi" w:cstheme="minorHAnsi"/>
        </w:rPr>
        <w:t>remain relevant and will continue to guide the implementation of th</w:t>
      </w:r>
      <w:r w:rsidR="00676106">
        <w:rPr>
          <w:rFonts w:asciiTheme="minorHAnsi" w:eastAsiaTheme="minorHAnsi" w:hAnsiTheme="minorHAnsi" w:cstheme="minorHAnsi"/>
        </w:rPr>
        <w:t>e</w:t>
      </w:r>
      <w:r w:rsidR="00C35FF5" w:rsidRPr="00073625">
        <w:rPr>
          <w:rFonts w:asciiTheme="minorHAnsi" w:eastAsiaTheme="minorHAnsi" w:hAnsiTheme="minorHAnsi" w:cstheme="minorHAnsi"/>
        </w:rPr>
        <w:t xml:space="preserve"> updated Work Plan.</w:t>
      </w:r>
    </w:p>
    <w:p w14:paraId="0522ABD3" w14:textId="77777777" w:rsidR="00073625" w:rsidRPr="00B61DD1" w:rsidRDefault="00073625" w:rsidP="00073625">
      <w:pPr>
        <w:ind w:left="426"/>
        <w:rPr>
          <w:rFonts w:asciiTheme="minorHAnsi" w:eastAsiaTheme="minorHAnsi" w:hAnsiTheme="minorHAnsi" w:cstheme="minorHAnsi"/>
        </w:rPr>
      </w:pPr>
    </w:p>
    <w:p w14:paraId="0DC3ED25" w14:textId="4D62A1AC" w:rsidR="00717A5F" w:rsidRDefault="00073625" w:rsidP="00073625">
      <w:pPr>
        <w:ind w:left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4.</w:t>
      </w:r>
      <w:r>
        <w:rPr>
          <w:rFonts w:asciiTheme="minorHAnsi" w:eastAsiaTheme="minorHAnsi" w:hAnsiTheme="minorHAnsi" w:cstheme="minorHAnsi"/>
        </w:rPr>
        <w:tab/>
      </w:r>
      <w:r w:rsidR="00FA2E1C" w:rsidRPr="00073625">
        <w:rPr>
          <w:rFonts w:asciiTheme="minorHAnsi" w:eastAsiaTheme="minorHAnsi" w:hAnsiTheme="minorHAnsi" w:cstheme="minorHAnsi"/>
        </w:rPr>
        <w:t>This</w:t>
      </w:r>
      <w:r w:rsidR="00F029DC" w:rsidRPr="00073625">
        <w:rPr>
          <w:rFonts w:asciiTheme="minorHAnsi" w:eastAsiaTheme="minorHAnsi" w:hAnsiTheme="minorHAnsi" w:cstheme="minorHAnsi"/>
        </w:rPr>
        <w:t xml:space="preserve"> </w:t>
      </w:r>
      <w:r w:rsidR="00FA2E1C" w:rsidRPr="00073625">
        <w:rPr>
          <w:rFonts w:asciiTheme="minorHAnsi" w:eastAsiaTheme="minorHAnsi" w:hAnsiTheme="minorHAnsi" w:cstheme="minorHAnsi"/>
        </w:rPr>
        <w:t>Work</w:t>
      </w:r>
      <w:r w:rsidR="00683790" w:rsidRPr="00073625">
        <w:rPr>
          <w:rFonts w:asciiTheme="minorHAnsi" w:eastAsiaTheme="minorHAnsi" w:hAnsiTheme="minorHAnsi" w:cstheme="minorHAnsi"/>
        </w:rPr>
        <w:t xml:space="preserve"> P</w:t>
      </w:r>
      <w:r w:rsidR="00FA2E1C" w:rsidRPr="00073625">
        <w:rPr>
          <w:rFonts w:asciiTheme="minorHAnsi" w:eastAsiaTheme="minorHAnsi" w:hAnsiTheme="minorHAnsi" w:cstheme="minorHAnsi"/>
        </w:rPr>
        <w:t>lan</w:t>
      </w:r>
      <w:r w:rsidR="004A2725" w:rsidRPr="00073625">
        <w:rPr>
          <w:rFonts w:asciiTheme="minorHAnsi" w:eastAsiaTheme="minorHAnsi" w:hAnsiTheme="minorHAnsi" w:cstheme="minorHAnsi"/>
        </w:rPr>
        <w:t xml:space="preserve"> </w:t>
      </w:r>
      <w:r w:rsidR="00676106">
        <w:rPr>
          <w:rFonts w:asciiTheme="minorHAnsi" w:eastAsiaTheme="minorHAnsi" w:hAnsiTheme="minorHAnsi" w:cstheme="minorHAnsi"/>
        </w:rPr>
        <w:t xml:space="preserve">is </w:t>
      </w:r>
      <w:r w:rsidR="00081E4B" w:rsidRPr="00073625">
        <w:rPr>
          <w:rFonts w:asciiTheme="minorHAnsi" w:eastAsiaTheme="minorHAnsi" w:hAnsiTheme="minorHAnsi" w:cstheme="minorHAnsi"/>
        </w:rPr>
        <w:t>attached in Annex</w:t>
      </w:r>
      <w:r w:rsidR="008E7B86" w:rsidRPr="00073625">
        <w:rPr>
          <w:rFonts w:asciiTheme="minorHAnsi" w:eastAsiaTheme="minorHAnsi" w:hAnsiTheme="minorHAnsi" w:cstheme="minorHAnsi"/>
        </w:rPr>
        <w:t xml:space="preserve"> 1</w:t>
      </w:r>
      <w:r w:rsidR="00BE0B8E" w:rsidRPr="00073625">
        <w:rPr>
          <w:rFonts w:asciiTheme="minorHAnsi" w:eastAsiaTheme="minorHAnsi" w:hAnsiTheme="minorHAnsi" w:cstheme="minorHAnsi"/>
        </w:rPr>
        <w:t>,</w:t>
      </w:r>
      <w:r w:rsidR="00FA2E1C" w:rsidRPr="00073625">
        <w:rPr>
          <w:rFonts w:asciiTheme="minorHAnsi" w:eastAsiaTheme="minorHAnsi" w:hAnsiTheme="minorHAnsi" w:cstheme="minorHAnsi"/>
        </w:rPr>
        <w:t xml:space="preserve"> </w:t>
      </w:r>
      <w:r w:rsidR="00676106">
        <w:rPr>
          <w:rFonts w:asciiTheme="minorHAnsi" w:eastAsiaTheme="minorHAnsi" w:hAnsiTheme="minorHAnsi" w:cstheme="minorHAnsi"/>
        </w:rPr>
        <w:t xml:space="preserve">and </w:t>
      </w:r>
      <w:r w:rsidR="00717A5F" w:rsidRPr="00073625">
        <w:rPr>
          <w:rFonts w:asciiTheme="minorHAnsi" w:eastAsiaTheme="minorHAnsi" w:hAnsiTheme="minorHAnsi" w:cstheme="minorHAnsi"/>
        </w:rPr>
        <w:t>presents the</w:t>
      </w:r>
      <w:r w:rsidR="00AE54C8" w:rsidRPr="00073625">
        <w:rPr>
          <w:rFonts w:asciiTheme="minorHAnsi" w:eastAsiaTheme="minorHAnsi" w:hAnsiTheme="minorHAnsi" w:cstheme="minorHAnsi"/>
        </w:rPr>
        <w:t xml:space="preserve"> updated</w:t>
      </w:r>
      <w:r w:rsidR="00C30AF5" w:rsidRPr="00073625">
        <w:rPr>
          <w:rFonts w:asciiTheme="minorHAnsi" w:eastAsiaTheme="minorHAnsi" w:hAnsiTheme="minorHAnsi" w:cstheme="minorHAnsi"/>
        </w:rPr>
        <w:t xml:space="preserve"> </w:t>
      </w:r>
      <w:r w:rsidR="00753FDB" w:rsidRPr="00073625">
        <w:rPr>
          <w:rFonts w:asciiTheme="minorHAnsi" w:eastAsiaTheme="minorHAnsi" w:hAnsiTheme="minorHAnsi" w:cstheme="minorHAnsi"/>
        </w:rPr>
        <w:t>list of</w:t>
      </w:r>
      <w:r w:rsidR="00023C41" w:rsidRPr="00073625">
        <w:rPr>
          <w:rFonts w:asciiTheme="minorHAnsi" w:eastAsiaTheme="minorHAnsi" w:hAnsiTheme="minorHAnsi" w:cstheme="minorHAnsi"/>
        </w:rPr>
        <w:t xml:space="preserve"> </w:t>
      </w:r>
      <w:r w:rsidR="000A3137" w:rsidRPr="00073625">
        <w:rPr>
          <w:rFonts w:asciiTheme="minorHAnsi" w:eastAsiaTheme="minorHAnsi" w:hAnsiTheme="minorHAnsi" w:cstheme="minorHAnsi"/>
        </w:rPr>
        <w:t>non</w:t>
      </w:r>
      <w:r w:rsidR="00DD5B60" w:rsidRPr="00073625">
        <w:rPr>
          <w:rFonts w:asciiTheme="minorHAnsi" w:eastAsiaTheme="minorHAnsi" w:hAnsiTheme="minorHAnsi" w:cstheme="minorHAnsi"/>
        </w:rPr>
        <w:t>-core fundraising priorities</w:t>
      </w:r>
      <w:r w:rsidR="008E7B86" w:rsidRPr="00073625">
        <w:rPr>
          <w:rFonts w:asciiTheme="minorHAnsi" w:eastAsiaTheme="minorHAnsi" w:hAnsiTheme="minorHAnsi" w:cstheme="minorHAnsi"/>
        </w:rPr>
        <w:t xml:space="preserve"> </w:t>
      </w:r>
      <w:r w:rsidR="00676106">
        <w:rPr>
          <w:rFonts w:asciiTheme="minorHAnsi" w:eastAsiaTheme="minorHAnsi" w:hAnsiTheme="minorHAnsi" w:cstheme="minorHAnsi"/>
        </w:rPr>
        <w:t>listed</w:t>
      </w:r>
      <w:r w:rsidR="00D60B2A" w:rsidRPr="00073625">
        <w:rPr>
          <w:rFonts w:asciiTheme="minorHAnsi" w:eastAsiaTheme="minorHAnsi" w:hAnsiTheme="minorHAnsi" w:cstheme="minorHAnsi"/>
        </w:rPr>
        <w:t xml:space="preserve"> in Annex</w:t>
      </w:r>
      <w:r w:rsidR="00BE5E92" w:rsidRPr="00073625">
        <w:rPr>
          <w:rFonts w:asciiTheme="minorHAnsi" w:eastAsiaTheme="minorHAnsi" w:hAnsiTheme="minorHAnsi" w:cstheme="minorHAnsi"/>
        </w:rPr>
        <w:t xml:space="preserve"> 4 to Resolution </w:t>
      </w:r>
      <w:r w:rsidR="007443CF" w:rsidRPr="00073625">
        <w:rPr>
          <w:rFonts w:asciiTheme="minorHAnsi" w:eastAsiaTheme="minorHAnsi" w:hAnsiTheme="minorHAnsi" w:cstheme="minorHAnsi"/>
        </w:rPr>
        <w:t>XIV.</w:t>
      </w:r>
      <w:r w:rsidR="00444CF6" w:rsidRPr="00073625">
        <w:rPr>
          <w:rFonts w:asciiTheme="minorHAnsi" w:eastAsiaTheme="minorHAnsi" w:hAnsiTheme="minorHAnsi" w:cstheme="minorHAnsi"/>
        </w:rPr>
        <w:t>1</w:t>
      </w:r>
      <w:r w:rsidR="00023C41" w:rsidRPr="00073625">
        <w:rPr>
          <w:rFonts w:asciiTheme="minorHAnsi" w:eastAsiaTheme="minorHAnsi" w:hAnsiTheme="minorHAnsi" w:cstheme="minorHAnsi"/>
        </w:rPr>
        <w:t>,</w:t>
      </w:r>
      <w:r w:rsidR="00717A5F" w:rsidRPr="00073625">
        <w:rPr>
          <w:rFonts w:asciiTheme="minorHAnsi" w:eastAsiaTheme="minorHAnsi" w:hAnsiTheme="minorHAnsi" w:cstheme="minorHAnsi"/>
        </w:rPr>
        <w:t xml:space="preserve"> as well as</w:t>
      </w:r>
      <w:r w:rsidR="007E7F95" w:rsidRPr="00073625">
        <w:rPr>
          <w:rFonts w:asciiTheme="minorHAnsi" w:eastAsiaTheme="minorHAnsi" w:hAnsiTheme="minorHAnsi" w:cstheme="minorHAnsi"/>
        </w:rPr>
        <w:t xml:space="preserve"> revised </w:t>
      </w:r>
      <w:r w:rsidR="00BB06B2" w:rsidRPr="00073625">
        <w:rPr>
          <w:rFonts w:asciiTheme="minorHAnsi" w:eastAsiaTheme="minorHAnsi" w:hAnsiTheme="minorHAnsi" w:cstheme="minorHAnsi"/>
        </w:rPr>
        <w:t xml:space="preserve">implementation </w:t>
      </w:r>
      <w:r w:rsidR="002C7D31" w:rsidRPr="00073625">
        <w:rPr>
          <w:rFonts w:asciiTheme="minorHAnsi" w:eastAsiaTheme="minorHAnsi" w:hAnsiTheme="minorHAnsi" w:cstheme="minorHAnsi"/>
        </w:rPr>
        <w:t>timelines</w:t>
      </w:r>
      <w:r w:rsidR="00684DE6" w:rsidRPr="00073625">
        <w:rPr>
          <w:rFonts w:asciiTheme="minorHAnsi" w:eastAsiaTheme="minorHAnsi" w:hAnsiTheme="minorHAnsi" w:cstheme="minorHAnsi"/>
        </w:rPr>
        <w:t xml:space="preserve"> </w:t>
      </w:r>
      <w:r w:rsidR="00676106">
        <w:rPr>
          <w:rFonts w:asciiTheme="minorHAnsi" w:eastAsiaTheme="minorHAnsi" w:hAnsiTheme="minorHAnsi" w:cstheme="minorHAnsi"/>
        </w:rPr>
        <w:t>for</w:t>
      </w:r>
      <w:r w:rsidR="00684DE6" w:rsidRPr="00073625">
        <w:rPr>
          <w:rFonts w:asciiTheme="minorHAnsi" w:eastAsiaTheme="minorHAnsi" w:hAnsiTheme="minorHAnsi" w:cstheme="minorHAnsi"/>
        </w:rPr>
        <w:t xml:space="preserve"> the</w:t>
      </w:r>
      <w:r w:rsidR="00444CF6" w:rsidRPr="00073625">
        <w:rPr>
          <w:rFonts w:asciiTheme="minorHAnsi" w:eastAsiaTheme="minorHAnsi" w:hAnsiTheme="minorHAnsi" w:cstheme="minorHAnsi"/>
        </w:rPr>
        <w:t xml:space="preserve"> </w:t>
      </w:r>
      <w:r w:rsidR="00BE0B8E" w:rsidRPr="00073625">
        <w:rPr>
          <w:rFonts w:asciiTheme="minorHAnsi" w:eastAsiaTheme="minorHAnsi" w:hAnsiTheme="minorHAnsi" w:cstheme="minorHAnsi"/>
        </w:rPr>
        <w:t>2023-2025</w:t>
      </w:r>
      <w:r w:rsidR="00AC7C43" w:rsidRPr="00073625">
        <w:rPr>
          <w:rFonts w:asciiTheme="minorHAnsi" w:eastAsiaTheme="minorHAnsi" w:hAnsiTheme="minorHAnsi" w:cstheme="minorHAnsi"/>
        </w:rPr>
        <w:t xml:space="preserve"> triennium.</w:t>
      </w:r>
      <w:r w:rsidR="00616192" w:rsidRPr="00073625">
        <w:rPr>
          <w:rFonts w:asciiTheme="minorHAnsi" w:eastAsiaTheme="minorHAnsi" w:hAnsiTheme="minorHAnsi" w:cstheme="minorHAnsi"/>
        </w:rPr>
        <w:t xml:space="preserve"> </w:t>
      </w:r>
      <w:r w:rsidR="00676106">
        <w:rPr>
          <w:rFonts w:asciiTheme="minorHAnsi" w:eastAsiaTheme="minorHAnsi" w:hAnsiTheme="minorHAnsi" w:cstheme="minorHAnsi"/>
        </w:rPr>
        <w:t>In addition</w:t>
      </w:r>
      <w:r w:rsidR="004740F6" w:rsidRPr="00073625">
        <w:rPr>
          <w:rFonts w:asciiTheme="minorHAnsi" w:eastAsiaTheme="minorHAnsi" w:hAnsiTheme="minorHAnsi" w:cstheme="minorHAnsi"/>
        </w:rPr>
        <w:t>,</w:t>
      </w:r>
      <w:r w:rsidR="00546ADC" w:rsidRPr="00073625">
        <w:rPr>
          <w:rFonts w:asciiTheme="minorHAnsi" w:eastAsiaTheme="minorHAnsi" w:hAnsiTheme="minorHAnsi" w:cstheme="minorHAnsi"/>
        </w:rPr>
        <w:t xml:space="preserve"> Annex 2</w:t>
      </w:r>
      <w:r w:rsidR="00616192" w:rsidRPr="00073625">
        <w:rPr>
          <w:rFonts w:asciiTheme="minorHAnsi" w:eastAsiaTheme="minorHAnsi" w:hAnsiTheme="minorHAnsi" w:cstheme="minorHAnsi"/>
        </w:rPr>
        <w:t xml:space="preserve"> </w:t>
      </w:r>
      <w:r w:rsidR="004B3AD8" w:rsidRPr="00073625">
        <w:rPr>
          <w:rFonts w:asciiTheme="minorHAnsi" w:eastAsiaTheme="minorHAnsi" w:hAnsiTheme="minorHAnsi" w:cstheme="minorHAnsi"/>
        </w:rPr>
        <w:t>includes the</w:t>
      </w:r>
      <w:r w:rsidR="00F35B51" w:rsidRPr="00073625">
        <w:rPr>
          <w:rFonts w:asciiTheme="minorHAnsi" w:eastAsiaTheme="minorHAnsi" w:hAnsiTheme="minorHAnsi" w:cstheme="minorHAnsi"/>
        </w:rPr>
        <w:t xml:space="preserve"> </w:t>
      </w:r>
      <w:r w:rsidR="00E318A4" w:rsidRPr="00073625">
        <w:rPr>
          <w:rFonts w:asciiTheme="minorHAnsi" w:eastAsiaTheme="minorHAnsi" w:hAnsiTheme="minorHAnsi" w:cstheme="minorHAnsi"/>
        </w:rPr>
        <w:t>activities the</w:t>
      </w:r>
      <w:r w:rsidR="00F35B51" w:rsidRPr="00073625">
        <w:rPr>
          <w:rFonts w:asciiTheme="minorHAnsi" w:eastAsiaTheme="minorHAnsi" w:hAnsiTheme="minorHAnsi" w:cstheme="minorHAnsi"/>
        </w:rPr>
        <w:t xml:space="preserve"> Secretariat will undertake </w:t>
      </w:r>
      <w:r w:rsidR="00D8229A" w:rsidRPr="00073625">
        <w:rPr>
          <w:rFonts w:asciiTheme="minorHAnsi" w:eastAsiaTheme="minorHAnsi" w:hAnsiTheme="minorHAnsi" w:cstheme="minorHAnsi"/>
        </w:rPr>
        <w:t xml:space="preserve">to facilitate resource mobilization </w:t>
      </w:r>
      <w:r w:rsidR="00676106">
        <w:rPr>
          <w:rFonts w:asciiTheme="minorHAnsi" w:eastAsiaTheme="minorHAnsi" w:hAnsiTheme="minorHAnsi" w:cstheme="minorHAnsi"/>
        </w:rPr>
        <w:t xml:space="preserve">activities </w:t>
      </w:r>
      <w:r w:rsidR="00D8229A" w:rsidRPr="00073625">
        <w:rPr>
          <w:rFonts w:asciiTheme="minorHAnsi" w:eastAsiaTheme="minorHAnsi" w:hAnsiTheme="minorHAnsi" w:cstheme="minorHAnsi"/>
        </w:rPr>
        <w:t>of Contracting Parties</w:t>
      </w:r>
      <w:r w:rsidR="004740F6" w:rsidRPr="00073625">
        <w:rPr>
          <w:rFonts w:asciiTheme="minorHAnsi" w:eastAsiaTheme="minorHAnsi" w:hAnsiTheme="minorHAnsi" w:cstheme="minorHAnsi"/>
        </w:rPr>
        <w:t>.</w:t>
      </w:r>
    </w:p>
    <w:p w14:paraId="0DCBB4D1" w14:textId="77777777" w:rsidR="00073625" w:rsidRPr="00717A5F" w:rsidRDefault="00073625" w:rsidP="00073625">
      <w:pPr>
        <w:ind w:left="426"/>
        <w:rPr>
          <w:rFonts w:asciiTheme="minorHAnsi" w:eastAsiaTheme="minorHAnsi" w:hAnsiTheme="minorHAnsi" w:cstheme="minorHAnsi"/>
        </w:rPr>
      </w:pPr>
    </w:p>
    <w:p w14:paraId="2A1C9F22" w14:textId="6967C5B5" w:rsidR="00542391" w:rsidRDefault="00073625" w:rsidP="00073625">
      <w:pPr>
        <w:ind w:left="426"/>
      </w:pPr>
      <w:r>
        <w:t>5.</w:t>
      </w:r>
      <w:r>
        <w:tab/>
      </w:r>
      <w:r w:rsidR="00EF4C46">
        <w:t>The implement</w:t>
      </w:r>
      <w:r w:rsidR="0041332D">
        <w:t>ation</w:t>
      </w:r>
      <w:r w:rsidR="00EF4C46">
        <w:t xml:space="preserve"> of this Work Plan </w:t>
      </w:r>
      <w:r w:rsidR="0041332D">
        <w:t>will</w:t>
      </w:r>
      <w:r w:rsidR="00246895">
        <w:t xml:space="preserve"> </w:t>
      </w:r>
      <w:r w:rsidR="00E46897">
        <w:t xml:space="preserve">be </w:t>
      </w:r>
      <w:r w:rsidR="001F6A49">
        <w:t xml:space="preserve">realized </w:t>
      </w:r>
      <w:r w:rsidR="00B72846">
        <w:t>through</w:t>
      </w:r>
      <w:r w:rsidR="00F13691">
        <w:t xml:space="preserve"> </w:t>
      </w:r>
      <w:r w:rsidR="0056419E">
        <w:t>outreach to</w:t>
      </w:r>
      <w:r w:rsidR="00130DF2">
        <w:t xml:space="preserve"> C</w:t>
      </w:r>
      <w:r w:rsidR="00A26FCC">
        <w:t xml:space="preserve">ontracting </w:t>
      </w:r>
      <w:r w:rsidR="00130DF2">
        <w:t>P</w:t>
      </w:r>
      <w:r w:rsidR="00A26FCC">
        <w:t>a</w:t>
      </w:r>
      <w:r w:rsidR="00130DF2">
        <w:t>rties,</w:t>
      </w:r>
      <w:r w:rsidR="00FA2506">
        <w:t xml:space="preserve"> bilateral donor agencies, multilateral </w:t>
      </w:r>
      <w:r w:rsidR="000A7F34">
        <w:t>donor agencies, the p</w:t>
      </w:r>
      <w:r w:rsidR="00130DF2">
        <w:t xml:space="preserve">rivate </w:t>
      </w:r>
      <w:r w:rsidR="00542391">
        <w:t>sector</w:t>
      </w:r>
      <w:r w:rsidR="000A7F34">
        <w:t xml:space="preserve"> and foundations</w:t>
      </w:r>
      <w:r w:rsidR="005A1D60">
        <w:t>,</w:t>
      </w:r>
      <w:r w:rsidR="000A7F34">
        <w:t xml:space="preserve"> </w:t>
      </w:r>
      <w:r w:rsidR="0041770E">
        <w:t>as well as</w:t>
      </w:r>
      <w:r w:rsidR="24FFA82E">
        <w:t xml:space="preserve"> </w:t>
      </w:r>
      <w:r w:rsidR="004C143B">
        <w:t xml:space="preserve">through </w:t>
      </w:r>
      <w:r w:rsidR="24FFA82E">
        <w:t xml:space="preserve">forming </w:t>
      </w:r>
      <w:r w:rsidR="00BC02B7">
        <w:t>relevant</w:t>
      </w:r>
      <w:r w:rsidR="000756B8">
        <w:t xml:space="preserve"> strategic collaborations and partnerships.</w:t>
      </w:r>
      <w:r w:rsidR="5A11C856">
        <w:t xml:space="preserve"> </w:t>
      </w:r>
      <w:r w:rsidR="003740D2">
        <w:t>A</w:t>
      </w:r>
      <w:r w:rsidR="007B4D2B">
        <w:t>n</w:t>
      </w:r>
      <w:r w:rsidR="00492AB5">
        <w:t xml:space="preserve"> </w:t>
      </w:r>
      <w:r w:rsidR="00082B39">
        <w:t>assessment</w:t>
      </w:r>
      <w:r w:rsidR="003740D2">
        <w:t xml:space="preserve"> </w:t>
      </w:r>
      <w:r w:rsidR="007B4D2B">
        <w:t xml:space="preserve">of </w:t>
      </w:r>
      <w:r w:rsidR="00262838">
        <w:t xml:space="preserve">funding sources </w:t>
      </w:r>
      <w:r w:rsidR="007B4D2B">
        <w:t xml:space="preserve">for </w:t>
      </w:r>
      <w:r w:rsidR="00532B29">
        <w:t xml:space="preserve">non-core </w:t>
      </w:r>
      <w:r w:rsidR="00551F9F">
        <w:t>priorities</w:t>
      </w:r>
      <w:r w:rsidR="00532B29">
        <w:t xml:space="preserve"> </w:t>
      </w:r>
      <w:r w:rsidR="00492AB5">
        <w:t xml:space="preserve">for </w:t>
      </w:r>
      <w:r w:rsidR="00722266">
        <w:t>the 2019</w:t>
      </w:r>
      <w:r w:rsidR="00E3797F">
        <w:t>-2021</w:t>
      </w:r>
      <w:r w:rsidR="00492AB5">
        <w:t xml:space="preserve"> triennium</w:t>
      </w:r>
      <w:r w:rsidR="0066786E">
        <w:t xml:space="preserve"> </w:t>
      </w:r>
      <w:r w:rsidR="00E3797F">
        <w:t>showed</w:t>
      </w:r>
      <w:r w:rsidR="003F32E3">
        <w:t xml:space="preserve"> that</w:t>
      </w:r>
      <w:r w:rsidR="00BE75A4">
        <w:t xml:space="preserve"> </w:t>
      </w:r>
      <w:r w:rsidR="00190CDC">
        <w:t>76</w:t>
      </w:r>
      <w:r w:rsidR="00F3331F">
        <w:t>%</w:t>
      </w:r>
      <w:r w:rsidR="00722266">
        <w:t xml:space="preserve"> </w:t>
      </w:r>
      <w:r w:rsidR="00492AB5">
        <w:t xml:space="preserve">of </w:t>
      </w:r>
      <w:r w:rsidR="00492AB5">
        <w:lastRenderedPageBreak/>
        <w:t>voluntary contributions received</w:t>
      </w:r>
      <w:r w:rsidR="00F3331F">
        <w:t xml:space="preserve"> were</w:t>
      </w:r>
      <w:r w:rsidR="004D4A0A">
        <w:t xml:space="preserve"> from government agencies</w:t>
      </w:r>
      <w:r w:rsidR="004C143B">
        <w:t>,</w:t>
      </w:r>
      <w:r w:rsidR="00F52ABC">
        <w:t xml:space="preserve"> </w:t>
      </w:r>
      <w:r w:rsidR="004C611A">
        <w:t>compared to 14% from the private sector and 10% from foundations</w:t>
      </w:r>
      <w:r w:rsidR="007B4D2B">
        <w:t>.</w:t>
      </w:r>
      <w:r w:rsidR="007333D0">
        <w:t xml:space="preserve"> </w:t>
      </w:r>
    </w:p>
    <w:p w14:paraId="2711A2E9" w14:textId="77777777" w:rsidR="00542391" w:rsidRDefault="00542391" w:rsidP="00073625">
      <w:pPr>
        <w:ind w:left="426"/>
      </w:pPr>
    </w:p>
    <w:p w14:paraId="66F2B230" w14:textId="401B175D" w:rsidR="007772E6" w:rsidRDefault="00073625" w:rsidP="00073625">
      <w:pPr>
        <w:ind w:left="426"/>
      </w:pPr>
      <w:r>
        <w:t>6.</w:t>
      </w:r>
      <w:r>
        <w:tab/>
      </w:r>
      <w:r w:rsidR="00542391">
        <w:t>Furthermore</w:t>
      </w:r>
      <w:r w:rsidR="00D630A8">
        <w:t>,</w:t>
      </w:r>
      <w:r w:rsidR="005A1D60">
        <w:t xml:space="preserve"> </w:t>
      </w:r>
      <w:r w:rsidR="005A4B85">
        <w:t>a</w:t>
      </w:r>
      <w:r w:rsidR="00E46897">
        <w:t xml:space="preserve"> </w:t>
      </w:r>
      <w:r w:rsidR="004E13FF">
        <w:t>whole-of-Secretariat approach</w:t>
      </w:r>
      <w:r w:rsidR="00FA76D5">
        <w:t xml:space="preserve"> </w:t>
      </w:r>
      <w:r w:rsidR="0051601F">
        <w:t xml:space="preserve">to </w:t>
      </w:r>
      <w:r w:rsidR="0041332D">
        <w:t>resource mobilizatio</w:t>
      </w:r>
      <w:r w:rsidR="004C611A">
        <w:t>n</w:t>
      </w:r>
      <w:r w:rsidR="00FA76D5">
        <w:t xml:space="preserve"> (</w:t>
      </w:r>
      <w:r w:rsidR="00B9537B">
        <w:t>as approved in Decision SC52-23)</w:t>
      </w:r>
      <w:r w:rsidR="0022797F">
        <w:t>,</w:t>
      </w:r>
      <w:r w:rsidR="0051601F">
        <w:t xml:space="preserve"> </w:t>
      </w:r>
      <w:r w:rsidR="004C143B">
        <w:t xml:space="preserve">in which </w:t>
      </w:r>
      <w:r w:rsidR="00434E29">
        <w:t xml:space="preserve">the Resource Mobilization </w:t>
      </w:r>
      <w:r w:rsidR="00542391">
        <w:t>O</w:t>
      </w:r>
      <w:r w:rsidR="00434E29">
        <w:t>fficer</w:t>
      </w:r>
      <w:r w:rsidR="00B9537B">
        <w:t xml:space="preserve"> and </w:t>
      </w:r>
      <w:r w:rsidR="0089557D">
        <w:t>other</w:t>
      </w:r>
      <w:r w:rsidR="00CD5A42">
        <w:t xml:space="preserve"> </w:t>
      </w:r>
      <w:r w:rsidR="00542391">
        <w:t xml:space="preserve">senior </w:t>
      </w:r>
      <w:r w:rsidR="00CD5A42">
        <w:t>members of the Secretariat</w:t>
      </w:r>
      <w:r w:rsidR="0022797F">
        <w:t xml:space="preserve"> </w:t>
      </w:r>
      <w:r w:rsidR="00037264">
        <w:t>undertake</w:t>
      </w:r>
      <w:r w:rsidR="0026361B">
        <w:t xml:space="preserve"> fundrais</w:t>
      </w:r>
      <w:r w:rsidR="00640429">
        <w:t xml:space="preserve">ing </w:t>
      </w:r>
      <w:r w:rsidR="007772E6">
        <w:t>for non-core priorities</w:t>
      </w:r>
      <w:r w:rsidR="004C143B">
        <w:t>,</w:t>
      </w:r>
      <w:r w:rsidR="0051601F">
        <w:t xml:space="preserve"> will </w:t>
      </w:r>
      <w:r w:rsidR="00694F87">
        <w:t xml:space="preserve">contribute to </w:t>
      </w:r>
      <w:r w:rsidR="0051601F">
        <w:t>the implementation of the Work Plan</w:t>
      </w:r>
      <w:r w:rsidR="00694F87">
        <w:t xml:space="preserve"> and the realization of the</w:t>
      </w:r>
      <w:r w:rsidR="00A03650">
        <w:t xml:space="preserve"> strategic aims and objective</w:t>
      </w:r>
      <w:r w:rsidR="007F5E45">
        <w:t>s</w:t>
      </w:r>
      <w:r w:rsidR="00A03650">
        <w:t xml:space="preserve"> of </w:t>
      </w:r>
      <w:r w:rsidR="00AC0715">
        <w:t>resource mobilization.</w:t>
      </w:r>
      <w:r w:rsidR="00A03650">
        <w:t xml:space="preserve"> </w:t>
      </w:r>
    </w:p>
    <w:p w14:paraId="07AABBE0" w14:textId="77777777" w:rsidR="007772E6" w:rsidRDefault="007772E6" w:rsidP="00073625">
      <w:pPr>
        <w:ind w:left="426"/>
      </w:pPr>
    </w:p>
    <w:p w14:paraId="53F88B6A" w14:textId="5904C72F" w:rsidR="007463CA" w:rsidRPr="00073625" w:rsidRDefault="00073625" w:rsidP="00073625">
      <w:pPr>
        <w:ind w:left="426"/>
        <w:rPr>
          <w:rFonts w:asciiTheme="minorHAnsi" w:eastAsiaTheme="minorEastAsia" w:hAnsiTheme="minorHAnsi" w:cstheme="minorBidi"/>
        </w:rPr>
        <w:sectPr w:rsidR="007463CA" w:rsidRPr="00073625" w:rsidSect="002137E0"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t>7.</w:t>
      </w:r>
      <w:r>
        <w:tab/>
      </w:r>
      <w:r w:rsidR="00AC0715">
        <w:t xml:space="preserve">To </w:t>
      </w:r>
      <w:r w:rsidR="005532BA">
        <w:t xml:space="preserve">deliver the </w:t>
      </w:r>
      <w:r w:rsidR="005D6E28">
        <w:t>whole</w:t>
      </w:r>
      <w:r w:rsidR="00797BFF">
        <w:t>-</w:t>
      </w:r>
      <w:r w:rsidR="005D6E28">
        <w:t>of</w:t>
      </w:r>
      <w:r w:rsidR="00797BFF">
        <w:t>-</w:t>
      </w:r>
      <w:r w:rsidR="004C143B">
        <w:t>S</w:t>
      </w:r>
      <w:r w:rsidR="00444CF6">
        <w:t>ecretariat</w:t>
      </w:r>
      <w:r w:rsidR="005D6E28">
        <w:t xml:space="preserve"> approach </w:t>
      </w:r>
      <w:r w:rsidR="00DD6844">
        <w:t>for resource mobilization</w:t>
      </w:r>
      <w:r w:rsidR="004C143B" w:rsidRPr="004C143B">
        <w:t xml:space="preserve"> </w:t>
      </w:r>
      <w:r w:rsidR="004C143B">
        <w:t>effectively,</w:t>
      </w:r>
      <w:r w:rsidR="00AC0715">
        <w:t xml:space="preserve"> a workshop was </w:t>
      </w:r>
      <w:r w:rsidR="0022179C">
        <w:t xml:space="preserve">organized as </w:t>
      </w:r>
      <w:r w:rsidR="00AE2DB6">
        <w:t xml:space="preserve">part of the </w:t>
      </w:r>
      <w:r w:rsidR="00761B3D">
        <w:t xml:space="preserve">2023 annual </w:t>
      </w:r>
      <w:r w:rsidR="00C26902">
        <w:t>work planning workshop held</w:t>
      </w:r>
      <w:r w:rsidR="00761B3D">
        <w:t xml:space="preserve"> from</w:t>
      </w:r>
      <w:r w:rsidR="00C26902">
        <w:t xml:space="preserve"> 6 to 9 March 2023</w:t>
      </w:r>
      <w:r w:rsidR="0012581E">
        <w:t xml:space="preserve">. </w:t>
      </w:r>
      <w:r w:rsidR="00320B4C">
        <w:t xml:space="preserve">All staff </w:t>
      </w:r>
      <w:r w:rsidR="00170B94">
        <w:t>members</w:t>
      </w:r>
      <w:r w:rsidR="00521444">
        <w:t xml:space="preserve"> involved in</w:t>
      </w:r>
      <w:r w:rsidR="00160BCB">
        <w:t xml:space="preserve"> fundraising were present </w:t>
      </w:r>
      <w:r w:rsidR="00754942">
        <w:t xml:space="preserve">and </w:t>
      </w:r>
      <w:r w:rsidR="00F90DBE">
        <w:t xml:space="preserve">contributed to </w:t>
      </w:r>
      <w:r w:rsidR="00D17B32">
        <w:t>the discussion</w:t>
      </w:r>
      <w:r w:rsidR="00F90DBE">
        <w:t xml:space="preserve"> aimed at strengthening the </w:t>
      </w:r>
      <w:r w:rsidR="00EF5C84">
        <w:t>fundraising and resource mobilizatio</w:t>
      </w:r>
      <w:r w:rsidR="000222D0">
        <w:t>n objectives of the Secretariat.</w:t>
      </w:r>
    </w:p>
    <w:p w14:paraId="01093761" w14:textId="775A8377" w:rsidR="009B2CEE" w:rsidRPr="00EB68CB" w:rsidRDefault="00EB68CB" w:rsidP="00FF7846">
      <w:pPr>
        <w:ind w:left="0" w:firstLine="0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 xml:space="preserve">Annex </w:t>
      </w:r>
      <w:r w:rsidR="003A560E">
        <w:rPr>
          <w:rFonts w:asciiTheme="minorHAnsi" w:eastAsiaTheme="minorHAnsi" w:hAnsiTheme="minorHAnsi" w:cstheme="minorHAnsi"/>
          <w:b/>
          <w:sz w:val="24"/>
          <w:szCs w:val="24"/>
        </w:rPr>
        <w:t>1</w:t>
      </w:r>
    </w:p>
    <w:p w14:paraId="0B060649" w14:textId="4CAF041C" w:rsidR="00230310" w:rsidRDefault="00EB68CB" w:rsidP="1CA1DDE8">
      <w:pPr>
        <w:contextualSpacing/>
        <w:rPr>
          <w:rFonts w:asciiTheme="minorHAnsi" w:eastAsiaTheme="minorEastAsia" w:hAnsiTheme="minorHAnsi" w:cstheme="minorBidi"/>
        </w:rPr>
      </w:pPr>
      <w:r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Work Plan 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>i</w:t>
      </w:r>
      <w:r w:rsidR="00BE3A3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mplementation 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>t</w:t>
      </w:r>
      <w:r w:rsidR="00CA439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imeline: 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>List of n</w:t>
      </w:r>
      <w:r w:rsidR="00CA439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>on-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>c</w:t>
      </w:r>
      <w:r w:rsidR="00BE3A3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ore 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>f</w:t>
      </w:r>
      <w:r w:rsidR="00BE3A3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undraising 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>p</w:t>
      </w:r>
      <w:r w:rsidR="00BE3A3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riorities </w:t>
      </w:r>
      <w:r w:rsidR="00BE3A3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for </w:t>
      </w:r>
      <w:r w:rsidR="00CA439F" w:rsidRPr="2718667C">
        <w:rPr>
          <w:rFonts w:asciiTheme="minorHAnsi" w:eastAsiaTheme="minorEastAsia" w:hAnsiTheme="minorHAnsi" w:cstheme="minorBidi"/>
          <w:b/>
          <w:bCs/>
          <w:sz w:val="24"/>
          <w:szCs w:val="24"/>
        </w:rPr>
        <w:t>2023-2025</w:t>
      </w:r>
    </w:p>
    <w:p w14:paraId="1118CE87" w14:textId="2B331EE8" w:rsidR="00CA439F" w:rsidRDefault="00CA439F" w:rsidP="007972E0">
      <w:pPr>
        <w:contextualSpacing/>
        <w:rPr>
          <w:rFonts w:asciiTheme="minorHAnsi" w:eastAsiaTheme="minorHAnsi" w:hAnsiTheme="minorHAnsi" w:cstheme="minorHAnsi"/>
        </w:rPr>
      </w:pPr>
    </w:p>
    <w:p w14:paraId="633567F2" w14:textId="77777777" w:rsidR="00073625" w:rsidRPr="0006198A" w:rsidRDefault="00073625" w:rsidP="007972E0">
      <w:pPr>
        <w:contextualSpacing/>
        <w:rPr>
          <w:rFonts w:asciiTheme="minorHAnsi" w:eastAsiaTheme="minorHAnsi" w:hAnsiTheme="minorHAnsi" w:cstheme="minorHAnsi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700"/>
        <w:gridCol w:w="2270"/>
        <w:gridCol w:w="1274"/>
        <w:gridCol w:w="3117"/>
        <w:gridCol w:w="2553"/>
        <w:gridCol w:w="2553"/>
      </w:tblGrid>
      <w:tr w:rsidR="00E66205" w:rsidRPr="004C143B" w14:paraId="5961225C" w14:textId="77777777" w:rsidTr="00BE3A3F">
        <w:trPr>
          <w:cantSplit/>
          <w:tblHeader/>
        </w:trPr>
        <w:tc>
          <w:tcPr>
            <w:tcW w:w="200" w:type="pct"/>
            <w:shd w:val="clear" w:color="auto" w:fill="B4C6E7"/>
            <w:vAlign w:val="center"/>
          </w:tcPr>
          <w:p w14:paraId="64216259" w14:textId="77777777" w:rsidR="00FF7846" w:rsidRPr="004C143B" w:rsidRDefault="00FF7846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B4C6E7"/>
            <w:noWrap/>
            <w:vAlign w:val="center"/>
            <w:hideMark/>
          </w:tcPr>
          <w:p w14:paraId="74E4B1B4" w14:textId="7908DD5E" w:rsidR="00FF7846" w:rsidRPr="004C143B" w:rsidRDefault="00FF7846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Non-core priority items</w:t>
            </w:r>
          </w:p>
        </w:tc>
        <w:tc>
          <w:tcPr>
            <w:tcW w:w="809" w:type="pct"/>
            <w:shd w:val="clear" w:color="auto" w:fill="B4C6E7"/>
            <w:vAlign w:val="center"/>
          </w:tcPr>
          <w:p w14:paraId="77D671F9" w14:textId="72053615" w:rsidR="00FF7846" w:rsidRPr="004C143B" w:rsidRDefault="00FF7846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Short </w:t>
            </w:r>
            <w:r w:rsidR="00BE3A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</w:t>
            </w:r>
            <w:r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escription</w:t>
            </w:r>
          </w:p>
        </w:tc>
        <w:tc>
          <w:tcPr>
            <w:tcW w:w="454" w:type="pct"/>
            <w:shd w:val="clear" w:color="auto" w:fill="B4C6E7"/>
            <w:noWrap/>
            <w:vAlign w:val="center"/>
          </w:tcPr>
          <w:p w14:paraId="10AAD748" w14:textId="5FEB946E" w:rsidR="00FF7846" w:rsidRPr="004C143B" w:rsidRDefault="00820624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Amount </w:t>
            </w:r>
            <w:r w:rsidR="00BE3A3F"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FF7846"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CHF</w:t>
            </w:r>
          </w:p>
        </w:tc>
        <w:tc>
          <w:tcPr>
            <w:tcW w:w="1111" w:type="pct"/>
            <w:shd w:val="clear" w:color="auto" w:fill="B4C6E7"/>
            <w:vAlign w:val="center"/>
          </w:tcPr>
          <w:p w14:paraId="6BA5ADE1" w14:textId="56F19AAE" w:rsidR="00FF7846" w:rsidRPr="004C143B" w:rsidRDefault="00FF7846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910" w:type="pct"/>
            <w:shd w:val="clear" w:color="auto" w:fill="B4C6E7"/>
            <w:noWrap/>
            <w:vAlign w:val="center"/>
          </w:tcPr>
          <w:p w14:paraId="0511A8BF" w14:textId="6DFF0668" w:rsidR="00FF7846" w:rsidRPr="004C143B" w:rsidRDefault="00FF7846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2024</w:t>
            </w:r>
          </w:p>
        </w:tc>
        <w:tc>
          <w:tcPr>
            <w:tcW w:w="910" w:type="pct"/>
            <w:shd w:val="clear" w:color="auto" w:fill="B4C6E7"/>
            <w:noWrap/>
            <w:vAlign w:val="center"/>
            <w:hideMark/>
          </w:tcPr>
          <w:p w14:paraId="118354B9" w14:textId="3F810427" w:rsidR="00FF7846" w:rsidRPr="004C143B" w:rsidRDefault="00FF7846" w:rsidP="00BE3A3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2025</w:t>
            </w:r>
          </w:p>
        </w:tc>
      </w:tr>
      <w:tr w:rsidR="00E66205" w:rsidRPr="004C143B" w14:paraId="0762F194" w14:textId="77777777" w:rsidTr="004C143B">
        <w:trPr>
          <w:cantSplit/>
        </w:trPr>
        <w:tc>
          <w:tcPr>
            <w:tcW w:w="200" w:type="pct"/>
          </w:tcPr>
          <w:p w14:paraId="61A413E0" w14:textId="6BAA3931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7E6FF95C" w14:textId="1EB35A83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Ramsar Advisory Missions </w:t>
            </w:r>
          </w:p>
        </w:tc>
        <w:tc>
          <w:tcPr>
            <w:tcW w:w="809" w:type="pct"/>
          </w:tcPr>
          <w:p w14:paraId="11564953" w14:textId="7A6CA8A6" w:rsidR="00FF7846" w:rsidRPr="004C143B" w:rsidRDefault="49AFEA9B" w:rsidP="36DAF3CC">
            <w:pPr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Facilitate undertaking of RAMs in requesting countries.</w:t>
            </w:r>
          </w:p>
          <w:p w14:paraId="062D2DD5" w14:textId="4E54DCC2" w:rsidR="00FF7846" w:rsidRPr="004C143B" w:rsidRDefault="00FF7846" w:rsidP="36DAF3CC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1E38B853" w14:textId="6EDC2C83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225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  <w:p w14:paraId="276C5B51" w14:textId="5661725A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111" w:type="pct"/>
          </w:tcPr>
          <w:p w14:paraId="3E83D1FC" w14:textId="2217E7AC" w:rsidR="70100E02" w:rsidRPr="004C143B" w:rsidRDefault="7068859A" w:rsidP="2718667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Compile list of RAMS</w:t>
            </w:r>
            <w:r w:rsidR="6CD6DA24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</w:p>
          <w:p w14:paraId="5144097A" w14:textId="539C0D22" w:rsidR="00FF7846" w:rsidRPr="004C143B" w:rsidRDefault="70100E02" w:rsidP="2718667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Donor mapping exercise</w:t>
            </w:r>
            <w:r w:rsidR="532F1128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1CF1EF79" w14:textId="5A4B4CFF" w:rsidR="00FF7846" w:rsidRPr="004C143B" w:rsidRDefault="3BD4D9B1" w:rsidP="36DAF3C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Develop concept notes</w:t>
            </w:r>
            <w:r w:rsidR="5834D317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  <w:r w:rsidR="7068859A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Outreach to partners and donors</w:t>
            </w:r>
            <w:r w:rsidR="6CD6DA24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</w:p>
        </w:tc>
        <w:tc>
          <w:tcPr>
            <w:tcW w:w="910" w:type="pct"/>
            <w:shd w:val="clear" w:color="auto" w:fill="auto"/>
            <w:noWrap/>
            <w:hideMark/>
          </w:tcPr>
          <w:p w14:paraId="32E1DAB3" w14:textId="03E89D7E" w:rsidR="00FF7846" w:rsidRPr="004C143B" w:rsidRDefault="00FF7846" w:rsidP="00864A66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Compile list of RAMS</w:t>
            </w:r>
            <w:r w:rsidR="00864A66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1F7D360D" w14:textId="0DEEA1C6" w:rsidR="00FF7846" w:rsidRPr="004C143B" w:rsidRDefault="70100E02" w:rsidP="2718667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Donor mapping exercise</w:t>
            </w:r>
            <w:r w:rsidR="532F1128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3B1AEE61" w14:textId="559EB5AB" w:rsidR="4B83F2E5" w:rsidRPr="004C143B" w:rsidRDefault="4B83F2E5" w:rsidP="2718667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Develop concept notes</w:t>
            </w:r>
            <w:r w:rsidR="00C25E13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</w:p>
          <w:p w14:paraId="02F7FB1C" w14:textId="7C6108F4" w:rsidR="00FF7846" w:rsidRPr="004C143B" w:rsidRDefault="70100E02" w:rsidP="004C143B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Outreach to partners and donors</w:t>
            </w:r>
            <w:r w:rsidR="532F1128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</w:tc>
        <w:tc>
          <w:tcPr>
            <w:tcW w:w="910" w:type="pct"/>
            <w:shd w:val="clear" w:color="auto" w:fill="auto"/>
            <w:noWrap/>
            <w:hideMark/>
          </w:tcPr>
          <w:p w14:paraId="28AD0C96" w14:textId="0FB7FCD4" w:rsidR="00FF7846" w:rsidRPr="004C143B" w:rsidRDefault="70100E02" w:rsidP="00532598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Compile list of RAMS</w:t>
            </w:r>
            <w:r w:rsidR="13E7FEB2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6B45309C" w14:textId="5AD78FD5" w:rsidR="00FF7846" w:rsidRPr="004C143B" w:rsidRDefault="70100E02" w:rsidP="2718667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Donor mapping exercise</w:t>
            </w:r>
            <w:r w:rsidR="13E7FEB2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</w:p>
          <w:p w14:paraId="17C5CFC0" w14:textId="6EA32C10" w:rsidR="00FF7846" w:rsidRPr="004C143B" w:rsidRDefault="5757E526" w:rsidP="2718667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Develop concept notes </w:t>
            </w:r>
            <w:r w:rsidR="70100E02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7E691BFD" w14:textId="0536260E" w:rsidR="00FF7846" w:rsidRPr="004C143B" w:rsidRDefault="70100E02" w:rsidP="00532598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Outreach to partners and donors</w:t>
            </w:r>
            <w:r w:rsidR="13E7FEB2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</w:p>
        </w:tc>
      </w:tr>
      <w:tr w:rsidR="00E66205" w:rsidRPr="004C143B" w14:paraId="0336BEC2" w14:textId="77777777" w:rsidTr="004C143B">
        <w:trPr>
          <w:cantSplit/>
        </w:trPr>
        <w:tc>
          <w:tcPr>
            <w:tcW w:w="200" w:type="pct"/>
            <w:shd w:val="clear" w:color="auto" w:fill="DDEBF7"/>
          </w:tcPr>
          <w:p w14:paraId="4625C6AD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DDEBF7"/>
            <w:noWrap/>
          </w:tcPr>
          <w:p w14:paraId="7E70C735" w14:textId="36E3399B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Youth and Wetlands</w:t>
            </w:r>
          </w:p>
        </w:tc>
        <w:tc>
          <w:tcPr>
            <w:tcW w:w="809" w:type="pct"/>
            <w:shd w:val="clear" w:color="auto" w:fill="DDEBF7"/>
          </w:tcPr>
          <w:p w14:paraId="10B682CC" w14:textId="2C2B2705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Strengthen youth engagement and participation.</w:t>
            </w:r>
          </w:p>
        </w:tc>
        <w:tc>
          <w:tcPr>
            <w:tcW w:w="454" w:type="pct"/>
            <w:shd w:val="clear" w:color="auto" w:fill="DDEBF7"/>
            <w:noWrap/>
          </w:tcPr>
          <w:p w14:paraId="1197F36D" w14:textId="02AF9DF7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280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  <w:shd w:val="clear" w:color="auto" w:fill="DDEBF7"/>
          </w:tcPr>
          <w:p w14:paraId="63A24385" w14:textId="65B28AD2" w:rsidR="00FF7846" w:rsidRPr="004C143B" w:rsidRDefault="7068859A" w:rsidP="36DAF3C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Develop proposal of activities</w:t>
            </w:r>
            <w:r w:rsidR="5AB60B84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  <w:r w:rsidR="3B1E81F5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based on the work plan of the youth working group.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66EDB4E3" w14:textId="637D9C99" w:rsidR="00762121" w:rsidRPr="004C143B" w:rsidRDefault="5F0C3C9F" w:rsidP="007B0010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Invite interested Contracting Parties to fund </w:t>
            </w:r>
            <w:r w:rsidR="695E3E8F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the 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position of youth </w:t>
            </w:r>
            <w:r w:rsidR="2663E06F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Advisor.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7D769647" w14:textId="09E585A1" w:rsidR="00FF7846" w:rsidRPr="004C143B" w:rsidRDefault="70100E02" w:rsidP="007B0010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Donor mapping exercise</w:t>
            </w:r>
            <w:r w:rsidR="13E7FEB2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 </w:t>
            </w:r>
          </w:p>
          <w:p w14:paraId="640A7ECF" w14:textId="4EFED8DC" w:rsidR="00FF7846" w:rsidRPr="004C143B" w:rsidRDefault="7068859A" w:rsidP="004C143B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Outreach to donors and partners</w:t>
            </w:r>
            <w:r w:rsidR="074955AE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</w:p>
        </w:tc>
        <w:tc>
          <w:tcPr>
            <w:tcW w:w="910" w:type="pct"/>
            <w:shd w:val="clear" w:color="auto" w:fill="DDEBF7"/>
            <w:noWrap/>
          </w:tcPr>
          <w:p w14:paraId="1C19AE0F" w14:textId="15760664" w:rsidR="00FF7846" w:rsidRPr="004C143B" w:rsidRDefault="00FF7846" w:rsidP="002C67D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414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739705D6" w14:textId="34170CE5" w:rsidR="00E66205" w:rsidRPr="004C143B" w:rsidRDefault="00E66205" w:rsidP="00E66205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Invite interested Contracting Parties to fund </w:t>
            </w:r>
            <w:r w:rsidR="0032230C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the 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position of youth Advisor. </w:t>
            </w:r>
          </w:p>
          <w:p w14:paraId="0D625FE3" w14:textId="6BBD9BAF" w:rsidR="00FF7846" w:rsidRPr="004C143B" w:rsidRDefault="00FF7846" w:rsidP="002C67D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10" w:type="pct"/>
            <w:shd w:val="clear" w:color="auto" w:fill="DDEBF7"/>
            <w:noWrap/>
          </w:tcPr>
          <w:p w14:paraId="00C20B69" w14:textId="3800C87A" w:rsidR="00FF7846" w:rsidRPr="004C143B" w:rsidRDefault="00FF7846" w:rsidP="002C67D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414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2D12D41A" w14:textId="499C68C6" w:rsidR="00E66205" w:rsidRPr="004C143B" w:rsidRDefault="00E66205" w:rsidP="00E66205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Invite interested Contracting Parties to fund</w:t>
            </w:r>
            <w:r w:rsidR="0032230C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the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position of youth Advisor. </w:t>
            </w:r>
          </w:p>
          <w:p w14:paraId="12053F4A" w14:textId="77777777" w:rsidR="00FF7846" w:rsidRPr="004C143B" w:rsidRDefault="00FF7846" w:rsidP="002C67D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864A66" w:rsidRPr="004C143B" w14:paraId="5301B96B" w14:textId="77777777" w:rsidTr="004C143B">
        <w:trPr>
          <w:cantSplit/>
        </w:trPr>
        <w:tc>
          <w:tcPr>
            <w:tcW w:w="200" w:type="pct"/>
            <w:shd w:val="clear" w:color="auto" w:fill="FFFFFF" w:themeFill="background1"/>
          </w:tcPr>
          <w:p w14:paraId="06200D8C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FFFFFF" w:themeFill="background1"/>
            <w:noWrap/>
          </w:tcPr>
          <w:p w14:paraId="44FE1955" w14:textId="5F8B82A6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Regional Initiatives networks and centres support </w:t>
            </w:r>
          </w:p>
        </w:tc>
        <w:tc>
          <w:tcPr>
            <w:tcW w:w="809" w:type="pct"/>
            <w:shd w:val="clear" w:color="auto" w:fill="FFFFFF" w:themeFill="background1"/>
          </w:tcPr>
          <w:p w14:paraId="70EFD2D1" w14:textId="214B0502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Support RRI fundraising objectives</w:t>
            </w:r>
            <w:r w:rsidR="00C25E1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454" w:type="pct"/>
            <w:shd w:val="clear" w:color="auto" w:fill="FFFFFF" w:themeFill="background1"/>
            <w:noWrap/>
          </w:tcPr>
          <w:p w14:paraId="2D12C7F8" w14:textId="684B9E94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150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  <w:shd w:val="clear" w:color="auto" w:fill="FFFFFF" w:themeFill="background1"/>
          </w:tcPr>
          <w:p w14:paraId="48D2E0C0" w14:textId="2DD27CF9" w:rsidR="00FF7846" w:rsidRPr="004C143B" w:rsidRDefault="49AFEA9B" w:rsidP="36DAF3C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Engage RRI’s to identify funding needs/discuss fundraising options. </w:t>
            </w:r>
          </w:p>
          <w:p w14:paraId="0E14F011" w14:textId="4CD769F9" w:rsidR="00FF7846" w:rsidRPr="004C143B" w:rsidRDefault="00FF7846" w:rsidP="00086BAD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Donor mapping exercise</w:t>
            </w:r>
            <w:r w:rsidR="00B9414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435EDD7F" w14:textId="0997EDAB" w:rsidR="00FF7846" w:rsidRPr="004C143B" w:rsidRDefault="00FF7846" w:rsidP="00903D13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CA439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910" w:type="pct"/>
            <w:shd w:val="clear" w:color="auto" w:fill="FFFFFF" w:themeFill="background1"/>
            <w:noWrap/>
          </w:tcPr>
          <w:p w14:paraId="1619CCED" w14:textId="231FC930" w:rsidR="00FF7846" w:rsidRPr="004C143B" w:rsidRDefault="00FF7846" w:rsidP="009463C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414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  <w:p w14:paraId="448E530E" w14:textId="3B29884E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10" w:type="pct"/>
            <w:shd w:val="clear" w:color="auto" w:fill="FFFFFF" w:themeFill="background1"/>
            <w:noWrap/>
          </w:tcPr>
          <w:p w14:paraId="419932F1" w14:textId="1117C512" w:rsidR="00FF7846" w:rsidRPr="004C143B" w:rsidRDefault="00FF7846" w:rsidP="009463C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414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23151163" w14:textId="77777777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E66205" w:rsidRPr="004C143B" w14:paraId="53175D20" w14:textId="77777777" w:rsidTr="004C143B">
        <w:trPr>
          <w:cantSplit/>
        </w:trPr>
        <w:tc>
          <w:tcPr>
            <w:tcW w:w="200" w:type="pct"/>
            <w:shd w:val="clear" w:color="auto" w:fill="DDEBF7"/>
          </w:tcPr>
          <w:p w14:paraId="51C2B5FE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DDEBF7"/>
            <w:noWrap/>
          </w:tcPr>
          <w:p w14:paraId="6B926390" w14:textId="40171D10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World Wetlands Day </w:t>
            </w:r>
          </w:p>
        </w:tc>
        <w:tc>
          <w:tcPr>
            <w:tcW w:w="809" w:type="pct"/>
            <w:shd w:val="clear" w:color="auto" w:fill="DDEBF7"/>
          </w:tcPr>
          <w:p w14:paraId="09D8B15E" w14:textId="4817BBC3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Finance development of communication and outreach materials.</w:t>
            </w:r>
          </w:p>
        </w:tc>
        <w:tc>
          <w:tcPr>
            <w:tcW w:w="454" w:type="pct"/>
            <w:shd w:val="clear" w:color="auto" w:fill="DDEBF7"/>
            <w:noWrap/>
          </w:tcPr>
          <w:p w14:paraId="1B48D794" w14:textId="77777777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250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  <w:p w14:paraId="7AE6645B" w14:textId="66F1BE89" w:rsidR="00C03F48" w:rsidRPr="004C143B" w:rsidRDefault="00C03F48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111" w:type="pct"/>
            <w:shd w:val="clear" w:color="auto" w:fill="DDEBF7"/>
          </w:tcPr>
          <w:p w14:paraId="28F9B58D" w14:textId="4782A23C" w:rsidR="00FF7846" w:rsidRPr="004C143B" w:rsidRDefault="00FF7846" w:rsidP="00A24404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Prepare proposal.  </w:t>
            </w:r>
          </w:p>
          <w:p w14:paraId="42FFEE98" w14:textId="72CB3947" w:rsidR="00FF7846" w:rsidRPr="004C143B" w:rsidRDefault="00FF7846" w:rsidP="00864A66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AA09C1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910" w:type="pct"/>
            <w:shd w:val="clear" w:color="auto" w:fill="DDEBF7"/>
            <w:noWrap/>
          </w:tcPr>
          <w:p w14:paraId="34E7FBE8" w14:textId="1CBF9742" w:rsidR="00FF7846" w:rsidRPr="004C143B" w:rsidRDefault="00FF7846" w:rsidP="000805B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Prepare proposa</w:t>
            </w:r>
            <w:r w:rsidR="005434F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l.</w:t>
            </w:r>
          </w:p>
          <w:p w14:paraId="73A4E619" w14:textId="37CED7FA" w:rsidR="00FF7846" w:rsidRPr="004C143B" w:rsidRDefault="00FF7846" w:rsidP="000805B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AA09C1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910" w:type="pct"/>
            <w:shd w:val="clear" w:color="auto" w:fill="DDEBF7"/>
            <w:noWrap/>
          </w:tcPr>
          <w:p w14:paraId="2599067A" w14:textId="77777777" w:rsidR="00FF7846" w:rsidRPr="004C143B" w:rsidRDefault="00FF7846" w:rsidP="00E03E71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Prepare proposal.  </w:t>
            </w:r>
          </w:p>
          <w:p w14:paraId="181C54C8" w14:textId="28DEF4E4" w:rsidR="00FF7846" w:rsidRPr="004C143B" w:rsidRDefault="00FF7846" w:rsidP="00E03E71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5434F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</w:tr>
      <w:tr w:rsidR="00864A66" w:rsidRPr="004C143B" w14:paraId="1C1E53D9" w14:textId="77777777" w:rsidTr="004C143B">
        <w:trPr>
          <w:cantSplit/>
        </w:trPr>
        <w:tc>
          <w:tcPr>
            <w:tcW w:w="200" w:type="pct"/>
            <w:shd w:val="clear" w:color="auto" w:fill="FFFFFF" w:themeFill="background1"/>
          </w:tcPr>
          <w:p w14:paraId="5D03D528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FFFFFF" w:themeFill="background1"/>
            <w:noWrap/>
          </w:tcPr>
          <w:p w14:paraId="2C6965CE" w14:textId="49B360A4" w:rsidR="00FF7846" w:rsidRPr="004C143B" w:rsidRDefault="00FF7846" w:rsidP="00BE3A3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Wetland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nventories </w:t>
            </w:r>
          </w:p>
        </w:tc>
        <w:tc>
          <w:tcPr>
            <w:tcW w:w="809" w:type="pct"/>
            <w:shd w:val="clear" w:color="auto" w:fill="FFFFFF" w:themeFill="background1"/>
          </w:tcPr>
          <w:p w14:paraId="4FB9FCA2" w14:textId="396F8CA9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Support Contracting Parties to initiate, conduct or complete their wetland inventories. </w:t>
            </w:r>
          </w:p>
        </w:tc>
        <w:tc>
          <w:tcPr>
            <w:tcW w:w="454" w:type="pct"/>
            <w:shd w:val="clear" w:color="auto" w:fill="FFFFFF" w:themeFill="background1"/>
            <w:noWrap/>
          </w:tcPr>
          <w:p w14:paraId="009B842C" w14:textId="0970EC27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165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  <w:shd w:val="clear" w:color="auto" w:fill="FFFFFF" w:themeFill="background1"/>
          </w:tcPr>
          <w:p w14:paraId="17257408" w14:textId="6F0ACCE0" w:rsidR="00AB667B" w:rsidRPr="004C143B" w:rsidRDefault="28387FA0" w:rsidP="36DAF3CC">
            <w:pPr>
              <w:pStyle w:val="ListParagraph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S</w:t>
            </w:r>
            <w:r w:rsidR="426C3063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hare project proposal</w:t>
            </w:r>
            <w:r w:rsidR="563C09AA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with</w:t>
            </w:r>
            <w:r w:rsidR="78284743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d</w:t>
            </w:r>
            <w:r w:rsidR="67C6BF68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onors and partners.</w:t>
            </w:r>
            <w:r w:rsidR="426C3063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  <w:p w14:paraId="48C8D9F4" w14:textId="31A17818" w:rsidR="00FF7846" w:rsidRPr="00F37FA4" w:rsidRDefault="00FF5E1D" w:rsidP="00F37FA4">
            <w:pPr>
              <w:pStyle w:val="ListParagraph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U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pdate </w:t>
            </w:r>
            <w:r w:rsidR="78284743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current </w:t>
            </w:r>
            <w:r w:rsidR="4F594EAE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donors on status of </w:t>
            </w:r>
            <w:r w:rsidR="10582C45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implementation.</w:t>
            </w:r>
            <w:r w:rsidR="4F594EAE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noWrap/>
          </w:tcPr>
          <w:p w14:paraId="2AEC3FB0" w14:textId="32257B29" w:rsidR="00FF7846" w:rsidRPr="004C143B" w:rsidRDefault="00FF7846" w:rsidP="00D563B4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692A2D40" w14:textId="1A890983" w:rsidR="00FF7846" w:rsidRPr="004C143B" w:rsidRDefault="00FF5E1D" w:rsidP="004C143B">
            <w:pPr>
              <w:pStyle w:val="ListParagraph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pdate </w:t>
            </w:r>
            <w:r w:rsidR="00D563B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current donors on status of </w:t>
            </w:r>
            <w:r w:rsidR="00764BE5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implementation.</w:t>
            </w:r>
            <w:r w:rsidR="00D563B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noWrap/>
          </w:tcPr>
          <w:p w14:paraId="6911D946" w14:textId="62F29647" w:rsidR="00FF7846" w:rsidRPr="004C143B" w:rsidRDefault="00FF7846" w:rsidP="00E03E71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1216E2F8" w14:textId="163EA36F" w:rsidR="00FF7846" w:rsidRPr="004C143B" w:rsidRDefault="00FF5E1D" w:rsidP="00F37FA4">
            <w:pPr>
              <w:pStyle w:val="ListParagraph"/>
              <w:numPr>
                <w:ilvl w:val="0"/>
                <w:numId w:val="38"/>
              </w:numPr>
              <w:rPr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pdate </w:t>
            </w:r>
            <w:r w:rsidR="00D563B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current donors on status of implementation. </w:t>
            </w:r>
          </w:p>
        </w:tc>
      </w:tr>
      <w:tr w:rsidR="00E66205" w:rsidRPr="004C143B" w14:paraId="29EE9B08" w14:textId="77777777" w:rsidTr="004C143B">
        <w:trPr>
          <w:cantSplit/>
        </w:trPr>
        <w:tc>
          <w:tcPr>
            <w:tcW w:w="200" w:type="pct"/>
            <w:shd w:val="clear" w:color="auto" w:fill="DDEBF7"/>
          </w:tcPr>
          <w:p w14:paraId="7B8B59CA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DDEBF7"/>
            <w:noWrap/>
          </w:tcPr>
          <w:p w14:paraId="691E1EA3" w14:textId="0F841565" w:rsidR="00FF7846" w:rsidRPr="004C143B" w:rsidRDefault="00FF7846" w:rsidP="00BE3A3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COP15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ponsored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elegates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</w:t>
            </w:r>
            <w:r w:rsidR="00AA09C1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ravel</w:t>
            </w:r>
          </w:p>
        </w:tc>
        <w:tc>
          <w:tcPr>
            <w:tcW w:w="809" w:type="pct"/>
            <w:shd w:val="clear" w:color="auto" w:fill="DDEBF7"/>
          </w:tcPr>
          <w:p w14:paraId="64BC7012" w14:textId="747D2F6C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</w:t>
            </w:r>
            <w:r w:rsidR="0083453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inancial support for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Contracting Parties listed on the DAC and SIDS list </w:t>
            </w:r>
            <w:r w:rsidR="0083453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to 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attend the meeting.</w:t>
            </w:r>
          </w:p>
        </w:tc>
        <w:tc>
          <w:tcPr>
            <w:tcW w:w="454" w:type="pct"/>
            <w:shd w:val="clear" w:color="auto" w:fill="DDEBF7"/>
            <w:noWrap/>
          </w:tcPr>
          <w:p w14:paraId="2A0E5FCF" w14:textId="0D163860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600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  <w:shd w:val="clear" w:color="auto" w:fill="DDEBF7"/>
          </w:tcPr>
          <w:p w14:paraId="62963168" w14:textId="16CCE769" w:rsidR="00FF7846" w:rsidRPr="004C143B" w:rsidRDefault="7068859A" w:rsidP="36DAF3CC">
            <w:pPr>
              <w:pStyle w:val="ListParagraph"/>
              <w:numPr>
                <w:ilvl w:val="0"/>
                <w:numId w:val="46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Donor mapping exercise</w:t>
            </w:r>
            <w:r w:rsidR="16D4FB99"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910" w:type="pct"/>
            <w:shd w:val="clear" w:color="auto" w:fill="DDEBF7"/>
            <w:noWrap/>
          </w:tcPr>
          <w:p w14:paraId="07007C4C" w14:textId="560BECB3" w:rsidR="00FF7846" w:rsidRPr="004C143B" w:rsidRDefault="00FF7846" w:rsidP="00231D73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Prepare proposal</w:t>
            </w:r>
            <w:r w:rsidR="00C25E1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  <w:p w14:paraId="047E4079" w14:textId="0F7C1F73" w:rsidR="00FF7846" w:rsidRPr="004C143B" w:rsidRDefault="00FF7846" w:rsidP="00231D73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910" w:type="pct"/>
            <w:shd w:val="clear" w:color="auto" w:fill="DDEBF7"/>
            <w:noWrap/>
          </w:tcPr>
          <w:p w14:paraId="7A7C253D" w14:textId="4DD67272" w:rsidR="00FF7846" w:rsidRPr="004C143B" w:rsidRDefault="00FF7846" w:rsidP="00231D73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</w:tr>
      <w:tr w:rsidR="00864A66" w:rsidRPr="004C143B" w14:paraId="59FF6066" w14:textId="77777777" w:rsidTr="004C143B">
        <w:trPr>
          <w:cantSplit/>
        </w:trPr>
        <w:tc>
          <w:tcPr>
            <w:tcW w:w="200" w:type="pct"/>
            <w:shd w:val="clear" w:color="auto" w:fill="FFFFFF" w:themeFill="background1"/>
          </w:tcPr>
          <w:p w14:paraId="6209A82B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FFFFFF" w:themeFill="background1"/>
            <w:noWrap/>
            <w:hideMark/>
          </w:tcPr>
          <w:p w14:paraId="316BD5BB" w14:textId="293A0CCD" w:rsidR="00FF7846" w:rsidRPr="004C143B" w:rsidRDefault="00FF7846" w:rsidP="00BE3A3F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STRP</w:t>
            </w:r>
            <w:r w:rsidR="008D641C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</w:t>
            </w:r>
            <w:r w:rsidR="008D641C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ork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8D641C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plan</w:t>
            </w:r>
          </w:p>
        </w:tc>
        <w:tc>
          <w:tcPr>
            <w:tcW w:w="809" w:type="pct"/>
            <w:shd w:val="clear" w:color="auto" w:fill="FFFFFF" w:themeFill="background1"/>
          </w:tcPr>
          <w:p w14:paraId="7EC1EBDA" w14:textId="0B161B8D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Support the development and production of products as listed in the </w:t>
            </w:r>
            <w:r w:rsidR="0068379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ork</w:t>
            </w:r>
            <w:r w:rsidR="0068379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lan of the Scientific </w:t>
            </w:r>
            <w:r w:rsidR="0068379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and Technical Review 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Panel.</w:t>
            </w:r>
          </w:p>
        </w:tc>
        <w:tc>
          <w:tcPr>
            <w:tcW w:w="454" w:type="pct"/>
            <w:shd w:val="clear" w:color="auto" w:fill="FFFFFF" w:themeFill="background1"/>
            <w:noWrap/>
            <w:hideMark/>
          </w:tcPr>
          <w:p w14:paraId="5D1A53D8" w14:textId="0B04F5BA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300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  <w:shd w:val="clear" w:color="auto" w:fill="FFFFFF" w:themeFill="background1"/>
          </w:tcPr>
          <w:p w14:paraId="093AB9A0" w14:textId="10C538F7" w:rsidR="00FF7846" w:rsidRPr="004C143B" w:rsidRDefault="00FF7846" w:rsidP="00FA49E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Develop </w:t>
            </w:r>
            <w:r w:rsidR="004B1D4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funding</w:t>
            </w:r>
            <w:r w:rsidR="00D563B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AC38B1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proposals</w:t>
            </w:r>
            <w:r w:rsidR="003E2B58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based on approved STRP workplan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  <w:p w14:paraId="2CEFDD82" w14:textId="31F5CAD9" w:rsidR="00FF7846" w:rsidRPr="004C143B" w:rsidRDefault="00FF7846" w:rsidP="00FA49E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Donor mapping exercise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09E1B158" w14:textId="7110E6F0" w:rsidR="00FF7846" w:rsidRPr="004C143B" w:rsidRDefault="00FF7846" w:rsidP="00C03F48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910" w:type="pct"/>
            <w:shd w:val="clear" w:color="auto" w:fill="FFFFFF" w:themeFill="background1"/>
            <w:noWrap/>
            <w:hideMark/>
          </w:tcPr>
          <w:p w14:paraId="0F7BAA8C" w14:textId="67219FF1" w:rsidR="00FF7846" w:rsidRPr="004C143B" w:rsidRDefault="00FF7846" w:rsidP="00B60C3F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560F7124" w14:textId="164A7A4E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10" w:type="pct"/>
            <w:shd w:val="clear" w:color="auto" w:fill="FFFFFF" w:themeFill="background1"/>
            <w:noWrap/>
            <w:hideMark/>
          </w:tcPr>
          <w:p w14:paraId="42EC483F" w14:textId="36F16E4F" w:rsidR="00FF7846" w:rsidRPr="004C143B" w:rsidRDefault="00FF7846" w:rsidP="00FA49E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Outreach to donors and partners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29744C98" w14:textId="7D9C82FB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E66205" w:rsidRPr="004C143B" w14:paraId="0E948F79" w14:textId="77777777" w:rsidTr="004C143B">
        <w:trPr>
          <w:cantSplit/>
        </w:trPr>
        <w:tc>
          <w:tcPr>
            <w:tcW w:w="200" w:type="pct"/>
            <w:shd w:val="clear" w:color="auto" w:fill="DDEBF7"/>
          </w:tcPr>
          <w:p w14:paraId="0E431ACA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DDEBF7"/>
            <w:noWrap/>
            <w:hideMark/>
          </w:tcPr>
          <w:p w14:paraId="4F7FB15D" w14:textId="6670EDA9" w:rsidR="00FF7846" w:rsidRPr="004C143B" w:rsidRDefault="00FF7846" w:rsidP="00BE3A3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Pre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COP15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elegates </w:t>
            </w:r>
            <w:r w:rsidR="00BE3A3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ravel</w:t>
            </w:r>
          </w:p>
        </w:tc>
        <w:tc>
          <w:tcPr>
            <w:tcW w:w="809" w:type="pct"/>
            <w:shd w:val="clear" w:color="auto" w:fill="DDEBF7"/>
          </w:tcPr>
          <w:p w14:paraId="6D4A2A20" w14:textId="22847A1A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</w:t>
            </w:r>
            <w:r w:rsidR="0083453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inancial support </w:t>
            </w:r>
            <w:r w:rsidR="00764BE5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for in person 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attendance of regional meetings</w:t>
            </w:r>
            <w:r w:rsidR="00C25E1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454" w:type="pct"/>
            <w:shd w:val="clear" w:color="auto" w:fill="DDEBF7"/>
            <w:noWrap/>
            <w:hideMark/>
          </w:tcPr>
          <w:p w14:paraId="2F4876EB" w14:textId="3855593E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650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  <w:shd w:val="clear" w:color="auto" w:fill="DDEBF7"/>
          </w:tcPr>
          <w:p w14:paraId="531993C3" w14:textId="77777777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10" w:type="pct"/>
            <w:shd w:val="clear" w:color="auto" w:fill="DDEBF7"/>
            <w:noWrap/>
            <w:hideMark/>
          </w:tcPr>
          <w:p w14:paraId="24BC6317" w14:textId="77777777" w:rsidR="00FF7846" w:rsidRPr="004C143B" w:rsidRDefault="00FF7846" w:rsidP="00B60C3F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 Outreach to donors and partners </w:t>
            </w:r>
          </w:p>
          <w:p w14:paraId="0A06D48A" w14:textId="6A32328F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10" w:type="pct"/>
            <w:shd w:val="clear" w:color="auto" w:fill="DDEBF7"/>
            <w:noWrap/>
            <w:hideMark/>
          </w:tcPr>
          <w:p w14:paraId="43146A54" w14:textId="109886D4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E66205" w:rsidRPr="004C143B" w14:paraId="1B787079" w14:textId="77777777" w:rsidTr="004C143B">
        <w:trPr>
          <w:cantSplit/>
        </w:trPr>
        <w:tc>
          <w:tcPr>
            <w:tcW w:w="200" w:type="pct"/>
          </w:tcPr>
          <w:p w14:paraId="1EFB2F7C" w14:textId="77777777" w:rsidR="00FF7846" w:rsidRPr="004C143B" w:rsidRDefault="00FF7846" w:rsidP="004C143B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314F6701" w14:textId="7C109FAE" w:rsidR="00FF7846" w:rsidRPr="004C143B" w:rsidRDefault="00FF7846" w:rsidP="0006198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CEPA </w:t>
            </w:r>
            <w:r w:rsidR="00794CF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rogramme </w:t>
            </w:r>
          </w:p>
        </w:tc>
        <w:tc>
          <w:tcPr>
            <w:tcW w:w="809" w:type="pct"/>
          </w:tcPr>
          <w:p w14:paraId="4923E8B7" w14:textId="0523DFF3" w:rsidR="00FF7846" w:rsidRPr="004C143B" w:rsidRDefault="00FF7846" w:rsidP="00EB68C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Funding </w:t>
            </w:r>
            <w:r w:rsidR="00764BE5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activities </w:t>
            </w:r>
            <w:r w:rsidR="008205B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of the CEPA </w:t>
            </w:r>
            <w:r w:rsidR="0068379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</w:t>
            </w:r>
            <w:r w:rsidR="007B001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versight</w:t>
            </w:r>
            <w:r w:rsidR="00C25E1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Panel</w:t>
            </w:r>
            <w:r w:rsidR="007B001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68379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</w:t>
            </w:r>
            <w:r w:rsidR="007B001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ork</w:t>
            </w:r>
            <w:r w:rsidR="0068379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</w:t>
            </w:r>
            <w:r w:rsidR="007B001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lan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14:paraId="09451D31" w14:textId="3FD2279E" w:rsidR="00FF7846" w:rsidRPr="004C143B" w:rsidRDefault="00FF7846" w:rsidP="00FF78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200</w:t>
            </w:r>
            <w:r w:rsidR="008A2260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</w:t>
            </w:r>
          </w:p>
        </w:tc>
        <w:tc>
          <w:tcPr>
            <w:tcW w:w="1111" w:type="pct"/>
          </w:tcPr>
          <w:p w14:paraId="7F2B1E13" w14:textId="24CAC58E" w:rsidR="00FF7846" w:rsidRPr="004C143B" w:rsidRDefault="00FF7846" w:rsidP="00B9377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 proposals</w:t>
            </w:r>
            <w:r w:rsidR="003E2B58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based on the</w:t>
            </w:r>
            <w:r w:rsidR="00B9377B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Work Plan </w:t>
            </w:r>
            <w:r w:rsidR="00B05D5E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of the CEPA </w:t>
            </w:r>
            <w:r w:rsidR="00FF5E1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</w:t>
            </w:r>
            <w:r w:rsidR="00FF5E1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versight </w:t>
            </w:r>
            <w:r w:rsidR="00E318A4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Panel.</w:t>
            </w:r>
            <w:r w:rsidR="00B05D5E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14:paraId="342DCC25" w14:textId="2DEB3E5B" w:rsidR="00FF7846" w:rsidRPr="004C143B" w:rsidRDefault="00FF7846" w:rsidP="00DD7DAF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Donor mapping exercise</w:t>
            </w:r>
            <w:r w:rsidR="005434F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 </w:t>
            </w:r>
          </w:p>
          <w:p w14:paraId="36D2024E" w14:textId="28DA143F" w:rsidR="00FF7846" w:rsidRPr="004C143B" w:rsidRDefault="00FF7846" w:rsidP="004C143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910" w:type="pct"/>
            <w:shd w:val="clear" w:color="auto" w:fill="auto"/>
            <w:noWrap/>
            <w:hideMark/>
          </w:tcPr>
          <w:p w14:paraId="3B7D9121" w14:textId="5EC42252" w:rsidR="00FF7846" w:rsidRPr="004C143B" w:rsidRDefault="00FF7846" w:rsidP="00025997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5434F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noWrap/>
            <w:hideMark/>
          </w:tcPr>
          <w:p w14:paraId="5B357EE5" w14:textId="256586B2" w:rsidR="00FF7846" w:rsidRPr="004C143B" w:rsidRDefault="00FF7846" w:rsidP="00BE3A3F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Outreach to donors and partners</w:t>
            </w:r>
            <w:r w:rsidR="005434FF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  <w:r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</w:tbl>
    <w:p w14:paraId="2707D42C" w14:textId="65A5ED6A" w:rsidR="00073625" w:rsidRDefault="00073625" w:rsidP="007972E0">
      <w:pPr>
        <w:contextualSpacing/>
        <w:rPr>
          <w:rFonts w:eastAsia="Times New Roman"/>
          <w:b/>
          <w:bCs/>
          <w:color w:val="000000"/>
          <w:lang w:eastAsia="en-GB"/>
        </w:rPr>
      </w:pPr>
    </w:p>
    <w:p w14:paraId="2991D5B9" w14:textId="77777777" w:rsidR="00073625" w:rsidRDefault="00073625">
      <w:pPr>
        <w:rPr>
          <w:rFonts w:eastAsia="Times New Roman"/>
          <w:b/>
          <w:bCs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br w:type="page"/>
      </w:r>
    </w:p>
    <w:p w14:paraId="68D080BB" w14:textId="67583A21" w:rsidR="008D641C" w:rsidRPr="00073625" w:rsidRDefault="00546ADC" w:rsidP="007972E0">
      <w:pPr>
        <w:contextualSpacing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lastRenderedPageBreak/>
        <w:t>Annex 2</w:t>
      </w:r>
    </w:p>
    <w:p w14:paraId="309554E2" w14:textId="74072DEC" w:rsidR="003A560E" w:rsidRPr="00073625" w:rsidRDefault="00546ADC" w:rsidP="007972E0">
      <w:pPr>
        <w:contextualSpacing/>
        <w:rPr>
          <w:rFonts w:eastAsia="Times New Roman"/>
          <w:color w:val="000000"/>
          <w:sz w:val="24"/>
          <w:szCs w:val="24"/>
          <w:lang w:eastAsia="en-GB"/>
        </w:rPr>
      </w:pPr>
      <w:r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Activities to </w:t>
      </w:r>
      <w:r w:rsidR="00BE3A3F">
        <w:rPr>
          <w:rFonts w:eastAsia="Times New Roman"/>
          <w:b/>
          <w:bCs/>
          <w:color w:val="000000"/>
          <w:sz w:val="24"/>
          <w:szCs w:val="24"/>
          <w:lang w:eastAsia="en-GB"/>
        </w:rPr>
        <w:t>f</w:t>
      </w:r>
      <w:r w:rsidR="00BE3A3F"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acilitate </w:t>
      </w:r>
      <w:r w:rsidR="00BE3A3F">
        <w:rPr>
          <w:rFonts w:eastAsia="Times New Roman"/>
          <w:b/>
          <w:bCs/>
          <w:color w:val="000000"/>
          <w:sz w:val="24"/>
          <w:szCs w:val="24"/>
          <w:lang w:eastAsia="en-GB"/>
        </w:rPr>
        <w:t>r</w:t>
      </w:r>
      <w:r w:rsidR="00BE3A3F"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esource </w:t>
      </w:r>
      <w:r w:rsidR="00BE3A3F">
        <w:rPr>
          <w:rFonts w:eastAsia="Times New Roman"/>
          <w:b/>
          <w:bCs/>
          <w:color w:val="000000"/>
          <w:sz w:val="24"/>
          <w:szCs w:val="24"/>
          <w:lang w:eastAsia="en-GB"/>
        </w:rPr>
        <w:t>m</w:t>
      </w:r>
      <w:r w:rsidR="00BE3A3F"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obilization </w:t>
      </w:r>
      <w:r w:rsidR="00BE3A3F">
        <w:rPr>
          <w:rFonts w:eastAsia="Times New Roman"/>
          <w:b/>
          <w:bCs/>
          <w:color w:val="000000"/>
          <w:sz w:val="24"/>
          <w:szCs w:val="24"/>
          <w:lang w:eastAsia="en-GB"/>
        </w:rPr>
        <w:t>of</w:t>
      </w:r>
      <w:r w:rsidR="00BE3A3F"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06198A" w:rsidRPr="00073625">
        <w:rPr>
          <w:rFonts w:eastAsia="Times New Roman"/>
          <w:b/>
          <w:bCs/>
          <w:color w:val="000000"/>
          <w:sz w:val="24"/>
          <w:szCs w:val="24"/>
          <w:lang w:eastAsia="en-GB"/>
        </w:rPr>
        <w:t>Contracting Parties</w:t>
      </w:r>
      <w:r w:rsidR="0006198A" w:rsidRPr="00073625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0C12DB2D" w14:textId="1AA1AC45" w:rsidR="00DB7948" w:rsidRDefault="00DB7948" w:rsidP="007972E0">
      <w:pPr>
        <w:contextualSpacing/>
        <w:rPr>
          <w:rFonts w:asciiTheme="minorHAnsi" w:eastAsiaTheme="minorHAnsi" w:hAnsiTheme="minorHAnsi" w:cstheme="minorHAnsi"/>
        </w:rPr>
      </w:pPr>
    </w:p>
    <w:p w14:paraId="475A820C" w14:textId="77777777" w:rsidR="00073625" w:rsidRPr="0006198A" w:rsidRDefault="00073625" w:rsidP="007972E0">
      <w:pPr>
        <w:contextualSpacing/>
        <w:rPr>
          <w:rFonts w:asciiTheme="minorHAnsi" w:eastAsiaTheme="minorHAnsi" w:hAnsiTheme="minorHAnsi" w:cstheme="minorHAnsi"/>
        </w:rPr>
      </w:pPr>
    </w:p>
    <w:tbl>
      <w:tblPr>
        <w:tblW w:w="14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57"/>
        <w:gridCol w:w="3686"/>
        <w:gridCol w:w="3539"/>
      </w:tblGrid>
      <w:tr w:rsidR="006B7C23" w:rsidRPr="00FF5E1D" w14:paraId="18B7AA89" w14:textId="77777777" w:rsidTr="00BE3A3F">
        <w:tc>
          <w:tcPr>
            <w:tcW w:w="2547" w:type="dxa"/>
            <w:shd w:val="clear" w:color="000000" w:fill="B4C6E7"/>
            <w:noWrap/>
            <w:hideMark/>
          </w:tcPr>
          <w:p w14:paraId="6C102481" w14:textId="63B5914F" w:rsidR="005C055C" w:rsidRPr="00FF5E1D" w:rsidRDefault="005E498A" w:rsidP="00E96B1B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5E1D">
              <w:rPr>
                <w:rFonts w:eastAsia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4257" w:type="dxa"/>
            <w:shd w:val="clear" w:color="000000" w:fill="B4C6E7"/>
            <w:noWrap/>
            <w:hideMark/>
          </w:tcPr>
          <w:p w14:paraId="4255555C" w14:textId="01551245" w:rsidR="005C055C" w:rsidRPr="00FF5E1D" w:rsidRDefault="005C055C" w:rsidP="00E96B1B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5E1D">
              <w:rPr>
                <w:rFonts w:eastAsia="Times New Roman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3686" w:type="dxa"/>
            <w:shd w:val="clear" w:color="000000" w:fill="B4C6E7"/>
            <w:noWrap/>
            <w:hideMark/>
          </w:tcPr>
          <w:p w14:paraId="5EB884DC" w14:textId="50F808FB" w:rsidR="005C055C" w:rsidRPr="00FF5E1D" w:rsidRDefault="005C055C" w:rsidP="00E96B1B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5E1D">
              <w:rPr>
                <w:rFonts w:eastAsia="Times New Roman"/>
                <w:b/>
                <w:bCs/>
                <w:color w:val="000000"/>
                <w:lang w:eastAsia="en-GB"/>
              </w:rPr>
              <w:t>2024</w:t>
            </w:r>
          </w:p>
        </w:tc>
        <w:tc>
          <w:tcPr>
            <w:tcW w:w="3539" w:type="dxa"/>
            <w:shd w:val="clear" w:color="000000" w:fill="B4C6E7"/>
            <w:noWrap/>
            <w:hideMark/>
          </w:tcPr>
          <w:p w14:paraId="67CDCEFA" w14:textId="0AF5B680" w:rsidR="005C055C" w:rsidRPr="00FF5E1D" w:rsidRDefault="005C055C" w:rsidP="00E96B1B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F5E1D">
              <w:rPr>
                <w:rFonts w:eastAsia="Times New Roman"/>
                <w:b/>
                <w:bCs/>
                <w:color w:val="000000"/>
                <w:lang w:eastAsia="en-GB"/>
              </w:rPr>
              <w:t>2025</w:t>
            </w:r>
          </w:p>
        </w:tc>
      </w:tr>
      <w:tr w:rsidR="005C055C" w:rsidRPr="00FF5E1D" w14:paraId="25C877EF" w14:textId="77777777" w:rsidTr="00BE3A3F">
        <w:trPr>
          <w:trHeight w:val="1932"/>
        </w:trPr>
        <w:tc>
          <w:tcPr>
            <w:tcW w:w="2547" w:type="dxa"/>
            <w:shd w:val="clear" w:color="auto" w:fill="auto"/>
            <w:noWrap/>
          </w:tcPr>
          <w:p w14:paraId="36BFD98B" w14:textId="2EB5363E" w:rsidR="005C055C" w:rsidRPr="00FF5E1D" w:rsidRDefault="005C055C" w:rsidP="00D6149C">
            <w:pPr>
              <w:ind w:left="0" w:firstLine="0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 xml:space="preserve">Knowledge sharing and </w:t>
            </w:r>
            <w:r w:rsidR="00F33B96" w:rsidRPr="00FF5E1D">
              <w:rPr>
                <w:rFonts w:eastAsia="Times New Roman"/>
                <w:color w:val="000000"/>
                <w:lang w:eastAsia="en-GB"/>
              </w:rPr>
              <w:t>training.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5AA12598" w14:textId="39EF91F9" w:rsidR="00F33B96" w:rsidRPr="00FF5E1D" w:rsidRDefault="00F33B96" w:rsidP="00D6149C">
            <w:pPr>
              <w:ind w:left="0" w:firstLine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14:paraId="0535FFB8" w14:textId="4A05F3C7" w:rsidR="00D5480A" w:rsidRPr="00FF5E1D" w:rsidRDefault="00D7646A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 xml:space="preserve">Findings from </w:t>
            </w:r>
            <w:r w:rsidRPr="00FF5E1D">
              <w:rPr>
                <w:rFonts w:eastAsia="Times New Roman"/>
                <w:i/>
                <w:iCs/>
                <w:color w:val="000000"/>
                <w:lang w:eastAsia="en-GB"/>
              </w:rPr>
              <w:t>a needs assessment survey</w:t>
            </w:r>
            <w:r w:rsidR="00683790" w:rsidRPr="00FF5E1D">
              <w:rPr>
                <w:rFonts w:eastAsia="Times New Roman"/>
                <w:color w:val="000000"/>
                <w:lang w:eastAsia="en-GB"/>
              </w:rPr>
              <w:t>*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A50A38" w:rsidRPr="00FF5E1D">
              <w:rPr>
                <w:rFonts w:eastAsia="Times New Roman"/>
                <w:color w:val="000000"/>
                <w:lang w:eastAsia="en-GB"/>
              </w:rPr>
              <w:t>consolidated into a knowledge sharing and training plan.</w:t>
            </w:r>
            <w:r w:rsidR="00D21C5C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0A4008AC" w14:textId="78841F70" w:rsidR="005E498A" w:rsidRPr="00FF5E1D" w:rsidRDefault="00414B9D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Prepare/share</w:t>
            </w:r>
            <w:r w:rsidR="00D5480A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relevant resources and guidance </w:t>
            </w:r>
            <w:r w:rsidR="005E498A" w:rsidRPr="00FF5E1D">
              <w:rPr>
                <w:rFonts w:eastAsia="Times New Roman"/>
                <w:color w:val="000000"/>
                <w:lang w:eastAsia="en-GB"/>
              </w:rPr>
              <w:t>on website and other channels.</w:t>
            </w:r>
          </w:p>
          <w:p w14:paraId="732C13B4" w14:textId="63E0BCCF" w:rsidR="00D21C5C" w:rsidRPr="00D730A7" w:rsidRDefault="00D21C5C" w:rsidP="00D730A7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Organize</w:t>
            </w:r>
            <w:r w:rsidR="00AC6C66" w:rsidRPr="00FF5E1D">
              <w:rPr>
                <w:rFonts w:eastAsia="Times New Roman"/>
                <w:color w:val="000000"/>
                <w:lang w:eastAsia="en-GB"/>
              </w:rPr>
              <w:t xml:space="preserve"> resource</w:t>
            </w:r>
            <w:r w:rsidR="005434FF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AC6C66" w:rsidRPr="00FF5E1D">
              <w:rPr>
                <w:rFonts w:eastAsia="Times New Roman"/>
                <w:color w:val="000000"/>
                <w:lang w:eastAsia="en-GB"/>
              </w:rPr>
              <w:t>mobilization</w:t>
            </w:r>
            <w:r w:rsidR="001275BA" w:rsidRPr="00FF5E1D">
              <w:rPr>
                <w:rFonts w:eastAsia="Times New Roman"/>
                <w:color w:val="000000"/>
                <w:lang w:eastAsia="en-GB"/>
              </w:rPr>
              <w:t>/</w:t>
            </w:r>
            <w:r w:rsid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1275BA" w:rsidRPr="00FF5E1D">
              <w:rPr>
                <w:rFonts w:eastAsia="Times New Roman"/>
                <w:color w:val="000000"/>
                <w:lang w:eastAsia="en-GB"/>
              </w:rPr>
              <w:t>fundraising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F87126" w:rsidRPr="00FF5E1D">
              <w:rPr>
                <w:rFonts w:eastAsia="Times New Roman"/>
                <w:color w:val="000000"/>
                <w:lang w:eastAsia="en-GB"/>
              </w:rPr>
              <w:t>webinars.</w:t>
            </w:r>
            <w:r w:rsidR="0092749C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</w:tcPr>
          <w:p w14:paraId="24E003CC" w14:textId="6B67F3C1" w:rsidR="001275BA" w:rsidRPr="00FF5E1D" w:rsidRDefault="00824DC8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Based on</w:t>
            </w:r>
            <w:r w:rsidR="0058678D" w:rsidRPr="00FF5E1D">
              <w:rPr>
                <w:rFonts w:eastAsia="Times New Roman"/>
                <w:color w:val="000000"/>
                <w:lang w:eastAsia="en-GB"/>
              </w:rPr>
              <w:t xml:space="preserve"> findings of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needs assessment</w:t>
            </w:r>
            <w:r w:rsidR="0058678D" w:rsidRPr="00FF5E1D">
              <w:rPr>
                <w:rFonts w:eastAsia="Times New Roman"/>
                <w:color w:val="000000"/>
                <w:lang w:eastAsia="en-GB"/>
              </w:rPr>
              <w:t>,</w:t>
            </w:r>
            <w:r w:rsidR="00CE7C37" w:rsidRPr="00FF5E1D">
              <w:rPr>
                <w:rFonts w:eastAsia="Times New Roman"/>
                <w:color w:val="000000"/>
                <w:lang w:eastAsia="en-GB"/>
              </w:rPr>
              <w:t xml:space="preserve"> provide online training and guidance in collaboration with relevant partners </w:t>
            </w:r>
          </w:p>
          <w:p w14:paraId="353B7288" w14:textId="77777777" w:rsidR="0058678D" w:rsidRPr="00FF5E1D" w:rsidRDefault="0058678D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Prepare/share relevant resources and guidance on website and other channels.</w:t>
            </w:r>
          </w:p>
          <w:p w14:paraId="7CFCD846" w14:textId="52994EFC" w:rsidR="005C055C" w:rsidRPr="00FF5E1D" w:rsidRDefault="005C055C" w:rsidP="00BE3A3F">
            <w:pPr>
              <w:ind w:left="377" w:hanging="283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9" w:type="dxa"/>
            <w:shd w:val="clear" w:color="auto" w:fill="auto"/>
            <w:noWrap/>
          </w:tcPr>
          <w:p w14:paraId="4D80801C" w14:textId="77777777" w:rsidR="00CE7C37" w:rsidRPr="00FF5E1D" w:rsidRDefault="00CE7C37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 xml:space="preserve">Based on findings of needs assessment, provide online training and guidance in collaboration with relevant partners </w:t>
            </w:r>
          </w:p>
          <w:p w14:paraId="0B01E740" w14:textId="3FB82F03" w:rsidR="005C055C" w:rsidRPr="00D730A7" w:rsidRDefault="0092749C" w:rsidP="00D730A7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 xml:space="preserve">Prepare/share relevant resources and </w:t>
            </w:r>
            <w:r w:rsidR="00F87126" w:rsidRPr="00FF5E1D">
              <w:rPr>
                <w:rFonts w:eastAsia="Times New Roman"/>
                <w:color w:val="000000"/>
                <w:lang w:eastAsia="en-GB"/>
              </w:rPr>
              <w:t>guidance</w:t>
            </w:r>
            <w:r w:rsidR="005E498A" w:rsidRPr="00FF5E1D">
              <w:rPr>
                <w:rFonts w:eastAsia="Times New Roman"/>
                <w:color w:val="000000"/>
                <w:lang w:eastAsia="en-GB"/>
              </w:rPr>
              <w:t xml:space="preserve"> on website and other channels.</w:t>
            </w:r>
          </w:p>
        </w:tc>
      </w:tr>
      <w:tr w:rsidR="005C055C" w:rsidRPr="00FF5E1D" w14:paraId="0A3C430D" w14:textId="77777777" w:rsidTr="00BE3A3F">
        <w:tc>
          <w:tcPr>
            <w:tcW w:w="2547" w:type="dxa"/>
            <w:shd w:val="clear" w:color="auto" w:fill="auto"/>
            <w:noWrap/>
          </w:tcPr>
          <w:p w14:paraId="16ADDABA" w14:textId="6798BA94" w:rsidR="005C055C" w:rsidRPr="00FF5E1D" w:rsidRDefault="005C055C" w:rsidP="00D6149C">
            <w:pPr>
              <w:ind w:left="0" w:firstLine="0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Funding organization</w:t>
            </w:r>
            <w:r w:rsidR="005E498A" w:rsidRPr="00FF5E1D">
              <w:rPr>
                <w:rFonts w:eastAsia="Times New Roman"/>
                <w:color w:val="000000"/>
                <w:lang w:eastAsia="en-GB"/>
              </w:rPr>
              <w:t>s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database </w:t>
            </w:r>
          </w:p>
        </w:tc>
        <w:tc>
          <w:tcPr>
            <w:tcW w:w="4257" w:type="dxa"/>
            <w:shd w:val="clear" w:color="auto" w:fill="auto"/>
            <w:noWrap/>
          </w:tcPr>
          <w:p w14:paraId="3B284CB7" w14:textId="21B7DD50" w:rsidR="005C055C" w:rsidRPr="00FF5E1D" w:rsidRDefault="00D35BCB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U</w:t>
            </w:r>
            <w:r w:rsidR="003C0DA6" w:rsidRPr="00FF5E1D">
              <w:rPr>
                <w:rFonts w:eastAsia="Times New Roman"/>
                <w:color w:val="000000"/>
                <w:lang w:eastAsia="en-GB"/>
              </w:rPr>
              <w:t>pdate</w:t>
            </w:r>
            <w:r w:rsidR="005C055C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4316B7" w:rsidRPr="00FF5E1D">
              <w:rPr>
                <w:rFonts w:eastAsia="Times New Roman"/>
                <w:color w:val="000000"/>
                <w:lang w:eastAsia="en-GB"/>
              </w:rPr>
              <w:t xml:space="preserve">and share link to </w:t>
            </w:r>
            <w:r w:rsidR="005C055C" w:rsidRPr="00FF5E1D">
              <w:rPr>
                <w:rFonts w:eastAsia="Times New Roman"/>
                <w:color w:val="000000"/>
                <w:lang w:eastAsia="en-GB"/>
              </w:rPr>
              <w:t>database</w:t>
            </w:r>
            <w:r w:rsidR="005E498A" w:rsidRPr="00FF5E1D">
              <w:rPr>
                <w:rFonts w:eastAsia="Times New Roman"/>
                <w:color w:val="000000"/>
                <w:lang w:eastAsia="en-GB"/>
              </w:rPr>
              <w:t>.</w:t>
            </w:r>
          </w:p>
          <w:p w14:paraId="26ACCF50" w14:textId="3221B830" w:rsidR="005C055C" w:rsidRPr="00FF5E1D" w:rsidRDefault="004C5E3B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Regularly</w:t>
            </w:r>
            <w:r w:rsidR="009F0A66" w:rsidRPr="00FF5E1D">
              <w:rPr>
                <w:rFonts w:eastAsia="Times New Roman"/>
                <w:color w:val="000000"/>
                <w:lang w:eastAsia="en-GB"/>
              </w:rPr>
              <w:t xml:space="preserve"> inform</w:t>
            </w:r>
            <w:r w:rsidR="005E498A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FF5E1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Contracting Parties </w:t>
            </w:r>
            <w:r w:rsidR="00D35BCB" w:rsidRPr="00FF5E1D">
              <w:rPr>
                <w:rFonts w:eastAsia="Times New Roman"/>
                <w:color w:val="000000"/>
                <w:lang w:eastAsia="en-GB"/>
              </w:rPr>
              <w:t>that have signed up for notifications</w:t>
            </w:r>
            <w:r w:rsidR="00CE41CF" w:rsidRPr="00FF5E1D">
              <w:rPr>
                <w:rFonts w:eastAsia="Times New Roman"/>
                <w:color w:val="000000"/>
                <w:lang w:eastAsia="en-GB"/>
              </w:rPr>
              <w:t xml:space="preserve"> of </w:t>
            </w:r>
            <w:r w:rsidR="0083453D" w:rsidRPr="00FF5E1D">
              <w:rPr>
                <w:rFonts w:eastAsia="Times New Roman"/>
                <w:color w:val="000000"/>
                <w:lang w:eastAsia="en-GB"/>
              </w:rPr>
              <w:t>funding</w:t>
            </w:r>
            <w:r w:rsidR="00D35BCB" w:rsidRPr="00FF5E1D">
              <w:rPr>
                <w:rFonts w:eastAsia="Times New Roman"/>
                <w:color w:val="000000"/>
                <w:lang w:eastAsia="en-GB"/>
              </w:rPr>
              <w:t xml:space="preserve"> opportunities.</w:t>
            </w:r>
            <w:r w:rsidR="0083453D"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</w:tcPr>
          <w:p w14:paraId="60FA75C6" w14:textId="0B6B98D5" w:rsidR="005C055C" w:rsidRPr="00FF5E1D" w:rsidRDefault="005C055C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Update</w:t>
            </w:r>
            <w:r w:rsidR="004316B7" w:rsidRPr="00FF5E1D">
              <w:rPr>
                <w:rFonts w:eastAsia="Times New Roman"/>
                <w:color w:val="000000"/>
                <w:lang w:eastAsia="en-GB"/>
              </w:rPr>
              <w:t xml:space="preserve"> and share link to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database</w:t>
            </w:r>
            <w:r w:rsidR="005E498A" w:rsidRPr="00FF5E1D">
              <w:rPr>
                <w:rFonts w:eastAsia="Times New Roman"/>
                <w:color w:val="000000"/>
                <w:lang w:eastAsia="en-GB"/>
              </w:rPr>
              <w:t>.</w:t>
            </w:r>
          </w:p>
          <w:p w14:paraId="2E1A30C6" w14:textId="01B42294" w:rsidR="004316B7" w:rsidRPr="00FF5E1D" w:rsidRDefault="004316B7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 xml:space="preserve">Regularly inform </w:t>
            </w:r>
            <w:r w:rsidR="00FF5E1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Contracting Parties </w:t>
            </w:r>
            <w:r w:rsidRPr="00FF5E1D">
              <w:rPr>
                <w:rFonts w:eastAsia="Times New Roman"/>
                <w:color w:val="000000"/>
                <w:lang w:eastAsia="en-GB"/>
              </w:rPr>
              <w:t>that have signed up for notifications</w:t>
            </w:r>
            <w:r w:rsidR="00CE41CF" w:rsidRPr="00FF5E1D">
              <w:rPr>
                <w:rFonts w:eastAsia="Times New Roman"/>
                <w:color w:val="000000"/>
                <w:lang w:eastAsia="en-GB"/>
              </w:rPr>
              <w:t xml:space="preserve"> of 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funding opportunities. </w:t>
            </w:r>
          </w:p>
          <w:p w14:paraId="4E99FD50" w14:textId="6BB2525E" w:rsidR="005C055C" w:rsidRPr="00FF5E1D" w:rsidRDefault="005C055C" w:rsidP="00BE3A3F">
            <w:pPr>
              <w:pStyle w:val="ListParagraph"/>
              <w:ind w:left="377" w:hanging="283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39" w:type="dxa"/>
            <w:shd w:val="clear" w:color="auto" w:fill="auto"/>
            <w:noWrap/>
          </w:tcPr>
          <w:p w14:paraId="4ABEBBEC" w14:textId="2AE9816A" w:rsidR="005C055C" w:rsidRPr="00FF5E1D" w:rsidRDefault="005C055C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>Update</w:t>
            </w:r>
            <w:r w:rsidR="004316B7" w:rsidRPr="00FF5E1D">
              <w:rPr>
                <w:rFonts w:eastAsia="Times New Roman"/>
                <w:color w:val="000000"/>
                <w:lang w:eastAsia="en-GB"/>
              </w:rPr>
              <w:t xml:space="preserve"> and share link to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database</w:t>
            </w:r>
            <w:r w:rsidR="00D35BCB" w:rsidRPr="00FF5E1D">
              <w:rPr>
                <w:rFonts w:eastAsia="Times New Roman"/>
                <w:color w:val="000000"/>
                <w:lang w:eastAsia="en-GB"/>
              </w:rPr>
              <w:t>.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0497CA52" w14:textId="78F0F250" w:rsidR="005C055C" w:rsidRPr="00FF5E1D" w:rsidRDefault="004316B7" w:rsidP="00BE3A3F">
            <w:pPr>
              <w:pStyle w:val="ListParagraph"/>
              <w:numPr>
                <w:ilvl w:val="0"/>
                <w:numId w:val="44"/>
              </w:numPr>
              <w:ind w:left="377" w:hanging="283"/>
              <w:rPr>
                <w:rFonts w:eastAsia="Times New Roman"/>
                <w:color w:val="000000"/>
                <w:lang w:eastAsia="en-GB"/>
              </w:rPr>
            </w:pPr>
            <w:r w:rsidRPr="00FF5E1D">
              <w:rPr>
                <w:rFonts w:eastAsia="Times New Roman"/>
                <w:color w:val="000000"/>
                <w:lang w:eastAsia="en-GB"/>
              </w:rPr>
              <w:t xml:space="preserve">Regularly inform </w:t>
            </w:r>
            <w:r w:rsidR="00FF5E1D" w:rsidRPr="004C143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Contracting Parties </w:t>
            </w:r>
            <w:r w:rsidRPr="00FF5E1D">
              <w:rPr>
                <w:rFonts w:eastAsia="Times New Roman"/>
                <w:color w:val="000000"/>
                <w:lang w:eastAsia="en-GB"/>
              </w:rPr>
              <w:t>that have signed up for notifications</w:t>
            </w:r>
            <w:r w:rsidR="00606269" w:rsidRPr="00FF5E1D">
              <w:rPr>
                <w:rFonts w:eastAsia="Times New Roman"/>
                <w:color w:val="000000"/>
                <w:lang w:eastAsia="en-GB"/>
              </w:rPr>
              <w:t>,</w:t>
            </w:r>
            <w:r w:rsidR="00CE41CF" w:rsidRPr="00FF5E1D">
              <w:rPr>
                <w:rFonts w:eastAsia="Times New Roman"/>
                <w:color w:val="000000"/>
                <w:lang w:eastAsia="en-GB"/>
              </w:rPr>
              <w:t xml:space="preserve"> of funding</w:t>
            </w:r>
            <w:r w:rsidRPr="00FF5E1D">
              <w:rPr>
                <w:rFonts w:eastAsia="Times New Roman"/>
                <w:color w:val="000000"/>
                <w:lang w:eastAsia="en-GB"/>
              </w:rPr>
              <w:t xml:space="preserve"> opportunities. </w:t>
            </w:r>
          </w:p>
        </w:tc>
      </w:tr>
    </w:tbl>
    <w:p w14:paraId="796C824B" w14:textId="6165FA19" w:rsidR="00BA6BC1" w:rsidRDefault="00BA6BC1" w:rsidP="001275BA">
      <w:pPr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14:paraId="20388500" w14:textId="4E8CD475" w:rsidR="00683790" w:rsidRPr="00BE3A3F" w:rsidRDefault="00BE3A3F" w:rsidP="00BE3A3F">
      <w:pPr>
        <w:ind w:left="0" w:firstLine="0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 xml:space="preserve">* 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 xml:space="preserve">Contracting Parties of the Convention have expressed a need for information resources that build capacity and facilitate local, </w:t>
      </w:r>
      <w:r w:rsidR="002F03C1" w:rsidRPr="00BE3A3F">
        <w:rPr>
          <w:rFonts w:eastAsia="Times New Roman"/>
          <w:color w:val="000000"/>
          <w:sz w:val="20"/>
          <w:szCs w:val="20"/>
          <w:lang w:eastAsia="en-GB"/>
        </w:rPr>
        <w:t>national,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 xml:space="preserve"> and regional efforts for resource mobilization. </w:t>
      </w:r>
      <w:r w:rsidR="00683790" w:rsidRPr="00BE3A3F">
        <w:rPr>
          <w:rFonts w:eastAsia="Times New Roman"/>
          <w:color w:val="000000"/>
          <w:sz w:val="20"/>
          <w:szCs w:val="20"/>
          <w:lang w:eastAsia="en-GB"/>
        </w:rPr>
        <w:t>The needs assessment survey</w:t>
      </w:r>
      <w:r w:rsidR="008C1E65" w:rsidRPr="00BE3A3F">
        <w:rPr>
          <w:rFonts w:eastAsia="Times New Roman"/>
          <w:color w:val="000000"/>
          <w:sz w:val="20"/>
          <w:szCs w:val="20"/>
          <w:lang w:eastAsia="en-GB"/>
        </w:rPr>
        <w:t>,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 xml:space="preserve"> to be conducted in 2023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>,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 xml:space="preserve"> will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 identify urgent</w:t>
      </w:r>
      <w:r w:rsidR="008C1E65" w:rsidRPr="00BE3A3F">
        <w:rPr>
          <w:rFonts w:eastAsia="Times New Roman"/>
          <w:color w:val="000000"/>
          <w:sz w:val="20"/>
          <w:szCs w:val="20"/>
          <w:lang w:eastAsia="en-GB"/>
        </w:rPr>
        <w:t xml:space="preserve"> capacity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 needs, inform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 xml:space="preserve"> development of </w:t>
      </w:r>
      <w:r w:rsidR="008C1E65" w:rsidRPr="00BE3A3F">
        <w:rPr>
          <w:rFonts w:eastAsia="Times New Roman"/>
          <w:color w:val="000000"/>
          <w:sz w:val="20"/>
          <w:szCs w:val="20"/>
          <w:lang w:eastAsia="en-GB"/>
        </w:rPr>
        <w:t xml:space="preserve">relevant 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knowledge </w:t>
      </w:r>
      <w:r w:rsidR="008D5F82" w:rsidRPr="00BE3A3F">
        <w:rPr>
          <w:rFonts w:eastAsia="Times New Roman"/>
          <w:color w:val="000000"/>
          <w:sz w:val="20"/>
          <w:szCs w:val="20"/>
          <w:lang w:eastAsia="en-GB"/>
        </w:rPr>
        <w:t>products,</w:t>
      </w:r>
      <w:r w:rsidR="00203B2A" w:rsidRPr="00BE3A3F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and 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 xml:space="preserve">clarify the 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primary </w:t>
      </w:r>
      <w:r w:rsidR="007C6EE2" w:rsidRPr="00BE3A3F">
        <w:rPr>
          <w:rFonts w:eastAsia="Times New Roman"/>
          <w:color w:val="000000"/>
          <w:sz w:val="20"/>
          <w:szCs w:val="20"/>
          <w:lang w:eastAsia="en-GB"/>
        </w:rPr>
        <w:t>target audience</w:t>
      </w:r>
      <w:r w:rsidR="0073777D" w:rsidRPr="00BE3A3F">
        <w:rPr>
          <w:rFonts w:eastAsia="Times New Roman"/>
          <w:color w:val="000000"/>
          <w:sz w:val="20"/>
          <w:szCs w:val="20"/>
          <w:lang w:eastAsia="en-GB"/>
        </w:rPr>
        <w:t xml:space="preserve"> for capacity building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. </w:t>
      </w:r>
      <w:r w:rsidR="002F03C1" w:rsidRPr="00BE3A3F">
        <w:rPr>
          <w:rFonts w:eastAsia="Times New Roman"/>
          <w:color w:val="000000"/>
          <w:sz w:val="20"/>
          <w:szCs w:val="20"/>
          <w:lang w:eastAsia="en-GB"/>
        </w:rPr>
        <w:t>Furthermore,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 the needs assessment</w:t>
      </w:r>
      <w:r w:rsidR="00A773A1" w:rsidRPr="00BE3A3F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will </w:t>
      </w:r>
      <w:r w:rsidR="00082A54" w:rsidRPr="00BE3A3F">
        <w:rPr>
          <w:rFonts w:eastAsia="Times New Roman"/>
          <w:color w:val="000000"/>
          <w:sz w:val="20"/>
          <w:szCs w:val="20"/>
          <w:lang w:eastAsia="en-GB"/>
        </w:rPr>
        <w:t>guide the Secretariat</w:t>
      </w:r>
      <w:r w:rsidR="00F65F11" w:rsidRPr="00BE3A3F">
        <w:rPr>
          <w:rFonts w:eastAsia="Times New Roman"/>
          <w:color w:val="000000"/>
          <w:sz w:val="20"/>
          <w:szCs w:val="20"/>
          <w:lang w:eastAsia="en-GB"/>
        </w:rPr>
        <w:t xml:space="preserve"> on </w:t>
      </w:r>
      <w:r>
        <w:rPr>
          <w:rFonts w:eastAsia="Times New Roman"/>
          <w:color w:val="000000"/>
          <w:sz w:val="20"/>
          <w:szCs w:val="20"/>
          <w:lang w:eastAsia="en-GB"/>
        </w:rPr>
        <w:t>whether</w:t>
      </w:r>
      <w:r w:rsidRPr="00BE3A3F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476312" w:rsidRPr="00BE3A3F">
        <w:rPr>
          <w:rFonts w:eastAsia="Times New Roman"/>
          <w:color w:val="000000"/>
          <w:sz w:val="20"/>
          <w:szCs w:val="20"/>
          <w:lang w:eastAsia="en-GB"/>
        </w:rPr>
        <w:t xml:space="preserve">there is a </w:t>
      </w:r>
      <w:r w:rsidR="00B35D1A" w:rsidRPr="00BE3A3F">
        <w:rPr>
          <w:rFonts w:eastAsia="Times New Roman"/>
          <w:color w:val="000000"/>
          <w:sz w:val="20"/>
          <w:szCs w:val="20"/>
          <w:lang w:eastAsia="en-GB"/>
        </w:rPr>
        <w:t>need</w:t>
      </w:r>
      <w:r w:rsidR="00F65F11" w:rsidRPr="00BE3A3F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476312" w:rsidRPr="00BE3A3F">
        <w:rPr>
          <w:rFonts w:eastAsia="Times New Roman"/>
          <w:color w:val="000000"/>
          <w:sz w:val="20"/>
          <w:szCs w:val="20"/>
          <w:lang w:eastAsia="en-GB"/>
        </w:rPr>
        <w:t xml:space="preserve">for </w:t>
      </w:r>
      <w:r w:rsidR="000D3AC2" w:rsidRPr="00BE3A3F">
        <w:rPr>
          <w:rFonts w:eastAsia="Times New Roman"/>
          <w:color w:val="000000"/>
          <w:sz w:val="20"/>
          <w:szCs w:val="20"/>
          <w:lang w:eastAsia="en-GB"/>
        </w:rPr>
        <w:t xml:space="preserve">high-level </w:t>
      </w:r>
      <w:r w:rsidR="002C4470" w:rsidRPr="00BE3A3F">
        <w:rPr>
          <w:rFonts w:eastAsia="Times New Roman"/>
          <w:color w:val="000000"/>
          <w:sz w:val="20"/>
          <w:szCs w:val="20"/>
          <w:lang w:eastAsia="en-GB"/>
        </w:rPr>
        <w:t xml:space="preserve">information 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>products</w:t>
      </w:r>
      <w:r w:rsidR="00B35D1A" w:rsidRPr="00BE3A3F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FC6FDA" w:rsidRPr="00BE3A3F">
        <w:rPr>
          <w:rFonts w:eastAsia="Times New Roman"/>
          <w:color w:val="000000"/>
          <w:sz w:val="20"/>
          <w:szCs w:val="20"/>
          <w:lang w:eastAsia="en-GB"/>
        </w:rPr>
        <w:t>for resource mobilization and fundraising</w:t>
      </w:r>
      <w:r w:rsidR="00B35D1A" w:rsidRPr="00BE3A3F">
        <w:rPr>
          <w:rFonts w:eastAsia="Times New Roman"/>
          <w:color w:val="000000"/>
          <w:sz w:val="20"/>
          <w:szCs w:val="20"/>
          <w:lang w:eastAsia="en-GB"/>
        </w:rPr>
        <w:t>,</w:t>
      </w:r>
      <w:r w:rsidR="00FC6FDA" w:rsidRPr="00BE3A3F">
        <w:rPr>
          <w:rFonts w:eastAsia="Times New Roman"/>
          <w:color w:val="000000"/>
          <w:sz w:val="20"/>
          <w:szCs w:val="20"/>
          <w:lang w:eastAsia="en-GB"/>
        </w:rPr>
        <w:t xml:space="preserve"> such as an overview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 of national and international </w:t>
      </w:r>
      <w:r w:rsidR="00476312" w:rsidRPr="00BE3A3F">
        <w:rPr>
          <w:rFonts w:eastAsia="Times New Roman"/>
          <w:color w:val="000000"/>
          <w:sz w:val="20"/>
          <w:szCs w:val="20"/>
          <w:lang w:eastAsia="en-GB"/>
        </w:rPr>
        <w:t>financing sources</w:t>
      </w:r>
      <w:r w:rsidR="0019323F" w:rsidRPr="00BE3A3F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FE24B0" w:rsidRPr="00BE3A3F">
        <w:rPr>
          <w:rFonts w:eastAsia="Times New Roman"/>
          <w:color w:val="000000"/>
          <w:sz w:val="20"/>
          <w:szCs w:val="20"/>
          <w:lang w:eastAsia="en-GB"/>
        </w:rPr>
        <w:t>and trends</w:t>
      </w:r>
      <w:r w:rsidR="00476312" w:rsidRPr="00BE3A3F">
        <w:rPr>
          <w:rFonts w:eastAsia="Times New Roman"/>
          <w:color w:val="000000"/>
          <w:sz w:val="20"/>
          <w:szCs w:val="20"/>
          <w:lang w:eastAsia="en-GB"/>
        </w:rPr>
        <w:t xml:space="preserve"> for wetlands.</w:t>
      </w:r>
    </w:p>
    <w:sectPr w:rsidR="00683790" w:rsidRPr="00BE3A3F" w:rsidSect="00E96B1B"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2929" w14:textId="77777777" w:rsidR="00D260EE" w:rsidRDefault="00D260EE" w:rsidP="00DF2386">
      <w:r>
        <w:separator/>
      </w:r>
    </w:p>
  </w:endnote>
  <w:endnote w:type="continuationSeparator" w:id="0">
    <w:p w14:paraId="613FA9D8" w14:textId="77777777" w:rsidR="00D260EE" w:rsidRDefault="00D260EE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FB53" w14:textId="5B2CAAAD" w:rsidR="00F73E71" w:rsidRDefault="007972E0" w:rsidP="00E96B1B">
    <w:pPr>
      <w:pStyle w:val="Header"/>
      <w:tabs>
        <w:tab w:val="clear" w:pos="9026"/>
        <w:tab w:val="right" w:pos="9180"/>
      </w:tabs>
      <w:rPr>
        <w:noProof/>
      </w:rPr>
    </w:pPr>
    <w:r w:rsidRPr="007972E0">
      <w:rPr>
        <w:sz w:val="20"/>
        <w:szCs w:val="20"/>
      </w:rPr>
      <w:t>SC</w:t>
    </w:r>
    <w:r w:rsidR="001A00ED">
      <w:rPr>
        <w:sz w:val="20"/>
        <w:szCs w:val="20"/>
      </w:rPr>
      <w:t>62</w:t>
    </w:r>
    <w:r w:rsidR="00073625">
      <w:rPr>
        <w:sz w:val="20"/>
        <w:szCs w:val="20"/>
      </w:rPr>
      <w:t xml:space="preserve"> Doc.18</w:t>
    </w:r>
    <w:r w:rsidR="00F73E71">
      <w:tab/>
    </w:r>
    <w:r w:rsidR="00F73E71">
      <w:tab/>
    </w:r>
    <w:sdt>
      <w:sdtPr>
        <w:rPr>
          <w:color w:val="2B579A"/>
          <w:shd w:val="clear" w:color="auto" w:fill="E6E6E6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F73E71" w:rsidRPr="00F344DE">
          <w:rPr>
            <w:color w:val="2B579A"/>
            <w:sz w:val="20"/>
            <w:szCs w:val="20"/>
            <w:shd w:val="clear" w:color="auto" w:fill="E6E6E6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color w:val="2B579A"/>
            <w:sz w:val="20"/>
            <w:szCs w:val="20"/>
            <w:shd w:val="clear" w:color="auto" w:fill="E6E6E6"/>
          </w:rPr>
          <w:fldChar w:fldCharType="separate"/>
        </w:r>
        <w:r w:rsidR="007524E4">
          <w:rPr>
            <w:noProof/>
            <w:sz w:val="20"/>
            <w:szCs w:val="20"/>
          </w:rPr>
          <w:t>2</w:t>
        </w:r>
        <w:r w:rsidR="00F73E71" w:rsidRPr="00F344DE">
          <w:rPr>
            <w:noProof/>
            <w:color w:val="2B579A"/>
            <w:sz w:val="20"/>
            <w:szCs w:val="20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FC79" w14:textId="78FE7168" w:rsidR="00E96B1B" w:rsidRDefault="00E96B1B" w:rsidP="00E96B1B">
    <w:pPr>
      <w:pStyle w:val="Header"/>
      <w:tabs>
        <w:tab w:val="clear" w:pos="9026"/>
        <w:tab w:val="right" w:pos="14040"/>
      </w:tabs>
      <w:rPr>
        <w:noProof/>
      </w:rPr>
    </w:pPr>
    <w:r w:rsidRPr="007972E0">
      <w:rPr>
        <w:sz w:val="20"/>
        <w:szCs w:val="20"/>
      </w:rPr>
      <w:t>SC</w:t>
    </w:r>
    <w:r w:rsidR="00B27F09">
      <w:rPr>
        <w:sz w:val="20"/>
        <w:szCs w:val="20"/>
      </w:rPr>
      <w:t>62</w:t>
    </w:r>
    <w:r w:rsidR="00073625">
      <w:rPr>
        <w:sz w:val="20"/>
        <w:szCs w:val="20"/>
      </w:rPr>
      <w:t xml:space="preserve"> Doc.18</w:t>
    </w:r>
    <w:r>
      <w:tab/>
    </w:r>
    <w:r>
      <w:tab/>
    </w:r>
    <w:sdt>
      <w:sdtPr>
        <w:rPr>
          <w:color w:val="2B579A"/>
          <w:shd w:val="clear" w:color="auto" w:fill="E6E6E6"/>
        </w:rPr>
        <w:id w:val="1295647979"/>
        <w:docPartObj>
          <w:docPartGallery w:val="Page Numbers (Top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Pr="00F344DE">
          <w:rPr>
            <w:color w:val="2B579A"/>
            <w:sz w:val="20"/>
            <w:szCs w:val="20"/>
            <w:shd w:val="clear" w:color="auto" w:fill="E6E6E6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color w:val="2B579A"/>
            <w:sz w:val="20"/>
            <w:szCs w:val="20"/>
            <w:shd w:val="clear" w:color="auto" w:fill="E6E6E6"/>
          </w:rPr>
          <w:fldChar w:fldCharType="separate"/>
        </w:r>
        <w:r w:rsidR="007524E4">
          <w:rPr>
            <w:noProof/>
            <w:sz w:val="20"/>
            <w:szCs w:val="20"/>
          </w:rPr>
          <w:t>5</w:t>
        </w:r>
        <w:r w:rsidRPr="00F344DE">
          <w:rPr>
            <w:noProof/>
            <w:color w:val="2B579A"/>
            <w:sz w:val="20"/>
            <w:szCs w:val="20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9336" w14:textId="48CB38A1" w:rsidR="2718667C" w:rsidRDefault="2718667C" w:rsidP="2718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E666" w14:textId="77777777" w:rsidR="00D260EE" w:rsidRDefault="00D260EE" w:rsidP="00DF2386">
      <w:r>
        <w:separator/>
      </w:r>
    </w:p>
  </w:footnote>
  <w:footnote w:type="continuationSeparator" w:id="0">
    <w:p w14:paraId="2C8EC95A" w14:textId="77777777" w:rsidR="00D260EE" w:rsidRDefault="00D260EE" w:rsidP="00DF2386">
      <w:r>
        <w:continuationSeparator/>
      </w:r>
    </w:p>
  </w:footnote>
  <w:footnote w:id="1">
    <w:p w14:paraId="60717303" w14:textId="7F7B46C6" w:rsidR="00C35FF5" w:rsidRDefault="00C35FF5" w:rsidP="00C35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6106" w:rsidRPr="00676106">
        <w:t xml:space="preserve"> </w:t>
      </w:r>
      <w:r w:rsidR="00676106">
        <w:t xml:space="preserve">See </w:t>
      </w:r>
      <w:hyperlink r:id="rId1" w:history="1">
        <w:r w:rsidR="00BA7F55" w:rsidRPr="00E73861">
          <w:rPr>
            <w:rStyle w:val="Hyperlink"/>
          </w:rPr>
          <w:t>https://www.ramsar.org/document/sc57-doc19-ramsar-convention-resource-mobilization-work-plan</w:t>
        </w:r>
      </w:hyperlink>
      <w:r w:rsidR="0067610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1CD2" w14:textId="034F8EC5" w:rsidR="2718667C" w:rsidRDefault="2718667C" w:rsidP="27186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74"/>
    <w:multiLevelType w:val="hybridMultilevel"/>
    <w:tmpl w:val="FAC265E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7210F"/>
    <w:multiLevelType w:val="hybridMultilevel"/>
    <w:tmpl w:val="4E022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229"/>
    <w:multiLevelType w:val="hybridMultilevel"/>
    <w:tmpl w:val="D5B4D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50999"/>
    <w:multiLevelType w:val="hybridMultilevel"/>
    <w:tmpl w:val="CD66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A5969"/>
    <w:multiLevelType w:val="hybridMultilevel"/>
    <w:tmpl w:val="D728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F4317"/>
    <w:multiLevelType w:val="hybridMultilevel"/>
    <w:tmpl w:val="F1E81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D4538"/>
    <w:multiLevelType w:val="hybridMultilevel"/>
    <w:tmpl w:val="918AF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2289"/>
    <w:multiLevelType w:val="hybridMultilevel"/>
    <w:tmpl w:val="E9B6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DD8612A"/>
    <w:multiLevelType w:val="hybridMultilevel"/>
    <w:tmpl w:val="33E09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94B52"/>
    <w:multiLevelType w:val="hybridMultilevel"/>
    <w:tmpl w:val="B45E1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DC5441"/>
    <w:multiLevelType w:val="hybridMultilevel"/>
    <w:tmpl w:val="67966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C7912"/>
    <w:multiLevelType w:val="hybridMultilevel"/>
    <w:tmpl w:val="05061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446758"/>
    <w:multiLevelType w:val="hybridMultilevel"/>
    <w:tmpl w:val="A5CA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AF16F5"/>
    <w:multiLevelType w:val="hybridMultilevel"/>
    <w:tmpl w:val="C60A0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6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26"/>
  </w:num>
  <w:num w:numId="18">
    <w:abstractNumId w:val="44"/>
  </w:num>
  <w:num w:numId="19">
    <w:abstractNumId w:val="38"/>
  </w:num>
  <w:num w:numId="20">
    <w:abstractNumId w:val="29"/>
  </w:num>
  <w:num w:numId="21">
    <w:abstractNumId w:val="31"/>
  </w:num>
  <w:num w:numId="22">
    <w:abstractNumId w:val="22"/>
  </w:num>
  <w:num w:numId="23">
    <w:abstractNumId w:val="27"/>
  </w:num>
  <w:num w:numId="24">
    <w:abstractNumId w:val="25"/>
  </w:num>
  <w:num w:numId="25">
    <w:abstractNumId w:val="37"/>
  </w:num>
  <w:num w:numId="26">
    <w:abstractNumId w:val="14"/>
  </w:num>
  <w:num w:numId="27">
    <w:abstractNumId w:val="0"/>
  </w:num>
  <w:num w:numId="28">
    <w:abstractNumId w:val="17"/>
  </w:num>
  <w:num w:numId="29">
    <w:abstractNumId w:val="6"/>
  </w:num>
  <w:num w:numId="30">
    <w:abstractNumId w:val="33"/>
  </w:num>
  <w:num w:numId="31">
    <w:abstractNumId w:val="2"/>
  </w:num>
  <w:num w:numId="32">
    <w:abstractNumId w:val="41"/>
  </w:num>
  <w:num w:numId="33">
    <w:abstractNumId w:val="43"/>
  </w:num>
  <w:num w:numId="34">
    <w:abstractNumId w:val="15"/>
  </w:num>
  <w:num w:numId="35">
    <w:abstractNumId w:val="3"/>
  </w:num>
  <w:num w:numId="36">
    <w:abstractNumId w:val="5"/>
  </w:num>
  <w:num w:numId="37">
    <w:abstractNumId w:val="32"/>
  </w:num>
  <w:num w:numId="38">
    <w:abstractNumId w:val="35"/>
  </w:num>
  <w:num w:numId="39">
    <w:abstractNumId w:val="40"/>
  </w:num>
  <w:num w:numId="40">
    <w:abstractNumId w:val="9"/>
  </w:num>
  <w:num w:numId="41">
    <w:abstractNumId w:val="39"/>
  </w:num>
  <w:num w:numId="42">
    <w:abstractNumId w:val="21"/>
  </w:num>
  <w:num w:numId="43">
    <w:abstractNumId w:val="34"/>
  </w:num>
  <w:num w:numId="44">
    <w:abstractNumId w:val="28"/>
  </w:num>
  <w:num w:numId="45">
    <w:abstractNumId w:val="7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21D0"/>
    <w:rsid w:val="00014168"/>
    <w:rsid w:val="00016234"/>
    <w:rsid w:val="000179F0"/>
    <w:rsid w:val="00017A16"/>
    <w:rsid w:val="00017D58"/>
    <w:rsid w:val="00017DC0"/>
    <w:rsid w:val="000222D0"/>
    <w:rsid w:val="00022C0D"/>
    <w:rsid w:val="00022E56"/>
    <w:rsid w:val="00023C41"/>
    <w:rsid w:val="00025997"/>
    <w:rsid w:val="00026E09"/>
    <w:rsid w:val="00037264"/>
    <w:rsid w:val="00037CE0"/>
    <w:rsid w:val="00043470"/>
    <w:rsid w:val="00046657"/>
    <w:rsid w:val="00050124"/>
    <w:rsid w:val="00053929"/>
    <w:rsid w:val="00056BB9"/>
    <w:rsid w:val="0006198A"/>
    <w:rsid w:val="00061C9C"/>
    <w:rsid w:val="00070C41"/>
    <w:rsid w:val="0007256F"/>
    <w:rsid w:val="00073625"/>
    <w:rsid w:val="00074DE8"/>
    <w:rsid w:val="000756B8"/>
    <w:rsid w:val="000805B0"/>
    <w:rsid w:val="00081E4B"/>
    <w:rsid w:val="00082A54"/>
    <w:rsid w:val="00082B39"/>
    <w:rsid w:val="000857B3"/>
    <w:rsid w:val="00085CA5"/>
    <w:rsid w:val="0008690D"/>
    <w:rsid w:val="00086B73"/>
    <w:rsid w:val="00086BAD"/>
    <w:rsid w:val="00095C2C"/>
    <w:rsid w:val="000A3137"/>
    <w:rsid w:val="000A3E3E"/>
    <w:rsid w:val="000A7F34"/>
    <w:rsid w:val="000B11FE"/>
    <w:rsid w:val="000B3626"/>
    <w:rsid w:val="000B4EA0"/>
    <w:rsid w:val="000B76DB"/>
    <w:rsid w:val="000C1C39"/>
    <w:rsid w:val="000C2489"/>
    <w:rsid w:val="000C5C18"/>
    <w:rsid w:val="000D3AC2"/>
    <w:rsid w:val="000D5C76"/>
    <w:rsid w:val="000E2FA0"/>
    <w:rsid w:val="000E47E9"/>
    <w:rsid w:val="000E608E"/>
    <w:rsid w:val="001017DC"/>
    <w:rsid w:val="001033E1"/>
    <w:rsid w:val="00115CB9"/>
    <w:rsid w:val="0012096C"/>
    <w:rsid w:val="001233FA"/>
    <w:rsid w:val="001257FE"/>
    <w:rsid w:val="0012581E"/>
    <w:rsid w:val="001275BA"/>
    <w:rsid w:val="00127828"/>
    <w:rsid w:val="001301B9"/>
    <w:rsid w:val="00130DF2"/>
    <w:rsid w:val="0013322B"/>
    <w:rsid w:val="00135A1E"/>
    <w:rsid w:val="0014601C"/>
    <w:rsid w:val="00146AB1"/>
    <w:rsid w:val="00152068"/>
    <w:rsid w:val="00153132"/>
    <w:rsid w:val="00154373"/>
    <w:rsid w:val="00160BCB"/>
    <w:rsid w:val="00161BDA"/>
    <w:rsid w:val="001626D0"/>
    <w:rsid w:val="00170B94"/>
    <w:rsid w:val="00171618"/>
    <w:rsid w:val="0017331A"/>
    <w:rsid w:val="001742FC"/>
    <w:rsid w:val="001819B1"/>
    <w:rsid w:val="00190CDC"/>
    <w:rsid w:val="0019323F"/>
    <w:rsid w:val="00197D3C"/>
    <w:rsid w:val="001A00ED"/>
    <w:rsid w:val="001A2D10"/>
    <w:rsid w:val="001B3F20"/>
    <w:rsid w:val="001B7860"/>
    <w:rsid w:val="001C31AE"/>
    <w:rsid w:val="001C4CF5"/>
    <w:rsid w:val="001C5E41"/>
    <w:rsid w:val="001C77BC"/>
    <w:rsid w:val="001D061B"/>
    <w:rsid w:val="001D4592"/>
    <w:rsid w:val="001D48BB"/>
    <w:rsid w:val="001E00E3"/>
    <w:rsid w:val="001E2777"/>
    <w:rsid w:val="001F05F3"/>
    <w:rsid w:val="001F2349"/>
    <w:rsid w:val="001F5035"/>
    <w:rsid w:val="001F6A49"/>
    <w:rsid w:val="00200197"/>
    <w:rsid w:val="002005D2"/>
    <w:rsid w:val="0020298B"/>
    <w:rsid w:val="00203B2A"/>
    <w:rsid w:val="002056FC"/>
    <w:rsid w:val="00206111"/>
    <w:rsid w:val="00206A06"/>
    <w:rsid w:val="002137E0"/>
    <w:rsid w:val="0021546F"/>
    <w:rsid w:val="0022042A"/>
    <w:rsid w:val="0022179C"/>
    <w:rsid w:val="0022797F"/>
    <w:rsid w:val="00230310"/>
    <w:rsid w:val="00231D73"/>
    <w:rsid w:val="00235638"/>
    <w:rsid w:val="00242F60"/>
    <w:rsid w:val="00246895"/>
    <w:rsid w:val="00247B05"/>
    <w:rsid w:val="002613BD"/>
    <w:rsid w:val="00262838"/>
    <w:rsid w:val="0026361B"/>
    <w:rsid w:val="00267DF5"/>
    <w:rsid w:val="002740DA"/>
    <w:rsid w:val="002741AC"/>
    <w:rsid w:val="00275F13"/>
    <w:rsid w:val="002819C0"/>
    <w:rsid w:val="00284575"/>
    <w:rsid w:val="00295556"/>
    <w:rsid w:val="00295AEB"/>
    <w:rsid w:val="00295BB5"/>
    <w:rsid w:val="002A02DF"/>
    <w:rsid w:val="002A5A4D"/>
    <w:rsid w:val="002B198D"/>
    <w:rsid w:val="002B4262"/>
    <w:rsid w:val="002B643F"/>
    <w:rsid w:val="002B7464"/>
    <w:rsid w:val="002C3A1E"/>
    <w:rsid w:val="002C4470"/>
    <w:rsid w:val="002C6203"/>
    <w:rsid w:val="002C67D1"/>
    <w:rsid w:val="002C7D31"/>
    <w:rsid w:val="002D5A4D"/>
    <w:rsid w:val="002E123C"/>
    <w:rsid w:val="002E22AF"/>
    <w:rsid w:val="002E7094"/>
    <w:rsid w:val="002F03C1"/>
    <w:rsid w:val="002F3147"/>
    <w:rsid w:val="002F45DC"/>
    <w:rsid w:val="00305EA1"/>
    <w:rsid w:val="00307D21"/>
    <w:rsid w:val="00310A9C"/>
    <w:rsid w:val="00313043"/>
    <w:rsid w:val="00315E1A"/>
    <w:rsid w:val="00320B4C"/>
    <w:rsid w:val="003210CC"/>
    <w:rsid w:val="0032230C"/>
    <w:rsid w:val="00322C05"/>
    <w:rsid w:val="00324398"/>
    <w:rsid w:val="0032703B"/>
    <w:rsid w:val="00330516"/>
    <w:rsid w:val="003358FF"/>
    <w:rsid w:val="00341A7F"/>
    <w:rsid w:val="00342B68"/>
    <w:rsid w:val="0034656F"/>
    <w:rsid w:val="00350C75"/>
    <w:rsid w:val="003547A4"/>
    <w:rsid w:val="00355EAC"/>
    <w:rsid w:val="00363AA1"/>
    <w:rsid w:val="003740D2"/>
    <w:rsid w:val="00380408"/>
    <w:rsid w:val="0038110E"/>
    <w:rsid w:val="00384FC3"/>
    <w:rsid w:val="003A3804"/>
    <w:rsid w:val="003A4C3B"/>
    <w:rsid w:val="003A52BE"/>
    <w:rsid w:val="003A54A0"/>
    <w:rsid w:val="003A560E"/>
    <w:rsid w:val="003A5866"/>
    <w:rsid w:val="003A6E9F"/>
    <w:rsid w:val="003B5172"/>
    <w:rsid w:val="003B7816"/>
    <w:rsid w:val="003C0DA6"/>
    <w:rsid w:val="003C6DF4"/>
    <w:rsid w:val="003C7251"/>
    <w:rsid w:val="003D4CD6"/>
    <w:rsid w:val="003E2B58"/>
    <w:rsid w:val="003F0E5F"/>
    <w:rsid w:val="003F32E3"/>
    <w:rsid w:val="0041332D"/>
    <w:rsid w:val="00414B9D"/>
    <w:rsid w:val="0041770E"/>
    <w:rsid w:val="00421291"/>
    <w:rsid w:val="004228C7"/>
    <w:rsid w:val="00424028"/>
    <w:rsid w:val="004245D7"/>
    <w:rsid w:val="0042798B"/>
    <w:rsid w:val="0043045F"/>
    <w:rsid w:val="004316B7"/>
    <w:rsid w:val="00434913"/>
    <w:rsid w:val="00434E29"/>
    <w:rsid w:val="004428A5"/>
    <w:rsid w:val="00444CF6"/>
    <w:rsid w:val="004474F8"/>
    <w:rsid w:val="0046699F"/>
    <w:rsid w:val="004740F6"/>
    <w:rsid w:val="00476312"/>
    <w:rsid w:val="00477550"/>
    <w:rsid w:val="004809E2"/>
    <w:rsid w:val="004844A8"/>
    <w:rsid w:val="00492AB5"/>
    <w:rsid w:val="00495544"/>
    <w:rsid w:val="00496803"/>
    <w:rsid w:val="004A2725"/>
    <w:rsid w:val="004A72F2"/>
    <w:rsid w:val="004B1D44"/>
    <w:rsid w:val="004B3AA4"/>
    <w:rsid w:val="004B3AD8"/>
    <w:rsid w:val="004B4D26"/>
    <w:rsid w:val="004B50C5"/>
    <w:rsid w:val="004B6688"/>
    <w:rsid w:val="004C143B"/>
    <w:rsid w:val="004C1F8B"/>
    <w:rsid w:val="004C5E3B"/>
    <w:rsid w:val="004C611A"/>
    <w:rsid w:val="004D0EC2"/>
    <w:rsid w:val="004D108F"/>
    <w:rsid w:val="004D4A0A"/>
    <w:rsid w:val="004D5399"/>
    <w:rsid w:val="004D5E25"/>
    <w:rsid w:val="004D7819"/>
    <w:rsid w:val="004E13FF"/>
    <w:rsid w:val="004E4374"/>
    <w:rsid w:val="004E5FA8"/>
    <w:rsid w:val="005050F1"/>
    <w:rsid w:val="00505AD0"/>
    <w:rsid w:val="0051601F"/>
    <w:rsid w:val="0051797C"/>
    <w:rsid w:val="00521444"/>
    <w:rsid w:val="0052408D"/>
    <w:rsid w:val="005244A4"/>
    <w:rsid w:val="00527783"/>
    <w:rsid w:val="00532598"/>
    <w:rsid w:val="00532B29"/>
    <w:rsid w:val="0053663D"/>
    <w:rsid w:val="00540905"/>
    <w:rsid w:val="00542391"/>
    <w:rsid w:val="005434FF"/>
    <w:rsid w:val="00546ADC"/>
    <w:rsid w:val="00551F9F"/>
    <w:rsid w:val="005532BA"/>
    <w:rsid w:val="00553610"/>
    <w:rsid w:val="00553973"/>
    <w:rsid w:val="00553FC9"/>
    <w:rsid w:val="00555BA9"/>
    <w:rsid w:val="00557F9C"/>
    <w:rsid w:val="0056419E"/>
    <w:rsid w:val="00566F2F"/>
    <w:rsid w:val="00570550"/>
    <w:rsid w:val="005814B5"/>
    <w:rsid w:val="00582032"/>
    <w:rsid w:val="00585521"/>
    <w:rsid w:val="00586393"/>
    <w:rsid w:val="0058678D"/>
    <w:rsid w:val="005904FE"/>
    <w:rsid w:val="005968E8"/>
    <w:rsid w:val="005A1D60"/>
    <w:rsid w:val="005A286A"/>
    <w:rsid w:val="005A4B85"/>
    <w:rsid w:val="005A4DAE"/>
    <w:rsid w:val="005B5CB5"/>
    <w:rsid w:val="005B61FD"/>
    <w:rsid w:val="005C055C"/>
    <w:rsid w:val="005C445D"/>
    <w:rsid w:val="005C46C0"/>
    <w:rsid w:val="005D00C3"/>
    <w:rsid w:val="005D0365"/>
    <w:rsid w:val="005D3E9D"/>
    <w:rsid w:val="005D489D"/>
    <w:rsid w:val="005D6E28"/>
    <w:rsid w:val="005E0FFB"/>
    <w:rsid w:val="005E498A"/>
    <w:rsid w:val="005E5D0E"/>
    <w:rsid w:val="005F0EF6"/>
    <w:rsid w:val="005F3849"/>
    <w:rsid w:val="005F3E88"/>
    <w:rsid w:val="005F6C2C"/>
    <w:rsid w:val="00606269"/>
    <w:rsid w:val="00614418"/>
    <w:rsid w:val="00615DAE"/>
    <w:rsid w:val="00616192"/>
    <w:rsid w:val="0062380A"/>
    <w:rsid w:val="006256D3"/>
    <w:rsid w:val="00625A2C"/>
    <w:rsid w:val="00627BB7"/>
    <w:rsid w:val="006305C5"/>
    <w:rsid w:val="00635D5E"/>
    <w:rsid w:val="00636543"/>
    <w:rsid w:val="00640429"/>
    <w:rsid w:val="0064334F"/>
    <w:rsid w:val="00644A13"/>
    <w:rsid w:val="00645D5E"/>
    <w:rsid w:val="0065136E"/>
    <w:rsid w:val="00652D40"/>
    <w:rsid w:val="00655300"/>
    <w:rsid w:val="00661326"/>
    <w:rsid w:val="0066786E"/>
    <w:rsid w:val="00670D71"/>
    <w:rsid w:val="00676106"/>
    <w:rsid w:val="00680B6D"/>
    <w:rsid w:val="00683790"/>
    <w:rsid w:val="006846BB"/>
    <w:rsid w:val="00684DE6"/>
    <w:rsid w:val="00694B11"/>
    <w:rsid w:val="00694F87"/>
    <w:rsid w:val="006A78BC"/>
    <w:rsid w:val="006B34FD"/>
    <w:rsid w:val="006B7C23"/>
    <w:rsid w:val="006C1CEA"/>
    <w:rsid w:val="006C2C45"/>
    <w:rsid w:val="006C4E58"/>
    <w:rsid w:val="006D5DAF"/>
    <w:rsid w:val="006E131B"/>
    <w:rsid w:val="006E68F8"/>
    <w:rsid w:val="006E7DCE"/>
    <w:rsid w:val="007050FF"/>
    <w:rsid w:val="00712D42"/>
    <w:rsid w:val="00713EA4"/>
    <w:rsid w:val="007166C8"/>
    <w:rsid w:val="00716D08"/>
    <w:rsid w:val="00717A5F"/>
    <w:rsid w:val="00722266"/>
    <w:rsid w:val="007251F9"/>
    <w:rsid w:val="00732F76"/>
    <w:rsid w:val="007333D0"/>
    <w:rsid w:val="00735CD2"/>
    <w:rsid w:val="0073777D"/>
    <w:rsid w:val="00743C4C"/>
    <w:rsid w:val="007443CF"/>
    <w:rsid w:val="007463CA"/>
    <w:rsid w:val="007524E4"/>
    <w:rsid w:val="00752764"/>
    <w:rsid w:val="00752DDB"/>
    <w:rsid w:val="007537BD"/>
    <w:rsid w:val="00753FDB"/>
    <w:rsid w:val="00754942"/>
    <w:rsid w:val="00754B07"/>
    <w:rsid w:val="00760886"/>
    <w:rsid w:val="00761B3D"/>
    <w:rsid w:val="00762121"/>
    <w:rsid w:val="00764BE5"/>
    <w:rsid w:val="00766962"/>
    <w:rsid w:val="007745D0"/>
    <w:rsid w:val="00775287"/>
    <w:rsid w:val="007772E6"/>
    <w:rsid w:val="0078026C"/>
    <w:rsid w:val="007830E8"/>
    <w:rsid w:val="00783502"/>
    <w:rsid w:val="0078638E"/>
    <w:rsid w:val="00787686"/>
    <w:rsid w:val="0079024D"/>
    <w:rsid w:val="007918CE"/>
    <w:rsid w:val="00794CF7"/>
    <w:rsid w:val="007972E0"/>
    <w:rsid w:val="00797BFF"/>
    <w:rsid w:val="007A6DA3"/>
    <w:rsid w:val="007B0010"/>
    <w:rsid w:val="007B23F9"/>
    <w:rsid w:val="007B4D2B"/>
    <w:rsid w:val="007C6EE2"/>
    <w:rsid w:val="007D33F4"/>
    <w:rsid w:val="007E61D9"/>
    <w:rsid w:val="007E6B93"/>
    <w:rsid w:val="007E7F95"/>
    <w:rsid w:val="007F0929"/>
    <w:rsid w:val="007F0940"/>
    <w:rsid w:val="007F09D5"/>
    <w:rsid w:val="007F3ABE"/>
    <w:rsid w:val="007F5E45"/>
    <w:rsid w:val="007F68AC"/>
    <w:rsid w:val="008017FF"/>
    <w:rsid w:val="00803485"/>
    <w:rsid w:val="00804188"/>
    <w:rsid w:val="008051B3"/>
    <w:rsid w:val="00813DBA"/>
    <w:rsid w:val="008205BF"/>
    <w:rsid w:val="00820624"/>
    <w:rsid w:val="008235CB"/>
    <w:rsid w:val="00824DC8"/>
    <w:rsid w:val="008328E9"/>
    <w:rsid w:val="0083453D"/>
    <w:rsid w:val="00835BCB"/>
    <w:rsid w:val="00835CDC"/>
    <w:rsid w:val="00836EA1"/>
    <w:rsid w:val="00837A92"/>
    <w:rsid w:val="00842068"/>
    <w:rsid w:val="00850B09"/>
    <w:rsid w:val="00863B9D"/>
    <w:rsid w:val="00863BE6"/>
    <w:rsid w:val="00864A66"/>
    <w:rsid w:val="00870A12"/>
    <w:rsid w:val="008775BC"/>
    <w:rsid w:val="00882F1B"/>
    <w:rsid w:val="008915E7"/>
    <w:rsid w:val="0089557D"/>
    <w:rsid w:val="008977AA"/>
    <w:rsid w:val="008A2260"/>
    <w:rsid w:val="008A70CE"/>
    <w:rsid w:val="008B6D3A"/>
    <w:rsid w:val="008C1E65"/>
    <w:rsid w:val="008C25E4"/>
    <w:rsid w:val="008C2DAE"/>
    <w:rsid w:val="008D55C6"/>
    <w:rsid w:val="008D5F82"/>
    <w:rsid w:val="008D641C"/>
    <w:rsid w:val="008E7B86"/>
    <w:rsid w:val="008F102F"/>
    <w:rsid w:val="008F1975"/>
    <w:rsid w:val="008F79F9"/>
    <w:rsid w:val="00903D13"/>
    <w:rsid w:val="009056D1"/>
    <w:rsid w:val="009059A9"/>
    <w:rsid w:val="00906CA3"/>
    <w:rsid w:val="00915044"/>
    <w:rsid w:val="0092515E"/>
    <w:rsid w:val="0092749C"/>
    <w:rsid w:val="009334E5"/>
    <w:rsid w:val="00942FBD"/>
    <w:rsid w:val="009454F0"/>
    <w:rsid w:val="009463C5"/>
    <w:rsid w:val="0094770B"/>
    <w:rsid w:val="00950A44"/>
    <w:rsid w:val="00951355"/>
    <w:rsid w:val="00954CB0"/>
    <w:rsid w:val="00955C1A"/>
    <w:rsid w:val="00955C1B"/>
    <w:rsid w:val="00961013"/>
    <w:rsid w:val="00966D68"/>
    <w:rsid w:val="00974721"/>
    <w:rsid w:val="0097495E"/>
    <w:rsid w:val="00975D7F"/>
    <w:rsid w:val="009766E4"/>
    <w:rsid w:val="0098651C"/>
    <w:rsid w:val="0098760A"/>
    <w:rsid w:val="00997574"/>
    <w:rsid w:val="009B2267"/>
    <w:rsid w:val="009B275E"/>
    <w:rsid w:val="009B2CEE"/>
    <w:rsid w:val="009B3337"/>
    <w:rsid w:val="009B4722"/>
    <w:rsid w:val="009B67EC"/>
    <w:rsid w:val="009C31C0"/>
    <w:rsid w:val="009E0AE8"/>
    <w:rsid w:val="009E0D04"/>
    <w:rsid w:val="009E0E77"/>
    <w:rsid w:val="009E3748"/>
    <w:rsid w:val="009E5374"/>
    <w:rsid w:val="009F0A66"/>
    <w:rsid w:val="009F229C"/>
    <w:rsid w:val="009F345D"/>
    <w:rsid w:val="009F40B7"/>
    <w:rsid w:val="009F5DC6"/>
    <w:rsid w:val="00A01E6F"/>
    <w:rsid w:val="00A02861"/>
    <w:rsid w:val="00A03650"/>
    <w:rsid w:val="00A108E9"/>
    <w:rsid w:val="00A13218"/>
    <w:rsid w:val="00A227A3"/>
    <w:rsid w:val="00A24404"/>
    <w:rsid w:val="00A25597"/>
    <w:rsid w:val="00A26FCC"/>
    <w:rsid w:val="00A274D1"/>
    <w:rsid w:val="00A2906E"/>
    <w:rsid w:val="00A42339"/>
    <w:rsid w:val="00A451CF"/>
    <w:rsid w:val="00A474CB"/>
    <w:rsid w:val="00A50A38"/>
    <w:rsid w:val="00A60B73"/>
    <w:rsid w:val="00A61462"/>
    <w:rsid w:val="00A773A1"/>
    <w:rsid w:val="00A773EC"/>
    <w:rsid w:val="00A80080"/>
    <w:rsid w:val="00A8221E"/>
    <w:rsid w:val="00A976E3"/>
    <w:rsid w:val="00AA09C1"/>
    <w:rsid w:val="00AA13F3"/>
    <w:rsid w:val="00AA6F39"/>
    <w:rsid w:val="00AA7291"/>
    <w:rsid w:val="00AB4951"/>
    <w:rsid w:val="00AB51CC"/>
    <w:rsid w:val="00AB667B"/>
    <w:rsid w:val="00AC0715"/>
    <w:rsid w:val="00AC07F6"/>
    <w:rsid w:val="00AC38B1"/>
    <w:rsid w:val="00AC4EEB"/>
    <w:rsid w:val="00AC6C66"/>
    <w:rsid w:val="00AC7C43"/>
    <w:rsid w:val="00AD1EE9"/>
    <w:rsid w:val="00AD38DC"/>
    <w:rsid w:val="00AD3BFE"/>
    <w:rsid w:val="00AE2DB6"/>
    <w:rsid w:val="00AE3634"/>
    <w:rsid w:val="00AE54C8"/>
    <w:rsid w:val="00AE7389"/>
    <w:rsid w:val="00AF1FB1"/>
    <w:rsid w:val="00B007F4"/>
    <w:rsid w:val="00B04998"/>
    <w:rsid w:val="00B05D5E"/>
    <w:rsid w:val="00B13C8F"/>
    <w:rsid w:val="00B147E5"/>
    <w:rsid w:val="00B167C8"/>
    <w:rsid w:val="00B16E93"/>
    <w:rsid w:val="00B17BD0"/>
    <w:rsid w:val="00B26337"/>
    <w:rsid w:val="00B26490"/>
    <w:rsid w:val="00B27F09"/>
    <w:rsid w:val="00B30B06"/>
    <w:rsid w:val="00B315A0"/>
    <w:rsid w:val="00B34A18"/>
    <w:rsid w:val="00B35D1A"/>
    <w:rsid w:val="00B41529"/>
    <w:rsid w:val="00B420C5"/>
    <w:rsid w:val="00B468CE"/>
    <w:rsid w:val="00B504CA"/>
    <w:rsid w:val="00B54D17"/>
    <w:rsid w:val="00B579CB"/>
    <w:rsid w:val="00B60C3F"/>
    <w:rsid w:val="00B61DD1"/>
    <w:rsid w:val="00B626CD"/>
    <w:rsid w:val="00B654A4"/>
    <w:rsid w:val="00B656D0"/>
    <w:rsid w:val="00B70083"/>
    <w:rsid w:val="00B72846"/>
    <w:rsid w:val="00B72932"/>
    <w:rsid w:val="00B80C90"/>
    <w:rsid w:val="00B83F45"/>
    <w:rsid w:val="00B9377B"/>
    <w:rsid w:val="00B94144"/>
    <w:rsid w:val="00B95012"/>
    <w:rsid w:val="00B9537B"/>
    <w:rsid w:val="00B9546C"/>
    <w:rsid w:val="00BA033C"/>
    <w:rsid w:val="00BA6BC1"/>
    <w:rsid w:val="00BA7F55"/>
    <w:rsid w:val="00BB06B2"/>
    <w:rsid w:val="00BB28F6"/>
    <w:rsid w:val="00BB2D40"/>
    <w:rsid w:val="00BB6EAC"/>
    <w:rsid w:val="00BC02B7"/>
    <w:rsid w:val="00BC2609"/>
    <w:rsid w:val="00BD02B7"/>
    <w:rsid w:val="00BE0B8E"/>
    <w:rsid w:val="00BE109B"/>
    <w:rsid w:val="00BE3A3F"/>
    <w:rsid w:val="00BE5E92"/>
    <w:rsid w:val="00BE75A4"/>
    <w:rsid w:val="00BF6436"/>
    <w:rsid w:val="00C03F48"/>
    <w:rsid w:val="00C13145"/>
    <w:rsid w:val="00C17E09"/>
    <w:rsid w:val="00C208F7"/>
    <w:rsid w:val="00C212FF"/>
    <w:rsid w:val="00C2411D"/>
    <w:rsid w:val="00C2456E"/>
    <w:rsid w:val="00C25E13"/>
    <w:rsid w:val="00C26902"/>
    <w:rsid w:val="00C26EC3"/>
    <w:rsid w:val="00C30AF5"/>
    <w:rsid w:val="00C35FF5"/>
    <w:rsid w:val="00C40E0E"/>
    <w:rsid w:val="00C47732"/>
    <w:rsid w:val="00C53A82"/>
    <w:rsid w:val="00C54E82"/>
    <w:rsid w:val="00C63CAB"/>
    <w:rsid w:val="00C65EB0"/>
    <w:rsid w:val="00C732BC"/>
    <w:rsid w:val="00C7522B"/>
    <w:rsid w:val="00C80AEB"/>
    <w:rsid w:val="00C9549C"/>
    <w:rsid w:val="00C96275"/>
    <w:rsid w:val="00CA412D"/>
    <w:rsid w:val="00CA439F"/>
    <w:rsid w:val="00CB50F3"/>
    <w:rsid w:val="00CB59D1"/>
    <w:rsid w:val="00CC06A3"/>
    <w:rsid w:val="00CC197E"/>
    <w:rsid w:val="00CC63F8"/>
    <w:rsid w:val="00CC7738"/>
    <w:rsid w:val="00CD5A42"/>
    <w:rsid w:val="00CE0038"/>
    <w:rsid w:val="00CE1C48"/>
    <w:rsid w:val="00CE41CF"/>
    <w:rsid w:val="00CE4B81"/>
    <w:rsid w:val="00CE750F"/>
    <w:rsid w:val="00CE7C37"/>
    <w:rsid w:val="00CF0973"/>
    <w:rsid w:val="00CF7A36"/>
    <w:rsid w:val="00D160CB"/>
    <w:rsid w:val="00D17B32"/>
    <w:rsid w:val="00D2023C"/>
    <w:rsid w:val="00D21C5C"/>
    <w:rsid w:val="00D245A1"/>
    <w:rsid w:val="00D260EE"/>
    <w:rsid w:val="00D278A7"/>
    <w:rsid w:val="00D35BCB"/>
    <w:rsid w:val="00D405DB"/>
    <w:rsid w:val="00D415E2"/>
    <w:rsid w:val="00D42055"/>
    <w:rsid w:val="00D5480A"/>
    <w:rsid w:val="00D55239"/>
    <w:rsid w:val="00D563B4"/>
    <w:rsid w:val="00D60B2A"/>
    <w:rsid w:val="00D630A8"/>
    <w:rsid w:val="00D647C3"/>
    <w:rsid w:val="00D650C2"/>
    <w:rsid w:val="00D706EF"/>
    <w:rsid w:val="00D730A7"/>
    <w:rsid w:val="00D7646A"/>
    <w:rsid w:val="00D7768F"/>
    <w:rsid w:val="00D8229A"/>
    <w:rsid w:val="00D82A28"/>
    <w:rsid w:val="00D91624"/>
    <w:rsid w:val="00D92A1E"/>
    <w:rsid w:val="00D95555"/>
    <w:rsid w:val="00D9633A"/>
    <w:rsid w:val="00DA32BF"/>
    <w:rsid w:val="00DB7948"/>
    <w:rsid w:val="00DD1AB4"/>
    <w:rsid w:val="00DD5B60"/>
    <w:rsid w:val="00DD6844"/>
    <w:rsid w:val="00DD696F"/>
    <w:rsid w:val="00DD71D6"/>
    <w:rsid w:val="00DD7DAF"/>
    <w:rsid w:val="00DE189D"/>
    <w:rsid w:val="00DF2386"/>
    <w:rsid w:val="00DF4C94"/>
    <w:rsid w:val="00DF6E11"/>
    <w:rsid w:val="00DF6E76"/>
    <w:rsid w:val="00DF7FE7"/>
    <w:rsid w:val="00E03E71"/>
    <w:rsid w:val="00E06E21"/>
    <w:rsid w:val="00E13995"/>
    <w:rsid w:val="00E16295"/>
    <w:rsid w:val="00E20712"/>
    <w:rsid w:val="00E22FF0"/>
    <w:rsid w:val="00E318A4"/>
    <w:rsid w:val="00E337C9"/>
    <w:rsid w:val="00E36E2C"/>
    <w:rsid w:val="00E3797F"/>
    <w:rsid w:val="00E40890"/>
    <w:rsid w:val="00E46367"/>
    <w:rsid w:val="00E46897"/>
    <w:rsid w:val="00E5063A"/>
    <w:rsid w:val="00E54353"/>
    <w:rsid w:val="00E62742"/>
    <w:rsid w:val="00E63842"/>
    <w:rsid w:val="00E63F0B"/>
    <w:rsid w:val="00E66205"/>
    <w:rsid w:val="00E76D2C"/>
    <w:rsid w:val="00E80A06"/>
    <w:rsid w:val="00E90EFC"/>
    <w:rsid w:val="00E93F24"/>
    <w:rsid w:val="00E95815"/>
    <w:rsid w:val="00E96B1B"/>
    <w:rsid w:val="00EA1FEA"/>
    <w:rsid w:val="00EA3A7F"/>
    <w:rsid w:val="00EA3CBA"/>
    <w:rsid w:val="00EA54CD"/>
    <w:rsid w:val="00EA653F"/>
    <w:rsid w:val="00EB68CB"/>
    <w:rsid w:val="00EC096B"/>
    <w:rsid w:val="00EC4519"/>
    <w:rsid w:val="00ED09D6"/>
    <w:rsid w:val="00ED0E3C"/>
    <w:rsid w:val="00EF4C46"/>
    <w:rsid w:val="00EF5C84"/>
    <w:rsid w:val="00EF6365"/>
    <w:rsid w:val="00EF72AB"/>
    <w:rsid w:val="00F00593"/>
    <w:rsid w:val="00F029DC"/>
    <w:rsid w:val="00F03341"/>
    <w:rsid w:val="00F04120"/>
    <w:rsid w:val="00F078F1"/>
    <w:rsid w:val="00F10468"/>
    <w:rsid w:val="00F1199E"/>
    <w:rsid w:val="00F12D1E"/>
    <w:rsid w:val="00F13691"/>
    <w:rsid w:val="00F15323"/>
    <w:rsid w:val="00F15F5A"/>
    <w:rsid w:val="00F26784"/>
    <w:rsid w:val="00F32D03"/>
    <w:rsid w:val="00F3331F"/>
    <w:rsid w:val="00F33B96"/>
    <w:rsid w:val="00F344DE"/>
    <w:rsid w:val="00F35A34"/>
    <w:rsid w:val="00F35B51"/>
    <w:rsid w:val="00F37FA4"/>
    <w:rsid w:val="00F411B5"/>
    <w:rsid w:val="00F41860"/>
    <w:rsid w:val="00F468BE"/>
    <w:rsid w:val="00F52ABC"/>
    <w:rsid w:val="00F53177"/>
    <w:rsid w:val="00F535CE"/>
    <w:rsid w:val="00F57542"/>
    <w:rsid w:val="00F57F55"/>
    <w:rsid w:val="00F61FE3"/>
    <w:rsid w:val="00F623B3"/>
    <w:rsid w:val="00F627A0"/>
    <w:rsid w:val="00F655F6"/>
    <w:rsid w:val="00F65F11"/>
    <w:rsid w:val="00F673F7"/>
    <w:rsid w:val="00F73BA1"/>
    <w:rsid w:val="00F73E71"/>
    <w:rsid w:val="00F81B6D"/>
    <w:rsid w:val="00F87126"/>
    <w:rsid w:val="00F90DBE"/>
    <w:rsid w:val="00F93A33"/>
    <w:rsid w:val="00FA2506"/>
    <w:rsid w:val="00FA2E1C"/>
    <w:rsid w:val="00FA49EA"/>
    <w:rsid w:val="00FA76D5"/>
    <w:rsid w:val="00FB4204"/>
    <w:rsid w:val="00FB4C0B"/>
    <w:rsid w:val="00FC2EEF"/>
    <w:rsid w:val="00FC6FDA"/>
    <w:rsid w:val="00FD30C3"/>
    <w:rsid w:val="00FD611B"/>
    <w:rsid w:val="00FE24B0"/>
    <w:rsid w:val="00FF0B86"/>
    <w:rsid w:val="00FF170C"/>
    <w:rsid w:val="00FF5E1D"/>
    <w:rsid w:val="00FF7846"/>
    <w:rsid w:val="074955AE"/>
    <w:rsid w:val="0775E00A"/>
    <w:rsid w:val="0CC00D48"/>
    <w:rsid w:val="0F268C2F"/>
    <w:rsid w:val="10582C45"/>
    <w:rsid w:val="11133C19"/>
    <w:rsid w:val="13E7FEB2"/>
    <w:rsid w:val="16D4FB99"/>
    <w:rsid w:val="18D4C483"/>
    <w:rsid w:val="1CA1DDE8"/>
    <w:rsid w:val="20A924F8"/>
    <w:rsid w:val="20B4159D"/>
    <w:rsid w:val="2244F559"/>
    <w:rsid w:val="23E0C5BA"/>
    <w:rsid w:val="24D9BE47"/>
    <w:rsid w:val="24FFA82E"/>
    <w:rsid w:val="256F4F2C"/>
    <w:rsid w:val="257C961B"/>
    <w:rsid w:val="2663E06F"/>
    <w:rsid w:val="2718667C"/>
    <w:rsid w:val="28387FA0"/>
    <w:rsid w:val="29FA3B0F"/>
    <w:rsid w:val="2B59FD36"/>
    <w:rsid w:val="34907CCF"/>
    <w:rsid w:val="36C7E7F2"/>
    <w:rsid w:val="36DAF3CC"/>
    <w:rsid w:val="39951C27"/>
    <w:rsid w:val="3B1E81F5"/>
    <w:rsid w:val="3B30EC88"/>
    <w:rsid w:val="3BD4D9B1"/>
    <w:rsid w:val="3BFC4485"/>
    <w:rsid w:val="3EAFAF48"/>
    <w:rsid w:val="3F289EC0"/>
    <w:rsid w:val="426C3063"/>
    <w:rsid w:val="49AFEA9B"/>
    <w:rsid w:val="4B83F2E5"/>
    <w:rsid w:val="4F594EAE"/>
    <w:rsid w:val="50907C90"/>
    <w:rsid w:val="532F1128"/>
    <w:rsid w:val="55D330FD"/>
    <w:rsid w:val="56044167"/>
    <w:rsid w:val="563C09AA"/>
    <w:rsid w:val="5757E526"/>
    <w:rsid w:val="5834D317"/>
    <w:rsid w:val="5A11C856"/>
    <w:rsid w:val="5AB60B84"/>
    <w:rsid w:val="5B45E4CA"/>
    <w:rsid w:val="5CE70B38"/>
    <w:rsid w:val="5F0C3C9F"/>
    <w:rsid w:val="6087FC94"/>
    <w:rsid w:val="609FA553"/>
    <w:rsid w:val="67C6BF68"/>
    <w:rsid w:val="67DCD925"/>
    <w:rsid w:val="695E3E8F"/>
    <w:rsid w:val="6CD6DA24"/>
    <w:rsid w:val="70100E02"/>
    <w:rsid w:val="7068859A"/>
    <w:rsid w:val="74147DAF"/>
    <w:rsid w:val="75BB9F32"/>
    <w:rsid w:val="76E07E4F"/>
    <w:rsid w:val="775CF360"/>
    <w:rsid w:val="78284743"/>
    <w:rsid w:val="799E9C83"/>
    <w:rsid w:val="7CC56758"/>
    <w:rsid w:val="7E4F121E"/>
    <w:rsid w:val="7E8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D200A"/>
  <w15:docId w15:val="{F445D6A4-8D96-485D-8842-06EAEFE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sc57-doc19-ramsar-convention-resource-mobilization-work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A5786B231842823F4788613102AF" ma:contentTypeVersion="4" ma:contentTypeDescription="Create a new document." ma:contentTypeScope="" ma:versionID="a8134e40f42453dbe842de2c471c1410">
  <xsd:schema xmlns:xsd="http://www.w3.org/2001/XMLSchema" xmlns:xs="http://www.w3.org/2001/XMLSchema" xmlns:p="http://schemas.microsoft.com/office/2006/metadata/properties" xmlns:ns2="61a8272d-96cf-4049-bae8-824c01106527" xmlns:ns3="2091f3a7-85e0-4369-82dd-069689515281" targetNamespace="http://schemas.microsoft.com/office/2006/metadata/properties" ma:root="true" ma:fieldsID="e85e3404e872e2e61a58673f4ac3cc0c" ns2:_="" ns3:_="">
    <xsd:import namespace="61a8272d-96cf-4049-bae8-824c01106527"/>
    <xsd:import namespace="2091f3a7-85e0-4369-82dd-06968951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8272d-96cf-4049-bae8-824c01106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1f3a7-85e0-4369-82dd-069689515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CD39-44AD-453B-AF58-6B18611A0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76396-E152-459A-BBBB-2652F0612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8272d-96cf-4049-bae8-824c01106527"/>
    <ds:schemaRef ds:uri="2091f3a7-85e0-4369-82dd-06968951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829F8-2D3A-4AF6-8422-48CB707B6414}">
  <ds:schemaRefs>
    <ds:schemaRef ds:uri="http://www.w3.org/XML/1998/namespace"/>
    <ds:schemaRef ds:uri="http://schemas.microsoft.com/office/infopath/2007/PartnerControls"/>
    <ds:schemaRef ds:uri="61a8272d-96cf-4049-bae8-824c0110652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091f3a7-85e0-4369-82dd-069689515281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93141E-1B02-4A3C-88F4-244302E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3</cp:revision>
  <cp:lastPrinted>2023-05-15T07:14:00Z</cp:lastPrinted>
  <dcterms:created xsi:type="dcterms:W3CDTF">2023-05-16T09:33:00Z</dcterms:created>
  <dcterms:modified xsi:type="dcterms:W3CDTF">2023-06-01T12:54:00Z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0x010100F203A5786B231842823F4788613102AF</vt:lpwstr>
  </property>
</Properties>
</file>