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0796" w14:textId="65252BCD" w:rsidR="004C281E" w:rsidRPr="00D07275" w:rsidRDefault="003E42FB" w:rsidP="004C281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LA </w:t>
      </w:r>
      <w:r w:rsidR="004C281E" w:rsidRPr="00D07275">
        <w:rPr>
          <w:bCs/>
          <w:sz w:val="24"/>
          <w:szCs w:val="24"/>
          <w:lang w:val="es-ES"/>
        </w:rPr>
        <w:t>CONVENCIÓN SOBRE LOS HUMEDALES</w:t>
      </w:r>
    </w:p>
    <w:p w14:paraId="78F77592" w14:textId="419255AE" w:rsidR="00343963" w:rsidRPr="00D07275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  <w:lang w:val="es-ES"/>
        </w:rPr>
      </w:pPr>
      <w:r w:rsidRPr="00D07275">
        <w:rPr>
          <w:bCs/>
          <w:sz w:val="24"/>
          <w:szCs w:val="24"/>
          <w:lang w:val="es-ES"/>
        </w:rPr>
        <w:t>60</w:t>
      </w:r>
      <w:r w:rsidR="004C281E" w:rsidRPr="00D07275">
        <w:rPr>
          <w:bCs/>
          <w:sz w:val="24"/>
          <w:szCs w:val="24"/>
          <w:lang w:val="es-ES"/>
        </w:rPr>
        <w:t>ª</w:t>
      </w:r>
      <w:r w:rsidRPr="00D07275">
        <w:rPr>
          <w:bCs/>
          <w:sz w:val="24"/>
          <w:szCs w:val="24"/>
          <w:lang w:val="es-ES"/>
        </w:rPr>
        <w:t xml:space="preserve"> </w:t>
      </w:r>
      <w:r w:rsidR="004C281E" w:rsidRPr="00D07275">
        <w:rPr>
          <w:bCs/>
          <w:sz w:val="24"/>
          <w:szCs w:val="24"/>
          <w:lang w:val="es-ES"/>
        </w:rPr>
        <w:t>Reunión del Comité Permanente</w:t>
      </w:r>
    </w:p>
    <w:p w14:paraId="486652F5" w14:textId="2A7C6771" w:rsidR="00343963" w:rsidRPr="00D07275" w:rsidRDefault="00343963" w:rsidP="0034396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left="425" w:right="2790" w:hanging="425"/>
        <w:rPr>
          <w:bCs/>
          <w:sz w:val="24"/>
          <w:szCs w:val="24"/>
          <w:lang w:val="es-ES"/>
        </w:rPr>
      </w:pPr>
      <w:r w:rsidRPr="00D07275">
        <w:rPr>
          <w:bCs/>
          <w:sz w:val="24"/>
          <w:szCs w:val="24"/>
          <w:lang w:val="es-ES"/>
        </w:rPr>
        <w:t>G</w:t>
      </w:r>
      <w:r w:rsidR="004C281E" w:rsidRPr="00D07275">
        <w:rPr>
          <w:bCs/>
          <w:sz w:val="24"/>
          <w:szCs w:val="24"/>
          <w:lang w:val="es-ES"/>
        </w:rPr>
        <w:t>inebr</w:t>
      </w:r>
      <w:r w:rsidRPr="00D07275">
        <w:rPr>
          <w:bCs/>
          <w:sz w:val="24"/>
          <w:szCs w:val="24"/>
          <w:lang w:val="es-ES"/>
        </w:rPr>
        <w:t xml:space="preserve">a, </w:t>
      </w:r>
      <w:r w:rsidR="004C281E" w:rsidRPr="00D07275">
        <w:rPr>
          <w:bCs/>
          <w:sz w:val="24"/>
          <w:szCs w:val="24"/>
          <w:lang w:val="es-ES"/>
        </w:rPr>
        <w:t>Suiza</w:t>
      </w:r>
      <w:r w:rsidRPr="00D07275">
        <w:rPr>
          <w:bCs/>
          <w:sz w:val="24"/>
          <w:szCs w:val="24"/>
          <w:lang w:val="es-ES"/>
        </w:rPr>
        <w:t xml:space="preserve">, 5 </w:t>
      </w:r>
      <w:r w:rsidR="004C281E" w:rsidRPr="00D07275">
        <w:rPr>
          <w:bCs/>
          <w:sz w:val="24"/>
          <w:szCs w:val="24"/>
          <w:lang w:val="es-ES"/>
        </w:rPr>
        <w:t xml:space="preserve">de noviembre de </w:t>
      </w:r>
      <w:r w:rsidRPr="00D07275">
        <w:rPr>
          <w:bCs/>
          <w:sz w:val="24"/>
          <w:szCs w:val="24"/>
          <w:lang w:val="es-ES"/>
        </w:rPr>
        <w:t>2022</w:t>
      </w:r>
    </w:p>
    <w:p w14:paraId="40C01035" w14:textId="77777777" w:rsidR="008902A5" w:rsidRPr="00D07275" w:rsidRDefault="008902A5" w:rsidP="00DC6C7C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233A8750" w14:textId="7521D8C6" w:rsidR="00DF2386" w:rsidRPr="00D07275" w:rsidRDefault="00A726B6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  <w:r w:rsidRPr="00D07275">
        <w:rPr>
          <w:rFonts w:cs="Arial"/>
          <w:b/>
          <w:sz w:val="28"/>
          <w:szCs w:val="28"/>
          <w:lang w:val="es-ES"/>
        </w:rPr>
        <w:t xml:space="preserve">SC60 </w:t>
      </w:r>
      <w:r w:rsidR="00605039" w:rsidRPr="00D07275">
        <w:rPr>
          <w:rFonts w:cs="Arial"/>
          <w:b/>
          <w:sz w:val="28"/>
          <w:szCs w:val="28"/>
          <w:lang w:val="es-ES"/>
        </w:rPr>
        <w:t>Doc.</w:t>
      </w:r>
      <w:r w:rsidR="00B64CD9" w:rsidRPr="00D07275">
        <w:rPr>
          <w:rFonts w:cs="Arial"/>
          <w:b/>
          <w:sz w:val="28"/>
          <w:szCs w:val="28"/>
          <w:lang w:val="es-ES"/>
        </w:rPr>
        <w:t>8.1</w:t>
      </w:r>
    </w:p>
    <w:p w14:paraId="1765DB89" w14:textId="77777777" w:rsidR="00605039" w:rsidRPr="00D07275" w:rsidRDefault="00605039" w:rsidP="004F4DC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</w:p>
    <w:p w14:paraId="7AD19A39" w14:textId="233E440F" w:rsidR="00B71CC4" w:rsidRPr="00D07275" w:rsidRDefault="00B71CC4" w:rsidP="00B71CC4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  <w:r w:rsidRPr="00D07275">
        <w:rPr>
          <w:rFonts w:cs="Arial"/>
          <w:b/>
          <w:sz w:val="28"/>
          <w:szCs w:val="28"/>
          <w:lang w:val="es-ES"/>
        </w:rPr>
        <w:t>Cuestione</w:t>
      </w:r>
      <w:r w:rsidR="003E42FB">
        <w:rPr>
          <w:rFonts w:cs="Arial"/>
          <w:b/>
          <w:sz w:val="28"/>
          <w:szCs w:val="28"/>
          <w:lang w:val="es-ES"/>
        </w:rPr>
        <w:t>s financieras y presupuestarias</w:t>
      </w:r>
      <w:r w:rsidR="003E42FB">
        <w:rPr>
          <w:rFonts w:cs="Arial"/>
          <w:b/>
          <w:sz w:val="28"/>
          <w:szCs w:val="28"/>
          <w:lang w:val="es-ES"/>
        </w:rPr>
        <w:br/>
        <w:t>A</w:t>
      </w:r>
      <w:bookmarkStart w:id="0" w:name="_GoBack"/>
      <w:bookmarkEnd w:id="0"/>
      <w:r w:rsidRPr="00D07275">
        <w:rPr>
          <w:rFonts w:cs="Arial"/>
          <w:b/>
          <w:sz w:val="28"/>
          <w:szCs w:val="28"/>
          <w:lang w:val="es-ES"/>
        </w:rPr>
        <w:t xml:space="preserve">ctualización </w:t>
      </w:r>
      <w:r w:rsidR="009C0819">
        <w:rPr>
          <w:rFonts w:cs="Arial"/>
          <w:b/>
          <w:sz w:val="28"/>
          <w:szCs w:val="28"/>
          <w:lang w:val="es-ES"/>
        </w:rPr>
        <w:t>d</w:t>
      </w:r>
      <w:r w:rsidRPr="00D07275">
        <w:rPr>
          <w:rFonts w:cs="Arial"/>
          <w:b/>
          <w:sz w:val="28"/>
          <w:szCs w:val="28"/>
          <w:lang w:val="es-ES"/>
        </w:rPr>
        <w:t>el presupuesto básico para 202</w:t>
      </w:r>
      <w:r w:rsidR="009C0819">
        <w:rPr>
          <w:rFonts w:cs="Arial"/>
          <w:b/>
          <w:sz w:val="28"/>
          <w:szCs w:val="28"/>
          <w:lang w:val="es-ES"/>
        </w:rPr>
        <w:t>2</w:t>
      </w:r>
      <w:r w:rsidRPr="00D07275">
        <w:rPr>
          <w:rFonts w:cs="Arial"/>
          <w:b/>
          <w:sz w:val="28"/>
          <w:szCs w:val="28"/>
          <w:lang w:val="es-ES"/>
        </w:rPr>
        <w:t xml:space="preserve"> </w:t>
      </w:r>
    </w:p>
    <w:p w14:paraId="5D924D89" w14:textId="77777777" w:rsidR="004F4DC9" w:rsidRPr="00D07275" w:rsidRDefault="004F4DC9" w:rsidP="004F4DC9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50B57BE0" w14:textId="77777777" w:rsidR="00ED780A" w:rsidRPr="00D07275" w:rsidRDefault="00ED780A" w:rsidP="0060503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lang w:val="es-ES"/>
        </w:rPr>
      </w:pPr>
      <w:r w:rsidRPr="00D07275">
        <w:rPr>
          <w:noProof/>
          <w:lang w:eastAsia="en-GB"/>
        </w:rPr>
        <mc:AlternateContent>
          <mc:Choice Requires="wps">
            <w:drawing>
              <wp:inline distT="0" distB="0" distL="0" distR="0" wp14:anchorId="560495A5" wp14:editId="7FF6B020">
                <wp:extent cx="5731510" cy="964800"/>
                <wp:effectExtent l="0" t="0" r="8890" b="133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D2A8F" w14:textId="77777777" w:rsidR="009D673C" w:rsidRPr="00B96F68" w:rsidRDefault="009D673C" w:rsidP="002418E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b/>
                                <w:bCs/>
                                <w:noProof/>
                                <w:lang w:val="es-ES"/>
                              </w:rPr>
                              <w:t xml:space="preserve">Acción solicitada: </w:t>
                            </w:r>
                          </w:p>
                          <w:p w14:paraId="3E567F60" w14:textId="77777777" w:rsidR="009D673C" w:rsidRPr="00B96F68" w:rsidRDefault="009D673C" w:rsidP="002418E7">
                            <w:pPr>
                              <w:pStyle w:val="ColorfulList-Accent11"/>
                              <w:ind w:left="0" w:firstLine="0"/>
                              <w:rPr>
                                <w:noProof/>
                                <w:lang w:val="es-ES"/>
                              </w:rPr>
                            </w:pPr>
                          </w:p>
                          <w:p w14:paraId="6892305C" w14:textId="46BB1CA8" w:rsidR="009D673C" w:rsidRPr="00B96F68" w:rsidRDefault="009D673C" w:rsidP="002418E7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noProof/>
                                <w:lang w:val="es-ES"/>
                              </w:rPr>
                            </w:pPr>
                            <w:r w:rsidRPr="00B96F68">
                              <w:rPr>
                                <w:noProof/>
                                <w:lang w:val="es-ES"/>
                              </w:rPr>
                              <w:t xml:space="preserve">Se invita al Comité Permanente a </w:t>
                            </w:r>
                            <w:r w:rsidRPr="00B96F68">
                              <w:rPr>
                                <w:rFonts w:cs="Calibri"/>
                                <w:noProof/>
                                <w:lang w:val="es-ES"/>
                              </w:rPr>
                              <w:t>examinar y aprobar la reasignación propuesta del presupuesto básico para 20</w:t>
                            </w:r>
                            <w:r>
                              <w:rPr>
                                <w:rFonts w:cs="Calibri"/>
                                <w:noProof/>
                                <w:lang w:val="es-ES"/>
                              </w:rPr>
                              <w:t>22.</w:t>
                            </w:r>
                          </w:p>
                          <w:p w14:paraId="0786241E" w14:textId="252D4137" w:rsidR="009D673C" w:rsidRPr="003E42FB" w:rsidRDefault="009D673C" w:rsidP="00D82B62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0495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">
                <v:textbox>
                  <w:txbxContent>
                    <w:p w14:paraId="4FFD2A8F" w14:textId="77777777" w:rsidR="009D673C" w:rsidRPr="00B96F68" w:rsidRDefault="009D673C" w:rsidP="002418E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lang w:val="es-ES"/>
                        </w:rPr>
                      </w:pPr>
                      <w:r w:rsidRPr="00B96F68">
                        <w:rPr>
                          <w:b/>
                          <w:bCs/>
                          <w:noProof/>
                          <w:lang w:val="es-ES"/>
                        </w:rPr>
                        <w:t xml:space="preserve">Acción solicitada: </w:t>
                      </w:r>
                    </w:p>
                    <w:p w14:paraId="3E567F60" w14:textId="77777777" w:rsidR="009D673C" w:rsidRPr="00B96F68" w:rsidRDefault="009D673C" w:rsidP="002418E7">
                      <w:pPr>
                        <w:pStyle w:val="ColorfulList-Accent11"/>
                        <w:ind w:left="0" w:firstLine="0"/>
                        <w:rPr>
                          <w:noProof/>
                          <w:lang w:val="es-ES"/>
                        </w:rPr>
                      </w:pPr>
                    </w:p>
                    <w:p w14:paraId="6892305C" w14:textId="46BB1CA8" w:rsidR="009D673C" w:rsidRPr="00B96F68" w:rsidRDefault="009D673C" w:rsidP="002418E7">
                      <w:pPr>
                        <w:pStyle w:val="ColorfulList-Accent11"/>
                        <w:ind w:left="0" w:firstLine="0"/>
                        <w:rPr>
                          <w:rFonts w:cs="Calibri"/>
                          <w:noProof/>
                          <w:lang w:val="es-ES"/>
                        </w:rPr>
                      </w:pPr>
                      <w:r w:rsidRPr="00B96F68">
                        <w:rPr>
                          <w:noProof/>
                          <w:lang w:val="es-ES"/>
                        </w:rPr>
                        <w:t xml:space="preserve">Se invita al Comité Permanente a </w:t>
                      </w:r>
                      <w:r w:rsidRPr="00B96F68">
                        <w:rPr>
                          <w:rFonts w:cs="Calibri"/>
                          <w:noProof/>
                          <w:lang w:val="es-ES"/>
                        </w:rPr>
                        <w:t>examinar y aprobar la reasignación propuesta del presupuesto básico para 20</w:t>
                      </w:r>
                      <w:r>
                        <w:rPr>
                          <w:rFonts w:cs="Calibri"/>
                          <w:noProof/>
                          <w:lang w:val="es-ES"/>
                        </w:rPr>
                        <w:t>22.</w:t>
                      </w:r>
                    </w:p>
                    <w:p w14:paraId="0786241E" w14:textId="252D4137" w:rsidR="009D673C" w:rsidRDefault="009D673C" w:rsidP="00D82B62">
                      <w:pPr>
                        <w:pStyle w:val="ColorfulList-Accent11"/>
                        <w:ind w:left="0" w:firstLine="0"/>
                        <w:rPr>
                          <w:rFonts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5E2AEC" w14:textId="6B7E1756" w:rsidR="00605039" w:rsidRPr="00D07275" w:rsidRDefault="00605039" w:rsidP="009B496E">
      <w:pPr>
        <w:spacing w:after="0" w:line="240" w:lineRule="auto"/>
        <w:rPr>
          <w:u w:val="single"/>
          <w:lang w:val="es-ES"/>
        </w:rPr>
      </w:pPr>
    </w:p>
    <w:p w14:paraId="5F52263E" w14:textId="77777777" w:rsidR="00343963" w:rsidRPr="00D07275" w:rsidRDefault="00343963" w:rsidP="009B496E">
      <w:pPr>
        <w:spacing w:after="0" w:line="240" w:lineRule="auto"/>
        <w:rPr>
          <w:u w:val="single"/>
          <w:lang w:val="es-ES"/>
        </w:rPr>
      </w:pPr>
    </w:p>
    <w:p w14:paraId="47C68A5F" w14:textId="2E935F92" w:rsidR="002418E7" w:rsidRPr="00D07275" w:rsidRDefault="00C31DAC" w:rsidP="000E289D">
      <w:pPr>
        <w:spacing w:after="0" w:line="240" w:lineRule="auto"/>
        <w:ind w:left="425" w:hanging="425"/>
        <w:rPr>
          <w:lang w:val="es-ES"/>
        </w:rPr>
      </w:pPr>
      <w:r w:rsidRPr="00D07275">
        <w:rPr>
          <w:lang w:val="es-ES"/>
        </w:rPr>
        <w:t>1</w:t>
      </w:r>
      <w:r w:rsidR="000E289D">
        <w:rPr>
          <w:lang w:val="es-ES"/>
        </w:rPr>
        <w:t>.</w:t>
      </w:r>
      <w:r w:rsidR="002418E7" w:rsidRPr="000E289D">
        <w:rPr>
          <w:lang w:val="es-ES"/>
        </w:rPr>
        <w:tab/>
      </w:r>
      <w:r w:rsidR="001E4CF5" w:rsidRPr="000E289D">
        <w:rPr>
          <w:lang w:val="es-ES"/>
        </w:rPr>
        <w:t>En la sesión reanudada de la 59ª reunión (SC59/2022), mediante la</w:t>
      </w:r>
      <w:r w:rsidR="002418E7" w:rsidRPr="000E289D">
        <w:rPr>
          <w:lang w:val="es-ES"/>
        </w:rPr>
        <w:t xml:space="preserve"> Decisión</w:t>
      </w:r>
      <w:r w:rsidR="002418E7" w:rsidRPr="00D07275">
        <w:rPr>
          <w:lang w:val="es-ES"/>
        </w:rPr>
        <w:t xml:space="preserve"> SC5</w:t>
      </w:r>
      <w:r w:rsidR="001E4CF5">
        <w:rPr>
          <w:lang w:val="es-ES"/>
        </w:rPr>
        <w:t>9/2022</w:t>
      </w:r>
      <w:r w:rsidR="002418E7" w:rsidRPr="00D07275">
        <w:rPr>
          <w:lang w:val="es-ES"/>
        </w:rPr>
        <w:t>-</w:t>
      </w:r>
      <w:r w:rsidR="001E4CF5">
        <w:rPr>
          <w:lang w:val="es-ES"/>
        </w:rPr>
        <w:t>3</w:t>
      </w:r>
      <w:r w:rsidR="002418E7" w:rsidRPr="00D07275">
        <w:rPr>
          <w:lang w:val="es-ES"/>
        </w:rPr>
        <w:t>6</w:t>
      </w:r>
      <w:r w:rsidR="001E4CF5">
        <w:rPr>
          <w:lang w:val="es-ES"/>
        </w:rPr>
        <w:t xml:space="preserve">, el Comité Permanente </w:t>
      </w:r>
      <w:r w:rsidR="002418E7" w:rsidRPr="00D07275">
        <w:rPr>
          <w:lang w:val="es-ES"/>
        </w:rPr>
        <w:t>aprobó el informe del Subgrupo de Finanzas, inclu</w:t>
      </w:r>
      <w:r w:rsidR="001E4CF5">
        <w:rPr>
          <w:lang w:val="es-ES"/>
        </w:rPr>
        <w:t>yendo</w:t>
      </w:r>
      <w:r w:rsidR="002418E7" w:rsidRPr="00D07275">
        <w:rPr>
          <w:lang w:val="es-ES"/>
        </w:rPr>
        <w:t xml:space="preserve"> la asignación </w:t>
      </w:r>
      <w:r w:rsidR="00A06A20">
        <w:rPr>
          <w:lang w:val="es-ES"/>
        </w:rPr>
        <w:t xml:space="preserve">revisada </w:t>
      </w:r>
      <w:r w:rsidR="002418E7" w:rsidRPr="00D07275">
        <w:rPr>
          <w:lang w:val="es-ES"/>
        </w:rPr>
        <w:t>del presupuesto básico para 20</w:t>
      </w:r>
      <w:r w:rsidR="001E4CF5">
        <w:rPr>
          <w:lang w:val="es-ES"/>
        </w:rPr>
        <w:t>22</w:t>
      </w:r>
      <w:r w:rsidR="002418E7" w:rsidRPr="00D07275">
        <w:rPr>
          <w:lang w:val="es-ES"/>
        </w:rPr>
        <w:t xml:space="preserve"> (véase el Anexo 1 del informe del Subgrupo de Finanzas</w:t>
      </w:r>
      <w:r w:rsidR="00CE3877">
        <w:rPr>
          <w:lang w:val="es-ES"/>
        </w:rPr>
        <w:t xml:space="preserve">, documento </w:t>
      </w:r>
      <w:r w:rsidR="002418E7" w:rsidRPr="00D07275">
        <w:rPr>
          <w:lang w:val="es-ES"/>
        </w:rPr>
        <w:t>SC5</w:t>
      </w:r>
      <w:r w:rsidR="00CE3877">
        <w:rPr>
          <w:lang w:val="es-ES"/>
        </w:rPr>
        <w:t>9/2022 Com.2 Rev.1</w:t>
      </w:r>
      <w:r w:rsidR="002C315C">
        <w:rPr>
          <w:rStyle w:val="FootnoteReference"/>
          <w:lang w:val="es-ES"/>
        </w:rPr>
        <w:footnoteReference w:id="2"/>
      </w:r>
      <w:r w:rsidR="00CE3877">
        <w:rPr>
          <w:lang w:val="es-ES"/>
        </w:rPr>
        <w:t xml:space="preserve">). </w:t>
      </w:r>
      <w:r w:rsidR="002418E7" w:rsidRPr="00D07275">
        <w:rPr>
          <w:lang w:val="es-ES"/>
        </w:rPr>
        <w:t xml:space="preserve"> </w:t>
      </w:r>
    </w:p>
    <w:p w14:paraId="26B7405F" w14:textId="77777777" w:rsidR="002418E7" w:rsidRPr="00D07275" w:rsidRDefault="002418E7" w:rsidP="002418E7">
      <w:pPr>
        <w:pStyle w:val="ListParagraph"/>
        <w:spacing w:after="0" w:line="240" w:lineRule="auto"/>
        <w:ind w:left="0" w:hanging="425"/>
        <w:rPr>
          <w:lang w:val="es-ES"/>
        </w:rPr>
      </w:pPr>
    </w:p>
    <w:p w14:paraId="510BF355" w14:textId="55E24FCB" w:rsidR="009B496E" w:rsidRPr="00D07275" w:rsidRDefault="002418E7" w:rsidP="00C31DAC">
      <w:pPr>
        <w:spacing w:after="0" w:line="240" w:lineRule="auto"/>
        <w:ind w:left="425" w:hanging="425"/>
        <w:rPr>
          <w:lang w:val="es-ES"/>
        </w:rPr>
      </w:pPr>
      <w:r w:rsidRPr="00D07275">
        <w:rPr>
          <w:lang w:val="es-ES"/>
        </w:rPr>
        <w:t>2.</w:t>
      </w:r>
      <w:r w:rsidRPr="00D07275">
        <w:rPr>
          <w:lang w:val="es-ES"/>
        </w:rPr>
        <w:tab/>
        <w:t>La Secretaría propone una reasignación presupuestaria adicional</w:t>
      </w:r>
      <w:r w:rsidR="0024799A">
        <w:rPr>
          <w:lang w:val="es-ES"/>
        </w:rPr>
        <w:t xml:space="preserve"> </w:t>
      </w:r>
      <w:r w:rsidRPr="00D07275">
        <w:rPr>
          <w:lang w:val="es-ES"/>
        </w:rPr>
        <w:t>de conformidad con el Cuadro 1 que figura a continuación,</w:t>
      </w:r>
      <w:r w:rsidR="0024799A">
        <w:rPr>
          <w:lang w:val="es-ES"/>
        </w:rPr>
        <w:t xml:space="preserve"> </w:t>
      </w:r>
      <w:r w:rsidR="00B36AC3">
        <w:rPr>
          <w:lang w:val="es-ES"/>
        </w:rPr>
        <w:t>específicamente respecto de las prestaciones laborales</w:t>
      </w:r>
      <w:r w:rsidR="00B36AC3" w:rsidRPr="00D07275">
        <w:rPr>
          <w:lang w:val="es-ES"/>
        </w:rPr>
        <w:t xml:space="preserve">, </w:t>
      </w:r>
      <w:r w:rsidR="00AA0DCE">
        <w:rPr>
          <w:lang w:val="es-ES"/>
        </w:rPr>
        <w:t>entre las líneas presupuestarias de “salarios,</w:t>
      </w:r>
      <w:r w:rsidR="009B496E" w:rsidRPr="00D07275">
        <w:rPr>
          <w:lang w:val="es-ES"/>
        </w:rPr>
        <w:t xml:space="preserve"> </w:t>
      </w:r>
      <w:r w:rsidR="00AA0DCE">
        <w:rPr>
          <w:lang w:val="es-ES"/>
        </w:rPr>
        <w:t>gastos sociales y otras prestaciones laborales</w:t>
      </w:r>
      <w:r w:rsidR="009333BD">
        <w:rPr>
          <w:lang w:val="es-ES"/>
        </w:rPr>
        <w:t>”</w:t>
      </w:r>
      <w:r w:rsidR="009B496E" w:rsidRPr="00D07275">
        <w:rPr>
          <w:lang w:val="es-ES"/>
        </w:rPr>
        <w:t xml:space="preserve"> </w:t>
      </w:r>
      <w:r w:rsidR="007E4A9B" w:rsidRPr="00D07275">
        <w:rPr>
          <w:lang w:val="es-ES"/>
        </w:rPr>
        <w:t xml:space="preserve">y </w:t>
      </w:r>
      <w:r w:rsidR="000D11A2">
        <w:rPr>
          <w:lang w:val="es-ES"/>
        </w:rPr>
        <w:t xml:space="preserve">respecto de </w:t>
      </w:r>
      <w:r w:rsidR="007E4A9B" w:rsidRPr="00D07275">
        <w:rPr>
          <w:lang w:val="es-ES"/>
        </w:rPr>
        <w:t xml:space="preserve">los servicios del </w:t>
      </w:r>
      <w:r w:rsidR="00D07275">
        <w:rPr>
          <w:lang w:val="es-ES"/>
        </w:rPr>
        <w:t>Comité Permanente y viajes de la Secretaría</w:t>
      </w:r>
      <w:r w:rsidR="000D11A2">
        <w:rPr>
          <w:lang w:val="es-ES"/>
        </w:rPr>
        <w:t>,</w:t>
      </w:r>
      <w:r w:rsidR="00D07275" w:rsidRPr="00D07275">
        <w:rPr>
          <w:lang w:val="es-ES"/>
        </w:rPr>
        <w:t xml:space="preserve"> </w:t>
      </w:r>
      <w:r w:rsidRPr="00D07275">
        <w:rPr>
          <w:lang w:val="es-ES"/>
        </w:rPr>
        <w:t>en respuesta a los avances desde la 5</w:t>
      </w:r>
      <w:r w:rsidR="00D07275">
        <w:rPr>
          <w:lang w:val="es-ES"/>
        </w:rPr>
        <w:t>9</w:t>
      </w:r>
      <w:r w:rsidRPr="00D07275">
        <w:rPr>
          <w:lang w:val="es-ES"/>
        </w:rPr>
        <w:t>ª reunión del Comité Permanente (SC5</w:t>
      </w:r>
      <w:r w:rsidR="00D07275">
        <w:rPr>
          <w:lang w:val="es-ES"/>
        </w:rPr>
        <w:t>9/2022</w:t>
      </w:r>
      <w:r w:rsidRPr="00D07275">
        <w:rPr>
          <w:lang w:val="es-ES"/>
        </w:rPr>
        <w:t>).</w:t>
      </w:r>
    </w:p>
    <w:p w14:paraId="5282DDCB" w14:textId="77777777" w:rsidR="009B496E" w:rsidRPr="00D07275" w:rsidRDefault="009B496E" w:rsidP="00C31DAC">
      <w:pPr>
        <w:pStyle w:val="ListParagraph"/>
        <w:spacing w:after="0" w:line="240" w:lineRule="auto"/>
        <w:ind w:left="425" w:hanging="425"/>
        <w:rPr>
          <w:lang w:val="es-ES"/>
        </w:rPr>
      </w:pPr>
    </w:p>
    <w:p w14:paraId="11E7A067" w14:textId="360CC8A4" w:rsidR="00605039" w:rsidRPr="00D07275" w:rsidRDefault="00C31DAC" w:rsidP="00A660C9">
      <w:pPr>
        <w:spacing w:after="0" w:line="240" w:lineRule="auto"/>
        <w:ind w:left="425" w:hanging="425"/>
        <w:rPr>
          <w:lang w:val="es-ES"/>
        </w:rPr>
      </w:pPr>
      <w:r w:rsidRPr="00D07275">
        <w:rPr>
          <w:lang w:val="es-ES"/>
        </w:rPr>
        <w:t>3.</w:t>
      </w:r>
      <w:r w:rsidRPr="00D07275">
        <w:rPr>
          <w:lang w:val="es-ES"/>
        </w:rPr>
        <w:tab/>
      </w:r>
      <w:r w:rsidR="00F962DD">
        <w:rPr>
          <w:lang w:val="es-ES"/>
        </w:rPr>
        <w:t>La reasignaci</w:t>
      </w:r>
      <w:r w:rsidR="00796ADE">
        <w:rPr>
          <w:lang w:val="es-ES"/>
        </w:rPr>
        <w:t>ón</w:t>
      </w:r>
      <w:r w:rsidR="00F962DD">
        <w:rPr>
          <w:lang w:val="es-ES"/>
        </w:rPr>
        <w:t xml:space="preserve"> </w:t>
      </w:r>
      <w:r w:rsidR="00796ADE">
        <w:rPr>
          <w:lang w:val="es-ES"/>
        </w:rPr>
        <w:t xml:space="preserve">de las prestaciones laborales entre las </w:t>
      </w:r>
      <w:r w:rsidR="000D11A2">
        <w:rPr>
          <w:lang w:val="es-ES"/>
        </w:rPr>
        <w:t>líneas</w:t>
      </w:r>
      <w:r w:rsidR="00796ADE">
        <w:rPr>
          <w:lang w:val="es-ES"/>
        </w:rPr>
        <w:t xml:space="preserve"> presupuestarias</w:t>
      </w:r>
      <w:r w:rsidR="00A24C18" w:rsidRPr="00D07275">
        <w:rPr>
          <w:lang w:val="es-ES"/>
        </w:rPr>
        <w:t xml:space="preserve"> </w:t>
      </w:r>
      <w:r w:rsidR="006A35B5" w:rsidRPr="00D07275">
        <w:rPr>
          <w:lang w:val="es-ES"/>
        </w:rPr>
        <w:t>“</w:t>
      </w:r>
      <w:r w:rsidR="00A24C18" w:rsidRPr="00D07275">
        <w:rPr>
          <w:lang w:val="es-ES"/>
        </w:rPr>
        <w:t>s</w:t>
      </w:r>
      <w:r w:rsidR="006A35B5" w:rsidRPr="00D07275">
        <w:rPr>
          <w:lang w:val="es-ES"/>
        </w:rPr>
        <w:t>alari</w:t>
      </w:r>
      <w:r w:rsidR="00C148FA">
        <w:rPr>
          <w:lang w:val="es-ES"/>
        </w:rPr>
        <w:t>os</w:t>
      </w:r>
      <w:r w:rsidR="006A35B5" w:rsidRPr="00D07275">
        <w:rPr>
          <w:lang w:val="es-ES"/>
        </w:rPr>
        <w:t xml:space="preserve">, </w:t>
      </w:r>
      <w:r w:rsidR="00C148FA">
        <w:rPr>
          <w:lang w:val="es-ES"/>
        </w:rPr>
        <w:t>gastos sociales y otras prestaciones laborales</w:t>
      </w:r>
      <w:r w:rsidR="001B2FC7" w:rsidRPr="00D07275">
        <w:rPr>
          <w:lang w:val="es-ES"/>
        </w:rPr>
        <w:t xml:space="preserve">” </w:t>
      </w:r>
      <w:r w:rsidR="00CE3877">
        <w:rPr>
          <w:lang w:val="es-ES"/>
        </w:rPr>
        <w:t xml:space="preserve">se refiere a los ajustes de </w:t>
      </w:r>
      <w:r w:rsidR="00C354BC">
        <w:rPr>
          <w:lang w:val="es-ES"/>
        </w:rPr>
        <w:t xml:space="preserve">las prestaciones laborales entre </w:t>
      </w:r>
      <w:r w:rsidR="00462A71">
        <w:rPr>
          <w:lang w:val="es-ES"/>
        </w:rPr>
        <w:t xml:space="preserve">las </w:t>
      </w:r>
      <w:r w:rsidR="000D11A2">
        <w:rPr>
          <w:lang w:val="es-ES"/>
        </w:rPr>
        <w:t>partidas</w:t>
      </w:r>
      <w:r w:rsidR="00DA2B75">
        <w:rPr>
          <w:lang w:val="es-ES"/>
        </w:rPr>
        <w:t xml:space="preserve"> presupuestarias a fin de reflejar los gastos estimados de prestaciones laborales del personal, incluyendo </w:t>
      </w:r>
      <w:r w:rsidR="00136FE8">
        <w:rPr>
          <w:lang w:val="es-ES"/>
        </w:rPr>
        <w:t xml:space="preserve">los subsidios de educación y traslado para 2022. </w:t>
      </w:r>
    </w:p>
    <w:p w14:paraId="52547C54" w14:textId="77777777" w:rsidR="002C74E8" w:rsidRPr="00D07275" w:rsidRDefault="002C74E8" w:rsidP="00C31DAC">
      <w:pPr>
        <w:pStyle w:val="ListParagraph"/>
        <w:spacing w:after="0" w:line="240" w:lineRule="auto"/>
        <w:ind w:left="425" w:hanging="425"/>
        <w:rPr>
          <w:lang w:val="es-ES"/>
        </w:rPr>
      </w:pPr>
    </w:p>
    <w:p w14:paraId="0E3286B3" w14:textId="280C3809" w:rsidR="00A660C9" w:rsidRPr="00AC4AE4" w:rsidRDefault="001B2FC7" w:rsidP="000E289D">
      <w:pPr>
        <w:spacing w:after="0" w:line="240" w:lineRule="auto"/>
        <w:ind w:left="425" w:hanging="425"/>
        <w:rPr>
          <w:lang w:val="es-ES"/>
        </w:rPr>
      </w:pPr>
      <w:r w:rsidRPr="00D07275">
        <w:rPr>
          <w:lang w:val="es-ES"/>
        </w:rPr>
        <w:t xml:space="preserve">4. </w:t>
      </w:r>
      <w:r w:rsidR="00136FE8">
        <w:rPr>
          <w:lang w:val="es-ES"/>
        </w:rPr>
        <w:tab/>
        <w:t xml:space="preserve">Se proponen reasignaciones entre las líneas presupuestarias de las reuniones del Comité Permanente debido a que los gastos incurridos </w:t>
      </w:r>
      <w:r w:rsidR="003E382A">
        <w:rPr>
          <w:lang w:val="es-ES"/>
        </w:rPr>
        <w:t xml:space="preserve">correspondientes a la organización y </w:t>
      </w:r>
      <w:r w:rsidR="00EE60FC">
        <w:rPr>
          <w:lang w:val="es-ES"/>
        </w:rPr>
        <w:t xml:space="preserve">el </w:t>
      </w:r>
      <w:r w:rsidR="003E382A">
        <w:rPr>
          <w:lang w:val="es-ES"/>
        </w:rPr>
        <w:t xml:space="preserve">apoyo de las reuniones del Comité Permanente </w:t>
      </w:r>
      <w:r w:rsidR="0043010E">
        <w:rPr>
          <w:lang w:val="es-ES"/>
        </w:rPr>
        <w:t xml:space="preserve">superaron los aprobados en el presupuesto básico para 2022 en las </w:t>
      </w:r>
      <w:r w:rsidR="00EE60FC">
        <w:rPr>
          <w:lang w:val="es-ES"/>
        </w:rPr>
        <w:t>líneas</w:t>
      </w:r>
      <w:r w:rsidR="0043010E">
        <w:rPr>
          <w:lang w:val="es-ES"/>
        </w:rPr>
        <w:t xml:space="preserve"> presupuestarias “Reuniones del Comité Permanente”</w:t>
      </w:r>
      <w:r w:rsidR="00167AF7">
        <w:rPr>
          <w:lang w:val="es-ES"/>
        </w:rPr>
        <w:t xml:space="preserve"> e “Interpretación simultánea en las reuniones del CP”. Estos costos </w:t>
      </w:r>
      <w:r w:rsidR="00AA0DCE">
        <w:rPr>
          <w:lang w:val="es-ES"/>
        </w:rPr>
        <w:t>mayores estaban relacionados con la organización de las reuniones entre períodos de sesiones del Comité Permanente</w:t>
      </w:r>
      <w:r w:rsidR="00710FB5">
        <w:rPr>
          <w:lang w:val="es-ES"/>
        </w:rPr>
        <w:t xml:space="preserve">, la adquisición de licencias para la plataforma </w:t>
      </w:r>
      <w:r w:rsidR="00EE60FC">
        <w:rPr>
          <w:lang w:val="es-ES"/>
        </w:rPr>
        <w:t>para</w:t>
      </w:r>
      <w:r w:rsidR="00710FB5">
        <w:rPr>
          <w:lang w:val="es-ES"/>
        </w:rPr>
        <w:t xml:space="preserve"> reuniones virtuales</w:t>
      </w:r>
      <w:r w:rsidR="00A42598">
        <w:rPr>
          <w:lang w:val="es-ES"/>
        </w:rPr>
        <w:t xml:space="preserve"> y el costo de la interpretación </w:t>
      </w:r>
      <w:r w:rsidR="000D3489">
        <w:rPr>
          <w:lang w:val="es-ES"/>
        </w:rPr>
        <w:t xml:space="preserve">durante el horario ampliado de la reunión </w:t>
      </w:r>
      <w:r w:rsidR="00443240" w:rsidRPr="00D07275">
        <w:rPr>
          <w:lang w:val="es-ES"/>
        </w:rPr>
        <w:t>SC59</w:t>
      </w:r>
      <w:r w:rsidR="003603FE" w:rsidRPr="00D07275">
        <w:rPr>
          <w:lang w:val="es-ES"/>
        </w:rPr>
        <w:t>/2022</w:t>
      </w:r>
      <w:r w:rsidR="00443240" w:rsidRPr="00D07275">
        <w:rPr>
          <w:lang w:val="es-ES"/>
        </w:rPr>
        <w:t xml:space="preserve"> </w:t>
      </w:r>
      <w:r w:rsidR="000D3489">
        <w:rPr>
          <w:lang w:val="es-ES"/>
        </w:rPr>
        <w:t xml:space="preserve">y las reuniones entre períodos de sesiones del Comité Permanente. </w:t>
      </w:r>
      <w:r w:rsidR="00A97058">
        <w:rPr>
          <w:lang w:val="es-ES"/>
        </w:rPr>
        <w:t xml:space="preserve"> </w:t>
      </w:r>
      <w:r w:rsidR="000D3489">
        <w:rPr>
          <w:lang w:val="es-ES"/>
        </w:rPr>
        <w:t xml:space="preserve">La Secretaría propone que estos gastos </w:t>
      </w:r>
      <w:r w:rsidR="00A34C8B">
        <w:rPr>
          <w:lang w:val="es-ES"/>
        </w:rPr>
        <w:t>adicionales sean sufragados mediante e</w:t>
      </w:r>
      <w:r w:rsidR="00AC4AE4">
        <w:rPr>
          <w:lang w:val="es-ES"/>
        </w:rPr>
        <w:t xml:space="preserve">l ahorro de gastos en las partidas presupuestarias de </w:t>
      </w:r>
      <w:r w:rsidR="00B666C5" w:rsidRPr="00D07275">
        <w:rPr>
          <w:lang w:val="es-ES"/>
        </w:rPr>
        <w:t>“</w:t>
      </w:r>
      <w:r w:rsidR="00AC4AE4" w:rsidRPr="00AC4AE4">
        <w:rPr>
          <w:lang w:val="es-ES"/>
        </w:rPr>
        <w:t>Apoyo a los delegados del Comité Permanente</w:t>
      </w:r>
      <w:r w:rsidR="00B666C5" w:rsidRPr="00AC4AE4">
        <w:rPr>
          <w:lang w:val="es-ES"/>
        </w:rPr>
        <w:t xml:space="preserve">” </w:t>
      </w:r>
      <w:r w:rsidR="00AC4AE4">
        <w:rPr>
          <w:lang w:val="es-ES"/>
        </w:rPr>
        <w:t>y</w:t>
      </w:r>
      <w:r w:rsidR="00B666C5" w:rsidRPr="00AC4AE4">
        <w:rPr>
          <w:lang w:val="es-ES"/>
        </w:rPr>
        <w:t xml:space="preserve"> </w:t>
      </w:r>
      <w:r w:rsidR="00D00C17" w:rsidRPr="00AC4AE4">
        <w:rPr>
          <w:lang w:val="es-ES"/>
        </w:rPr>
        <w:t>“</w:t>
      </w:r>
      <w:r w:rsidR="00AC4AE4">
        <w:rPr>
          <w:lang w:val="es-ES"/>
        </w:rPr>
        <w:t>Viajes</w:t>
      </w:r>
      <w:r w:rsidR="00D00C17" w:rsidRPr="00AC4AE4">
        <w:rPr>
          <w:lang w:val="es-ES"/>
        </w:rPr>
        <w:t>”</w:t>
      </w:r>
      <w:r w:rsidR="00AC4AE4">
        <w:rPr>
          <w:lang w:val="es-ES"/>
        </w:rPr>
        <w:t xml:space="preserve"> de la Secretaría</w:t>
      </w:r>
      <w:r w:rsidR="00B666C5" w:rsidRPr="00AC4AE4">
        <w:rPr>
          <w:lang w:val="es-ES"/>
        </w:rPr>
        <w:t>.</w:t>
      </w:r>
    </w:p>
    <w:p w14:paraId="436645E3" w14:textId="77777777" w:rsidR="00A660C9" w:rsidRPr="00D07275" w:rsidRDefault="00A660C9" w:rsidP="00C31DAC">
      <w:pPr>
        <w:pStyle w:val="ListParagraph"/>
        <w:spacing w:after="0" w:line="240" w:lineRule="auto"/>
        <w:ind w:left="425" w:hanging="425"/>
        <w:rPr>
          <w:lang w:val="es-ES"/>
        </w:rPr>
      </w:pPr>
    </w:p>
    <w:p w14:paraId="4593EC88" w14:textId="1492687F" w:rsidR="002C74E8" w:rsidRPr="00D07275" w:rsidRDefault="00E70B45" w:rsidP="00C31DAC">
      <w:pPr>
        <w:spacing w:after="0" w:line="240" w:lineRule="auto"/>
        <w:ind w:left="425" w:hanging="425"/>
        <w:rPr>
          <w:lang w:val="es-ES"/>
        </w:rPr>
      </w:pPr>
      <w:r w:rsidRPr="00D07275">
        <w:rPr>
          <w:lang w:val="es-ES"/>
        </w:rPr>
        <w:lastRenderedPageBreak/>
        <w:t>5</w:t>
      </w:r>
      <w:r w:rsidR="00C31DAC" w:rsidRPr="00D07275">
        <w:rPr>
          <w:lang w:val="es-ES"/>
        </w:rPr>
        <w:t>.</w:t>
      </w:r>
      <w:r w:rsidR="00C31DAC" w:rsidRPr="00D07275">
        <w:rPr>
          <w:lang w:val="es-ES"/>
        </w:rPr>
        <w:tab/>
      </w:r>
      <w:r w:rsidR="00AC4AE4">
        <w:rPr>
          <w:lang w:val="es-ES"/>
        </w:rPr>
        <w:t xml:space="preserve">Las reasignaciones presupuestarias propuestas </w:t>
      </w:r>
      <w:r w:rsidR="00DF076C">
        <w:rPr>
          <w:lang w:val="es-ES"/>
        </w:rPr>
        <w:t>afectan a partidas presupuestarias ya aprobadas</w:t>
      </w:r>
      <w:r w:rsidR="0069485C">
        <w:rPr>
          <w:lang w:val="es-ES"/>
        </w:rPr>
        <w:t xml:space="preserve"> y</w:t>
      </w:r>
      <w:r w:rsidR="00DF076C">
        <w:rPr>
          <w:lang w:val="es-ES"/>
        </w:rPr>
        <w:t xml:space="preserve"> el total del presupuesto básico aprobado para 2022</w:t>
      </w:r>
      <w:r w:rsidR="0069485C">
        <w:rPr>
          <w:lang w:val="es-ES"/>
        </w:rPr>
        <w:t xml:space="preserve"> no se modifica. </w:t>
      </w:r>
    </w:p>
    <w:p w14:paraId="56E5F9CB" w14:textId="77777777" w:rsidR="00053480" w:rsidRPr="00D07275" w:rsidRDefault="00053480" w:rsidP="00C31DAC">
      <w:pPr>
        <w:pStyle w:val="ListParagraph"/>
        <w:spacing w:after="0" w:line="240" w:lineRule="auto"/>
        <w:ind w:left="425" w:hanging="425"/>
        <w:rPr>
          <w:lang w:val="es-ES"/>
        </w:rPr>
      </w:pPr>
    </w:p>
    <w:p w14:paraId="4FACB929" w14:textId="08F87852" w:rsidR="00E6226E" w:rsidRPr="00D07275" w:rsidRDefault="00E70B45" w:rsidP="00C31DAC">
      <w:pPr>
        <w:spacing w:after="0" w:line="240" w:lineRule="auto"/>
        <w:ind w:left="425" w:hanging="425"/>
        <w:rPr>
          <w:lang w:val="es-ES"/>
        </w:rPr>
      </w:pPr>
      <w:r w:rsidRPr="009702E4">
        <w:rPr>
          <w:lang w:val="es-ES"/>
        </w:rPr>
        <w:t>6</w:t>
      </w:r>
      <w:r w:rsidR="00C31DAC" w:rsidRPr="009702E4">
        <w:rPr>
          <w:lang w:val="es-ES"/>
        </w:rPr>
        <w:t>.</w:t>
      </w:r>
      <w:r w:rsidR="00C31DAC" w:rsidRPr="009702E4">
        <w:rPr>
          <w:lang w:val="es-ES"/>
        </w:rPr>
        <w:tab/>
      </w:r>
      <w:r w:rsidR="00BE4EE8">
        <w:rPr>
          <w:lang w:val="es-ES"/>
        </w:rPr>
        <w:t xml:space="preserve">En función de </w:t>
      </w:r>
      <w:r w:rsidR="00A17B70" w:rsidRPr="00D07275">
        <w:rPr>
          <w:lang w:val="es-ES"/>
        </w:rPr>
        <w:t>la información</w:t>
      </w:r>
      <w:r w:rsidR="00BE4EE8">
        <w:rPr>
          <w:lang w:val="es-ES"/>
        </w:rPr>
        <w:t xml:space="preserve"> antes indicada</w:t>
      </w:r>
      <w:r w:rsidR="00A17B70" w:rsidRPr="00D07275">
        <w:rPr>
          <w:lang w:val="es-ES"/>
        </w:rPr>
        <w:t>, se invita a</w:t>
      </w:r>
      <w:r w:rsidR="00BE4EE8">
        <w:rPr>
          <w:lang w:val="es-ES"/>
        </w:rPr>
        <w:t xml:space="preserve">l </w:t>
      </w:r>
      <w:r w:rsidR="0069485C">
        <w:rPr>
          <w:lang w:val="es-ES"/>
        </w:rPr>
        <w:t>Comité</w:t>
      </w:r>
      <w:r w:rsidR="00BE4EE8">
        <w:rPr>
          <w:lang w:val="es-ES"/>
        </w:rPr>
        <w:t xml:space="preserve"> Permanente </w:t>
      </w:r>
      <w:r w:rsidR="00A17B70" w:rsidRPr="00D07275">
        <w:rPr>
          <w:lang w:val="es-ES"/>
        </w:rPr>
        <w:t xml:space="preserve">a examinar y aprobar </w:t>
      </w:r>
      <w:r w:rsidR="00676F83">
        <w:rPr>
          <w:lang w:val="es-ES"/>
        </w:rPr>
        <w:t>en su 60ª reunión</w:t>
      </w:r>
      <w:r w:rsidR="00676F83" w:rsidRPr="00D07275">
        <w:rPr>
          <w:lang w:val="es-ES"/>
        </w:rPr>
        <w:t xml:space="preserve"> </w:t>
      </w:r>
      <w:r w:rsidR="00A17B70" w:rsidRPr="00D07275">
        <w:rPr>
          <w:lang w:val="es-ES"/>
        </w:rPr>
        <w:t xml:space="preserve">la reasignación presupuestaria propuesta </w:t>
      </w:r>
      <w:r w:rsidR="00BE4EE8">
        <w:rPr>
          <w:lang w:val="es-ES"/>
        </w:rPr>
        <w:t xml:space="preserve">según figura en </w:t>
      </w:r>
      <w:r w:rsidR="00C02855">
        <w:rPr>
          <w:lang w:val="es-ES"/>
        </w:rPr>
        <w:t xml:space="preserve">el </w:t>
      </w:r>
      <w:r w:rsidR="00A17B70" w:rsidRPr="00D07275">
        <w:rPr>
          <w:lang w:val="es-ES"/>
        </w:rPr>
        <w:t>Cuadro 1 a continuación.</w:t>
      </w:r>
    </w:p>
    <w:p w14:paraId="32E2EAE7" w14:textId="730E37A6" w:rsidR="003603FE" w:rsidRPr="00D07275" w:rsidRDefault="003603FE" w:rsidP="00605039">
      <w:pPr>
        <w:pStyle w:val="ListParagraph"/>
        <w:spacing w:after="0" w:line="240" w:lineRule="auto"/>
        <w:ind w:left="0"/>
        <w:rPr>
          <w:lang w:val="es-ES"/>
        </w:rPr>
        <w:sectPr w:rsidR="003603FE" w:rsidRPr="00D07275" w:rsidSect="00DC6C7C">
          <w:footerReference w:type="defaul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DAE6278" w14:textId="176B7EA6" w:rsidR="006B7A83" w:rsidRPr="00D07275" w:rsidRDefault="00A17B70" w:rsidP="00605039">
      <w:pPr>
        <w:pStyle w:val="ListParagraph"/>
        <w:spacing w:after="0" w:line="240" w:lineRule="auto"/>
        <w:ind w:left="0"/>
        <w:rPr>
          <w:i/>
          <w:lang w:val="es-ES"/>
        </w:rPr>
      </w:pPr>
      <w:r w:rsidRPr="00D07275">
        <w:rPr>
          <w:i/>
          <w:lang w:val="es-ES"/>
        </w:rPr>
        <w:lastRenderedPageBreak/>
        <w:t>Cuadro 1: Presupuesto básico</w:t>
      </w:r>
      <w:r w:rsidR="005549E7">
        <w:rPr>
          <w:i/>
          <w:lang w:val="es-ES"/>
        </w:rPr>
        <w:t xml:space="preserve"> </w:t>
      </w:r>
      <w:r w:rsidR="00C02855">
        <w:rPr>
          <w:i/>
          <w:lang w:val="es-ES"/>
        </w:rPr>
        <w:t>para 2022, con los</w:t>
      </w:r>
      <w:r w:rsidR="00925C9B">
        <w:rPr>
          <w:i/>
          <w:lang w:val="es-ES"/>
        </w:rPr>
        <w:t xml:space="preserve"> ajustes propuestos </w:t>
      </w:r>
      <w:r w:rsidR="00C02855">
        <w:rPr>
          <w:i/>
          <w:lang w:val="es-ES"/>
        </w:rPr>
        <w:t xml:space="preserve"> </w:t>
      </w:r>
      <w:r w:rsidRPr="00D07275">
        <w:rPr>
          <w:i/>
          <w:lang w:val="es-ES"/>
        </w:rPr>
        <w:t xml:space="preserve"> </w:t>
      </w:r>
    </w:p>
    <w:p w14:paraId="0F5A287F" w14:textId="7C6483CD" w:rsidR="00731B27" w:rsidRPr="00D07275" w:rsidRDefault="00731B27" w:rsidP="00731B27">
      <w:pPr>
        <w:spacing w:after="0" w:line="240" w:lineRule="auto"/>
        <w:rPr>
          <w:rFonts w:eastAsia="Times New Roman" w:cs="Calibri"/>
          <w:color w:val="000000"/>
          <w:lang w:val="es-ES" w:eastAsia="en-GB"/>
        </w:rPr>
      </w:pPr>
      <w:r w:rsidRPr="00D07275">
        <w:rPr>
          <w:rFonts w:eastAsia="Times New Roman" w:cs="Calibri"/>
          <w:color w:val="000000"/>
          <w:lang w:val="es-ES" w:eastAsia="en-GB"/>
        </w:rPr>
        <w:t>(</w:t>
      </w:r>
      <w:r w:rsidR="009702E4">
        <w:rPr>
          <w:rFonts w:eastAsia="Times New Roman" w:cs="Calibri"/>
          <w:color w:val="000000"/>
          <w:lang w:val="es-ES" w:eastAsia="en-GB"/>
        </w:rPr>
        <w:t>en miles de francos suizos</w:t>
      </w:r>
      <w:r w:rsidRPr="00D07275">
        <w:rPr>
          <w:rFonts w:eastAsia="Times New Roman" w:cs="Calibri"/>
          <w:color w:val="000000"/>
          <w:lang w:val="es-ES" w:eastAsia="en-GB"/>
        </w:rPr>
        <w:t xml:space="preserve">, </w:t>
      </w:r>
      <w:r w:rsidR="005549E7">
        <w:rPr>
          <w:rFonts w:eastAsia="Times New Roman" w:cs="Calibri"/>
          <w:color w:val="000000"/>
          <w:lang w:val="es-ES" w:eastAsia="en-GB"/>
        </w:rPr>
        <w:t xml:space="preserve">con </w:t>
      </w:r>
      <w:r w:rsidR="00763CE6">
        <w:rPr>
          <w:rFonts w:eastAsia="Times New Roman" w:cs="Calibri"/>
          <w:color w:val="000000"/>
          <w:lang w:val="es-ES" w:eastAsia="en-GB"/>
        </w:rPr>
        <w:t>posibles diferencias por redondeo</w:t>
      </w:r>
      <w:r w:rsidR="00925C9B">
        <w:rPr>
          <w:rFonts w:eastAsia="Times New Roman" w:cs="Calibri"/>
          <w:color w:val="000000"/>
          <w:lang w:val="es-ES" w:eastAsia="en-GB"/>
        </w:rPr>
        <w:t>)</w:t>
      </w:r>
    </w:p>
    <w:tbl>
      <w:tblPr>
        <w:tblW w:w="14225" w:type="dxa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07"/>
        <w:gridCol w:w="1474"/>
        <w:gridCol w:w="1474"/>
        <w:gridCol w:w="1474"/>
        <w:gridCol w:w="1474"/>
        <w:gridCol w:w="1474"/>
        <w:gridCol w:w="1474"/>
        <w:gridCol w:w="1474"/>
      </w:tblGrid>
      <w:tr w:rsidR="00784030" w:rsidRPr="00D07275" w14:paraId="28F7CE97" w14:textId="77777777" w:rsidTr="00434F81">
        <w:trPr>
          <w:trHeight w:val="1260"/>
          <w:tblHeader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6E3BC"/>
            <w:vAlign w:val="center"/>
            <w:hideMark/>
          </w:tcPr>
          <w:p w14:paraId="6E6922F7" w14:textId="3019FFF0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Presupuesto de Ramsar </w:t>
            </w:r>
            <w:r w:rsidR="00ED5FB3">
              <w:rPr>
                <w:b/>
                <w:bCs/>
                <w:color w:val="000000"/>
                <w:sz w:val="20"/>
                <w:szCs w:val="20"/>
                <w:lang w:val="es-ES"/>
              </w:rPr>
              <w:t>de</w:t>
            </w:r>
            <w:r w:rsidRPr="00D07275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2022</w:t>
            </w: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br/>
            </w:r>
            <w:r w:rsidRPr="00D07275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aprobado por la </w:t>
            </w: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 xml:space="preserve">ExCOP3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26F5803" w14:textId="5EB72CC1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Presupuesto (aprobado por la ExCOP3)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149055B7" w14:textId="1A7EF897" w:rsidR="00784030" w:rsidRPr="00D07275" w:rsidRDefault="009F34D5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/>
              </w:rPr>
              <w:t xml:space="preserve">Uso del excedente del presupuesto de 2020 autorizado por la reunión </w:t>
            </w: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SC59 (aprobado por la ExCOP3)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035132B" w14:textId="14137BC5" w:rsidR="00784030" w:rsidRPr="00D07275" w:rsidRDefault="009F34D5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Fondos previamente comprometidos en 2021 a gastar en 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0F2D0941" w14:textId="4A7FEFE9" w:rsidR="009F34D5" w:rsidRPr="00D07275" w:rsidRDefault="009F34D5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Ajustes al presupuesto de 2022 aprobados por la ExCOP3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4DC8B1AB" w14:textId="3620C559" w:rsidR="009F34D5" w:rsidRPr="00D07275" w:rsidRDefault="009F34D5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Total</w:t>
            </w:r>
            <w:r w:rsidR="00ED5FB3">
              <w:rPr>
                <w:b/>
                <w:bCs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 xml:space="preserve">presupuesto de 2022 aprobado por </w:t>
            </w:r>
            <w:r w:rsidR="005122AD" w:rsidRPr="00D07275">
              <w:rPr>
                <w:b/>
                <w:bCs/>
                <w:sz w:val="20"/>
                <w:szCs w:val="20"/>
                <w:lang w:val="es-ES" w:eastAsia="en-GB"/>
              </w:rPr>
              <w:t xml:space="preserve">la </w:t>
            </w:r>
            <w:r w:rsidR="00925C9B">
              <w:rPr>
                <w:b/>
                <w:bCs/>
                <w:sz w:val="20"/>
                <w:szCs w:val="20"/>
                <w:lang w:val="es-ES" w:eastAsia="en-GB"/>
              </w:rPr>
              <w:t xml:space="preserve">reunión </w:t>
            </w:r>
            <w:r w:rsidR="005122AD" w:rsidRPr="00D07275">
              <w:rPr>
                <w:b/>
                <w:bCs/>
                <w:sz w:val="20"/>
                <w:szCs w:val="20"/>
                <w:lang w:val="es-ES" w:eastAsia="en-GB"/>
              </w:rPr>
              <w:t>SC59/2022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754D807" w14:textId="5753411B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A</w:t>
            </w:r>
            <w:r w:rsidR="00C0285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justes al presupuesto aprobado por la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 xml:space="preserve"> SC59/2022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CF0479A" w14:textId="2FF5826D" w:rsidR="00784030" w:rsidRPr="00D07275" w:rsidRDefault="005122AD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sz w:val="20"/>
                <w:szCs w:val="20"/>
                <w:lang w:val="es-ES" w:eastAsia="en-GB"/>
              </w:rPr>
              <w:t>Total presupuesto de 2022</w:t>
            </w:r>
          </w:p>
        </w:tc>
      </w:tr>
      <w:tr w:rsidR="00784030" w:rsidRPr="00D07275" w14:paraId="2D45B0AE" w14:textId="77777777" w:rsidTr="00434F81">
        <w:trPr>
          <w:tblHeader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E3BC"/>
            <w:vAlign w:val="center"/>
            <w:hideMark/>
          </w:tcPr>
          <w:p w14:paraId="0583C929" w14:textId="2C13718A" w:rsidR="00784030" w:rsidRPr="00D07275" w:rsidRDefault="00784030" w:rsidP="0078403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/>
              </w:rPr>
              <w:t>en miles de francos suizos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BC8E2D7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(A)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4B32DBE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(B)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EEB17B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(C)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781BA541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579FAC44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(E)=(A)+(B)+(C)+(D)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23A09E12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(F)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E3BC"/>
            <w:vAlign w:val="center"/>
            <w:hideMark/>
          </w:tcPr>
          <w:p w14:paraId="63DCEB8F" w14:textId="77777777" w:rsidR="00784030" w:rsidRPr="00D07275" w:rsidRDefault="00784030" w:rsidP="007840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(G)=(E)+(F)</w:t>
            </w:r>
          </w:p>
        </w:tc>
      </w:tr>
      <w:tr w:rsidR="005122AD" w:rsidRPr="00D07275" w14:paraId="289C7EBD" w14:textId="77777777" w:rsidTr="00434F81">
        <w:trPr>
          <w:trHeight w:val="2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9368D" w14:textId="77777777" w:rsidR="003E42FB" w:rsidRDefault="003E42FB" w:rsidP="005122A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</w:p>
          <w:p w14:paraId="758E49F9" w14:textId="700DC706" w:rsidR="005122AD" w:rsidRPr="00D07275" w:rsidRDefault="005122AD" w:rsidP="005122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INGRESOS</w:t>
            </w: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6EB8D5A8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3E98624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70CBF382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5B49B9A9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366476EA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732C5C6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A23CF" w14:textId="7777777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</w:tr>
      <w:tr w:rsidR="005122AD" w:rsidRPr="00D07275" w14:paraId="43E33840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1288" w14:textId="05C5DBC0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Contribuciones de las Partes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5D2" w14:textId="638D6793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</w:t>
            </w:r>
            <w:r w:rsidR="00EB2479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456D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198D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FD7A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78F" w14:textId="3B47232A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</w:t>
            </w:r>
            <w:r w:rsidR="00EB2479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779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648E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59A1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5122AD" w:rsidRPr="00D07275" w14:paraId="462C64A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305" w14:textId="128C15E7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Contribuciones voluntarias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8A82" w14:textId="0DEDA48B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EB2479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217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D0F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4D6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E29" w14:textId="767F0DE1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EB2479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CB42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7DF0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5122AD" w:rsidRPr="00D07275" w14:paraId="56CE206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86A1" w14:textId="23310324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Impuesto sobre la renta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A329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191D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305F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873F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AD1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225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260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AD89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5122AD" w:rsidRPr="00D07275" w14:paraId="32D0047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319C" w14:textId="330BE1BD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Otros ingresos (incluyendo ingresos por intereses)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F7A0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99AE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8E9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E2D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CB6C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B51E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134A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5122AD" w:rsidRPr="00D07275" w14:paraId="3C20DA2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147B8AB" w14:textId="05E07438" w:rsidR="005122AD" w:rsidRPr="00D07275" w:rsidRDefault="005122AD" w:rsidP="005122A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TOTAL INGRESOS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8472DA" w14:textId="183873AE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</w:t>
            </w:r>
            <w:r w:rsidR="00EB2479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F37036A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8ADAC3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5F76233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E7F25EF" w14:textId="7194176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</w:t>
            </w:r>
            <w:r w:rsidR="00EB2479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DEE86A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886F2E4" w14:textId="77777777" w:rsidR="005122AD" w:rsidRPr="00D07275" w:rsidRDefault="005122AD" w:rsidP="005122A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</w:tr>
      <w:tr w:rsidR="00731B27" w:rsidRPr="00D07275" w14:paraId="2039F007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A4A2E" w14:textId="77777777" w:rsidR="00434F81" w:rsidRPr="00D07275" w:rsidRDefault="00434F81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  <w:p w14:paraId="57578CC7" w14:textId="7D56C6FA" w:rsidR="00731B27" w:rsidRPr="00D07275" w:rsidRDefault="00EB2479" w:rsidP="00434F8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C081D6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41DCE2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3CAC2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6234F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C55554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676A3C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36CB" w14:textId="77777777" w:rsidR="00731B27" w:rsidRPr="00D07275" w:rsidRDefault="00731B27" w:rsidP="00434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</w:p>
        </w:tc>
      </w:tr>
      <w:tr w:rsidR="004D1F2F" w:rsidRPr="00D07275" w14:paraId="79F0FB5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B1F16CF" w14:textId="6AB5FF1D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 w:themeColor="text1"/>
                <w:sz w:val="20"/>
                <w:lang w:val="es-ES"/>
              </w:rPr>
              <w:t xml:space="preserve">A. </w:t>
            </w:r>
            <w:r w:rsidRPr="00D07275">
              <w:rPr>
                <w:color w:val="000000" w:themeColor="text1"/>
                <w:sz w:val="20"/>
                <w:szCs w:val="20"/>
                <w:lang w:val="es-ES" w:eastAsia="en-GB"/>
              </w:rPr>
              <w:t xml:space="preserve"> Personal directivo de la Secretaría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BAED26" w14:textId="6A6C364E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030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8289E7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9556A3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CD8B86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126AA46" w14:textId="56F199A0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035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5F000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E908953" w14:textId="3BD1CC21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041</w:t>
            </w:r>
          </w:p>
        </w:tc>
      </w:tr>
      <w:tr w:rsidR="004D1F2F" w:rsidRPr="00D07275" w14:paraId="1ED1098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7D9D5" w14:textId="7E9BF222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Salarios, gastos sociales y otras prestaciones laborales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8F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E16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536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E4BD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67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A4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A357" w14:textId="24739DAE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000</w:t>
            </w:r>
          </w:p>
        </w:tc>
      </w:tr>
      <w:tr w:rsidR="004D1F2F" w:rsidRPr="00D07275" w14:paraId="028DE04B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B650" w14:textId="3FA4F691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FF1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20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26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17AF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9A7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DE3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(4)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97A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41</w:t>
            </w:r>
          </w:p>
        </w:tc>
      </w:tr>
      <w:tr w:rsidR="004D1F2F" w:rsidRPr="00D07275" w14:paraId="59C1812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17E25299" w14:textId="3693E80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B.</w:t>
            </w: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color w:val="000000"/>
                <w:sz w:val="20"/>
                <w:lang w:val="es-ES"/>
              </w:rPr>
              <w:t xml:space="preserve"> Movilización de recursos y promoción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08777A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594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05F16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70AA49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E58A96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A67433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9447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(90)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B1402F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760</w:t>
            </w:r>
          </w:p>
        </w:tc>
      </w:tr>
      <w:tr w:rsidR="004D1F2F" w:rsidRPr="00D07275" w14:paraId="1A4248A3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3EE49" w14:textId="633915BB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Salarios, gastos sociales y otras prestaciones laborales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46C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100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739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B8BA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9EC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E3D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(80)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DB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358</w:t>
            </w:r>
          </w:p>
        </w:tc>
      </w:tr>
      <w:tr w:rsidR="004D1F2F" w:rsidRPr="00D07275" w14:paraId="20F3B690" w14:textId="77777777" w:rsidTr="00434F81">
        <w:trPr>
          <w:trHeight w:val="24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44D" w14:textId="200381D3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Programa de CECoP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BE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9F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5E5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E4A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0F9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20D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8E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86</w:t>
            </w:r>
          </w:p>
        </w:tc>
      </w:tr>
      <w:tr w:rsidR="004D1F2F" w:rsidRPr="00D07275" w14:paraId="72AAC7E4" w14:textId="77777777" w:rsidTr="00434F81">
        <w:trPr>
          <w:trHeight w:val="52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5CA" w14:textId="083AA0CF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Comunicaciones, traducciones, publicaciones e informes sobre la aplicación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C80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9A7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088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AE9E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94A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4ED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FA0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157</w:t>
            </w:r>
          </w:p>
        </w:tc>
      </w:tr>
      <w:tr w:rsidR="004D1F2F" w:rsidRPr="00D07275" w14:paraId="5A748FD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35E81" w14:textId="4C37D24E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DMH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4B4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1F5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3F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992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E12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F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FA5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</w:tr>
      <w:tr w:rsidR="004D1F2F" w:rsidRPr="00D07275" w14:paraId="2CCA99E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CF1A" w14:textId="148BE184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lastRenderedPageBreak/>
              <w:t>Apoyo y desarrollo del sitio web/servicios informáticos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CA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15E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A76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7FF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225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1864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63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56</w:t>
            </w:r>
          </w:p>
        </w:tc>
      </w:tr>
      <w:tr w:rsidR="004D1F2F" w:rsidRPr="00D07275" w14:paraId="222C47F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EF4F" w14:textId="55573D00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Remodelación del sitio web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2F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C3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CB9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0F4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69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C201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33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86</w:t>
            </w:r>
          </w:p>
        </w:tc>
      </w:tr>
      <w:tr w:rsidR="004D1F2F" w:rsidRPr="00D07275" w14:paraId="27A28D7A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E5A4" w14:textId="0ECBFDBF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14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CE6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EBB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51A1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3CE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C6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(10)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93B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</w:t>
            </w:r>
          </w:p>
        </w:tc>
      </w:tr>
      <w:tr w:rsidR="004D1F2F" w:rsidRPr="00D07275" w14:paraId="4869987F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21A4B6D" w14:textId="42D24C92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 xml:space="preserve">C. </w:t>
            </w: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color w:val="000000"/>
                <w:sz w:val="20"/>
                <w:lang w:val="es-ES"/>
              </w:rPr>
              <w:t>Asesoramiento y apoyo regionales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C60B9" w14:textId="5A1BF8E5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237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A7880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1A40D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4358ED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B5536D" w14:textId="6D88C593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343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4E528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FC15F15" w14:textId="1B1DADB3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805A8C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393</w:t>
            </w:r>
          </w:p>
        </w:tc>
      </w:tr>
      <w:tr w:rsidR="004D1F2F" w:rsidRPr="00D07275" w14:paraId="0AAF1D0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213F" w14:textId="18D0621F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Salarios, gastos sociales y otras prestaciones laborales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30F2" w14:textId="1BCE4264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C87160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A38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712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B49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F360" w14:textId="6D808BBC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C87160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80A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FA74" w14:textId="2715AE1E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</w:t>
            </w:r>
            <w:r w:rsidR="00C87160">
              <w:rPr>
                <w:rFonts w:eastAsia="Times New Roman" w:cs="Calibri"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230</w:t>
            </w:r>
          </w:p>
        </w:tc>
      </w:tr>
      <w:tr w:rsidR="004D1F2F" w:rsidRPr="00D07275" w14:paraId="28FE0FE2" w14:textId="77777777" w:rsidTr="008D002E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04DC" w14:textId="75ADEC21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724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8EC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DCE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72BE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14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D45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(10)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6F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67</w:t>
            </w:r>
          </w:p>
        </w:tc>
      </w:tr>
      <w:tr w:rsidR="004D1F2F" w:rsidRPr="00D07275" w14:paraId="2F4CA1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0CE5" w14:textId="2C48B469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Misiones Ramsar de Asesoramiento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51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52F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90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97D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E4A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0BD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4B0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96</w:t>
            </w:r>
          </w:p>
        </w:tc>
      </w:tr>
      <w:tr w:rsidR="004D1F2F" w:rsidRPr="00D07275" w14:paraId="3CDC67D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29D71626" w14:textId="7C3DF4E3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D.</w:t>
            </w: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color w:val="000000"/>
                <w:sz w:val="20"/>
                <w:lang w:val="es-ES"/>
              </w:rPr>
              <w:t xml:space="preserve"> Apoyo a las iniciativas regionales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796D7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C69813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68FE98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FF079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D2BEA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949F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2C64F4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176</w:t>
            </w:r>
          </w:p>
        </w:tc>
      </w:tr>
      <w:tr w:rsidR="004D1F2F" w:rsidRPr="00D07275" w14:paraId="76E96E7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90935" w14:textId="05C58E24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Redes y centros regionales*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2F7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45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7A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4CF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A4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ABC3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211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100</w:t>
            </w:r>
          </w:p>
        </w:tc>
      </w:tr>
      <w:tr w:rsidR="004D1F2F" w:rsidRPr="00D07275" w14:paraId="128B0F3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AA7" w14:textId="485CBF51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 xml:space="preserve">Cuenca del río Amazonas, traspaso de </w:t>
            </w:r>
            <w:r w:rsidRPr="00D07275">
              <w:rPr>
                <w:sz w:val="20"/>
                <w:szCs w:val="20"/>
                <w:lang w:val="es-ES" w:eastAsia="en-GB"/>
              </w:rPr>
              <w:t>2021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E73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34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8A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9FE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AF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8C7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E5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76</w:t>
            </w:r>
          </w:p>
        </w:tc>
      </w:tr>
      <w:tr w:rsidR="004D1F2F" w:rsidRPr="00D07275" w14:paraId="5F2EFA97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BD31CAC" w14:textId="29246F8D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E.</w:t>
            </w: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color w:val="000000"/>
                <w:sz w:val="20"/>
                <w:lang w:val="es-ES"/>
              </w:rPr>
              <w:t xml:space="preserve"> Servicios científicos y técnicos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CFFEA1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839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0C38A7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8A477B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891519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9F3EAD8" w14:textId="7622D924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C87160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068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D8523E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7BF410A" w14:textId="0C25270D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</w:t>
            </w:r>
            <w:r w:rsidR="00C87160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068</w:t>
            </w:r>
          </w:p>
        </w:tc>
      </w:tr>
      <w:tr w:rsidR="004D1F2F" w:rsidRPr="00D07275" w14:paraId="219073E8" w14:textId="77777777" w:rsidTr="003A6756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06A85" w14:textId="75D847FD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Salarios, gastos sociales y otras prestaciones laborales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6D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F1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BC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5EE1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B29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E31A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D6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651</w:t>
            </w:r>
          </w:p>
        </w:tc>
      </w:tr>
      <w:tr w:rsidR="004D1F2F" w:rsidRPr="00D07275" w14:paraId="4F13C729" w14:textId="77777777" w:rsidTr="003A6756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5CE1" w14:textId="054EB7F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62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53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F6E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CB6B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6F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874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C6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28</w:t>
            </w:r>
          </w:p>
        </w:tc>
      </w:tr>
      <w:tr w:rsidR="004D1F2F" w:rsidRPr="00D07275" w14:paraId="56B42AA1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4084" w14:textId="37F4265E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Viajes de la Presidencia del GECT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F2E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5CE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037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A8B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F65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4903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E0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17</w:t>
            </w:r>
          </w:p>
        </w:tc>
      </w:tr>
      <w:tr w:rsidR="004D1F2F" w:rsidRPr="00D07275" w14:paraId="6D460EC5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325" w14:textId="2C70C15C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 w:themeColor="text1"/>
                <w:sz w:val="20"/>
                <w:lang w:val="es-ES"/>
              </w:rPr>
              <w:t xml:space="preserve">Trabajo del </w:t>
            </w:r>
            <w:r w:rsidRPr="00D07275">
              <w:rPr>
                <w:color w:val="000000"/>
                <w:sz w:val="20"/>
                <w:lang w:val="es-ES"/>
              </w:rPr>
              <w:t>GECT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D6CE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A0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F6B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10C8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E4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85C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59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80</w:t>
            </w:r>
          </w:p>
        </w:tc>
      </w:tr>
      <w:tr w:rsidR="004D1F2F" w:rsidRPr="00D07275" w14:paraId="559AC2D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9840" w14:textId="09C11E9A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Reuniones del GECT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8C5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AB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74E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332F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8DC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739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002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50</w:t>
            </w:r>
          </w:p>
        </w:tc>
      </w:tr>
      <w:tr w:rsidR="004D1F2F" w:rsidRPr="00D07275" w14:paraId="56909E9F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D186" w14:textId="50BFB2D1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Plan Estratégico 5 (2022 - 2024)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D65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F7E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ED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F35" w14:textId="77777777" w:rsidR="004D1F2F" w:rsidRPr="00D07275" w:rsidRDefault="004D1F2F" w:rsidP="004D1F2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s-ES" w:eastAsia="en-GB"/>
              </w:rPr>
            </w:pPr>
            <w:r w:rsidRPr="00D07275">
              <w:rPr>
                <w:rFonts w:ascii="Calibri Light" w:eastAsia="Times New Roman" w:hAnsi="Calibri Light" w:cs="Calibri Light"/>
                <w:strike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FCD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D297" w14:textId="77777777" w:rsidR="004D1F2F" w:rsidRPr="00D07275" w:rsidRDefault="004D1F2F" w:rsidP="004D1F2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s-ES" w:eastAsia="en-GB"/>
              </w:rPr>
            </w:pPr>
            <w:r w:rsidRPr="00D07275">
              <w:rPr>
                <w:rFonts w:ascii="Calibri Light" w:eastAsia="Times New Roman" w:hAnsi="Calibri Light" w:cs="Calibri Light"/>
                <w:strike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D9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90</w:t>
            </w:r>
          </w:p>
        </w:tc>
      </w:tr>
      <w:tr w:rsidR="004D1F2F" w:rsidRPr="00D07275" w14:paraId="4B79E64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1B06" w14:textId="653BD098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ODS 6.61 (Inventarios)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FD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5F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F1A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8EF4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125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193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E6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72</w:t>
            </w:r>
          </w:p>
        </w:tc>
      </w:tr>
      <w:tr w:rsidR="004D1F2F" w:rsidRPr="00D07275" w14:paraId="566BF5CB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9F0" w14:textId="5A20F07F" w:rsidR="004D1F2F" w:rsidRPr="0024799A" w:rsidRDefault="004D1F2F" w:rsidP="0024799A">
            <w:pPr>
              <w:rPr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lastRenderedPageBreak/>
              <w:t>Servicio de Información sobre Sitios Ramsar (mantenimiento y desarrollo)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EE9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90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F03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DAA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1F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DD9F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98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80</w:t>
            </w:r>
          </w:p>
        </w:tc>
      </w:tr>
      <w:tr w:rsidR="004D1F2F" w:rsidRPr="00D07275" w14:paraId="0167B7C6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C16037" w14:textId="16E28D50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G.  </w:t>
            </w:r>
            <w:r w:rsidRPr="00D07275">
              <w:rPr>
                <w:color w:val="000000"/>
                <w:sz w:val="20"/>
                <w:lang w:val="es-ES"/>
              </w:rPr>
              <w:t>Administración/sitio web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94CDE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481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EAD2D4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4ADF1E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25015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6B1D7E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FB381B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484456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665</w:t>
            </w:r>
          </w:p>
        </w:tc>
      </w:tr>
      <w:tr w:rsidR="004D1F2F" w:rsidRPr="00D07275" w14:paraId="35F587C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1C641" w14:textId="0C53EA71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sz w:val="20"/>
                <w:szCs w:val="20"/>
                <w:lang w:val="es-ES" w:eastAsia="en-GB"/>
              </w:rPr>
              <w:t>Salarios, gastos sociales y otras prestaciones laborales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5C3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77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E5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7D12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F2F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337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00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6A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347</w:t>
            </w:r>
          </w:p>
        </w:tc>
      </w:tr>
      <w:tr w:rsidR="004D1F2F" w:rsidRPr="00D07275" w14:paraId="69EE8975" w14:textId="77777777" w:rsidTr="00434F81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91DD" w14:textId="0A55A342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Costos de contratación y separación del personal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F3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788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25B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951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F1B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139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BE0A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673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139</w:t>
            </w:r>
          </w:p>
        </w:tc>
      </w:tr>
      <w:tr w:rsidR="004D1F2F" w:rsidRPr="00D07275" w14:paraId="365CBA1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325B" w14:textId="1264C2EB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Viajes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9A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36F8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AE12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CA8B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6D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DE1E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59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4D1F2F" w:rsidRPr="00D07275" w14:paraId="659F9689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A19C" w14:textId="3E965DBB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Equipo/material de oficina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48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AEFC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B364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5DB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FD4B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EE19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3CB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95</w:t>
            </w:r>
          </w:p>
        </w:tc>
      </w:tr>
      <w:tr w:rsidR="004D1F2F" w:rsidRPr="00D07275" w14:paraId="2231555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FB2F" w14:textId="299696CB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Planificación y creación de capacidad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05C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821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57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8CC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FFC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9169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648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84</w:t>
            </w:r>
          </w:p>
        </w:tc>
      </w:tr>
      <w:tr w:rsidR="004D1F2F" w:rsidRPr="00D07275" w14:paraId="338B27D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59A45F9F" w14:textId="1F6FF894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H. Servicios para el Comité Permanente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1F52F4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62297F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2BF5C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97FDAF5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8FFCDEF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173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188C1701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5B3849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197</w:t>
            </w:r>
          </w:p>
        </w:tc>
      </w:tr>
      <w:tr w:rsidR="004D1F2F" w:rsidRPr="00D07275" w14:paraId="603F8A9C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CBA6" w14:textId="25A006CE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Apoyo a los delegados del Comité Permanente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A520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A65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897D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3C20" w14:textId="77777777" w:rsidR="004D1F2F" w:rsidRPr="00D07275" w:rsidRDefault="004D1F2F" w:rsidP="004D1F2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8EEA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6113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(18)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0D56" w14:textId="77777777" w:rsidR="004D1F2F" w:rsidRPr="00D07275" w:rsidRDefault="004D1F2F" w:rsidP="004D1F2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27</w:t>
            </w:r>
          </w:p>
        </w:tc>
      </w:tr>
      <w:tr w:rsidR="00C04735" w:rsidRPr="00D07275" w14:paraId="513D4BE0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71DF" w14:textId="0731D9CB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Reuniones del Comité Permanente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1A67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99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B76A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1B07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93E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5C1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6BB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26</w:t>
            </w:r>
          </w:p>
        </w:tc>
      </w:tr>
      <w:tr w:rsidR="00C04735" w:rsidRPr="00D07275" w14:paraId="1C055214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C3C4" w14:textId="1E7CE2C4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Traducción para el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058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9C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5BD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476E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0D0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4C4A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73B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60</w:t>
            </w:r>
          </w:p>
        </w:tc>
      </w:tr>
      <w:tr w:rsidR="00C04735" w:rsidRPr="00D07275" w14:paraId="3C647DAA" w14:textId="77777777" w:rsidTr="008D002E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7A6" w14:textId="38143E83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Interpretación simultánea en las reuniones del CP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DF7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A37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CD8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2B9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345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8C4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C38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70</w:t>
            </w:r>
          </w:p>
        </w:tc>
      </w:tr>
      <w:tr w:rsidR="00C04735" w:rsidRPr="00D07275" w14:paraId="5AC7816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BD1E" w14:textId="7BAF021A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Grupo de trabajo sobre la eficacia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2A5A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7B5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83E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416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F3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DBA4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DA5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14</w:t>
            </w:r>
          </w:p>
        </w:tc>
      </w:tr>
      <w:tr w:rsidR="00C04735" w:rsidRPr="00D07275" w14:paraId="7001094C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87A3" w14:textId="11D9DC7B" w:rsidR="00C04735" w:rsidRPr="00D07275" w:rsidRDefault="005D5218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5D5218">
              <w:rPr>
                <w:rFonts w:eastAsia="Times New Roman" w:cs="Calibri"/>
                <w:sz w:val="20"/>
                <w:szCs w:val="20"/>
                <w:lang w:val="es-ES" w:eastAsia="en-GB"/>
              </w:rPr>
              <w:t xml:space="preserve">Examen de </w:t>
            </w:r>
            <w:r w:rsidR="00C04735" w:rsidRPr="005D5218">
              <w:rPr>
                <w:rFonts w:eastAsia="Times New Roman" w:cs="Calibri"/>
                <w:sz w:val="20"/>
                <w:szCs w:val="20"/>
                <w:lang w:val="es-ES" w:eastAsia="en-GB"/>
              </w:rPr>
              <w:t>Resolu</w:t>
            </w:r>
            <w:r w:rsidRPr="005D5218">
              <w:rPr>
                <w:rFonts w:eastAsia="Times New Roman" w:cs="Calibri"/>
                <w:sz w:val="20"/>
                <w:szCs w:val="20"/>
                <w:lang w:val="es-ES" w:eastAsia="en-GB"/>
              </w:rPr>
              <w:t>ciones</w:t>
            </w:r>
            <w:r w:rsidR="00C04735"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 xml:space="preserve"> (Res. XIII.4)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356E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628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4DA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87F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6F0C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C799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00D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C04735" w:rsidRPr="00D07275" w14:paraId="53C00599" w14:textId="77777777" w:rsidTr="00434F81">
        <w:trPr>
          <w:trHeight w:val="25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72CE8B5D" w14:textId="03F08979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 xml:space="preserve">J.  </w:t>
            </w:r>
            <w:r w:rsidRPr="00D07275">
              <w:rPr>
                <w:color w:val="000000"/>
                <w:sz w:val="20"/>
                <w:szCs w:val="20"/>
                <w:lang w:val="es-ES"/>
              </w:rPr>
              <w:t>Gastos por servicios administrativos de la UICN (máximo)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C55835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5D5D8F9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7F19BB4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AEF1AA9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1DEB02B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19353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D1C5A4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541</w:t>
            </w:r>
          </w:p>
        </w:tc>
      </w:tr>
      <w:tr w:rsidR="00C04735" w:rsidRPr="00D07275" w14:paraId="7208B01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9414" w14:textId="3DD69B55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lastRenderedPageBreak/>
              <w:t>Administración, RR.HH., finanzas y servicios informáticos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8069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F80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69F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6777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386B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21D5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D4BB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541</w:t>
            </w:r>
          </w:p>
        </w:tc>
      </w:tr>
      <w:tr w:rsidR="00C04735" w:rsidRPr="00D07275" w14:paraId="3147FC53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2578DD6" w14:textId="6D11E471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K.  Varios – Fondo de reserva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03E928C8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2CE3290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B7670B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9CFE5D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7B23C0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291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BB4E1B5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543B37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291</w:t>
            </w:r>
          </w:p>
        </w:tc>
      </w:tr>
      <w:tr w:rsidR="00C04735" w:rsidRPr="00D07275" w14:paraId="0F8EDCE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C2D0" w14:textId="6275B7B6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Provisiones correspondientes al personal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640E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334C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5A7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D69B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11B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682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0ED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20</w:t>
            </w:r>
          </w:p>
        </w:tc>
      </w:tr>
      <w:tr w:rsidR="00C04735" w:rsidRPr="00D07275" w14:paraId="15A22502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E27FE" w14:textId="02F5C92B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 w:eastAsia="en-GB"/>
              </w:rPr>
              <w:t>Provisiones correspondientes a las contribuciones pendientes*</w:t>
            </w:r>
            <w:r w:rsidR="00141DB9">
              <w:rPr>
                <w:color w:val="000000"/>
                <w:sz w:val="20"/>
                <w:szCs w:val="20"/>
                <w:lang w:val="es-ES" w:eastAsia="en-GB"/>
              </w:rPr>
              <w:t>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287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69EA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2162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6B3F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DAC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249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A34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150</w:t>
            </w:r>
          </w:p>
        </w:tc>
      </w:tr>
      <w:tr w:rsidR="00C04735" w:rsidRPr="00D07275" w14:paraId="25D3E70D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8895" w14:textId="2FF5FE89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szCs w:val="20"/>
                <w:lang w:val="es-ES"/>
              </w:rPr>
              <w:t>Ganancias/pérdidas por fluctuaciones del tipo de cambio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8137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E097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D0E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2147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CF5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684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42AE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</w:tr>
      <w:tr w:rsidR="00C04735" w:rsidRPr="00D07275" w14:paraId="1414DE1A" w14:textId="77777777" w:rsidTr="00434F81">
        <w:trPr>
          <w:trHeight w:val="27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AF65" w14:textId="0B329F25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color w:val="000000"/>
                <w:sz w:val="20"/>
                <w:lang w:val="es-ES"/>
              </w:rPr>
              <w:t>Servicios jurídicos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8F15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6DB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2B4F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680A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883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478" w14:textId="77777777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0B99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sz w:val="20"/>
                <w:szCs w:val="20"/>
                <w:lang w:val="es-ES" w:eastAsia="en-GB"/>
              </w:rPr>
              <w:t>121</w:t>
            </w:r>
          </w:p>
        </w:tc>
      </w:tr>
      <w:tr w:rsidR="00C04735" w:rsidRPr="00D07275" w14:paraId="741C7DCB" w14:textId="77777777" w:rsidTr="00434F81">
        <w:trPr>
          <w:trHeight w:val="30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7F994609" w14:textId="059AB9C1" w:rsidR="00C04735" w:rsidRPr="00D07275" w:rsidRDefault="00C04735" w:rsidP="00C04735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TOTAL</w:t>
            </w:r>
            <w:r w:rsidR="00E31D7A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 xml:space="preserve"> </w:t>
            </w:r>
            <w:r w:rsidRPr="00D07275"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  <w:t>GASTOS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620C91F" w14:textId="0852EDB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5</w:t>
            </w:r>
            <w:r w:rsidR="00141DB9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22D07BDC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332C7958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765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4C37F751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A17A9CE" w14:textId="04BE464C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</w:t>
            </w:r>
            <w:r w:rsidR="00141DB9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18DA1356" w14:textId="77777777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14:paraId="0124995F" w14:textId="73C0697D" w:rsidR="00C04735" w:rsidRPr="00D07275" w:rsidRDefault="00C04735" w:rsidP="00C047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</w:pP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6</w:t>
            </w:r>
            <w:r w:rsidR="00141DB9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.</w:t>
            </w:r>
            <w:r w:rsidRPr="00D07275">
              <w:rPr>
                <w:rFonts w:eastAsia="Times New Roman" w:cs="Calibri"/>
                <w:b/>
                <w:bCs/>
                <w:sz w:val="20"/>
                <w:szCs w:val="20"/>
                <w:lang w:val="es-ES" w:eastAsia="en-GB"/>
              </w:rPr>
              <w:t>132</w:t>
            </w:r>
          </w:p>
        </w:tc>
      </w:tr>
    </w:tbl>
    <w:p w14:paraId="226472DB" w14:textId="19195EE6" w:rsidR="00434F81" w:rsidRPr="00D07275" w:rsidRDefault="00434F81" w:rsidP="00434F81">
      <w:pPr>
        <w:tabs>
          <w:tab w:val="left" w:pos="13323"/>
          <w:tab w:val="left" w:pos="15361"/>
          <w:tab w:val="left" w:pos="1739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n-GB"/>
        </w:rPr>
      </w:pPr>
      <w:r w:rsidRPr="00D07275">
        <w:rPr>
          <w:rFonts w:eastAsia="Times New Roman" w:cs="Calibri"/>
          <w:b/>
          <w:bCs/>
          <w:color w:val="000000"/>
          <w:sz w:val="20"/>
          <w:szCs w:val="20"/>
          <w:lang w:val="es-ES" w:eastAsia="en-GB"/>
        </w:rPr>
        <w:t>Notes:</w:t>
      </w:r>
    </w:p>
    <w:p w14:paraId="5FB43214" w14:textId="7A0880D3" w:rsidR="00141DB9" w:rsidRDefault="000E1F5D" w:rsidP="00141DB9">
      <w:pPr>
        <w:spacing w:after="0" w:line="240" w:lineRule="auto"/>
        <w:rPr>
          <w:sz w:val="20"/>
          <w:szCs w:val="20"/>
          <w:lang w:val="es-ES"/>
        </w:rPr>
      </w:pPr>
      <w:r w:rsidRPr="00D07275">
        <w:rPr>
          <w:rFonts w:eastAsia="Times New Roman" w:cs="Calibri"/>
          <w:color w:val="000000"/>
          <w:sz w:val="20"/>
          <w:szCs w:val="20"/>
          <w:lang w:val="es-ES" w:eastAsia="en-GB"/>
        </w:rPr>
        <w:t xml:space="preserve">* </w:t>
      </w:r>
      <w:r w:rsidR="00D445FA">
        <w:rPr>
          <w:rFonts w:eastAsia="Times New Roman" w:cs="Calibri"/>
          <w:color w:val="000000"/>
          <w:sz w:val="20"/>
          <w:szCs w:val="20"/>
          <w:lang w:val="es-ES" w:eastAsia="en-GB"/>
        </w:rPr>
        <w:t xml:space="preserve">Se </w:t>
      </w:r>
      <w:r w:rsidR="0063417B">
        <w:rPr>
          <w:rFonts w:eastAsia="Times New Roman" w:cs="Calibri"/>
          <w:color w:val="000000"/>
          <w:sz w:val="20"/>
          <w:szCs w:val="20"/>
          <w:lang w:val="es-ES" w:eastAsia="en-GB"/>
        </w:rPr>
        <w:t>examin</w:t>
      </w:r>
      <w:r w:rsidR="00B341D7">
        <w:rPr>
          <w:rFonts w:eastAsia="Times New Roman" w:cs="Calibri"/>
          <w:color w:val="000000"/>
          <w:sz w:val="20"/>
          <w:szCs w:val="20"/>
          <w:lang w:val="es-ES" w:eastAsia="en-GB"/>
        </w:rPr>
        <w:t xml:space="preserve">ará </w:t>
      </w:r>
      <w:r w:rsidR="0063417B">
        <w:rPr>
          <w:rFonts w:eastAsia="Times New Roman" w:cs="Calibri"/>
          <w:color w:val="000000"/>
          <w:sz w:val="20"/>
          <w:szCs w:val="20"/>
          <w:lang w:val="es-ES" w:eastAsia="en-GB"/>
        </w:rPr>
        <w:t>por</w:t>
      </w:r>
      <w:r w:rsidR="00C04735" w:rsidRPr="00D07275">
        <w:rPr>
          <w:sz w:val="20"/>
          <w:szCs w:val="20"/>
          <w:lang w:val="es-ES"/>
        </w:rPr>
        <w:t xml:space="preserve"> la reunión SC62 (mayo-junio de 2023) para nuevas iniciativas regionales aprobadas por la COP14 </w:t>
      </w:r>
    </w:p>
    <w:p w14:paraId="7AA52C42" w14:textId="6C7BC33C" w:rsidR="00C04735" w:rsidRPr="00141DB9" w:rsidRDefault="00434F81" w:rsidP="00141DB9">
      <w:pPr>
        <w:spacing w:after="0" w:line="240" w:lineRule="auto"/>
        <w:rPr>
          <w:sz w:val="20"/>
          <w:szCs w:val="20"/>
          <w:lang w:val="es-ES"/>
        </w:rPr>
      </w:pPr>
      <w:r w:rsidRPr="00D07275">
        <w:rPr>
          <w:rFonts w:eastAsia="Times New Roman" w:cs="Calibri"/>
          <w:sz w:val="20"/>
          <w:szCs w:val="20"/>
          <w:lang w:val="es-ES" w:eastAsia="en-GB"/>
        </w:rPr>
        <w:t>*</w:t>
      </w:r>
      <w:r w:rsidR="000E1F5D" w:rsidRPr="00D07275">
        <w:rPr>
          <w:rFonts w:eastAsia="Times New Roman" w:cs="Calibri"/>
          <w:sz w:val="20"/>
          <w:szCs w:val="20"/>
          <w:lang w:val="es-ES" w:eastAsia="en-GB"/>
        </w:rPr>
        <w:t>*</w:t>
      </w:r>
      <w:r w:rsidRPr="00D07275">
        <w:rPr>
          <w:rFonts w:eastAsia="Times New Roman" w:cs="Calibri"/>
          <w:sz w:val="20"/>
          <w:szCs w:val="20"/>
          <w:lang w:val="es-ES" w:eastAsia="en-GB"/>
        </w:rPr>
        <w:t xml:space="preserve"> </w:t>
      </w:r>
      <w:r w:rsidR="00C04735" w:rsidRPr="00D07275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 xml:space="preserve">las </w:t>
      </w:r>
      <w:r w:rsidR="000E289D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>cantidades no</w:t>
      </w:r>
      <w:r w:rsidR="00C04735" w:rsidRPr="00D07275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 xml:space="preserve"> utilizad</w:t>
      </w:r>
      <w:r w:rsidR="000E289D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>as</w:t>
      </w:r>
      <w:r w:rsidR="00C04735" w:rsidRPr="00D07275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 xml:space="preserve"> deben ser devueltas a</w:t>
      </w:r>
      <w:r w:rsidR="00D445FA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>l ahorro</w:t>
      </w:r>
      <w:r w:rsidR="00C04735" w:rsidRPr="00D07275">
        <w:rPr>
          <w:rFonts w:asciiTheme="minorHAnsi" w:hAnsiTheme="minorHAnsi" w:cstheme="minorHAnsi"/>
          <w:color w:val="000000"/>
          <w:sz w:val="20"/>
          <w:szCs w:val="20"/>
          <w:lang w:val="es-ES" w:eastAsia="en-GB"/>
        </w:rPr>
        <w:t xml:space="preserve"> </w:t>
      </w:r>
    </w:p>
    <w:p w14:paraId="02970BA9" w14:textId="6A1DBEEA" w:rsidR="00434F81" w:rsidRPr="00D07275" w:rsidRDefault="00434F81" w:rsidP="00434F81">
      <w:pPr>
        <w:tabs>
          <w:tab w:val="left" w:pos="13323"/>
          <w:tab w:val="left" w:pos="15361"/>
          <w:tab w:val="left" w:pos="1739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n-GB"/>
        </w:rPr>
      </w:pPr>
    </w:p>
    <w:p w14:paraId="650EB65B" w14:textId="77777777" w:rsidR="00731B27" w:rsidRPr="00D07275" w:rsidRDefault="00731B27" w:rsidP="00605039">
      <w:pPr>
        <w:pStyle w:val="ListParagraph"/>
        <w:spacing w:after="0" w:line="240" w:lineRule="auto"/>
        <w:ind w:left="0"/>
        <w:rPr>
          <w:lang w:val="es-ES"/>
        </w:rPr>
      </w:pPr>
    </w:p>
    <w:sectPr w:rsidR="00731B27" w:rsidRPr="00D07275" w:rsidSect="00434F81">
      <w:footerReference w:type="defaul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12A" w14:textId="77777777" w:rsidR="009111E2" w:rsidRDefault="009111E2" w:rsidP="00DF2386">
      <w:pPr>
        <w:spacing w:after="0" w:line="240" w:lineRule="auto"/>
      </w:pPr>
      <w:r>
        <w:separator/>
      </w:r>
    </w:p>
  </w:endnote>
  <w:endnote w:type="continuationSeparator" w:id="0">
    <w:p w14:paraId="19CDE0DF" w14:textId="77777777" w:rsidR="009111E2" w:rsidRDefault="009111E2" w:rsidP="00DF2386">
      <w:pPr>
        <w:spacing w:after="0" w:line="240" w:lineRule="auto"/>
      </w:pPr>
      <w:r>
        <w:continuationSeparator/>
      </w:r>
    </w:p>
  </w:endnote>
  <w:endnote w:type="continuationNotice" w:id="1">
    <w:p w14:paraId="366A3B49" w14:textId="77777777" w:rsidR="009111E2" w:rsidRDefault="00911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0BA2" w14:textId="5F188870" w:rsidR="009D673C" w:rsidRPr="00D12E4C" w:rsidRDefault="009D673C" w:rsidP="00D12E4C">
    <w:pPr>
      <w:pStyle w:val="Footer"/>
      <w:rPr>
        <w:sz w:val="20"/>
        <w:szCs w:val="20"/>
      </w:rPr>
    </w:pPr>
    <w:r w:rsidRPr="00523AA8">
      <w:rPr>
        <w:sz w:val="20"/>
        <w:szCs w:val="20"/>
      </w:rPr>
      <w:t>SC60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3E42FB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8D1E" w14:textId="3C391928" w:rsidR="009D673C" w:rsidRPr="00D12E4C" w:rsidRDefault="009D673C" w:rsidP="00434F81">
    <w:pPr>
      <w:pStyle w:val="Footer"/>
      <w:tabs>
        <w:tab w:val="clear" w:pos="9026"/>
        <w:tab w:val="right" w:pos="13892"/>
      </w:tabs>
      <w:rPr>
        <w:sz w:val="20"/>
        <w:szCs w:val="20"/>
      </w:rPr>
    </w:pPr>
    <w:r w:rsidRPr="00523AA8">
      <w:rPr>
        <w:sz w:val="20"/>
        <w:szCs w:val="20"/>
      </w:rPr>
      <w:t>SC60 Doc.8.1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3E42FB">
      <w:rPr>
        <w:noProof/>
        <w:sz w:val="20"/>
        <w:szCs w:val="20"/>
      </w:rPr>
      <w:t>6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933C3" w14:textId="77777777" w:rsidR="009111E2" w:rsidRDefault="009111E2" w:rsidP="00DF2386">
      <w:pPr>
        <w:spacing w:after="0" w:line="240" w:lineRule="auto"/>
      </w:pPr>
      <w:r>
        <w:separator/>
      </w:r>
    </w:p>
  </w:footnote>
  <w:footnote w:type="continuationSeparator" w:id="0">
    <w:p w14:paraId="38A4661D" w14:textId="77777777" w:rsidR="009111E2" w:rsidRDefault="009111E2" w:rsidP="00DF2386">
      <w:pPr>
        <w:spacing w:after="0" w:line="240" w:lineRule="auto"/>
      </w:pPr>
      <w:r>
        <w:continuationSeparator/>
      </w:r>
    </w:p>
  </w:footnote>
  <w:footnote w:type="continuationNotice" w:id="1">
    <w:p w14:paraId="6E9606A6" w14:textId="77777777" w:rsidR="009111E2" w:rsidRDefault="009111E2">
      <w:pPr>
        <w:spacing w:after="0" w:line="240" w:lineRule="auto"/>
      </w:pPr>
    </w:p>
  </w:footnote>
  <w:footnote w:id="2">
    <w:p w14:paraId="66C63350" w14:textId="036BC081" w:rsidR="009D673C" w:rsidRPr="002C315C" w:rsidRDefault="009D673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Véase </w:t>
      </w:r>
      <w:hyperlink r:id="rId1" w:history="1">
        <w:r w:rsidR="003E42FB" w:rsidRPr="006F712E">
          <w:rPr>
            <w:rStyle w:val="Hyperlink"/>
          </w:rPr>
          <w:t>https://www.ramsar.org/es/documento/sc592022-com2-rev1-informe-del-subgrupo-de-finanzas-23-de-mayo-de-2022</w:t>
        </w:r>
      </w:hyperlink>
      <w:r>
        <w:rPr>
          <w:rStyle w:val="FootnoteReference"/>
          <w:vertAlign w:val="baseli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909C9"/>
    <w:multiLevelType w:val="hybridMultilevel"/>
    <w:tmpl w:val="9C7CB2F0"/>
    <w:lvl w:ilvl="0" w:tplc="B1C8B44E">
      <w:start w:val="1"/>
      <w:numFmt w:val="lowerRoman"/>
      <w:lvlText w:val="%1.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2108"/>
    <w:multiLevelType w:val="multilevel"/>
    <w:tmpl w:val="896A2A5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1247"/>
    <w:multiLevelType w:val="hybridMultilevel"/>
    <w:tmpl w:val="CF80FFE0"/>
    <w:lvl w:ilvl="0" w:tplc="B5D8AF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17"/>
    <w:multiLevelType w:val="hybridMultilevel"/>
    <w:tmpl w:val="42C87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F2210"/>
    <w:multiLevelType w:val="hybridMultilevel"/>
    <w:tmpl w:val="8BA0DBD0"/>
    <w:lvl w:ilvl="0" w:tplc="B1C8B44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1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5"/>
  </w:num>
  <w:num w:numId="17">
    <w:abstractNumId w:val="24"/>
  </w:num>
  <w:num w:numId="18">
    <w:abstractNumId w:val="34"/>
  </w:num>
  <w:num w:numId="19">
    <w:abstractNumId w:val="32"/>
  </w:num>
  <w:num w:numId="20">
    <w:abstractNumId w:val="26"/>
  </w:num>
  <w:num w:numId="21">
    <w:abstractNumId w:val="28"/>
  </w:num>
  <w:num w:numId="22">
    <w:abstractNumId w:val="16"/>
  </w:num>
  <w:num w:numId="23">
    <w:abstractNumId w:val="25"/>
  </w:num>
  <w:num w:numId="24">
    <w:abstractNumId w:val="22"/>
  </w:num>
  <w:num w:numId="25">
    <w:abstractNumId w:val="35"/>
  </w:num>
  <w:num w:numId="26">
    <w:abstractNumId w:val="6"/>
  </w:num>
  <w:num w:numId="27">
    <w:abstractNumId w:val="11"/>
  </w:num>
  <w:num w:numId="28">
    <w:abstractNumId w:val="19"/>
  </w:num>
  <w:num w:numId="29">
    <w:abstractNumId w:val="29"/>
  </w:num>
  <w:num w:numId="30">
    <w:abstractNumId w:val="21"/>
  </w:num>
  <w:num w:numId="31">
    <w:abstractNumId w:val="23"/>
  </w:num>
  <w:num w:numId="32">
    <w:abstractNumId w:val="13"/>
  </w:num>
  <w:num w:numId="33">
    <w:abstractNumId w:val="3"/>
  </w:num>
  <w:num w:numId="34">
    <w:abstractNumId w:val="9"/>
  </w:num>
  <w:num w:numId="35">
    <w:abstractNumId w:val="2"/>
  </w:num>
  <w:num w:numId="36">
    <w:abstractNumId w:val="30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286D"/>
    <w:rsid w:val="00004515"/>
    <w:rsid w:val="00007D7E"/>
    <w:rsid w:val="0001280D"/>
    <w:rsid w:val="00017A16"/>
    <w:rsid w:val="00022E8C"/>
    <w:rsid w:val="00026FEE"/>
    <w:rsid w:val="00030B1D"/>
    <w:rsid w:val="00033DA5"/>
    <w:rsid w:val="00033E40"/>
    <w:rsid w:val="00036BAE"/>
    <w:rsid w:val="00037CE0"/>
    <w:rsid w:val="00050008"/>
    <w:rsid w:val="000524CC"/>
    <w:rsid w:val="00053480"/>
    <w:rsid w:val="00053929"/>
    <w:rsid w:val="000551F6"/>
    <w:rsid w:val="00065B98"/>
    <w:rsid w:val="00071EF9"/>
    <w:rsid w:val="000725B7"/>
    <w:rsid w:val="000736AD"/>
    <w:rsid w:val="00074DE8"/>
    <w:rsid w:val="0007712D"/>
    <w:rsid w:val="0008208F"/>
    <w:rsid w:val="00082689"/>
    <w:rsid w:val="00082A48"/>
    <w:rsid w:val="00086AA5"/>
    <w:rsid w:val="000905B8"/>
    <w:rsid w:val="00091DC7"/>
    <w:rsid w:val="00092F7C"/>
    <w:rsid w:val="00094D30"/>
    <w:rsid w:val="000A2CD5"/>
    <w:rsid w:val="000A3E3E"/>
    <w:rsid w:val="000A6DD3"/>
    <w:rsid w:val="000B008B"/>
    <w:rsid w:val="000B03AB"/>
    <w:rsid w:val="000C09C0"/>
    <w:rsid w:val="000C26E8"/>
    <w:rsid w:val="000C66CA"/>
    <w:rsid w:val="000D11A2"/>
    <w:rsid w:val="000D3489"/>
    <w:rsid w:val="000D5C76"/>
    <w:rsid w:val="000E1F5D"/>
    <w:rsid w:val="000E289D"/>
    <w:rsid w:val="000E2FA0"/>
    <w:rsid w:val="000E47E9"/>
    <w:rsid w:val="000E64B4"/>
    <w:rsid w:val="000F30D7"/>
    <w:rsid w:val="000F4BF0"/>
    <w:rsid w:val="00100323"/>
    <w:rsid w:val="0010203E"/>
    <w:rsid w:val="001039A7"/>
    <w:rsid w:val="001046FE"/>
    <w:rsid w:val="00105291"/>
    <w:rsid w:val="001052C7"/>
    <w:rsid w:val="00106093"/>
    <w:rsid w:val="00112287"/>
    <w:rsid w:val="0012096C"/>
    <w:rsid w:val="00121597"/>
    <w:rsid w:val="001257D5"/>
    <w:rsid w:val="00127828"/>
    <w:rsid w:val="001308F5"/>
    <w:rsid w:val="00136FE8"/>
    <w:rsid w:val="00141DB9"/>
    <w:rsid w:val="00146BDE"/>
    <w:rsid w:val="00147FE6"/>
    <w:rsid w:val="0015104B"/>
    <w:rsid w:val="0015491F"/>
    <w:rsid w:val="001550A5"/>
    <w:rsid w:val="00155149"/>
    <w:rsid w:val="00156115"/>
    <w:rsid w:val="00161BDA"/>
    <w:rsid w:val="00163246"/>
    <w:rsid w:val="00164595"/>
    <w:rsid w:val="001678BD"/>
    <w:rsid w:val="00167AF7"/>
    <w:rsid w:val="00171618"/>
    <w:rsid w:val="00171625"/>
    <w:rsid w:val="00172DB8"/>
    <w:rsid w:val="001819B1"/>
    <w:rsid w:val="00190197"/>
    <w:rsid w:val="00192DDE"/>
    <w:rsid w:val="00196220"/>
    <w:rsid w:val="001A46C7"/>
    <w:rsid w:val="001A48C7"/>
    <w:rsid w:val="001A7044"/>
    <w:rsid w:val="001B0F0C"/>
    <w:rsid w:val="001B10F1"/>
    <w:rsid w:val="001B2FC7"/>
    <w:rsid w:val="001B330D"/>
    <w:rsid w:val="001C5E41"/>
    <w:rsid w:val="001C77BC"/>
    <w:rsid w:val="001C783B"/>
    <w:rsid w:val="001D1697"/>
    <w:rsid w:val="001D17DC"/>
    <w:rsid w:val="001D42C7"/>
    <w:rsid w:val="001D48BB"/>
    <w:rsid w:val="001E00E3"/>
    <w:rsid w:val="001E2204"/>
    <w:rsid w:val="001E4CF5"/>
    <w:rsid w:val="001F01BA"/>
    <w:rsid w:val="001F1E3C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3409B"/>
    <w:rsid w:val="002418E7"/>
    <w:rsid w:val="00244E1D"/>
    <w:rsid w:val="00246E5E"/>
    <w:rsid w:val="0024799A"/>
    <w:rsid w:val="00264EC9"/>
    <w:rsid w:val="00266F2F"/>
    <w:rsid w:val="00270DEF"/>
    <w:rsid w:val="00272269"/>
    <w:rsid w:val="002741AC"/>
    <w:rsid w:val="00275785"/>
    <w:rsid w:val="002766B3"/>
    <w:rsid w:val="002819C0"/>
    <w:rsid w:val="00282490"/>
    <w:rsid w:val="00291102"/>
    <w:rsid w:val="0029204D"/>
    <w:rsid w:val="00295556"/>
    <w:rsid w:val="00295BB5"/>
    <w:rsid w:val="00296395"/>
    <w:rsid w:val="002A27A2"/>
    <w:rsid w:val="002A5A4D"/>
    <w:rsid w:val="002B4262"/>
    <w:rsid w:val="002C0750"/>
    <w:rsid w:val="002C315C"/>
    <w:rsid w:val="002C728A"/>
    <w:rsid w:val="002C74E8"/>
    <w:rsid w:val="002C7F04"/>
    <w:rsid w:val="002D5A4D"/>
    <w:rsid w:val="002D5ED7"/>
    <w:rsid w:val="002D6788"/>
    <w:rsid w:val="002E22AF"/>
    <w:rsid w:val="002E4240"/>
    <w:rsid w:val="002E5902"/>
    <w:rsid w:val="002F2EB8"/>
    <w:rsid w:val="003035BB"/>
    <w:rsid w:val="00307410"/>
    <w:rsid w:val="003221DE"/>
    <w:rsid w:val="00322441"/>
    <w:rsid w:val="00324398"/>
    <w:rsid w:val="003341CA"/>
    <w:rsid w:val="00337B40"/>
    <w:rsid w:val="00343963"/>
    <w:rsid w:val="00351CCA"/>
    <w:rsid w:val="003523C9"/>
    <w:rsid w:val="00355C9A"/>
    <w:rsid w:val="0035788B"/>
    <w:rsid w:val="003603FE"/>
    <w:rsid w:val="00363903"/>
    <w:rsid w:val="003665B9"/>
    <w:rsid w:val="003726F3"/>
    <w:rsid w:val="00374E48"/>
    <w:rsid w:val="00375B6C"/>
    <w:rsid w:val="00377986"/>
    <w:rsid w:val="00383E1B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0FAA"/>
    <w:rsid w:val="003A20CD"/>
    <w:rsid w:val="003A3804"/>
    <w:rsid w:val="003A4C88"/>
    <w:rsid w:val="003A52BE"/>
    <w:rsid w:val="003A5866"/>
    <w:rsid w:val="003A6756"/>
    <w:rsid w:val="003A6E9F"/>
    <w:rsid w:val="003B399B"/>
    <w:rsid w:val="003B5243"/>
    <w:rsid w:val="003C2E78"/>
    <w:rsid w:val="003C3BD7"/>
    <w:rsid w:val="003D052D"/>
    <w:rsid w:val="003D1131"/>
    <w:rsid w:val="003D1784"/>
    <w:rsid w:val="003D4CD6"/>
    <w:rsid w:val="003D6306"/>
    <w:rsid w:val="003D6B96"/>
    <w:rsid w:val="003E03D0"/>
    <w:rsid w:val="003E2F84"/>
    <w:rsid w:val="003E382A"/>
    <w:rsid w:val="003E42FB"/>
    <w:rsid w:val="003E5C6A"/>
    <w:rsid w:val="0040316C"/>
    <w:rsid w:val="004064E6"/>
    <w:rsid w:val="00410920"/>
    <w:rsid w:val="004131FC"/>
    <w:rsid w:val="004200D3"/>
    <w:rsid w:val="004228C7"/>
    <w:rsid w:val="00427063"/>
    <w:rsid w:val="00427826"/>
    <w:rsid w:val="0042798B"/>
    <w:rsid w:val="0043010E"/>
    <w:rsid w:val="00434913"/>
    <w:rsid w:val="00434F81"/>
    <w:rsid w:val="004351EF"/>
    <w:rsid w:val="00436009"/>
    <w:rsid w:val="00441CD2"/>
    <w:rsid w:val="00443240"/>
    <w:rsid w:val="004474F8"/>
    <w:rsid w:val="0045525B"/>
    <w:rsid w:val="0045707E"/>
    <w:rsid w:val="00457CF8"/>
    <w:rsid w:val="00462A06"/>
    <w:rsid w:val="00462A71"/>
    <w:rsid w:val="00465838"/>
    <w:rsid w:val="004723BD"/>
    <w:rsid w:val="004762C9"/>
    <w:rsid w:val="004766CB"/>
    <w:rsid w:val="00477550"/>
    <w:rsid w:val="00477ED6"/>
    <w:rsid w:val="004804F5"/>
    <w:rsid w:val="00480C8A"/>
    <w:rsid w:val="00481B94"/>
    <w:rsid w:val="004844A8"/>
    <w:rsid w:val="00484A82"/>
    <w:rsid w:val="004873BA"/>
    <w:rsid w:val="0049577B"/>
    <w:rsid w:val="00496803"/>
    <w:rsid w:val="00497E7C"/>
    <w:rsid w:val="004A2733"/>
    <w:rsid w:val="004A62F0"/>
    <w:rsid w:val="004B6213"/>
    <w:rsid w:val="004B6688"/>
    <w:rsid w:val="004B7487"/>
    <w:rsid w:val="004C124E"/>
    <w:rsid w:val="004C1B3E"/>
    <w:rsid w:val="004C281E"/>
    <w:rsid w:val="004C3787"/>
    <w:rsid w:val="004C480C"/>
    <w:rsid w:val="004D1F2F"/>
    <w:rsid w:val="004D772A"/>
    <w:rsid w:val="004E45D8"/>
    <w:rsid w:val="004F0C12"/>
    <w:rsid w:val="004F497B"/>
    <w:rsid w:val="004F4DC9"/>
    <w:rsid w:val="004F5C50"/>
    <w:rsid w:val="00501265"/>
    <w:rsid w:val="0050686B"/>
    <w:rsid w:val="00506DF9"/>
    <w:rsid w:val="00506F27"/>
    <w:rsid w:val="005122AD"/>
    <w:rsid w:val="00513083"/>
    <w:rsid w:val="00523AA8"/>
    <w:rsid w:val="00523B09"/>
    <w:rsid w:val="005244A4"/>
    <w:rsid w:val="00525435"/>
    <w:rsid w:val="00525BEB"/>
    <w:rsid w:val="00527783"/>
    <w:rsid w:val="005318C9"/>
    <w:rsid w:val="00533E8A"/>
    <w:rsid w:val="00542168"/>
    <w:rsid w:val="005454EC"/>
    <w:rsid w:val="00546A5B"/>
    <w:rsid w:val="00551CD4"/>
    <w:rsid w:val="005549E7"/>
    <w:rsid w:val="0055637B"/>
    <w:rsid w:val="005636AE"/>
    <w:rsid w:val="00563C44"/>
    <w:rsid w:val="00564576"/>
    <w:rsid w:val="005667A1"/>
    <w:rsid w:val="00566BF9"/>
    <w:rsid w:val="00567644"/>
    <w:rsid w:val="00571F27"/>
    <w:rsid w:val="00572A77"/>
    <w:rsid w:val="00577E43"/>
    <w:rsid w:val="005814B5"/>
    <w:rsid w:val="00584E91"/>
    <w:rsid w:val="00594301"/>
    <w:rsid w:val="005978B6"/>
    <w:rsid w:val="005A1BE8"/>
    <w:rsid w:val="005A2ACC"/>
    <w:rsid w:val="005A321D"/>
    <w:rsid w:val="005A5AE7"/>
    <w:rsid w:val="005B23A9"/>
    <w:rsid w:val="005B2D5D"/>
    <w:rsid w:val="005C2E4A"/>
    <w:rsid w:val="005D2BDB"/>
    <w:rsid w:val="005D377E"/>
    <w:rsid w:val="005D3E9D"/>
    <w:rsid w:val="005D5218"/>
    <w:rsid w:val="005E01B1"/>
    <w:rsid w:val="005E120D"/>
    <w:rsid w:val="005E51E7"/>
    <w:rsid w:val="005E55B3"/>
    <w:rsid w:val="005F3339"/>
    <w:rsid w:val="005F5DD8"/>
    <w:rsid w:val="00603A19"/>
    <w:rsid w:val="00605039"/>
    <w:rsid w:val="00610467"/>
    <w:rsid w:val="00612CDC"/>
    <w:rsid w:val="0062381A"/>
    <w:rsid w:val="006256D3"/>
    <w:rsid w:val="00626C67"/>
    <w:rsid w:val="00626FCC"/>
    <w:rsid w:val="00627BB7"/>
    <w:rsid w:val="0063417B"/>
    <w:rsid w:val="0063493E"/>
    <w:rsid w:val="00640850"/>
    <w:rsid w:val="00645426"/>
    <w:rsid w:val="00647C77"/>
    <w:rsid w:val="0065136E"/>
    <w:rsid w:val="00652D62"/>
    <w:rsid w:val="0065485B"/>
    <w:rsid w:val="00656BD8"/>
    <w:rsid w:val="006616FE"/>
    <w:rsid w:val="00670D71"/>
    <w:rsid w:val="0067376E"/>
    <w:rsid w:val="006739A1"/>
    <w:rsid w:val="00674257"/>
    <w:rsid w:val="00676F83"/>
    <w:rsid w:val="0067798E"/>
    <w:rsid w:val="006805BB"/>
    <w:rsid w:val="00682248"/>
    <w:rsid w:val="00685A65"/>
    <w:rsid w:val="0069009E"/>
    <w:rsid w:val="0069128A"/>
    <w:rsid w:val="006929A6"/>
    <w:rsid w:val="0069485C"/>
    <w:rsid w:val="006A35B5"/>
    <w:rsid w:val="006A3700"/>
    <w:rsid w:val="006A3FDB"/>
    <w:rsid w:val="006A76F8"/>
    <w:rsid w:val="006B5077"/>
    <w:rsid w:val="006B7A83"/>
    <w:rsid w:val="006C65C0"/>
    <w:rsid w:val="006D324D"/>
    <w:rsid w:val="006E0E0F"/>
    <w:rsid w:val="006E7028"/>
    <w:rsid w:val="006E7DCE"/>
    <w:rsid w:val="006E7E35"/>
    <w:rsid w:val="006F018A"/>
    <w:rsid w:val="006F0B0B"/>
    <w:rsid w:val="006F299F"/>
    <w:rsid w:val="006F54F5"/>
    <w:rsid w:val="006F570B"/>
    <w:rsid w:val="00702256"/>
    <w:rsid w:val="00704A34"/>
    <w:rsid w:val="00704E5B"/>
    <w:rsid w:val="007050FF"/>
    <w:rsid w:val="00705210"/>
    <w:rsid w:val="00710FB5"/>
    <w:rsid w:val="00715518"/>
    <w:rsid w:val="0072518A"/>
    <w:rsid w:val="00731B27"/>
    <w:rsid w:val="00731C1A"/>
    <w:rsid w:val="007328C0"/>
    <w:rsid w:val="00733B55"/>
    <w:rsid w:val="00734C06"/>
    <w:rsid w:val="007377A5"/>
    <w:rsid w:val="00737D84"/>
    <w:rsid w:val="00743CE3"/>
    <w:rsid w:val="0074585D"/>
    <w:rsid w:val="00752D17"/>
    <w:rsid w:val="00762FE1"/>
    <w:rsid w:val="00763CE6"/>
    <w:rsid w:val="0076458F"/>
    <w:rsid w:val="00764D2C"/>
    <w:rsid w:val="00766962"/>
    <w:rsid w:val="00770916"/>
    <w:rsid w:val="00775287"/>
    <w:rsid w:val="00777E05"/>
    <w:rsid w:val="00782F8D"/>
    <w:rsid w:val="00784030"/>
    <w:rsid w:val="00785F35"/>
    <w:rsid w:val="00790CC9"/>
    <w:rsid w:val="00796ADE"/>
    <w:rsid w:val="007A1AB7"/>
    <w:rsid w:val="007A3147"/>
    <w:rsid w:val="007B11A1"/>
    <w:rsid w:val="007B29A8"/>
    <w:rsid w:val="007B31D8"/>
    <w:rsid w:val="007B6513"/>
    <w:rsid w:val="007B6D1B"/>
    <w:rsid w:val="007B7637"/>
    <w:rsid w:val="007B7E70"/>
    <w:rsid w:val="007C782D"/>
    <w:rsid w:val="007D03DD"/>
    <w:rsid w:val="007D0F77"/>
    <w:rsid w:val="007D136A"/>
    <w:rsid w:val="007D22DD"/>
    <w:rsid w:val="007D33F4"/>
    <w:rsid w:val="007D439F"/>
    <w:rsid w:val="007D773F"/>
    <w:rsid w:val="007E06CB"/>
    <w:rsid w:val="007E4A9B"/>
    <w:rsid w:val="007E5BF6"/>
    <w:rsid w:val="007E6FD9"/>
    <w:rsid w:val="007F1BE1"/>
    <w:rsid w:val="007F2437"/>
    <w:rsid w:val="007F28ED"/>
    <w:rsid w:val="007F3ABE"/>
    <w:rsid w:val="007F3C46"/>
    <w:rsid w:val="00805A8C"/>
    <w:rsid w:val="008162BD"/>
    <w:rsid w:val="0082248C"/>
    <w:rsid w:val="00822534"/>
    <w:rsid w:val="008264E8"/>
    <w:rsid w:val="008328E9"/>
    <w:rsid w:val="00833834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7796E"/>
    <w:rsid w:val="00882F1B"/>
    <w:rsid w:val="00883E3D"/>
    <w:rsid w:val="008902A5"/>
    <w:rsid w:val="00891414"/>
    <w:rsid w:val="00895912"/>
    <w:rsid w:val="008A1B1A"/>
    <w:rsid w:val="008A70CE"/>
    <w:rsid w:val="008A7156"/>
    <w:rsid w:val="008B08A7"/>
    <w:rsid w:val="008B1FD6"/>
    <w:rsid w:val="008B3FED"/>
    <w:rsid w:val="008B6CD0"/>
    <w:rsid w:val="008C25E4"/>
    <w:rsid w:val="008C2DAE"/>
    <w:rsid w:val="008C2F21"/>
    <w:rsid w:val="008C603F"/>
    <w:rsid w:val="008C6BFA"/>
    <w:rsid w:val="008C72D2"/>
    <w:rsid w:val="008D002E"/>
    <w:rsid w:val="008D6247"/>
    <w:rsid w:val="008D75A2"/>
    <w:rsid w:val="008E4F48"/>
    <w:rsid w:val="008F1736"/>
    <w:rsid w:val="008F1E6B"/>
    <w:rsid w:val="008F2881"/>
    <w:rsid w:val="00902BFF"/>
    <w:rsid w:val="009059A9"/>
    <w:rsid w:val="00906806"/>
    <w:rsid w:val="009111E2"/>
    <w:rsid w:val="00915D50"/>
    <w:rsid w:val="009165B7"/>
    <w:rsid w:val="00922B91"/>
    <w:rsid w:val="00923724"/>
    <w:rsid w:val="00924B40"/>
    <w:rsid w:val="0092515E"/>
    <w:rsid w:val="00925C9B"/>
    <w:rsid w:val="009333BD"/>
    <w:rsid w:val="00935CC3"/>
    <w:rsid w:val="00941BE4"/>
    <w:rsid w:val="009461E9"/>
    <w:rsid w:val="00946329"/>
    <w:rsid w:val="0094770B"/>
    <w:rsid w:val="009503D2"/>
    <w:rsid w:val="0095183A"/>
    <w:rsid w:val="009524FD"/>
    <w:rsid w:val="00954869"/>
    <w:rsid w:val="0095787D"/>
    <w:rsid w:val="00966FED"/>
    <w:rsid w:val="009702E4"/>
    <w:rsid w:val="0097565A"/>
    <w:rsid w:val="009919DF"/>
    <w:rsid w:val="009933EA"/>
    <w:rsid w:val="009A26BD"/>
    <w:rsid w:val="009A3BC9"/>
    <w:rsid w:val="009A744C"/>
    <w:rsid w:val="009B18B3"/>
    <w:rsid w:val="009B2267"/>
    <w:rsid w:val="009B496E"/>
    <w:rsid w:val="009C0819"/>
    <w:rsid w:val="009C4D14"/>
    <w:rsid w:val="009C5CBA"/>
    <w:rsid w:val="009D1C2C"/>
    <w:rsid w:val="009D2B05"/>
    <w:rsid w:val="009D2D44"/>
    <w:rsid w:val="009D57A1"/>
    <w:rsid w:val="009D673C"/>
    <w:rsid w:val="009D7CE7"/>
    <w:rsid w:val="009E2092"/>
    <w:rsid w:val="009E4F8A"/>
    <w:rsid w:val="009E5374"/>
    <w:rsid w:val="009F120C"/>
    <w:rsid w:val="009F345D"/>
    <w:rsid w:val="009F34D5"/>
    <w:rsid w:val="009F7842"/>
    <w:rsid w:val="00A02921"/>
    <w:rsid w:val="00A06A20"/>
    <w:rsid w:val="00A12117"/>
    <w:rsid w:val="00A13218"/>
    <w:rsid w:val="00A17B70"/>
    <w:rsid w:val="00A17B7B"/>
    <w:rsid w:val="00A227A3"/>
    <w:rsid w:val="00A24C18"/>
    <w:rsid w:val="00A26418"/>
    <w:rsid w:val="00A33B16"/>
    <w:rsid w:val="00A33C3B"/>
    <w:rsid w:val="00A34C8B"/>
    <w:rsid w:val="00A41CA7"/>
    <w:rsid w:val="00A42598"/>
    <w:rsid w:val="00A42C70"/>
    <w:rsid w:val="00A42D73"/>
    <w:rsid w:val="00A4576B"/>
    <w:rsid w:val="00A5199D"/>
    <w:rsid w:val="00A55C97"/>
    <w:rsid w:val="00A60B73"/>
    <w:rsid w:val="00A61346"/>
    <w:rsid w:val="00A64469"/>
    <w:rsid w:val="00A660C9"/>
    <w:rsid w:val="00A71A2E"/>
    <w:rsid w:val="00A726B6"/>
    <w:rsid w:val="00A73BA4"/>
    <w:rsid w:val="00A80080"/>
    <w:rsid w:val="00A85181"/>
    <w:rsid w:val="00A85F4D"/>
    <w:rsid w:val="00A905FA"/>
    <w:rsid w:val="00A94E0B"/>
    <w:rsid w:val="00A95733"/>
    <w:rsid w:val="00A97058"/>
    <w:rsid w:val="00AA0DCE"/>
    <w:rsid w:val="00AA3DB1"/>
    <w:rsid w:val="00AA3E55"/>
    <w:rsid w:val="00AB3D05"/>
    <w:rsid w:val="00AB3DAC"/>
    <w:rsid w:val="00AB4639"/>
    <w:rsid w:val="00AB4951"/>
    <w:rsid w:val="00AB4D8C"/>
    <w:rsid w:val="00AB5EA0"/>
    <w:rsid w:val="00AC233F"/>
    <w:rsid w:val="00AC42C1"/>
    <w:rsid w:val="00AC46B3"/>
    <w:rsid w:val="00AC4AE4"/>
    <w:rsid w:val="00AC4FAD"/>
    <w:rsid w:val="00AC54FF"/>
    <w:rsid w:val="00AD1F3C"/>
    <w:rsid w:val="00AD74F3"/>
    <w:rsid w:val="00AE0A27"/>
    <w:rsid w:val="00AE162E"/>
    <w:rsid w:val="00AE2367"/>
    <w:rsid w:val="00AE7A30"/>
    <w:rsid w:val="00AF2E67"/>
    <w:rsid w:val="00B02469"/>
    <w:rsid w:val="00B057FC"/>
    <w:rsid w:val="00B20D7F"/>
    <w:rsid w:val="00B315A0"/>
    <w:rsid w:val="00B341D7"/>
    <w:rsid w:val="00B34A18"/>
    <w:rsid w:val="00B36AC3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64CD9"/>
    <w:rsid w:val="00B666C5"/>
    <w:rsid w:val="00B70083"/>
    <w:rsid w:val="00B70C9B"/>
    <w:rsid w:val="00B71CC4"/>
    <w:rsid w:val="00B75265"/>
    <w:rsid w:val="00B75BAE"/>
    <w:rsid w:val="00B76A92"/>
    <w:rsid w:val="00B924B2"/>
    <w:rsid w:val="00B943DB"/>
    <w:rsid w:val="00B94CD6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E4EE8"/>
    <w:rsid w:val="00BF20AA"/>
    <w:rsid w:val="00BF2724"/>
    <w:rsid w:val="00BF4C07"/>
    <w:rsid w:val="00C02855"/>
    <w:rsid w:val="00C04170"/>
    <w:rsid w:val="00C04735"/>
    <w:rsid w:val="00C051BF"/>
    <w:rsid w:val="00C13145"/>
    <w:rsid w:val="00C148FA"/>
    <w:rsid w:val="00C239EE"/>
    <w:rsid w:val="00C24460"/>
    <w:rsid w:val="00C31DAC"/>
    <w:rsid w:val="00C32D70"/>
    <w:rsid w:val="00C354BC"/>
    <w:rsid w:val="00C35729"/>
    <w:rsid w:val="00C36D86"/>
    <w:rsid w:val="00C441EF"/>
    <w:rsid w:val="00C51BF2"/>
    <w:rsid w:val="00C5452D"/>
    <w:rsid w:val="00C637BC"/>
    <w:rsid w:val="00C64192"/>
    <w:rsid w:val="00C659B9"/>
    <w:rsid w:val="00C70684"/>
    <w:rsid w:val="00C7440E"/>
    <w:rsid w:val="00C8140F"/>
    <w:rsid w:val="00C82AAA"/>
    <w:rsid w:val="00C837D0"/>
    <w:rsid w:val="00C87160"/>
    <w:rsid w:val="00C91F2F"/>
    <w:rsid w:val="00C92BE3"/>
    <w:rsid w:val="00CA797B"/>
    <w:rsid w:val="00CB1B36"/>
    <w:rsid w:val="00CB65B7"/>
    <w:rsid w:val="00CC40B9"/>
    <w:rsid w:val="00CC5EE7"/>
    <w:rsid w:val="00CC5F9F"/>
    <w:rsid w:val="00CD191D"/>
    <w:rsid w:val="00CD24E3"/>
    <w:rsid w:val="00CE0962"/>
    <w:rsid w:val="00CE3877"/>
    <w:rsid w:val="00CE750F"/>
    <w:rsid w:val="00CF75A1"/>
    <w:rsid w:val="00D00C17"/>
    <w:rsid w:val="00D015D6"/>
    <w:rsid w:val="00D03F6B"/>
    <w:rsid w:val="00D0530C"/>
    <w:rsid w:val="00D07275"/>
    <w:rsid w:val="00D10BFC"/>
    <w:rsid w:val="00D11142"/>
    <w:rsid w:val="00D12E4C"/>
    <w:rsid w:val="00D160CB"/>
    <w:rsid w:val="00D16861"/>
    <w:rsid w:val="00D23042"/>
    <w:rsid w:val="00D2305F"/>
    <w:rsid w:val="00D23A96"/>
    <w:rsid w:val="00D245A1"/>
    <w:rsid w:val="00D24687"/>
    <w:rsid w:val="00D25D5E"/>
    <w:rsid w:val="00D26134"/>
    <w:rsid w:val="00D30DA8"/>
    <w:rsid w:val="00D3216C"/>
    <w:rsid w:val="00D3601B"/>
    <w:rsid w:val="00D3621D"/>
    <w:rsid w:val="00D37914"/>
    <w:rsid w:val="00D407D6"/>
    <w:rsid w:val="00D415E2"/>
    <w:rsid w:val="00D42055"/>
    <w:rsid w:val="00D445FA"/>
    <w:rsid w:val="00D50F55"/>
    <w:rsid w:val="00D60E59"/>
    <w:rsid w:val="00D62782"/>
    <w:rsid w:val="00D647C3"/>
    <w:rsid w:val="00D72E9F"/>
    <w:rsid w:val="00D7591F"/>
    <w:rsid w:val="00D82B62"/>
    <w:rsid w:val="00D84916"/>
    <w:rsid w:val="00D86F2D"/>
    <w:rsid w:val="00D87A1A"/>
    <w:rsid w:val="00D91ED0"/>
    <w:rsid w:val="00D940C5"/>
    <w:rsid w:val="00D94203"/>
    <w:rsid w:val="00D9633A"/>
    <w:rsid w:val="00DA057C"/>
    <w:rsid w:val="00DA2823"/>
    <w:rsid w:val="00DA2B75"/>
    <w:rsid w:val="00DA3A73"/>
    <w:rsid w:val="00DA7DCE"/>
    <w:rsid w:val="00DB7611"/>
    <w:rsid w:val="00DC4D74"/>
    <w:rsid w:val="00DC6C7C"/>
    <w:rsid w:val="00DC71D9"/>
    <w:rsid w:val="00DD24D7"/>
    <w:rsid w:val="00DE13E7"/>
    <w:rsid w:val="00DE2B38"/>
    <w:rsid w:val="00DE45F1"/>
    <w:rsid w:val="00DF076C"/>
    <w:rsid w:val="00DF0959"/>
    <w:rsid w:val="00DF2386"/>
    <w:rsid w:val="00DF5339"/>
    <w:rsid w:val="00DF7FE7"/>
    <w:rsid w:val="00E02735"/>
    <w:rsid w:val="00E0327E"/>
    <w:rsid w:val="00E036AD"/>
    <w:rsid w:val="00E06077"/>
    <w:rsid w:val="00E222FB"/>
    <w:rsid w:val="00E2262A"/>
    <w:rsid w:val="00E24F5C"/>
    <w:rsid w:val="00E31D7A"/>
    <w:rsid w:val="00E34BC5"/>
    <w:rsid w:val="00E36FA2"/>
    <w:rsid w:val="00E414F5"/>
    <w:rsid w:val="00E41E03"/>
    <w:rsid w:val="00E46367"/>
    <w:rsid w:val="00E519AF"/>
    <w:rsid w:val="00E529C2"/>
    <w:rsid w:val="00E62208"/>
    <w:rsid w:val="00E6226E"/>
    <w:rsid w:val="00E625E5"/>
    <w:rsid w:val="00E63F0B"/>
    <w:rsid w:val="00E6731F"/>
    <w:rsid w:val="00E70B45"/>
    <w:rsid w:val="00E74E78"/>
    <w:rsid w:val="00E752CF"/>
    <w:rsid w:val="00E77D97"/>
    <w:rsid w:val="00E77F3D"/>
    <w:rsid w:val="00E813A1"/>
    <w:rsid w:val="00E907F9"/>
    <w:rsid w:val="00E91B09"/>
    <w:rsid w:val="00E9307A"/>
    <w:rsid w:val="00E96041"/>
    <w:rsid w:val="00E964E0"/>
    <w:rsid w:val="00E96AA4"/>
    <w:rsid w:val="00E97393"/>
    <w:rsid w:val="00EA3A7F"/>
    <w:rsid w:val="00EA4AE6"/>
    <w:rsid w:val="00EA7DCC"/>
    <w:rsid w:val="00EB2479"/>
    <w:rsid w:val="00EB2D3E"/>
    <w:rsid w:val="00EB586B"/>
    <w:rsid w:val="00EC0E5E"/>
    <w:rsid w:val="00EC4BFB"/>
    <w:rsid w:val="00EC598F"/>
    <w:rsid w:val="00ED5FB3"/>
    <w:rsid w:val="00ED6C09"/>
    <w:rsid w:val="00ED780A"/>
    <w:rsid w:val="00EE21CB"/>
    <w:rsid w:val="00EE3F96"/>
    <w:rsid w:val="00EE448D"/>
    <w:rsid w:val="00EE60FC"/>
    <w:rsid w:val="00EE6B09"/>
    <w:rsid w:val="00F01E40"/>
    <w:rsid w:val="00F026A8"/>
    <w:rsid w:val="00F0503F"/>
    <w:rsid w:val="00F07784"/>
    <w:rsid w:val="00F078F1"/>
    <w:rsid w:val="00F14677"/>
    <w:rsid w:val="00F15BDC"/>
    <w:rsid w:val="00F17B82"/>
    <w:rsid w:val="00F21B04"/>
    <w:rsid w:val="00F2412D"/>
    <w:rsid w:val="00F32B05"/>
    <w:rsid w:val="00F349FD"/>
    <w:rsid w:val="00F35921"/>
    <w:rsid w:val="00F40029"/>
    <w:rsid w:val="00F41E45"/>
    <w:rsid w:val="00F564E7"/>
    <w:rsid w:val="00F61EC3"/>
    <w:rsid w:val="00F6732B"/>
    <w:rsid w:val="00F7029F"/>
    <w:rsid w:val="00F73E71"/>
    <w:rsid w:val="00F7452E"/>
    <w:rsid w:val="00F77B35"/>
    <w:rsid w:val="00F77BBD"/>
    <w:rsid w:val="00F807D4"/>
    <w:rsid w:val="00F85F7A"/>
    <w:rsid w:val="00F86070"/>
    <w:rsid w:val="00F90892"/>
    <w:rsid w:val="00F9131F"/>
    <w:rsid w:val="00F942A0"/>
    <w:rsid w:val="00F962DD"/>
    <w:rsid w:val="00FA74E5"/>
    <w:rsid w:val="00FB66D7"/>
    <w:rsid w:val="00FB6F4B"/>
    <w:rsid w:val="00FC4755"/>
    <w:rsid w:val="00FC5E60"/>
    <w:rsid w:val="00FD1CFD"/>
    <w:rsid w:val="00FE2BEA"/>
    <w:rsid w:val="00FF144B"/>
    <w:rsid w:val="00FF5149"/>
    <w:rsid w:val="00FF6D8D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BA0DC7"/>
  <w15:docId w15:val="{BD9F7D1A-12AD-47EB-9433-2123DEE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780A"/>
    <w:pPr>
      <w:spacing w:after="0" w:line="240" w:lineRule="auto"/>
      <w:ind w:left="720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amsar.org/es/documento/sc592022-com2-rev1-informe-del-subgrupo-de-finanzas-23-de-mayo-d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C6C1-8A4F-4A56-BE7C-E525FCD0132E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aedd258d-19a7-41ba-8260-b0918f25313d"/>
    <ds:schemaRef ds:uri="http://www.w3.org/XML/1998/namespace"/>
    <ds:schemaRef ds:uri="http://purl.org/dc/elements/1.1/"/>
    <ds:schemaRef ds:uri="http://schemas.microsoft.com/office/infopath/2007/PartnerControls"/>
    <ds:schemaRef ds:uri="8c0b6b05-eb82-4bda-97e8-cd82d0d6b453"/>
  </ds:schemaRefs>
</ds:datastoreItem>
</file>

<file path=customXml/itemProps2.xml><?xml version="1.0" encoding="utf-8"?>
<ds:datastoreItem xmlns:ds="http://schemas.openxmlformats.org/officeDocument/2006/customXml" ds:itemID="{D855E416-DA47-4C7D-8F6B-1561CB306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6F72-62E3-4A2E-9CEB-FBACA96B3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D9E59B-33E5-48B2-AE15-96D2AF38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barzdo@ramsar.org</dc:creator>
  <cp:lastModifiedBy>Ed Jennings</cp:lastModifiedBy>
  <cp:revision>3</cp:revision>
  <cp:lastPrinted>2022-10-17T12:01:00Z</cp:lastPrinted>
  <dcterms:created xsi:type="dcterms:W3CDTF">2022-10-17T15:14:00Z</dcterms:created>
  <dcterms:modified xsi:type="dcterms:W3CDTF">2022-10-17T15:21:00Z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0x01010020C2866174F1EB4584C940634C144C32</vt:lpwstr>
  </property>
</Properties>
</file>