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EC44" w14:textId="77777777" w:rsidR="00D937C2" w:rsidRPr="00E84B6D" w:rsidRDefault="00D937C2" w:rsidP="00D937C2">
      <w:pPr>
        <w:jc w:val="center"/>
        <w:outlineLvl w:val="0"/>
        <w:rPr>
          <w:b/>
          <w:sz w:val="24"/>
          <w:lang w:val="fr-FR"/>
        </w:rPr>
      </w:pPr>
      <w:r w:rsidRPr="00E84B6D">
        <w:rPr>
          <w:rFonts w:eastAsia="Times New Roman" w:cstheme="majorHAnsi"/>
          <w:b/>
          <w:bCs/>
          <w:sz w:val="24"/>
          <w:szCs w:val="24"/>
          <w:lang w:val="fr-FR"/>
        </w:rPr>
        <w:t>14ª Reunión de la Conferencia de las Partes Contratantes</w:t>
      </w:r>
    </w:p>
    <w:p w14:paraId="7F0FBE85" w14:textId="77777777" w:rsidR="00D937C2" w:rsidRPr="00E84B6D" w:rsidRDefault="00D937C2" w:rsidP="00D937C2">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en la Convención de Ramsar sobre los Humedales</w:t>
      </w:r>
    </w:p>
    <w:p w14:paraId="1A0D0202" w14:textId="77777777" w:rsidR="00D937C2" w:rsidRPr="00E84B6D" w:rsidRDefault="00D937C2" w:rsidP="00D937C2">
      <w:pPr>
        <w:jc w:val="center"/>
        <w:outlineLvl w:val="0"/>
        <w:rPr>
          <w:rFonts w:eastAsia="Times New Roman" w:cstheme="majorHAnsi"/>
          <w:b/>
          <w:bCs/>
          <w:sz w:val="24"/>
          <w:szCs w:val="24"/>
          <w:lang w:val="fr-FR"/>
        </w:rPr>
      </w:pPr>
    </w:p>
    <w:p w14:paraId="0012CCCA" w14:textId="77777777" w:rsidR="00D937C2" w:rsidRPr="00E84B6D" w:rsidRDefault="00D937C2" w:rsidP="00D937C2">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“Acciones en favor de los humedales para las personas y la naturaleza”</w:t>
      </w:r>
    </w:p>
    <w:p w14:paraId="6C470E7D" w14:textId="77777777" w:rsidR="00D937C2" w:rsidRPr="00E84B6D" w:rsidRDefault="00D937C2" w:rsidP="00D937C2">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Wuhan, China y Ginebra, Suiza, 5 a 13 de noviembre de 2022</w:t>
      </w:r>
    </w:p>
    <w:p w14:paraId="7D03B896" w14:textId="77777777" w:rsidR="00D937C2" w:rsidRPr="00E84B6D" w:rsidRDefault="00D937C2" w:rsidP="00D937C2">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D937C2" w:rsidRPr="00E84B6D" w14:paraId="6A31E9CD" w14:textId="77777777" w:rsidTr="003F4C0E">
        <w:tc>
          <w:tcPr>
            <w:tcW w:w="4708" w:type="dxa"/>
          </w:tcPr>
          <w:p w14:paraId="12CD3E9E" w14:textId="77777777" w:rsidR="00D937C2" w:rsidRPr="00E84B6D" w:rsidRDefault="00D937C2" w:rsidP="003F4C0E">
            <w:pPr>
              <w:ind w:right="17"/>
              <w:jc w:val="center"/>
              <w:outlineLvl w:val="0"/>
              <w:rPr>
                <w:rFonts w:eastAsia="Times New Roman" w:cstheme="majorHAnsi"/>
                <w:b/>
                <w:bCs/>
                <w:sz w:val="24"/>
                <w:szCs w:val="24"/>
                <w:lang w:val="fr-FR"/>
              </w:rPr>
            </w:pPr>
          </w:p>
        </w:tc>
        <w:tc>
          <w:tcPr>
            <w:tcW w:w="4652" w:type="dxa"/>
          </w:tcPr>
          <w:p w14:paraId="66E7EB11" w14:textId="513D317B" w:rsidR="00D937C2" w:rsidRPr="00E84B6D" w:rsidRDefault="00D937C2" w:rsidP="00D937C2">
            <w:pPr>
              <w:ind w:right="67"/>
              <w:jc w:val="right"/>
              <w:outlineLvl w:val="0"/>
              <w:rPr>
                <w:rFonts w:eastAsia="Times New Roman" w:cstheme="majorHAnsi"/>
                <w:b/>
                <w:bCs/>
                <w:sz w:val="24"/>
                <w:szCs w:val="24"/>
                <w:lang w:val="en-US"/>
              </w:rPr>
            </w:pPr>
            <w:r w:rsidRPr="00E84B6D">
              <w:rPr>
                <w:rFonts w:eastAsia="Times New Roman" w:cstheme="majorHAnsi"/>
                <w:b/>
                <w:bCs/>
                <w:sz w:val="24"/>
                <w:szCs w:val="24"/>
                <w:lang w:val="en-US"/>
              </w:rPr>
              <w:t>Ramsar COP14 Doc.18.1</w:t>
            </w:r>
            <w:r>
              <w:rPr>
                <w:rFonts w:eastAsia="Times New Roman" w:cstheme="majorHAnsi"/>
                <w:b/>
                <w:bCs/>
                <w:sz w:val="24"/>
                <w:szCs w:val="24"/>
                <w:lang w:val="en-US"/>
              </w:rPr>
              <w:t>0</w:t>
            </w:r>
          </w:p>
        </w:tc>
      </w:tr>
    </w:tbl>
    <w:p w14:paraId="17E35CA1" w14:textId="77777777" w:rsidR="00D937C2" w:rsidRPr="00E84B6D" w:rsidRDefault="00D937C2" w:rsidP="00D937C2">
      <w:pPr>
        <w:ind w:right="16"/>
        <w:rPr>
          <w:rFonts w:asciiTheme="minorHAnsi" w:eastAsia="Times New Roman" w:hAnsiTheme="minorHAnsi" w:cstheme="minorHAnsi"/>
          <w:iCs/>
        </w:rPr>
      </w:pPr>
    </w:p>
    <w:p w14:paraId="08654955" w14:textId="77777777" w:rsidR="00D937C2" w:rsidRPr="00E84B6D" w:rsidRDefault="00D937C2" w:rsidP="00D937C2">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D937C2" w:rsidRPr="00E84B6D" w14:paraId="08E23BFC" w14:textId="77777777" w:rsidTr="003F4C0E">
        <w:tc>
          <w:tcPr>
            <w:tcW w:w="5000" w:type="pct"/>
          </w:tcPr>
          <w:p w14:paraId="30BB083D" w14:textId="77777777" w:rsidR="00D937C2" w:rsidRPr="00E84B6D" w:rsidRDefault="00D937C2" w:rsidP="003F4C0E">
            <w:pPr>
              <w:rPr>
                <w:rFonts w:eastAsia="Times New Roman" w:cstheme="majorHAnsi"/>
                <w:b/>
                <w:bCs/>
                <w:lang w:val="fr-FR"/>
              </w:rPr>
            </w:pPr>
            <w:r w:rsidRPr="00E84B6D">
              <w:rPr>
                <w:rFonts w:eastAsia="Times New Roman" w:cstheme="majorHAnsi"/>
                <w:b/>
                <w:bCs/>
                <w:lang w:val="fr-FR"/>
              </w:rPr>
              <w:t xml:space="preserve">Nota de la Secretaría: </w:t>
            </w:r>
          </w:p>
          <w:p w14:paraId="1237D525" w14:textId="77777777" w:rsidR="00D937C2" w:rsidRPr="00E84B6D" w:rsidRDefault="00D937C2" w:rsidP="003F4C0E">
            <w:pPr>
              <w:rPr>
                <w:rFonts w:asciiTheme="minorHAnsi" w:hAnsiTheme="minorHAnsi" w:cstheme="minorHAnsi"/>
                <w:b/>
                <w:lang w:val="fr-FR"/>
              </w:rPr>
            </w:pPr>
          </w:p>
          <w:p w14:paraId="3E9DE520" w14:textId="6B8B2273" w:rsidR="00D937C2" w:rsidRDefault="00D937C2" w:rsidP="003F4C0E">
            <w:pPr>
              <w:widowControl w:val="0"/>
              <w:ind w:left="0" w:firstLine="0"/>
              <w:rPr>
                <w:rFonts w:asciiTheme="minorHAnsi" w:hAnsiTheme="minorHAnsi" w:cstheme="minorHAnsi"/>
                <w:lang w:val="fr-FR"/>
              </w:rPr>
            </w:pPr>
            <w:r w:rsidRPr="00E84B6D">
              <w:rPr>
                <w:rFonts w:eastAsia="Times New Roman" w:cstheme="majorHAnsi"/>
                <w:bCs/>
                <w:lang w:val="fr-FR"/>
              </w:rPr>
              <w:t>En la sesión de reanudación de su 59ª reunión, el</w:t>
            </w:r>
            <w:r w:rsidRPr="00E84B6D">
              <w:rPr>
                <w:noProof/>
                <w:lang w:val="fr-FR"/>
              </w:rPr>
              <w:t xml:space="preserve"> Comité Permanente</w:t>
            </w:r>
            <w:r w:rsidRPr="00E84B6D">
              <w:rPr>
                <w:rFonts w:eastAsia="Times New Roman" w:cstheme="majorHAnsi"/>
                <w:bCs/>
                <w:lang w:val="fr-FR"/>
              </w:rPr>
              <w:t xml:space="preserve">, mediante la Decisión </w:t>
            </w:r>
            <w:r>
              <w:t>SC59/2022-23</w:t>
            </w:r>
            <w:r>
              <w:t>, e</w:t>
            </w:r>
            <w:r>
              <w:t>l Comité Permanente aprobó el documento SC59/2022 Doc.17.1 Rev.1 y decidió que sometería a la consideración de la COP14 el proyecto de resolución que figura en el Anexo 2 del documento.</w:t>
            </w:r>
            <w:r w:rsidRPr="00E84B6D">
              <w:rPr>
                <w:rFonts w:asciiTheme="minorHAnsi" w:hAnsiTheme="minorHAnsi" w:cstheme="minorHAnsi"/>
                <w:lang w:val="fr-FR"/>
              </w:rPr>
              <w:t xml:space="preserve"> </w:t>
            </w:r>
          </w:p>
          <w:p w14:paraId="16A3117A" w14:textId="36B7A767" w:rsidR="00D937C2" w:rsidRPr="00E84B6D" w:rsidRDefault="00D937C2" w:rsidP="003F4C0E">
            <w:pPr>
              <w:widowControl w:val="0"/>
              <w:ind w:left="0" w:firstLine="0"/>
              <w:rPr>
                <w:rFonts w:asciiTheme="minorHAnsi" w:hAnsiTheme="minorHAnsi" w:cstheme="minorHAnsi"/>
                <w:lang w:val="fr-FR"/>
              </w:rPr>
            </w:pPr>
          </w:p>
        </w:tc>
      </w:tr>
    </w:tbl>
    <w:p w14:paraId="6A23E1AD" w14:textId="77777777" w:rsidR="00D937C2" w:rsidRPr="00E84B6D" w:rsidRDefault="00D937C2" w:rsidP="00D937C2">
      <w:pPr>
        <w:ind w:right="16"/>
        <w:rPr>
          <w:rFonts w:asciiTheme="minorHAnsi" w:eastAsia="Times New Roman" w:hAnsiTheme="minorHAnsi" w:cstheme="minorHAnsi"/>
          <w:iCs/>
          <w:lang w:val="fr-FR"/>
        </w:rPr>
      </w:pPr>
    </w:p>
    <w:p w14:paraId="7D958D59" w14:textId="77777777" w:rsidR="00D937C2" w:rsidRPr="00E84B6D" w:rsidRDefault="00D937C2" w:rsidP="00D937C2">
      <w:pPr>
        <w:ind w:right="16"/>
        <w:rPr>
          <w:rFonts w:asciiTheme="minorHAnsi" w:eastAsia="Times New Roman" w:hAnsiTheme="minorHAnsi" w:cstheme="minorHAnsi"/>
          <w:iCs/>
          <w:lang w:val="fr-FR"/>
        </w:rPr>
      </w:pPr>
    </w:p>
    <w:p w14:paraId="38AAD3A2" w14:textId="32498E01" w:rsidR="00D937C2" w:rsidRDefault="00D937C2" w:rsidP="00D937C2">
      <w:pPr>
        <w:ind w:right="16"/>
        <w:jc w:val="center"/>
        <w:rPr>
          <w:rFonts w:asciiTheme="minorHAnsi" w:hAnsiTheme="minorHAnsi"/>
          <w:b/>
          <w:bCs/>
          <w:sz w:val="28"/>
          <w:szCs w:val="28"/>
        </w:rPr>
      </w:pPr>
      <w:r w:rsidRPr="00E84B6D">
        <w:rPr>
          <w:b/>
          <w:sz w:val="28"/>
          <w:szCs w:val="28"/>
        </w:rPr>
        <w:t xml:space="preserve">Proyecto de resolución sobre el </w:t>
      </w:r>
      <w:r w:rsidR="00A1519F" w:rsidRPr="00D45EE9">
        <w:rPr>
          <w:rFonts w:asciiTheme="minorHAnsi" w:hAnsiTheme="minorHAnsi"/>
          <w:b/>
          <w:bCs/>
          <w:sz w:val="28"/>
          <w:szCs w:val="28"/>
        </w:rPr>
        <w:t>nuevo enfoque de CECoP</w:t>
      </w:r>
    </w:p>
    <w:p w14:paraId="61EEBAFA" w14:textId="57B90542" w:rsidR="00A1519F" w:rsidRDefault="00A1519F" w:rsidP="00D937C2">
      <w:pPr>
        <w:ind w:right="16"/>
        <w:rPr>
          <w:rFonts w:asciiTheme="minorHAnsi" w:hAnsiTheme="minorHAnsi"/>
        </w:rPr>
      </w:pPr>
    </w:p>
    <w:p w14:paraId="700BABA9" w14:textId="77777777" w:rsidR="003845A4" w:rsidRPr="00D45EE9" w:rsidRDefault="003845A4" w:rsidP="00D937C2">
      <w:pPr>
        <w:ind w:right="16"/>
        <w:rPr>
          <w:rFonts w:asciiTheme="minorHAnsi" w:hAnsiTheme="minorHAnsi"/>
        </w:rPr>
      </w:pPr>
      <w:bookmarkStart w:id="0" w:name="_GoBack"/>
      <w:bookmarkEnd w:id="0"/>
    </w:p>
    <w:p w14:paraId="64FAC23E" w14:textId="6DF4C210" w:rsidR="00A1519F" w:rsidRPr="00D45EE9" w:rsidRDefault="00A1519F" w:rsidP="00D937C2">
      <w:r w:rsidRPr="00D45EE9">
        <w:t>1.</w:t>
      </w:r>
      <w:r w:rsidR="002A4B5C" w:rsidRPr="00D45EE9">
        <w:tab/>
      </w:r>
      <w:r w:rsidRPr="00D45EE9">
        <w:t>RECORDANDO la Resolución XIII.5 Examen del Cuarto Plan Estratégico de la Convención de Ramsar;</w:t>
      </w:r>
    </w:p>
    <w:p w14:paraId="61C0F484" w14:textId="77777777" w:rsidR="00A1519F" w:rsidRPr="00D45EE9" w:rsidRDefault="00A1519F" w:rsidP="00D937C2"/>
    <w:p w14:paraId="02FAAE40" w14:textId="7C194EB0" w:rsidR="00B04571" w:rsidRPr="00D45EE9" w:rsidRDefault="00A1519F" w:rsidP="00D937C2">
      <w:r w:rsidRPr="00D45EE9">
        <w:t>2.</w:t>
      </w:r>
      <w:r w:rsidR="002A4B5C" w:rsidRPr="00D45EE9">
        <w:tab/>
      </w:r>
      <w:r w:rsidRPr="00D45EE9">
        <w:t>RECORDANDO la Resolución XII.9, que incluye el programa de CECoP para 2016-2024;</w:t>
      </w:r>
    </w:p>
    <w:p w14:paraId="4D17166F" w14:textId="16B0661D" w:rsidR="00B04571" w:rsidRPr="00D45EE9" w:rsidRDefault="00B04571" w:rsidP="00D937C2">
      <w:pPr>
        <w:ind w:left="0" w:firstLine="0"/>
        <w:rPr>
          <w:u w:val="single"/>
        </w:rPr>
      </w:pPr>
    </w:p>
    <w:p w14:paraId="65FB8C0A" w14:textId="716BCA13" w:rsidR="00A1519F" w:rsidRDefault="00D937C2" w:rsidP="00D937C2">
      <w:r>
        <w:t>3.</w:t>
      </w:r>
      <w:r w:rsidR="002A4B5C" w:rsidRPr="00D937C2">
        <w:tab/>
      </w:r>
      <w:r w:rsidR="00B04571" w:rsidRPr="00D937C2">
        <w:t>RECONOCIENDO que un programa de CECoP separado tiene limitaciones e implica oportunidades desaprovechadas, y que una mayor armonización de las actividades de comunicación, educación, participación y sensibilización con el trabajo básico de la Convención permitirá cumplir mejo</w:t>
      </w:r>
      <w:r>
        <w:t>r los objetivos y la misión;</w:t>
      </w:r>
    </w:p>
    <w:p w14:paraId="798BA286" w14:textId="77777777" w:rsidR="00D937C2" w:rsidRPr="00D937C2" w:rsidRDefault="00D937C2" w:rsidP="00D937C2"/>
    <w:p w14:paraId="7E383DB6" w14:textId="740C6968" w:rsidR="00BC3712" w:rsidRPr="001073AD" w:rsidRDefault="00BC108A" w:rsidP="00D937C2">
      <w:pPr>
        <w:rPr>
          <w:strike/>
        </w:rPr>
      </w:pPr>
      <w:r w:rsidRPr="001073AD">
        <w:t>4.</w:t>
      </w:r>
      <w:r w:rsidR="002A4B5C" w:rsidRPr="001073AD">
        <w:tab/>
      </w:r>
      <w:r w:rsidR="00A1519F" w:rsidRPr="001073AD">
        <w:t>TOMANDO NOTA de que el nuevo enfoque de CECoP ha sido desarrollado de manera que pueda integrarse en el Plan Estratégico actual (PE4) [utilizando un anexo temático, véase el anexo 2] y [ser considerado en el desarrollo del] [en el] nuevo plan estratégico (PE5);</w:t>
      </w:r>
    </w:p>
    <w:p w14:paraId="3FCB2212" w14:textId="77777777" w:rsidR="00A1519F" w:rsidRPr="001073AD" w:rsidRDefault="00A1519F" w:rsidP="00D937C2">
      <w:pPr>
        <w:ind w:left="0" w:firstLine="0"/>
      </w:pPr>
    </w:p>
    <w:p w14:paraId="4EA47D68" w14:textId="7ADA9752" w:rsidR="00A1519F" w:rsidRPr="001073AD" w:rsidRDefault="00BC108A" w:rsidP="00D937C2">
      <w:r w:rsidRPr="001073AD">
        <w:t>5.</w:t>
      </w:r>
      <w:r w:rsidR="002A4B5C" w:rsidRPr="001073AD">
        <w:tab/>
      </w:r>
      <w:r w:rsidR="00E871CB" w:rsidRPr="001073AD">
        <w:t>RECONOCIENDO que las Partes, las OIA y otros asociados tendrán capacidades y prioridades diferentes y que el nuevo enfoque de CECoP [proporciona] flexibilidad [en la aplicación];</w:t>
      </w:r>
    </w:p>
    <w:p w14:paraId="2AB96D91" w14:textId="77777777" w:rsidR="00A1519F" w:rsidRPr="00D45EE9" w:rsidRDefault="00A1519F" w:rsidP="00D937C2"/>
    <w:p w14:paraId="4D91E732" w14:textId="3DDD197D" w:rsidR="0097215F" w:rsidRPr="001073AD" w:rsidRDefault="00CE0AAE" w:rsidP="00D937C2">
      <w:r w:rsidRPr="001073AD">
        <w:t>6.</w:t>
      </w:r>
      <w:r w:rsidR="002A4B5C" w:rsidRPr="001073AD">
        <w:tab/>
      </w:r>
      <w:r w:rsidR="0097215F" w:rsidRPr="001073AD">
        <w:t>ENCOMIANDO el excelente trabajo ya realizado con recursos muy escasos por todos los actores de las actividades de CECoP de la Convención</w:t>
      </w:r>
      <w:r w:rsidR="001073AD" w:rsidRPr="001073AD">
        <w:t>;</w:t>
      </w:r>
    </w:p>
    <w:p w14:paraId="7B1A89BC" w14:textId="38C10B7C" w:rsidR="00A1519F" w:rsidRPr="00D45EE9" w:rsidRDefault="00A1519F" w:rsidP="00D937C2"/>
    <w:p w14:paraId="7E3F2DFC" w14:textId="77777777" w:rsidR="00A1519F" w:rsidRPr="00D45EE9" w:rsidRDefault="00A1519F" w:rsidP="00D937C2">
      <w:pPr>
        <w:ind w:left="426" w:right="16" w:hanging="426"/>
        <w:jc w:val="center"/>
        <w:rPr>
          <w:rFonts w:asciiTheme="minorHAnsi" w:eastAsia="Times New Roman" w:hAnsiTheme="minorHAnsi"/>
        </w:rPr>
      </w:pPr>
      <w:r w:rsidRPr="00D45EE9">
        <w:rPr>
          <w:rFonts w:asciiTheme="minorHAnsi" w:hAnsiTheme="minorHAnsi"/>
        </w:rPr>
        <w:t>LA CONFERENCIA DE LAS PARTES CONTRATANTES</w:t>
      </w:r>
    </w:p>
    <w:p w14:paraId="3CED2512" w14:textId="77777777" w:rsidR="00A1519F" w:rsidRPr="00D45EE9" w:rsidRDefault="00A1519F" w:rsidP="00D937C2"/>
    <w:p w14:paraId="41A7FF75" w14:textId="77777777" w:rsidR="00A1519F" w:rsidRPr="00D45EE9" w:rsidRDefault="00A1519F" w:rsidP="00D937C2">
      <w:pPr>
        <w:rPr>
          <w:i/>
          <w:iCs/>
        </w:rPr>
      </w:pPr>
      <w:r w:rsidRPr="00D45EE9">
        <w:rPr>
          <w:i/>
          <w:iCs/>
        </w:rPr>
        <w:t>El nuevo enfoque de CECoP</w:t>
      </w:r>
    </w:p>
    <w:p w14:paraId="65000065" w14:textId="77777777" w:rsidR="00A1519F" w:rsidRPr="001073AD" w:rsidRDefault="00A1519F" w:rsidP="00D937C2"/>
    <w:p w14:paraId="722C65E8" w14:textId="0B066D88" w:rsidR="00A1519F" w:rsidRPr="001073AD" w:rsidRDefault="00C17B22" w:rsidP="00D937C2">
      <w:r w:rsidRPr="001073AD">
        <w:t xml:space="preserve">7. </w:t>
      </w:r>
      <w:r w:rsidR="002A4B5C" w:rsidRPr="001073AD">
        <w:tab/>
      </w:r>
      <w:r w:rsidR="00212AF4" w:rsidRPr="001073AD">
        <w:t>APRUEBA el nuevo enfoque de CECoP descrito en el anexo 1 y exhorta a las Partes, a las OIA y a otros asociados a aplicarlo, señalando que está concebido para complementar las actividades de CECoP existentes;</w:t>
      </w:r>
    </w:p>
    <w:p w14:paraId="07600AFE" w14:textId="0A925AE3" w:rsidR="00CE0AAE" w:rsidRPr="00D45EE9" w:rsidRDefault="00CE0AAE" w:rsidP="00D937C2"/>
    <w:p w14:paraId="2C4E6EE4" w14:textId="565EDC3C" w:rsidR="00212AF4" w:rsidRPr="001073AD" w:rsidRDefault="001F2779" w:rsidP="00D937C2">
      <w:r w:rsidRPr="001073AD">
        <w:t>8.</w:t>
      </w:r>
      <w:r w:rsidR="002A4B5C" w:rsidRPr="001073AD">
        <w:tab/>
      </w:r>
      <w:r w:rsidR="00212AF4" w:rsidRPr="001073AD">
        <w:t>[ALIENTA a las Partes a cooperar dentro de las regiones a través de sus coordinadores de CECoP a fin de potenciar cada una</w:t>
      </w:r>
      <w:r w:rsidR="001073AD" w:rsidRPr="001073AD">
        <w:t xml:space="preserve"> de las actividades de CECoP;]</w:t>
      </w:r>
    </w:p>
    <w:p w14:paraId="346754B5" w14:textId="77777777" w:rsidR="00212AF4" w:rsidRPr="00D45EE9" w:rsidRDefault="00212AF4" w:rsidP="00D937C2"/>
    <w:p w14:paraId="146ED78D" w14:textId="6130A898" w:rsidR="00FD1A5E" w:rsidRPr="00B63880" w:rsidRDefault="001073AD" w:rsidP="00D937C2">
      <w:pPr>
        <w:rPr>
          <w:rFonts w:asciiTheme="minorHAnsi" w:hAnsiTheme="minorHAnsi" w:cstheme="minorHAnsi"/>
        </w:rPr>
      </w:pPr>
      <w:r w:rsidRPr="001073AD">
        <w:rPr>
          <w:rFonts w:asciiTheme="minorHAnsi" w:hAnsiTheme="minorHAnsi"/>
        </w:rPr>
        <w:t>9.</w:t>
      </w:r>
      <w:r w:rsidRPr="001073AD">
        <w:rPr>
          <w:rFonts w:asciiTheme="minorHAnsi" w:hAnsiTheme="minorHAnsi"/>
        </w:rPr>
        <w:tab/>
      </w:r>
      <w:r w:rsidR="001F2779" w:rsidRPr="001073AD">
        <w:rPr>
          <w:rFonts w:asciiTheme="minorHAnsi" w:hAnsiTheme="minorHAnsi"/>
        </w:rPr>
        <w:t xml:space="preserve">ALIENTA a las Partes Contratantes a que realicen los esfuerzos necesarios para integrar el Plan </w:t>
      </w:r>
      <w:r w:rsidR="001F2779" w:rsidRPr="00B63880">
        <w:rPr>
          <w:rFonts w:asciiTheme="minorHAnsi" w:hAnsiTheme="minorHAnsi"/>
        </w:rPr>
        <w:t>Estratégico y el nuevo enfoque descrito en los anexos, según proceda;</w:t>
      </w:r>
    </w:p>
    <w:p w14:paraId="79078D56" w14:textId="77777777" w:rsidR="00A1519F" w:rsidRPr="00B63880" w:rsidRDefault="00A1519F" w:rsidP="00D937C2">
      <w:pPr>
        <w:ind w:left="0" w:firstLine="0"/>
        <w:rPr>
          <w:strike/>
        </w:rPr>
      </w:pPr>
    </w:p>
    <w:p w14:paraId="7A07A067" w14:textId="7B9DD6F5" w:rsidR="00010A11" w:rsidRPr="00B63880" w:rsidRDefault="00693D67" w:rsidP="00D937C2">
      <w:pPr>
        <w:rPr>
          <w:rFonts w:cs="Arial"/>
          <w:strike/>
        </w:rPr>
      </w:pPr>
      <w:r w:rsidRPr="00B63880">
        <w:lastRenderedPageBreak/>
        <w:t>10.</w:t>
      </w:r>
      <w:r w:rsidR="002A4B5C" w:rsidRPr="00B63880">
        <w:tab/>
      </w:r>
      <w:r w:rsidR="00010A11" w:rsidRPr="00B63880">
        <w:t>ENCARGA a la Secretaría [que nombre a un funcionario de comunicación adicional para respaldar la aplicación del nuevo enfoque]</w:t>
      </w:r>
      <w:r w:rsidR="00B63880" w:rsidRPr="00B63880">
        <w:t>;</w:t>
      </w:r>
      <w:r w:rsidR="00010A11" w:rsidRPr="00B63880">
        <w:rPr>
          <w:strike/>
        </w:rPr>
        <w:t xml:space="preserve"> </w:t>
      </w:r>
    </w:p>
    <w:p w14:paraId="58C2B39D" w14:textId="0F889892" w:rsidR="00A1519F" w:rsidRPr="00B63880" w:rsidRDefault="00A1519F" w:rsidP="00D937C2"/>
    <w:p w14:paraId="67FD75CA" w14:textId="051AD039" w:rsidR="002527ED" w:rsidRPr="00D45EE9" w:rsidRDefault="00732023" w:rsidP="00D937C2">
      <w:r w:rsidRPr="00B63880">
        <w:t>11. [ACUERDA que la labor prioritaria</w:t>
      </w:r>
      <w:r w:rsidRPr="00D45EE9">
        <w:t xml:space="preserve"> del Grupo de Supervisión de las Actividades de CECoP durante el próximo trienio hasta la COP15 es trabajar estrechamente con el Grupo de Trabajo sobre el Plan Estratégico en relación con el PE5 para integrar el nuevo enfoque d</w:t>
      </w:r>
      <w:r w:rsidR="00B63880">
        <w:t>e CECoP basándose en el anexo 2.</w:t>
      </w:r>
      <w:r w:rsidRPr="00D45EE9">
        <w:t>]</w:t>
      </w:r>
    </w:p>
    <w:p w14:paraId="7A7E4C5E" w14:textId="494B6A67" w:rsidR="00A1519F" w:rsidRPr="00D45EE9" w:rsidRDefault="00A1519F" w:rsidP="00B63880">
      <w:pPr>
        <w:ind w:left="0" w:firstLine="0"/>
        <w:rPr>
          <w:b/>
          <w:bCs/>
          <w:strike/>
        </w:rPr>
      </w:pPr>
      <w:r w:rsidRPr="00D45EE9">
        <w:br w:type="page"/>
      </w:r>
    </w:p>
    <w:p w14:paraId="261B9660" w14:textId="77777777" w:rsidR="00B63880" w:rsidRDefault="00A1519F" w:rsidP="00783020">
      <w:pPr>
        <w:ind w:left="0" w:firstLine="0"/>
        <w:rPr>
          <w:b/>
          <w:sz w:val="24"/>
          <w:szCs w:val="24"/>
        </w:rPr>
      </w:pPr>
      <w:r w:rsidRPr="00D45EE9">
        <w:rPr>
          <w:b/>
          <w:sz w:val="24"/>
          <w:szCs w:val="24"/>
        </w:rPr>
        <w:lastRenderedPageBreak/>
        <w:t xml:space="preserve">Anexo 1 </w:t>
      </w:r>
    </w:p>
    <w:p w14:paraId="7C3FA88C" w14:textId="404159B7" w:rsidR="00A1519F" w:rsidRPr="00D45EE9" w:rsidRDefault="00A1519F" w:rsidP="00783020">
      <w:pPr>
        <w:ind w:left="0" w:firstLine="0"/>
        <w:rPr>
          <w:rFonts w:cs="Arial"/>
          <w:b/>
          <w:sz w:val="24"/>
          <w:szCs w:val="24"/>
        </w:rPr>
      </w:pPr>
      <w:r w:rsidRPr="00D45EE9">
        <w:rPr>
          <w:b/>
          <w:sz w:val="24"/>
          <w:szCs w:val="24"/>
        </w:rPr>
        <w:t>El nuevo enfoque de CECoP tiene las siguientes características</w:t>
      </w:r>
    </w:p>
    <w:p w14:paraId="313206A9" w14:textId="77777777" w:rsidR="00A1519F" w:rsidRPr="00D45EE9" w:rsidRDefault="00A1519F" w:rsidP="00A1519F">
      <w:pPr>
        <w:ind w:left="0" w:firstLine="0"/>
        <w:rPr>
          <w:rFonts w:cs="Arial"/>
        </w:rPr>
      </w:pPr>
    </w:p>
    <w:p w14:paraId="67364859" w14:textId="0B9DE567" w:rsidR="00A1519F" w:rsidRPr="00B63880" w:rsidRDefault="00B63880" w:rsidP="00B63880">
      <w:pPr>
        <w:ind w:left="426" w:hanging="426"/>
        <w:rPr>
          <w:rFonts w:cs="Arial"/>
          <w:b/>
        </w:rPr>
      </w:pPr>
      <w:r>
        <w:rPr>
          <w:b/>
        </w:rPr>
        <w:t>1.</w:t>
      </w:r>
      <w:r>
        <w:rPr>
          <w:b/>
        </w:rPr>
        <w:tab/>
      </w:r>
      <w:r w:rsidR="00A1519F" w:rsidRPr="00B63880">
        <w:rPr>
          <w:b/>
        </w:rPr>
        <w:t>Un conjunto reducido de actividades claramente vinculadas al Plan Estratégico</w:t>
      </w:r>
    </w:p>
    <w:p w14:paraId="28827F10" w14:textId="77777777" w:rsidR="00A1519F" w:rsidRPr="00D45EE9" w:rsidRDefault="00A1519F" w:rsidP="00B63880">
      <w:pPr>
        <w:pStyle w:val="ListParagraph"/>
        <w:numPr>
          <w:ilvl w:val="0"/>
          <w:numId w:val="2"/>
        </w:numPr>
        <w:ind w:left="851" w:hanging="425"/>
        <w:rPr>
          <w:rFonts w:cs="Arial"/>
        </w:rPr>
      </w:pPr>
      <w:r w:rsidRPr="00D45EE9">
        <w:t>El esfuerzo debe centrarse en un número menor de actividades de alta prioridad.</w:t>
      </w:r>
    </w:p>
    <w:p w14:paraId="31513E8A" w14:textId="77777777" w:rsidR="00A1519F" w:rsidRPr="00D45EE9" w:rsidRDefault="00A1519F" w:rsidP="00B63880">
      <w:pPr>
        <w:pStyle w:val="ListParagraph"/>
        <w:numPr>
          <w:ilvl w:val="0"/>
          <w:numId w:val="2"/>
        </w:numPr>
        <w:ind w:left="851" w:hanging="425"/>
        <w:rPr>
          <w:rFonts w:cs="Arial"/>
        </w:rPr>
      </w:pPr>
      <w:r w:rsidRPr="00D45EE9">
        <w:t xml:space="preserve">Las actividades de CECoP deben incorporarse en el Plan Estratégico, pero en un documento separado de CECoP que contenga orientaciones de apoyo, según proceda. </w:t>
      </w:r>
    </w:p>
    <w:p w14:paraId="14D8F0AE" w14:textId="77777777" w:rsidR="00A1519F" w:rsidRPr="00D45EE9" w:rsidRDefault="00A1519F" w:rsidP="00B63880">
      <w:pPr>
        <w:ind w:left="0" w:firstLine="0"/>
        <w:rPr>
          <w:rFonts w:cs="Arial"/>
        </w:rPr>
      </w:pPr>
    </w:p>
    <w:p w14:paraId="6195EDB2" w14:textId="2B0932E0" w:rsidR="00A1519F" w:rsidRPr="00B63880" w:rsidRDefault="00B63880" w:rsidP="00B63880">
      <w:pPr>
        <w:ind w:left="426" w:hanging="426"/>
        <w:rPr>
          <w:b/>
        </w:rPr>
      </w:pPr>
      <w:r>
        <w:rPr>
          <w:b/>
        </w:rPr>
        <w:t>2.</w:t>
      </w:r>
      <w:r>
        <w:rPr>
          <w:b/>
        </w:rPr>
        <w:tab/>
      </w:r>
      <w:r w:rsidR="00A1519F" w:rsidRPr="00D45EE9">
        <w:rPr>
          <w:b/>
        </w:rPr>
        <w:t>Hacer que la CECoP sea más estratégica, integrada y eficaz</w:t>
      </w:r>
    </w:p>
    <w:p w14:paraId="4FCC9F21" w14:textId="77777777" w:rsidR="00A1519F" w:rsidRPr="00D45EE9" w:rsidRDefault="00A1519F" w:rsidP="00B63880">
      <w:pPr>
        <w:pStyle w:val="ListParagraph"/>
        <w:numPr>
          <w:ilvl w:val="0"/>
          <w:numId w:val="2"/>
        </w:numPr>
        <w:ind w:left="851" w:hanging="425"/>
        <w:rPr>
          <w:b/>
          <w:szCs w:val="24"/>
        </w:rPr>
      </w:pPr>
      <w:r w:rsidRPr="00D45EE9">
        <w:t>El Programa de CECoP apoyaría y fortalecería mejor el Plan Estratégico si se integrara en él. El próximo Plan Estratégico debe incluir actividades independientes de CECoP, al igual que elementos de CECoP.</w:t>
      </w:r>
    </w:p>
    <w:p w14:paraId="78018A2E" w14:textId="3974B6D0" w:rsidR="00A1519F" w:rsidRDefault="00A1519F" w:rsidP="00B63880">
      <w:pPr>
        <w:pStyle w:val="ListParagraph"/>
        <w:numPr>
          <w:ilvl w:val="0"/>
          <w:numId w:val="2"/>
        </w:numPr>
        <w:ind w:left="851" w:hanging="425"/>
        <w:rPr>
          <w:b/>
          <w:szCs w:val="24"/>
        </w:rPr>
      </w:pPr>
      <w:r w:rsidRPr="00D45EE9">
        <w:t>En general, las actividades y elementos de CECoP deben integrarse en la planificación y las actividades de la Convención (en los planos local, nacional e internacional), según proceda.</w:t>
      </w:r>
    </w:p>
    <w:p w14:paraId="0145F1F6" w14:textId="77777777" w:rsidR="00B63880" w:rsidRPr="00B63880" w:rsidRDefault="00B63880" w:rsidP="00B63880">
      <w:pPr>
        <w:rPr>
          <w:szCs w:val="24"/>
        </w:rPr>
      </w:pPr>
    </w:p>
    <w:p w14:paraId="6E1EF4B4" w14:textId="6173D9F7" w:rsidR="00A1519F" w:rsidRPr="00B63880" w:rsidRDefault="00B63880" w:rsidP="00B63880">
      <w:pPr>
        <w:ind w:left="426" w:hanging="426"/>
        <w:rPr>
          <w:b/>
        </w:rPr>
      </w:pPr>
      <w:r>
        <w:rPr>
          <w:b/>
        </w:rPr>
        <w:t>3.</w:t>
      </w:r>
      <w:r>
        <w:rPr>
          <w:b/>
        </w:rPr>
        <w:tab/>
      </w:r>
      <w:r w:rsidR="00A1519F" w:rsidRPr="00D45EE9">
        <w:rPr>
          <w:b/>
        </w:rPr>
        <w:t>Trabajar para apoyar a los coordinadores y crear más redes y asociaciones de colaboración</w:t>
      </w:r>
    </w:p>
    <w:p w14:paraId="349E901B" w14:textId="77777777" w:rsidR="00A1519F" w:rsidRPr="00D45EE9" w:rsidRDefault="00A1519F" w:rsidP="00B63880">
      <w:pPr>
        <w:pStyle w:val="ListParagraph"/>
        <w:numPr>
          <w:ilvl w:val="0"/>
          <w:numId w:val="3"/>
        </w:numPr>
        <w:ind w:left="851" w:hanging="425"/>
        <w:rPr>
          <w:szCs w:val="24"/>
        </w:rPr>
      </w:pPr>
      <w:r w:rsidRPr="00D45EE9">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420B393F" w14:textId="77777777" w:rsidR="00A1519F" w:rsidRPr="00D45EE9" w:rsidRDefault="00A1519F" w:rsidP="00B63880">
      <w:pPr>
        <w:pStyle w:val="ListParagraph"/>
        <w:numPr>
          <w:ilvl w:val="0"/>
          <w:numId w:val="3"/>
        </w:numPr>
        <w:ind w:left="851" w:hanging="425"/>
        <w:rPr>
          <w:szCs w:val="24"/>
        </w:rPr>
      </w:pPr>
      <w:r w:rsidRPr="00D45EE9">
        <w:t xml:space="preserve">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 </w:t>
      </w:r>
    </w:p>
    <w:p w14:paraId="439FECC5" w14:textId="77777777" w:rsidR="00A1519F" w:rsidRPr="00D45EE9" w:rsidRDefault="00A1519F" w:rsidP="00B63880">
      <w:pPr>
        <w:pStyle w:val="ListParagraph"/>
        <w:numPr>
          <w:ilvl w:val="0"/>
          <w:numId w:val="3"/>
        </w:numPr>
        <w:ind w:left="851" w:hanging="425"/>
        <w:rPr>
          <w:szCs w:val="24"/>
        </w:rPr>
      </w:pPr>
      <w:r w:rsidRPr="00D45EE9">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694B14F6" w14:textId="77777777" w:rsidR="00A1519F" w:rsidRPr="00D45EE9" w:rsidRDefault="00A1519F" w:rsidP="00B63880">
      <w:pPr>
        <w:pStyle w:val="ListParagraph"/>
        <w:numPr>
          <w:ilvl w:val="0"/>
          <w:numId w:val="3"/>
        </w:numPr>
        <w:ind w:left="851" w:hanging="425"/>
        <w:rPr>
          <w:szCs w:val="24"/>
        </w:rPr>
      </w:pPr>
      <w:r w:rsidRPr="00D45EE9">
        <w:t xml:space="preserve">Las Partes Contratantes deben intensificar su colaboración con otros sectores, en consonancia con las prioridades identificadas en el plan estratégico a escala nacional Se deben adaptar los mensajes para hacer hincapié en los temas de interés para el público objetivo. </w:t>
      </w:r>
    </w:p>
    <w:p w14:paraId="00700194" w14:textId="77777777" w:rsidR="00A1519F" w:rsidRPr="00D45EE9" w:rsidRDefault="00A1519F" w:rsidP="00B63880">
      <w:pPr>
        <w:ind w:left="0" w:firstLine="0"/>
        <w:rPr>
          <w:rFonts w:cs="Arial"/>
        </w:rPr>
      </w:pPr>
    </w:p>
    <w:p w14:paraId="63F946EE" w14:textId="4FE75E5C" w:rsidR="00A1519F" w:rsidRPr="00B63880" w:rsidRDefault="00B63880" w:rsidP="00B63880">
      <w:pPr>
        <w:ind w:left="426" w:hanging="426"/>
        <w:rPr>
          <w:b/>
        </w:rPr>
      </w:pPr>
      <w:r>
        <w:rPr>
          <w:b/>
        </w:rPr>
        <w:t>4.</w:t>
      </w:r>
      <w:r>
        <w:rPr>
          <w:b/>
        </w:rPr>
        <w:tab/>
      </w:r>
      <w:r w:rsidR="00A1519F" w:rsidRPr="00D45EE9">
        <w:rPr>
          <w:b/>
        </w:rPr>
        <w:t>Apoyo estratégico por parte de la Secretaría</w:t>
      </w:r>
    </w:p>
    <w:p w14:paraId="6D231331" w14:textId="77777777" w:rsidR="00A1519F" w:rsidRPr="00D45EE9" w:rsidRDefault="00A1519F" w:rsidP="00B63880">
      <w:pPr>
        <w:pStyle w:val="ListParagraph"/>
        <w:numPr>
          <w:ilvl w:val="0"/>
          <w:numId w:val="3"/>
        </w:numPr>
        <w:ind w:left="851" w:hanging="425"/>
        <w:rPr>
          <w:rFonts w:cs="Arial"/>
        </w:rPr>
      </w:pPr>
      <w:r w:rsidRPr="00D45EE9">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75A43855" w14:textId="77777777" w:rsidR="00A1519F" w:rsidRPr="00D45EE9" w:rsidRDefault="00A1519F" w:rsidP="00B63880">
      <w:pPr>
        <w:pStyle w:val="ListParagraph"/>
        <w:numPr>
          <w:ilvl w:val="0"/>
          <w:numId w:val="3"/>
        </w:numPr>
        <w:ind w:left="851" w:hanging="425"/>
        <w:rPr>
          <w:rFonts w:cs="Arial"/>
        </w:rPr>
      </w:pPr>
      <w:r w:rsidRPr="00D45EE9">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81206B2" w14:textId="77777777" w:rsidR="00A1519F" w:rsidRPr="00D45EE9" w:rsidRDefault="00A1519F" w:rsidP="00B63880">
      <w:pPr>
        <w:pStyle w:val="ListParagraph"/>
        <w:numPr>
          <w:ilvl w:val="0"/>
          <w:numId w:val="3"/>
        </w:numPr>
        <w:ind w:left="851" w:hanging="425"/>
        <w:rPr>
          <w:rFonts w:cs="Arial"/>
        </w:rPr>
      </w:pPr>
      <w:r w:rsidRPr="00D45EE9">
        <w:t xml:space="preserve">La Secretaría proporcionará oportunidades para que los coordinadores de CECoP aprendan más sobre las herramientas de CECoP. Esto se puede hacer junto con otras reuniones pertinentes, como las COP o las reuniones regionales, según proceda, o a través de recursos en línea. </w:t>
      </w:r>
    </w:p>
    <w:p w14:paraId="2697B135" w14:textId="77777777" w:rsidR="00A1519F" w:rsidRPr="00D45EE9" w:rsidRDefault="00A1519F" w:rsidP="00B63880"/>
    <w:p w14:paraId="2476103A" w14:textId="3799C474" w:rsidR="00A1519F" w:rsidRPr="00B63880" w:rsidRDefault="00B63880" w:rsidP="00B63880">
      <w:pPr>
        <w:ind w:left="426" w:hanging="426"/>
        <w:rPr>
          <w:b/>
        </w:rPr>
      </w:pPr>
      <w:r>
        <w:rPr>
          <w:b/>
        </w:rPr>
        <w:lastRenderedPageBreak/>
        <w:t>5.</w:t>
      </w:r>
      <w:r>
        <w:rPr>
          <w:b/>
        </w:rPr>
        <w:tab/>
      </w:r>
      <w:r w:rsidR="00A1519F" w:rsidRPr="00D45EE9">
        <w:rPr>
          <w:b/>
        </w:rPr>
        <w:t xml:space="preserve">Una gobernanza más eficiente de la labor de CECoP de Ramsar a escala mundial </w:t>
      </w:r>
    </w:p>
    <w:p w14:paraId="60594FF8" w14:textId="77777777" w:rsidR="00A1519F" w:rsidRPr="00D45EE9" w:rsidRDefault="00A1519F" w:rsidP="00B63880">
      <w:pPr>
        <w:pStyle w:val="ListParagraph"/>
        <w:numPr>
          <w:ilvl w:val="0"/>
          <w:numId w:val="3"/>
        </w:numPr>
        <w:ind w:left="851" w:hanging="425"/>
      </w:pPr>
      <w:r w:rsidRPr="00D45EE9">
        <w:t>Una mejor descripción de las tareas, (separando lo que puede ser obligatorio y lo que puede ser voluntario) para el grupo o los grupos de trabajo de CECoP de Ramsar.</w:t>
      </w:r>
    </w:p>
    <w:p w14:paraId="5D5DC132" w14:textId="77777777" w:rsidR="00A1519F" w:rsidRPr="00D45EE9" w:rsidRDefault="00A1519F" w:rsidP="00B63880">
      <w:pPr>
        <w:pStyle w:val="ListParagraph"/>
        <w:numPr>
          <w:ilvl w:val="0"/>
          <w:numId w:val="3"/>
        </w:numPr>
        <w:ind w:left="851" w:hanging="425"/>
      </w:pPr>
      <w:r w:rsidRPr="00D45EE9">
        <w:t>Una mejor manera de crear el grupo o los grupos de trabajo de CECoP de Ramsar y de establecer su composición.</w:t>
      </w:r>
    </w:p>
    <w:p w14:paraId="70C98EC7" w14:textId="77777777" w:rsidR="00A1519F" w:rsidRPr="00D45EE9" w:rsidRDefault="00A1519F" w:rsidP="00B63880">
      <w:pPr>
        <w:pStyle w:val="ListParagraph"/>
        <w:numPr>
          <w:ilvl w:val="0"/>
          <w:numId w:val="3"/>
        </w:numPr>
        <w:ind w:left="851" w:hanging="425"/>
      </w:pPr>
      <w:r w:rsidRPr="00D45EE9">
        <w:t>Una definición del modo de funcionamiento del grupo o los grupos de trabajo de CECoP de Ramsar.</w:t>
      </w:r>
    </w:p>
    <w:p w14:paraId="7F774C8B" w14:textId="77777777" w:rsidR="00A1519F" w:rsidRPr="00D45EE9" w:rsidRDefault="00A1519F" w:rsidP="00B63880">
      <w:pPr>
        <w:pStyle w:val="ListParagraph"/>
        <w:numPr>
          <w:ilvl w:val="0"/>
          <w:numId w:val="3"/>
        </w:numPr>
        <w:ind w:left="851" w:hanging="425"/>
      </w:pPr>
      <w:r w:rsidRPr="00D45EE9">
        <w:t>Un mejor reparto de la carga de trabajo, con la participación de más Partes Contratantes.</w:t>
      </w:r>
    </w:p>
    <w:p w14:paraId="1EC07233" w14:textId="77777777" w:rsidR="00A1519F" w:rsidRPr="00D45EE9" w:rsidRDefault="00A1519F" w:rsidP="00A1519F">
      <w:pPr>
        <w:suppressLineNumbers/>
        <w:suppressAutoHyphens/>
        <w:rPr>
          <w:b/>
          <w:bCs/>
        </w:rPr>
        <w:sectPr w:rsidR="00A1519F" w:rsidRPr="00D45EE9" w:rsidSect="002137E0">
          <w:headerReference w:type="default" r:id="rId13"/>
          <w:footerReference w:type="default" r:id="rId14"/>
          <w:pgSz w:w="11906" w:h="16838"/>
          <w:pgMar w:top="1440" w:right="1440" w:bottom="1440" w:left="1440" w:header="709" w:footer="709" w:gutter="0"/>
          <w:cols w:space="708"/>
          <w:titlePg/>
          <w:docGrid w:linePitch="360"/>
        </w:sectPr>
      </w:pPr>
    </w:p>
    <w:p w14:paraId="46588225" w14:textId="77777777" w:rsidR="00B63880" w:rsidRDefault="00A1519F" w:rsidP="00B63880">
      <w:pPr>
        <w:rPr>
          <w:b/>
          <w:bCs/>
          <w:sz w:val="24"/>
          <w:szCs w:val="24"/>
        </w:rPr>
      </w:pPr>
      <w:r w:rsidRPr="00D45EE9">
        <w:rPr>
          <w:b/>
          <w:bCs/>
          <w:sz w:val="24"/>
          <w:szCs w:val="24"/>
        </w:rPr>
        <w:lastRenderedPageBreak/>
        <w:t xml:space="preserve">Anexo 2 </w:t>
      </w:r>
    </w:p>
    <w:p w14:paraId="57E9D230" w14:textId="2F901A95" w:rsidR="00A1519F" w:rsidRPr="00D45EE9" w:rsidRDefault="00A1519F" w:rsidP="00B63880">
      <w:pPr>
        <w:rPr>
          <w:b/>
          <w:bCs/>
          <w:sz w:val="24"/>
          <w:szCs w:val="24"/>
        </w:rPr>
      </w:pPr>
      <w:r w:rsidRPr="00D45EE9">
        <w:rPr>
          <w:b/>
          <w:bCs/>
          <w:sz w:val="24"/>
          <w:szCs w:val="24"/>
        </w:rPr>
        <w:t>El nuevo enfoque de CECoP y cómo puede integrarse en el futuro Plan Estratégico 5</w:t>
      </w:r>
    </w:p>
    <w:p w14:paraId="4031561A" w14:textId="77777777" w:rsidR="00A1519F" w:rsidRPr="00D45EE9" w:rsidRDefault="00A1519F" w:rsidP="00B63880"/>
    <w:p w14:paraId="3FC0F50B" w14:textId="5D490E14" w:rsidR="00A1519F" w:rsidRPr="00D45EE9" w:rsidRDefault="00B63880" w:rsidP="00B63880">
      <w:pPr>
        <w:ind w:left="426"/>
      </w:pPr>
      <w:r>
        <w:t>1.</w:t>
      </w:r>
      <w:r>
        <w:tab/>
      </w:r>
      <w:r w:rsidR="00A1519F" w:rsidRPr="00D45EE9">
        <w:t xml:space="preserve">Este cuadro incluye el contenido completo del Plan Estratégico actual (4) y cómo las actividades de CECoP basadas en el nuevo enfoque pueden integrarse en él, tanto a nivel general como en actividades específicas. En algunos casos, se describen las actividades de CECoP junto con otras actividades, no incluidas en el Plan Estratégico actual pero necesarias para alcanzar el objetivo. Este cuadro será utilizado por el Grupo de Trabajo sobre el Plan Estratégico que debe redactar un proyecto de resolución sobre el Plan Estratégico 5 para su consideración en la COP15. </w:t>
      </w:r>
    </w:p>
    <w:p w14:paraId="6885796A" w14:textId="77777777" w:rsidR="00A1519F" w:rsidRPr="00D45EE9" w:rsidRDefault="00A1519F" w:rsidP="00B63880">
      <w:pPr>
        <w:ind w:left="426"/>
      </w:pPr>
    </w:p>
    <w:p w14:paraId="638FD037" w14:textId="69C651F3" w:rsidR="00A1519F" w:rsidRPr="00D45EE9" w:rsidRDefault="00B63880" w:rsidP="00B63880">
      <w:pPr>
        <w:ind w:left="426"/>
      </w:pPr>
      <w:r>
        <w:t>2.</w:t>
      </w:r>
      <w:r>
        <w:tab/>
      </w:r>
      <w:r w:rsidR="00A1519F" w:rsidRPr="00D45EE9">
        <w:t>A menos que se indique lo contrario, el término "asociados" se refiere a las Partes Contratantes, las OIA, diferentes instancias de cooperación regional y la Secretaría. Se invita a las OIA a participar en cualquiera de las actividades, adaptadas a su ámbito.</w:t>
      </w:r>
    </w:p>
    <w:p w14:paraId="1F33BFB9" w14:textId="6B182A24" w:rsidR="00A1519F" w:rsidRPr="00D45EE9" w:rsidRDefault="00A1519F" w:rsidP="00B63880"/>
    <w:p w14:paraId="1F4EEBB5" w14:textId="77777777" w:rsidR="00A1519F" w:rsidRPr="00D45EE9" w:rsidRDefault="00A1519F" w:rsidP="00B63880">
      <w:pPr>
        <w:ind w:left="0" w:firstLine="0"/>
        <w:rPr>
          <w:bCs/>
        </w:rPr>
      </w:pPr>
      <w:r w:rsidRPr="00D45EE9">
        <w:t>LEYENDA</w:t>
      </w:r>
      <w:r w:rsidRPr="00D45EE9">
        <w:br/>
        <w:t xml:space="preserve">El texto en </w:t>
      </w:r>
      <w:r w:rsidRPr="00D45EE9">
        <w:rPr>
          <w:i/>
          <w:iCs/>
        </w:rPr>
        <w:t>cursiva</w:t>
      </w:r>
      <w:r w:rsidRPr="00D45EE9">
        <w:t xml:space="preserve"> en las partes del nuevo enfoque corresponde a las actividades que las Partes Contratantes pueden empezar a ejecutar antes de la COP 15. Dichas actividades también se incluyen en el anexo del proyecto de resolución sobre la revisión del Plan Estratégico. Los objetivos 20 a 22, tanto entre paréntesis como en cursiva, no son objetivos existentes, sino que se dan como ejemplos, únicamente para mostrar los posibles objetivos futuros en los que puede integrarse el nuevo enfoque. </w:t>
      </w:r>
    </w:p>
    <w:tbl>
      <w:tblPr>
        <w:tblStyle w:val="TableGrid"/>
        <w:tblW w:w="14170" w:type="dxa"/>
        <w:tblLook w:val="04A0" w:firstRow="1" w:lastRow="0" w:firstColumn="1" w:lastColumn="0" w:noHBand="0" w:noVBand="1"/>
      </w:tblPr>
      <w:tblGrid>
        <w:gridCol w:w="5807"/>
        <w:gridCol w:w="8363"/>
      </w:tblGrid>
      <w:tr w:rsidR="00A1519F" w:rsidRPr="00D45EE9" w14:paraId="37B22DDB" w14:textId="77777777" w:rsidTr="00B63880">
        <w:tc>
          <w:tcPr>
            <w:tcW w:w="14170" w:type="dxa"/>
            <w:gridSpan w:val="2"/>
          </w:tcPr>
          <w:p w14:paraId="31B54DE1" w14:textId="77777777" w:rsidR="00A1519F" w:rsidRPr="0076689D" w:rsidRDefault="00A1519F" w:rsidP="00783020">
            <w:pPr>
              <w:rPr>
                <w:b/>
              </w:rPr>
            </w:pPr>
            <w:r w:rsidRPr="0076689D">
              <w:rPr>
                <w:b/>
              </w:rPr>
              <w:t>Tabla A. Prioridades de CECoP que se deberán incluir en el nuevo Plan Estratégico 5 (en relación con los objetivos actuales del Plan Estratégico 4)</w:t>
            </w:r>
          </w:p>
          <w:p w14:paraId="13798363" w14:textId="3C1D16E9" w:rsidR="00A1519F" w:rsidRPr="0076689D" w:rsidRDefault="00A1519F" w:rsidP="00783020">
            <w:pPr>
              <w:rPr>
                <w:b/>
              </w:rPr>
            </w:pPr>
          </w:p>
        </w:tc>
      </w:tr>
      <w:tr w:rsidR="00A1519F" w:rsidRPr="00D45EE9" w14:paraId="6D7F3A1A" w14:textId="77777777" w:rsidTr="0076689D">
        <w:tc>
          <w:tcPr>
            <w:tcW w:w="5807" w:type="dxa"/>
          </w:tcPr>
          <w:p w14:paraId="4995E993" w14:textId="77777777" w:rsidR="00A1519F" w:rsidRPr="00D45EE9" w:rsidRDefault="00A1519F" w:rsidP="00783020">
            <w:pPr>
              <w:rPr>
                <w:b/>
              </w:rPr>
            </w:pPr>
            <w:r w:rsidRPr="00D45EE9">
              <w:rPr>
                <w:b/>
              </w:rPr>
              <w:t xml:space="preserve">Objetivos </w:t>
            </w:r>
          </w:p>
        </w:tc>
        <w:tc>
          <w:tcPr>
            <w:tcW w:w="8363" w:type="dxa"/>
          </w:tcPr>
          <w:p w14:paraId="172E7D07" w14:textId="77777777" w:rsidR="00A1519F" w:rsidRPr="00D45EE9" w:rsidRDefault="00A1519F" w:rsidP="00783020">
            <w:pPr>
              <w:rPr>
                <w:b/>
              </w:rPr>
            </w:pPr>
            <w:r w:rsidRPr="00D45EE9">
              <w:rPr>
                <w:b/>
              </w:rPr>
              <w:t>Actividades de CECoP</w:t>
            </w:r>
          </w:p>
        </w:tc>
      </w:tr>
      <w:tr w:rsidR="00A1519F" w:rsidRPr="00D45EE9" w14:paraId="1A65C206" w14:textId="77777777" w:rsidTr="00B63880">
        <w:tc>
          <w:tcPr>
            <w:tcW w:w="14170" w:type="dxa"/>
            <w:gridSpan w:val="2"/>
          </w:tcPr>
          <w:p w14:paraId="44E4D901" w14:textId="77777777" w:rsidR="00A1519F" w:rsidRPr="00D45EE9" w:rsidRDefault="00A1519F" w:rsidP="00783020">
            <w:pPr>
              <w:rPr>
                <w:b/>
              </w:rPr>
            </w:pPr>
            <w:r w:rsidRPr="00D45EE9">
              <w:rPr>
                <w:b/>
              </w:rPr>
              <w:t>Objetivo 1: Hacer frente a los factores que impulsan la pérdida y degradación de los humedales</w:t>
            </w:r>
          </w:p>
        </w:tc>
      </w:tr>
      <w:tr w:rsidR="00A1519F" w:rsidRPr="00D45EE9" w14:paraId="50DDD55C" w14:textId="77777777" w:rsidTr="0076689D">
        <w:tc>
          <w:tcPr>
            <w:tcW w:w="5807" w:type="dxa"/>
          </w:tcPr>
          <w:p w14:paraId="4CD11EAB" w14:textId="77777777" w:rsidR="00A1519F" w:rsidRPr="00D45EE9" w:rsidRDefault="00A1519F" w:rsidP="00783020">
            <w:r w:rsidRPr="00D45EE9">
              <w:t>1.</w:t>
            </w:r>
            <w:r w:rsidRPr="00D45EE9">
              <w:rPr>
                <w:b/>
                <w:bCs/>
              </w:rPr>
              <w:t xml:space="preserve"> </w:t>
            </w:r>
            <w:r w:rsidRPr="00D45EE9">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363" w:type="dxa"/>
          </w:tcPr>
          <w:p w14:paraId="0D9272B2" w14:textId="77777777" w:rsidR="00A1519F" w:rsidRPr="00D45EE9" w:rsidRDefault="00A1519F" w:rsidP="00A1519F">
            <w:pPr>
              <w:pStyle w:val="ListParagraph"/>
              <w:numPr>
                <w:ilvl w:val="0"/>
                <w:numId w:val="7"/>
              </w:numPr>
            </w:pPr>
            <w:r w:rsidRPr="00D45EE9">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4646D1B5" w14:textId="77777777" w:rsidR="00A1519F" w:rsidRPr="00D45EE9" w:rsidRDefault="00A1519F" w:rsidP="00A1519F">
            <w:pPr>
              <w:pStyle w:val="ListParagraph"/>
              <w:numPr>
                <w:ilvl w:val="0"/>
                <w:numId w:val="7"/>
              </w:numPr>
              <w:rPr>
                <w:i/>
                <w:iCs/>
              </w:rPr>
            </w:pPr>
            <w:r w:rsidRPr="00D45EE9">
              <w:rPr>
                <w:i/>
                <w:iCs/>
              </w:rPr>
              <w:t>1.2 Las Partes Contratantes seguirán contribuyendo con aportaciones sobre los humedales al debate sobre cuestiones de política mundial.</w:t>
            </w:r>
          </w:p>
          <w:p w14:paraId="25E7EBB1" w14:textId="77777777" w:rsidR="00A1519F" w:rsidRPr="00D45EE9" w:rsidRDefault="00A1519F" w:rsidP="00A1519F">
            <w:pPr>
              <w:pStyle w:val="ListParagraph"/>
              <w:numPr>
                <w:ilvl w:val="0"/>
                <w:numId w:val="7"/>
              </w:numPr>
              <w:rPr>
                <w:i/>
                <w:iCs/>
              </w:rPr>
            </w:pPr>
            <w:r w:rsidRPr="00D45EE9">
              <w:rPr>
                <w:i/>
                <w:iCs/>
              </w:rPr>
              <w:t>1.3 Las Partes Contratantes identificarán mecanismos para una mayor aportación sectorial a la planificación en materia de humedales y de CECoP, entre otras cosas reconociendo el valor, la experiencia y los recursos de las OIA, las ONG, las Partes Contratantes y los asociados del sector privado, el sector educativo y las organizaciones juveniles que se interesan por los humedales en la planificación, la dotación de recursos, así como la elaboración y aplicación de mensajes y productos de CECoP sobre los humedales.</w:t>
            </w:r>
          </w:p>
          <w:p w14:paraId="4D499E19" w14:textId="62E9C548" w:rsidR="00A1519F" w:rsidRPr="00D45EE9" w:rsidRDefault="00A1519F" w:rsidP="00A1519F">
            <w:pPr>
              <w:pStyle w:val="ListParagraph"/>
              <w:numPr>
                <w:ilvl w:val="0"/>
                <w:numId w:val="7"/>
              </w:numPr>
              <w:rPr>
                <w:i/>
                <w:iCs/>
              </w:rPr>
            </w:pPr>
            <w:r w:rsidRPr="00D45EE9">
              <w:rPr>
                <w:i/>
                <w:iCs/>
              </w:rPr>
              <w:t xml:space="preserve">1.4  En sus actividades y materiales de </w:t>
            </w:r>
            <w:r w:rsidRPr="00B63880">
              <w:rPr>
                <w:i/>
                <w:iCs/>
              </w:rPr>
              <w:t>comunicación, las Partes Contratantes destacarán específicamente el papel de los humedales como infraestructuras verdes o [soluciones basadas en la naturaleza] y [enfoques basados en los ecosistemas,] y los beneficios de los humedales para el su</w:t>
            </w:r>
            <w:r w:rsidRPr="00D45EE9">
              <w:rPr>
                <w:i/>
                <w:iCs/>
              </w:rPr>
              <w:t xml:space="preserve">ministro de agua, la calidad del agua, el transporte, la producción de alimentos y los medios de subsistencia, la regulación de las inundaciones, la protección del litoral, la mitigación del cambio climático y la adaptación a él, el control de la contaminación, la pesca y la caza, el recreo y el turismo. </w:t>
            </w:r>
          </w:p>
          <w:p w14:paraId="1C42F2C9" w14:textId="77777777" w:rsidR="00A1519F" w:rsidRPr="00D45EE9" w:rsidRDefault="00A1519F" w:rsidP="00A1519F">
            <w:pPr>
              <w:pStyle w:val="ListParagraph"/>
              <w:numPr>
                <w:ilvl w:val="0"/>
                <w:numId w:val="7"/>
              </w:numPr>
            </w:pPr>
            <w:r w:rsidRPr="00D45EE9">
              <w:t>1.5 La Secretaría prestará apoyo con materiales informativos que incluyan imágenes en formatos fácilmente transformables para su uso en el plano nacional y subnacional. 1.6</w:t>
            </w:r>
          </w:p>
          <w:p w14:paraId="4F68CA5B" w14:textId="77777777" w:rsidR="00A1519F" w:rsidRPr="00D45EE9" w:rsidRDefault="00A1519F" w:rsidP="00A1519F">
            <w:pPr>
              <w:pStyle w:val="ListParagraph"/>
              <w:numPr>
                <w:ilvl w:val="0"/>
                <w:numId w:val="7"/>
              </w:numPr>
            </w:pPr>
            <w:r w:rsidRPr="00D45EE9">
              <w:t>1.6 El GECT seguirá elaborando productos específicos (Notas sobre Política, Fichas Informativas, Perspectiva Mundial sobre los Humedales, etc.) para los sectores.</w:t>
            </w:r>
          </w:p>
          <w:p w14:paraId="0227EDE3" w14:textId="77777777" w:rsidR="00A1519F" w:rsidRPr="00D45EE9" w:rsidRDefault="00A1519F" w:rsidP="00A1519F">
            <w:pPr>
              <w:pStyle w:val="ListParagraph"/>
              <w:numPr>
                <w:ilvl w:val="0"/>
                <w:numId w:val="7"/>
              </w:numPr>
              <w:rPr>
                <w:i/>
                <w:iCs/>
                <w:szCs w:val="24"/>
              </w:rPr>
            </w:pPr>
            <w:r w:rsidRPr="00D45EE9">
              <w:rPr>
                <w:i/>
                <w:iCs/>
                <w:szCs w:val="24"/>
              </w:rPr>
              <w:t>1.7 Las Partes Contratantes deberían aumentar la colaboración con los sectores que tienen un impacto en los humedales, de acuerdo con las prioridades identificadas en el Plan Estratégico en el ámbito nacional. En particular, se deberían adaptar los mensajes para hacer hincapié en los temas de interés para el público objetivo.</w:t>
            </w:r>
          </w:p>
        </w:tc>
      </w:tr>
      <w:tr w:rsidR="00A1519F" w:rsidRPr="00D45EE9" w14:paraId="589F79A8" w14:textId="77777777" w:rsidTr="0076689D">
        <w:tc>
          <w:tcPr>
            <w:tcW w:w="5807" w:type="dxa"/>
          </w:tcPr>
          <w:p w14:paraId="694F1798" w14:textId="77777777" w:rsidR="00A1519F" w:rsidRPr="00D45EE9" w:rsidRDefault="00A1519F" w:rsidP="00783020">
            <w:r w:rsidRPr="00D45EE9">
              <w:t>2. El uso del agua respeta las necesidades de los ecosistemas de humedales para que estos puedan cumplir sus funciones y proporcionar servicios a la escala adecuada, por ejemplo, en una cuenca hidrográfica o una zona costera.</w:t>
            </w:r>
          </w:p>
        </w:tc>
        <w:tc>
          <w:tcPr>
            <w:tcW w:w="8363" w:type="dxa"/>
          </w:tcPr>
          <w:p w14:paraId="1A4905A7" w14:textId="77777777" w:rsidR="00A1519F" w:rsidRPr="00D45EE9" w:rsidRDefault="00A1519F" w:rsidP="00A1519F">
            <w:pPr>
              <w:pStyle w:val="ListParagraph"/>
              <w:numPr>
                <w:ilvl w:val="0"/>
                <w:numId w:val="8"/>
              </w:numPr>
            </w:pPr>
            <w:r w:rsidRPr="00D45EE9">
              <w:t>2.1 La Secretaría apoyará a las Partes Contratantes con materiales de CECoP, incluyendo estudios de casos y buenos ejemplos de Acreditación de Ciudades de Humedales, que puedan ser utilizados al dirigirse a las partes interesadas</w:t>
            </w:r>
          </w:p>
          <w:p w14:paraId="7E6A8C90" w14:textId="77777777" w:rsidR="00A1519F" w:rsidRPr="00D45EE9" w:rsidRDefault="00A1519F" w:rsidP="00A1519F">
            <w:pPr>
              <w:pStyle w:val="ListParagraph"/>
              <w:numPr>
                <w:ilvl w:val="0"/>
                <w:numId w:val="8"/>
              </w:numPr>
              <w:rPr>
                <w:i/>
                <w:iCs/>
              </w:rPr>
            </w:pPr>
            <w:r w:rsidRPr="00D45EE9">
              <w:rPr>
                <w:i/>
                <w:iCs/>
              </w:rPr>
              <w:t>2.2 Las Partes Contratantes promoverán estudios de caso de gestión sostenible de humedales, incluyendo ejemplos de Acreditación de Ciudades de Humedales, y llevarán a cabo actividades de CECoP que involucren a los interesados y promuevan el uso y la gestión racional de sus humedales y su entorno de forma que se tenga en cuenta tanto la calidad como la cantidad de agua.</w:t>
            </w:r>
          </w:p>
        </w:tc>
      </w:tr>
      <w:tr w:rsidR="00A1519F" w:rsidRPr="00D45EE9" w14:paraId="7F3739AE" w14:textId="77777777" w:rsidTr="0076689D">
        <w:tc>
          <w:tcPr>
            <w:tcW w:w="5807" w:type="dxa"/>
          </w:tcPr>
          <w:p w14:paraId="790AF9EB" w14:textId="77777777" w:rsidR="00A1519F" w:rsidRPr="00D45EE9" w:rsidRDefault="00A1519F" w:rsidP="00783020">
            <w:r w:rsidRPr="00D45EE9">
              <w:t>3. Los sectores público y privado han aumentado sus esfuerzos para aplicar lineamientos y buenas prácticas para el uso racional del agua y de los humedales.</w:t>
            </w:r>
          </w:p>
        </w:tc>
        <w:tc>
          <w:tcPr>
            <w:tcW w:w="8363" w:type="dxa"/>
          </w:tcPr>
          <w:p w14:paraId="3522AF0C" w14:textId="77777777" w:rsidR="00A1519F" w:rsidRPr="00D45EE9" w:rsidRDefault="00A1519F" w:rsidP="00A1519F">
            <w:pPr>
              <w:pStyle w:val="ListParagraph"/>
              <w:numPr>
                <w:ilvl w:val="0"/>
                <w:numId w:val="8"/>
              </w:numPr>
              <w:rPr>
                <w:i/>
                <w:iCs/>
              </w:rPr>
            </w:pPr>
            <w:r w:rsidRPr="00D45EE9">
              <w:rPr>
                <w:i/>
                <w:iCs/>
              </w:rPr>
              <w:t xml:space="preserve">3.1 Las Partes Contratantes, promoverán las orientaciones existentes de la Convención y divulgarán sus orientaciones prácticas a escala local, sus mejores prácticas y sus estudios de casos que puedan ser más ampliamente pertinentes. </w:t>
            </w:r>
          </w:p>
          <w:p w14:paraId="0EA230CF" w14:textId="77777777" w:rsidR="00A1519F" w:rsidRPr="00D45EE9" w:rsidRDefault="00A1519F" w:rsidP="00783020">
            <w:pPr>
              <w:pStyle w:val="ListParagraph"/>
              <w:ind w:left="360"/>
            </w:pPr>
          </w:p>
        </w:tc>
      </w:tr>
      <w:tr w:rsidR="00A1519F" w:rsidRPr="00D45EE9" w14:paraId="794D2CE0" w14:textId="77777777" w:rsidTr="0076689D">
        <w:tc>
          <w:tcPr>
            <w:tcW w:w="5807" w:type="dxa"/>
          </w:tcPr>
          <w:p w14:paraId="04ACC92B" w14:textId="77777777" w:rsidR="00A1519F" w:rsidRPr="00D45EE9" w:rsidRDefault="00A1519F" w:rsidP="00783020">
            <w:r w:rsidRPr="00D45EE9">
              <w:t>4. 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363" w:type="dxa"/>
          </w:tcPr>
          <w:p w14:paraId="73AE1AF5" w14:textId="77777777" w:rsidR="00A1519F" w:rsidRPr="00D45EE9" w:rsidRDefault="00A1519F" w:rsidP="00A1519F">
            <w:pPr>
              <w:pStyle w:val="ListParagraph"/>
              <w:numPr>
                <w:ilvl w:val="0"/>
                <w:numId w:val="8"/>
              </w:numPr>
              <w:rPr>
                <w:i/>
                <w:iCs/>
              </w:rPr>
            </w:pPr>
            <w:r w:rsidRPr="00D45EE9">
              <w:rPr>
                <w:i/>
                <w:iCs/>
              </w:rPr>
              <w:t>4.1 Las Partes Contratantes aumentarán la concienciación sobre las especies exóticas invasoras en los ecosistemas de humedales mediante el desarrollo y la difusión de materiales de formación y comunicación entre los sectores público y privado.</w:t>
            </w:r>
          </w:p>
        </w:tc>
      </w:tr>
      <w:tr w:rsidR="00A1519F" w:rsidRPr="00D45EE9" w14:paraId="6DDB4D34" w14:textId="77777777" w:rsidTr="00B63880">
        <w:tc>
          <w:tcPr>
            <w:tcW w:w="14170" w:type="dxa"/>
            <w:gridSpan w:val="2"/>
          </w:tcPr>
          <w:p w14:paraId="30F5B5D8" w14:textId="7FFD2320" w:rsidR="00A1519F" w:rsidRPr="00D45EE9" w:rsidRDefault="00A1519F" w:rsidP="00783020">
            <w:pPr>
              <w:rPr>
                <w:b/>
              </w:rPr>
            </w:pPr>
            <w:r w:rsidRPr="00D45EE9">
              <w:rPr>
                <w:b/>
              </w:rPr>
              <w:t>Objetivo 2:</w:t>
            </w:r>
            <w:r w:rsidR="002A4B5C" w:rsidRPr="00D45EE9">
              <w:rPr>
                <w:b/>
              </w:rPr>
              <w:tab/>
            </w:r>
            <w:r w:rsidRPr="00D45EE9">
              <w:rPr>
                <w:b/>
              </w:rPr>
              <w:t>Llevar a cabo una conservación y un manejo eficaces de la red de sitios Ramsar</w:t>
            </w:r>
          </w:p>
        </w:tc>
      </w:tr>
      <w:tr w:rsidR="00A1519F" w:rsidRPr="00D45EE9" w14:paraId="29F8E56F" w14:textId="77777777" w:rsidTr="0076689D">
        <w:tc>
          <w:tcPr>
            <w:tcW w:w="5807" w:type="dxa"/>
          </w:tcPr>
          <w:p w14:paraId="112DAB72" w14:textId="77777777" w:rsidR="00A1519F" w:rsidRPr="00D45EE9" w:rsidRDefault="00A1519F" w:rsidP="00783020">
            <w:r w:rsidRPr="00D45EE9">
              <w:t>5. Se mantienen o restauran las características ecológicas de los sitios Ramsar a través de una planificación eficaz y un manejo integrado.</w:t>
            </w:r>
          </w:p>
        </w:tc>
        <w:tc>
          <w:tcPr>
            <w:tcW w:w="8363" w:type="dxa"/>
          </w:tcPr>
          <w:p w14:paraId="2016E917" w14:textId="77777777" w:rsidR="00A1519F" w:rsidRPr="00D45EE9" w:rsidRDefault="00A1519F" w:rsidP="00A1519F">
            <w:pPr>
              <w:pStyle w:val="ListParagraph"/>
              <w:numPr>
                <w:ilvl w:val="0"/>
                <w:numId w:val="11"/>
              </w:numPr>
              <w:rPr>
                <w:i/>
                <w:iCs/>
              </w:rPr>
            </w:pPr>
            <w:r w:rsidRPr="00D45EE9">
              <w:rPr>
                <w:i/>
                <w:iCs/>
              </w:rPr>
              <w:t>5.1 Las Partes Contratantes integrarán las actividades de CECoP en todos los planes de gestión de los sitios Ramsar y/o planes de actividades.</w:t>
            </w:r>
          </w:p>
        </w:tc>
      </w:tr>
      <w:tr w:rsidR="00A1519F" w:rsidRPr="00D45EE9" w14:paraId="42E1D1BE" w14:textId="77777777" w:rsidTr="0076689D">
        <w:tc>
          <w:tcPr>
            <w:tcW w:w="5807" w:type="dxa"/>
          </w:tcPr>
          <w:p w14:paraId="4C869124" w14:textId="77777777" w:rsidR="00A1519F" w:rsidRPr="00D45EE9" w:rsidRDefault="00A1519F" w:rsidP="00783020">
            <w:r w:rsidRPr="00D45EE9">
              <w:t>6. 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363" w:type="dxa"/>
          </w:tcPr>
          <w:p w14:paraId="617AE64C" w14:textId="77777777" w:rsidR="00A1519F" w:rsidRPr="00D45EE9" w:rsidRDefault="00A1519F" w:rsidP="00783020"/>
        </w:tc>
      </w:tr>
      <w:tr w:rsidR="00A1519F" w:rsidRPr="00D45EE9" w14:paraId="345B5DF4" w14:textId="77777777" w:rsidTr="0076689D">
        <w:tc>
          <w:tcPr>
            <w:tcW w:w="5807" w:type="dxa"/>
          </w:tcPr>
          <w:p w14:paraId="6C384195" w14:textId="77777777" w:rsidR="00A1519F" w:rsidRPr="00D45EE9" w:rsidRDefault="00A1519F" w:rsidP="00783020">
            <w:r w:rsidRPr="00D45EE9">
              <w:t>7. Se hace frente a las amenazas de los sitios con riesgo de cambios en sus características ecológicas.</w:t>
            </w:r>
          </w:p>
        </w:tc>
        <w:tc>
          <w:tcPr>
            <w:tcW w:w="8363" w:type="dxa"/>
          </w:tcPr>
          <w:p w14:paraId="4538EFFC" w14:textId="77777777" w:rsidR="00A1519F" w:rsidRPr="00D45EE9" w:rsidRDefault="00A1519F" w:rsidP="00A1519F">
            <w:pPr>
              <w:pStyle w:val="ListParagraph"/>
              <w:numPr>
                <w:ilvl w:val="0"/>
                <w:numId w:val="8"/>
              </w:numPr>
              <w:rPr>
                <w:i/>
                <w:iCs/>
              </w:rPr>
            </w:pPr>
            <w:r w:rsidRPr="00D45EE9">
              <w:rPr>
                <w:i/>
                <w:iCs/>
              </w:rPr>
              <w:t>7.1 Las Partes Contratantes identificarán las amenazas actuales y emergentes, incluida la amenaza general del cambio climático, y desarrollarán, y compartirán entre las Partes, herramientas y orientaciones prácticas de CECoP para hacer frente a dichas amenazas en los sitios Ramsar y otros humedales a largo plazo.</w:t>
            </w:r>
          </w:p>
        </w:tc>
      </w:tr>
      <w:tr w:rsidR="00A1519F" w:rsidRPr="00D45EE9" w14:paraId="44CC2080" w14:textId="77777777" w:rsidTr="00B63880">
        <w:tc>
          <w:tcPr>
            <w:tcW w:w="14170" w:type="dxa"/>
            <w:gridSpan w:val="2"/>
          </w:tcPr>
          <w:p w14:paraId="5D4DF93B" w14:textId="0F157687" w:rsidR="00A1519F" w:rsidRPr="00D45EE9" w:rsidRDefault="00A1519F" w:rsidP="00783020">
            <w:pPr>
              <w:rPr>
                <w:b/>
              </w:rPr>
            </w:pPr>
            <w:r w:rsidRPr="00D45EE9">
              <w:rPr>
                <w:b/>
              </w:rPr>
              <w:t>Objetivo 3:</w:t>
            </w:r>
            <w:r w:rsidR="002A4B5C" w:rsidRPr="00D45EE9">
              <w:rPr>
                <w:b/>
              </w:rPr>
              <w:tab/>
            </w:r>
            <w:r w:rsidRPr="00D45EE9">
              <w:rPr>
                <w:b/>
              </w:rPr>
              <w:t>Realizar un uso racional de todos los humedales</w:t>
            </w:r>
          </w:p>
        </w:tc>
      </w:tr>
      <w:tr w:rsidR="00A1519F" w:rsidRPr="00D45EE9" w14:paraId="709169AB" w14:textId="77777777" w:rsidTr="0076689D">
        <w:tc>
          <w:tcPr>
            <w:tcW w:w="5807" w:type="dxa"/>
          </w:tcPr>
          <w:p w14:paraId="6607B3A7" w14:textId="77777777" w:rsidR="00A1519F" w:rsidRPr="00D45EE9" w:rsidRDefault="00A1519F" w:rsidP="00783020">
            <w:r w:rsidRPr="00D45EE9">
              <w:t>8. Se han iniciado, completado o actualizado, divulgado y utilizado inventarios nacionales de humedales para promover la conservación y el manejo eficaz de todos los humedales.</w:t>
            </w:r>
          </w:p>
        </w:tc>
        <w:tc>
          <w:tcPr>
            <w:tcW w:w="8363" w:type="dxa"/>
          </w:tcPr>
          <w:p w14:paraId="5083EFC0" w14:textId="77777777" w:rsidR="00A1519F" w:rsidRPr="00D45EE9" w:rsidRDefault="00A1519F" w:rsidP="00A1519F">
            <w:pPr>
              <w:pStyle w:val="ListParagraph"/>
              <w:numPr>
                <w:ilvl w:val="0"/>
                <w:numId w:val="11"/>
              </w:numPr>
              <w:rPr>
                <w:i/>
                <w:iCs/>
              </w:rPr>
            </w:pPr>
            <w:r w:rsidRPr="00D45EE9">
              <w:rPr>
                <w:i/>
                <w:iCs/>
              </w:rPr>
              <w:t>8.1 Las Partes Contratantes comunicarán los resultados de los inventarios nacionales de humedales para promover la conservación y el manejo eficaz de todos los humedales.</w:t>
            </w:r>
          </w:p>
        </w:tc>
      </w:tr>
      <w:tr w:rsidR="00A1519F" w:rsidRPr="00D45EE9" w14:paraId="2889084B" w14:textId="77777777" w:rsidTr="0076689D">
        <w:tc>
          <w:tcPr>
            <w:tcW w:w="5807" w:type="dxa"/>
          </w:tcPr>
          <w:p w14:paraId="158FCBEC" w14:textId="77777777" w:rsidR="00A1519F" w:rsidRPr="00D45EE9" w:rsidRDefault="00A1519F" w:rsidP="00783020">
            <w:r w:rsidRPr="00D45EE9">
              <w:t>9. El uso racional de los humedales se refuerza a través del manejo integrado de los recursos a la escala adecuada, por ejemplo, en una cuenca hidrográfica o una zona costera.</w:t>
            </w:r>
          </w:p>
        </w:tc>
        <w:tc>
          <w:tcPr>
            <w:tcW w:w="8363" w:type="dxa"/>
          </w:tcPr>
          <w:p w14:paraId="488EC785" w14:textId="77777777" w:rsidR="00A1519F" w:rsidRPr="00D45EE9" w:rsidRDefault="00A1519F" w:rsidP="00783020">
            <w:pPr>
              <w:rPr>
                <w:i/>
                <w:iCs/>
              </w:rPr>
            </w:pPr>
            <w:r w:rsidRPr="00D45EE9">
              <w:rPr>
                <w:i/>
                <w:iCs/>
              </w:rPr>
              <w:t>Véase el objetivo 1 y el objetivo 13.</w:t>
            </w:r>
          </w:p>
        </w:tc>
      </w:tr>
      <w:tr w:rsidR="00A1519F" w:rsidRPr="00D45EE9" w14:paraId="56D80DEC" w14:textId="77777777" w:rsidTr="0076689D">
        <w:tc>
          <w:tcPr>
            <w:tcW w:w="5807" w:type="dxa"/>
          </w:tcPr>
          <w:p w14:paraId="2C0FE9F5" w14:textId="77777777" w:rsidR="00A1519F" w:rsidRPr="00D45EE9" w:rsidRDefault="00A1519F" w:rsidP="00783020">
            <w:r w:rsidRPr="00D45EE9">
              <w:t>10. 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8363" w:type="dxa"/>
          </w:tcPr>
          <w:p w14:paraId="798F2521" w14:textId="77777777" w:rsidR="00A1519F" w:rsidRPr="00D45EE9" w:rsidRDefault="00A1519F" w:rsidP="00A1519F">
            <w:pPr>
              <w:pStyle w:val="ListParagraph"/>
              <w:numPr>
                <w:ilvl w:val="0"/>
                <w:numId w:val="8"/>
              </w:numPr>
              <w:rPr>
                <w:i/>
                <w:iCs/>
              </w:rPr>
            </w:pPr>
            <w:r w:rsidRPr="00D45EE9">
              <w:rPr>
                <w:i/>
                <w:iCs/>
              </w:rPr>
              <w:t>10.1 Las Partes Contratantes deberán involucrar mejor a los pueblos indígenas en la investigación, planificación, manejo y restauración de los humedales y en las actividades de CECoP correspondientes (incluyendo estudios de caso), así como promover los conocimientos tradicionales, las innovaciones y las prácticas de los pueblos indígenas y las comunidades locales pertinentes para el uso racional de los humedales en el plano nacional y local.</w:t>
            </w:r>
          </w:p>
          <w:p w14:paraId="03906DFC" w14:textId="77777777" w:rsidR="00A1519F" w:rsidRPr="00D45EE9" w:rsidRDefault="00A1519F" w:rsidP="00A1519F">
            <w:pPr>
              <w:pStyle w:val="ListParagraph"/>
              <w:numPr>
                <w:ilvl w:val="0"/>
                <w:numId w:val="8"/>
              </w:numPr>
            </w:pPr>
            <w:r w:rsidRPr="00D45EE9">
              <w:t xml:space="preserve">10.2 La Secretaría promoverá el intercambio de las enseñanzas extraídas en las actividades mencionadas. </w:t>
            </w:r>
          </w:p>
        </w:tc>
      </w:tr>
      <w:tr w:rsidR="00A1519F" w:rsidRPr="00D45EE9" w14:paraId="6E0BE140" w14:textId="77777777" w:rsidTr="0076689D">
        <w:tc>
          <w:tcPr>
            <w:tcW w:w="5807" w:type="dxa"/>
          </w:tcPr>
          <w:p w14:paraId="399B0B79" w14:textId="77777777" w:rsidR="00A1519F" w:rsidRPr="00D45EE9" w:rsidRDefault="00A1519F" w:rsidP="00783020">
            <w:r w:rsidRPr="00D45EE9">
              <w:t>11. Se demuestran, documentan y divulgan ampliamente las funciones, los servicios y los beneficios de los humedales.</w:t>
            </w:r>
          </w:p>
        </w:tc>
        <w:tc>
          <w:tcPr>
            <w:tcW w:w="8363" w:type="dxa"/>
          </w:tcPr>
          <w:p w14:paraId="0C13FAA6" w14:textId="77777777" w:rsidR="00A1519F" w:rsidRPr="00D45EE9" w:rsidRDefault="00A1519F" w:rsidP="00A1519F">
            <w:pPr>
              <w:pStyle w:val="ListParagraph"/>
              <w:numPr>
                <w:ilvl w:val="0"/>
                <w:numId w:val="8"/>
              </w:numPr>
            </w:pPr>
            <w:r w:rsidRPr="00D45EE9">
              <w:t xml:space="preserve">11.1 La Secretaría apoyará a las Partes Contratantes en la elaboración de relatos sobre los valores de los humedales y sobre cómo gestionarlos para optimizar sus beneficios (que se adaptarán a los datos/cifras locales). </w:t>
            </w:r>
          </w:p>
          <w:p w14:paraId="75837609" w14:textId="77777777" w:rsidR="00A1519F" w:rsidRPr="00D45EE9" w:rsidRDefault="00A1519F" w:rsidP="00A1519F">
            <w:pPr>
              <w:pStyle w:val="ListParagraph"/>
              <w:numPr>
                <w:ilvl w:val="0"/>
                <w:numId w:val="8"/>
              </w:numPr>
              <w:rPr>
                <w:i/>
                <w:iCs/>
              </w:rPr>
            </w:pPr>
            <w:r w:rsidRPr="00D45EE9">
              <w:rPr>
                <w:i/>
                <w:iCs/>
              </w:rPr>
              <w:t>11.2 Las Partes Contratantes apoyarán a los administradores de los sitios Ramsar para que desarrollen letreros y otras actividades de CECoP a fin de comunicar los valores del sitio, incluidos los servicios de los ecosistemas.</w:t>
            </w:r>
          </w:p>
          <w:p w14:paraId="4F543F44" w14:textId="77777777" w:rsidR="00A1519F" w:rsidRPr="00D45EE9" w:rsidRDefault="00A1519F" w:rsidP="00A1519F">
            <w:pPr>
              <w:pStyle w:val="ListParagraph"/>
              <w:numPr>
                <w:ilvl w:val="0"/>
                <w:numId w:val="8"/>
              </w:numPr>
            </w:pPr>
            <w:r w:rsidRPr="00D45EE9">
              <w:t>11.3 El GECT actualizará la información sobre la valoración de los servicios de los ecosistemas de humedales para su uso en la toma de decisiones y la colaboración con los principales interesados.</w:t>
            </w:r>
          </w:p>
        </w:tc>
      </w:tr>
      <w:tr w:rsidR="00A1519F" w:rsidRPr="00D45EE9" w14:paraId="7EB0D5CD" w14:textId="77777777" w:rsidTr="0076689D">
        <w:tc>
          <w:tcPr>
            <w:tcW w:w="5807" w:type="dxa"/>
          </w:tcPr>
          <w:p w14:paraId="58CD5460" w14:textId="77777777" w:rsidR="00A1519F" w:rsidRPr="00D45EE9" w:rsidRDefault="00A1519F" w:rsidP="00783020">
            <w:r w:rsidRPr="00D45EE9">
              <w:t>12. 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363" w:type="dxa"/>
          </w:tcPr>
          <w:p w14:paraId="582AD817" w14:textId="77777777" w:rsidR="00A1519F" w:rsidRPr="00D45EE9" w:rsidRDefault="00A1519F" w:rsidP="00783020"/>
        </w:tc>
      </w:tr>
      <w:tr w:rsidR="00A1519F" w:rsidRPr="00D45EE9" w14:paraId="00C0B721" w14:textId="77777777" w:rsidTr="0076689D">
        <w:tc>
          <w:tcPr>
            <w:tcW w:w="5807" w:type="dxa"/>
          </w:tcPr>
          <w:p w14:paraId="61070571" w14:textId="77777777" w:rsidR="00A1519F" w:rsidRPr="00D45EE9" w:rsidRDefault="00A1519F" w:rsidP="00783020">
            <w:r w:rsidRPr="00D45EE9">
              <w:t>13. 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8363" w:type="dxa"/>
          </w:tcPr>
          <w:p w14:paraId="6568B683" w14:textId="77777777" w:rsidR="00A1519F" w:rsidRPr="00D45EE9" w:rsidRDefault="00A1519F" w:rsidP="00A1519F">
            <w:pPr>
              <w:pStyle w:val="ListParagraph"/>
              <w:numPr>
                <w:ilvl w:val="0"/>
                <w:numId w:val="8"/>
              </w:numPr>
              <w:rPr>
                <w:i/>
                <w:iCs/>
              </w:rPr>
            </w:pPr>
            <w:r w:rsidRPr="00D45EE9">
              <w:rPr>
                <w:i/>
                <w:iCs/>
              </w:rPr>
              <w:t xml:space="preserve">13.1 Las Partes Contratantes priorizarán la participación de los responsables de la toma de decisiones de los distintos sectores en la integración de los valores de los humedales en la planificación y toma de decisiones.  </w:t>
            </w:r>
          </w:p>
          <w:p w14:paraId="7D2EA018" w14:textId="77777777" w:rsidR="00A1519F" w:rsidRPr="00D45EE9" w:rsidRDefault="00A1519F" w:rsidP="00A1519F">
            <w:pPr>
              <w:pStyle w:val="ListParagraph"/>
              <w:numPr>
                <w:ilvl w:val="0"/>
                <w:numId w:val="8"/>
              </w:numPr>
            </w:pPr>
            <w:r w:rsidRPr="00D45EE9">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A1519F" w:rsidRPr="00D45EE9" w14:paraId="7328ECAA" w14:textId="77777777" w:rsidTr="00B63880">
        <w:tc>
          <w:tcPr>
            <w:tcW w:w="14170" w:type="dxa"/>
            <w:gridSpan w:val="2"/>
          </w:tcPr>
          <w:p w14:paraId="135F3D81" w14:textId="1679586D" w:rsidR="00A1519F" w:rsidRPr="00D45EE9" w:rsidRDefault="00A1519F" w:rsidP="00783020">
            <w:pPr>
              <w:rPr>
                <w:b/>
              </w:rPr>
            </w:pPr>
            <w:r w:rsidRPr="00D45EE9">
              <w:rPr>
                <w:b/>
              </w:rPr>
              <w:t>Objetivo 4:</w:t>
            </w:r>
            <w:r w:rsidR="002A4B5C" w:rsidRPr="00D45EE9">
              <w:rPr>
                <w:b/>
              </w:rPr>
              <w:tab/>
            </w:r>
            <w:r w:rsidRPr="00D45EE9">
              <w:rPr>
                <w:b/>
              </w:rPr>
              <w:t>Mejorar la aplicación</w:t>
            </w:r>
          </w:p>
        </w:tc>
      </w:tr>
      <w:tr w:rsidR="00A1519F" w:rsidRPr="00D45EE9" w14:paraId="2023BF9C" w14:textId="77777777" w:rsidTr="0076689D">
        <w:tc>
          <w:tcPr>
            <w:tcW w:w="5807" w:type="dxa"/>
          </w:tcPr>
          <w:p w14:paraId="040C28C7" w14:textId="77777777" w:rsidR="00A1519F" w:rsidRPr="00D45EE9" w:rsidRDefault="00A1519F" w:rsidP="00783020">
            <w:r w:rsidRPr="00D45EE9">
              <w:t>14. Se desarrollan orientaciones científicas y metodologías técnicas a escala mundial y regional sobre temas relevantes que están disponibles para los responsables de políticas y los profesionales en un formato y un lenguaje apropiados. 14.1</w:t>
            </w:r>
          </w:p>
        </w:tc>
        <w:tc>
          <w:tcPr>
            <w:tcW w:w="8363" w:type="dxa"/>
          </w:tcPr>
          <w:p w14:paraId="618506E0" w14:textId="77777777" w:rsidR="00A1519F" w:rsidRPr="00D45EE9" w:rsidRDefault="00A1519F" w:rsidP="00A1519F">
            <w:pPr>
              <w:pStyle w:val="ListParagraph"/>
              <w:numPr>
                <w:ilvl w:val="0"/>
                <w:numId w:val="9"/>
              </w:numPr>
            </w:pPr>
            <w:r w:rsidRPr="00D45EE9">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47659C23" w14:textId="77777777" w:rsidR="00A1519F" w:rsidRPr="00D45EE9" w:rsidRDefault="00A1519F" w:rsidP="00A1519F">
            <w:pPr>
              <w:pStyle w:val="ListParagraph"/>
              <w:numPr>
                <w:ilvl w:val="0"/>
                <w:numId w:val="9"/>
              </w:numPr>
            </w:pPr>
            <w:r w:rsidRPr="00D45EE9">
              <w:t xml:space="preserve">14.2 Se garantizará que los miembros del GECT dispongan de conocimientos adecuados en materia de comunicaciones y se establecerá una estrecha relación con ellos y con el personal de comunicaciones de la Secretaría.  </w:t>
            </w:r>
          </w:p>
        </w:tc>
      </w:tr>
      <w:tr w:rsidR="00A1519F" w:rsidRPr="00D45EE9" w14:paraId="37CC54FE" w14:textId="77777777" w:rsidTr="0076689D">
        <w:tc>
          <w:tcPr>
            <w:tcW w:w="5807" w:type="dxa"/>
          </w:tcPr>
          <w:p w14:paraId="167A95CC" w14:textId="77777777" w:rsidR="00A1519F" w:rsidRPr="00D45EE9" w:rsidRDefault="00A1519F" w:rsidP="00783020">
            <w:r w:rsidRPr="00D45EE9">
              <w:t>15. Con la implicación activa y el apoyo de las Partes de cada región, se refuerzan las Iniciativas Regionales de Ramsar y se convierten en herramientas eficaces para contribuir a la aplicación plena de la Convención.</w:t>
            </w:r>
          </w:p>
        </w:tc>
        <w:tc>
          <w:tcPr>
            <w:tcW w:w="8363" w:type="dxa"/>
          </w:tcPr>
          <w:p w14:paraId="77D16994" w14:textId="77777777" w:rsidR="00A1519F" w:rsidRPr="00D45EE9" w:rsidRDefault="00A1519F" w:rsidP="00A1519F">
            <w:pPr>
              <w:pStyle w:val="ListParagraph"/>
              <w:numPr>
                <w:ilvl w:val="0"/>
                <w:numId w:val="8"/>
              </w:numPr>
            </w:pPr>
            <w:r w:rsidRPr="00D45EE9">
              <w:t>15.1 Se utilizarán las instancias de cooperación regional para desarrollar la capacidad de CECoP en el plano nacional lo que permitirá una planificación y aplicación más efectiva por las Partes Contratantes.</w:t>
            </w:r>
          </w:p>
        </w:tc>
      </w:tr>
      <w:tr w:rsidR="00A1519F" w:rsidRPr="00D45EE9" w14:paraId="73AFC8C7" w14:textId="77777777" w:rsidTr="0076689D">
        <w:tc>
          <w:tcPr>
            <w:tcW w:w="5807" w:type="dxa"/>
          </w:tcPr>
          <w:p w14:paraId="34E5626D" w14:textId="77777777" w:rsidR="00A1519F" w:rsidRPr="00D45EE9" w:rsidRDefault="00A1519F" w:rsidP="00783020">
            <w:r w:rsidRPr="00D45EE9">
              <w:t>16. La conservación y el uso racional de los humedales se integran a través de la comunicación, el desarrollo de capacidad, la educación, concienciación y participación.</w:t>
            </w:r>
          </w:p>
        </w:tc>
        <w:tc>
          <w:tcPr>
            <w:tcW w:w="8363" w:type="dxa"/>
          </w:tcPr>
          <w:p w14:paraId="5EFDB461" w14:textId="77777777" w:rsidR="00A1519F" w:rsidRPr="00D45EE9" w:rsidRDefault="00A1519F" w:rsidP="00A1519F">
            <w:pPr>
              <w:pStyle w:val="ListParagraph"/>
              <w:numPr>
                <w:ilvl w:val="0"/>
                <w:numId w:val="8"/>
              </w:numPr>
              <w:rPr>
                <w:i/>
                <w:iCs/>
              </w:rPr>
            </w:pPr>
            <w:r w:rsidRPr="00D45EE9">
              <w:rPr>
                <w:i/>
                <w:iCs/>
              </w:rPr>
              <w:t>16.1 Las Partes Contratantes deberán aprovechar las actividades de CECoP y la participación efectiva en las mismas que se logra, por ejemplo, a través del Día Mundial de los Humedales, las Iniciativas Regionales de Ramsar y los Centros de Educación sobre los Humedales.</w:t>
            </w:r>
          </w:p>
          <w:p w14:paraId="45FDE3B3" w14:textId="77777777" w:rsidR="00A1519F" w:rsidRPr="00D45EE9" w:rsidRDefault="00A1519F" w:rsidP="00A1519F">
            <w:pPr>
              <w:pStyle w:val="ListParagraph"/>
              <w:numPr>
                <w:ilvl w:val="0"/>
                <w:numId w:val="8"/>
              </w:numPr>
            </w:pPr>
            <w:r w:rsidRPr="00D45EE9">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38152A89" w14:textId="77777777" w:rsidR="00A1519F" w:rsidRPr="00D45EE9" w:rsidRDefault="00A1519F" w:rsidP="00A1519F">
            <w:pPr>
              <w:pStyle w:val="ListParagraph"/>
              <w:numPr>
                <w:ilvl w:val="0"/>
                <w:numId w:val="8"/>
              </w:numPr>
            </w:pPr>
            <w:r w:rsidRPr="00D45EE9">
              <w:t xml:space="preserve">16.3 La Secretaría utilizará los resultados de la encuesta a los coordinadores nacionales del GS 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1F0DA1D0" w14:textId="77777777" w:rsidR="00A1519F" w:rsidRPr="00D45EE9" w:rsidRDefault="00A1519F" w:rsidP="00A1519F">
            <w:pPr>
              <w:pStyle w:val="ListParagraph"/>
              <w:numPr>
                <w:ilvl w:val="0"/>
                <w:numId w:val="8"/>
              </w:numPr>
            </w:pPr>
            <w:r w:rsidRPr="00D45EE9">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69056C72" w14:textId="77777777" w:rsidR="00A1519F" w:rsidRPr="00D45EE9" w:rsidRDefault="00A1519F" w:rsidP="00A1519F">
            <w:pPr>
              <w:pStyle w:val="ListParagraph"/>
              <w:numPr>
                <w:ilvl w:val="0"/>
                <w:numId w:val="8"/>
              </w:numPr>
            </w:pPr>
            <w:r w:rsidRPr="00D45EE9">
              <w:t xml:space="preserve">16.5 Todos los asociados utilizarán los distintos canales mediáticos que sean adecuados para la finalidad en cuestión, tales como las redes sociales para incrementar la sensibilización pública (y posiblemente lograr una preocupación del público y presionar a los responsables de la toma de decisiones) y también otros enfoques para implicar a los responsables de la toma de decisiones de los distintos sectores. </w:t>
            </w:r>
          </w:p>
          <w:p w14:paraId="101E40FC" w14:textId="77777777" w:rsidR="00A1519F" w:rsidRPr="00D45EE9" w:rsidRDefault="00A1519F" w:rsidP="00A1519F">
            <w:pPr>
              <w:pStyle w:val="ListParagraph"/>
              <w:numPr>
                <w:ilvl w:val="0"/>
                <w:numId w:val="8"/>
              </w:numPr>
            </w:pPr>
            <w:r w:rsidRPr="00D45EE9">
              <w:t>16.6 Todos los asociados identificarán nuevas posibilidades y oportunidades de comunicación para promover los objetivos de Ramsar.</w:t>
            </w:r>
          </w:p>
        </w:tc>
      </w:tr>
      <w:tr w:rsidR="00A1519F" w:rsidRPr="00D45EE9" w14:paraId="0F339EA6" w14:textId="77777777" w:rsidTr="0076689D">
        <w:tc>
          <w:tcPr>
            <w:tcW w:w="5807" w:type="dxa"/>
          </w:tcPr>
          <w:p w14:paraId="39B67434" w14:textId="77777777" w:rsidR="00A1519F" w:rsidRPr="00D45EE9" w:rsidRDefault="00A1519F" w:rsidP="00783020">
            <w:r w:rsidRPr="00D45EE9">
              <w:t>17. Se facilitan recursos financieros y de otro tipo procedentes de todas las fuentes para ejecutar de forma efectiva el Cuarto Plan Estratégico de Ramsar (2016-2024).</w:t>
            </w:r>
          </w:p>
        </w:tc>
        <w:tc>
          <w:tcPr>
            <w:tcW w:w="8363" w:type="dxa"/>
          </w:tcPr>
          <w:p w14:paraId="2794B6C0" w14:textId="77777777" w:rsidR="00A1519F" w:rsidRPr="00D45EE9" w:rsidRDefault="00A1519F" w:rsidP="00783020"/>
        </w:tc>
      </w:tr>
      <w:tr w:rsidR="00A1519F" w:rsidRPr="00D45EE9" w14:paraId="7632AAC0" w14:textId="77777777" w:rsidTr="0076689D">
        <w:tc>
          <w:tcPr>
            <w:tcW w:w="5807" w:type="dxa"/>
          </w:tcPr>
          <w:p w14:paraId="4A59F0F0" w14:textId="77777777" w:rsidR="00A1519F" w:rsidRPr="00D45EE9" w:rsidRDefault="00A1519F" w:rsidP="00783020">
            <w:r w:rsidRPr="00D45EE9">
              <w:t>18. Se refuerza la cooperación internacional a todos los niveles (local, nacional, subregional [por ejemplo, las RRI y las comisiones de las cuencas], regional y mundial).</w:t>
            </w:r>
          </w:p>
        </w:tc>
        <w:tc>
          <w:tcPr>
            <w:tcW w:w="8363" w:type="dxa"/>
          </w:tcPr>
          <w:p w14:paraId="777D0E96" w14:textId="77777777" w:rsidR="00A1519F" w:rsidRPr="00D45EE9" w:rsidRDefault="00A1519F" w:rsidP="00A1519F">
            <w:pPr>
              <w:pStyle w:val="ListParagraph"/>
              <w:numPr>
                <w:ilvl w:val="0"/>
                <w:numId w:val="8"/>
              </w:numPr>
              <w:rPr>
                <w:i/>
                <w:iCs/>
              </w:rPr>
            </w:pPr>
            <w:r w:rsidRPr="00D45EE9">
              <w:rPr>
                <w:i/>
                <w:iCs/>
                <w:szCs w:val="24"/>
              </w:rPr>
              <w:t xml:space="preserve">18.1 Las Partes Contratantes con necesidades de CECoP similares deberán cooperar en las actividades de CECoP. Esto puede incluir el intercambio de experiencias en campañas de CECoP, así como el trabajo en cooperación para producir materiales de comunicación y traducirlos a los idiomas que las Partes Contratantes interesadas requieran. </w:t>
            </w:r>
          </w:p>
          <w:p w14:paraId="13A583CF" w14:textId="77777777" w:rsidR="00A1519F" w:rsidRPr="00D45EE9" w:rsidRDefault="00A1519F" w:rsidP="00A1519F">
            <w:pPr>
              <w:pStyle w:val="ListParagraph"/>
              <w:numPr>
                <w:ilvl w:val="0"/>
                <w:numId w:val="8"/>
              </w:numPr>
              <w:rPr>
                <w:i/>
                <w:iCs/>
              </w:rPr>
            </w:pPr>
            <w:r w:rsidRPr="00D45EE9">
              <w:rPr>
                <w:i/>
                <w:iCs/>
                <w:szCs w:val="24"/>
              </w:rPr>
              <w:t xml:space="preserve">18.2 Las Partes Contratantes deberían alentar a sus coordinadores nacionales para Ramsar a facilitar las actividades de CECoP con los coordinadores para otros AAM. </w:t>
            </w:r>
          </w:p>
          <w:p w14:paraId="4FBE64A7" w14:textId="77777777" w:rsidR="00A1519F" w:rsidRPr="00D45EE9" w:rsidRDefault="00A1519F" w:rsidP="00A1519F">
            <w:pPr>
              <w:pStyle w:val="ListParagraph"/>
              <w:numPr>
                <w:ilvl w:val="0"/>
                <w:numId w:val="8"/>
              </w:numPr>
              <w:rPr>
                <w:szCs w:val="24"/>
              </w:rPr>
            </w:pPr>
            <w:r w:rsidRPr="00D45EE9">
              <w:t>18.3 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56284D4F" w14:textId="77777777" w:rsidR="00A1519F" w:rsidRPr="00D45EE9" w:rsidRDefault="00A1519F" w:rsidP="00A1519F">
            <w:pPr>
              <w:pStyle w:val="ListParagraph"/>
              <w:numPr>
                <w:ilvl w:val="0"/>
                <w:numId w:val="8"/>
              </w:numPr>
              <w:rPr>
                <w:bCs/>
                <w:szCs w:val="24"/>
              </w:rPr>
            </w:pPr>
            <w:r w:rsidRPr="00D45EE9">
              <w:t>18.4 Todos los asociados velarán por que se tengan en cuenta los aspectos de CECoP a la hora de planificar y desarrollar todas las Resoluciones, materiales de orientación, productos del GECT y otros productos de la Convención de Ramsar.</w:t>
            </w:r>
          </w:p>
          <w:p w14:paraId="632AA617" w14:textId="77777777" w:rsidR="00A1519F" w:rsidRPr="00D45EE9" w:rsidRDefault="00A1519F" w:rsidP="00A1519F">
            <w:pPr>
              <w:pStyle w:val="ListParagraph"/>
              <w:numPr>
                <w:ilvl w:val="0"/>
                <w:numId w:val="8"/>
              </w:numPr>
              <w:rPr>
                <w:bCs/>
                <w:szCs w:val="24"/>
              </w:rPr>
            </w:pPr>
            <w:r w:rsidRPr="00D45EE9">
              <w:t>18.5 Todos los asociados estudiarán las posibilidades de mejorar la conservación de los humedales aplicando técnicas procedentes de la economía y la psicología del comportamiento y emprendiendo proyectos conjuntos con equipos con conocimiento conductista o unidades de "empuje".</w:t>
            </w:r>
          </w:p>
        </w:tc>
      </w:tr>
      <w:tr w:rsidR="00A1519F" w:rsidRPr="00D45EE9" w14:paraId="47E1364F" w14:textId="77777777" w:rsidTr="0076689D">
        <w:trPr>
          <w:trHeight w:val="506"/>
        </w:trPr>
        <w:tc>
          <w:tcPr>
            <w:tcW w:w="5807" w:type="dxa"/>
          </w:tcPr>
          <w:p w14:paraId="10CD8542" w14:textId="77777777" w:rsidR="00A1519F" w:rsidRPr="00D45EE9" w:rsidRDefault="00A1519F" w:rsidP="00783020">
            <w:r w:rsidRPr="00D45EE9">
              <w:t>19. Se potencia la creación de capacidad para la aplicación de la Convención y del Cuarto Plan Estratégico de Ramsar (2016-2024)</w:t>
            </w:r>
          </w:p>
        </w:tc>
        <w:tc>
          <w:tcPr>
            <w:tcW w:w="8363" w:type="dxa"/>
          </w:tcPr>
          <w:p w14:paraId="377DF20B" w14:textId="77777777" w:rsidR="00A1519F" w:rsidRPr="00B63880" w:rsidRDefault="00A1519F" w:rsidP="00A1519F">
            <w:pPr>
              <w:pStyle w:val="ListParagraph"/>
              <w:numPr>
                <w:ilvl w:val="0"/>
                <w:numId w:val="10"/>
              </w:numPr>
              <w:rPr>
                <w:spacing w:val="-4"/>
              </w:rPr>
            </w:pPr>
            <w:r w:rsidRPr="00B63880">
              <w:rPr>
                <w:spacing w:val="-4"/>
              </w:rPr>
              <w:t>19.1 Todos los asociados harán hincapié en la creación de capacidad para apoyar a personas con distintas funciones en la conservación y el uso racional de los humedales.  Esto conllevaría la utilización de los conocimientos del Grupo de Examen Científico y Técnico (GECT), comunicaciones y trabajo en red por la Secretaría y el intercambio de experiencias entre las Partes Contratantes.</w:t>
            </w:r>
          </w:p>
          <w:p w14:paraId="75BB6B41" w14:textId="77777777" w:rsidR="00A1519F" w:rsidRPr="00B63880" w:rsidRDefault="00A1519F" w:rsidP="00A1519F">
            <w:pPr>
              <w:pStyle w:val="ListParagraph"/>
              <w:numPr>
                <w:ilvl w:val="0"/>
                <w:numId w:val="10"/>
              </w:numPr>
              <w:rPr>
                <w:spacing w:val="-4"/>
              </w:rPr>
            </w:pPr>
            <w:r w:rsidRPr="00B63880">
              <w:rPr>
                <w:spacing w:val="-4"/>
              </w:rPr>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320EA5F5" w14:textId="77777777" w:rsidR="00A1519F" w:rsidRPr="00B63880" w:rsidRDefault="00A1519F" w:rsidP="00A1519F">
            <w:pPr>
              <w:pStyle w:val="ListParagraph"/>
              <w:numPr>
                <w:ilvl w:val="0"/>
                <w:numId w:val="10"/>
              </w:numPr>
              <w:rPr>
                <w:spacing w:val="-4"/>
              </w:rPr>
            </w:pPr>
            <w:r w:rsidRPr="00B63880">
              <w:rPr>
                <w:spacing w:val="-4"/>
              </w:rPr>
              <w:t xml:space="preserve">19.3 La Secretaría deberá proporcionar un acceso efectivo a sus materiales a través de la web, incluyendo: </w:t>
            </w:r>
          </w:p>
          <w:p w14:paraId="77017FE4" w14:textId="77777777" w:rsidR="00A1519F" w:rsidRPr="00B63880" w:rsidRDefault="00A1519F" w:rsidP="00B63880">
            <w:pPr>
              <w:pStyle w:val="ListParagraph"/>
              <w:numPr>
                <w:ilvl w:val="1"/>
                <w:numId w:val="10"/>
              </w:numPr>
              <w:ind w:left="738"/>
              <w:rPr>
                <w:spacing w:val="-4"/>
              </w:rPr>
            </w:pPr>
            <w:r w:rsidRPr="00B63880">
              <w:rPr>
                <w:spacing w:val="-4"/>
              </w:rPr>
              <w:t>acceso mediante búsquedas o portales con información sobre cuestiones de humedales, investigación y técnicas de gestión (materiales de la Secretaría y de las Partes Contratantes).</w:t>
            </w:r>
          </w:p>
          <w:p w14:paraId="0F945082" w14:textId="77777777" w:rsidR="00A1519F" w:rsidRPr="00B63880" w:rsidRDefault="00A1519F" w:rsidP="00B63880">
            <w:pPr>
              <w:pStyle w:val="ListParagraph"/>
              <w:numPr>
                <w:ilvl w:val="1"/>
                <w:numId w:val="10"/>
              </w:numPr>
              <w:ind w:left="738"/>
              <w:rPr>
                <w:spacing w:val="-4"/>
              </w:rPr>
            </w:pPr>
            <w:r w:rsidRPr="00B63880">
              <w:rPr>
                <w:spacing w:val="-4"/>
              </w:rPr>
              <w:t xml:space="preserve">acceso a un SISR intuitivo para que los administradores de sitios Ramsar actualicen, suban o descarguen información sobre los sitios y la utilicen para la gestión. </w:t>
            </w:r>
          </w:p>
        </w:tc>
      </w:tr>
      <w:tr w:rsidR="00A1519F" w:rsidRPr="00D45EE9" w14:paraId="6388FE67" w14:textId="77777777" w:rsidTr="0076689D">
        <w:trPr>
          <w:trHeight w:val="506"/>
        </w:trPr>
        <w:tc>
          <w:tcPr>
            <w:tcW w:w="5807" w:type="dxa"/>
          </w:tcPr>
          <w:p w14:paraId="25ED5F8D" w14:textId="77777777" w:rsidR="00A1519F" w:rsidRPr="00D45EE9" w:rsidRDefault="00A1519F" w:rsidP="00783020">
            <w:r w:rsidRPr="00D45EE9">
              <w:rPr>
                <w:bCs/>
                <w:i/>
                <w:iCs/>
              </w:rPr>
              <w:t>(20. Mejorar los Informes Nacionales de Ramsar de manera que sean más útiles para identificar las lagunas y las medidas necesarias).</w:t>
            </w:r>
          </w:p>
        </w:tc>
        <w:tc>
          <w:tcPr>
            <w:tcW w:w="8363" w:type="dxa"/>
          </w:tcPr>
          <w:p w14:paraId="1E775873" w14:textId="77777777" w:rsidR="00A1519F" w:rsidRPr="00D45EE9" w:rsidRDefault="00A1519F" w:rsidP="00A1519F">
            <w:pPr>
              <w:pStyle w:val="ListParagraph"/>
              <w:numPr>
                <w:ilvl w:val="0"/>
                <w:numId w:val="10"/>
              </w:numPr>
            </w:pPr>
            <w:r w:rsidRPr="00D45EE9">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A1519F" w:rsidRPr="00D45EE9" w14:paraId="5E345686" w14:textId="77777777" w:rsidTr="0076689D">
        <w:trPr>
          <w:trHeight w:val="506"/>
        </w:trPr>
        <w:tc>
          <w:tcPr>
            <w:tcW w:w="5807" w:type="dxa"/>
          </w:tcPr>
          <w:p w14:paraId="1994B253" w14:textId="77777777" w:rsidR="00A1519F" w:rsidRPr="00D45EE9" w:rsidRDefault="00A1519F" w:rsidP="00783020">
            <w:r w:rsidRPr="00D45EE9">
              <w:rPr>
                <w:bCs/>
                <w:i/>
                <w:iCs/>
              </w:rPr>
              <w:t>(21. Mejorar las evaluaciones y valoraciones del trabajo realizado por la Convención).</w:t>
            </w:r>
          </w:p>
        </w:tc>
        <w:tc>
          <w:tcPr>
            <w:tcW w:w="8363" w:type="dxa"/>
          </w:tcPr>
          <w:p w14:paraId="7889EC1F" w14:textId="77777777" w:rsidR="00A1519F" w:rsidRPr="00D45EE9" w:rsidRDefault="00A1519F" w:rsidP="00A1519F">
            <w:pPr>
              <w:pStyle w:val="ListParagraph"/>
              <w:numPr>
                <w:ilvl w:val="0"/>
                <w:numId w:val="10"/>
              </w:numPr>
            </w:pPr>
            <w:r w:rsidRPr="00D45EE9">
              <w:t>21.1 Todos los asociados evaluarán el alcance y la eficacia de las actividades, incluidas las de CECoP, para identificar, compartir y aplicar enfoques eficaces.</w:t>
            </w:r>
          </w:p>
        </w:tc>
      </w:tr>
      <w:tr w:rsidR="00A1519F" w:rsidRPr="00D45EE9" w14:paraId="7B84E938" w14:textId="77777777" w:rsidTr="0076689D">
        <w:trPr>
          <w:trHeight w:val="506"/>
        </w:trPr>
        <w:tc>
          <w:tcPr>
            <w:tcW w:w="5807" w:type="dxa"/>
          </w:tcPr>
          <w:p w14:paraId="18E836DD" w14:textId="77777777" w:rsidR="00A1519F" w:rsidRPr="00D45EE9" w:rsidRDefault="00A1519F" w:rsidP="00783020">
            <w:r w:rsidRPr="00D45EE9">
              <w:rPr>
                <w:bCs/>
                <w:i/>
                <w:iCs/>
              </w:rPr>
              <w:t>(22. Se velará por que los coordinadores reciban el apoyo que necesitan para hacer un buen trabajo).</w:t>
            </w:r>
          </w:p>
        </w:tc>
        <w:tc>
          <w:tcPr>
            <w:tcW w:w="8363" w:type="dxa"/>
          </w:tcPr>
          <w:p w14:paraId="1F8D6A25" w14:textId="77777777" w:rsidR="00A1519F" w:rsidRPr="00D45EE9" w:rsidRDefault="00A1519F" w:rsidP="00A1519F">
            <w:pPr>
              <w:pStyle w:val="ListParagraph"/>
              <w:numPr>
                <w:ilvl w:val="0"/>
                <w:numId w:val="10"/>
              </w:numPr>
              <w:rPr>
                <w:i/>
                <w:iCs/>
              </w:rPr>
            </w:pPr>
            <w:r w:rsidRPr="00D45EE9">
              <w:rPr>
                <w:i/>
                <w:iCs/>
                <w:szCs w:val="24"/>
              </w:rPr>
              <w:t xml:space="preserve">22.1 Las Partes Contratantes deberán garantizar que los coordinadores estén informados de sus responsabilidades. Los coordinadores de CECoP deberán ser reconocidos como los principales facilitadores de la ejecución de la labor de CECoP y se les deberá proporcionar herramientas adecuadas y oportunidades de formación cuando sea necesario. </w:t>
            </w:r>
          </w:p>
          <w:p w14:paraId="0F2DC737" w14:textId="77777777" w:rsidR="00A1519F" w:rsidRPr="00D45EE9" w:rsidRDefault="00A1519F" w:rsidP="00A1519F">
            <w:pPr>
              <w:pStyle w:val="ListParagraph"/>
              <w:numPr>
                <w:ilvl w:val="0"/>
                <w:numId w:val="10"/>
              </w:numPr>
              <w:rPr>
                <w:rFonts w:cs="Arial"/>
              </w:rPr>
            </w:pPr>
            <w:r w:rsidRPr="00D45EE9">
              <w:t xml:space="preserve">22.2 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6A403E2D" w14:textId="77777777" w:rsidR="00A1519F" w:rsidRPr="00D45EE9" w:rsidRDefault="00A1519F" w:rsidP="00A1519F">
            <w:pPr>
              <w:pStyle w:val="ListParagraph"/>
              <w:numPr>
                <w:ilvl w:val="0"/>
                <w:numId w:val="10"/>
              </w:numPr>
              <w:rPr>
                <w:rFonts w:cs="Arial"/>
              </w:rPr>
            </w:pPr>
            <w:r w:rsidRPr="00D45EE9">
              <w:t xml:space="preserve">22.3 La Secretaría y el GC de CECoP realizarán una revisión del manual de CECoP sobre los humedales de 2010.  La versión revisada deberá reflejar el nuevo enfoque de CECoP, incluir otros cambios en la Convención de Ramsar desde 2010, e incorporar nuevos contenidos sobre los medios sociales, cómo mejorar el trabajo en red, etc., incluyendo un enfoque de aplicación más práctico para las actividades de CECoP en lugar de uno más informativo sobre las Resoluciones de la Convención de Ramsar. </w:t>
            </w:r>
          </w:p>
          <w:p w14:paraId="3D9E4334" w14:textId="77777777" w:rsidR="00A1519F" w:rsidRPr="00D45EE9" w:rsidRDefault="00A1519F" w:rsidP="00A1519F">
            <w:pPr>
              <w:pStyle w:val="ListParagraph"/>
              <w:numPr>
                <w:ilvl w:val="0"/>
                <w:numId w:val="10"/>
              </w:numPr>
            </w:pPr>
            <w:r w:rsidRPr="00D45EE9">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3B880DFE" w14:textId="77777777" w:rsidR="00A1519F" w:rsidRPr="0076689D" w:rsidRDefault="00A1519F" w:rsidP="0076689D">
      <w:pPr>
        <w:pStyle w:val="Heading1"/>
        <w:widowControl/>
        <w:spacing w:before="0"/>
        <w:ind w:left="0" w:firstLine="0"/>
        <w:rPr>
          <w:rFonts w:asciiTheme="minorHAnsi" w:hAnsiTheme="minorHAnsi" w:cstheme="minorHAnsi"/>
          <w:sz w:val="22"/>
          <w:szCs w:val="22"/>
        </w:rPr>
      </w:pPr>
    </w:p>
    <w:sectPr w:rsidR="00A1519F" w:rsidRPr="0076689D" w:rsidSect="0076689D">
      <w:headerReference w:type="even" r:id="rId15"/>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D5E6" w14:textId="77777777" w:rsidR="00BC3E44" w:rsidRDefault="00BC3E44" w:rsidP="00DF2386">
      <w:r>
        <w:separator/>
      </w:r>
    </w:p>
  </w:endnote>
  <w:endnote w:type="continuationSeparator" w:id="0">
    <w:p w14:paraId="1FFAE40D" w14:textId="77777777" w:rsidR="00BC3E44" w:rsidRDefault="00BC3E44" w:rsidP="00DF2386">
      <w:r>
        <w:continuationSeparator/>
      </w:r>
    </w:p>
  </w:endnote>
  <w:endnote w:type="continuationNotice" w:id="1">
    <w:p w14:paraId="10E28B1B" w14:textId="77777777" w:rsidR="00BC3E44" w:rsidRDefault="00BC3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0EC8" w14:textId="4544F6DD" w:rsidR="00AA002A" w:rsidRPr="00D937C2" w:rsidRDefault="00D937C2" w:rsidP="00D937C2">
    <w:pPr>
      <w:pStyle w:val="Footer"/>
      <w:tabs>
        <w:tab w:val="clear" w:pos="9026"/>
        <w:tab w:val="right" w:pos="8931"/>
      </w:tabs>
      <w:rPr>
        <w:sz w:val="20"/>
        <w:szCs w:val="20"/>
      </w:rPr>
    </w:pPr>
    <w:r w:rsidRPr="007E7551">
      <w:rPr>
        <w:sz w:val="20"/>
        <w:szCs w:val="20"/>
      </w:rPr>
      <w:t>COP14 Doc.18</w:t>
    </w:r>
    <w:r>
      <w:rPr>
        <w:sz w:val="20"/>
        <w:szCs w:val="20"/>
      </w:rPr>
      <w:t>.10</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3845A4">
      <w:rPr>
        <w:noProof/>
        <w:sz w:val="20"/>
        <w:szCs w:val="20"/>
      </w:rPr>
      <w:t>4</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E0CA" w14:textId="1B6B5C86" w:rsidR="00AA002A" w:rsidRPr="0076689D" w:rsidRDefault="0076689D" w:rsidP="0076689D">
    <w:pPr>
      <w:pStyle w:val="Footer"/>
      <w:tabs>
        <w:tab w:val="clear" w:pos="9026"/>
        <w:tab w:val="right" w:pos="13892"/>
      </w:tabs>
      <w:rPr>
        <w:sz w:val="20"/>
        <w:szCs w:val="20"/>
      </w:rPr>
    </w:pPr>
    <w:r w:rsidRPr="007E7551">
      <w:rPr>
        <w:sz w:val="20"/>
        <w:szCs w:val="20"/>
      </w:rPr>
      <w:t>COP14 Doc.18</w:t>
    </w:r>
    <w:r>
      <w:rPr>
        <w:sz w:val="20"/>
        <w:szCs w:val="20"/>
      </w:rPr>
      <w:t>.10</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3845A4">
      <w:rPr>
        <w:noProof/>
        <w:sz w:val="20"/>
        <w:szCs w:val="20"/>
      </w:rPr>
      <w:t>7</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CE71" w14:textId="77777777" w:rsidR="00BC3E44" w:rsidRDefault="00BC3E44" w:rsidP="00DF2386">
      <w:r>
        <w:separator/>
      </w:r>
    </w:p>
  </w:footnote>
  <w:footnote w:type="continuationSeparator" w:id="0">
    <w:p w14:paraId="01ED39E5" w14:textId="77777777" w:rsidR="00BC3E44" w:rsidRDefault="00BC3E44" w:rsidP="00DF2386">
      <w:r>
        <w:continuationSeparator/>
      </w:r>
    </w:p>
  </w:footnote>
  <w:footnote w:type="continuationNotice" w:id="1">
    <w:p w14:paraId="21B3F79C" w14:textId="77777777" w:rsidR="00BC3E44" w:rsidRDefault="00BC3E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966" w14:textId="77777777" w:rsidR="00AA002A" w:rsidRDefault="00AA002A">
    <w:pPr>
      <w:pStyle w:val="Header"/>
    </w:pPr>
  </w:p>
  <w:p w14:paraId="6C12F86C" w14:textId="77777777" w:rsidR="00AA002A" w:rsidRDefault="00AA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AA002A" w:rsidRDefault="003845A4">
    <w:pPr>
      <w:pStyle w:val="Header"/>
    </w:pPr>
    <w:r>
      <w:pict w14:anchorId="7A465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3"/>
  </w:num>
  <w:num w:numId="7">
    <w:abstractNumId w:val="16"/>
  </w:num>
  <w:num w:numId="8">
    <w:abstractNumId w:val="12"/>
  </w:num>
  <w:num w:numId="9">
    <w:abstractNumId w:val="5"/>
  </w:num>
  <w:num w:numId="10">
    <w:abstractNumId w:val="9"/>
  </w:num>
  <w:num w:numId="11">
    <w:abstractNumId w:val="7"/>
  </w:num>
  <w:num w:numId="12">
    <w:abstractNumId w:val="1"/>
  </w:num>
  <w:num w:numId="13">
    <w:abstractNumId w:val="14"/>
  </w:num>
  <w:num w:numId="14">
    <w:abstractNumId w:val="10"/>
  </w:num>
  <w:num w:numId="15">
    <w:abstractNumId w:val="0"/>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0A11"/>
    <w:rsid w:val="00014168"/>
    <w:rsid w:val="000142B6"/>
    <w:rsid w:val="00017A16"/>
    <w:rsid w:val="00020F65"/>
    <w:rsid w:val="000217EF"/>
    <w:rsid w:val="00023125"/>
    <w:rsid w:val="00026E09"/>
    <w:rsid w:val="0003169F"/>
    <w:rsid w:val="00037CE0"/>
    <w:rsid w:val="00042981"/>
    <w:rsid w:val="0004527D"/>
    <w:rsid w:val="00046E7E"/>
    <w:rsid w:val="00050158"/>
    <w:rsid w:val="00053929"/>
    <w:rsid w:val="000608B9"/>
    <w:rsid w:val="000710E1"/>
    <w:rsid w:val="0007175F"/>
    <w:rsid w:val="00073CDB"/>
    <w:rsid w:val="00074DE8"/>
    <w:rsid w:val="00087318"/>
    <w:rsid w:val="00093844"/>
    <w:rsid w:val="00096787"/>
    <w:rsid w:val="000A3E3E"/>
    <w:rsid w:val="000A718B"/>
    <w:rsid w:val="000B52DA"/>
    <w:rsid w:val="000B573D"/>
    <w:rsid w:val="000B6AF0"/>
    <w:rsid w:val="000C2489"/>
    <w:rsid w:val="000C2BE5"/>
    <w:rsid w:val="000D0F07"/>
    <w:rsid w:val="000D5C76"/>
    <w:rsid w:val="000E2FA0"/>
    <w:rsid w:val="000E47E9"/>
    <w:rsid w:val="00100BA6"/>
    <w:rsid w:val="0010271F"/>
    <w:rsid w:val="001073AD"/>
    <w:rsid w:val="00107C49"/>
    <w:rsid w:val="00116E09"/>
    <w:rsid w:val="0012096C"/>
    <w:rsid w:val="001251CA"/>
    <w:rsid w:val="00127828"/>
    <w:rsid w:val="0013715F"/>
    <w:rsid w:val="00146012"/>
    <w:rsid w:val="0014749C"/>
    <w:rsid w:val="00161BDA"/>
    <w:rsid w:val="00162642"/>
    <w:rsid w:val="00171618"/>
    <w:rsid w:val="001819B1"/>
    <w:rsid w:val="0019225B"/>
    <w:rsid w:val="001A05BE"/>
    <w:rsid w:val="001A2D10"/>
    <w:rsid w:val="001A44B6"/>
    <w:rsid w:val="001B22BE"/>
    <w:rsid w:val="001B46FA"/>
    <w:rsid w:val="001B64DE"/>
    <w:rsid w:val="001C5E41"/>
    <w:rsid w:val="001C77BC"/>
    <w:rsid w:val="001C7BC9"/>
    <w:rsid w:val="001C7F31"/>
    <w:rsid w:val="001D0052"/>
    <w:rsid w:val="001D48BB"/>
    <w:rsid w:val="001D4BF8"/>
    <w:rsid w:val="001D5ACC"/>
    <w:rsid w:val="001D6486"/>
    <w:rsid w:val="001E00E3"/>
    <w:rsid w:val="001E2E28"/>
    <w:rsid w:val="001F1BD9"/>
    <w:rsid w:val="001F1CD0"/>
    <w:rsid w:val="001F2349"/>
    <w:rsid w:val="001F2779"/>
    <w:rsid w:val="002005D2"/>
    <w:rsid w:val="0020298B"/>
    <w:rsid w:val="002050C8"/>
    <w:rsid w:val="00205D7F"/>
    <w:rsid w:val="00206111"/>
    <w:rsid w:val="00210CBF"/>
    <w:rsid w:val="00212AF4"/>
    <w:rsid w:val="002137E0"/>
    <w:rsid w:val="00225738"/>
    <w:rsid w:val="002279E3"/>
    <w:rsid w:val="0023536F"/>
    <w:rsid w:val="002372B2"/>
    <w:rsid w:val="0024716F"/>
    <w:rsid w:val="002527ED"/>
    <w:rsid w:val="00252E99"/>
    <w:rsid w:val="00253A93"/>
    <w:rsid w:val="00255EB3"/>
    <w:rsid w:val="00266265"/>
    <w:rsid w:val="002664B9"/>
    <w:rsid w:val="002741AC"/>
    <w:rsid w:val="00275F13"/>
    <w:rsid w:val="00276205"/>
    <w:rsid w:val="00277716"/>
    <w:rsid w:val="002819C0"/>
    <w:rsid w:val="0028594D"/>
    <w:rsid w:val="002930EC"/>
    <w:rsid w:val="00295556"/>
    <w:rsid w:val="00295BB5"/>
    <w:rsid w:val="002A4B5C"/>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257D2"/>
    <w:rsid w:val="00343AF3"/>
    <w:rsid w:val="00352689"/>
    <w:rsid w:val="003629BF"/>
    <w:rsid w:val="003648B9"/>
    <w:rsid w:val="0036636E"/>
    <w:rsid w:val="003678B2"/>
    <w:rsid w:val="00370C3C"/>
    <w:rsid w:val="00372E1B"/>
    <w:rsid w:val="003737D2"/>
    <w:rsid w:val="003742F2"/>
    <w:rsid w:val="00376C19"/>
    <w:rsid w:val="003815EA"/>
    <w:rsid w:val="003845A4"/>
    <w:rsid w:val="00384FC3"/>
    <w:rsid w:val="003A3804"/>
    <w:rsid w:val="003A3C91"/>
    <w:rsid w:val="003A525D"/>
    <w:rsid w:val="003A52BE"/>
    <w:rsid w:val="003A5866"/>
    <w:rsid w:val="003A6E9F"/>
    <w:rsid w:val="003B4355"/>
    <w:rsid w:val="003C2D9F"/>
    <w:rsid w:val="003D3ECE"/>
    <w:rsid w:val="003D4CD6"/>
    <w:rsid w:val="003D4E6B"/>
    <w:rsid w:val="003E656F"/>
    <w:rsid w:val="003F0BBB"/>
    <w:rsid w:val="00415131"/>
    <w:rsid w:val="00420882"/>
    <w:rsid w:val="004228C7"/>
    <w:rsid w:val="004269AE"/>
    <w:rsid w:val="0042798B"/>
    <w:rsid w:val="0043294E"/>
    <w:rsid w:val="00434913"/>
    <w:rsid w:val="0044217A"/>
    <w:rsid w:val="00442A45"/>
    <w:rsid w:val="004433B6"/>
    <w:rsid w:val="004474F8"/>
    <w:rsid w:val="004541BC"/>
    <w:rsid w:val="0045444F"/>
    <w:rsid w:val="00470486"/>
    <w:rsid w:val="00477550"/>
    <w:rsid w:val="0047785E"/>
    <w:rsid w:val="00483903"/>
    <w:rsid w:val="004844A8"/>
    <w:rsid w:val="00485F9D"/>
    <w:rsid w:val="00491089"/>
    <w:rsid w:val="00493991"/>
    <w:rsid w:val="00496803"/>
    <w:rsid w:val="004B6688"/>
    <w:rsid w:val="004B6C84"/>
    <w:rsid w:val="004B71D7"/>
    <w:rsid w:val="004C3718"/>
    <w:rsid w:val="004C5E6D"/>
    <w:rsid w:val="004C768A"/>
    <w:rsid w:val="004D1CCA"/>
    <w:rsid w:val="004D633A"/>
    <w:rsid w:val="004E172A"/>
    <w:rsid w:val="004F376E"/>
    <w:rsid w:val="00506DC3"/>
    <w:rsid w:val="005209BF"/>
    <w:rsid w:val="005244A4"/>
    <w:rsid w:val="00527783"/>
    <w:rsid w:val="0053230D"/>
    <w:rsid w:val="00533848"/>
    <w:rsid w:val="00551ABC"/>
    <w:rsid w:val="00556933"/>
    <w:rsid w:val="00557A85"/>
    <w:rsid w:val="005814B5"/>
    <w:rsid w:val="005824BD"/>
    <w:rsid w:val="00592F6E"/>
    <w:rsid w:val="0059787B"/>
    <w:rsid w:val="005A746A"/>
    <w:rsid w:val="005A7C2F"/>
    <w:rsid w:val="005A7E16"/>
    <w:rsid w:val="005C67DF"/>
    <w:rsid w:val="005D18C3"/>
    <w:rsid w:val="005D3E9D"/>
    <w:rsid w:val="005D559B"/>
    <w:rsid w:val="005D6030"/>
    <w:rsid w:val="005D725E"/>
    <w:rsid w:val="005D7A68"/>
    <w:rsid w:val="005D7AD1"/>
    <w:rsid w:val="005E518A"/>
    <w:rsid w:val="005E7C7A"/>
    <w:rsid w:val="005F4543"/>
    <w:rsid w:val="006020B8"/>
    <w:rsid w:val="00610B09"/>
    <w:rsid w:val="00615F8C"/>
    <w:rsid w:val="006164EF"/>
    <w:rsid w:val="00616EE9"/>
    <w:rsid w:val="00621F90"/>
    <w:rsid w:val="00624A4C"/>
    <w:rsid w:val="006256D3"/>
    <w:rsid w:val="00626545"/>
    <w:rsid w:val="00627BB7"/>
    <w:rsid w:val="00635B36"/>
    <w:rsid w:val="00644A13"/>
    <w:rsid w:val="00645053"/>
    <w:rsid w:val="0065136E"/>
    <w:rsid w:val="006562C1"/>
    <w:rsid w:val="006624BF"/>
    <w:rsid w:val="00667549"/>
    <w:rsid w:val="00670C49"/>
    <w:rsid w:val="00670D71"/>
    <w:rsid w:val="00693D67"/>
    <w:rsid w:val="006A1B0C"/>
    <w:rsid w:val="006A2401"/>
    <w:rsid w:val="006B5D22"/>
    <w:rsid w:val="006D1093"/>
    <w:rsid w:val="006D7318"/>
    <w:rsid w:val="006E7528"/>
    <w:rsid w:val="006E7DCE"/>
    <w:rsid w:val="006F0CD6"/>
    <w:rsid w:val="006F0FD6"/>
    <w:rsid w:val="006F44D4"/>
    <w:rsid w:val="0070203F"/>
    <w:rsid w:val="00702C73"/>
    <w:rsid w:val="007032B1"/>
    <w:rsid w:val="007050B9"/>
    <w:rsid w:val="007050FF"/>
    <w:rsid w:val="00725BE7"/>
    <w:rsid w:val="007315A3"/>
    <w:rsid w:val="00732023"/>
    <w:rsid w:val="00737C66"/>
    <w:rsid w:val="007406EA"/>
    <w:rsid w:val="00752764"/>
    <w:rsid w:val="00754DB3"/>
    <w:rsid w:val="0076054D"/>
    <w:rsid w:val="00764452"/>
    <w:rsid w:val="00765652"/>
    <w:rsid w:val="0076689D"/>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6542"/>
    <w:rsid w:val="007D2BB6"/>
    <w:rsid w:val="007D33F4"/>
    <w:rsid w:val="007E136A"/>
    <w:rsid w:val="007F3ABE"/>
    <w:rsid w:val="007F5813"/>
    <w:rsid w:val="00803DA4"/>
    <w:rsid w:val="00807057"/>
    <w:rsid w:val="00821433"/>
    <w:rsid w:val="00821A70"/>
    <w:rsid w:val="00822D08"/>
    <w:rsid w:val="008312CB"/>
    <w:rsid w:val="008328E9"/>
    <w:rsid w:val="00835BCB"/>
    <w:rsid w:val="00835CDC"/>
    <w:rsid w:val="0083768D"/>
    <w:rsid w:val="00850B09"/>
    <w:rsid w:val="008579AE"/>
    <w:rsid w:val="00863168"/>
    <w:rsid w:val="00863B9D"/>
    <w:rsid w:val="00863BE6"/>
    <w:rsid w:val="00873205"/>
    <w:rsid w:val="008733A1"/>
    <w:rsid w:val="008752D1"/>
    <w:rsid w:val="008753C7"/>
    <w:rsid w:val="008775BB"/>
    <w:rsid w:val="008775BC"/>
    <w:rsid w:val="00882F1B"/>
    <w:rsid w:val="0088769B"/>
    <w:rsid w:val="008A6505"/>
    <w:rsid w:val="008A70CE"/>
    <w:rsid w:val="008C0651"/>
    <w:rsid w:val="008C25E4"/>
    <w:rsid w:val="008C2DAE"/>
    <w:rsid w:val="008D0A75"/>
    <w:rsid w:val="008D12FA"/>
    <w:rsid w:val="008E1456"/>
    <w:rsid w:val="008E28FF"/>
    <w:rsid w:val="008E3AB1"/>
    <w:rsid w:val="008E4F79"/>
    <w:rsid w:val="008F377A"/>
    <w:rsid w:val="009059A9"/>
    <w:rsid w:val="00910FBD"/>
    <w:rsid w:val="0092149A"/>
    <w:rsid w:val="009215F7"/>
    <w:rsid w:val="00923F15"/>
    <w:rsid w:val="0092515E"/>
    <w:rsid w:val="00930A09"/>
    <w:rsid w:val="00941AA9"/>
    <w:rsid w:val="00942FBD"/>
    <w:rsid w:val="00944B04"/>
    <w:rsid w:val="0094770B"/>
    <w:rsid w:val="00960D15"/>
    <w:rsid w:val="00964154"/>
    <w:rsid w:val="009662E0"/>
    <w:rsid w:val="00967BF0"/>
    <w:rsid w:val="0097215F"/>
    <w:rsid w:val="009744DA"/>
    <w:rsid w:val="00976B7E"/>
    <w:rsid w:val="00976BFC"/>
    <w:rsid w:val="00977079"/>
    <w:rsid w:val="00977943"/>
    <w:rsid w:val="00993D54"/>
    <w:rsid w:val="009A4385"/>
    <w:rsid w:val="009B2267"/>
    <w:rsid w:val="009B2288"/>
    <w:rsid w:val="009B7B70"/>
    <w:rsid w:val="009C0ABF"/>
    <w:rsid w:val="009C19BE"/>
    <w:rsid w:val="009C5199"/>
    <w:rsid w:val="009D3DAF"/>
    <w:rsid w:val="009D5433"/>
    <w:rsid w:val="009E0AE8"/>
    <w:rsid w:val="009E5374"/>
    <w:rsid w:val="009E595C"/>
    <w:rsid w:val="009E7368"/>
    <w:rsid w:val="009F208F"/>
    <w:rsid w:val="009F345D"/>
    <w:rsid w:val="009F6A76"/>
    <w:rsid w:val="00A00C84"/>
    <w:rsid w:val="00A01EA6"/>
    <w:rsid w:val="00A02529"/>
    <w:rsid w:val="00A04E78"/>
    <w:rsid w:val="00A0583A"/>
    <w:rsid w:val="00A13218"/>
    <w:rsid w:val="00A1519F"/>
    <w:rsid w:val="00A20C83"/>
    <w:rsid w:val="00A20D3D"/>
    <w:rsid w:val="00A227A3"/>
    <w:rsid w:val="00A25E54"/>
    <w:rsid w:val="00A36200"/>
    <w:rsid w:val="00A44406"/>
    <w:rsid w:val="00A5033C"/>
    <w:rsid w:val="00A534EB"/>
    <w:rsid w:val="00A53A55"/>
    <w:rsid w:val="00A54D5B"/>
    <w:rsid w:val="00A57E25"/>
    <w:rsid w:val="00A60B73"/>
    <w:rsid w:val="00A706F0"/>
    <w:rsid w:val="00A80080"/>
    <w:rsid w:val="00A837FF"/>
    <w:rsid w:val="00A93DC4"/>
    <w:rsid w:val="00AA002A"/>
    <w:rsid w:val="00AA177D"/>
    <w:rsid w:val="00AB4951"/>
    <w:rsid w:val="00AB6E08"/>
    <w:rsid w:val="00AC3CB3"/>
    <w:rsid w:val="00AC61DA"/>
    <w:rsid w:val="00AD3E06"/>
    <w:rsid w:val="00AE63F1"/>
    <w:rsid w:val="00AF2E58"/>
    <w:rsid w:val="00AF4241"/>
    <w:rsid w:val="00AF424E"/>
    <w:rsid w:val="00AF4E5A"/>
    <w:rsid w:val="00B008AF"/>
    <w:rsid w:val="00B04571"/>
    <w:rsid w:val="00B23512"/>
    <w:rsid w:val="00B249B6"/>
    <w:rsid w:val="00B25657"/>
    <w:rsid w:val="00B27FFC"/>
    <w:rsid w:val="00B315A0"/>
    <w:rsid w:val="00B34A18"/>
    <w:rsid w:val="00B42194"/>
    <w:rsid w:val="00B43267"/>
    <w:rsid w:val="00B468CE"/>
    <w:rsid w:val="00B47634"/>
    <w:rsid w:val="00B52B7F"/>
    <w:rsid w:val="00B5599F"/>
    <w:rsid w:val="00B579CB"/>
    <w:rsid w:val="00B626CD"/>
    <w:rsid w:val="00B63880"/>
    <w:rsid w:val="00B70083"/>
    <w:rsid w:val="00B75F6D"/>
    <w:rsid w:val="00B76C9A"/>
    <w:rsid w:val="00B827B6"/>
    <w:rsid w:val="00B83C2C"/>
    <w:rsid w:val="00B83EF9"/>
    <w:rsid w:val="00B928A3"/>
    <w:rsid w:val="00B94B55"/>
    <w:rsid w:val="00B95C2F"/>
    <w:rsid w:val="00B96479"/>
    <w:rsid w:val="00BA58DF"/>
    <w:rsid w:val="00BB23DD"/>
    <w:rsid w:val="00BB28F6"/>
    <w:rsid w:val="00BC0C3C"/>
    <w:rsid w:val="00BC108A"/>
    <w:rsid w:val="00BC2609"/>
    <w:rsid w:val="00BC3712"/>
    <w:rsid w:val="00BC3E44"/>
    <w:rsid w:val="00BC7C4F"/>
    <w:rsid w:val="00BD099B"/>
    <w:rsid w:val="00BF4697"/>
    <w:rsid w:val="00C0528F"/>
    <w:rsid w:val="00C0708D"/>
    <w:rsid w:val="00C13145"/>
    <w:rsid w:val="00C17B22"/>
    <w:rsid w:val="00C24992"/>
    <w:rsid w:val="00C31E16"/>
    <w:rsid w:val="00C56FBC"/>
    <w:rsid w:val="00C63612"/>
    <w:rsid w:val="00C90BC1"/>
    <w:rsid w:val="00C93FAC"/>
    <w:rsid w:val="00C965CD"/>
    <w:rsid w:val="00CA6757"/>
    <w:rsid w:val="00CB74C2"/>
    <w:rsid w:val="00CC64BC"/>
    <w:rsid w:val="00CD05B5"/>
    <w:rsid w:val="00CD4DB5"/>
    <w:rsid w:val="00CE0AAE"/>
    <w:rsid w:val="00CE3D54"/>
    <w:rsid w:val="00CE750F"/>
    <w:rsid w:val="00CF23EE"/>
    <w:rsid w:val="00D0209C"/>
    <w:rsid w:val="00D10FF1"/>
    <w:rsid w:val="00D15243"/>
    <w:rsid w:val="00D160CB"/>
    <w:rsid w:val="00D245A1"/>
    <w:rsid w:val="00D375D7"/>
    <w:rsid w:val="00D415E2"/>
    <w:rsid w:val="00D42055"/>
    <w:rsid w:val="00D424FA"/>
    <w:rsid w:val="00D43113"/>
    <w:rsid w:val="00D45EE9"/>
    <w:rsid w:val="00D4692D"/>
    <w:rsid w:val="00D470CF"/>
    <w:rsid w:val="00D647C3"/>
    <w:rsid w:val="00D64F7B"/>
    <w:rsid w:val="00D851EF"/>
    <w:rsid w:val="00D937C2"/>
    <w:rsid w:val="00D95B4F"/>
    <w:rsid w:val="00D9633A"/>
    <w:rsid w:val="00DA0EA2"/>
    <w:rsid w:val="00DA3C64"/>
    <w:rsid w:val="00DA565B"/>
    <w:rsid w:val="00DB54AC"/>
    <w:rsid w:val="00DC7DC6"/>
    <w:rsid w:val="00DE1777"/>
    <w:rsid w:val="00DE4EC9"/>
    <w:rsid w:val="00DE5579"/>
    <w:rsid w:val="00DF2386"/>
    <w:rsid w:val="00DF5550"/>
    <w:rsid w:val="00DF7237"/>
    <w:rsid w:val="00DF7FE7"/>
    <w:rsid w:val="00E054F6"/>
    <w:rsid w:val="00E1422B"/>
    <w:rsid w:val="00E21B5C"/>
    <w:rsid w:val="00E21E46"/>
    <w:rsid w:val="00E26425"/>
    <w:rsid w:val="00E437CB"/>
    <w:rsid w:val="00E46367"/>
    <w:rsid w:val="00E5205F"/>
    <w:rsid w:val="00E558AF"/>
    <w:rsid w:val="00E63A54"/>
    <w:rsid w:val="00E63F0B"/>
    <w:rsid w:val="00E7208A"/>
    <w:rsid w:val="00E871CB"/>
    <w:rsid w:val="00E93AD1"/>
    <w:rsid w:val="00EA02DA"/>
    <w:rsid w:val="00EA2797"/>
    <w:rsid w:val="00EA3A7F"/>
    <w:rsid w:val="00EA3DBC"/>
    <w:rsid w:val="00EA65F3"/>
    <w:rsid w:val="00EC673C"/>
    <w:rsid w:val="00ED2263"/>
    <w:rsid w:val="00EE0E86"/>
    <w:rsid w:val="00EE5366"/>
    <w:rsid w:val="00EF3827"/>
    <w:rsid w:val="00F078A2"/>
    <w:rsid w:val="00F078F1"/>
    <w:rsid w:val="00F32D03"/>
    <w:rsid w:val="00F344DE"/>
    <w:rsid w:val="00F37A4C"/>
    <w:rsid w:val="00F42C01"/>
    <w:rsid w:val="00F44ADA"/>
    <w:rsid w:val="00F4753C"/>
    <w:rsid w:val="00F6004D"/>
    <w:rsid w:val="00F6028E"/>
    <w:rsid w:val="00F61AD1"/>
    <w:rsid w:val="00F66566"/>
    <w:rsid w:val="00F711D3"/>
    <w:rsid w:val="00F73E71"/>
    <w:rsid w:val="00F82FB9"/>
    <w:rsid w:val="00FA3881"/>
    <w:rsid w:val="00FA50B5"/>
    <w:rsid w:val="00FA7A28"/>
    <w:rsid w:val="00FB14FC"/>
    <w:rsid w:val="00FC13CD"/>
    <w:rsid w:val="00FC17BF"/>
    <w:rsid w:val="00FC705A"/>
    <w:rsid w:val="00FD1A5E"/>
    <w:rsid w:val="00FD76BF"/>
    <w:rsid w:val="00FD7EC9"/>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 w:type="paragraph" w:styleId="NormalWeb">
    <w:name w:val="Normal (Web)"/>
    <w:basedOn w:val="Normal"/>
    <w:uiPriority w:val="99"/>
    <w:semiHidden/>
    <w:unhideWhenUsed/>
    <w:rsid w:val="00AA002A"/>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43B-DECA-4653-B311-04E5D5B770BF}">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5af92df4-ae3d-4772-abff-92e7cba13994"/>
    <ds:schemaRef ds:uri="http://purl.org/dc/dcmitype/"/>
  </ds:schemaRefs>
</ds:datastoreItem>
</file>

<file path=customXml/itemProps3.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4.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5.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6.xml><?xml version="1.0" encoding="utf-8"?>
<ds:datastoreItem xmlns:ds="http://schemas.openxmlformats.org/officeDocument/2006/customXml" ds:itemID="{85B350A5-56BF-4D05-A834-41D3121D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3921</Words>
  <Characters>22355</Characters>
  <Application>Microsoft Office Word</Application>
  <DocSecurity>0</DocSecurity>
  <Lines>186</Lines>
  <Paragraphs>52</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Ramsar CEPA OP-SC58-draft paper-comments</vt:lpstr>
      <vt:lpstr>Ramsar CEPA OP-SC58-draft paper-comments</vt:lpstr>
      <vt:lpstr>Ramsar CEPA OP-SC58-draft paper-comments</vt:lpstr>
      <vt:lpstr/>
    </vt:vector>
  </TitlesOfParts>
  <Company>IUCN</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5</cp:revision>
  <cp:lastPrinted>2022-02-17T10:52:00Z</cp:lastPrinted>
  <dcterms:created xsi:type="dcterms:W3CDTF">2022-08-09T09:15:00Z</dcterms:created>
  <dcterms:modified xsi:type="dcterms:W3CDTF">2022-08-09T09:36:00Z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