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2067B" w14:textId="77777777" w:rsidR="000B14C7" w:rsidRDefault="000B14C7" w:rsidP="000B14C7">
      <w:pPr>
        <w:pBdr>
          <w:top w:val="single" w:sz="12" w:space="0" w:color="auto" w:shadow="1"/>
          <w:left w:val="single" w:sz="12" w:space="4" w:color="auto" w:shadow="1"/>
          <w:bottom w:val="single" w:sz="12" w:space="1" w:color="auto" w:shadow="1"/>
          <w:right w:val="single" w:sz="12" w:space="0" w:color="auto" w:shadow="1"/>
        </w:pBdr>
        <w:spacing w:after="0" w:line="240" w:lineRule="auto"/>
        <w:ind w:right="4490"/>
        <w:jc w:val="both"/>
        <w:rPr>
          <w:rFonts w:eastAsia="Times New Roman" w:cstheme="minorHAnsi"/>
          <w:bCs/>
          <w:lang w:eastAsia="en-GB"/>
        </w:rPr>
      </w:pPr>
      <w:r w:rsidRPr="009C2848">
        <w:rPr>
          <w:rFonts w:eastAsia="Times New Roman" w:cstheme="minorHAnsi"/>
          <w:bCs/>
          <w:lang w:eastAsia="en-GB"/>
        </w:rPr>
        <w:t>THE CONVENTION ON WETLANDS</w:t>
      </w:r>
    </w:p>
    <w:p w14:paraId="26CF753E" w14:textId="77777777" w:rsidR="000B14C7" w:rsidRPr="009C2848" w:rsidRDefault="000B14C7" w:rsidP="000B14C7">
      <w:pPr>
        <w:pBdr>
          <w:top w:val="single" w:sz="12" w:space="0" w:color="auto" w:shadow="1"/>
          <w:left w:val="single" w:sz="12" w:space="4" w:color="auto" w:shadow="1"/>
          <w:bottom w:val="single" w:sz="12" w:space="1" w:color="auto" w:shadow="1"/>
          <w:right w:val="single" w:sz="12" w:space="0" w:color="auto" w:shadow="1"/>
        </w:pBdr>
        <w:spacing w:after="0" w:line="240" w:lineRule="auto"/>
        <w:ind w:right="4490"/>
        <w:jc w:val="both"/>
        <w:rPr>
          <w:rFonts w:eastAsia="Times New Roman" w:cstheme="minorHAnsi"/>
          <w:bCs/>
          <w:lang w:eastAsia="en-GB"/>
        </w:rPr>
      </w:pPr>
      <w:r>
        <w:rPr>
          <w:rFonts w:eastAsia="Times New Roman" w:cstheme="minorHAnsi"/>
          <w:bCs/>
          <w:lang w:eastAsia="en-GB"/>
        </w:rPr>
        <w:t>62nd</w:t>
      </w:r>
      <w:r w:rsidRPr="009C2848">
        <w:rPr>
          <w:rFonts w:eastAsia="Times New Roman" w:cstheme="minorHAnsi"/>
          <w:bCs/>
          <w:lang w:eastAsia="en-GB"/>
        </w:rPr>
        <w:t xml:space="preserve"> </w:t>
      </w:r>
      <w:r>
        <w:rPr>
          <w:rFonts w:eastAsia="Times New Roman" w:cstheme="minorHAnsi"/>
          <w:bCs/>
          <w:lang w:eastAsia="en-GB"/>
        </w:rPr>
        <w:t>m</w:t>
      </w:r>
      <w:r w:rsidRPr="009C2848">
        <w:rPr>
          <w:rFonts w:eastAsia="Times New Roman" w:cstheme="minorHAnsi"/>
          <w:bCs/>
          <w:lang w:eastAsia="en-GB"/>
        </w:rPr>
        <w:t>eeting of the Standing Committee</w:t>
      </w:r>
    </w:p>
    <w:p w14:paraId="7FD18A92" w14:textId="77777777" w:rsidR="000B14C7" w:rsidRPr="009C2848" w:rsidRDefault="000B14C7" w:rsidP="000B14C7">
      <w:pPr>
        <w:pBdr>
          <w:top w:val="single" w:sz="12" w:space="0" w:color="auto" w:shadow="1"/>
          <w:left w:val="single" w:sz="12" w:space="4" w:color="auto" w:shadow="1"/>
          <w:bottom w:val="single" w:sz="12" w:space="1" w:color="auto" w:shadow="1"/>
          <w:right w:val="single" w:sz="12" w:space="0" w:color="auto" w:shadow="1"/>
        </w:pBdr>
        <w:spacing w:after="0" w:line="240" w:lineRule="auto"/>
        <w:ind w:right="4490"/>
        <w:jc w:val="both"/>
        <w:rPr>
          <w:rFonts w:eastAsia="Times New Roman" w:cstheme="minorHAnsi"/>
          <w:lang w:val="de-CH" w:eastAsia="en-GB"/>
        </w:rPr>
      </w:pPr>
      <w:r w:rsidRPr="009C2848">
        <w:rPr>
          <w:rFonts w:eastAsia="Times New Roman" w:cstheme="minorHAnsi"/>
          <w:bCs/>
          <w:lang w:val="de-CH" w:eastAsia="en-GB"/>
        </w:rPr>
        <w:t xml:space="preserve">Gland, Switzerland, </w:t>
      </w:r>
      <w:r>
        <w:rPr>
          <w:rFonts w:eastAsia="Times New Roman" w:cstheme="minorHAnsi"/>
          <w:bCs/>
          <w:lang w:val="de-CH" w:eastAsia="en-GB"/>
        </w:rPr>
        <w:t>4</w:t>
      </w:r>
      <w:r w:rsidRPr="0039225B">
        <w:rPr>
          <w:rFonts w:eastAsia="Times New Roman" w:cstheme="minorHAnsi"/>
          <w:bCs/>
          <w:lang w:val="de-CH" w:eastAsia="en-GB"/>
        </w:rPr>
        <w:t>-</w:t>
      </w:r>
      <w:r>
        <w:rPr>
          <w:rFonts w:eastAsia="Times New Roman" w:cstheme="minorHAnsi"/>
          <w:bCs/>
          <w:lang w:val="de-CH" w:eastAsia="en-GB"/>
        </w:rPr>
        <w:t>8</w:t>
      </w:r>
      <w:r w:rsidRPr="0039225B">
        <w:rPr>
          <w:rFonts w:eastAsia="Times New Roman" w:cstheme="minorHAnsi"/>
          <w:bCs/>
          <w:lang w:val="de-CH" w:eastAsia="en-GB"/>
        </w:rPr>
        <w:t xml:space="preserve"> </w:t>
      </w:r>
      <w:r>
        <w:rPr>
          <w:rFonts w:eastAsia="Times New Roman" w:cstheme="minorHAnsi"/>
          <w:bCs/>
          <w:lang w:val="de-CH" w:eastAsia="en-GB"/>
        </w:rPr>
        <w:t>September</w:t>
      </w:r>
      <w:r w:rsidRPr="0039225B">
        <w:rPr>
          <w:rFonts w:eastAsia="Times New Roman" w:cstheme="minorHAnsi"/>
          <w:bCs/>
          <w:lang w:val="de-CH" w:eastAsia="en-GB"/>
        </w:rPr>
        <w:t xml:space="preserve"> 202</w:t>
      </w:r>
      <w:r>
        <w:rPr>
          <w:rFonts w:eastAsia="Times New Roman" w:cstheme="minorHAnsi"/>
          <w:bCs/>
          <w:lang w:val="de-CH" w:eastAsia="en-GB"/>
        </w:rPr>
        <w:t>3</w:t>
      </w:r>
    </w:p>
    <w:p w14:paraId="24BE10B1" w14:textId="77777777" w:rsidR="000B14C7" w:rsidRPr="002E77BF" w:rsidRDefault="000B14C7" w:rsidP="000B14C7">
      <w:pPr>
        <w:spacing w:after="0" w:line="240" w:lineRule="auto"/>
        <w:jc w:val="both"/>
        <w:rPr>
          <w:sz w:val="28"/>
          <w:lang w:val="de-CH"/>
        </w:rPr>
      </w:pPr>
    </w:p>
    <w:p w14:paraId="2A932C18" w14:textId="77777777" w:rsidR="000B14C7" w:rsidRPr="00A31E10" w:rsidRDefault="000B14C7" w:rsidP="00FC1EDB">
      <w:pPr>
        <w:spacing w:after="0" w:line="240" w:lineRule="auto"/>
        <w:jc w:val="right"/>
        <w:rPr>
          <w:rFonts w:eastAsia="Times New Roman" w:cstheme="minorHAnsi"/>
          <w:b/>
          <w:sz w:val="28"/>
          <w:szCs w:val="28"/>
          <w:lang w:val="de-CH" w:eastAsia="en-GB"/>
        </w:rPr>
      </w:pPr>
      <w:r w:rsidRPr="00A31E10">
        <w:rPr>
          <w:rFonts w:eastAsia="Times New Roman" w:cstheme="minorHAnsi"/>
          <w:b/>
          <w:sz w:val="28"/>
          <w:szCs w:val="28"/>
          <w:lang w:val="de-CH" w:eastAsia="en-GB"/>
        </w:rPr>
        <w:t>SC62 Doc.1</w:t>
      </w:r>
      <w:r>
        <w:rPr>
          <w:rFonts w:eastAsia="Times New Roman" w:cstheme="minorHAnsi"/>
          <w:b/>
          <w:sz w:val="28"/>
          <w:szCs w:val="28"/>
          <w:lang w:val="de-CH" w:eastAsia="en-GB"/>
        </w:rPr>
        <w:t>1</w:t>
      </w:r>
    </w:p>
    <w:p w14:paraId="6B0F6DBB" w14:textId="77777777" w:rsidR="000B14C7" w:rsidRPr="00A31E10" w:rsidRDefault="000B14C7" w:rsidP="00FC1EDB">
      <w:pPr>
        <w:spacing w:after="0" w:line="240" w:lineRule="auto"/>
        <w:jc w:val="right"/>
        <w:rPr>
          <w:rFonts w:eastAsia="Times New Roman" w:cstheme="minorHAnsi"/>
          <w:b/>
          <w:sz w:val="28"/>
          <w:szCs w:val="28"/>
          <w:lang w:val="de-CH" w:eastAsia="en-GB"/>
        </w:rPr>
      </w:pPr>
    </w:p>
    <w:p w14:paraId="49F1970B" w14:textId="77777777" w:rsidR="008B2F2F" w:rsidRPr="00EC0F71" w:rsidRDefault="008B2F2F" w:rsidP="00EC0F71">
      <w:pPr>
        <w:spacing w:after="0" w:line="240" w:lineRule="auto"/>
        <w:jc w:val="center"/>
        <w:rPr>
          <w:b/>
          <w:sz w:val="28"/>
        </w:rPr>
      </w:pPr>
      <w:r w:rsidRPr="00EC0F71">
        <w:rPr>
          <w:b/>
          <w:sz w:val="28"/>
        </w:rPr>
        <w:t>Secretariat report on institutional strengthening to support the implementation of the Convention</w:t>
      </w:r>
    </w:p>
    <w:p w14:paraId="543C616E" w14:textId="77777777" w:rsidR="000A143D" w:rsidRPr="009C2848" w:rsidRDefault="000A143D" w:rsidP="000A143D">
      <w:pPr>
        <w:autoSpaceDE w:val="0"/>
        <w:autoSpaceDN w:val="0"/>
        <w:adjustRightInd w:val="0"/>
        <w:spacing w:after="0" w:line="240" w:lineRule="auto"/>
        <w:ind w:left="357" w:hanging="357"/>
        <w:jc w:val="both"/>
        <w:rPr>
          <w:rFonts w:cstheme="minorHAnsi"/>
        </w:rPr>
      </w:pPr>
    </w:p>
    <w:p w14:paraId="2B728A09" w14:textId="77777777" w:rsidR="000A143D" w:rsidRPr="009C2848" w:rsidRDefault="000A143D" w:rsidP="000A143D">
      <w:pPr>
        <w:autoSpaceDE w:val="0"/>
        <w:autoSpaceDN w:val="0"/>
        <w:adjustRightInd w:val="0"/>
        <w:spacing w:after="0" w:line="240" w:lineRule="auto"/>
        <w:ind w:left="357" w:hanging="357"/>
        <w:jc w:val="both"/>
        <w:rPr>
          <w:rFonts w:cstheme="minorHAnsi"/>
          <w:b/>
          <w:bCs/>
        </w:rPr>
      </w:pPr>
    </w:p>
    <w:p w14:paraId="64264346" w14:textId="77777777" w:rsidR="000A143D" w:rsidRDefault="00C1768B" w:rsidP="00FC1EDB">
      <w:pPr>
        <w:spacing w:after="0" w:line="240" w:lineRule="auto"/>
        <w:rPr>
          <w:b/>
        </w:rPr>
      </w:pPr>
      <w:r w:rsidRPr="009C2848">
        <w:rPr>
          <w:rFonts w:eastAsia="Times New Roman" w:cstheme="minorHAnsi"/>
          <w:noProof/>
          <w:color w:val="2B579A"/>
          <w:shd w:val="clear" w:color="auto" w:fill="E6E6E6"/>
          <w:lang w:val="en-GB" w:eastAsia="en-GB"/>
        </w:rPr>
        <mc:AlternateContent>
          <mc:Choice Requires="wps">
            <w:drawing>
              <wp:inline distT="0" distB="0" distL="0" distR="0" wp14:anchorId="48B7451A" wp14:editId="39E2DAA0">
                <wp:extent cx="5731510" cy="3132667"/>
                <wp:effectExtent l="0" t="0" r="21590" b="1079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132667"/>
                        </a:xfrm>
                        <a:prstGeom prst="rect">
                          <a:avLst/>
                        </a:prstGeom>
                        <a:solidFill>
                          <a:srgbClr val="FFFFFF"/>
                        </a:solidFill>
                        <a:ln w="9525">
                          <a:solidFill>
                            <a:srgbClr val="000000"/>
                          </a:solidFill>
                          <a:miter lim="800000"/>
                          <a:headEnd/>
                          <a:tailEnd/>
                        </a:ln>
                      </wps:spPr>
                      <wps:txbx>
                        <w:txbxContent>
                          <w:p w14:paraId="1A9930D8" w14:textId="77777777" w:rsidR="00C1768B" w:rsidRDefault="00C1768B" w:rsidP="00FC1EDB">
                            <w:pPr>
                              <w:spacing w:after="0" w:line="240" w:lineRule="auto"/>
                              <w:rPr>
                                <w:rFonts w:ascii="Calibri" w:hAnsi="Calibri"/>
                                <w:b/>
                                <w:bCs/>
                              </w:rPr>
                            </w:pPr>
                            <w:r w:rsidRPr="00863119">
                              <w:rPr>
                                <w:rFonts w:ascii="Calibri" w:hAnsi="Calibri"/>
                                <w:b/>
                                <w:bCs/>
                              </w:rPr>
                              <w:t>Actions requested</w:t>
                            </w:r>
                            <w:r w:rsidR="00FC1EDB">
                              <w:rPr>
                                <w:rFonts w:ascii="Calibri" w:hAnsi="Calibri"/>
                                <w:b/>
                                <w:bCs/>
                              </w:rPr>
                              <w:t>:</w:t>
                            </w:r>
                          </w:p>
                          <w:p w14:paraId="01F3A072" w14:textId="77777777" w:rsidR="00C1768B" w:rsidRPr="00863119" w:rsidRDefault="00C1768B" w:rsidP="00FC1EDB">
                            <w:pPr>
                              <w:spacing w:after="0" w:line="240" w:lineRule="auto"/>
                              <w:rPr>
                                <w:rFonts w:ascii="Calibri" w:hAnsi="Calibri"/>
                                <w:b/>
                                <w:bCs/>
                              </w:rPr>
                            </w:pPr>
                          </w:p>
                          <w:p w14:paraId="7A5EDDF2" w14:textId="77777777" w:rsidR="00C1768B" w:rsidRDefault="00C1768B" w:rsidP="00FC1EDB">
                            <w:pPr>
                              <w:spacing w:after="0" w:line="240" w:lineRule="auto"/>
                            </w:pPr>
                            <w:r w:rsidRPr="00863119">
                              <w:t>The Standing Committee is invited to</w:t>
                            </w:r>
                            <w:r>
                              <w:t>:</w:t>
                            </w:r>
                          </w:p>
                          <w:p w14:paraId="24759763" w14:textId="77777777" w:rsidR="00C1768B" w:rsidRDefault="00C1768B" w:rsidP="00FC1EDB">
                            <w:pPr>
                              <w:spacing w:after="0" w:line="240" w:lineRule="auto"/>
                            </w:pPr>
                          </w:p>
                          <w:p w14:paraId="4E3D6EEE" w14:textId="431404FC" w:rsidR="00C1768B" w:rsidRDefault="00FC1EDB" w:rsidP="00FC1EDB">
                            <w:pPr>
                              <w:spacing w:after="0" w:line="240" w:lineRule="auto"/>
                              <w:ind w:left="426" w:hanging="426"/>
                            </w:pPr>
                            <w:r>
                              <w:t>i.</w:t>
                            </w:r>
                            <w:r>
                              <w:tab/>
                            </w:r>
                            <w:r w:rsidR="00C1768B">
                              <w:t>Take note of the Secretariat</w:t>
                            </w:r>
                            <w:r w:rsidR="008266A7">
                              <w:t>’s</w:t>
                            </w:r>
                            <w:r w:rsidR="00C1768B">
                              <w:t xml:space="preserve"> report on institutional strengthening to support the implementation of the Convention </w:t>
                            </w:r>
                            <w:r w:rsidR="00175507">
                              <w:t>i</w:t>
                            </w:r>
                            <w:r w:rsidR="00C1768B">
                              <w:t>n response to Resolution XIV.6</w:t>
                            </w:r>
                            <w:r w:rsidR="00175507">
                              <w:t>,</w:t>
                            </w:r>
                            <w:r w:rsidR="00C1768B">
                              <w:t xml:space="preserve"> paragraph 22</w:t>
                            </w:r>
                            <w:r w:rsidR="00CA2DB0">
                              <w:t>;</w:t>
                            </w:r>
                          </w:p>
                          <w:p w14:paraId="25D5829E" w14:textId="77777777" w:rsidR="00E46D77" w:rsidRDefault="00E46D77" w:rsidP="00FC1EDB">
                            <w:pPr>
                              <w:spacing w:after="0" w:line="240" w:lineRule="auto"/>
                              <w:ind w:left="426" w:hanging="426"/>
                            </w:pPr>
                          </w:p>
                          <w:p w14:paraId="0B00BF4B" w14:textId="209BA52D" w:rsidR="00183D4F" w:rsidRPr="00834ED4" w:rsidRDefault="00FC1EDB" w:rsidP="00FC1EDB">
                            <w:pPr>
                              <w:spacing w:after="0" w:line="240" w:lineRule="auto"/>
                              <w:ind w:left="426" w:hanging="426"/>
                            </w:pPr>
                            <w:r>
                              <w:t>ii.</w:t>
                            </w:r>
                            <w:r>
                              <w:tab/>
                            </w:r>
                            <w:r w:rsidR="00E46D77" w:rsidRPr="00834ED4">
                              <w:t xml:space="preserve">Take note of the recommendations </w:t>
                            </w:r>
                            <w:r w:rsidR="004C4201" w:rsidRPr="00834ED4">
                              <w:t xml:space="preserve">of </w:t>
                            </w:r>
                            <w:r w:rsidR="00E46D77" w:rsidRPr="00834ED4">
                              <w:t xml:space="preserve">the </w:t>
                            </w:r>
                            <w:r w:rsidR="00240909" w:rsidRPr="00834ED4">
                              <w:t>i</w:t>
                            </w:r>
                            <w:r w:rsidR="00E46D77" w:rsidRPr="00834ED4">
                              <w:t>nterested Contracting Parties</w:t>
                            </w:r>
                            <w:r w:rsidR="00834ED4" w:rsidRPr="00C51275">
                              <w:t xml:space="preserve"> and the Secretariat</w:t>
                            </w:r>
                            <w:r w:rsidR="004C4201" w:rsidRPr="00834ED4">
                              <w:t xml:space="preserve"> reflected </w:t>
                            </w:r>
                            <w:r w:rsidR="001C4E71" w:rsidRPr="00834ED4">
                              <w:t xml:space="preserve">in </w:t>
                            </w:r>
                            <w:r w:rsidR="00CE049B" w:rsidRPr="004F130C">
                              <w:t>Annex 2</w:t>
                            </w:r>
                            <w:r w:rsidR="00CA2DB0">
                              <w:t xml:space="preserve"> of the report;</w:t>
                            </w:r>
                          </w:p>
                          <w:p w14:paraId="36B75632" w14:textId="77777777" w:rsidR="00C1768B" w:rsidRDefault="00E46D77" w:rsidP="00FC1EDB">
                            <w:pPr>
                              <w:spacing w:after="0" w:line="240" w:lineRule="auto"/>
                              <w:ind w:left="426" w:hanging="426"/>
                            </w:pPr>
                            <w:r>
                              <w:t xml:space="preserve">  </w:t>
                            </w:r>
                          </w:p>
                          <w:p w14:paraId="32728D9D" w14:textId="6E06434E" w:rsidR="00C1768B" w:rsidRPr="00FC1EDB" w:rsidRDefault="00FC1EDB" w:rsidP="00FC1EDB">
                            <w:pPr>
                              <w:spacing w:after="0" w:line="240" w:lineRule="auto"/>
                              <w:ind w:left="426" w:hanging="426"/>
                              <w:rPr>
                                <w:rFonts w:cstheme="minorHAnsi"/>
                              </w:rPr>
                            </w:pPr>
                            <w:r>
                              <w:t>iii.</w:t>
                            </w:r>
                            <w:r>
                              <w:tab/>
                            </w:r>
                            <w:r w:rsidR="00C1768B">
                              <w:t>Establish a Working Group to lead the process to</w:t>
                            </w:r>
                            <w:r w:rsidR="00240909">
                              <w:t xml:space="preserve"> achieve organizational robustness to support</w:t>
                            </w:r>
                            <w:r w:rsidR="00C1768B">
                              <w:t xml:space="preserve"> </w:t>
                            </w:r>
                            <w:r w:rsidR="00C1768B" w:rsidRPr="00FC1EDB">
                              <w:rPr>
                                <w:rFonts w:cstheme="minorHAnsi"/>
                                <w:iCs/>
                              </w:rPr>
                              <w:t>the implementation of the Convention</w:t>
                            </w:r>
                            <w:r w:rsidR="00175507">
                              <w:rPr>
                                <w:rFonts w:cstheme="minorHAnsi"/>
                                <w:iCs/>
                              </w:rPr>
                              <w:t>,</w:t>
                            </w:r>
                            <w:r w:rsidR="00C1768B" w:rsidRPr="00FC1EDB">
                              <w:rPr>
                                <w:rFonts w:cstheme="minorHAnsi"/>
                                <w:iCs/>
                              </w:rPr>
                              <w:t xml:space="preserve"> </w:t>
                            </w:r>
                            <w:r w:rsidR="00C1768B">
                              <w:t xml:space="preserve">including the preparation of a draft </w:t>
                            </w:r>
                            <w:r w:rsidR="00175507">
                              <w:t>r</w:t>
                            </w:r>
                            <w:r w:rsidR="00C1768B">
                              <w:t>esolution f</w:t>
                            </w:r>
                            <w:r w:rsidR="00CA2DB0">
                              <w:t xml:space="preserve">or </w:t>
                            </w:r>
                            <w:r w:rsidR="00175507">
                              <w:t xml:space="preserve">the consideration of </w:t>
                            </w:r>
                            <w:r w:rsidR="00175507">
                              <w:rPr>
                                <w:rFonts w:cstheme="minorHAnsi"/>
                                <w:bCs/>
                              </w:rPr>
                              <w:t xml:space="preserve">the </w:t>
                            </w:r>
                            <w:r w:rsidR="00175507" w:rsidRPr="00FC1EDB">
                              <w:rPr>
                                <w:rFonts w:cstheme="minorHAnsi"/>
                                <w:bCs/>
                              </w:rPr>
                              <w:t xml:space="preserve">Standing Committee </w:t>
                            </w:r>
                            <w:r w:rsidR="00175507">
                              <w:rPr>
                                <w:rFonts w:cstheme="minorHAnsi"/>
                                <w:bCs/>
                              </w:rPr>
                              <w:t xml:space="preserve">at its </w:t>
                            </w:r>
                            <w:r w:rsidR="00175507" w:rsidRPr="00FC1EDB">
                              <w:rPr>
                                <w:rFonts w:cstheme="minorHAnsi"/>
                                <w:bCs/>
                              </w:rPr>
                              <w:t>63</w:t>
                            </w:r>
                            <w:r w:rsidR="00175507">
                              <w:rPr>
                                <w:rFonts w:cstheme="minorHAnsi"/>
                                <w:bCs/>
                              </w:rPr>
                              <w:t>rd meeting</w:t>
                            </w:r>
                            <w:r w:rsidR="00CA2DB0">
                              <w:t>; and</w:t>
                            </w:r>
                          </w:p>
                          <w:p w14:paraId="6FAF8484" w14:textId="77777777" w:rsidR="00C1768B" w:rsidRPr="00C1768B" w:rsidRDefault="00C1768B" w:rsidP="00FC1EDB">
                            <w:pPr>
                              <w:pStyle w:val="ListParagraph"/>
                              <w:spacing w:after="0" w:line="240" w:lineRule="auto"/>
                              <w:ind w:left="426" w:hanging="426"/>
                              <w:rPr>
                                <w:rFonts w:cstheme="minorHAnsi"/>
                              </w:rPr>
                            </w:pPr>
                          </w:p>
                          <w:p w14:paraId="3B7BBCE8" w14:textId="4F6461AC" w:rsidR="00C1768B" w:rsidRPr="00FC1EDB" w:rsidRDefault="00FC1EDB" w:rsidP="00FC1EDB">
                            <w:pPr>
                              <w:spacing w:after="0" w:line="240" w:lineRule="auto"/>
                              <w:ind w:left="426" w:hanging="426"/>
                              <w:rPr>
                                <w:rFonts w:cstheme="minorHAnsi"/>
                              </w:rPr>
                            </w:pPr>
                            <w:r>
                              <w:rPr>
                                <w:rFonts w:cstheme="minorHAnsi"/>
                                <w:bCs/>
                              </w:rPr>
                              <w:t>iv.</w:t>
                            </w:r>
                            <w:r>
                              <w:rPr>
                                <w:rFonts w:cstheme="minorHAnsi"/>
                                <w:bCs/>
                              </w:rPr>
                              <w:tab/>
                            </w:r>
                            <w:r w:rsidR="00C1768B" w:rsidRPr="00FC1EDB">
                              <w:rPr>
                                <w:rFonts w:cstheme="minorHAnsi"/>
                                <w:bCs/>
                              </w:rPr>
                              <w:t xml:space="preserve">Request the Management Working Group to </w:t>
                            </w:r>
                            <w:r w:rsidR="00CA2DB0">
                              <w:rPr>
                                <w:rFonts w:cstheme="minorHAnsi"/>
                                <w:bCs/>
                              </w:rPr>
                              <w:t>prepare</w:t>
                            </w:r>
                            <w:r w:rsidR="00C1768B" w:rsidRPr="00FC1EDB">
                              <w:rPr>
                                <w:rFonts w:cstheme="minorHAnsi"/>
                                <w:bCs/>
                              </w:rPr>
                              <w:t xml:space="preserve"> a </w:t>
                            </w:r>
                            <w:r w:rsidR="00CA2DB0">
                              <w:rPr>
                                <w:rFonts w:cstheme="minorHAnsi"/>
                                <w:bCs/>
                              </w:rPr>
                              <w:t xml:space="preserve">draft </w:t>
                            </w:r>
                            <w:r w:rsidR="00C1768B" w:rsidRPr="00FC1EDB">
                              <w:rPr>
                                <w:rFonts w:cstheme="minorHAnsi"/>
                                <w:bCs/>
                              </w:rPr>
                              <w:t xml:space="preserve">resolution that </w:t>
                            </w:r>
                            <w:r w:rsidR="00A218CB" w:rsidRPr="00FC1EDB">
                              <w:rPr>
                                <w:rFonts w:cstheme="minorHAnsi"/>
                                <w:bCs/>
                              </w:rPr>
                              <w:t>establish</w:t>
                            </w:r>
                            <w:r w:rsidR="00E9328B" w:rsidRPr="00FC1EDB">
                              <w:rPr>
                                <w:rFonts w:cstheme="minorHAnsi"/>
                                <w:bCs/>
                              </w:rPr>
                              <w:t>es</w:t>
                            </w:r>
                            <w:r w:rsidR="00C71CD8" w:rsidRPr="00FC1EDB">
                              <w:rPr>
                                <w:rFonts w:cstheme="minorHAnsi"/>
                                <w:bCs/>
                              </w:rPr>
                              <w:t xml:space="preserve"> </w:t>
                            </w:r>
                            <w:r w:rsidR="00A218CB" w:rsidRPr="00FC1EDB">
                              <w:rPr>
                                <w:rFonts w:cstheme="minorHAnsi"/>
                                <w:bCs/>
                              </w:rPr>
                              <w:t>the</w:t>
                            </w:r>
                            <w:r w:rsidR="00C1768B" w:rsidRPr="00FC1EDB">
                              <w:rPr>
                                <w:rFonts w:cstheme="minorHAnsi"/>
                                <w:bCs/>
                              </w:rPr>
                              <w:t xml:space="preserve"> process for recruiting a new Secretary General to respond to Decision SC59-40</w:t>
                            </w:r>
                            <w:r w:rsidR="00CA2DB0">
                              <w:rPr>
                                <w:rFonts w:cstheme="minorHAnsi"/>
                                <w:bCs/>
                              </w:rPr>
                              <w:t>,</w:t>
                            </w:r>
                            <w:r w:rsidR="00C1768B" w:rsidRPr="00FC1EDB">
                              <w:rPr>
                                <w:rFonts w:cstheme="minorHAnsi"/>
                                <w:bCs/>
                              </w:rPr>
                              <w:t xml:space="preserve"> for </w:t>
                            </w:r>
                            <w:r w:rsidR="00CA2DB0">
                              <w:rPr>
                                <w:rFonts w:cstheme="minorHAnsi"/>
                                <w:bCs/>
                              </w:rPr>
                              <w:t>consideration by</w:t>
                            </w:r>
                            <w:r w:rsidR="00175507">
                              <w:rPr>
                                <w:rFonts w:cstheme="minorHAnsi"/>
                                <w:bCs/>
                              </w:rPr>
                              <w:t xml:space="preserve"> the Standing Committee at SC63</w:t>
                            </w:r>
                            <w:r w:rsidR="00C1768B" w:rsidRPr="00FC1EDB">
                              <w:rPr>
                                <w:rFonts w:cstheme="minorHAnsi"/>
                                <w:bCs/>
                              </w:rPr>
                              <w:t>.</w:t>
                            </w:r>
                          </w:p>
                        </w:txbxContent>
                      </wps:txbx>
                      <wps:bodyPr rot="0" vert="horz" wrap="square" lIns="91440" tIns="45720" rIns="91440" bIns="45720" anchor="t" anchorCtr="0" upright="1">
                        <a:noAutofit/>
                      </wps:bodyPr>
                    </wps:wsp>
                  </a:graphicData>
                </a:graphic>
              </wp:inline>
            </w:drawing>
          </mc:Choice>
          <mc:Fallback>
            <w:pict>
              <v:shapetype w14:anchorId="48B7451A" id="_x0000_t202" coordsize="21600,21600" o:spt="202" path="m,l,21600r21600,l21600,xe">
                <v:stroke joinstyle="miter"/>
                <v:path gradientshapeok="t" o:connecttype="rect"/>
              </v:shapetype>
              <v:shape id="Text Box 1" o:spid="_x0000_s1026" type="#_x0000_t202" style="width:451.3pt;height:2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">
                <v:textbox>
                  <w:txbxContent>
                    <w:p w14:paraId="1A9930D8" w14:textId="77777777" w:rsidR="00C1768B" w:rsidRDefault="00C1768B" w:rsidP="00FC1EDB">
                      <w:pPr>
                        <w:spacing w:after="0" w:line="240" w:lineRule="auto"/>
                        <w:rPr>
                          <w:rFonts w:ascii="Calibri" w:hAnsi="Calibri"/>
                          <w:b/>
                          <w:bCs/>
                        </w:rPr>
                      </w:pPr>
                      <w:r w:rsidRPr="00863119">
                        <w:rPr>
                          <w:rFonts w:ascii="Calibri" w:hAnsi="Calibri"/>
                          <w:b/>
                          <w:bCs/>
                        </w:rPr>
                        <w:t>Actions requested</w:t>
                      </w:r>
                      <w:r w:rsidR="00FC1EDB">
                        <w:rPr>
                          <w:rFonts w:ascii="Calibri" w:hAnsi="Calibri"/>
                          <w:b/>
                          <w:bCs/>
                        </w:rPr>
                        <w:t>:</w:t>
                      </w:r>
                    </w:p>
                    <w:p w14:paraId="01F3A072" w14:textId="77777777" w:rsidR="00C1768B" w:rsidRPr="00863119" w:rsidRDefault="00C1768B" w:rsidP="00FC1EDB">
                      <w:pPr>
                        <w:spacing w:after="0" w:line="240" w:lineRule="auto"/>
                        <w:rPr>
                          <w:rFonts w:ascii="Calibri" w:hAnsi="Calibri"/>
                          <w:b/>
                          <w:bCs/>
                        </w:rPr>
                      </w:pPr>
                    </w:p>
                    <w:p w14:paraId="7A5EDDF2" w14:textId="77777777" w:rsidR="00C1768B" w:rsidRDefault="00C1768B" w:rsidP="00FC1EDB">
                      <w:pPr>
                        <w:spacing w:after="0" w:line="240" w:lineRule="auto"/>
                      </w:pPr>
                      <w:r w:rsidRPr="00863119">
                        <w:t>The Standing Committee is invited to</w:t>
                      </w:r>
                      <w:r>
                        <w:t>:</w:t>
                      </w:r>
                    </w:p>
                    <w:p w14:paraId="24759763" w14:textId="77777777" w:rsidR="00C1768B" w:rsidRDefault="00C1768B" w:rsidP="00FC1EDB">
                      <w:pPr>
                        <w:spacing w:after="0" w:line="240" w:lineRule="auto"/>
                      </w:pPr>
                    </w:p>
                    <w:p w14:paraId="4E3D6EEE" w14:textId="431404FC" w:rsidR="00C1768B" w:rsidRDefault="00FC1EDB" w:rsidP="00FC1EDB">
                      <w:pPr>
                        <w:spacing w:after="0" w:line="240" w:lineRule="auto"/>
                        <w:ind w:left="426" w:hanging="426"/>
                      </w:pPr>
                      <w:r>
                        <w:t>i.</w:t>
                      </w:r>
                      <w:r>
                        <w:tab/>
                      </w:r>
                      <w:r w:rsidR="00C1768B">
                        <w:t>Take note of the Secretariat</w:t>
                      </w:r>
                      <w:r w:rsidR="008266A7">
                        <w:t>’s</w:t>
                      </w:r>
                      <w:r w:rsidR="00C1768B">
                        <w:t xml:space="preserve"> report on institutional strengthening to support the implementation of the Convention </w:t>
                      </w:r>
                      <w:r w:rsidR="00175507">
                        <w:t>i</w:t>
                      </w:r>
                      <w:r w:rsidR="00C1768B">
                        <w:t>n response to Resolution XIV.6</w:t>
                      </w:r>
                      <w:r w:rsidR="00175507">
                        <w:t>,</w:t>
                      </w:r>
                      <w:r w:rsidR="00C1768B">
                        <w:t xml:space="preserve"> paragraph 22</w:t>
                      </w:r>
                      <w:r w:rsidR="00CA2DB0">
                        <w:t>;</w:t>
                      </w:r>
                    </w:p>
                    <w:p w14:paraId="25D5829E" w14:textId="77777777" w:rsidR="00E46D77" w:rsidRDefault="00E46D77" w:rsidP="00FC1EDB">
                      <w:pPr>
                        <w:spacing w:after="0" w:line="240" w:lineRule="auto"/>
                        <w:ind w:left="426" w:hanging="426"/>
                      </w:pPr>
                    </w:p>
                    <w:p w14:paraId="0B00BF4B" w14:textId="209BA52D" w:rsidR="00183D4F" w:rsidRPr="00834ED4" w:rsidRDefault="00FC1EDB" w:rsidP="00FC1EDB">
                      <w:pPr>
                        <w:spacing w:after="0" w:line="240" w:lineRule="auto"/>
                        <w:ind w:left="426" w:hanging="426"/>
                      </w:pPr>
                      <w:r>
                        <w:t>ii.</w:t>
                      </w:r>
                      <w:r>
                        <w:tab/>
                      </w:r>
                      <w:r w:rsidR="00E46D77" w:rsidRPr="00834ED4">
                        <w:t xml:space="preserve">Take note of the recommendations </w:t>
                      </w:r>
                      <w:r w:rsidR="004C4201" w:rsidRPr="00834ED4">
                        <w:t xml:space="preserve">of </w:t>
                      </w:r>
                      <w:r w:rsidR="00E46D77" w:rsidRPr="00834ED4">
                        <w:t xml:space="preserve">the </w:t>
                      </w:r>
                      <w:r w:rsidR="00240909" w:rsidRPr="00834ED4">
                        <w:t>i</w:t>
                      </w:r>
                      <w:r w:rsidR="00E46D77" w:rsidRPr="00834ED4">
                        <w:t>nterested Contracting Parties</w:t>
                      </w:r>
                      <w:r w:rsidR="00834ED4" w:rsidRPr="00C51275">
                        <w:t xml:space="preserve"> and the Secretariat</w:t>
                      </w:r>
                      <w:r w:rsidR="004C4201" w:rsidRPr="00834ED4">
                        <w:t xml:space="preserve"> reflected </w:t>
                      </w:r>
                      <w:r w:rsidR="001C4E71" w:rsidRPr="00834ED4">
                        <w:t xml:space="preserve">in </w:t>
                      </w:r>
                      <w:r w:rsidR="00CE049B" w:rsidRPr="004F130C">
                        <w:t>Annex 2</w:t>
                      </w:r>
                      <w:r w:rsidR="00CA2DB0">
                        <w:t xml:space="preserve"> of the report;</w:t>
                      </w:r>
                    </w:p>
                    <w:p w14:paraId="36B75632" w14:textId="77777777" w:rsidR="00C1768B" w:rsidRDefault="00E46D77" w:rsidP="00FC1EDB">
                      <w:pPr>
                        <w:spacing w:after="0" w:line="240" w:lineRule="auto"/>
                        <w:ind w:left="426" w:hanging="426"/>
                      </w:pPr>
                      <w:r>
                        <w:t xml:space="preserve">  </w:t>
                      </w:r>
                    </w:p>
                    <w:p w14:paraId="32728D9D" w14:textId="6E06434E" w:rsidR="00C1768B" w:rsidRPr="00FC1EDB" w:rsidRDefault="00FC1EDB" w:rsidP="00FC1EDB">
                      <w:pPr>
                        <w:spacing w:after="0" w:line="240" w:lineRule="auto"/>
                        <w:ind w:left="426" w:hanging="426"/>
                        <w:rPr>
                          <w:rFonts w:cstheme="minorHAnsi"/>
                        </w:rPr>
                      </w:pPr>
                      <w:r>
                        <w:t>iii.</w:t>
                      </w:r>
                      <w:r>
                        <w:tab/>
                      </w:r>
                      <w:r w:rsidR="00C1768B">
                        <w:t>Establish a Working Group to lead the process to</w:t>
                      </w:r>
                      <w:r w:rsidR="00240909">
                        <w:t xml:space="preserve"> achieve organizational robustness to support</w:t>
                      </w:r>
                      <w:r w:rsidR="00C1768B">
                        <w:t xml:space="preserve"> </w:t>
                      </w:r>
                      <w:r w:rsidR="00C1768B" w:rsidRPr="00FC1EDB">
                        <w:rPr>
                          <w:rFonts w:cstheme="minorHAnsi"/>
                          <w:iCs/>
                        </w:rPr>
                        <w:t>the implementation of the Convention</w:t>
                      </w:r>
                      <w:r w:rsidR="00175507">
                        <w:rPr>
                          <w:rFonts w:cstheme="minorHAnsi"/>
                          <w:iCs/>
                        </w:rPr>
                        <w:t>,</w:t>
                      </w:r>
                      <w:r w:rsidR="00C1768B" w:rsidRPr="00FC1EDB">
                        <w:rPr>
                          <w:rFonts w:cstheme="minorHAnsi"/>
                          <w:iCs/>
                        </w:rPr>
                        <w:t xml:space="preserve"> </w:t>
                      </w:r>
                      <w:r w:rsidR="00C1768B">
                        <w:t xml:space="preserve">including the preparation of a draft </w:t>
                      </w:r>
                      <w:r w:rsidR="00175507">
                        <w:t>r</w:t>
                      </w:r>
                      <w:r w:rsidR="00C1768B">
                        <w:t>esolution f</w:t>
                      </w:r>
                      <w:r w:rsidR="00CA2DB0">
                        <w:t xml:space="preserve">or </w:t>
                      </w:r>
                      <w:r w:rsidR="00175507">
                        <w:t xml:space="preserve">the consideration of </w:t>
                      </w:r>
                      <w:r w:rsidR="00175507">
                        <w:rPr>
                          <w:rFonts w:cstheme="minorHAnsi"/>
                          <w:bCs/>
                        </w:rPr>
                        <w:t xml:space="preserve">the </w:t>
                      </w:r>
                      <w:r w:rsidR="00175507" w:rsidRPr="00FC1EDB">
                        <w:rPr>
                          <w:rFonts w:cstheme="minorHAnsi"/>
                          <w:bCs/>
                        </w:rPr>
                        <w:t xml:space="preserve">Standing Committee </w:t>
                      </w:r>
                      <w:r w:rsidR="00175507">
                        <w:rPr>
                          <w:rFonts w:cstheme="minorHAnsi"/>
                          <w:bCs/>
                        </w:rPr>
                        <w:t xml:space="preserve">at its </w:t>
                      </w:r>
                      <w:r w:rsidR="00175507" w:rsidRPr="00FC1EDB">
                        <w:rPr>
                          <w:rFonts w:cstheme="minorHAnsi"/>
                          <w:bCs/>
                        </w:rPr>
                        <w:t>63</w:t>
                      </w:r>
                      <w:r w:rsidR="00175507">
                        <w:rPr>
                          <w:rFonts w:cstheme="minorHAnsi"/>
                          <w:bCs/>
                        </w:rPr>
                        <w:t>rd meeting</w:t>
                      </w:r>
                      <w:r w:rsidR="00CA2DB0">
                        <w:t>; and</w:t>
                      </w:r>
                    </w:p>
                    <w:p w14:paraId="6FAF8484" w14:textId="77777777" w:rsidR="00C1768B" w:rsidRPr="00C1768B" w:rsidRDefault="00C1768B" w:rsidP="00FC1EDB">
                      <w:pPr>
                        <w:pStyle w:val="ListParagraph"/>
                        <w:spacing w:after="0" w:line="240" w:lineRule="auto"/>
                        <w:ind w:left="426" w:hanging="426"/>
                        <w:rPr>
                          <w:rFonts w:cstheme="minorHAnsi"/>
                        </w:rPr>
                      </w:pPr>
                    </w:p>
                    <w:p w14:paraId="3B7BBCE8" w14:textId="4F6461AC" w:rsidR="00C1768B" w:rsidRPr="00FC1EDB" w:rsidRDefault="00FC1EDB" w:rsidP="00FC1EDB">
                      <w:pPr>
                        <w:spacing w:after="0" w:line="240" w:lineRule="auto"/>
                        <w:ind w:left="426" w:hanging="426"/>
                        <w:rPr>
                          <w:rFonts w:cstheme="minorHAnsi"/>
                        </w:rPr>
                      </w:pPr>
                      <w:r>
                        <w:rPr>
                          <w:rFonts w:cstheme="minorHAnsi"/>
                          <w:bCs/>
                        </w:rPr>
                        <w:t>iv.</w:t>
                      </w:r>
                      <w:r>
                        <w:rPr>
                          <w:rFonts w:cstheme="minorHAnsi"/>
                          <w:bCs/>
                        </w:rPr>
                        <w:tab/>
                      </w:r>
                      <w:r w:rsidR="00C1768B" w:rsidRPr="00FC1EDB">
                        <w:rPr>
                          <w:rFonts w:cstheme="minorHAnsi"/>
                          <w:bCs/>
                        </w:rPr>
                        <w:t xml:space="preserve">Request the Management Working Group to </w:t>
                      </w:r>
                      <w:r w:rsidR="00CA2DB0">
                        <w:rPr>
                          <w:rFonts w:cstheme="minorHAnsi"/>
                          <w:bCs/>
                        </w:rPr>
                        <w:t>prepare</w:t>
                      </w:r>
                      <w:r w:rsidR="00C1768B" w:rsidRPr="00FC1EDB">
                        <w:rPr>
                          <w:rFonts w:cstheme="minorHAnsi"/>
                          <w:bCs/>
                        </w:rPr>
                        <w:t xml:space="preserve"> a </w:t>
                      </w:r>
                      <w:r w:rsidR="00CA2DB0">
                        <w:rPr>
                          <w:rFonts w:cstheme="minorHAnsi"/>
                          <w:bCs/>
                        </w:rPr>
                        <w:t xml:space="preserve">draft </w:t>
                      </w:r>
                      <w:r w:rsidR="00C1768B" w:rsidRPr="00FC1EDB">
                        <w:rPr>
                          <w:rFonts w:cstheme="minorHAnsi"/>
                          <w:bCs/>
                        </w:rPr>
                        <w:t xml:space="preserve">resolution that </w:t>
                      </w:r>
                      <w:r w:rsidR="00A218CB" w:rsidRPr="00FC1EDB">
                        <w:rPr>
                          <w:rFonts w:cstheme="minorHAnsi"/>
                          <w:bCs/>
                        </w:rPr>
                        <w:t>establish</w:t>
                      </w:r>
                      <w:r w:rsidR="00E9328B" w:rsidRPr="00FC1EDB">
                        <w:rPr>
                          <w:rFonts w:cstheme="minorHAnsi"/>
                          <w:bCs/>
                        </w:rPr>
                        <w:t>es</w:t>
                      </w:r>
                      <w:r w:rsidR="00C71CD8" w:rsidRPr="00FC1EDB">
                        <w:rPr>
                          <w:rFonts w:cstheme="minorHAnsi"/>
                          <w:bCs/>
                        </w:rPr>
                        <w:t xml:space="preserve"> </w:t>
                      </w:r>
                      <w:r w:rsidR="00A218CB" w:rsidRPr="00FC1EDB">
                        <w:rPr>
                          <w:rFonts w:cstheme="minorHAnsi"/>
                          <w:bCs/>
                        </w:rPr>
                        <w:t>the</w:t>
                      </w:r>
                      <w:r w:rsidR="00C1768B" w:rsidRPr="00FC1EDB">
                        <w:rPr>
                          <w:rFonts w:cstheme="minorHAnsi"/>
                          <w:bCs/>
                        </w:rPr>
                        <w:t xml:space="preserve"> process for recruiting a new Secretary General to respond to Decision SC59-40</w:t>
                      </w:r>
                      <w:r w:rsidR="00CA2DB0">
                        <w:rPr>
                          <w:rFonts w:cstheme="minorHAnsi"/>
                          <w:bCs/>
                        </w:rPr>
                        <w:t>,</w:t>
                      </w:r>
                      <w:r w:rsidR="00C1768B" w:rsidRPr="00FC1EDB">
                        <w:rPr>
                          <w:rFonts w:cstheme="minorHAnsi"/>
                          <w:bCs/>
                        </w:rPr>
                        <w:t xml:space="preserve"> for </w:t>
                      </w:r>
                      <w:r w:rsidR="00CA2DB0">
                        <w:rPr>
                          <w:rFonts w:cstheme="minorHAnsi"/>
                          <w:bCs/>
                        </w:rPr>
                        <w:t>consideration by</w:t>
                      </w:r>
                      <w:r w:rsidR="00175507">
                        <w:rPr>
                          <w:rFonts w:cstheme="minorHAnsi"/>
                          <w:bCs/>
                        </w:rPr>
                        <w:t xml:space="preserve"> the Standing Committee at SC63</w:t>
                      </w:r>
                      <w:r w:rsidR="00C1768B" w:rsidRPr="00FC1EDB">
                        <w:rPr>
                          <w:rFonts w:cstheme="minorHAnsi"/>
                          <w:bCs/>
                        </w:rPr>
                        <w:t>.</w:t>
                      </w:r>
                    </w:p>
                  </w:txbxContent>
                </v:textbox>
                <w10:anchorlock/>
              </v:shape>
            </w:pict>
          </mc:Fallback>
        </mc:AlternateContent>
      </w:r>
    </w:p>
    <w:p w14:paraId="2AEFC3A0" w14:textId="77777777" w:rsidR="00FC1EDB" w:rsidRDefault="00FC1EDB" w:rsidP="00FC1EDB">
      <w:pPr>
        <w:spacing w:after="0" w:line="240" w:lineRule="auto"/>
        <w:rPr>
          <w:b/>
          <w:bCs/>
        </w:rPr>
      </w:pPr>
    </w:p>
    <w:p w14:paraId="4B3099E1" w14:textId="77777777" w:rsidR="00FC1EDB" w:rsidRDefault="00FC1EDB" w:rsidP="00FC1EDB">
      <w:pPr>
        <w:spacing w:after="0" w:line="240" w:lineRule="auto"/>
        <w:rPr>
          <w:b/>
          <w:bCs/>
        </w:rPr>
      </w:pPr>
    </w:p>
    <w:p w14:paraId="228C34E4" w14:textId="77777777" w:rsidR="00B407BB" w:rsidRPr="00FC1EDB" w:rsidRDefault="00B407BB" w:rsidP="00EC0F71">
      <w:pPr>
        <w:spacing w:after="0" w:line="240" w:lineRule="auto"/>
        <w:rPr>
          <w:b/>
          <w:bCs/>
        </w:rPr>
      </w:pPr>
      <w:r w:rsidRPr="00FC1EDB">
        <w:rPr>
          <w:b/>
          <w:bCs/>
        </w:rPr>
        <w:t xml:space="preserve">Background </w:t>
      </w:r>
    </w:p>
    <w:p w14:paraId="77D5D4BC" w14:textId="77777777" w:rsidR="00FC1EDB" w:rsidRDefault="00FC1EDB" w:rsidP="00FC1EDB">
      <w:pPr>
        <w:pStyle w:val="ColorfulList-Accent11"/>
        <w:ind w:left="426" w:hanging="426"/>
        <w:contextualSpacing w:val="0"/>
        <w:rPr>
          <w:rFonts w:asciiTheme="minorHAnsi" w:hAnsiTheme="minorHAnsi" w:cstheme="minorHAnsi"/>
        </w:rPr>
      </w:pPr>
    </w:p>
    <w:p w14:paraId="614F1C31" w14:textId="77777777" w:rsidR="00B407BB" w:rsidRPr="00FC1EDB" w:rsidRDefault="00FC1EDB" w:rsidP="00EC0F71">
      <w:pPr>
        <w:pStyle w:val="ColorfulList-Accent11"/>
        <w:ind w:left="426" w:hanging="426"/>
        <w:contextualSpacing w:val="0"/>
        <w:rPr>
          <w:rFonts w:asciiTheme="minorHAnsi" w:hAnsiTheme="minorHAnsi" w:cstheme="minorHAnsi"/>
        </w:rPr>
      </w:pPr>
      <w:r w:rsidRPr="00FC1EDB">
        <w:rPr>
          <w:rFonts w:asciiTheme="minorHAnsi" w:hAnsiTheme="minorHAnsi" w:cstheme="minorHAnsi"/>
        </w:rPr>
        <w:t>1.</w:t>
      </w:r>
      <w:r w:rsidRPr="00FC1EDB">
        <w:rPr>
          <w:rFonts w:asciiTheme="minorHAnsi" w:hAnsiTheme="minorHAnsi" w:cstheme="minorHAnsi"/>
        </w:rPr>
        <w:tab/>
      </w:r>
      <w:r w:rsidR="00B407BB" w:rsidRPr="00FC1EDB">
        <w:rPr>
          <w:rFonts w:asciiTheme="minorHAnsi" w:hAnsiTheme="minorHAnsi" w:cstheme="minorHAnsi"/>
        </w:rPr>
        <w:t>In Decision SC55-12, the Standing Committee instructed the Secretariat, with support from an informal group of interested Contracting Parties, to bring forward a structured proposal regarding the possibility of the Convention obtaining observer status at the United Nations General Assembly, taking into account the various options, for consideration at its 57th meeting (SC57).</w:t>
      </w:r>
    </w:p>
    <w:p w14:paraId="32F97338" w14:textId="77777777" w:rsidR="00B407BB" w:rsidRPr="00FC1EDB" w:rsidRDefault="00B407BB" w:rsidP="00EC0F71">
      <w:pPr>
        <w:spacing w:after="0" w:line="240" w:lineRule="auto"/>
        <w:ind w:left="426" w:hanging="426"/>
        <w:rPr>
          <w:rFonts w:cstheme="minorHAnsi"/>
        </w:rPr>
      </w:pPr>
    </w:p>
    <w:p w14:paraId="26C60902" w14:textId="0AEF230D" w:rsidR="00B407BB" w:rsidRPr="00FC1EDB" w:rsidRDefault="00FC1EDB" w:rsidP="00EC0F71">
      <w:pPr>
        <w:spacing w:after="0" w:line="240" w:lineRule="auto"/>
        <w:ind w:left="426" w:hanging="426"/>
        <w:rPr>
          <w:rFonts w:cstheme="minorHAnsi"/>
        </w:rPr>
      </w:pPr>
      <w:r w:rsidRPr="00FC1EDB">
        <w:rPr>
          <w:rFonts w:cstheme="minorHAnsi"/>
        </w:rPr>
        <w:t>2.</w:t>
      </w:r>
      <w:r w:rsidRPr="00FC1EDB">
        <w:rPr>
          <w:rFonts w:cstheme="minorHAnsi"/>
        </w:rPr>
        <w:tab/>
      </w:r>
      <w:r w:rsidR="00B407BB" w:rsidRPr="00FC1EDB">
        <w:rPr>
          <w:rFonts w:cstheme="minorHAnsi"/>
        </w:rPr>
        <w:t xml:space="preserve">The report of </w:t>
      </w:r>
      <w:r w:rsidR="00B407BB" w:rsidRPr="00FC1EDB">
        <w:rPr>
          <w:rFonts w:cstheme="minorHAnsi"/>
          <w:bCs/>
        </w:rPr>
        <w:t xml:space="preserve">the informal group of interested </w:t>
      </w:r>
      <w:r w:rsidR="00B407BB" w:rsidRPr="00FC1EDB">
        <w:rPr>
          <w:rFonts w:ascii="Calibri" w:hAnsi="Calibri" w:cs="Calibri"/>
          <w:bCs/>
          <w:iCs/>
        </w:rPr>
        <w:t>Contracting Parties</w:t>
      </w:r>
      <w:r w:rsidR="00B407BB" w:rsidRPr="00FC1EDB">
        <w:rPr>
          <w:rFonts w:cstheme="minorHAnsi"/>
          <w:bCs/>
        </w:rPr>
        <w:t xml:space="preserve"> to SC57 on observer status in the United Nations bodies noted s</w:t>
      </w:r>
      <w:r w:rsidR="00B407BB" w:rsidRPr="00FC1EDB">
        <w:rPr>
          <w:rFonts w:cstheme="minorHAnsi"/>
        </w:rPr>
        <w:t xml:space="preserve">ome limitations experienced by the Secretariat due to </w:t>
      </w:r>
      <w:r w:rsidR="00240909" w:rsidRPr="00FC1EDB">
        <w:rPr>
          <w:rFonts w:cstheme="minorHAnsi"/>
        </w:rPr>
        <w:t xml:space="preserve">it not having </w:t>
      </w:r>
      <w:r w:rsidR="00CA2DB0">
        <w:rPr>
          <w:rFonts w:cstheme="minorHAnsi"/>
        </w:rPr>
        <w:t>legal personality, such as:</w:t>
      </w:r>
    </w:p>
    <w:p w14:paraId="16544727" w14:textId="77777777" w:rsidR="00A218CB" w:rsidRPr="00FC1EDB" w:rsidRDefault="00A218CB" w:rsidP="00EC0F71">
      <w:pPr>
        <w:pStyle w:val="ListParagraph"/>
        <w:spacing w:after="0" w:line="240" w:lineRule="auto"/>
        <w:rPr>
          <w:rFonts w:cstheme="minorHAnsi"/>
        </w:rPr>
      </w:pPr>
    </w:p>
    <w:p w14:paraId="3A3A6A33" w14:textId="13206871" w:rsidR="00B407BB" w:rsidRPr="00FC1EDB" w:rsidRDefault="00FC1EDB" w:rsidP="00EC0F71">
      <w:pPr>
        <w:spacing w:after="0" w:line="240" w:lineRule="auto"/>
        <w:ind w:left="851" w:hanging="425"/>
        <w:rPr>
          <w:rFonts w:cstheme="minorHAnsi"/>
        </w:rPr>
      </w:pPr>
      <w:r w:rsidRPr="00FC1EDB">
        <w:rPr>
          <w:rFonts w:cstheme="minorHAnsi"/>
        </w:rPr>
        <w:t>a.</w:t>
      </w:r>
      <w:r w:rsidRPr="00FC1EDB">
        <w:rPr>
          <w:rFonts w:cstheme="minorHAnsi"/>
        </w:rPr>
        <w:tab/>
      </w:r>
      <w:r w:rsidR="00CA2DB0">
        <w:rPr>
          <w:rFonts w:cstheme="minorHAnsi"/>
        </w:rPr>
        <w:t>l</w:t>
      </w:r>
      <w:r w:rsidR="00240909" w:rsidRPr="00FC1EDB">
        <w:rPr>
          <w:rFonts w:cstheme="minorHAnsi"/>
        </w:rPr>
        <w:t>imited v</w:t>
      </w:r>
      <w:r w:rsidR="00B407BB" w:rsidRPr="00FC1EDB">
        <w:rPr>
          <w:rFonts w:cstheme="minorHAnsi"/>
        </w:rPr>
        <w:t>isibility of the Convention in UN processes and meetings;</w:t>
      </w:r>
    </w:p>
    <w:p w14:paraId="6E0907DB" w14:textId="5D536BCD" w:rsidR="00B407BB" w:rsidRPr="00FC1EDB" w:rsidRDefault="00FC1EDB" w:rsidP="00EC0F71">
      <w:pPr>
        <w:spacing w:after="0" w:line="240" w:lineRule="auto"/>
        <w:ind w:left="851" w:hanging="425"/>
        <w:rPr>
          <w:rFonts w:cstheme="minorHAnsi"/>
        </w:rPr>
      </w:pPr>
      <w:r w:rsidRPr="00FC1EDB">
        <w:rPr>
          <w:rFonts w:cstheme="minorHAnsi"/>
        </w:rPr>
        <w:t>b.</w:t>
      </w:r>
      <w:r w:rsidRPr="00FC1EDB">
        <w:rPr>
          <w:rFonts w:cstheme="minorHAnsi"/>
        </w:rPr>
        <w:tab/>
      </w:r>
      <w:r w:rsidR="00CA2DB0">
        <w:rPr>
          <w:rFonts w:cstheme="minorHAnsi"/>
        </w:rPr>
        <w:t>d</w:t>
      </w:r>
      <w:r w:rsidR="00B407BB" w:rsidRPr="00FC1EDB">
        <w:rPr>
          <w:rFonts w:cstheme="minorHAnsi"/>
        </w:rPr>
        <w:t xml:space="preserve">ifficulties in the management of projects, in particular when donors request </w:t>
      </w:r>
      <w:r w:rsidR="00175507">
        <w:rPr>
          <w:rFonts w:cstheme="minorHAnsi"/>
        </w:rPr>
        <w:t xml:space="preserve">that </w:t>
      </w:r>
      <w:r w:rsidR="00B407BB" w:rsidRPr="00FC1EDB">
        <w:rPr>
          <w:rFonts w:cstheme="minorHAnsi"/>
        </w:rPr>
        <w:t>project agreements be signed by IUCN and do not accept the delegation of authority to the Secretary General;</w:t>
      </w:r>
    </w:p>
    <w:p w14:paraId="6B7F5AE3" w14:textId="225EE403" w:rsidR="00B407BB" w:rsidRPr="00FC1EDB" w:rsidRDefault="00FC1EDB" w:rsidP="00EC0F71">
      <w:pPr>
        <w:spacing w:after="0" w:line="240" w:lineRule="auto"/>
        <w:ind w:left="851" w:hanging="425"/>
        <w:rPr>
          <w:rFonts w:cstheme="minorHAnsi"/>
        </w:rPr>
      </w:pPr>
      <w:r w:rsidRPr="00FC1EDB">
        <w:rPr>
          <w:rFonts w:cstheme="minorHAnsi"/>
        </w:rPr>
        <w:t>c.</w:t>
      </w:r>
      <w:r w:rsidRPr="00FC1EDB">
        <w:rPr>
          <w:rFonts w:cstheme="minorHAnsi"/>
        </w:rPr>
        <w:tab/>
      </w:r>
      <w:r w:rsidR="00175507">
        <w:rPr>
          <w:rFonts w:cstheme="minorHAnsi"/>
        </w:rPr>
        <w:t>y</w:t>
      </w:r>
      <w:r w:rsidR="00240909" w:rsidRPr="00FC1EDB">
        <w:rPr>
          <w:rFonts w:cstheme="minorHAnsi"/>
        </w:rPr>
        <w:t>ear-</w:t>
      </w:r>
      <w:r w:rsidR="00CA2DB0">
        <w:rPr>
          <w:rFonts w:cstheme="minorHAnsi"/>
        </w:rPr>
        <w:t>on</w:t>
      </w:r>
      <w:r w:rsidR="00240909" w:rsidRPr="00FC1EDB">
        <w:rPr>
          <w:rFonts w:cstheme="minorHAnsi"/>
        </w:rPr>
        <w:t>-year increase</w:t>
      </w:r>
      <w:r w:rsidR="00691700" w:rsidRPr="00FC1EDB">
        <w:rPr>
          <w:rFonts w:cstheme="minorHAnsi"/>
        </w:rPr>
        <w:t>s</w:t>
      </w:r>
      <w:r w:rsidR="00240909" w:rsidRPr="00FC1EDB">
        <w:rPr>
          <w:rFonts w:cstheme="minorHAnsi"/>
        </w:rPr>
        <w:t xml:space="preserve"> in the provision for contributions in arrears required </w:t>
      </w:r>
      <w:r w:rsidR="00990602" w:rsidRPr="00FC1EDB">
        <w:rPr>
          <w:rFonts w:cstheme="minorHAnsi"/>
        </w:rPr>
        <w:t xml:space="preserve">under Swiss </w:t>
      </w:r>
      <w:r w:rsidR="00666C5B" w:rsidRPr="00FC1EDB">
        <w:rPr>
          <w:rFonts w:cstheme="minorHAnsi"/>
        </w:rPr>
        <w:t>financial regulations and law</w:t>
      </w:r>
      <w:r w:rsidR="00990602" w:rsidRPr="00FC1EDB">
        <w:rPr>
          <w:rFonts w:cstheme="minorHAnsi"/>
        </w:rPr>
        <w:t>, and;</w:t>
      </w:r>
    </w:p>
    <w:p w14:paraId="0FCE99E6" w14:textId="2809E20F" w:rsidR="00B407BB" w:rsidRPr="00FC1EDB" w:rsidRDefault="00FC1EDB" w:rsidP="00EC0F71">
      <w:pPr>
        <w:spacing w:after="0" w:line="240" w:lineRule="auto"/>
        <w:ind w:left="851" w:hanging="425"/>
        <w:rPr>
          <w:rFonts w:cstheme="minorHAnsi"/>
        </w:rPr>
      </w:pPr>
      <w:r w:rsidRPr="00FC1EDB">
        <w:rPr>
          <w:rFonts w:cstheme="minorHAnsi"/>
        </w:rPr>
        <w:lastRenderedPageBreak/>
        <w:t>d.</w:t>
      </w:r>
      <w:r w:rsidRPr="00FC1EDB">
        <w:rPr>
          <w:rFonts w:cstheme="minorHAnsi"/>
        </w:rPr>
        <w:tab/>
      </w:r>
      <w:r w:rsidR="00175507">
        <w:rPr>
          <w:rFonts w:cstheme="minorHAnsi"/>
        </w:rPr>
        <w:t>c</w:t>
      </w:r>
      <w:r w:rsidR="00B407BB" w:rsidRPr="00FC1EDB">
        <w:rPr>
          <w:rFonts w:cstheme="minorHAnsi"/>
        </w:rPr>
        <w:t xml:space="preserve">hallenges in the recruitment and retention of staff given </w:t>
      </w:r>
      <w:r w:rsidR="00CA2DB0">
        <w:rPr>
          <w:rFonts w:cstheme="minorHAnsi"/>
        </w:rPr>
        <w:t xml:space="preserve">that </w:t>
      </w:r>
      <w:r w:rsidR="00B407BB" w:rsidRPr="00FC1EDB">
        <w:rPr>
          <w:rFonts w:cstheme="minorHAnsi"/>
        </w:rPr>
        <w:t xml:space="preserve">the Convention </w:t>
      </w:r>
      <w:r w:rsidR="00175507">
        <w:rPr>
          <w:rFonts w:cstheme="minorHAnsi"/>
        </w:rPr>
        <w:t>does not compete</w:t>
      </w:r>
      <w:r w:rsidR="00B407BB" w:rsidRPr="00FC1EDB">
        <w:rPr>
          <w:rFonts w:cstheme="minorHAnsi"/>
        </w:rPr>
        <w:t xml:space="preserve"> with the conditions and benefits (salary scales, pensions</w:t>
      </w:r>
      <w:r w:rsidR="00175507">
        <w:rPr>
          <w:rFonts w:cstheme="minorHAnsi"/>
        </w:rPr>
        <w:t xml:space="preserve"> and </w:t>
      </w:r>
      <w:r w:rsidR="00B407BB" w:rsidRPr="00FC1EDB">
        <w:rPr>
          <w:rFonts w:cstheme="minorHAnsi"/>
        </w:rPr>
        <w:t xml:space="preserve">education allowance) of the UN. </w:t>
      </w:r>
    </w:p>
    <w:p w14:paraId="03F2C188" w14:textId="77777777" w:rsidR="00B407BB" w:rsidRPr="00FC1EDB" w:rsidRDefault="00B407BB" w:rsidP="00FC1EDB">
      <w:pPr>
        <w:pStyle w:val="ColorfulList-Accent11"/>
        <w:ind w:left="0" w:firstLine="0"/>
        <w:contextualSpacing w:val="0"/>
        <w:rPr>
          <w:rFonts w:asciiTheme="minorHAnsi" w:eastAsiaTheme="minorHAnsi" w:hAnsiTheme="minorHAnsi" w:cstheme="minorHAnsi"/>
          <w:bCs/>
          <w:lang w:val="en-US"/>
        </w:rPr>
      </w:pPr>
    </w:p>
    <w:p w14:paraId="12F741FF" w14:textId="67FEDE47" w:rsidR="00B407BB" w:rsidRPr="00FC1EDB" w:rsidRDefault="00FC1EDB" w:rsidP="00EC0F71">
      <w:pPr>
        <w:pStyle w:val="ColorfulList-Accent11"/>
        <w:ind w:left="425"/>
        <w:contextualSpacing w:val="0"/>
        <w:rPr>
          <w:rFonts w:cstheme="minorHAnsi"/>
          <w:bCs/>
        </w:rPr>
      </w:pPr>
      <w:r>
        <w:rPr>
          <w:rFonts w:cs="Calibri"/>
        </w:rPr>
        <w:t>3.</w:t>
      </w:r>
      <w:r>
        <w:rPr>
          <w:rFonts w:cs="Calibri"/>
        </w:rPr>
        <w:tab/>
      </w:r>
      <w:r w:rsidR="001C180F">
        <w:rPr>
          <w:rFonts w:cs="Calibri"/>
        </w:rPr>
        <w:t xml:space="preserve">The </w:t>
      </w:r>
      <w:r w:rsidR="00B407BB" w:rsidRPr="00FC1EDB">
        <w:rPr>
          <w:rFonts w:cs="Calibri"/>
        </w:rPr>
        <w:t xml:space="preserve">Standing Committee </w:t>
      </w:r>
      <w:r w:rsidR="001C180F">
        <w:rPr>
          <w:rFonts w:cs="Calibri"/>
        </w:rPr>
        <w:t>at SC</w:t>
      </w:r>
      <w:r w:rsidR="00B407BB" w:rsidRPr="00FC1EDB">
        <w:rPr>
          <w:rFonts w:cs="Calibri"/>
        </w:rPr>
        <w:t>57</w:t>
      </w:r>
      <w:r w:rsidR="001C180F">
        <w:rPr>
          <w:rFonts w:cs="Calibri"/>
        </w:rPr>
        <w:t>, through</w:t>
      </w:r>
      <w:r w:rsidR="00B407BB" w:rsidRPr="00FC1EDB">
        <w:rPr>
          <w:rFonts w:cs="Calibri"/>
        </w:rPr>
        <w:t xml:space="preserve"> </w:t>
      </w:r>
      <w:r w:rsidR="00B407BB" w:rsidRPr="00FC1EDB">
        <w:rPr>
          <w:rFonts w:cstheme="minorHAnsi"/>
        </w:rPr>
        <w:t>Decision SC57-14</w:t>
      </w:r>
      <w:r w:rsidR="001C180F">
        <w:rPr>
          <w:rFonts w:cstheme="minorHAnsi"/>
        </w:rPr>
        <w:t>,</w:t>
      </w:r>
      <w:r w:rsidR="00B407BB" w:rsidRPr="00FC1EDB">
        <w:rPr>
          <w:rFonts w:cstheme="minorHAnsi"/>
        </w:rPr>
        <w:t xml:space="preserve"> </w:t>
      </w:r>
      <w:r w:rsidR="00990602" w:rsidRPr="00FC1EDB">
        <w:rPr>
          <w:rFonts w:cstheme="minorHAnsi"/>
        </w:rPr>
        <w:t xml:space="preserve">requested an analysis of </w:t>
      </w:r>
      <w:r w:rsidR="001C180F">
        <w:rPr>
          <w:rFonts w:cstheme="minorHAnsi"/>
        </w:rPr>
        <w:t xml:space="preserve">the different options </w:t>
      </w:r>
      <w:r w:rsidR="00990602" w:rsidRPr="00FC1EDB">
        <w:rPr>
          <w:rFonts w:cstheme="minorHAnsi"/>
        </w:rPr>
        <w:t>proposed</w:t>
      </w:r>
      <w:r w:rsidR="00175507">
        <w:rPr>
          <w:rFonts w:cstheme="minorHAnsi"/>
        </w:rPr>
        <w:t>,</w:t>
      </w:r>
      <w:r w:rsidR="00990602" w:rsidRPr="00FC1EDB">
        <w:rPr>
          <w:rFonts w:cstheme="minorHAnsi"/>
        </w:rPr>
        <w:t xml:space="preserve"> and other</w:t>
      </w:r>
      <w:r w:rsidR="001C180F">
        <w:rPr>
          <w:rFonts w:cstheme="minorHAnsi"/>
        </w:rPr>
        <w:t>s</w:t>
      </w:r>
      <w:r w:rsidR="00990602" w:rsidRPr="00FC1EDB">
        <w:rPr>
          <w:rFonts w:cstheme="minorHAnsi"/>
        </w:rPr>
        <w:t xml:space="preserve"> </w:t>
      </w:r>
      <w:r w:rsidR="001C180F">
        <w:rPr>
          <w:rFonts w:cstheme="minorHAnsi"/>
        </w:rPr>
        <w:t>that may not have been addressed</w:t>
      </w:r>
      <w:r w:rsidR="00175507">
        <w:rPr>
          <w:rFonts w:cstheme="minorHAnsi"/>
        </w:rPr>
        <w:t>,</w:t>
      </w:r>
      <w:r w:rsidR="001C180F">
        <w:rPr>
          <w:rFonts w:cstheme="minorHAnsi"/>
        </w:rPr>
        <w:t xml:space="preserve"> </w:t>
      </w:r>
      <w:r w:rsidR="00B407BB" w:rsidRPr="00FC1EDB">
        <w:rPr>
          <w:rFonts w:cstheme="minorHAnsi"/>
        </w:rPr>
        <w:t xml:space="preserve">for the Secretariat to have observer status </w:t>
      </w:r>
      <w:r w:rsidR="00B407BB" w:rsidRPr="00FC1EDB">
        <w:rPr>
          <w:rFonts w:asciiTheme="minorHAnsi" w:hAnsiTheme="minorHAnsi" w:cstheme="minorHAnsi"/>
        </w:rPr>
        <w:t>at the United Nations General Assembly</w:t>
      </w:r>
      <w:r w:rsidR="001C180F">
        <w:rPr>
          <w:rFonts w:asciiTheme="minorHAnsi" w:hAnsiTheme="minorHAnsi" w:cstheme="minorHAnsi"/>
        </w:rPr>
        <w:t>,</w:t>
      </w:r>
      <w:r w:rsidR="00B407BB" w:rsidRPr="00FC1EDB">
        <w:rPr>
          <w:rFonts w:cstheme="minorHAnsi"/>
        </w:rPr>
        <w:t xml:space="preserve"> and endorsed the continuity of the Observer Status Working Group.</w:t>
      </w:r>
    </w:p>
    <w:p w14:paraId="32AB80F8" w14:textId="77777777" w:rsidR="00B407BB" w:rsidRPr="00FC1EDB" w:rsidRDefault="00B407BB" w:rsidP="00EC0F71">
      <w:pPr>
        <w:spacing w:after="0" w:line="240" w:lineRule="auto"/>
        <w:ind w:left="425" w:hanging="425"/>
        <w:rPr>
          <w:rFonts w:cstheme="minorHAnsi"/>
          <w:bCs/>
        </w:rPr>
      </w:pPr>
    </w:p>
    <w:p w14:paraId="03AB7C6C" w14:textId="07E398E8" w:rsidR="001C180F" w:rsidRDefault="00FC1EDB" w:rsidP="00EC0F71">
      <w:pPr>
        <w:spacing w:after="0" w:line="240" w:lineRule="auto"/>
        <w:ind w:left="425" w:hanging="425"/>
        <w:rPr>
          <w:rFonts w:cstheme="minorHAnsi"/>
          <w:bCs/>
        </w:rPr>
      </w:pPr>
      <w:r>
        <w:rPr>
          <w:rFonts w:cstheme="minorHAnsi"/>
          <w:bCs/>
        </w:rPr>
        <w:t>4.</w:t>
      </w:r>
      <w:r>
        <w:rPr>
          <w:rFonts w:cstheme="minorHAnsi"/>
          <w:bCs/>
        </w:rPr>
        <w:tab/>
      </w:r>
      <w:r w:rsidR="00B407BB" w:rsidRPr="00FC1EDB">
        <w:rPr>
          <w:rFonts w:cstheme="minorHAnsi"/>
          <w:bCs/>
        </w:rPr>
        <w:t xml:space="preserve">Two consultancies were carried out at the request of the Observer Status </w:t>
      </w:r>
      <w:r w:rsidR="00990602" w:rsidRPr="00FC1EDB">
        <w:rPr>
          <w:rFonts w:cstheme="minorHAnsi"/>
          <w:bCs/>
        </w:rPr>
        <w:t>W</w:t>
      </w:r>
      <w:r w:rsidR="00B407BB" w:rsidRPr="00FC1EDB">
        <w:rPr>
          <w:rFonts w:cstheme="minorHAnsi"/>
          <w:bCs/>
        </w:rPr>
        <w:t>orking Group related to the identified limitations</w:t>
      </w:r>
      <w:r w:rsidR="000E51B8">
        <w:rPr>
          <w:rFonts w:cstheme="minorHAnsi"/>
          <w:bCs/>
        </w:rPr>
        <w:t>:</w:t>
      </w:r>
    </w:p>
    <w:p w14:paraId="72ACE61E" w14:textId="72A77FD8" w:rsidR="001C180F" w:rsidRPr="000E51B8" w:rsidRDefault="001C180F" w:rsidP="000E51B8">
      <w:pPr>
        <w:pStyle w:val="ListParagraph"/>
        <w:numPr>
          <w:ilvl w:val="0"/>
          <w:numId w:val="19"/>
        </w:numPr>
        <w:spacing w:after="0" w:line="240" w:lineRule="auto"/>
        <w:ind w:left="851" w:hanging="425"/>
        <w:rPr>
          <w:rFonts w:cstheme="minorHAnsi"/>
          <w:bCs/>
        </w:rPr>
      </w:pPr>
      <w:r w:rsidRPr="000E51B8">
        <w:rPr>
          <w:rFonts w:cstheme="minorHAnsi"/>
          <w:bCs/>
        </w:rPr>
        <w:t>an i</w:t>
      </w:r>
      <w:r w:rsidR="00B407BB" w:rsidRPr="000E51B8">
        <w:rPr>
          <w:rFonts w:cstheme="minorHAnsi"/>
          <w:bCs/>
        </w:rPr>
        <w:t>ndependent analysis o</w:t>
      </w:r>
      <w:r w:rsidR="000E51B8" w:rsidRPr="000E51B8">
        <w:rPr>
          <w:rFonts w:cstheme="minorHAnsi"/>
          <w:bCs/>
        </w:rPr>
        <w:t>f</w:t>
      </w:r>
      <w:r w:rsidR="00B407BB" w:rsidRPr="000E51B8">
        <w:rPr>
          <w:rFonts w:cstheme="minorHAnsi"/>
          <w:bCs/>
        </w:rPr>
        <w:t xml:space="preserve"> the </w:t>
      </w:r>
      <w:r w:rsidRPr="000E51B8">
        <w:rPr>
          <w:rFonts w:cstheme="minorHAnsi"/>
          <w:bCs/>
        </w:rPr>
        <w:t>legal status of the Secretariat</w:t>
      </w:r>
      <w:r>
        <w:rPr>
          <w:rStyle w:val="FootnoteReference"/>
          <w:rFonts w:cstheme="minorHAnsi"/>
          <w:bCs/>
        </w:rPr>
        <w:footnoteReference w:id="2"/>
      </w:r>
      <w:r w:rsidRPr="000E51B8">
        <w:rPr>
          <w:rFonts w:cstheme="minorHAnsi"/>
          <w:bCs/>
        </w:rPr>
        <w:t xml:space="preserve">; </w:t>
      </w:r>
      <w:r w:rsidR="00B407BB" w:rsidRPr="000E51B8">
        <w:rPr>
          <w:rFonts w:cstheme="minorHAnsi"/>
          <w:bCs/>
        </w:rPr>
        <w:t xml:space="preserve">and </w:t>
      </w:r>
    </w:p>
    <w:p w14:paraId="787F7FCF" w14:textId="09543C95" w:rsidR="00B407BB" w:rsidRPr="000E51B8" w:rsidRDefault="000E51B8" w:rsidP="000E51B8">
      <w:pPr>
        <w:pStyle w:val="ListParagraph"/>
        <w:numPr>
          <w:ilvl w:val="0"/>
          <w:numId w:val="19"/>
        </w:numPr>
        <w:spacing w:after="0" w:line="240" w:lineRule="auto"/>
        <w:ind w:left="851" w:hanging="425"/>
        <w:rPr>
          <w:rFonts w:cstheme="minorHAnsi"/>
          <w:bCs/>
        </w:rPr>
      </w:pPr>
      <w:r w:rsidRPr="000E51B8">
        <w:rPr>
          <w:rFonts w:cstheme="minorHAnsi"/>
          <w:bCs/>
        </w:rPr>
        <w:t>a f</w:t>
      </w:r>
      <w:r w:rsidR="00B407BB" w:rsidRPr="000E51B8">
        <w:rPr>
          <w:rFonts w:cstheme="minorHAnsi"/>
          <w:bCs/>
        </w:rPr>
        <w:t xml:space="preserve">inancial analysis of the legal status of the </w:t>
      </w:r>
      <w:r w:rsidRPr="000E51B8">
        <w:rPr>
          <w:rFonts w:cstheme="minorHAnsi"/>
          <w:bCs/>
        </w:rPr>
        <w:t>Secretariat</w:t>
      </w:r>
      <w:r>
        <w:rPr>
          <w:rStyle w:val="FootnoteReference"/>
          <w:rFonts w:cstheme="minorHAnsi"/>
          <w:bCs/>
        </w:rPr>
        <w:footnoteReference w:id="3"/>
      </w:r>
      <w:r w:rsidRPr="000E51B8">
        <w:rPr>
          <w:rFonts w:cstheme="minorHAnsi"/>
          <w:bCs/>
        </w:rPr>
        <w:t>.</w:t>
      </w:r>
    </w:p>
    <w:p w14:paraId="4E57209C" w14:textId="77777777" w:rsidR="00B407BB" w:rsidRPr="00FC1EDB" w:rsidRDefault="00B407BB" w:rsidP="00FC1EDB">
      <w:pPr>
        <w:pStyle w:val="NormalWeb"/>
        <w:spacing w:before="0" w:beforeAutospacing="0" w:after="0" w:afterAutospacing="0"/>
        <w:ind w:left="425" w:hanging="425"/>
        <w:rPr>
          <w:rFonts w:asciiTheme="minorHAnsi" w:hAnsiTheme="minorHAnsi" w:cstheme="minorHAnsi"/>
          <w:sz w:val="22"/>
          <w:szCs w:val="22"/>
          <w:lang w:val="en-US" w:eastAsia="en-US"/>
        </w:rPr>
      </w:pPr>
    </w:p>
    <w:p w14:paraId="4734032D" w14:textId="7E123672" w:rsidR="00F77BE9" w:rsidRDefault="00FC1EDB" w:rsidP="00064B3C">
      <w:pPr>
        <w:pStyle w:val="NoSpacing"/>
        <w:ind w:left="426" w:hanging="426"/>
        <w:rPr>
          <w:bCs/>
        </w:rPr>
      </w:pPr>
      <w:r>
        <w:t>5.</w:t>
      </w:r>
      <w:r>
        <w:tab/>
      </w:r>
      <w:r w:rsidR="00B407BB" w:rsidRPr="00FC1EDB">
        <w:t>At its fourteenth meeting</w:t>
      </w:r>
      <w:r w:rsidR="004A70ED">
        <w:t xml:space="preserve"> (COP14)</w:t>
      </w:r>
      <w:r w:rsidR="00B407BB" w:rsidRPr="00FC1EDB">
        <w:t xml:space="preserve">, the Conference of the Contracting Parties adopted </w:t>
      </w:r>
      <w:r w:rsidR="00F77BE9">
        <w:rPr>
          <w:rFonts w:cstheme="minorHAnsi"/>
        </w:rPr>
        <w:t xml:space="preserve">Resolution XIV.6 on </w:t>
      </w:r>
      <w:r w:rsidR="00F77BE9" w:rsidRPr="00F77BE9">
        <w:rPr>
          <w:rFonts w:cstheme="minorHAnsi"/>
          <w:i/>
        </w:rPr>
        <w:t>E</w:t>
      </w:r>
      <w:r w:rsidR="00B407BB" w:rsidRPr="00F77BE9">
        <w:rPr>
          <w:rFonts w:cstheme="minorHAnsi"/>
          <w:i/>
        </w:rPr>
        <w:t>nhancing</w:t>
      </w:r>
      <w:r w:rsidR="00B407BB" w:rsidRPr="00EC0F71">
        <w:rPr>
          <w:i/>
        </w:rPr>
        <w:t xml:space="preserve"> the Convention</w:t>
      </w:r>
      <w:r w:rsidR="00B407BB" w:rsidRPr="00F77BE9">
        <w:rPr>
          <w:rFonts w:cstheme="minorHAnsi"/>
          <w:i/>
        </w:rPr>
        <w:t xml:space="preserve">´s visibility and synergies </w:t>
      </w:r>
      <w:r w:rsidR="00B407BB" w:rsidRPr="00F77BE9">
        <w:rPr>
          <w:rFonts w:cstheme="minorHAnsi"/>
          <w:bCs/>
          <w:i/>
        </w:rPr>
        <w:t>with other multilateral environmental agreements and other international institutions</w:t>
      </w:r>
      <w:r w:rsidR="00F77BE9">
        <w:rPr>
          <w:rStyle w:val="FootnoteReference"/>
          <w:rFonts w:cstheme="minorHAnsi"/>
          <w:bCs/>
        </w:rPr>
        <w:footnoteReference w:id="4"/>
      </w:r>
      <w:r w:rsidR="00B407BB" w:rsidRPr="00FC1EDB">
        <w:rPr>
          <w:bCs/>
        </w:rPr>
        <w:t>, in which</w:t>
      </w:r>
      <w:r w:rsidR="00F77BE9">
        <w:rPr>
          <w:bCs/>
        </w:rPr>
        <w:t xml:space="preserve"> paragraph 22:</w:t>
      </w:r>
    </w:p>
    <w:p w14:paraId="36B89218" w14:textId="77777777" w:rsidR="00F77BE9" w:rsidRDefault="00F77BE9" w:rsidP="00064B3C">
      <w:pPr>
        <w:pStyle w:val="NoSpacing"/>
        <w:ind w:left="851"/>
        <w:rPr>
          <w:bCs/>
        </w:rPr>
      </w:pPr>
    </w:p>
    <w:p w14:paraId="7F8AD69C" w14:textId="4DCCDC80" w:rsidR="00B407BB" w:rsidRPr="00FC1EDB" w:rsidRDefault="00F77BE9" w:rsidP="00EC0F71">
      <w:pPr>
        <w:pStyle w:val="NoSpacing"/>
        <w:ind w:left="851"/>
        <w:rPr>
          <w:iCs/>
        </w:rPr>
      </w:pPr>
      <w:r>
        <w:rPr>
          <w:bCs/>
        </w:rPr>
        <w:t>“</w:t>
      </w:r>
      <w:r w:rsidR="00B407BB" w:rsidRPr="00FC1EDB">
        <w:rPr>
          <w:bCs/>
        </w:rPr>
        <w:t>instructs the Secretariat</w:t>
      </w:r>
      <w:r w:rsidR="00B407BB" w:rsidRPr="00FC1EDB">
        <w:t xml:space="preserve">, in consultation with interested Contracting Parties, </w:t>
      </w:r>
      <w:r w:rsidR="00B407BB" w:rsidRPr="00FC1EDB">
        <w:rPr>
          <w:iCs/>
        </w:rPr>
        <w:t>to prepare an institutional strengthening report with recommendations reflecting the needs of the Secretariat to achieve organizational robustness to support the implementation of the Convention, including but not limited to those related to administrative arrangements, governance, leadership, human resources independency, high-level political engagement, and the Convention’s visibility objectives, and request</w:t>
      </w:r>
      <w:r w:rsidR="00C71CD8" w:rsidRPr="00FC1EDB">
        <w:rPr>
          <w:iCs/>
        </w:rPr>
        <w:t>ed</w:t>
      </w:r>
      <w:r w:rsidR="00B407BB" w:rsidRPr="00FC1EDB">
        <w:rPr>
          <w:iCs/>
        </w:rPr>
        <w:t xml:space="preserve"> the Secretariat to present the report with recommendations to the 62nd meeting of the Standing Committee (SC62) for </w:t>
      </w:r>
      <w:r w:rsidR="009D07FE" w:rsidRPr="00FC1EDB">
        <w:rPr>
          <w:iCs/>
        </w:rPr>
        <w:t xml:space="preserve">discussion </w:t>
      </w:r>
      <w:r w:rsidR="00B407BB" w:rsidRPr="00FC1EDB">
        <w:rPr>
          <w:iCs/>
        </w:rPr>
        <w:t>and a subsequent draft resolution to SC63 for its consideration”.</w:t>
      </w:r>
    </w:p>
    <w:p w14:paraId="0C582BFD" w14:textId="77777777" w:rsidR="00B44446" w:rsidRPr="00FC1EDB" w:rsidRDefault="00B44446" w:rsidP="00FC1EDB">
      <w:pPr>
        <w:spacing w:after="0" w:line="240" w:lineRule="auto"/>
        <w:rPr>
          <w:rFonts w:cstheme="minorHAnsi"/>
          <w:i/>
        </w:rPr>
      </w:pPr>
    </w:p>
    <w:p w14:paraId="2D9C5291" w14:textId="77777777" w:rsidR="009D07FE" w:rsidRPr="00FC1EDB" w:rsidRDefault="009D07FE" w:rsidP="00FC1EDB">
      <w:pPr>
        <w:spacing w:after="0" w:line="240" w:lineRule="auto"/>
        <w:ind w:left="-284"/>
        <w:jc w:val="center"/>
        <w:rPr>
          <w:b/>
        </w:rPr>
      </w:pPr>
      <w:r w:rsidRPr="00FC1EDB">
        <w:rPr>
          <w:b/>
        </w:rPr>
        <w:t>Consultation with interested Contracting Parties on the preparation of the report on institutional</w:t>
      </w:r>
    </w:p>
    <w:p w14:paraId="61184D5B" w14:textId="77777777" w:rsidR="009D07FE" w:rsidRPr="00FC1EDB" w:rsidRDefault="009D07FE" w:rsidP="00FC1EDB">
      <w:pPr>
        <w:spacing w:after="0" w:line="240" w:lineRule="auto"/>
        <w:ind w:hanging="142"/>
        <w:rPr>
          <w:b/>
        </w:rPr>
      </w:pPr>
      <w:r w:rsidRPr="00FC1EDB">
        <w:rPr>
          <w:b/>
        </w:rPr>
        <w:t xml:space="preserve"> </w:t>
      </w:r>
      <w:r w:rsidR="00E92F35" w:rsidRPr="00FC1EDB">
        <w:rPr>
          <w:b/>
        </w:rPr>
        <w:t xml:space="preserve"> </w:t>
      </w:r>
      <w:r w:rsidRPr="00FC1EDB">
        <w:rPr>
          <w:b/>
        </w:rPr>
        <w:t>strengthening of the Secretariat</w:t>
      </w:r>
    </w:p>
    <w:p w14:paraId="7C5C7D3D" w14:textId="77777777" w:rsidR="004B4645" w:rsidRPr="00FC1EDB" w:rsidRDefault="004B4645" w:rsidP="00FC1EDB">
      <w:pPr>
        <w:spacing w:after="0" w:line="240" w:lineRule="auto"/>
        <w:rPr>
          <w:rFonts w:cstheme="minorHAnsi"/>
          <w:i/>
        </w:rPr>
      </w:pPr>
    </w:p>
    <w:p w14:paraId="033D7D8E" w14:textId="4CAED1AC" w:rsidR="000F6CD8" w:rsidRPr="00FC1EDB" w:rsidRDefault="00FC1EDB" w:rsidP="00EC0F71">
      <w:pPr>
        <w:spacing w:after="0" w:line="240" w:lineRule="auto"/>
        <w:ind w:left="426" w:hanging="426"/>
      </w:pPr>
      <w:r>
        <w:t>6.</w:t>
      </w:r>
      <w:r>
        <w:tab/>
      </w:r>
      <w:r w:rsidR="00C0299A" w:rsidRPr="00FC1EDB">
        <w:t xml:space="preserve">In response to </w:t>
      </w:r>
      <w:r w:rsidR="00064B3C" w:rsidRPr="00FC1EDB">
        <w:t>paragraph 22</w:t>
      </w:r>
      <w:r w:rsidR="00064B3C">
        <w:t xml:space="preserve"> of </w:t>
      </w:r>
      <w:r w:rsidR="00C0299A" w:rsidRPr="00FC1EDB">
        <w:t>Resolution XIV.6</w:t>
      </w:r>
      <w:r w:rsidR="00F315AD" w:rsidRPr="00FC1EDB">
        <w:t xml:space="preserve">, 25 </w:t>
      </w:r>
      <w:r w:rsidR="007271E8" w:rsidRPr="00FC1EDB">
        <w:t xml:space="preserve">Contracting Parties from the six regions of the Convention expressed interest </w:t>
      </w:r>
      <w:r w:rsidR="00064B3C">
        <w:t xml:space="preserve">in participating in the consultation process. These Parties are listed at </w:t>
      </w:r>
      <w:r w:rsidR="007271E8" w:rsidRPr="00FC1EDB">
        <w:t>Annex 1</w:t>
      </w:r>
      <w:r w:rsidR="004A70ED">
        <w:t xml:space="preserve"> of the present document</w:t>
      </w:r>
      <w:r w:rsidR="007271E8" w:rsidRPr="00FC1EDB">
        <w:t xml:space="preserve">. </w:t>
      </w:r>
    </w:p>
    <w:p w14:paraId="690675BE" w14:textId="77777777" w:rsidR="000F6CD8" w:rsidRPr="00FC1EDB" w:rsidRDefault="000F6CD8" w:rsidP="00EC0F71">
      <w:pPr>
        <w:spacing w:after="0" w:line="240" w:lineRule="auto"/>
        <w:ind w:left="426" w:hanging="426"/>
      </w:pPr>
    </w:p>
    <w:p w14:paraId="37DFECF7" w14:textId="362BE277" w:rsidR="00B44446" w:rsidRPr="00EC0F71" w:rsidRDefault="00FC1EDB" w:rsidP="00EC0F71">
      <w:pPr>
        <w:spacing w:after="0" w:line="240" w:lineRule="auto"/>
        <w:ind w:left="426" w:hanging="426"/>
      </w:pPr>
      <w:r>
        <w:t>7.</w:t>
      </w:r>
      <w:r>
        <w:tab/>
      </w:r>
      <w:r w:rsidR="007271E8" w:rsidRPr="00FC1EDB">
        <w:t>T</w:t>
      </w:r>
      <w:r w:rsidR="00C0299A" w:rsidRPr="00FC1EDB">
        <w:t xml:space="preserve">he Secretariat </w:t>
      </w:r>
      <w:r w:rsidR="00666C5B" w:rsidRPr="00FC1EDB">
        <w:t>organized</w:t>
      </w:r>
      <w:r w:rsidR="00C0299A" w:rsidRPr="00FC1EDB">
        <w:t xml:space="preserve"> </w:t>
      </w:r>
      <w:r w:rsidR="000F6CD8" w:rsidRPr="00FC1EDB">
        <w:t xml:space="preserve">two </w:t>
      </w:r>
      <w:r w:rsidR="00C0299A" w:rsidRPr="00FC1EDB">
        <w:t>meeting</w:t>
      </w:r>
      <w:r w:rsidR="000F6CD8" w:rsidRPr="00FC1EDB">
        <w:t>s</w:t>
      </w:r>
      <w:r w:rsidR="00C0299A" w:rsidRPr="00FC1EDB">
        <w:t xml:space="preserve"> of interested Contracting Parties </w:t>
      </w:r>
      <w:r w:rsidR="004A57A4" w:rsidRPr="00FC1EDB">
        <w:t xml:space="preserve">on 24 April </w:t>
      </w:r>
      <w:r w:rsidR="00C21F4B" w:rsidRPr="00FC1EDB">
        <w:t xml:space="preserve">and </w:t>
      </w:r>
      <w:r w:rsidR="00B369EC" w:rsidRPr="00FC1EDB">
        <w:t>13 July</w:t>
      </w:r>
      <w:r w:rsidR="000B4DA9" w:rsidRPr="00FC1EDB">
        <w:t xml:space="preserve"> 2023</w:t>
      </w:r>
      <w:r w:rsidR="00B369EC" w:rsidRPr="00FC1EDB">
        <w:t xml:space="preserve"> </w:t>
      </w:r>
      <w:r w:rsidR="00C0299A" w:rsidRPr="00FC1EDB">
        <w:t xml:space="preserve">to discuss the </w:t>
      </w:r>
      <w:r w:rsidR="00171C4D" w:rsidRPr="00FC1EDB">
        <w:t xml:space="preserve">preparation of the </w:t>
      </w:r>
      <w:r w:rsidR="005E7875" w:rsidRPr="00FC1EDB">
        <w:t>report</w:t>
      </w:r>
      <w:r w:rsidR="008D5A7B" w:rsidRPr="008D5A7B">
        <w:t xml:space="preserve"> </w:t>
      </w:r>
      <w:r w:rsidR="008D5A7B" w:rsidRPr="00FC1EDB">
        <w:t>of the Secretariat to SC62</w:t>
      </w:r>
      <w:r w:rsidR="00C0299A" w:rsidRPr="00FC1EDB">
        <w:t xml:space="preserve">. During the </w:t>
      </w:r>
      <w:r w:rsidR="007C192D" w:rsidRPr="00FC1EDB">
        <w:t xml:space="preserve">first </w:t>
      </w:r>
      <w:r w:rsidR="00C0299A" w:rsidRPr="00FC1EDB">
        <w:t xml:space="preserve">meeting the Secretariat was tasked </w:t>
      </w:r>
      <w:r w:rsidR="005C650F">
        <w:t>with preparing</w:t>
      </w:r>
      <w:r w:rsidR="00C0299A" w:rsidRPr="00FC1EDB">
        <w:t xml:space="preserve"> a summary table identifying</w:t>
      </w:r>
      <w:r w:rsidR="009D6CFD" w:rsidRPr="00FC1EDB">
        <w:t xml:space="preserve"> opportunities to further strengthen </w:t>
      </w:r>
      <w:r w:rsidR="0022750F" w:rsidRPr="00FC1EDB">
        <w:t>the Secretariat</w:t>
      </w:r>
      <w:r w:rsidR="005C650F">
        <w:t>,</w:t>
      </w:r>
      <w:r w:rsidR="0022750F" w:rsidRPr="00FC1EDB">
        <w:t xml:space="preserve"> to inform the preparation </w:t>
      </w:r>
      <w:r w:rsidR="00324B34" w:rsidRPr="00FC1EDB">
        <w:t>of</w:t>
      </w:r>
      <w:r w:rsidR="008D5A7B">
        <w:t xml:space="preserve"> the present report</w:t>
      </w:r>
      <w:r w:rsidR="00826909" w:rsidRPr="00FC1EDB">
        <w:t>.</w:t>
      </w:r>
    </w:p>
    <w:p w14:paraId="2492A2A3" w14:textId="77777777" w:rsidR="00B44446" w:rsidRPr="00FC1EDB" w:rsidRDefault="00B44446" w:rsidP="00EC0F71">
      <w:pPr>
        <w:spacing w:after="0" w:line="240" w:lineRule="auto"/>
        <w:ind w:left="426" w:hanging="426"/>
        <w:rPr>
          <w:rFonts w:cstheme="minorHAnsi"/>
          <w:i/>
        </w:rPr>
      </w:pPr>
    </w:p>
    <w:p w14:paraId="28761810" w14:textId="14B14693" w:rsidR="00005D82" w:rsidRPr="00FC1EDB" w:rsidRDefault="00FC1EDB" w:rsidP="00EC0F71">
      <w:pPr>
        <w:spacing w:after="0" w:line="240" w:lineRule="auto"/>
        <w:ind w:left="426" w:hanging="426"/>
        <w:rPr>
          <w:rFonts w:cstheme="minorHAnsi"/>
        </w:rPr>
      </w:pPr>
      <w:r>
        <w:rPr>
          <w:rFonts w:cstheme="minorHAnsi"/>
        </w:rPr>
        <w:t>8.</w:t>
      </w:r>
      <w:r>
        <w:rPr>
          <w:rFonts w:cstheme="minorHAnsi"/>
        </w:rPr>
        <w:tab/>
      </w:r>
      <w:r w:rsidR="00B407BB" w:rsidRPr="00FC1EDB">
        <w:rPr>
          <w:rFonts w:cstheme="minorHAnsi"/>
        </w:rPr>
        <w:t xml:space="preserve">In </w:t>
      </w:r>
      <w:r w:rsidR="004F130C">
        <w:rPr>
          <w:rFonts w:cstheme="minorHAnsi"/>
        </w:rPr>
        <w:t>accordance</w:t>
      </w:r>
      <w:r w:rsidR="00B407BB" w:rsidRPr="00FC1EDB">
        <w:rPr>
          <w:rFonts w:cstheme="minorHAnsi"/>
        </w:rPr>
        <w:t xml:space="preserve"> with the above, </w:t>
      </w:r>
      <w:r w:rsidR="004F130C">
        <w:rPr>
          <w:rFonts w:cstheme="minorHAnsi"/>
        </w:rPr>
        <w:t xml:space="preserve">the Secretariat prepared </w:t>
      </w:r>
      <w:r w:rsidR="00B407BB" w:rsidRPr="00FC1EDB">
        <w:rPr>
          <w:rFonts w:cstheme="minorHAnsi"/>
        </w:rPr>
        <w:t xml:space="preserve">a </w:t>
      </w:r>
      <w:r w:rsidR="004F130C">
        <w:rPr>
          <w:rFonts w:cstheme="minorHAnsi"/>
        </w:rPr>
        <w:t>table describing the</w:t>
      </w:r>
      <w:r w:rsidR="00B407BB" w:rsidRPr="00FC1EDB">
        <w:rPr>
          <w:rFonts w:cstheme="minorHAnsi"/>
        </w:rPr>
        <w:t xml:space="preserve"> opportunities</w:t>
      </w:r>
      <w:r w:rsidR="00990602" w:rsidRPr="00FC1EDB">
        <w:rPr>
          <w:rFonts w:cstheme="minorHAnsi"/>
        </w:rPr>
        <w:t xml:space="preserve"> </w:t>
      </w:r>
      <w:r w:rsidR="004F130C">
        <w:rPr>
          <w:rFonts w:cstheme="minorHAnsi"/>
        </w:rPr>
        <w:t xml:space="preserve">in each of the areas </w:t>
      </w:r>
      <w:r w:rsidR="00B407BB" w:rsidRPr="00FC1EDB">
        <w:rPr>
          <w:rFonts w:cstheme="minorHAnsi"/>
        </w:rPr>
        <w:t>mentioned in paragraph 22 of Resolution XIV.6</w:t>
      </w:r>
      <w:r w:rsidR="00B407BB" w:rsidRPr="00EC0F71">
        <w:t>.</w:t>
      </w:r>
      <w:r w:rsidR="00B407BB" w:rsidRPr="00FC1EDB">
        <w:rPr>
          <w:rFonts w:cstheme="minorHAnsi"/>
        </w:rPr>
        <w:t xml:space="preserve"> </w:t>
      </w:r>
    </w:p>
    <w:p w14:paraId="5585F747" w14:textId="77777777" w:rsidR="00D324EE" w:rsidRPr="00FC1EDB" w:rsidRDefault="00D324EE" w:rsidP="00EC0F71">
      <w:pPr>
        <w:pStyle w:val="ListParagraph"/>
        <w:spacing w:after="0" w:line="240" w:lineRule="auto"/>
        <w:ind w:left="426" w:hanging="426"/>
        <w:rPr>
          <w:rFonts w:cstheme="minorHAnsi"/>
        </w:rPr>
      </w:pPr>
    </w:p>
    <w:p w14:paraId="0F6C33FD" w14:textId="1A83C8CB" w:rsidR="000B6A49" w:rsidRPr="00FC1EDB" w:rsidRDefault="00FC1EDB" w:rsidP="00EC0F71">
      <w:pPr>
        <w:spacing w:after="0" w:line="240" w:lineRule="auto"/>
        <w:ind w:left="426" w:hanging="426"/>
        <w:rPr>
          <w:rFonts w:cstheme="minorHAnsi"/>
        </w:rPr>
      </w:pPr>
      <w:r>
        <w:rPr>
          <w:rFonts w:cstheme="minorHAnsi"/>
        </w:rPr>
        <w:t>9.</w:t>
      </w:r>
      <w:r>
        <w:rPr>
          <w:rFonts w:cstheme="minorHAnsi"/>
        </w:rPr>
        <w:tab/>
      </w:r>
      <w:r w:rsidR="00990602" w:rsidRPr="00FC1EDB">
        <w:rPr>
          <w:rFonts w:cstheme="minorHAnsi"/>
        </w:rPr>
        <w:t>At the</w:t>
      </w:r>
      <w:r w:rsidR="00D54630" w:rsidRPr="00FC1EDB">
        <w:rPr>
          <w:rFonts w:cstheme="minorHAnsi"/>
        </w:rPr>
        <w:t xml:space="preserve"> 13 July </w:t>
      </w:r>
      <w:r w:rsidR="00990602" w:rsidRPr="00FC1EDB">
        <w:rPr>
          <w:rFonts w:cstheme="minorHAnsi"/>
        </w:rPr>
        <w:t xml:space="preserve">meeting, </w:t>
      </w:r>
      <w:r w:rsidR="004F130C">
        <w:rPr>
          <w:rFonts w:cstheme="minorHAnsi"/>
        </w:rPr>
        <w:t xml:space="preserve">the </w:t>
      </w:r>
      <w:r w:rsidR="00990602" w:rsidRPr="00FC1EDB">
        <w:rPr>
          <w:rFonts w:cstheme="minorHAnsi"/>
        </w:rPr>
        <w:t>i</w:t>
      </w:r>
      <w:r w:rsidR="000B6A49" w:rsidRPr="00FC1EDB">
        <w:rPr>
          <w:rFonts w:cstheme="minorHAnsi"/>
        </w:rPr>
        <w:t>nterested Contracting Parties agreed on the prioritization of opportunities</w:t>
      </w:r>
      <w:r w:rsidR="007C64D2" w:rsidRPr="00FC1EDB">
        <w:rPr>
          <w:rFonts w:cstheme="minorHAnsi"/>
        </w:rPr>
        <w:t xml:space="preserve"> </w:t>
      </w:r>
      <w:r w:rsidR="000B6A49" w:rsidRPr="00FC1EDB">
        <w:rPr>
          <w:rFonts w:cstheme="minorHAnsi"/>
        </w:rPr>
        <w:t>to strengthen the Secretariat in the summary table, assigning the priority as follows:</w:t>
      </w:r>
    </w:p>
    <w:p w14:paraId="4513388B" w14:textId="6475BCCF" w:rsidR="000B6A49" w:rsidRPr="00FC1EDB" w:rsidRDefault="000B6A49" w:rsidP="00EC0F71">
      <w:pPr>
        <w:pStyle w:val="Default"/>
        <w:numPr>
          <w:ilvl w:val="0"/>
          <w:numId w:val="21"/>
        </w:numPr>
        <w:ind w:left="851" w:hanging="425"/>
        <w:rPr>
          <w:rFonts w:asciiTheme="minorHAnsi" w:hAnsiTheme="minorHAnsi" w:cstheme="minorHAnsi"/>
          <w:sz w:val="22"/>
          <w:szCs w:val="22"/>
        </w:rPr>
      </w:pPr>
      <w:r w:rsidRPr="00FC1EDB">
        <w:rPr>
          <w:rFonts w:asciiTheme="minorHAnsi" w:hAnsiTheme="minorHAnsi" w:cstheme="minorHAnsi"/>
          <w:i/>
          <w:iCs/>
          <w:sz w:val="22"/>
          <w:szCs w:val="22"/>
        </w:rPr>
        <w:t>Administrative arrangements</w:t>
      </w:r>
      <w:r w:rsidR="005355B9">
        <w:rPr>
          <w:rFonts w:asciiTheme="minorHAnsi" w:hAnsiTheme="minorHAnsi" w:cstheme="minorHAnsi"/>
          <w:iCs/>
          <w:sz w:val="22"/>
          <w:szCs w:val="22"/>
        </w:rPr>
        <w:t>:</w:t>
      </w:r>
      <w:r w:rsidRPr="00FC1EDB">
        <w:rPr>
          <w:rFonts w:asciiTheme="minorHAnsi" w:hAnsiTheme="minorHAnsi" w:cstheme="minorHAnsi"/>
          <w:sz w:val="22"/>
          <w:szCs w:val="22"/>
        </w:rPr>
        <w:t xml:space="preserve"> 5, high priority</w:t>
      </w:r>
    </w:p>
    <w:p w14:paraId="0D6CF8DA" w14:textId="4B7B296A" w:rsidR="000B6A49" w:rsidRPr="00FC1EDB" w:rsidRDefault="000B6A49" w:rsidP="00EC0F71">
      <w:pPr>
        <w:pStyle w:val="Default"/>
        <w:numPr>
          <w:ilvl w:val="0"/>
          <w:numId w:val="21"/>
        </w:numPr>
        <w:ind w:left="851" w:hanging="425"/>
        <w:rPr>
          <w:rFonts w:asciiTheme="minorHAnsi" w:hAnsiTheme="minorHAnsi" w:cstheme="minorHAnsi"/>
          <w:sz w:val="22"/>
          <w:szCs w:val="22"/>
        </w:rPr>
      </w:pPr>
      <w:r w:rsidRPr="00FC1EDB">
        <w:rPr>
          <w:rFonts w:asciiTheme="minorHAnsi" w:hAnsiTheme="minorHAnsi" w:cstheme="minorHAnsi"/>
          <w:i/>
          <w:iCs/>
          <w:sz w:val="22"/>
          <w:szCs w:val="22"/>
        </w:rPr>
        <w:lastRenderedPageBreak/>
        <w:t>Governance</w:t>
      </w:r>
      <w:r w:rsidR="005355B9">
        <w:rPr>
          <w:rFonts w:asciiTheme="minorHAnsi" w:hAnsiTheme="minorHAnsi" w:cstheme="minorHAnsi"/>
          <w:sz w:val="22"/>
          <w:szCs w:val="22"/>
        </w:rPr>
        <w:t xml:space="preserve">: </w:t>
      </w:r>
      <w:r w:rsidRPr="00FC1EDB">
        <w:rPr>
          <w:rFonts w:asciiTheme="minorHAnsi" w:hAnsiTheme="minorHAnsi" w:cstheme="minorHAnsi"/>
          <w:sz w:val="22"/>
          <w:szCs w:val="22"/>
        </w:rPr>
        <w:t xml:space="preserve">1, low priority </w:t>
      </w:r>
    </w:p>
    <w:p w14:paraId="28937A32" w14:textId="02F167E9" w:rsidR="000B6A49" w:rsidRPr="00FC1EDB" w:rsidRDefault="000B6A49" w:rsidP="00EC0F71">
      <w:pPr>
        <w:pStyle w:val="Default"/>
        <w:numPr>
          <w:ilvl w:val="0"/>
          <w:numId w:val="21"/>
        </w:numPr>
        <w:ind w:left="851" w:hanging="425"/>
        <w:rPr>
          <w:rFonts w:asciiTheme="minorHAnsi" w:hAnsiTheme="minorHAnsi" w:cstheme="minorHAnsi"/>
          <w:sz w:val="22"/>
          <w:szCs w:val="22"/>
        </w:rPr>
      </w:pPr>
      <w:r w:rsidRPr="00FC1EDB">
        <w:rPr>
          <w:rFonts w:asciiTheme="minorHAnsi" w:hAnsiTheme="minorHAnsi" w:cstheme="minorHAnsi"/>
          <w:i/>
          <w:iCs/>
          <w:sz w:val="22"/>
          <w:szCs w:val="22"/>
        </w:rPr>
        <w:t>Leadership</w:t>
      </w:r>
      <w:r w:rsidR="005355B9" w:rsidRPr="005355B9">
        <w:rPr>
          <w:rFonts w:asciiTheme="minorHAnsi" w:hAnsiTheme="minorHAnsi" w:cstheme="minorHAnsi"/>
          <w:iCs/>
          <w:sz w:val="22"/>
          <w:szCs w:val="22"/>
        </w:rPr>
        <w:t xml:space="preserve">: </w:t>
      </w:r>
      <w:r w:rsidRPr="00FC1EDB">
        <w:rPr>
          <w:rFonts w:asciiTheme="minorHAnsi" w:hAnsiTheme="minorHAnsi" w:cstheme="minorHAnsi"/>
          <w:sz w:val="22"/>
          <w:szCs w:val="22"/>
        </w:rPr>
        <w:t>3, medium priority</w:t>
      </w:r>
      <w:r w:rsidRPr="00FC1EDB">
        <w:rPr>
          <w:rFonts w:asciiTheme="minorHAnsi" w:hAnsiTheme="minorHAnsi" w:cstheme="minorHAnsi"/>
          <w:i/>
          <w:iCs/>
          <w:sz w:val="22"/>
          <w:szCs w:val="22"/>
        </w:rPr>
        <w:t xml:space="preserve">  </w:t>
      </w:r>
    </w:p>
    <w:p w14:paraId="3CC39014" w14:textId="116FC8B8" w:rsidR="000B6A49" w:rsidRPr="00FC1EDB" w:rsidRDefault="000B6A49" w:rsidP="00EC0F71">
      <w:pPr>
        <w:pStyle w:val="Default"/>
        <w:numPr>
          <w:ilvl w:val="0"/>
          <w:numId w:val="21"/>
        </w:numPr>
        <w:ind w:left="851" w:hanging="425"/>
        <w:rPr>
          <w:rFonts w:asciiTheme="minorHAnsi" w:hAnsiTheme="minorHAnsi" w:cstheme="minorHAnsi"/>
          <w:sz w:val="22"/>
          <w:szCs w:val="22"/>
        </w:rPr>
      </w:pPr>
      <w:r w:rsidRPr="00FC1EDB">
        <w:rPr>
          <w:rFonts w:asciiTheme="minorHAnsi" w:hAnsiTheme="minorHAnsi" w:cstheme="minorHAnsi"/>
          <w:i/>
          <w:iCs/>
          <w:sz w:val="22"/>
          <w:szCs w:val="22"/>
        </w:rPr>
        <w:t xml:space="preserve">Human </w:t>
      </w:r>
      <w:r w:rsidR="005355B9">
        <w:rPr>
          <w:rFonts w:asciiTheme="minorHAnsi" w:hAnsiTheme="minorHAnsi" w:cstheme="minorHAnsi"/>
          <w:i/>
          <w:iCs/>
          <w:sz w:val="22"/>
          <w:szCs w:val="22"/>
        </w:rPr>
        <w:t>r</w:t>
      </w:r>
      <w:r w:rsidRPr="00FC1EDB">
        <w:rPr>
          <w:rFonts w:asciiTheme="minorHAnsi" w:hAnsiTheme="minorHAnsi" w:cstheme="minorHAnsi"/>
          <w:i/>
          <w:iCs/>
          <w:sz w:val="22"/>
          <w:szCs w:val="22"/>
        </w:rPr>
        <w:t>esources independency</w:t>
      </w:r>
      <w:r w:rsidR="005355B9" w:rsidRPr="005355B9">
        <w:rPr>
          <w:rFonts w:asciiTheme="minorHAnsi" w:hAnsiTheme="minorHAnsi" w:cstheme="minorHAnsi"/>
          <w:iCs/>
          <w:sz w:val="22"/>
          <w:szCs w:val="22"/>
        </w:rPr>
        <w:t xml:space="preserve">: </w:t>
      </w:r>
      <w:r w:rsidRPr="00FC1EDB">
        <w:rPr>
          <w:rFonts w:asciiTheme="minorHAnsi" w:hAnsiTheme="minorHAnsi" w:cstheme="minorHAnsi"/>
          <w:sz w:val="22"/>
          <w:szCs w:val="22"/>
        </w:rPr>
        <w:t xml:space="preserve">3, medium priority </w:t>
      </w:r>
    </w:p>
    <w:p w14:paraId="357B26C8" w14:textId="714087E4" w:rsidR="000B6A49" w:rsidRPr="00FC1EDB" w:rsidRDefault="000B6A49" w:rsidP="00EC0F71">
      <w:pPr>
        <w:pStyle w:val="Default"/>
        <w:numPr>
          <w:ilvl w:val="0"/>
          <w:numId w:val="21"/>
        </w:numPr>
        <w:ind w:left="851" w:hanging="425"/>
        <w:rPr>
          <w:rFonts w:asciiTheme="minorHAnsi" w:hAnsiTheme="minorHAnsi" w:cstheme="minorHAnsi"/>
          <w:sz w:val="22"/>
          <w:szCs w:val="22"/>
        </w:rPr>
      </w:pPr>
      <w:r w:rsidRPr="00FC1EDB">
        <w:rPr>
          <w:rFonts w:asciiTheme="minorHAnsi" w:hAnsiTheme="minorHAnsi" w:cstheme="minorHAnsi"/>
          <w:i/>
          <w:iCs/>
          <w:sz w:val="22"/>
          <w:szCs w:val="22"/>
        </w:rPr>
        <w:t>High-level political engagement, and the Convention’s visibility objectives</w:t>
      </w:r>
      <w:r w:rsidR="005355B9">
        <w:rPr>
          <w:rFonts w:asciiTheme="minorHAnsi" w:hAnsiTheme="minorHAnsi" w:cstheme="minorHAnsi"/>
          <w:iCs/>
          <w:sz w:val="22"/>
          <w:szCs w:val="22"/>
        </w:rPr>
        <w:t>:</w:t>
      </w:r>
      <w:r w:rsidRPr="00FC1EDB">
        <w:rPr>
          <w:rFonts w:asciiTheme="minorHAnsi" w:hAnsiTheme="minorHAnsi" w:cstheme="minorHAnsi"/>
          <w:i/>
          <w:iCs/>
          <w:sz w:val="22"/>
          <w:szCs w:val="22"/>
        </w:rPr>
        <w:t xml:space="preserve"> </w:t>
      </w:r>
      <w:r w:rsidRPr="00FC1EDB">
        <w:rPr>
          <w:rFonts w:asciiTheme="minorHAnsi" w:hAnsiTheme="minorHAnsi" w:cstheme="minorHAnsi"/>
          <w:sz w:val="22"/>
          <w:szCs w:val="22"/>
        </w:rPr>
        <w:t>5, high priority</w:t>
      </w:r>
    </w:p>
    <w:p w14:paraId="508BA67D" w14:textId="77777777" w:rsidR="004F30C2" w:rsidRPr="00FC1EDB" w:rsidRDefault="004F30C2" w:rsidP="00FC1EDB">
      <w:pPr>
        <w:tabs>
          <w:tab w:val="num" w:pos="720"/>
        </w:tabs>
        <w:spacing w:after="0" w:line="240" w:lineRule="auto"/>
      </w:pPr>
    </w:p>
    <w:p w14:paraId="187EEF77" w14:textId="77777777" w:rsidR="00EC5F3C" w:rsidRPr="00FC1EDB" w:rsidRDefault="000522C2" w:rsidP="00EC0F71">
      <w:pPr>
        <w:spacing w:after="0" w:line="240" w:lineRule="auto"/>
        <w:ind w:left="426"/>
      </w:pPr>
      <w:r w:rsidRPr="00FC1EDB">
        <w:t>T</w:t>
      </w:r>
      <w:r w:rsidR="00EC5F3C" w:rsidRPr="00FC1EDB">
        <w:t xml:space="preserve">he highest priority issues are the elements </w:t>
      </w:r>
      <w:r w:rsidR="008B6927" w:rsidRPr="00FC1EDB">
        <w:t xml:space="preserve">interested </w:t>
      </w:r>
      <w:r w:rsidR="00EC5F3C" w:rsidRPr="00FC1EDB">
        <w:t xml:space="preserve">Contracting Parties consider of great importance.  </w:t>
      </w:r>
    </w:p>
    <w:p w14:paraId="58B56AD7" w14:textId="77777777" w:rsidR="002F6C06" w:rsidRPr="00FC1EDB" w:rsidRDefault="002F6C06" w:rsidP="00FC1EDB">
      <w:pPr>
        <w:spacing w:after="0" w:line="240" w:lineRule="auto"/>
      </w:pPr>
    </w:p>
    <w:p w14:paraId="12B28799" w14:textId="49E4092E" w:rsidR="004A70ED" w:rsidRDefault="00FC1EDB" w:rsidP="00FC1EDB">
      <w:pPr>
        <w:spacing w:after="0" w:line="240" w:lineRule="auto"/>
        <w:ind w:left="426" w:hanging="426"/>
      </w:pPr>
      <w:r>
        <w:t>10.</w:t>
      </w:r>
      <w:r>
        <w:tab/>
      </w:r>
      <w:r w:rsidR="008B6927" w:rsidRPr="00FC1EDB">
        <w:t xml:space="preserve">In addition to establishing </w:t>
      </w:r>
      <w:r w:rsidR="005355B9">
        <w:t>these priorities</w:t>
      </w:r>
      <w:r w:rsidR="008B6927" w:rsidRPr="00FC1EDB">
        <w:t xml:space="preserve">, </w:t>
      </w:r>
      <w:r w:rsidR="005355B9">
        <w:t xml:space="preserve">the </w:t>
      </w:r>
      <w:r w:rsidR="008B6927" w:rsidRPr="00FC1EDB">
        <w:t>i</w:t>
      </w:r>
      <w:r w:rsidR="00072711" w:rsidRPr="00FC1EDB">
        <w:t>nterested Contracting Parties proposed recommendations</w:t>
      </w:r>
      <w:r w:rsidR="008B6927" w:rsidRPr="00FC1EDB">
        <w:t xml:space="preserve"> for action that included</w:t>
      </w:r>
      <w:r w:rsidR="004A70ED">
        <w:t>:</w:t>
      </w:r>
    </w:p>
    <w:p w14:paraId="350C9577" w14:textId="18D28C24" w:rsidR="004A70ED" w:rsidRDefault="003E4740" w:rsidP="004A70ED">
      <w:pPr>
        <w:spacing w:after="0" w:line="240" w:lineRule="auto"/>
        <w:ind w:left="851" w:hanging="426"/>
      </w:pPr>
      <w:r w:rsidRPr="00FC1EDB">
        <w:t>a</w:t>
      </w:r>
      <w:r w:rsidR="004A70ED">
        <w:t>.</w:t>
      </w:r>
      <w:r w:rsidR="004A70ED">
        <w:tab/>
      </w:r>
      <w:r w:rsidR="00072711" w:rsidRPr="00FC1EDB">
        <w:t xml:space="preserve">the preparation of a draft </w:t>
      </w:r>
      <w:r w:rsidR="005355B9">
        <w:t>r</w:t>
      </w:r>
      <w:r w:rsidR="00072711" w:rsidRPr="00FC1EDB">
        <w:t xml:space="preserve">esolution for </w:t>
      </w:r>
      <w:r w:rsidR="004A70ED">
        <w:t xml:space="preserve">consideration of the </w:t>
      </w:r>
      <w:r w:rsidR="00072711" w:rsidRPr="00FC1EDB">
        <w:t xml:space="preserve">Standing </w:t>
      </w:r>
      <w:r w:rsidR="004A70ED">
        <w:t>Committee and the COP;</w:t>
      </w:r>
    </w:p>
    <w:p w14:paraId="22CF41B6" w14:textId="01B05285" w:rsidR="004A70ED" w:rsidRDefault="004A70ED" w:rsidP="004A70ED">
      <w:pPr>
        <w:spacing w:after="0" w:line="240" w:lineRule="auto"/>
        <w:ind w:left="851" w:hanging="426"/>
      </w:pPr>
      <w:r>
        <w:t>b.</w:t>
      </w:r>
      <w:r>
        <w:tab/>
      </w:r>
      <w:r w:rsidR="005355B9">
        <w:t xml:space="preserve">the </w:t>
      </w:r>
      <w:r w:rsidR="006A0004" w:rsidRPr="00FC1EDB">
        <w:t>full transition of the Secretariat to the United Nations System</w:t>
      </w:r>
      <w:r>
        <w:t>;</w:t>
      </w:r>
    </w:p>
    <w:p w14:paraId="3CB75EF4" w14:textId="7DFCC45D" w:rsidR="004A70ED" w:rsidRDefault="003C7364" w:rsidP="004A70ED">
      <w:pPr>
        <w:spacing w:after="0" w:line="240" w:lineRule="auto"/>
        <w:ind w:left="851" w:hanging="426"/>
      </w:pPr>
      <w:r w:rsidRPr="00FC1EDB">
        <w:t>c</w:t>
      </w:r>
      <w:r w:rsidR="004A70ED">
        <w:t>.</w:t>
      </w:r>
      <w:r w:rsidR="004A70ED">
        <w:tab/>
      </w:r>
      <w:r w:rsidR="005355B9">
        <w:t xml:space="preserve">the </w:t>
      </w:r>
      <w:r w:rsidR="008B6927" w:rsidRPr="00FC1EDB">
        <w:t>identif</w:t>
      </w:r>
      <w:r w:rsidR="00C51332" w:rsidRPr="00FC1EDB">
        <w:t>ication of</w:t>
      </w:r>
      <w:r w:rsidR="008B6927" w:rsidRPr="00FC1EDB">
        <w:t xml:space="preserve"> both short</w:t>
      </w:r>
      <w:r w:rsidR="005355B9">
        <w:t>-</w:t>
      </w:r>
      <w:r w:rsidR="008B6927" w:rsidRPr="00FC1EDB">
        <w:t xml:space="preserve"> and long-term solutions</w:t>
      </w:r>
      <w:r w:rsidR="004A70ED">
        <w:t>;</w:t>
      </w:r>
    </w:p>
    <w:p w14:paraId="2DEE6563" w14:textId="355DACBA" w:rsidR="004A70ED" w:rsidRDefault="003C7364" w:rsidP="004A70ED">
      <w:pPr>
        <w:spacing w:after="0" w:line="240" w:lineRule="auto"/>
        <w:ind w:left="851" w:hanging="426"/>
      </w:pPr>
      <w:r w:rsidRPr="00FC1EDB">
        <w:t>d</w:t>
      </w:r>
      <w:r w:rsidR="004A70ED">
        <w:t>.</w:t>
      </w:r>
      <w:r w:rsidR="004A70ED">
        <w:tab/>
      </w:r>
      <w:r w:rsidR="00072711" w:rsidRPr="00FC1EDB">
        <w:t>involvement of the Management Working</w:t>
      </w:r>
      <w:r w:rsidR="004A70ED">
        <w:t xml:space="preserve"> Group and Subgroup on Finance;</w:t>
      </w:r>
    </w:p>
    <w:p w14:paraId="5FEFCCC3" w14:textId="1B42027D" w:rsidR="004A70ED" w:rsidRDefault="003C7364" w:rsidP="004A70ED">
      <w:pPr>
        <w:spacing w:after="0" w:line="240" w:lineRule="auto"/>
        <w:ind w:left="851" w:hanging="426"/>
      </w:pPr>
      <w:r w:rsidRPr="00FC1EDB">
        <w:t>e</w:t>
      </w:r>
      <w:r w:rsidR="004A70ED">
        <w:t>.</w:t>
      </w:r>
      <w:r w:rsidR="004A70ED">
        <w:tab/>
      </w:r>
      <w:r w:rsidR="00072711" w:rsidRPr="00FC1EDB">
        <w:t>bilateral meetings with the host country and Contracting Parties not present at the meeting</w:t>
      </w:r>
      <w:r w:rsidR="004A70ED">
        <w:t>;</w:t>
      </w:r>
      <w:r w:rsidR="00072711" w:rsidRPr="00FC1EDB">
        <w:t xml:space="preserve"> and</w:t>
      </w:r>
    </w:p>
    <w:p w14:paraId="1590C36D" w14:textId="0F415F41" w:rsidR="004A70ED" w:rsidRDefault="003C7364" w:rsidP="004A70ED">
      <w:pPr>
        <w:spacing w:after="0" w:line="240" w:lineRule="auto"/>
        <w:ind w:left="851" w:hanging="426"/>
      </w:pPr>
      <w:r w:rsidRPr="00FC1EDB">
        <w:t>f</w:t>
      </w:r>
      <w:r w:rsidR="004A70ED">
        <w:t>.</w:t>
      </w:r>
      <w:r w:rsidR="004A70ED">
        <w:tab/>
      </w:r>
      <w:r w:rsidR="00072711" w:rsidRPr="00FC1EDB">
        <w:t xml:space="preserve">the establishment of a working group to </w:t>
      </w:r>
      <w:r w:rsidR="005355B9">
        <w:t>take</w:t>
      </w:r>
      <w:r w:rsidR="00072711" w:rsidRPr="00FC1EDB">
        <w:t xml:space="preserve"> the process</w:t>
      </w:r>
      <w:r w:rsidR="008B6927" w:rsidRPr="00FC1EDB">
        <w:t xml:space="preserve"> forward</w:t>
      </w:r>
      <w:r w:rsidR="00072711" w:rsidRPr="00FC1EDB">
        <w:t xml:space="preserve"> including</w:t>
      </w:r>
      <w:r w:rsidR="004A70ED">
        <w:t xml:space="preserve"> through</w:t>
      </w:r>
      <w:r w:rsidR="00072711" w:rsidRPr="00FC1EDB">
        <w:t xml:space="preserve"> the preparation of a draft </w:t>
      </w:r>
      <w:r w:rsidR="005355B9">
        <w:t>r</w:t>
      </w:r>
      <w:r w:rsidR="00072711" w:rsidRPr="00FC1EDB">
        <w:t>esolution.</w:t>
      </w:r>
      <w:r w:rsidR="008B6927" w:rsidRPr="00FC1EDB">
        <w:t xml:space="preserve"> </w:t>
      </w:r>
    </w:p>
    <w:p w14:paraId="5E4EE7E8" w14:textId="77777777" w:rsidR="004A70ED" w:rsidRDefault="004A70ED" w:rsidP="00FC1EDB">
      <w:pPr>
        <w:spacing w:after="0" w:line="240" w:lineRule="auto"/>
        <w:ind w:left="426" w:hanging="426"/>
      </w:pPr>
    </w:p>
    <w:p w14:paraId="42D0A64D" w14:textId="59EFEB52" w:rsidR="000B6A49" w:rsidRPr="00FC1EDB" w:rsidRDefault="008B6927" w:rsidP="00EC0F71">
      <w:pPr>
        <w:spacing w:after="0" w:line="240" w:lineRule="auto"/>
        <w:ind w:left="426"/>
      </w:pPr>
      <w:r w:rsidRPr="00FC1EDB">
        <w:t xml:space="preserve">Contracting Parties noted that there are different views on how this work should be progressed, particularly in respect to hosting of the Secretariat, and </w:t>
      </w:r>
      <w:r w:rsidR="005355B9">
        <w:t xml:space="preserve">that </w:t>
      </w:r>
      <w:r w:rsidRPr="00FC1EDB">
        <w:t xml:space="preserve">consideration should be given </w:t>
      </w:r>
      <w:r w:rsidR="005355B9" w:rsidRPr="00FC1EDB">
        <w:t xml:space="preserve">both </w:t>
      </w:r>
      <w:r w:rsidR="007C06A4" w:rsidRPr="00FC1EDB">
        <w:t xml:space="preserve">to benefits from improved implementation of the Convention and </w:t>
      </w:r>
      <w:r w:rsidR="005355B9">
        <w:t xml:space="preserve">to </w:t>
      </w:r>
      <w:r w:rsidR="007C06A4" w:rsidRPr="00FC1EDB">
        <w:t>potential risks.</w:t>
      </w:r>
    </w:p>
    <w:p w14:paraId="5988BCE6" w14:textId="77777777" w:rsidR="00713454" w:rsidRPr="00FC1EDB" w:rsidRDefault="00713454" w:rsidP="00EC0F71">
      <w:pPr>
        <w:spacing w:after="0" w:line="240" w:lineRule="auto"/>
        <w:ind w:left="426" w:hanging="426"/>
      </w:pPr>
    </w:p>
    <w:p w14:paraId="175192C0" w14:textId="7670A88A" w:rsidR="002F6C06" w:rsidRPr="00EC0F71" w:rsidRDefault="00C2195B" w:rsidP="00EC0F71">
      <w:pPr>
        <w:spacing w:after="0" w:line="240" w:lineRule="auto"/>
        <w:ind w:left="426" w:hanging="426"/>
      </w:pPr>
      <w:r>
        <w:t>11.</w:t>
      </w:r>
      <w:r>
        <w:tab/>
      </w:r>
      <w:r w:rsidR="00EA3399" w:rsidRPr="00FC1EDB">
        <w:t>Further to the</w:t>
      </w:r>
      <w:r w:rsidR="0060172E" w:rsidRPr="00FC1EDB">
        <w:t xml:space="preserve"> </w:t>
      </w:r>
      <w:r w:rsidR="0062680F" w:rsidRPr="00FC1EDB">
        <w:t xml:space="preserve">recommendations </w:t>
      </w:r>
      <w:r w:rsidR="009664EB">
        <w:t xml:space="preserve">of the </w:t>
      </w:r>
      <w:r w:rsidR="007E3FF1" w:rsidRPr="00FC1EDB">
        <w:t xml:space="preserve">interested Contracting Parties, the Secretariat </w:t>
      </w:r>
      <w:r w:rsidR="009664EB">
        <w:t xml:space="preserve">has </w:t>
      </w:r>
      <w:r w:rsidR="00EA3399" w:rsidRPr="00FC1EDB">
        <w:t>provided</w:t>
      </w:r>
      <w:r w:rsidR="000F4572" w:rsidRPr="00FC1EDB">
        <w:t xml:space="preserve"> recommendations </w:t>
      </w:r>
      <w:r w:rsidR="00F3179C" w:rsidRPr="00FC1EDB">
        <w:rPr>
          <w:rStyle w:val="cf01"/>
          <w:rFonts w:asciiTheme="minorHAnsi" w:hAnsiTheme="minorHAnsi" w:cstheme="minorHAnsi"/>
          <w:sz w:val="22"/>
          <w:szCs w:val="22"/>
        </w:rPr>
        <w:t>to achieve organizational robustness to support the implementation of the Convention</w:t>
      </w:r>
      <w:r w:rsidR="006A69DF" w:rsidRPr="009664EB">
        <w:rPr>
          <w:rStyle w:val="cf01"/>
          <w:rFonts w:asciiTheme="minorHAnsi" w:hAnsiTheme="minorHAnsi" w:cstheme="minorHAnsi"/>
          <w:sz w:val="22"/>
          <w:szCs w:val="22"/>
        </w:rPr>
        <w:t>.</w:t>
      </w:r>
      <w:r w:rsidR="009664EB">
        <w:rPr>
          <w:rStyle w:val="cf01"/>
          <w:rFonts w:asciiTheme="minorHAnsi" w:hAnsiTheme="minorHAnsi" w:cstheme="minorHAnsi"/>
          <w:sz w:val="22"/>
          <w:szCs w:val="22"/>
        </w:rPr>
        <w:t xml:space="preserve"> </w:t>
      </w:r>
      <w:r w:rsidR="008B6927" w:rsidRPr="00EC0F71">
        <w:t xml:space="preserve">The summary table in </w:t>
      </w:r>
      <w:r w:rsidR="002F6C06" w:rsidRPr="00EC0F71">
        <w:t xml:space="preserve">Annex </w:t>
      </w:r>
      <w:r w:rsidR="00B17310" w:rsidRPr="00EC0F71">
        <w:t>2</w:t>
      </w:r>
      <w:r w:rsidR="002F6C06" w:rsidRPr="009664EB">
        <w:rPr>
          <w:rFonts w:cstheme="minorHAnsi"/>
        </w:rPr>
        <w:t xml:space="preserve"> </w:t>
      </w:r>
      <w:r w:rsidR="00FD5E4D">
        <w:rPr>
          <w:rFonts w:cstheme="minorHAnsi"/>
        </w:rPr>
        <w:t>of the present document</w:t>
      </w:r>
      <w:r w:rsidR="00FD5E4D" w:rsidRPr="00EC0F71">
        <w:t xml:space="preserve"> </w:t>
      </w:r>
      <w:r w:rsidR="002F6C06" w:rsidRPr="00EC0F71">
        <w:t xml:space="preserve">reflects the prioritization and the recommendations </w:t>
      </w:r>
      <w:r w:rsidR="009A32D9" w:rsidRPr="00EC0F71">
        <w:t>proposed by interested Contracting Parties</w:t>
      </w:r>
      <w:r w:rsidR="006A69DF" w:rsidRPr="00EC0F71">
        <w:t xml:space="preserve"> and the Secretariat</w:t>
      </w:r>
      <w:r w:rsidR="009A32D9" w:rsidRPr="00EC0F71">
        <w:t>.</w:t>
      </w:r>
      <w:r w:rsidR="002F6C06" w:rsidRPr="00EC0F71">
        <w:t xml:space="preserve"> </w:t>
      </w:r>
      <w:r w:rsidR="002F6C06" w:rsidRPr="00EC0F71">
        <w:rPr>
          <w:i/>
        </w:rPr>
        <w:t xml:space="preserve"> </w:t>
      </w:r>
      <w:r w:rsidR="002F6C06" w:rsidRPr="00EC0F71">
        <w:t xml:space="preserve"> </w:t>
      </w:r>
    </w:p>
    <w:p w14:paraId="2F778BFE" w14:textId="77777777" w:rsidR="00C2195B" w:rsidRDefault="00C2195B">
      <w:pPr>
        <w:rPr>
          <w:rFonts w:cstheme="minorHAnsi"/>
          <w:b/>
          <w:bCs/>
        </w:rPr>
      </w:pPr>
      <w:r>
        <w:rPr>
          <w:rFonts w:cstheme="minorHAnsi"/>
          <w:b/>
          <w:bCs/>
        </w:rPr>
        <w:br w:type="page"/>
      </w:r>
    </w:p>
    <w:p w14:paraId="18426A9D" w14:textId="5AFEB848" w:rsidR="00C2195B" w:rsidRDefault="00C2195B" w:rsidP="00C2195B">
      <w:pPr>
        <w:spacing w:after="0" w:line="240" w:lineRule="auto"/>
        <w:rPr>
          <w:b/>
          <w:sz w:val="24"/>
          <w:szCs w:val="24"/>
          <w:lang w:val="en-GB"/>
        </w:rPr>
      </w:pPr>
      <w:r w:rsidRPr="00EC0F71">
        <w:rPr>
          <w:b/>
          <w:sz w:val="24"/>
          <w:lang w:val="en-GB"/>
        </w:rPr>
        <w:lastRenderedPageBreak/>
        <w:t>Annex 1</w:t>
      </w:r>
    </w:p>
    <w:p w14:paraId="4700CC9F" w14:textId="3FC2D56D" w:rsidR="00BD4E4C" w:rsidRPr="00EC0F71" w:rsidRDefault="00BD4E4C" w:rsidP="00EC0F71">
      <w:pPr>
        <w:spacing w:after="0" w:line="240" w:lineRule="auto"/>
        <w:rPr>
          <w:b/>
          <w:sz w:val="24"/>
          <w:lang w:val="en-GB"/>
        </w:rPr>
      </w:pPr>
      <w:r w:rsidRPr="00EC0F71">
        <w:rPr>
          <w:b/>
          <w:sz w:val="24"/>
          <w:lang w:val="en-GB"/>
        </w:rPr>
        <w:t xml:space="preserve">Contracting Parties that expressed interest </w:t>
      </w:r>
      <w:r w:rsidR="00064B3C">
        <w:rPr>
          <w:b/>
          <w:sz w:val="24"/>
          <w:szCs w:val="24"/>
          <w:lang w:val="en-GB"/>
        </w:rPr>
        <w:t>in participating</w:t>
      </w:r>
      <w:r w:rsidR="00C2195B" w:rsidRPr="00EC0F71">
        <w:rPr>
          <w:b/>
          <w:sz w:val="24"/>
          <w:lang w:val="en-GB"/>
        </w:rPr>
        <w:t xml:space="preserve"> in the consultation process</w:t>
      </w:r>
      <w:r w:rsidR="00064B3C" w:rsidRPr="00EC0F71">
        <w:rPr>
          <w:b/>
          <w:sz w:val="24"/>
          <w:lang w:val="en-GB"/>
        </w:rPr>
        <w:t xml:space="preserve"> </w:t>
      </w:r>
      <w:r w:rsidR="00064B3C">
        <w:rPr>
          <w:b/>
          <w:sz w:val="24"/>
          <w:szCs w:val="24"/>
          <w:lang w:val="en-GB"/>
        </w:rPr>
        <w:t>in response to Resolution XIV.6, paragraph 22</w:t>
      </w:r>
    </w:p>
    <w:p w14:paraId="04B6C376" w14:textId="0FE2F220" w:rsidR="00BD4E4C" w:rsidRPr="00064B3C" w:rsidRDefault="00BD4E4C" w:rsidP="00BD4E4C">
      <w:pPr>
        <w:spacing w:after="0" w:line="240" w:lineRule="auto"/>
      </w:pPr>
    </w:p>
    <w:p w14:paraId="106F7AB6" w14:textId="77777777" w:rsidR="00064B3C" w:rsidRPr="00EC0F71" w:rsidRDefault="00064B3C" w:rsidP="00BD4E4C">
      <w:pPr>
        <w:spacing w:after="0" w:line="240" w:lineRule="auto"/>
      </w:pPr>
    </w:p>
    <w:tbl>
      <w:tblPr>
        <w:tblStyle w:val="TableGrid"/>
        <w:tblW w:w="0" w:type="auto"/>
        <w:tblInd w:w="-5" w:type="dxa"/>
        <w:tblLook w:val="04A0" w:firstRow="1" w:lastRow="0" w:firstColumn="1" w:lastColumn="0" w:noHBand="0" w:noVBand="1"/>
      </w:tblPr>
      <w:tblGrid>
        <w:gridCol w:w="3544"/>
        <w:gridCol w:w="4820"/>
      </w:tblGrid>
      <w:tr w:rsidR="00BD4E4C" w:rsidRPr="00C2195B" w14:paraId="0EBBCB0F" w14:textId="77777777" w:rsidTr="00FC795A">
        <w:tc>
          <w:tcPr>
            <w:tcW w:w="3544" w:type="dxa"/>
            <w:noWrap/>
            <w:hideMark/>
          </w:tcPr>
          <w:p w14:paraId="72753538" w14:textId="77777777" w:rsidR="00BD4E4C" w:rsidRPr="00EC0F71" w:rsidRDefault="00BD4E4C" w:rsidP="00D072D4">
            <w:pPr>
              <w:rPr>
                <w:b/>
                <w:lang w:val="en-GB"/>
              </w:rPr>
            </w:pPr>
            <w:r w:rsidRPr="00EC0F71">
              <w:rPr>
                <w:b/>
              </w:rPr>
              <w:t>Region</w:t>
            </w:r>
          </w:p>
        </w:tc>
        <w:tc>
          <w:tcPr>
            <w:tcW w:w="4820" w:type="dxa"/>
            <w:noWrap/>
            <w:hideMark/>
          </w:tcPr>
          <w:p w14:paraId="15879DC2" w14:textId="77777777" w:rsidR="00BD4E4C" w:rsidRPr="00EC0F71" w:rsidRDefault="00BD4E4C" w:rsidP="00D072D4">
            <w:pPr>
              <w:rPr>
                <w:b/>
              </w:rPr>
            </w:pPr>
            <w:r w:rsidRPr="00EC0F71">
              <w:rPr>
                <w:b/>
              </w:rPr>
              <w:t>Contracting Party</w:t>
            </w:r>
          </w:p>
        </w:tc>
      </w:tr>
      <w:tr w:rsidR="00BD4E4C" w:rsidRPr="00C2195B" w14:paraId="31229BD3" w14:textId="77777777" w:rsidTr="00FC795A">
        <w:tc>
          <w:tcPr>
            <w:tcW w:w="3544" w:type="dxa"/>
            <w:vMerge w:val="restart"/>
            <w:noWrap/>
            <w:hideMark/>
          </w:tcPr>
          <w:p w14:paraId="5569BF09" w14:textId="30828A72" w:rsidR="00BD4E4C" w:rsidRPr="00EC0F71" w:rsidRDefault="00BD4E4C" w:rsidP="00D072D4">
            <w:pPr>
              <w:rPr>
                <w:lang w:val="es-419"/>
              </w:rPr>
            </w:pPr>
            <w:r w:rsidRPr="00EC0F71">
              <w:rPr>
                <w:lang w:val="es-419"/>
              </w:rPr>
              <w:t>Africa</w:t>
            </w:r>
          </w:p>
        </w:tc>
        <w:tc>
          <w:tcPr>
            <w:tcW w:w="4820" w:type="dxa"/>
            <w:noWrap/>
            <w:hideMark/>
          </w:tcPr>
          <w:p w14:paraId="54D2AC23" w14:textId="77777777" w:rsidR="00BD4E4C" w:rsidRPr="00EC0F71" w:rsidRDefault="00BD4E4C" w:rsidP="00D072D4">
            <w:r w:rsidRPr="00EC0F71">
              <w:t>Algeria</w:t>
            </w:r>
          </w:p>
        </w:tc>
      </w:tr>
      <w:tr w:rsidR="00BD4E4C" w:rsidRPr="00C2195B" w14:paraId="28DD760B" w14:textId="77777777" w:rsidTr="00FC795A">
        <w:tc>
          <w:tcPr>
            <w:tcW w:w="3544" w:type="dxa"/>
            <w:vMerge/>
            <w:noWrap/>
            <w:hideMark/>
          </w:tcPr>
          <w:p w14:paraId="17C0B0B7" w14:textId="77777777" w:rsidR="00BD4E4C" w:rsidRPr="00EC0F71" w:rsidRDefault="00BD4E4C" w:rsidP="00D072D4"/>
        </w:tc>
        <w:tc>
          <w:tcPr>
            <w:tcW w:w="4820" w:type="dxa"/>
            <w:noWrap/>
            <w:hideMark/>
          </w:tcPr>
          <w:p w14:paraId="564825C2" w14:textId="77777777" w:rsidR="00BD4E4C" w:rsidRPr="00EC0F71" w:rsidRDefault="00BD4E4C" w:rsidP="00D072D4">
            <w:r w:rsidRPr="00EC0F71">
              <w:t>Burkina Faso</w:t>
            </w:r>
          </w:p>
        </w:tc>
      </w:tr>
      <w:tr w:rsidR="00BD4E4C" w:rsidRPr="00C2195B" w14:paraId="0989B919" w14:textId="77777777" w:rsidTr="00FC795A">
        <w:tc>
          <w:tcPr>
            <w:tcW w:w="3544" w:type="dxa"/>
            <w:vMerge/>
            <w:noWrap/>
            <w:hideMark/>
          </w:tcPr>
          <w:p w14:paraId="5306536B" w14:textId="77777777" w:rsidR="00BD4E4C" w:rsidRPr="00EC0F71" w:rsidRDefault="00BD4E4C" w:rsidP="00D072D4"/>
        </w:tc>
        <w:tc>
          <w:tcPr>
            <w:tcW w:w="4820" w:type="dxa"/>
            <w:noWrap/>
            <w:hideMark/>
          </w:tcPr>
          <w:p w14:paraId="34BB1E64" w14:textId="237C91AE" w:rsidR="00BD4E4C" w:rsidRPr="00EC0F71" w:rsidRDefault="00BD4E4C" w:rsidP="00D072D4">
            <w:r w:rsidRPr="00EC0F71">
              <w:t xml:space="preserve">Democratic Republic of </w:t>
            </w:r>
            <w:r w:rsidR="00064B3C">
              <w:rPr>
                <w:rFonts w:cstheme="minorHAnsi"/>
              </w:rPr>
              <w:t xml:space="preserve">the </w:t>
            </w:r>
            <w:r w:rsidRPr="00EC0F71">
              <w:t>Congo</w:t>
            </w:r>
          </w:p>
        </w:tc>
      </w:tr>
      <w:tr w:rsidR="00BD4E4C" w:rsidRPr="00C2195B" w14:paraId="3517A821" w14:textId="77777777" w:rsidTr="00FC795A">
        <w:tc>
          <w:tcPr>
            <w:tcW w:w="3544" w:type="dxa"/>
            <w:vMerge/>
            <w:noWrap/>
          </w:tcPr>
          <w:p w14:paraId="038EB499" w14:textId="77777777" w:rsidR="00BD4E4C" w:rsidRPr="00EC0F71" w:rsidRDefault="00BD4E4C" w:rsidP="00D072D4"/>
        </w:tc>
        <w:tc>
          <w:tcPr>
            <w:tcW w:w="4820" w:type="dxa"/>
            <w:noWrap/>
          </w:tcPr>
          <w:p w14:paraId="14B3141F" w14:textId="77777777" w:rsidR="00BD4E4C" w:rsidRPr="00EC0F71" w:rsidRDefault="00BD4E4C" w:rsidP="00D072D4">
            <w:r w:rsidRPr="00EC0F71">
              <w:t>Gambia</w:t>
            </w:r>
          </w:p>
        </w:tc>
      </w:tr>
      <w:tr w:rsidR="00BD4E4C" w:rsidRPr="00C2195B" w14:paraId="532D921C" w14:textId="77777777" w:rsidTr="00FC795A">
        <w:tc>
          <w:tcPr>
            <w:tcW w:w="3544" w:type="dxa"/>
            <w:vMerge/>
            <w:noWrap/>
          </w:tcPr>
          <w:p w14:paraId="6799BCAC" w14:textId="77777777" w:rsidR="00BD4E4C" w:rsidRPr="00EC0F71" w:rsidRDefault="00BD4E4C" w:rsidP="00D072D4"/>
        </w:tc>
        <w:tc>
          <w:tcPr>
            <w:tcW w:w="4820" w:type="dxa"/>
            <w:noWrap/>
          </w:tcPr>
          <w:p w14:paraId="0FE805A7" w14:textId="77777777" w:rsidR="00BD4E4C" w:rsidRPr="00EC0F71" w:rsidRDefault="00BD4E4C" w:rsidP="00D072D4">
            <w:r w:rsidRPr="00EC0F71">
              <w:t>Liberia</w:t>
            </w:r>
          </w:p>
        </w:tc>
      </w:tr>
      <w:tr w:rsidR="00BD4E4C" w:rsidRPr="00C2195B" w14:paraId="28FDFE2F" w14:textId="77777777" w:rsidTr="00FC795A">
        <w:tc>
          <w:tcPr>
            <w:tcW w:w="3544" w:type="dxa"/>
            <w:vMerge/>
            <w:noWrap/>
          </w:tcPr>
          <w:p w14:paraId="164B3017" w14:textId="77777777" w:rsidR="00BD4E4C" w:rsidRPr="00EC0F71" w:rsidRDefault="00BD4E4C" w:rsidP="00D072D4"/>
        </w:tc>
        <w:tc>
          <w:tcPr>
            <w:tcW w:w="4820" w:type="dxa"/>
            <w:noWrap/>
          </w:tcPr>
          <w:p w14:paraId="5D8095C1" w14:textId="77777777" w:rsidR="00BD4E4C" w:rsidRPr="00EC0F71" w:rsidRDefault="00BD4E4C" w:rsidP="00D072D4">
            <w:r w:rsidRPr="00EC0F71">
              <w:t>Mali</w:t>
            </w:r>
          </w:p>
        </w:tc>
      </w:tr>
      <w:tr w:rsidR="00BD4E4C" w:rsidRPr="00C2195B" w14:paraId="49167D39" w14:textId="77777777" w:rsidTr="00FC795A">
        <w:tc>
          <w:tcPr>
            <w:tcW w:w="3544" w:type="dxa"/>
            <w:vMerge/>
            <w:noWrap/>
          </w:tcPr>
          <w:p w14:paraId="330D0839" w14:textId="77777777" w:rsidR="00BD4E4C" w:rsidRPr="00EC0F71" w:rsidRDefault="00BD4E4C" w:rsidP="00D072D4"/>
        </w:tc>
        <w:tc>
          <w:tcPr>
            <w:tcW w:w="4820" w:type="dxa"/>
            <w:noWrap/>
          </w:tcPr>
          <w:p w14:paraId="1601408F" w14:textId="77777777" w:rsidR="00BD4E4C" w:rsidRPr="00EC0F71" w:rsidRDefault="00BD4E4C" w:rsidP="00D072D4">
            <w:r w:rsidRPr="00EC0F71">
              <w:t>Rwanda</w:t>
            </w:r>
          </w:p>
        </w:tc>
      </w:tr>
      <w:tr w:rsidR="00BD4E4C" w:rsidRPr="00C2195B" w14:paraId="702985F4" w14:textId="77777777" w:rsidTr="00FC795A">
        <w:tc>
          <w:tcPr>
            <w:tcW w:w="3544" w:type="dxa"/>
            <w:vMerge/>
            <w:noWrap/>
          </w:tcPr>
          <w:p w14:paraId="7ECED449" w14:textId="77777777" w:rsidR="00BD4E4C" w:rsidRPr="00EC0F71" w:rsidRDefault="00BD4E4C" w:rsidP="00D072D4"/>
        </w:tc>
        <w:tc>
          <w:tcPr>
            <w:tcW w:w="4820" w:type="dxa"/>
            <w:noWrap/>
          </w:tcPr>
          <w:p w14:paraId="5FB2F9E4" w14:textId="77777777" w:rsidR="00BD4E4C" w:rsidRPr="00EC0F71" w:rsidRDefault="00BD4E4C" w:rsidP="00D072D4">
            <w:r w:rsidRPr="00EC0F71">
              <w:t>Uganda</w:t>
            </w:r>
          </w:p>
        </w:tc>
      </w:tr>
      <w:tr w:rsidR="00BD4E4C" w:rsidRPr="00C2195B" w14:paraId="56E454EF" w14:textId="77777777" w:rsidTr="00FC795A">
        <w:tc>
          <w:tcPr>
            <w:tcW w:w="3544" w:type="dxa"/>
            <w:vMerge w:val="restart"/>
            <w:noWrap/>
          </w:tcPr>
          <w:p w14:paraId="0404D196" w14:textId="1B05F4B5" w:rsidR="00BD4E4C" w:rsidRPr="00EC0F71" w:rsidRDefault="00C2195B" w:rsidP="00D072D4">
            <w:r w:rsidRPr="00EC0F71">
              <w:t>Asia</w:t>
            </w:r>
          </w:p>
        </w:tc>
        <w:tc>
          <w:tcPr>
            <w:tcW w:w="4820" w:type="dxa"/>
            <w:noWrap/>
          </w:tcPr>
          <w:p w14:paraId="47E9295B" w14:textId="77777777" w:rsidR="00BD4E4C" w:rsidRPr="00EC0F71" w:rsidRDefault="00BD4E4C" w:rsidP="00D072D4">
            <w:r w:rsidRPr="00EC0F71">
              <w:t>Indonesia</w:t>
            </w:r>
          </w:p>
        </w:tc>
      </w:tr>
      <w:tr w:rsidR="00BD4E4C" w:rsidRPr="00C2195B" w14:paraId="331EA204" w14:textId="77777777" w:rsidTr="00FC795A">
        <w:tc>
          <w:tcPr>
            <w:tcW w:w="3544" w:type="dxa"/>
            <w:vMerge/>
            <w:noWrap/>
          </w:tcPr>
          <w:p w14:paraId="109B3C9A" w14:textId="77777777" w:rsidR="00BD4E4C" w:rsidRPr="00EC0F71" w:rsidRDefault="00BD4E4C" w:rsidP="00D072D4"/>
        </w:tc>
        <w:tc>
          <w:tcPr>
            <w:tcW w:w="4820" w:type="dxa"/>
            <w:noWrap/>
          </w:tcPr>
          <w:p w14:paraId="2E70A960" w14:textId="77777777" w:rsidR="00BD4E4C" w:rsidRPr="00EC0F71" w:rsidRDefault="00BD4E4C" w:rsidP="00D072D4">
            <w:r w:rsidRPr="00EC0F71">
              <w:t>Thailand</w:t>
            </w:r>
          </w:p>
        </w:tc>
      </w:tr>
      <w:tr w:rsidR="00BD4E4C" w:rsidRPr="00C2195B" w14:paraId="2F239CFD" w14:textId="77777777" w:rsidTr="00FC795A">
        <w:tc>
          <w:tcPr>
            <w:tcW w:w="3544" w:type="dxa"/>
            <w:vMerge w:val="restart"/>
            <w:noWrap/>
            <w:hideMark/>
          </w:tcPr>
          <w:p w14:paraId="393A3AA3" w14:textId="2F7473CF" w:rsidR="00BD4E4C" w:rsidRPr="00EC0F71" w:rsidRDefault="00BD4E4C" w:rsidP="00FC795A">
            <w:r w:rsidRPr="00EC0F71">
              <w:t>Europe</w:t>
            </w:r>
            <w:r w:rsidR="00FC795A" w:rsidRPr="00EC0F71">
              <w:t xml:space="preserve"> </w:t>
            </w:r>
          </w:p>
        </w:tc>
        <w:tc>
          <w:tcPr>
            <w:tcW w:w="4820" w:type="dxa"/>
            <w:noWrap/>
          </w:tcPr>
          <w:p w14:paraId="09E84820" w14:textId="77777777" w:rsidR="00BD4E4C" w:rsidRPr="00EC0F71" w:rsidRDefault="00BD4E4C" w:rsidP="00D072D4">
            <w:r w:rsidRPr="00EC0F71">
              <w:t>Albania</w:t>
            </w:r>
          </w:p>
        </w:tc>
      </w:tr>
      <w:tr w:rsidR="00BD4E4C" w:rsidRPr="00C2195B" w14:paraId="519B83BC" w14:textId="77777777" w:rsidTr="00FC795A">
        <w:tc>
          <w:tcPr>
            <w:tcW w:w="3544" w:type="dxa"/>
            <w:vMerge/>
            <w:noWrap/>
          </w:tcPr>
          <w:p w14:paraId="044A5395" w14:textId="77777777" w:rsidR="00BD4E4C" w:rsidRPr="00EC0F71" w:rsidRDefault="00BD4E4C" w:rsidP="00D072D4"/>
        </w:tc>
        <w:tc>
          <w:tcPr>
            <w:tcW w:w="4820" w:type="dxa"/>
            <w:noWrap/>
          </w:tcPr>
          <w:p w14:paraId="32751B0D" w14:textId="77777777" w:rsidR="00BD4E4C" w:rsidRPr="00EC0F71" w:rsidRDefault="00BD4E4C" w:rsidP="00D072D4">
            <w:r w:rsidRPr="00EC0F71">
              <w:t>France</w:t>
            </w:r>
          </w:p>
        </w:tc>
      </w:tr>
      <w:tr w:rsidR="00FC795A" w:rsidRPr="00C2195B" w14:paraId="6A5B3C69" w14:textId="77777777" w:rsidTr="00FC795A">
        <w:tc>
          <w:tcPr>
            <w:tcW w:w="3544" w:type="dxa"/>
            <w:vMerge/>
            <w:noWrap/>
          </w:tcPr>
          <w:p w14:paraId="570F25AF" w14:textId="77777777" w:rsidR="00FC795A" w:rsidRPr="00EC0F71" w:rsidRDefault="00FC795A" w:rsidP="00D072D4"/>
        </w:tc>
        <w:tc>
          <w:tcPr>
            <w:tcW w:w="4820" w:type="dxa"/>
            <w:noWrap/>
          </w:tcPr>
          <w:p w14:paraId="7B258B3A" w14:textId="220CFEC8" w:rsidR="00FC795A" w:rsidRPr="00EC0F71" w:rsidRDefault="00FC795A" w:rsidP="00D072D4">
            <w:r w:rsidRPr="00EC0F71">
              <w:t>Switzerland</w:t>
            </w:r>
          </w:p>
        </w:tc>
      </w:tr>
      <w:tr w:rsidR="00FC795A" w:rsidRPr="00C2195B" w14:paraId="5EA424EE" w14:textId="77777777" w:rsidTr="00FC795A">
        <w:tc>
          <w:tcPr>
            <w:tcW w:w="3544" w:type="dxa"/>
            <w:vMerge/>
            <w:noWrap/>
          </w:tcPr>
          <w:p w14:paraId="56199E1C" w14:textId="77777777" w:rsidR="00FC795A" w:rsidRPr="00EC0F71" w:rsidRDefault="00FC795A" w:rsidP="00D072D4"/>
        </w:tc>
        <w:tc>
          <w:tcPr>
            <w:tcW w:w="4820" w:type="dxa"/>
            <w:noWrap/>
          </w:tcPr>
          <w:p w14:paraId="2FD377B5" w14:textId="4E898D8F" w:rsidR="00FC795A" w:rsidRPr="00EC0F71" w:rsidRDefault="00FC795A" w:rsidP="00D072D4">
            <w:r>
              <w:rPr>
                <w:rFonts w:cstheme="minorHAnsi"/>
              </w:rPr>
              <w:t xml:space="preserve">The </w:t>
            </w:r>
            <w:r w:rsidRPr="00C2195B">
              <w:rPr>
                <w:rFonts w:cstheme="minorHAnsi"/>
              </w:rPr>
              <w:t>U</w:t>
            </w:r>
            <w:r>
              <w:rPr>
                <w:rFonts w:cstheme="minorHAnsi"/>
              </w:rPr>
              <w:t xml:space="preserve">nited </w:t>
            </w:r>
            <w:r w:rsidRPr="00C2195B">
              <w:rPr>
                <w:rFonts w:cstheme="minorHAnsi"/>
              </w:rPr>
              <w:t>K</w:t>
            </w:r>
            <w:r>
              <w:rPr>
                <w:rFonts w:cstheme="minorHAnsi"/>
              </w:rPr>
              <w:t>ingdom of Great Britain and Northern Ireland</w:t>
            </w:r>
          </w:p>
        </w:tc>
      </w:tr>
      <w:tr w:rsidR="00BD4E4C" w:rsidRPr="00C2195B" w14:paraId="4B9ECACF" w14:textId="77777777" w:rsidTr="00FC795A">
        <w:tc>
          <w:tcPr>
            <w:tcW w:w="3544" w:type="dxa"/>
            <w:vMerge w:val="restart"/>
            <w:noWrap/>
          </w:tcPr>
          <w:p w14:paraId="2B3C92AC" w14:textId="77777777" w:rsidR="00BD4E4C" w:rsidRPr="00EC0F71" w:rsidRDefault="00BD4E4C" w:rsidP="00D072D4">
            <w:r w:rsidRPr="00EC0F71">
              <w:t>Latin America and the Caribbean</w:t>
            </w:r>
          </w:p>
        </w:tc>
        <w:tc>
          <w:tcPr>
            <w:tcW w:w="4820" w:type="dxa"/>
            <w:noWrap/>
          </w:tcPr>
          <w:p w14:paraId="4DD3A647" w14:textId="77777777" w:rsidR="00BD4E4C" w:rsidRPr="00EC0F71" w:rsidRDefault="00BD4E4C" w:rsidP="00D072D4">
            <w:r w:rsidRPr="00EC0F71">
              <w:t>Brazil</w:t>
            </w:r>
          </w:p>
        </w:tc>
        <w:bookmarkStart w:id="0" w:name="_GoBack"/>
        <w:bookmarkEnd w:id="0"/>
      </w:tr>
      <w:tr w:rsidR="00BD4E4C" w:rsidRPr="00C2195B" w14:paraId="299C5389" w14:textId="77777777" w:rsidTr="00FC795A">
        <w:tc>
          <w:tcPr>
            <w:tcW w:w="3544" w:type="dxa"/>
            <w:vMerge/>
            <w:noWrap/>
          </w:tcPr>
          <w:p w14:paraId="25D738F3" w14:textId="77777777" w:rsidR="00BD4E4C" w:rsidRPr="00EC0F71" w:rsidRDefault="00BD4E4C" w:rsidP="00D072D4"/>
        </w:tc>
        <w:tc>
          <w:tcPr>
            <w:tcW w:w="4820" w:type="dxa"/>
            <w:noWrap/>
          </w:tcPr>
          <w:p w14:paraId="4CB07C45" w14:textId="77777777" w:rsidR="00BD4E4C" w:rsidRPr="00EC0F71" w:rsidRDefault="00BD4E4C" w:rsidP="00D072D4">
            <w:r w:rsidRPr="00EC0F71">
              <w:t>Chile</w:t>
            </w:r>
          </w:p>
        </w:tc>
      </w:tr>
      <w:tr w:rsidR="00BD4E4C" w:rsidRPr="00C2195B" w14:paraId="2D0E4971" w14:textId="77777777" w:rsidTr="00FC795A">
        <w:tc>
          <w:tcPr>
            <w:tcW w:w="3544" w:type="dxa"/>
            <w:vMerge/>
            <w:noWrap/>
          </w:tcPr>
          <w:p w14:paraId="6D3D7AE5" w14:textId="77777777" w:rsidR="00BD4E4C" w:rsidRPr="00EC0F71" w:rsidRDefault="00BD4E4C" w:rsidP="00D072D4"/>
        </w:tc>
        <w:tc>
          <w:tcPr>
            <w:tcW w:w="4820" w:type="dxa"/>
            <w:noWrap/>
          </w:tcPr>
          <w:p w14:paraId="6AA09202" w14:textId="77777777" w:rsidR="00BD4E4C" w:rsidRPr="00EC0F71" w:rsidRDefault="00BD4E4C" w:rsidP="00D072D4">
            <w:r w:rsidRPr="00EC0F71">
              <w:t>Colombia</w:t>
            </w:r>
          </w:p>
        </w:tc>
      </w:tr>
      <w:tr w:rsidR="00BD4E4C" w:rsidRPr="00C2195B" w14:paraId="67E079C0" w14:textId="77777777" w:rsidTr="00FC795A">
        <w:tc>
          <w:tcPr>
            <w:tcW w:w="3544" w:type="dxa"/>
            <w:vMerge/>
            <w:noWrap/>
          </w:tcPr>
          <w:p w14:paraId="1824516A" w14:textId="77777777" w:rsidR="00BD4E4C" w:rsidRPr="00EC0F71" w:rsidRDefault="00BD4E4C" w:rsidP="00D072D4"/>
        </w:tc>
        <w:tc>
          <w:tcPr>
            <w:tcW w:w="4820" w:type="dxa"/>
            <w:noWrap/>
          </w:tcPr>
          <w:p w14:paraId="44540F6C" w14:textId="77777777" w:rsidR="00BD4E4C" w:rsidRPr="00EC0F71" w:rsidRDefault="00BD4E4C" w:rsidP="00D072D4">
            <w:r w:rsidRPr="00EC0F71">
              <w:t>Cuba</w:t>
            </w:r>
          </w:p>
        </w:tc>
      </w:tr>
      <w:tr w:rsidR="00BD4E4C" w:rsidRPr="00C2195B" w14:paraId="7FE9C9AF" w14:textId="77777777" w:rsidTr="00FC795A">
        <w:tc>
          <w:tcPr>
            <w:tcW w:w="3544" w:type="dxa"/>
            <w:vMerge/>
            <w:noWrap/>
          </w:tcPr>
          <w:p w14:paraId="29AB9A96" w14:textId="77777777" w:rsidR="00BD4E4C" w:rsidRPr="00EC0F71" w:rsidRDefault="00BD4E4C" w:rsidP="00D072D4"/>
        </w:tc>
        <w:tc>
          <w:tcPr>
            <w:tcW w:w="4820" w:type="dxa"/>
            <w:noWrap/>
          </w:tcPr>
          <w:p w14:paraId="37562C2F" w14:textId="77777777" w:rsidR="00BD4E4C" w:rsidRPr="00EC0F71" w:rsidRDefault="00BD4E4C" w:rsidP="00D072D4">
            <w:r w:rsidRPr="00EC0F71">
              <w:t>Paraguay</w:t>
            </w:r>
          </w:p>
        </w:tc>
      </w:tr>
      <w:tr w:rsidR="00BD4E4C" w:rsidRPr="00C2195B" w14:paraId="67EA5150" w14:textId="77777777" w:rsidTr="00FC795A">
        <w:tc>
          <w:tcPr>
            <w:tcW w:w="3544" w:type="dxa"/>
            <w:vMerge/>
            <w:noWrap/>
          </w:tcPr>
          <w:p w14:paraId="46EB2AC5" w14:textId="77777777" w:rsidR="00BD4E4C" w:rsidRPr="00EC0F71" w:rsidRDefault="00BD4E4C" w:rsidP="00D072D4"/>
        </w:tc>
        <w:tc>
          <w:tcPr>
            <w:tcW w:w="4820" w:type="dxa"/>
            <w:noWrap/>
          </w:tcPr>
          <w:p w14:paraId="46D4AC7F" w14:textId="77777777" w:rsidR="00BD4E4C" w:rsidRPr="00EC0F71" w:rsidRDefault="00BD4E4C" w:rsidP="00D072D4">
            <w:r w:rsidRPr="00EC0F71">
              <w:t>Peru</w:t>
            </w:r>
          </w:p>
        </w:tc>
      </w:tr>
      <w:tr w:rsidR="00BD4E4C" w:rsidRPr="00C2195B" w14:paraId="76D96F36" w14:textId="77777777" w:rsidTr="00FC795A">
        <w:tc>
          <w:tcPr>
            <w:tcW w:w="3544" w:type="dxa"/>
            <w:vMerge/>
            <w:noWrap/>
          </w:tcPr>
          <w:p w14:paraId="233E475A" w14:textId="77777777" w:rsidR="00BD4E4C" w:rsidRPr="00EC0F71" w:rsidRDefault="00BD4E4C" w:rsidP="00D072D4"/>
        </w:tc>
        <w:tc>
          <w:tcPr>
            <w:tcW w:w="4820" w:type="dxa"/>
            <w:noWrap/>
          </w:tcPr>
          <w:p w14:paraId="274400A5" w14:textId="77777777" w:rsidR="00BD4E4C" w:rsidRPr="00EC0F71" w:rsidRDefault="00BD4E4C" w:rsidP="00D072D4">
            <w:r w:rsidRPr="00EC0F71">
              <w:t>Saint Lucia</w:t>
            </w:r>
          </w:p>
        </w:tc>
      </w:tr>
      <w:tr w:rsidR="00BD4E4C" w:rsidRPr="00C2195B" w14:paraId="08463B4D" w14:textId="77777777" w:rsidTr="00FC795A">
        <w:tc>
          <w:tcPr>
            <w:tcW w:w="3544" w:type="dxa"/>
            <w:vMerge/>
            <w:noWrap/>
          </w:tcPr>
          <w:p w14:paraId="0E8C7071" w14:textId="77777777" w:rsidR="00BD4E4C" w:rsidRPr="00EC0F71" w:rsidRDefault="00BD4E4C" w:rsidP="00D072D4"/>
        </w:tc>
        <w:tc>
          <w:tcPr>
            <w:tcW w:w="4820" w:type="dxa"/>
            <w:noWrap/>
          </w:tcPr>
          <w:p w14:paraId="3CC26269" w14:textId="77777777" w:rsidR="00BD4E4C" w:rsidRPr="00EC0F71" w:rsidRDefault="00BD4E4C" w:rsidP="00D072D4">
            <w:r w:rsidRPr="00EC0F71">
              <w:t>Uruguay</w:t>
            </w:r>
          </w:p>
        </w:tc>
      </w:tr>
      <w:tr w:rsidR="00BD4E4C" w:rsidRPr="00C2195B" w14:paraId="23C05A24" w14:textId="77777777" w:rsidTr="00FC795A">
        <w:tc>
          <w:tcPr>
            <w:tcW w:w="3544" w:type="dxa"/>
            <w:vMerge w:val="restart"/>
            <w:noWrap/>
          </w:tcPr>
          <w:p w14:paraId="095DB4B2" w14:textId="77777777" w:rsidR="00BD4E4C" w:rsidRPr="00EC0F71" w:rsidRDefault="00BD4E4C" w:rsidP="00D072D4">
            <w:r w:rsidRPr="00EC0F71">
              <w:t>North America</w:t>
            </w:r>
          </w:p>
        </w:tc>
        <w:tc>
          <w:tcPr>
            <w:tcW w:w="4820" w:type="dxa"/>
            <w:noWrap/>
          </w:tcPr>
          <w:p w14:paraId="6AE9BB39" w14:textId="77777777" w:rsidR="00BD4E4C" w:rsidRPr="00EC0F71" w:rsidRDefault="00BD4E4C" w:rsidP="00D072D4">
            <w:r w:rsidRPr="00EC0F71">
              <w:t>Canada</w:t>
            </w:r>
          </w:p>
        </w:tc>
      </w:tr>
      <w:tr w:rsidR="00BD4E4C" w:rsidRPr="00C2195B" w14:paraId="471A3912" w14:textId="77777777" w:rsidTr="00FC795A">
        <w:tc>
          <w:tcPr>
            <w:tcW w:w="3544" w:type="dxa"/>
            <w:vMerge/>
            <w:noWrap/>
          </w:tcPr>
          <w:p w14:paraId="254EE83A" w14:textId="77777777" w:rsidR="00BD4E4C" w:rsidRPr="00EC0F71" w:rsidRDefault="00BD4E4C" w:rsidP="00D072D4"/>
        </w:tc>
        <w:tc>
          <w:tcPr>
            <w:tcW w:w="4820" w:type="dxa"/>
            <w:noWrap/>
          </w:tcPr>
          <w:p w14:paraId="5F2FC80B" w14:textId="77777777" w:rsidR="00BD4E4C" w:rsidRPr="00EC0F71" w:rsidRDefault="00BD4E4C" w:rsidP="00D072D4">
            <w:r w:rsidRPr="00EC0F71">
              <w:t>Mexico</w:t>
            </w:r>
          </w:p>
        </w:tc>
      </w:tr>
      <w:tr w:rsidR="00BD4E4C" w:rsidRPr="00C2195B" w14:paraId="7CC1416A" w14:textId="77777777" w:rsidTr="00FC795A">
        <w:tc>
          <w:tcPr>
            <w:tcW w:w="3544" w:type="dxa"/>
            <w:noWrap/>
          </w:tcPr>
          <w:p w14:paraId="540C30AB" w14:textId="77777777" w:rsidR="00BD4E4C" w:rsidRPr="00EC0F71" w:rsidRDefault="00BD4E4C" w:rsidP="00D072D4">
            <w:r w:rsidRPr="00EC0F71">
              <w:t>Oceania</w:t>
            </w:r>
          </w:p>
        </w:tc>
        <w:tc>
          <w:tcPr>
            <w:tcW w:w="4820" w:type="dxa"/>
            <w:noWrap/>
          </w:tcPr>
          <w:p w14:paraId="72B3F4BF" w14:textId="77777777" w:rsidR="00BD4E4C" w:rsidRPr="00EC0F71" w:rsidRDefault="00BD4E4C" w:rsidP="00D072D4">
            <w:r w:rsidRPr="00EC0F71">
              <w:t>New Zealand</w:t>
            </w:r>
          </w:p>
        </w:tc>
      </w:tr>
    </w:tbl>
    <w:p w14:paraId="1CF76D6E" w14:textId="77777777" w:rsidR="00BD4E4C" w:rsidRDefault="00BD4E4C">
      <w:pPr>
        <w:rPr>
          <w:lang w:val="en-GB"/>
        </w:rPr>
        <w:sectPr w:rsidR="00BD4E4C" w:rsidSect="00EC0F71">
          <w:headerReference w:type="default" r:id="rId11"/>
          <w:footerReference w:type="default" r:id="rId12"/>
          <w:pgSz w:w="11906" w:h="16838"/>
          <w:pgMar w:top="1440" w:right="1440" w:bottom="1440" w:left="1440" w:header="708" w:footer="708" w:gutter="0"/>
          <w:cols w:space="708"/>
          <w:titlePg/>
          <w:docGrid w:linePitch="360"/>
        </w:sectPr>
      </w:pPr>
    </w:p>
    <w:p w14:paraId="5B2DDA6B" w14:textId="51A216FA" w:rsidR="00C2195B" w:rsidRPr="00EC0F71" w:rsidRDefault="00C2195B" w:rsidP="00EC0F71">
      <w:pPr>
        <w:spacing w:after="0" w:line="240" w:lineRule="auto"/>
        <w:rPr>
          <w:b/>
          <w:sz w:val="24"/>
          <w:lang w:val="en-GB"/>
        </w:rPr>
      </w:pPr>
      <w:r w:rsidRPr="00EC0F71">
        <w:rPr>
          <w:b/>
          <w:sz w:val="24"/>
          <w:lang w:val="en-GB"/>
        </w:rPr>
        <w:lastRenderedPageBreak/>
        <w:t>Annex 2</w:t>
      </w:r>
    </w:p>
    <w:p w14:paraId="09212353" w14:textId="77777777" w:rsidR="00AE7835" w:rsidRPr="00C2195B" w:rsidRDefault="00AE7835" w:rsidP="00C2195B">
      <w:pPr>
        <w:spacing w:after="0" w:line="240" w:lineRule="auto"/>
        <w:rPr>
          <w:b/>
          <w:sz w:val="24"/>
          <w:szCs w:val="24"/>
          <w:lang w:val="en-GB"/>
        </w:rPr>
      </w:pPr>
      <w:r w:rsidRPr="00C2195B">
        <w:rPr>
          <w:b/>
          <w:sz w:val="24"/>
          <w:szCs w:val="24"/>
          <w:lang w:val="en-GB"/>
        </w:rPr>
        <w:t>Summary table of opportunities to strength</w:t>
      </w:r>
      <w:r w:rsidR="00C2195B">
        <w:rPr>
          <w:b/>
          <w:sz w:val="24"/>
          <w:szCs w:val="24"/>
          <w:lang w:val="en-GB"/>
        </w:rPr>
        <w:t>en</w:t>
      </w:r>
      <w:r w:rsidRPr="00C2195B">
        <w:rPr>
          <w:b/>
          <w:sz w:val="24"/>
          <w:szCs w:val="24"/>
          <w:lang w:val="en-GB"/>
        </w:rPr>
        <w:t xml:space="preserve"> the Secretariat in line with</w:t>
      </w:r>
      <w:r w:rsidR="00C2195B">
        <w:rPr>
          <w:b/>
          <w:sz w:val="24"/>
          <w:szCs w:val="24"/>
          <w:lang w:val="en-GB"/>
        </w:rPr>
        <w:t xml:space="preserve"> paragraph 22 of Resolution XIV.6</w:t>
      </w:r>
    </w:p>
    <w:p w14:paraId="5754E292" w14:textId="77777777" w:rsidR="00AE7835" w:rsidRDefault="00AE7835" w:rsidP="00AE7835">
      <w:pPr>
        <w:snapToGrid w:val="0"/>
        <w:spacing w:after="0" w:line="240" w:lineRule="auto"/>
        <w:rPr>
          <w:rFonts w:eastAsia="Times New Roman" w:cstheme="minorHAnsi"/>
          <w:bCs/>
        </w:rPr>
      </w:pPr>
    </w:p>
    <w:p w14:paraId="6E84D673" w14:textId="77777777" w:rsidR="00AE7835" w:rsidRDefault="00AE7835" w:rsidP="00AE7835">
      <w:pPr>
        <w:snapToGrid w:val="0"/>
        <w:spacing w:after="0" w:line="240" w:lineRule="auto"/>
        <w:rPr>
          <w:rFonts w:eastAsia="Times New Roman" w:cstheme="minorHAnsi"/>
          <w:bCs/>
        </w:rPr>
      </w:pPr>
    </w:p>
    <w:tbl>
      <w:tblPr>
        <w:tblStyle w:val="TableGrid"/>
        <w:tblW w:w="15168" w:type="dxa"/>
        <w:tblInd w:w="-572" w:type="dxa"/>
        <w:tblLayout w:type="fixed"/>
        <w:tblCellMar>
          <w:top w:w="28" w:type="dxa"/>
          <w:left w:w="57" w:type="dxa"/>
          <w:bottom w:w="28" w:type="dxa"/>
          <w:right w:w="57" w:type="dxa"/>
        </w:tblCellMar>
        <w:tblLook w:val="04A0" w:firstRow="1" w:lastRow="0" w:firstColumn="1" w:lastColumn="0" w:noHBand="0" w:noVBand="1"/>
      </w:tblPr>
      <w:tblGrid>
        <w:gridCol w:w="1555"/>
        <w:gridCol w:w="2126"/>
        <w:gridCol w:w="2126"/>
        <w:gridCol w:w="2131"/>
        <w:gridCol w:w="1555"/>
        <w:gridCol w:w="2976"/>
        <w:gridCol w:w="2699"/>
      </w:tblGrid>
      <w:tr w:rsidR="00A95E5F" w:rsidRPr="009B0E63" w14:paraId="5CA3ACCD" w14:textId="77777777" w:rsidTr="00EC0F71">
        <w:trPr>
          <w:tblHeader/>
        </w:trPr>
        <w:tc>
          <w:tcPr>
            <w:tcW w:w="1555" w:type="dxa"/>
            <w:vAlign w:val="center"/>
          </w:tcPr>
          <w:p w14:paraId="7923EAB1" w14:textId="52584C7C" w:rsidR="00A95E5F" w:rsidRPr="009B0E63" w:rsidRDefault="00A95E5F" w:rsidP="00EC0F71">
            <w:pPr>
              <w:pStyle w:val="Default"/>
              <w:jc w:val="center"/>
              <w:rPr>
                <w:rFonts w:asciiTheme="minorHAnsi" w:hAnsiTheme="minorHAnsi" w:cstheme="minorHAnsi"/>
                <w:b/>
                <w:bCs/>
                <w:sz w:val="20"/>
                <w:szCs w:val="20"/>
              </w:rPr>
            </w:pPr>
            <w:r w:rsidRPr="009B0E63">
              <w:rPr>
                <w:rFonts w:asciiTheme="minorHAnsi" w:hAnsiTheme="minorHAnsi" w:cstheme="minorHAnsi"/>
                <w:b/>
                <w:bCs/>
                <w:sz w:val="20"/>
                <w:szCs w:val="20"/>
              </w:rPr>
              <w:t>Opportunities</w:t>
            </w:r>
          </w:p>
        </w:tc>
        <w:tc>
          <w:tcPr>
            <w:tcW w:w="6383" w:type="dxa"/>
            <w:gridSpan w:val="3"/>
            <w:vAlign w:val="center"/>
          </w:tcPr>
          <w:p w14:paraId="71EF7E4F" w14:textId="77777777" w:rsidR="00A95E5F" w:rsidRPr="009B0E63" w:rsidRDefault="00A95E5F" w:rsidP="00C2195B">
            <w:pPr>
              <w:pStyle w:val="Default"/>
              <w:jc w:val="center"/>
              <w:rPr>
                <w:rFonts w:asciiTheme="minorHAnsi" w:hAnsiTheme="minorHAnsi" w:cstheme="minorHAnsi"/>
                <w:b/>
                <w:bCs/>
                <w:sz w:val="20"/>
                <w:szCs w:val="20"/>
              </w:rPr>
            </w:pPr>
            <w:r w:rsidRPr="009B0E63">
              <w:rPr>
                <w:rFonts w:asciiTheme="minorHAnsi" w:hAnsiTheme="minorHAnsi" w:cstheme="minorHAnsi"/>
                <w:b/>
                <w:bCs/>
                <w:sz w:val="20"/>
                <w:szCs w:val="20"/>
              </w:rPr>
              <w:t>Elements</w:t>
            </w:r>
          </w:p>
        </w:tc>
        <w:tc>
          <w:tcPr>
            <w:tcW w:w="1555" w:type="dxa"/>
            <w:vAlign w:val="center"/>
          </w:tcPr>
          <w:p w14:paraId="0BCDA034" w14:textId="77777777" w:rsidR="00A95E5F" w:rsidRPr="009B0E63" w:rsidRDefault="00A95E5F" w:rsidP="00EC0F71">
            <w:pPr>
              <w:pStyle w:val="Default"/>
              <w:jc w:val="center"/>
              <w:rPr>
                <w:rFonts w:asciiTheme="minorHAnsi" w:hAnsiTheme="minorHAnsi" w:cstheme="minorHAnsi"/>
                <w:b/>
                <w:bCs/>
                <w:sz w:val="20"/>
                <w:szCs w:val="20"/>
              </w:rPr>
            </w:pPr>
            <w:r w:rsidRPr="009B0E63">
              <w:rPr>
                <w:rFonts w:asciiTheme="minorHAnsi" w:hAnsiTheme="minorHAnsi" w:cstheme="minorHAnsi"/>
                <w:b/>
                <w:bCs/>
                <w:sz w:val="20"/>
                <w:szCs w:val="20"/>
              </w:rPr>
              <w:t>Prioritization based on impact:</w:t>
            </w:r>
          </w:p>
          <w:p w14:paraId="6A8795F9" w14:textId="207B1ED2" w:rsidR="00A95E5F" w:rsidRPr="009B0E63" w:rsidRDefault="00A95E5F" w:rsidP="00EC0F71">
            <w:pPr>
              <w:pStyle w:val="Default"/>
              <w:jc w:val="center"/>
              <w:rPr>
                <w:rFonts w:asciiTheme="minorHAnsi" w:hAnsiTheme="minorHAnsi" w:cstheme="minorHAnsi"/>
                <w:b/>
                <w:bCs/>
                <w:sz w:val="20"/>
                <w:szCs w:val="20"/>
              </w:rPr>
            </w:pPr>
            <w:r w:rsidRPr="009B0E63">
              <w:rPr>
                <w:rFonts w:asciiTheme="minorHAnsi" w:hAnsiTheme="minorHAnsi" w:cstheme="minorHAnsi"/>
                <w:b/>
                <w:bCs/>
                <w:sz w:val="20"/>
                <w:szCs w:val="20"/>
              </w:rPr>
              <w:t>1: low, 3: medium, 5: high</w:t>
            </w:r>
          </w:p>
        </w:tc>
        <w:tc>
          <w:tcPr>
            <w:tcW w:w="2976" w:type="dxa"/>
            <w:vAlign w:val="center"/>
          </w:tcPr>
          <w:p w14:paraId="6E915C4D" w14:textId="5C6EBE25" w:rsidR="00A95E5F" w:rsidRPr="009B0E63" w:rsidRDefault="00A95E5F" w:rsidP="00EC0F71">
            <w:pPr>
              <w:pStyle w:val="Default"/>
              <w:jc w:val="center"/>
              <w:rPr>
                <w:rFonts w:asciiTheme="minorHAnsi" w:hAnsiTheme="minorHAnsi" w:cstheme="minorHAnsi"/>
                <w:b/>
                <w:bCs/>
                <w:sz w:val="20"/>
                <w:szCs w:val="20"/>
              </w:rPr>
            </w:pPr>
            <w:r w:rsidRPr="009B0E63">
              <w:rPr>
                <w:rFonts w:asciiTheme="minorHAnsi" w:hAnsiTheme="minorHAnsi" w:cstheme="minorHAnsi"/>
                <w:b/>
                <w:bCs/>
                <w:sz w:val="20"/>
                <w:szCs w:val="20"/>
              </w:rPr>
              <w:t xml:space="preserve">Recommendations provided by interested </w:t>
            </w:r>
            <w:r w:rsidR="00582923">
              <w:rPr>
                <w:rFonts w:asciiTheme="minorHAnsi" w:hAnsiTheme="minorHAnsi" w:cstheme="minorHAnsi"/>
                <w:b/>
                <w:bCs/>
                <w:sz w:val="20"/>
                <w:szCs w:val="20"/>
              </w:rPr>
              <w:t xml:space="preserve">Contracting </w:t>
            </w:r>
            <w:r w:rsidRPr="009B0E63">
              <w:rPr>
                <w:rFonts w:asciiTheme="minorHAnsi" w:hAnsiTheme="minorHAnsi" w:cstheme="minorHAnsi"/>
                <w:b/>
                <w:bCs/>
                <w:sz w:val="20"/>
                <w:szCs w:val="20"/>
              </w:rPr>
              <w:t>Parties</w:t>
            </w:r>
          </w:p>
        </w:tc>
        <w:tc>
          <w:tcPr>
            <w:tcW w:w="2699" w:type="dxa"/>
            <w:vAlign w:val="center"/>
          </w:tcPr>
          <w:p w14:paraId="598EF6EC" w14:textId="2E5A15BD" w:rsidR="00A95E5F" w:rsidRPr="009B0E63" w:rsidRDefault="006A69DF" w:rsidP="00EC0F71">
            <w:pPr>
              <w:pStyle w:val="Default"/>
              <w:jc w:val="center"/>
              <w:rPr>
                <w:rFonts w:asciiTheme="minorHAnsi" w:hAnsiTheme="minorHAnsi" w:cstheme="minorHAnsi"/>
                <w:b/>
                <w:bCs/>
                <w:sz w:val="20"/>
                <w:szCs w:val="20"/>
              </w:rPr>
            </w:pPr>
            <w:r w:rsidRPr="009B0E63">
              <w:rPr>
                <w:rFonts w:asciiTheme="minorHAnsi" w:hAnsiTheme="minorHAnsi" w:cstheme="minorHAnsi"/>
                <w:b/>
                <w:bCs/>
                <w:sz w:val="20"/>
                <w:szCs w:val="20"/>
              </w:rPr>
              <w:t>Recommendations provided by</w:t>
            </w:r>
            <w:r w:rsidR="00A95E5F" w:rsidRPr="009B0E63">
              <w:rPr>
                <w:rFonts w:asciiTheme="minorHAnsi" w:hAnsiTheme="minorHAnsi" w:cstheme="minorHAnsi"/>
                <w:b/>
                <w:bCs/>
                <w:sz w:val="20"/>
                <w:szCs w:val="20"/>
              </w:rPr>
              <w:t xml:space="preserve"> </w:t>
            </w:r>
            <w:r w:rsidR="002D16E1" w:rsidRPr="009B0E63">
              <w:rPr>
                <w:rFonts w:asciiTheme="minorHAnsi" w:hAnsiTheme="minorHAnsi" w:cstheme="minorHAnsi"/>
                <w:b/>
                <w:bCs/>
                <w:sz w:val="20"/>
                <w:szCs w:val="20"/>
              </w:rPr>
              <w:t>the Secretar</w:t>
            </w:r>
            <w:r w:rsidR="00CD70EE" w:rsidRPr="009B0E63">
              <w:rPr>
                <w:rFonts w:asciiTheme="minorHAnsi" w:hAnsiTheme="minorHAnsi" w:cstheme="minorHAnsi"/>
                <w:b/>
                <w:bCs/>
                <w:sz w:val="20"/>
                <w:szCs w:val="20"/>
              </w:rPr>
              <w:t>iat</w:t>
            </w:r>
          </w:p>
        </w:tc>
      </w:tr>
      <w:tr w:rsidR="00EC0F71" w:rsidRPr="009B0E63" w14:paraId="48C4D067" w14:textId="77777777" w:rsidTr="00C71000">
        <w:tc>
          <w:tcPr>
            <w:tcW w:w="1555" w:type="dxa"/>
          </w:tcPr>
          <w:p w14:paraId="0E2911FD" w14:textId="237A1FF9" w:rsidR="00A95E5F" w:rsidRPr="00EC0F71" w:rsidRDefault="0086199D" w:rsidP="008E7036">
            <w:pPr>
              <w:pStyle w:val="Default"/>
              <w:rPr>
                <w:rFonts w:asciiTheme="minorHAnsi" w:hAnsiTheme="minorHAnsi"/>
                <w:sz w:val="20"/>
              </w:rPr>
            </w:pPr>
            <w:r w:rsidRPr="00EC0F71">
              <w:rPr>
                <w:rFonts w:asciiTheme="minorHAnsi" w:hAnsiTheme="minorHAnsi"/>
                <w:sz w:val="20"/>
              </w:rPr>
              <w:t>1.</w:t>
            </w:r>
            <w:r w:rsidR="00A95E5F" w:rsidRPr="00EC0F71">
              <w:rPr>
                <w:rFonts w:asciiTheme="minorHAnsi" w:hAnsiTheme="minorHAnsi"/>
                <w:sz w:val="20"/>
              </w:rPr>
              <w:t xml:space="preserve"> Administrative arrangements</w:t>
            </w:r>
          </w:p>
        </w:tc>
        <w:tc>
          <w:tcPr>
            <w:tcW w:w="2126" w:type="dxa"/>
            <w:shd w:val="clear" w:color="auto" w:fill="auto"/>
          </w:tcPr>
          <w:p w14:paraId="58A3BE65" w14:textId="77777777" w:rsidR="00A95E5F" w:rsidRPr="00EC0F71" w:rsidRDefault="00A95E5F" w:rsidP="008E7036">
            <w:pPr>
              <w:rPr>
                <w:sz w:val="20"/>
                <w:u w:val="single"/>
              </w:rPr>
            </w:pPr>
            <w:r w:rsidRPr="00EC0F71">
              <w:rPr>
                <w:sz w:val="20"/>
                <w:u w:val="single"/>
              </w:rPr>
              <w:t>Delegation of Authority (DOA) and Letter of Agreement (LOA).</w:t>
            </w:r>
          </w:p>
          <w:p w14:paraId="1CCC1E55" w14:textId="77777777" w:rsidR="00A95E5F" w:rsidRPr="00EC0F71" w:rsidRDefault="00A95E5F" w:rsidP="008E7036">
            <w:pPr>
              <w:rPr>
                <w:sz w:val="20"/>
              </w:rPr>
            </w:pPr>
          </w:p>
          <w:p w14:paraId="5DB45D19" w14:textId="430DEB69" w:rsidR="00A95E5F" w:rsidRPr="00EC0F71" w:rsidRDefault="00A95E5F" w:rsidP="00BF07F3">
            <w:pPr>
              <w:rPr>
                <w:sz w:val="20"/>
              </w:rPr>
            </w:pPr>
            <w:r w:rsidRPr="00EC0F71">
              <w:rPr>
                <w:sz w:val="20"/>
              </w:rPr>
              <w:t xml:space="preserve">The Secretariat is empowered to enter into contractual arrangements autonomously from IUCN (i.e. without the need for IUCN to sign on behalf of, or in conjunction with, the Secretariat). However, there are limitations in the ability of the Secretariat to directly </w:t>
            </w:r>
            <w:r w:rsidRPr="00EC0F71">
              <w:rPr>
                <w:rStyle w:val="cf01"/>
                <w:rFonts w:asciiTheme="minorHAnsi" w:hAnsiTheme="minorHAnsi"/>
                <w:sz w:val="20"/>
              </w:rPr>
              <w:t xml:space="preserve">contract with donors, implementing partners and </w:t>
            </w:r>
            <w:r w:rsidR="00BF07F3" w:rsidRPr="009B0E63">
              <w:rPr>
                <w:rStyle w:val="cf01"/>
                <w:rFonts w:asciiTheme="minorHAnsi" w:hAnsiTheme="minorHAnsi" w:cstheme="minorHAnsi"/>
                <w:sz w:val="20"/>
                <w:szCs w:val="20"/>
              </w:rPr>
              <w:t>third</w:t>
            </w:r>
            <w:r w:rsidRPr="00EC0F71">
              <w:rPr>
                <w:rStyle w:val="cf01"/>
                <w:rFonts w:asciiTheme="minorHAnsi" w:hAnsiTheme="minorHAnsi"/>
                <w:sz w:val="20"/>
              </w:rPr>
              <w:t xml:space="preserve"> parties as well as d</w:t>
            </w:r>
            <w:r w:rsidRPr="00EC0F71">
              <w:rPr>
                <w:sz w:val="20"/>
              </w:rPr>
              <w:t>ifficulties in project management related to legal capacity</w:t>
            </w:r>
            <w:r w:rsidRPr="00EC0F71">
              <w:rPr>
                <w:b/>
                <w:sz w:val="20"/>
              </w:rPr>
              <w:t xml:space="preserve"> </w:t>
            </w:r>
            <w:r w:rsidRPr="00EC0F71">
              <w:rPr>
                <w:sz w:val="20"/>
              </w:rPr>
              <w:t xml:space="preserve">to sign contracts, in particular when donors do not accept the delegation of authority to the </w:t>
            </w:r>
            <w:r w:rsidRPr="00EC0F71">
              <w:rPr>
                <w:sz w:val="20"/>
              </w:rPr>
              <w:lastRenderedPageBreak/>
              <w:t>Secretary General and request projects to be signed by IUCN.</w:t>
            </w:r>
            <w:r w:rsidR="00C2195B" w:rsidRPr="00EC0F71">
              <w:rPr>
                <w:sz w:val="20"/>
              </w:rPr>
              <w:t xml:space="preserve"> </w:t>
            </w:r>
          </w:p>
        </w:tc>
        <w:tc>
          <w:tcPr>
            <w:tcW w:w="2126" w:type="dxa"/>
            <w:shd w:val="clear" w:color="auto" w:fill="auto"/>
          </w:tcPr>
          <w:p w14:paraId="6B646717" w14:textId="77777777" w:rsidR="00A95E5F" w:rsidRPr="00EC0F71" w:rsidRDefault="00A95E5F" w:rsidP="008E7036">
            <w:pPr>
              <w:rPr>
                <w:sz w:val="20"/>
                <w:u w:val="single"/>
              </w:rPr>
            </w:pPr>
            <w:r w:rsidRPr="00EC0F71">
              <w:rPr>
                <w:sz w:val="20"/>
                <w:u w:val="single"/>
              </w:rPr>
              <w:lastRenderedPageBreak/>
              <w:t>Provisions for unpaid contributions</w:t>
            </w:r>
          </w:p>
          <w:p w14:paraId="05D3C37D" w14:textId="77777777" w:rsidR="00A95E5F" w:rsidRPr="00EC0F71" w:rsidRDefault="00A95E5F" w:rsidP="008E7036">
            <w:pPr>
              <w:rPr>
                <w:rStyle w:val="cf01"/>
                <w:rFonts w:asciiTheme="minorHAnsi" w:hAnsiTheme="minorHAnsi"/>
                <w:sz w:val="20"/>
                <w:u w:val="single"/>
              </w:rPr>
            </w:pPr>
          </w:p>
          <w:p w14:paraId="27FF35B4" w14:textId="080CE3FB" w:rsidR="00A95E5F" w:rsidRPr="00EC0F71" w:rsidRDefault="00A95E5F" w:rsidP="008E7036">
            <w:pPr>
              <w:rPr>
                <w:sz w:val="20"/>
              </w:rPr>
            </w:pPr>
            <w:r w:rsidRPr="00EC0F71">
              <w:rPr>
                <w:sz w:val="20"/>
              </w:rPr>
              <w:t xml:space="preserve">To be in accordance with Swiss law, </w:t>
            </w:r>
            <w:r w:rsidR="00BF07F3" w:rsidRPr="009B0E63">
              <w:rPr>
                <w:rFonts w:cstheme="minorHAnsi"/>
                <w:sz w:val="20"/>
                <w:szCs w:val="20"/>
              </w:rPr>
              <w:t xml:space="preserve">the </w:t>
            </w:r>
            <w:r w:rsidRPr="00EC0F71">
              <w:rPr>
                <w:sz w:val="20"/>
              </w:rPr>
              <w:t>Standing Committee</w:t>
            </w:r>
            <w:r w:rsidRPr="009B0E63">
              <w:rPr>
                <w:rFonts w:cstheme="minorHAnsi"/>
                <w:sz w:val="20"/>
                <w:szCs w:val="20"/>
              </w:rPr>
              <w:t xml:space="preserve"> </w:t>
            </w:r>
            <w:r w:rsidR="00BF07F3" w:rsidRPr="009B0E63">
              <w:rPr>
                <w:rFonts w:cstheme="minorHAnsi"/>
                <w:sz w:val="20"/>
                <w:szCs w:val="20"/>
              </w:rPr>
              <w:t>through</w:t>
            </w:r>
            <w:r w:rsidR="00BF07F3" w:rsidRPr="00EC0F71">
              <w:rPr>
                <w:sz w:val="20"/>
              </w:rPr>
              <w:t xml:space="preserve"> </w:t>
            </w:r>
            <w:r w:rsidRPr="00EC0F71">
              <w:rPr>
                <w:sz w:val="20"/>
              </w:rPr>
              <w:t xml:space="preserve">Decision SC57-39 (June 2019) agreed to increase the provision to 100% for all outstanding balances for Contracting Parties which have not made a contribution payment in the past four years. Swiss law requires the Convention to book a higher amount as a provision for </w:t>
            </w:r>
            <w:r w:rsidR="00BF07F3" w:rsidRPr="00EC0F71">
              <w:rPr>
                <w:sz w:val="20"/>
              </w:rPr>
              <w:t xml:space="preserve">outstanding contributions than </w:t>
            </w:r>
            <w:r w:rsidR="00BF07F3" w:rsidRPr="009B0E63">
              <w:rPr>
                <w:rFonts w:cstheme="minorHAnsi"/>
                <w:sz w:val="20"/>
                <w:szCs w:val="20"/>
              </w:rPr>
              <w:t>C</w:t>
            </w:r>
            <w:r w:rsidRPr="009B0E63">
              <w:rPr>
                <w:rFonts w:cstheme="minorHAnsi"/>
                <w:sz w:val="20"/>
                <w:szCs w:val="20"/>
              </w:rPr>
              <w:t>onventions</w:t>
            </w:r>
            <w:r w:rsidRPr="00EC0F71">
              <w:rPr>
                <w:sz w:val="20"/>
              </w:rPr>
              <w:t xml:space="preserve"> within the UN that follow IPSAS rules.  </w:t>
            </w:r>
          </w:p>
        </w:tc>
        <w:tc>
          <w:tcPr>
            <w:tcW w:w="2131" w:type="dxa"/>
            <w:shd w:val="clear" w:color="auto" w:fill="auto"/>
          </w:tcPr>
          <w:p w14:paraId="04BC0313" w14:textId="24730D8E" w:rsidR="00A95E5F" w:rsidRPr="00EC0F71" w:rsidRDefault="00A95E5F" w:rsidP="008E7036">
            <w:pPr>
              <w:pStyle w:val="Default"/>
              <w:rPr>
                <w:rFonts w:asciiTheme="minorHAnsi" w:hAnsiTheme="minorHAnsi"/>
                <w:sz w:val="20"/>
                <w:u w:val="single"/>
              </w:rPr>
            </w:pPr>
            <w:r w:rsidRPr="00EC0F71">
              <w:rPr>
                <w:rFonts w:asciiTheme="minorHAnsi" w:hAnsiTheme="minorHAnsi"/>
                <w:sz w:val="20"/>
                <w:u w:val="single"/>
              </w:rPr>
              <w:t xml:space="preserve">Lack of staff access when </w:t>
            </w:r>
            <w:r w:rsidR="00BF07F3" w:rsidRPr="009B0E63">
              <w:rPr>
                <w:rFonts w:asciiTheme="minorHAnsi" w:hAnsiTheme="minorHAnsi" w:cstheme="minorHAnsi"/>
                <w:sz w:val="20"/>
                <w:szCs w:val="20"/>
                <w:u w:val="single"/>
              </w:rPr>
              <w:t>on</w:t>
            </w:r>
            <w:r w:rsidRPr="00EC0F71">
              <w:rPr>
                <w:rFonts w:asciiTheme="minorHAnsi" w:hAnsiTheme="minorHAnsi"/>
                <w:sz w:val="20"/>
                <w:u w:val="single"/>
              </w:rPr>
              <w:t xml:space="preserve"> mission to UN logi</w:t>
            </w:r>
            <w:r w:rsidR="0086199D" w:rsidRPr="00EC0F71">
              <w:rPr>
                <w:rFonts w:asciiTheme="minorHAnsi" w:hAnsiTheme="minorHAnsi"/>
                <w:sz w:val="20"/>
                <w:u w:val="single"/>
              </w:rPr>
              <w:t>stical and security assistance</w:t>
            </w:r>
          </w:p>
          <w:p w14:paraId="3BCEAAB9" w14:textId="77777777" w:rsidR="00A95E5F" w:rsidRPr="00EC0F71" w:rsidRDefault="00A95E5F" w:rsidP="008E7036">
            <w:pPr>
              <w:pStyle w:val="Default"/>
              <w:rPr>
                <w:rFonts w:asciiTheme="minorHAnsi" w:hAnsiTheme="minorHAnsi"/>
                <w:sz w:val="20"/>
                <w:u w:val="single"/>
              </w:rPr>
            </w:pPr>
          </w:p>
          <w:p w14:paraId="0278453E" w14:textId="46607B69" w:rsidR="00A95E5F" w:rsidRPr="00EC0F71" w:rsidRDefault="00A95E5F" w:rsidP="00C647D0">
            <w:pPr>
              <w:pStyle w:val="Default"/>
              <w:rPr>
                <w:rFonts w:asciiTheme="minorHAnsi" w:hAnsiTheme="minorHAnsi"/>
                <w:sz w:val="20"/>
              </w:rPr>
            </w:pPr>
            <w:r w:rsidRPr="00EC0F71">
              <w:rPr>
                <w:rFonts w:asciiTheme="minorHAnsi" w:hAnsiTheme="minorHAnsi"/>
                <w:sz w:val="20"/>
              </w:rPr>
              <w:t xml:space="preserve">Secretariat staff </w:t>
            </w:r>
            <w:r w:rsidRPr="009B0E63">
              <w:rPr>
                <w:rFonts w:asciiTheme="minorHAnsi" w:hAnsiTheme="minorHAnsi" w:cstheme="minorHAnsi"/>
                <w:sz w:val="20"/>
                <w:szCs w:val="20"/>
              </w:rPr>
              <w:t>do</w:t>
            </w:r>
            <w:r w:rsidRPr="00EC0F71">
              <w:rPr>
                <w:rFonts w:asciiTheme="minorHAnsi" w:hAnsiTheme="minorHAnsi"/>
                <w:sz w:val="20"/>
              </w:rPr>
              <w:t xml:space="preserve"> not have access to a network of logistical and security assistance, as UN staff </w:t>
            </w:r>
            <w:r w:rsidRPr="009B0E63">
              <w:rPr>
                <w:rFonts w:asciiTheme="minorHAnsi" w:hAnsiTheme="minorHAnsi" w:cstheme="minorHAnsi"/>
                <w:sz w:val="20"/>
                <w:szCs w:val="20"/>
              </w:rPr>
              <w:t>do</w:t>
            </w:r>
            <w:r w:rsidRPr="00EC0F71">
              <w:rPr>
                <w:rFonts w:asciiTheme="minorHAnsi" w:hAnsiTheme="minorHAnsi"/>
                <w:sz w:val="20"/>
              </w:rPr>
              <w:t xml:space="preserve"> in countries where there are risks to staff safety and well-being. </w:t>
            </w:r>
          </w:p>
          <w:p w14:paraId="5B04FA51" w14:textId="77777777" w:rsidR="00A95E5F" w:rsidRPr="00EC0F71" w:rsidRDefault="00A95E5F" w:rsidP="00C647D0">
            <w:pPr>
              <w:pStyle w:val="Default"/>
              <w:rPr>
                <w:rFonts w:asciiTheme="minorHAnsi" w:hAnsiTheme="minorHAnsi"/>
                <w:sz w:val="20"/>
                <w:u w:val="single"/>
              </w:rPr>
            </w:pPr>
          </w:p>
        </w:tc>
        <w:tc>
          <w:tcPr>
            <w:tcW w:w="1555" w:type="dxa"/>
          </w:tcPr>
          <w:p w14:paraId="6903E85E" w14:textId="41D02681" w:rsidR="00A95E5F" w:rsidRPr="00EC0F71" w:rsidRDefault="00A95E5F" w:rsidP="008E7036">
            <w:pPr>
              <w:pStyle w:val="Default"/>
              <w:rPr>
                <w:rFonts w:asciiTheme="minorHAnsi" w:hAnsiTheme="minorHAnsi"/>
                <w:b/>
                <w:sz w:val="20"/>
              </w:rPr>
            </w:pPr>
            <w:r w:rsidRPr="00EC0F71">
              <w:rPr>
                <w:rFonts w:asciiTheme="minorHAnsi" w:hAnsiTheme="minorHAnsi"/>
                <w:b/>
                <w:sz w:val="20"/>
              </w:rPr>
              <w:t>5</w:t>
            </w:r>
          </w:p>
        </w:tc>
        <w:tc>
          <w:tcPr>
            <w:tcW w:w="2976" w:type="dxa"/>
          </w:tcPr>
          <w:p w14:paraId="55F6410E" w14:textId="6E6A9F98" w:rsidR="00A95E5F" w:rsidRPr="00EC0F71" w:rsidRDefault="00A95E5F" w:rsidP="00EC0F71">
            <w:pPr>
              <w:pStyle w:val="Default"/>
              <w:numPr>
                <w:ilvl w:val="0"/>
                <w:numId w:val="7"/>
              </w:numPr>
              <w:ind w:left="180" w:hanging="180"/>
              <w:rPr>
                <w:rFonts w:asciiTheme="minorHAnsi" w:hAnsiTheme="minorHAnsi"/>
                <w:sz w:val="20"/>
              </w:rPr>
            </w:pPr>
            <w:r w:rsidRPr="00EC0F71">
              <w:rPr>
                <w:rFonts w:asciiTheme="minorHAnsi" w:hAnsiTheme="minorHAnsi"/>
                <w:sz w:val="20"/>
              </w:rPr>
              <w:t xml:space="preserve">Establish a Working Group to lead the process to achieve organizational robustness to support the implementation of the Convention including </w:t>
            </w:r>
            <w:r w:rsidR="00582923">
              <w:rPr>
                <w:rFonts w:asciiTheme="minorHAnsi" w:hAnsiTheme="minorHAnsi" w:cstheme="minorHAnsi"/>
                <w:bCs/>
                <w:sz w:val="20"/>
                <w:szCs w:val="20"/>
              </w:rPr>
              <w:t xml:space="preserve">through </w:t>
            </w:r>
            <w:r w:rsidRPr="00EC0F71">
              <w:rPr>
                <w:rFonts w:asciiTheme="minorHAnsi" w:hAnsiTheme="minorHAnsi"/>
                <w:sz w:val="20"/>
              </w:rPr>
              <w:t xml:space="preserve">the preparation of a draft </w:t>
            </w:r>
            <w:r w:rsidR="00E37013" w:rsidRPr="009B0E63">
              <w:rPr>
                <w:rFonts w:asciiTheme="minorHAnsi" w:hAnsiTheme="minorHAnsi" w:cstheme="minorHAnsi"/>
                <w:bCs/>
                <w:sz w:val="20"/>
                <w:szCs w:val="20"/>
              </w:rPr>
              <w:t>r</w:t>
            </w:r>
            <w:r w:rsidRPr="009B0E63">
              <w:rPr>
                <w:rFonts w:asciiTheme="minorHAnsi" w:hAnsiTheme="minorHAnsi" w:cstheme="minorHAnsi"/>
                <w:bCs/>
                <w:sz w:val="20"/>
                <w:szCs w:val="20"/>
              </w:rPr>
              <w:t>esolution</w:t>
            </w:r>
            <w:r w:rsidRPr="00EC0F71">
              <w:rPr>
                <w:rFonts w:asciiTheme="minorHAnsi" w:hAnsiTheme="minorHAnsi"/>
                <w:sz w:val="20"/>
              </w:rPr>
              <w:t xml:space="preserve"> for </w:t>
            </w:r>
            <w:r w:rsidR="00E37013" w:rsidRPr="009B0E63">
              <w:rPr>
                <w:rFonts w:asciiTheme="minorHAnsi" w:hAnsiTheme="minorHAnsi" w:cstheme="minorHAnsi"/>
                <w:bCs/>
                <w:sz w:val="20"/>
                <w:szCs w:val="20"/>
              </w:rPr>
              <w:t xml:space="preserve">consideration of </w:t>
            </w:r>
            <w:r w:rsidRPr="00EC0F71">
              <w:rPr>
                <w:rFonts w:asciiTheme="minorHAnsi" w:hAnsiTheme="minorHAnsi"/>
                <w:sz w:val="20"/>
              </w:rPr>
              <w:t>SC63 and COP15.</w:t>
            </w:r>
          </w:p>
          <w:p w14:paraId="632A86EF" w14:textId="0B798D6C" w:rsidR="00A52174" w:rsidRPr="00EC0F71" w:rsidRDefault="00A52174" w:rsidP="00EC0F71">
            <w:pPr>
              <w:pStyle w:val="Default"/>
              <w:numPr>
                <w:ilvl w:val="0"/>
                <w:numId w:val="7"/>
              </w:numPr>
              <w:ind w:left="180" w:hanging="180"/>
              <w:rPr>
                <w:rFonts w:asciiTheme="minorHAnsi" w:hAnsiTheme="minorHAnsi"/>
                <w:sz w:val="20"/>
              </w:rPr>
            </w:pPr>
            <w:r w:rsidRPr="00EC0F71">
              <w:rPr>
                <w:rFonts w:asciiTheme="minorHAnsi" w:hAnsiTheme="minorHAnsi"/>
                <w:sz w:val="20"/>
              </w:rPr>
              <w:t>Full transition of the Secretariat to the U</w:t>
            </w:r>
            <w:r w:rsidR="00E37013" w:rsidRPr="00EC0F71">
              <w:rPr>
                <w:rFonts w:asciiTheme="minorHAnsi" w:hAnsiTheme="minorHAnsi"/>
                <w:sz w:val="20"/>
              </w:rPr>
              <w:t xml:space="preserve">nited Nations </w:t>
            </w:r>
            <w:r w:rsidR="00E37013" w:rsidRPr="009B0E63">
              <w:rPr>
                <w:rFonts w:asciiTheme="minorHAnsi" w:hAnsiTheme="minorHAnsi" w:cstheme="minorHAnsi"/>
                <w:bCs/>
                <w:sz w:val="20"/>
                <w:szCs w:val="20"/>
              </w:rPr>
              <w:t>s</w:t>
            </w:r>
            <w:r w:rsidRPr="009B0E63">
              <w:rPr>
                <w:rFonts w:asciiTheme="minorHAnsi" w:hAnsiTheme="minorHAnsi" w:cstheme="minorHAnsi"/>
                <w:bCs/>
                <w:sz w:val="20"/>
                <w:szCs w:val="20"/>
              </w:rPr>
              <w:t>ystem</w:t>
            </w:r>
            <w:r w:rsidR="00627EA0" w:rsidRPr="00EC0F71">
              <w:rPr>
                <w:rFonts w:asciiTheme="minorHAnsi" w:hAnsiTheme="minorHAnsi"/>
                <w:sz w:val="20"/>
              </w:rPr>
              <w:t>.</w:t>
            </w:r>
          </w:p>
          <w:p w14:paraId="71875849" w14:textId="51331DCF" w:rsidR="00A95E5F" w:rsidRPr="00EC0F71" w:rsidRDefault="00A95E5F" w:rsidP="00EC0F71">
            <w:pPr>
              <w:pStyle w:val="ListParagraph"/>
              <w:numPr>
                <w:ilvl w:val="0"/>
                <w:numId w:val="7"/>
              </w:numPr>
              <w:ind w:left="180" w:hanging="180"/>
              <w:contextualSpacing w:val="0"/>
              <w:rPr>
                <w:color w:val="000000"/>
                <w:sz w:val="20"/>
                <w:lang w:val="en-GB"/>
              </w:rPr>
            </w:pPr>
            <w:r w:rsidRPr="00EC0F71">
              <w:rPr>
                <w:color w:val="000000"/>
                <w:sz w:val="20"/>
                <w:lang w:val="en-GB"/>
              </w:rPr>
              <w:t xml:space="preserve">The issues may benefit from a diverse approach with consideration of shorter term, administratively more simple options as part of the recommendations. This may include renegotiation of the LOA with IUCN or similar dialogue. </w:t>
            </w:r>
          </w:p>
          <w:p w14:paraId="7052E413" w14:textId="310B632B" w:rsidR="00A95E5F" w:rsidRPr="00EC0F71" w:rsidRDefault="00A95E5F" w:rsidP="00EC0F71">
            <w:pPr>
              <w:pStyle w:val="ListParagraph"/>
              <w:numPr>
                <w:ilvl w:val="0"/>
                <w:numId w:val="7"/>
              </w:numPr>
              <w:ind w:left="180" w:hanging="180"/>
              <w:contextualSpacing w:val="0"/>
              <w:rPr>
                <w:color w:val="000000"/>
                <w:sz w:val="20"/>
                <w:lang w:val="en-GB"/>
              </w:rPr>
            </w:pPr>
            <w:r w:rsidRPr="00EC0F71">
              <w:rPr>
                <w:color w:val="000000"/>
                <w:sz w:val="20"/>
                <w:lang w:val="en-GB"/>
              </w:rPr>
              <w:t xml:space="preserve">Secretariat to meet bilaterally with other interested Parties </w:t>
            </w:r>
            <w:r w:rsidR="00582923">
              <w:rPr>
                <w:rFonts w:cstheme="minorHAnsi"/>
                <w:bCs/>
                <w:color w:val="000000"/>
                <w:sz w:val="20"/>
                <w:szCs w:val="20"/>
                <w:lang w:val="en-GB"/>
              </w:rPr>
              <w:t>which</w:t>
            </w:r>
            <w:r w:rsidRPr="00EC0F71">
              <w:rPr>
                <w:color w:val="000000"/>
                <w:sz w:val="20"/>
                <w:lang w:val="en-GB"/>
              </w:rPr>
              <w:t xml:space="preserve"> were not present at the meetings in order to gain their views so that the document benefits from diverse perspectives and to facilitate discussions at SC62.</w:t>
            </w:r>
          </w:p>
          <w:p w14:paraId="37049AF9" w14:textId="77777777" w:rsidR="00A95E5F" w:rsidRPr="00EC0F71" w:rsidRDefault="00A95E5F" w:rsidP="00EC0F71">
            <w:pPr>
              <w:pStyle w:val="Default"/>
              <w:numPr>
                <w:ilvl w:val="0"/>
                <w:numId w:val="7"/>
              </w:numPr>
              <w:ind w:left="180" w:hanging="180"/>
              <w:rPr>
                <w:rFonts w:asciiTheme="minorHAnsi" w:hAnsiTheme="minorHAnsi"/>
                <w:sz w:val="20"/>
              </w:rPr>
            </w:pPr>
            <w:r w:rsidRPr="00EC0F71">
              <w:rPr>
                <w:rFonts w:asciiTheme="minorHAnsi" w:hAnsiTheme="minorHAnsi"/>
                <w:sz w:val="20"/>
              </w:rPr>
              <w:lastRenderedPageBreak/>
              <w:t>In developing the recommendations, consideration should be given to how they will improve implementation of the Convention as well as potential risks associated with the recommended path forward.</w:t>
            </w:r>
          </w:p>
          <w:p w14:paraId="46BA15DA" w14:textId="152DBBD6" w:rsidR="00A95E5F" w:rsidRPr="00EC0F71" w:rsidRDefault="00A95E5F" w:rsidP="00EC0F71">
            <w:pPr>
              <w:pStyle w:val="Default"/>
              <w:numPr>
                <w:ilvl w:val="0"/>
                <w:numId w:val="7"/>
              </w:numPr>
              <w:ind w:left="180" w:hanging="180"/>
              <w:rPr>
                <w:rFonts w:asciiTheme="minorHAnsi" w:hAnsiTheme="minorHAnsi"/>
                <w:sz w:val="20"/>
              </w:rPr>
            </w:pPr>
            <w:r w:rsidRPr="00EC0F71">
              <w:rPr>
                <w:rFonts w:asciiTheme="minorHAnsi" w:hAnsiTheme="minorHAnsi"/>
                <w:sz w:val="20"/>
              </w:rPr>
              <w:t xml:space="preserve">Involvement of the Management Working Group and Subgroup on Finance to assess the feasibility </w:t>
            </w:r>
            <w:r w:rsidR="00E37013" w:rsidRPr="009B0E63">
              <w:rPr>
                <w:rFonts w:asciiTheme="minorHAnsi" w:hAnsiTheme="minorHAnsi" w:cstheme="minorHAnsi"/>
                <w:bCs/>
                <w:sz w:val="20"/>
                <w:szCs w:val="20"/>
              </w:rPr>
              <w:t>of</w:t>
            </w:r>
            <w:r w:rsidRPr="00EC0F71">
              <w:rPr>
                <w:rFonts w:asciiTheme="minorHAnsi" w:hAnsiTheme="minorHAnsi"/>
                <w:sz w:val="20"/>
              </w:rPr>
              <w:t xml:space="preserve"> the Secretariat directly </w:t>
            </w:r>
            <w:r w:rsidRPr="009B0E63">
              <w:rPr>
                <w:rFonts w:asciiTheme="minorHAnsi" w:hAnsiTheme="minorHAnsi" w:cstheme="minorHAnsi"/>
                <w:bCs/>
                <w:sz w:val="20"/>
                <w:szCs w:val="20"/>
              </w:rPr>
              <w:t>contract</w:t>
            </w:r>
            <w:r w:rsidR="00E37013" w:rsidRPr="009B0E63">
              <w:rPr>
                <w:rFonts w:asciiTheme="minorHAnsi" w:hAnsiTheme="minorHAnsi" w:cstheme="minorHAnsi"/>
                <w:bCs/>
                <w:sz w:val="20"/>
                <w:szCs w:val="20"/>
              </w:rPr>
              <w:t>ing</w:t>
            </w:r>
            <w:r w:rsidRPr="00EC0F71">
              <w:rPr>
                <w:rFonts w:asciiTheme="minorHAnsi" w:hAnsiTheme="minorHAnsi"/>
                <w:sz w:val="20"/>
              </w:rPr>
              <w:t xml:space="preserve"> with donors and partners for the implementation of projects.</w:t>
            </w:r>
          </w:p>
          <w:p w14:paraId="6BE52C67" w14:textId="77777777" w:rsidR="00A95E5F" w:rsidRPr="00EC0F71" w:rsidRDefault="00A95E5F" w:rsidP="00E37013">
            <w:pPr>
              <w:pStyle w:val="Default"/>
              <w:numPr>
                <w:ilvl w:val="0"/>
                <w:numId w:val="7"/>
              </w:numPr>
              <w:ind w:left="180" w:hanging="180"/>
              <w:rPr>
                <w:rFonts w:asciiTheme="minorHAnsi" w:hAnsiTheme="minorHAnsi"/>
                <w:sz w:val="20"/>
              </w:rPr>
            </w:pPr>
            <w:r w:rsidRPr="00EC0F71">
              <w:rPr>
                <w:rFonts w:asciiTheme="minorHAnsi" w:hAnsiTheme="minorHAnsi"/>
                <w:sz w:val="20"/>
              </w:rPr>
              <w:t>Verify with the Swiss government possible solutions regarding risks due to non-payment of contributions.</w:t>
            </w:r>
          </w:p>
          <w:p w14:paraId="51E54DF3" w14:textId="25A6A949" w:rsidR="00A95E5F" w:rsidRPr="00EC0F71" w:rsidRDefault="00A95E5F" w:rsidP="00E37013">
            <w:pPr>
              <w:pStyle w:val="Default"/>
              <w:numPr>
                <w:ilvl w:val="0"/>
                <w:numId w:val="7"/>
              </w:numPr>
              <w:ind w:left="180" w:hanging="180"/>
              <w:rPr>
                <w:rFonts w:asciiTheme="minorHAnsi" w:hAnsiTheme="minorHAnsi"/>
                <w:sz w:val="20"/>
              </w:rPr>
            </w:pPr>
            <w:r w:rsidRPr="00EC0F71">
              <w:rPr>
                <w:rFonts w:asciiTheme="minorHAnsi" w:hAnsiTheme="minorHAnsi"/>
                <w:sz w:val="20"/>
              </w:rPr>
              <w:t xml:space="preserve">Possible agreements with countries in arrears for the payment of contributions and to look at experiences of other conventions such as </w:t>
            </w:r>
            <w:r w:rsidR="00E37013" w:rsidRPr="009B0E63">
              <w:rPr>
                <w:rFonts w:asciiTheme="minorHAnsi" w:hAnsiTheme="minorHAnsi" w:cstheme="minorHAnsi"/>
                <w:bCs/>
                <w:sz w:val="20"/>
                <w:szCs w:val="20"/>
              </w:rPr>
              <w:t xml:space="preserve">the </w:t>
            </w:r>
            <w:r w:rsidR="00582923">
              <w:rPr>
                <w:rFonts w:asciiTheme="minorHAnsi" w:hAnsiTheme="minorHAnsi" w:cstheme="minorHAnsi"/>
                <w:bCs/>
                <w:sz w:val="20"/>
                <w:szCs w:val="20"/>
              </w:rPr>
              <w:t>Basel, Rotterdam and Stockholm (</w:t>
            </w:r>
            <w:r w:rsidR="00582923" w:rsidRPr="00EC0F71">
              <w:rPr>
                <w:rFonts w:asciiTheme="minorHAnsi" w:hAnsiTheme="minorHAnsi"/>
                <w:sz w:val="20"/>
              </w:rPr>
              <w:t>BRS</w:t>
            </w:r>
            <w:r w:rsidR="00582923">
              <w:rPr>
                <w:rFonts w:asciiTheme="minorHAnsi" w:hAnsiTheme="minorHAnsi" w:cstheme="minorHAnsi"/>
                <w:bCs/>
                <w:sz w:val="20"/>
                <w:szCs w:val="20"/>
              </w:rPr>
              <w:t>) C</w:t>
            </w:r>
            <w:r w:rsidR="00E37013" w:rsidRPr="009B0E63">
              <w:rPr>
                <w:rFonts w:asciiTheme="minorHAnsi" w:hAnsiTheme="minorHAnsi" w:cstheme="minorHAnsi"/>
                <w:bCs/>
                <w:sz w:val="20"/>
                <w:szCs w:val="20"/>
              </w:rPr>
              <w:t>onventions</w:t>
            </w:r>
            <w:r w:rsidR="00E37013" w:rsidRPr="00EC0F71">
              <w:rPr>
                <w:rFonts w:asciiTheme="minorHAnsi" w:hAnsiTheme="minorHAnsi"/>
                <w:sz w:val="20"/>
              </w:rPr>
              <w:t xml:space="preserve"> </w:t>
            </w:r>
            <w:r w:rsidRPr="00EC0F71">
              <w:rPr>
                <w:rFonts w:asciiTheme="minorHAnsi" w:hAnsiTheme="minorHAnsi"/>
                <w:sz w:val="20"/>
              </w:rPr>
              <w:t>(e.g payment plans, etc).</w:t>
            </w:r>
          </w:p>
        </w:tc>
        <w:tc>
          <w:tcPr>
            <w:tcW w:w="2699" w:type="dxa"/>
          </w:tcPr>
          <w:p w14:paraId="64EC37B8" w14:textId="168BB69E" w:rsidR="005F0771" w:rsidRPr="00EC0F71" w:rsidRDefault="00A11E59" w:rsidP="00EC0F71">
            <w:pPr>
              <w:pStyle w:val="ListParagraph"/>
              <w:numPr>
                <w:ilvl w:val="0"/>
                <w:numId w:val="7"/>
              </w:numPr>
              <w:ind w:left="174" w:hanging="174"/>
              <w:contextualSpacing w:val="0"/>
              <w:rPr>
                <w:sz w:val="20"/>
                <w:lang w:val="en-CA"/>
              </w:rPr>
            </w:pPr>
            <w:r w:rsidRPr="00EC0F71">
              <w:rPr>
                <w:sz w:val="20"/>
                <w:lang w:val="en-CA"/>
              </w:rPr>
              <w:lastRenderedPageBreak/>
              <w:t>Support decisions</w:t>
            </w:r>
            <w:r w:rsidR="002845EF" w:rsidRPr="00EC0F71">
              <w:rPr>
                <w:sz w:val="20"/>
                <w:lang w:val="en-CA"/>
              </w:rPr>
              <w:t xml:space="preserve"> of Contracting Parties </w:t>
            </w:r>
            <w:r w:rsidR="009B0E63" w:rsidRPr="00582923">
              <w:rPr>
                <w:rFonts w:eastAsia="Times New Roman" w:cstheme="minorHAnsi"/>
                <w:sz w:val="20"/>
                <w:szCs w:val="20"/>
                <w:lang w:val="en-CA"/>
              </w:rPr>
              <w:t>on</w:t>
            </w:r>
            <w:r w:rsidR="005F0771" w:rsidRPr="00EC0F71">
              <w:rPr>
                <w:sz w:val="20"/>
                <w:lang w:val="en-CA"/>
              </w:rPr>
              <w:t xml:space="preserve"> alternative </w:t>
            </w:r>
            <w:r w:rsidR="00421EF9" w:rsidRPr="00EC0F71">
              <w:rPr>
                <w:sz w:val="20"/>
                <w:lang w:val="en-CA"/>
              </w:rPr>
              <w:t xml:space="preserve">hosting </w:t>
            </w:r>
            <w:r w:rsidR="005F0771" w:rsidRPr="00EC0F71">
              <w:rPr>
                <w:sz w:val="20"/>
                <w:lang w:val="en-CA"/>
              </w:rPr>
              <w:t>arrangements</w:t>
            </w:r>
            <w:r w:rsidR="00E05C46" w:rsidRPr="00EC0F71">
              <w:rPr>
                <w:sz w:val="20"/>
                <w:lang w:val="en-CA"/>
              </w:rPr>
              <w:t xml:space="preserve"> to </w:t>
            </w:r>
            <w:r w:rsidR="00626A36" w:rsidRPr="00EC0F71">
              <w:rPr>
                <w:sz w:val="20"/>
                <w:lang w:val="en-CA"/>
              </w:rPr>
              <w:t>achieve organizational robustness to support the implementation of the Convention</w:t>
            </w:r>
            <w:r w:rsidR="00E05C46" w:rsidRPr="00EC0F71">
              <w:rPr>
                <w:sz w:val="20"/>
                <w:lang w:val="en-CA"/>
              </w:rPr>
              <w:t xml:space="preserve">.  </w:t>
            </w:r>
          </w:p>
          <w:p w14:paraId="552282E1" w14:textId="7F65872E" w:rsidR="00803964" w:rsidRPr="00EC0F71" w:rsidRDefault="007D55D4" w:rsidP="00EC0F71">
            <w:pPr>
              <w:pStyle w:val="ListParagraph"/>
              <w:numPr>
                <w:ilvl w:val="0"/>
                <w:numId w:val="7"/>
              </w:numPr>
              <w:ind w:left="174" w:hanging="174"/>
              <w:contextualSpacing w:val="0"/>
              <w:rPr>
                <w:sz w:val="20"/>
                <w:lang w:val="en-CA"/>
              </w:rPr>
            </w:pPr>
            <w:r w:rsidRPr="00EC0F71">
              <w:rPr>
                <w:sz w:val="20"/>
                <w:lang w:val="en-CA"/>
              </w:rPr>
              <w:t>E</w:t>
            </w:r>
            <w:r w:rsidR="00803964" w:rsidRPr="00EC0F71">
              <w:rPr>
                <w:sz w:val="20"/>
                <w:lang w:val="en-CA"/>
              </w:rPr>
              <w:t>xplore with IUCN</w:t>
            </w:r>
            <w:r w:rsidR="00582923" w:rsidRPr="00582923">
              <w:rPr>
                <w:rFonts w:eastAsia="Times New Roman" w:cstheme="minorHAnsi"/>
                <w:sz w:val="20"/>
                <w:szCs w:val="20"/>
                <w:lang w:val="en-CA"/>
              </w:rPr>
              <w:t>,</w:t>
            </w:r>
            <w:r w:rsidR="00803964" w:rsidRPr="00EC0F71">
              <w:rPr>
                <w:sz w:val="20"/>
                <w:lang w:val="en-CA"/>
              </w:rPr>
              <w:t xml:space="preserve"> for future projects where IUCN is the legal representative</w:t>
            </w:r>
            <w:r w:rsidR="00582923" w:rsidRPr="00582923">
              <w:rPr>
                <w:rFonts w:eastAsia="Times New Roman" w:cstheme="minorHAnsi"/>
                <w:sz w:val="20"/>
                <w:szCs w:val="20"/>
                <w:lang w:val="en-CA"/>
              </w:rPr>
              <w:t>,</w:t>
            </w:r>
            <w:r w:rsidR="009066B2" w:rsidRPr="00582923">
              <w:rPr>
                <w:rFonts w:eastAsia="Times New Roman" w:cstheme="minorHAnsi"/>
                <w:sz w:val="20"/>
                <w:szCs w:val="20"/>
                <w:lang w:val="en-CA"/>
              </w:rPr>
              <w:t xml:space="preserve"> </w:t>
            </w:r>
            <w:r w:rsidR="00582923" w:rsidRPr="00582923">
              <w:rPr>
                <w:rFonts w:eastAsia="Times New Roman" w:cstheme="minorHAnsi"/>
                <w:sz w:val="20"/>
                <w:szCs w:val="20"/>
                <w:lang w:val="en-CA"/>
              </w:rPr>
              <w:t>the</w:t>
            </w:r>
            <w:r w:rsidR="009066B2" w:rsidRPr="00582923">
              <w:rPr>
                <w:rFonts w:eastAsia="Times New Roman" w:cstheme="minorHAnsi"/>
                <w:sz w:val="20"/>
                <w:szCs w:val="20"/>
                <w:lang w:val="en-CA"/>
              </w:rPr>
              <w:t xml:space="preserve"> </w:t>
            </w:r>
            <w:r w:rsidR="00803964" w:rsidRPr="00582923">
              <w:rPr>
                <w:rFonts w:eastAsia="Times New Roman" w:cstheme="minorHAnsi"/>
                <w:sz w:val="20"/>
                <w:szCs w:val="20"/>
                <w:lang w:val="en-CA"/>
              </w:rPr>
              <w:t>develop</w:t>
            </w:r>
            <w:r w:rsidR="00582923" w:rsidRPr="00582923">
              <w:rPr>
                <w:rFonts w:eastAsia="Times New Roman" w:cstheme="minorHAnsi"/>
                <w:sz w:val="20"/>
                <w:szCs w:val="20"/>
                <w:lang w:val="en-CA"/>
              </w:rPr>
              <w:t>ment of</w:t>
            </w:r>
            <w:r w:rsidR="00803964" w:rsidRPr="00EC0F71">
              <w:rPr>
                <w:sz w:val="20"/>
                <w:lang w:val="en-CA"/>
              </w:rPr>
              <w:t xml:space="preserve"> a revised procedure including project appraisal and contract review, adapted for </w:t>
            </w:r>
            <w:r w:rsidR="00834ED4" w:rsidRPr="00EC0F71">
              <w:rPr>
                <w:sz w:val="20"/>
                <w:lang w:val="en-CA"/>
              </w:rPr>
              <w:t xml:space="preserve">the Convention </w:t>
            </w:r>
            <w:r w:rsidR="00421EF9" w:rsidRPr="00EC0F71">
              <w:rPr>
                <w:sz w:val="20"/>
                <w:lang w:val="en-CA"/>
              </w:rPr>
              <w:t>Secretariat</w:t>
            </w:r>
            <w:r w:rsidR="00803964" w:rsidRPr="00EC0F71">
              <w:rPr>
                <w:sz w:val="20"/>
                <w:lang w:val="en-CA"/>
              </w:rPr>
              <w:t xml:space="preserve"> in the context of the existing DOA/LOA</w:t>
            </w:r>
            <w:r w:rsidR="005F7E7A" w:rsidRPr="00EC0F71">
              <w:rPr>
                <w:sz w:val="20"/>
                <w:lang w:val="en-CA"/>
              </w:rPr>
              <w:t>.</w:t>
            </w:r>
          </w:p>
          <w:p w14:paraId="2803E74D" w14:textId="17E349EF" w:rsidR="007718EA" w:rsidRPr="00EC0F71" w:rsidRDefault="00C42A7D" w:rsidP="00EC0F71">
            <w:pPr>
              <w:pStyle w:val="ListParagraph"/>
              <w:numPr>
                <w:ilvl w:val="0"/>
                <w:numId w:val="7"/>
              </w:numPr>
              <w:ind w:left="174" w:hanging="174"/>
              <w:contextualSpacing w:val="0"/>
              <w:rPr>
                <w:sz w:val="20"/>
                <w:lang w:val="en-CA"/>
              </w:rPr>
            </w:pPr>
            <w:r w:rsidRPr="00EC0F71">
              <w:rPr>
                <w:sz w:val="20"/>
                <w:lang w:val="en-CA"/>
              </w:rPr>
              <w:t>Work with the Management Working Group and Subgroup of Finance</w:t>
            </w:r>
            <w:r w:rsidR="007718EA" w:rsidRPr="00EC0F71">
              <w:rPr>
                <w:sz w:val="20"/>
                <w:lang w:val="en-CA"/>
              </w:rPr>
              <w:t xml:space="preserve"> to assess the feasibility </w:t>
            </w:r>
            <w:r w:rsidR="009B0E63" w:rsidRPr="00582923">
              <w:rPr>
                <w:rFonts w:eastAsia="Times New Roman" w:cstheme="minorHAnsi"/>
                <w:sz w:val="20"/>
                <w:szCs w:val="20"/>
                <w:lang w:val="en-CA"/>
              </w:rPr>
              <w:t>of</w:t>
            </w:r>
            <w:r w:rsidR="007718EA" w:rsidRPr="00EC0F71">
              <w:rPr>
                <w:sz w:val="20"/>
                <w:lang w:val="en-CA"/>
              </w:rPr>
              <w:t xml:space="preserve"> the Secretariat directly </w:t>
            </w:r>
            <w:r w:rsidR="007718EA" w:rsidRPr="00582923">
              <w:rPr>
                <w:rFonts w:eastAsia="Times New Roman" w:cstheme="minorHAnsi"/>
                <w:sz w:val="20"/>
                <w:szCs w:val="20"/>
                <w:lang w:val="en-CA"/>
              </w:rPr>
              <w:t>contract</w:t>
            </w:r>
            <w:r w:rsidR="009B0E63" w:rsidRPr="00582923">
              <w:rPr>
                <w:rFonts w:eastAsia="Times New Roman" w:cstheme="minorHAnsi"/>
                <w:sz w:val="20"/>
                <w:szCs w:val="20"/>
                <w:lang w:val="en-CA"/>
              </w:rPr>
              <w:t>ing</w:t>
            </w:r>
            <w:r w:rsidR="007718EA" w:rsidRPr="00EC0F71">
              <w:rPr>
                <w:sz w:val="20"/>
                <w:lang w:val="en-CA"/>
              </w:rPr>
              <w:t xml:space="preserve"> with donors and partners for the implementation of projects.</w:t>
            </w:r>
          </w:p>
          <w:p w14:paraId="38CD4E96" w14:textId="76B39846" w:rsidR="005F7E7A" w:rsidRPr="00EC0F71" w:rsidRDefault="005441CA" w:rsidP="00EC0F71">
            <w:pPr>
              <w:pStyle w:val="ListParagraph"/>
              <w:numPr>
                <w:ilvl w:val="0"/>
                <w:numId w:val="7"/>
              </w:numPr>
              <w:ind w:left="174" w:hanging="174"/>
              <w:contextualSpacing w:val="0"/>
              <w:rPr>
                <w:sz w:val="20"/>
                <w:lang w:val="en-CA"/>
              </w:rPr>
            </w:pPr>
            <w:r w:rsidRPr="00EC0F71">
              <w:rPr>
                <w:sz w:val="20"/>
                <w:lang w:val="en-CA"/>
              </w:rPr>
              <w:t>Inform Contracting Parties i</w:t>
            </w:r>
            <w:r w:rsidR="007F630F" w:rsidRPr="00EC0F71">
              <w:rPr>
                <w:sz w:val="20"/>
                <w:lang w:val="en-CA"/>
              </w:rPr>
              <w:t xml:space="preserve">n </w:t>
            </w:r>
            <w:r w:rsidR="005326D4" w:rsidRPr="00EC0F71">
              <w:rPr>
                <w:sz w:val="20"/>
                <w:lang w:val="en-CA"/>
              </w:rPr>
              <w:t>regional meeting</w:t>
            </w:r>
            <w:r w:rsidR="00432420" w:rsidRPr="00EC0F71">
              <w:rPr>
                <w:sz w:val="20"/>
                <w:lang w:val="en-CA"/>
              </w:rPr>
              <w:t xml:space="preserve">s </w:t>
            </w:r>
            <w:r w:rsidR="00EA3399" w:rsidRPr="00EC0F71">
              <w:rPr>
                <w:sz w:val="20"/>
                <w:lang w:val="en-CA"/>
              </w:rPr>
              <w:t xml:space="preserve">of the </w:t>
            </w:r>
            <w:r w:rsidR="00EA3399" w:rsidRPr="00EC0F71">
              <w:rPr>
                <w:sz w:val="20"/>
                <w:lang w:val="en-CA"/>
              </w:rPr>
              <w:lastRenderedPageBreak/>
              <w:t xml:space="preserve">ongoing </w:t>
            </w:r>
            <w:r w:rsidR="00F64B23" w:rsidRPr="00EC0F71">
              <w:rPr>
                <w:sz w:val="20"/>
                <w:lang w:val="en-CA"/>
              </w:rPr>
              <w:t>consultation process</w:t>
            </w:r>
            <w:r w:rsidR="00FA7429" w:rsidRPr="00EC0F71">
              <w:rPr>
                <w:sz w:val="20"/>
                <w:lang w:val="en-CA"/>
              </w:rPr>
              <w:t xml:space="preserve"> for the preparation of the </w:t>
            </w:r>
            <w:r w:rsidR="00EA3399" w:rsidRPr="00EC0F71">
              <w:rPr>
                <w:sz w:val="20"/>
                <w:lang w:val="en-CA"/>
              </w:rPr>
              <w:t>institutional s</w:t>
            </w:r>
            <w:r w:rsidR="00FA7429" w:rsidRPr="00EC0F71">
              <w:rPr>
                <w:sz w:val="20"/>
                <w:lang w:val="en-CA"/>
              </w:rPr>
              <w:t xml:space="preserve">trengthening </w:t>
            </w:r>
            <w:r w:rsidR="009B0E63" w:rsidRPr="00582923">
              <w:rPr>
                <w:rFonts w:eastAsia="Times New Roman" w:cstheme="minorHAnsi"/>
                <w:sz w:val="20"/>
                <w:szCs w:val="20"/>
                <w:lang w:val="en-CA"/>
              </w:rPr>
              <w:t>r</w:t>
            </w:r>
            <w:r w:rsidR="00FA7429" w:rsidRPr="00582923">
              <w:rPr>
                <w:rFonts w:eastAsia="Times New Roman" w:cstheme="minorHAnsi"/>
                <w:sz w:val="20"/>
                <w:szCs w:val="20"/>
                <w:lang w:val="en-CA"/>
              </w:rPr>
              <w:t>eport</w:t>
            </w:r>
            <w:r w:rsidR="00FA7429" w:rsidRPr="00EC0F71">
              <w:rPr>
                <w:sz w:val="20"/>
                <w:lang w:val="en-CA"/>
              </w:rPr>
              <w:t xml:space="preserve"> in line </w:t>
            </w:r>
            <w:r w:rsidR="00692B18" w:rsidRPr="00EC0F71">
              <w:rPr>
                <w:sz w:val="20"/>
                <w:lang w:val="en-CA"/>
              </w:rPr>
              <w:t>with Resolution XIV.6 paragraph 22</w:t>
            </w:r>
            <w:r w:rsidR="00582923">
              <w:rPr>
                <w:rFonts w:eastAsia="Times New Roman" w:cstheme="minorHAnsi"/>
                <w:sz w:val="20"/>
                <w:szCs w:val="20"/>
                <w:lang w:val="en-CA"/>
              </w:rPr>
              <w:t>,</w:t>
            </w:r>
            <w:r w:rsidR="00692B18" w:rsidRPr="00EC0F71">
              <w:rPr>
                <w:sz w:val="20"/>
                <w:lang w:val="en-CA"/>
              </w:rPr>
              <w:t xml:space="preserve"> and </w:t>
            </w:r>
            <w:r w:rsidR="00576AF0" w:rsidRPr="00582923">
              <w:rPr>
                <w:rFonts w:eastAsia="Times New Roman" w:cstheme="minorHAnsi"/>
                <w:sz w:val="20"/>
                <w:szCs w:val="20"/>
                <w:lang w:val="en-CA"/>
              </w:rPr>
              <w:t>e</w:t>
            </w:r>
            <w:r w:rsidR="00130032" w:rsidRPr="00582923">
              <w:rPr>
                <w:rFonts w:eastAsia="Times New Roman" w:cstheme="minorHAnsi"/>
                <w:sz w:val="20"/>
                <w:szCs w:val="20"/>
                <w:lang w:val="en-CA"/>
              </w:rPr>
              <w:t>ncourage</w:t>
            </w:r>
            <w:r w:rsidR="00130032" w:rsidRPr="00EC0F71">
              <w:rPr>
                <w:sz w:val="20"/>
                <w:lang w:val="en-CA"/>
              </w:rPr>
              <w:t xml:space="preserve"> active en</w:t>
            </w:r>
            <w:r w:rsidR="00FB75C9" w:rsidRPr="00EC0F71">
              <w:rPr>
                <w:sz w:val="20"/>
                <w:lang w:val="en-CA"/>
              </w:rPr>
              <w:t>gagement of</w:t>
            </w:r>
            <w:r w:rsidR="008C5EAD" w:rsidRPr="00EC0F71">
              <w:rPr>
                <w:sz w:val="20"/>
                <w:lang w:val="en-CA"/>
              </w:rPr>
              <w:t xml:space="preserve"> </w:t>
            </w:r>
            <w:r w:rsidR="00FB75C9" w:rsidRPr="00EC0F71">
              <w:rPr>
                <w:sz w:val="20"/>
                <w:lang w:val="en-CA"/>
              </w:rPr>
              <w:t xml:space="preserve">all Parties </w:t>
            </w:r>
            <w:r w:rsidR="001A1D56" w:rsidRPr="00EC0F71">
              <w:rPr>
                <w:sz w:val="20"/>
                <w:lang w:val="en-CA"/>
              </w:rPr>
              <w:t xml:space="preserve">in this process.  </w:t>
            </w:r>
            <w:r w:rsidR="007F630F" w:rsidRPr="00EC0F71">
              <w:rPr>
                <w:sz w:val="20"/>
                <w:lang w:val="en-CA"/>
              </w:rPr>
              <w:t xml:space="preserve"> </w:t>
            </w:r>
          </w:p>
          <w:p w14:paraId="374CB3A0" w14:textId="62E5B4A8" w:rsidR="007A5662" w:rsidRPr="00EC0F71" w:rsidRDefault="004E1709" w:rsidP="00EC0F71">
            <w:pPr>
              <w:pStyle w:val="ListParagraph"/>
              <w:numPr>
                <w:ilvl w:val="0"/>
                <w:numId w:val="7"/>
              </w:numPr>
              <w:ind w:left="174" w:hanging="174"/>
              <w:contextualSpacing w:val="0"/>
              <w:rPr>
                <w:sz w:val="20"/>
                <w:lang w:val="en-CA"/>
              </w:rPr>
            </w:pPr>
            <w:r w:rsidRPr="00EC0F71">
              <w:rPr>
                <w:sz w:val="20"/>
                <w:lang w:val="en-CA"/>
              </w:rPr>
              <w:t xml:space="preserve">Explore with the new auditor </w:t>
            </w:r>
            <w:r w:rsidR="007A5662" w:rsidRPr="00EC0F71">
              <w:rPr>
                <w:sz w:val="20"/>
                <w:lang w:val="en-CA"/>
              </w:rPr>
              <w:t xml:space="preserve">possible </w:t>
            </w:r>
            <w:r w:rsidR="00834ED4" w:rsidRPr="00EC0F71">
              <w:rPr>
                <w:sz w:val="20"/>
                <w:lang w:val="en-CA"/>
              </w:rPr>
              <w:t>alternative a</w:t>
            </w:r>
            <w:r w:rsidR="009B0E63" w:rsidRPr="00EC0F71">
              <w:rPr>
                <w:sz w:val="20"/>
                <w:lang w:val="en-CA"/>
              </w:rPr>
              <w:t>pproaches to managing the risks</w:t>
            </w:r>
            <w:r w:rsidR="00834ED4" w:rsidRPr="00EC0F71">
              <w:rPr>
                <w:sz w:val="20"/>
                <w:lang w:val="en-CA"/>
              </w:rPr>
              <w:t xml:space="preserve"> due to </w:t>
            </w:r>
            <w:r w:rsidR="007A5662" w:rsidRPr="00EC0F71">
              <w:rPr>
                <w:sz w:val="20"/>
                <w:lang w:val="en-CA"/>
              </w:rPr>
              <w:t>non-payment of contributions.</w:t>
            </w:r>
          </w:p>
          <w:p w14:paraId="1493C084" w14:textId="77777777" w:rsidR="00F16992" w:rsidRPr="00EC0F71" w:rsidRDefault="00834ED4" w:rsidP="00EC0F71">
            <w:pPr>
              <w:pStyle w:val="ListParagraph"/>
              <w:numPr>
                <w:ilvl w:val="0"/>
                <w:numId w:val="7"/>
              </w:numPr>
              <w:ind w:left="174" w:hanging="174"/>
              <w:contextualSpacing w:val="0"/>
              <w:rPr>
                <w:sz w:val="20"/>
                <w:lang w:val="en-CA"/>
              </w:rPr>
            </w:pPr>
            <w:r w:rsidRPr="00EC0F71">
              <w:rPr>
                <w:sz w:val="20"/>
                <w:lang w:val="en-CA"/>
              </w:rPr>
              <w:t>Continue to i</w:t>
            </w:r>
            <w:r w:rsidR="00110E39" w:rsidRPr="00EC0F71">
              <w:rPr>
                <w:sz w:val="20"/>
                <w:lang w:val="en-CA"/>
              </w:rPr>
              <w:t>nvite Parties with outstanding contributions to agree on a payment plan in line with Decision</w:t>
            </w:r>
            <w:r w:rsidR="007676E6" w:rsidRPr="00EC0F71">
              <w:rPr>
                <w:sz w:val="20"/>
                <w:lang w:val="en-CA"/>
              </w:rPr>
              <w:t xml:space="preserve"> </w:t>
            </w:r>
            <w:r w:rsidR="00110E39" w:rsidRPr="00EC0F71">
              <w:rPr>
                <w:sz w:val="20"/>
                <w:lang w:val="en-CA"/>
              </w:rPr>
              <w:t>SC58-15</w:t>
            </w:r>
            <w:r w:rsidR="00D92B57" w:rsidRPr="00EC0F71">
              <w:rPr>
                <w:sz w:val="20"/>
                <w:lang w:val="en-CA"/>
              </w:rPr>
              <w:t>.</w:t>
            </w:r>
            <w:r w:rsidR="00110E39" w:rsidRPr="00EC0F71">
              <w:rPr>
                <w:sz w:val="20"/>
                <w:lang w:val="en-CA"/>
              </w:rPr>
              <w:t xml:space="preserve">  </w:t>
            </w:r>
          </w:p>
          <w:p w14:paraId="034D550F" w14:textId="688FA427" w:rsidR="003B6D90" w:rsidRPr="00EC0F71" w:rsidRDefault="00EA3399" w:rsidP="00EC0F71">
            <w:pPr>
              <w:pStyle w:val="ListParagraph"/>
              <w:numPr>
                <w:ilvl w:val="0"/>
                <w:numId w:val="7"/>
              </w:numPr>
              <w:ind w:left="174" w:hanging="174"/>
              <w:contextualSpacing w:val="0"/>
              <w:rPr>
                <w:sz w:val="20"/>
                <w:lang w:val="en-CA"/>
              </w:rPr>
            </w:pPr>
            <w:r w:rsidRPr="00EC0F71">
              <w:rPr>
                <w:sz w:val="20"/>
                <w:lang w:val="en-CA"/>
              </w:rPr>
              <w:t>Revisit the</w:t>
            </w:r>
            <w:r w:rsidR="00FE6809" w:rsidRPr="00EC0F71">
              <w:rPr>
                <w:sz w:val="20"/>
                <w:lang w:val="en-CA"/>
              </w:rPr>
              <w:t xml:space="preserve"> </w:t>
            </w:r>
            <w:r w:rsidR="00E17945" w:rsidRPr="00EC0F71">
              <w:rPr>
                <w:sz w:val="20"/>
                <w:lang w:val="en-CA"/>
              </w:rPr>
              <w:t>experiences of</w:t>
            </w:r>
            <w:r w:rsidR="00582923" w:rsidRPr="00EC0F71">
              <w:rPr>
                <w:sz w:val="20"/>
                <w:lang w:val="en-CA"/>
              </w:rPr>
              <w:t xml:space="preserve"> other </w:t>
            </w:r>
            <w:r w:rsidR="00582923">
              <w:rPr>
                <w:rFonts w:eastAsia="Times New Roman" w:cstheme="minorHAnsi"/>
                <w:sz w:val="20"/>
                <w:szCs w:val="20"/>
                <w:lang w:val="en-CA"/>
              </w:rPr>
              <w:t>C</w:t>
            </w:r>
            <w:r w:rsidR="003B6D90" w:rsidRPr="00582923">
              <w:rPr>
                <w:rFonts w:eastAsia="Times New Roman" w:cstheme="minorHAnsi"/>
                <w:sz w:val="20"/>
                <w:szCs w:val="20"/>
                <w:lang w:val="en-CA"/>
              </w:rPr>
              <w:t>onventions</w:t>
            </w:r>
            <w:r w:rsidR="002F020F" w:rsidRPr="00EC0F71">
              <w:rPr>
                <w:sz w:val="20"/>
                <w:lang w:val="en-CA"/>
              </w:rPr>
              <w:t xml:space="preserve"> </w:t>
            </w:r>
            <w:r w:rsidR="003B6D90" w:rsidRPr="00EC0F71">
              <w:rPr>
                <w:sz w:val="20"/>
                <w:lang w:val="en-CA"/>
              </w:rPr>
              <w:t xml:space="preserve">such as BRS and </w:t>
            </w:r>
            <w:r w:rsidR="00582923">
              <w:rPr>
                <w:rFonts w:eastAsia="Times New Roman" w:cstheme="minorHAnsi"/>
                <w:sz w:val="20"/>
                <w:szCs w:val="20"/>
                <w:lang w:val="en-CA"/>
              </w:rPr>
              <w:t xml:space="preserve">the </w:t>
            </w:r>
            <w:r w:rsidR="003B6D90" w:rsidRPr="00EC0F71">
              <w:rPr>
                <w:sz w:val="20"/>
                <w:lang w:val="en-CA"/>
              </w:rPr>
              <w:t>biodiversity</w:t>
            </w:r>
            <w:r w:rsidR="00582923">
              <w:rPr>
                <w:rFonts w:eastAsia="Times New Roman" w:cstheme="minorHAnsi"/>
                <w:sz w:val="20"/>
                <w:szCs w:val="20"/>
                <w:lang w:val="en-CA"/>
              </w:rPr>
              <w:t>-</w:t>
            </w:r>
            <w:r w:rsidR="003B6D90" w:rsidRPr="00EC0F71">
              <w:rPr>
                <w:sz w:val="20"/>
                <w:lang w:val="en-CA"/>
              </w:rPr>
              <w:t xml:space="preserve">related </w:t>
            </w:r>
            <w:r w:rsidR="00582923">
              <w:rPr>
                <w:rFonts w:eastAsia="Times New Roman" w:cstheme="minorHAnsi"/>
                <w:sz w:val="20"/>
                <w:szCs w:val="20"/>
                <w:lang w:val="en-CA"/>
              </w:rPr>
              <w:t>C</w:t>
            </w:r>
            <w:r w:rsidR="00210728" w:rsidRPr="00582923">
              <w:rPr>
                <w:rFonts w:eastAsia="Times New Roman" w:cstheme="minorHAnsi"/>
                <w:sz w:val="20"/>
                <w:szCs w:val="20"/>
                <w:lang w:val="en-CA"/>
              </w:rPr>
              <w:t>onventions</w:t>
            </w:r>
            <w:r w:rsidRPr="00EC0F71">
              <w:rPr>
                <w:sz w:val="20"/>
                <w:lang w:val="en-CA"/>
              </w:rPr>
              <w:t xml:space="preserve"> in facilitating payment of contributions</w:t>
            </w:r>
            <w:r w:rsidR="00FE6809" w:rsidRPr="00EC0F71">
              <w:rPr>
                <w:sz w:val="20"/>
                <w:lang w:val="en-CA"/>
              </w:rPr>
              <w:t xml:space="preserve"> based </w:t>
            </w:r>
            <w:r w:rsidR="00A708A0" w:rsidRPr="00EC0F71">
              <w:rPr>
                <w:sz w:val="20"/>
                <w:lang w:val="en-CA"/>
              </w:rPr>
              <w:t xml:space="preserve">on </w:t>
            </w:r>
            <w:r w:rsidR="00582923">
              <w:rPr>
                <w:rFonts w:eastAsia="Times New Roman" w:cstheme="minorHAnsi"/>
                <w:sz w:val="20"/>
                <w:szCs w:val="20"/>
                <w:lang w:val="en-CA"/>
              </w:rPr>
              <w:t>document</w:t>
            </w:r>
            <w:r w:rsidR="00582923" w:rsidRPr="00EC0F71">
              <w:rPr>
                <w:sz w:val="20"/>
                <w:lang w:val="en-CA"/>
              </w:rPr>
              <w:t xml:space="preserve"> </w:t>
            </w:r>
            <w:r w:rsidR="00A708A0" w:rsidRPr="00EC0F71">
              <w:rPr>
                <w:sz w:val="20"/>
                <w:lang w:val="en-CA"/>
              </w:rPr>
              <w:t>SC58</w:t>
            </w:r>
            <w:r w:rsidR="00582923" w:rsidRPr="00582923">
              <w:rPr>
                <w:rFonts w:eastAsia="Times New Roman" w:cstheme="minorHAnsi"/>
                <w:sz w:val="20"/>
                <w:szCs w:val="20"/>
                <w:lang w:val="en-CA"/>
              </w:rPr>
              <w:t xml:space="preserve"> Doc</w:t>
            </w:r>
            <w:r w:rsidR="00582923">
              <w:rPr>
                <w:rFonts w:eastAsia="Times New Roman" w:cstheme="minorHAnsi"/>
                <w:sz w:val="20"/>
                <w:szCs w:val="20"/>
                <w:lang w:val="en-CA"/>
              </w:rPr>
              <w:t>.</w:t>
            </w:r>
            <w:r w:rsidR="00582923" w:rsidRPr="00582923">
              <w:rPr>
                <w:rFonts w:eastAsia="Times New Roman" w:cstheme="minorHAnsi"/>
                <w:sz w:val="20"/>
                <w:szCs w:val="20"/>
                <w:lang w:val="en-CA"/>
              </w:rPr>
              <w:t xml:space="preserve"> </w:t>
            </w:r>
            <w:r w:rsidR="008A36B5" w:rsidRPr="00EC0F71">
              <w:rPr>
                <w:sz w:val="20"/>
                <w:lang w:val="en-CA"/>
              </w:rPr>
              <w:t>8.</w:t>
            </w:r>
            <w:r w:rsidR="00A708A0" w:rsidRPr="00EC0F71">
              <w:rPr>
                <w:sz w:val="20"/>
                <w:lang w:val="en-CA"/>
              </w:rPr>
              <w:t>3</w:t>
            </w:r>
            <w:r w:rsidR="0086199D" w:rsidRPr="00582923">
              <w:rPr>
                <w:rFonts w:eastAsia="Times New Roman" w:cstheme="minorHAnsi"/>
                <w:sz w:val="20"/>
                <w:szCs w:val="20"/>
                <w:lang w:val="en-CA"/>
              </w:rPr>
              <w:t>.</w:t>
            </w:r>
          </w:p>
        </w:tc>
      </w:tr>
      <w:tr w:rsidR="00EC0F71" w:rsidRPr="009B0E63" w14:paraId="22959BEF" w14:textId="77777777" w:rsidTr="00C71000">
        <w:trPr>
          <w:cantSplit/>
        </w:trPr>
        <w:tc>
          <w:tcPr>
            <w:tcW w:w="1555" w:type="dxa"/>
          </w:tcPr>
          <w:p w14:paraId="417BE2DA" w14:textId="6267A3AA" w:rsidR="00A95E5F" w:rsidRPr="00EC0F71" w:rsidRDefault="00A95E5F" w:rsidP="008E7036">
            <w:pPr>
              <w:pStyle w:val="Default"/>
              <w:rPr>
                <w:rFonts w:asciiTheme="minorHAnsi" w:hAnsiTheme="minorHAnsi"/>
                <w:sz w:val="20"/>
              </w:rPr>
            </w:pPr>
            <w:r w:rsidRPr="00EC0F71">
              <w:rPr>
                <w:rFonts w:asciiTheme="minorHAnsi" w:hAnsiTheme="minorHAnsi"/>
                <w:sz w:val="20"/>
              </w:rPr>
              <w:lastRenderedPageBreak/>
              <w:t>2. Governance</w:t>
            </w:r>
          </w:p>
        </w:tc>
        <w:tc>
          <w:tcPr>
            <w:tcW w:w="2126" w:type="dxa"/>
            <w:shd w:val="clear" w:color="auto" w:fill="auto"/>
          </w:tcPr>
          <w:p w14:paraId="48BA9119" w14:textId="77777777" w:rsidR="00A95E5F" w:rsidRPr="00EC0F71" w:rsidRDefault="00A95E5F" w:rsidP="008E7036">
            <w:pPr>
              <w:snapToGrid w:val="0"/>
              <w:rPr>
                <w:sz w:val="20"/>
                <w:u w:val="single"/>
              </w:rPr>
            </w:pPr>
            <w:r w:rsidRPr="00EC0F71">
              <w:rPr>
                <w:sz w:val="20"/>
                <w:u w:val="single"/>
              </w:rPr>
              <w:t>Resolution XIV.3</w:t>
            </w:r>
          </w:p>
          <w:p w14:paraId="385D45FF" w14:textId="77777777" w:rsidR="00A95E5F" w:rsidRPr="00EC0F71" w:rsidRDefault="00A95E5F" w:rsidP="008E7036">
            <w:pPr>
              <w:ind w:right="16"/>
              <w:rPr>
                <w:sz w:val="20"/>
                <w:u w:val="single"/>
              </w:rPr>
            </w:pPr>
            <w:r w:rsidRPr="00EC0F71">
              <w:rPr>
                <w:sz w:val="20"/>
                <w:u w:val="single"/>
              </w:rPr>
              <w:t>The effectiveness and efficiency of the Convention on Wetlands.</w:t>
            </w:r>
          </w:p>
          <w:p w14:paraId="6D532046" w14:textId="77777777" w:rsidR="00A95E5F" w:rsidRPr="00EC0F71" w:rsidRDefault="00A95E5F" w:rsidP="008E7036">
            <w:pPr>
              <w:rPr>
                <w:sz w:val="20"/>
              </w:rPr>
            </w:pPr>
          </w:p>
          <w:p w14:paraId="290A1910" w14:textId="4FCB710E" w:rsidR="00A95E5F" w:rsidRPr="00EC0F71" w:rsidRDefault="00A95E5F" w:rsidP="00EC0F71">
            <w:pPr>
              <w:snapToGrid w:val="0"/>
              <w:rPr>
                <w:sz w:val="20"/>
              </w:rPr>
            </w:pPr>
            <w:r w:rsidRPr="00EC0F71">
              <w:rPr>
                <w:sz w:val="20"/>
              </w:rPr>
              <w:t>In line with the instructions of the Resolution, t</w:t>
            </w:r>
            <w:r w:rsidRPr="00EC0F71">
              <w:rPr>
                <w:rStyle w:val="cf01"/>
                <w:rFonts w:asciiTheme="minorHAnsi" w:hAnsiTheme="minorHAnsi"/>
                <w:sz w:val="20"/>
              </w:rPr>
              <w:t>he Secretariat has prepared a report on its review and analysis of approaches and possible online systems to facilitate collaboration between Contracting Parties intersessionally</w:t>
            </w:r>
            <w:r w:rsidR="00C71000">
              <w:rPr>
                <w:rStyle w:val="cf01"/>
                <w:rFonts w:asciiTheme="minorHAnsi" w:hAnsiTheme="minorHAnsi" w:cstheme="minorHAnsi"/>
                <w:sz w:val="20"/>
                <w:szCs w:val="20"/>
              </w:rPr>
              <w:t>,</w:t>
            </w:r>
            <w:r w:rsidRPr="00EC0F71">
              <w:rPr>
                <w:rStyle w:val="cf01"/>
                <w:rFonts w:asciiTheme="minorHAnsi" w:hAnsiTheme="minorHAnsi"/>
                <w:sz w:val="20"/>
              </w:rPr>
              <w:t xml:space="preserve"> and based on the feedback and decisions of SC62, the Secretariat will take further action to explore and ultimately implement requested systems and tools.</w:t>
            </w:r>
          </w:p>
        </w:tc>
        <w:tc>
          <w:tcPr>
            <w:tcW w:w="2126" w:type="dxa"/>
            <w:shd w:val="clear" w:color="auto" w:fill="auto"/>
          </w:tcPr>
          <w:p w14:paraId="03704991" w14:textId="77777777" w:rsidR="00A95E5F" w:rsidRPr="009B0E63" w:rsidRDefault="00A95E5F" w:rsidP="008E7036">
            <w:pPr>
              <w:rPr>
                <w:rFonts w:cstheme="minorHAnsi"/>
                <w:sz w:val="20"/>
                <w:szCs w:val="20"/>
              </w:rPr>
            </w:pPr>
          </w:p>
        </w:tc>
        <w:tc>
          <w:tcPr>
            <w:tcW w:w="2131" w:type="dxa"/>
            <w:shd w:val="clear" w:color="auto" w:fill="auto"/>
          </w:tcPr>
          <w:p w14:paraId="05C2EF7C" w14:textId="77777777" w:rsidR="00A95E5F" w:rsidRPr="009B0E63" w:rsidRDefault="00A95E5F" w:rsidP="008E7036">
            <w:pPr>
              <w:pStyle w:val="Default"/>
              <w:rPr>
                <w:rFonts w:asciiTheme="minorHAnsi" w:hAnsiTheme="minorHAnsi" w:cstheme="minorHAnsi"/>
                <w:sz w:val="20"/>
                <w:szCs w:val="20"/>
              </w:rPr>
            </w:pPr>
          </w:p>
        </w:tc>
        <w:tc>
          <w:tcPr>
            <w:tcW w:w="1555" w:type="dxa"/>
          </w:tcPr>
          <w:p w14:paraId="226A172E" w14:textId="77777777" w:rsidR="00A95E5F" w:rsidRPr="009B0E63" w:rsidRDefault="00A95E5F" w:rsidP="008E7036">
            <w:pPr>
              <w:pStyle w:val="Default"/>
              <w:rPr>
                <w:rFonts w:asciiTheme="minorHAnsi" w:hAnsiTheme="minorHAnsi" w:cstheme="minorHAnsi"/>
                <w:b/>
                <w:sz w:val="20"/>
                <w:szCs w:val="20"/>
              </w:rPr>
            </w:pPr>
            <w:r w:rsidRPr="009B0E63">
              <w:rPr>
                <w:rFonts w:asciiTheme="minorHAnsi" w:hAnsiTheme="minorHAnsi" w:cstheme="minorHAnsi"/>
                <w:b/>
                <w:sz w:val="20"/>
                <w:szCs w:val="20"/>
              </w:rPr>
              <w:t>1</w:t>
            </w:r>
          </w:p>
        </w:tc>
        <w:tc>
          <w:tcPr>
            <w:tcW w:w="2976" w:type="dxa"/>
          </w:tcPr>
          <w:p w14:paraId="5B07FCDA" w14:textId="77777777" w:rsidR="00A95E5F" w:rsidRPr="009B0E63" w:rsidRDefault="00A95E5F" w:rsidP="00817B26">
            <w:pPr>
              <w:pStyle w:val="Default"/>
              <w:numPr>
                <w:ilvl w:val="0"/>
                <w:numId w:val="16"/>
              </w:numPr>
              <w:ind w:left="180" w:hanging="180"/>
              <w:rPr>
                <w:rFonts w:asciiTheme="minorHAnsi" w:hAnsiTheme="minorHAnsi" w:cstheme="minorHAnsi"/>
                <w:b/>
                <w:sz w:val="20"/>
                <w:szCs w:val="20"/>
              </w:rPr>
            </w:pPr>
            <w:r w:rsidRPr="00EC0F71">
              <w:rPr>
                <w:rFonts w:asciiTheme="minorHAnsi" w:hAnsiTheme="minorHAnsi"/>
                <w:sz w:val="20"/>
              </w:rPr>
              <w:t>Involvement of the Management Working Group and Subgroup on Finance.</w:t>
            </w:r>
          </w:p>
          <w:p w14:paraId="5C7C196D" w14:textId="77777777" w:rsidR="00A95E5F" w:rsidRPr="00EC0F71" w:rsidRDefault="00A95E5F" w:rsidP="00817B26">
            <w:pPr>
              <w:pStyle w:val="Default"/>
              <w:numPr>
                <w:ilvl w:val="0"/>
                <w:numId w:val="16"/>
              </w:numPr>
              <w:ind w:left="180" w:hanging="180"/>
              <w:rPr>
                <w:rFonts w:asciiTheme="minorHAnsi" w:hAnsiTheme="minorHAnsi"/>
                <w:sz w:val="20"/>
              </w:rPr>
            </w:pPr>
            <w:r w:rsidRPr="00EC0F71">
              <w:rPr>
                <w:rFonts w:asciiTheme="minorHAnsi" w:hAnsiTheme="minorHAnsi"/>
                <w:sz w:val="20"/>
              </w:rPr>
              <w:t>Continuing to work on achieving strong and effective communication is essential to share information and best practices and foster collaboration between Contracting Parties. By improving communication channels, the Convention can better support Parties and foster a greater sense of community among all stakeholders.</w:t>
            </w:r>
          </w:p>
          <w:p w14:paraId="1FE84976" w14:textId="4ABD0804" w:rsidR="00A95E5F" w:rsidRPr="00EC0F71" w:rsidRDefault="00A95E5F" w:rsidP="00C647D0">
            <w:pPr>
              <w:pStyle w:val="Default"/>
              <w:numPr>
                <w:ilvl w:val="0"/>
                <w:numId w:val="16"/>
              </w:numPr>
              <w:ind w:left="180" w:hanging="180"/>
              <w:rPr>
                <w:rFonts w:asciiTheme="minorHAnsi" w:hAnsiTheme="minorHAnsi"/>
                <w:sz w:val="20"/>
              </w:rPr>
            </w:pPr>
            <w:r w:rsidRPr="00EC0F71">
              <w:rPr>
                <w:rFonts w:asciiTheme="minorHAnsi" w:hAnsiTheme="minorHAnsi"/>
                <w:sz w:val="20"/>
              </w:rPr>
              <w:t xml:space="preserve">By providing platforms for Parties to work together intersessionally, exchanging ideas and submitting comments on draft </w:t>
            </w:r>
            <w:r w:rsidR="003832FD">
              <w:rPr>
                <w:rFonts w:asciiTheme="minorHAnsi" w:hAnsiTheme="minorHAnsi" w:cstheme="minorHAnsi"/>
                <w:bCs/>
                <w:sz w:val="20"/>
                <w:szCs w:val="20"/>
              </w:rPr>
              <w:t>r</w:t>
            </w:r>
            <w:r w:rsidRPr="009B0E63">
              <w:rPr>
                <w:rFonts w:asciiTheme="minorHAnsi" w:hAnsiTheme="minorHAnsi" w:cstheme="minorHAnsi"/>
                <w:bCs/>
                <w:sz w:val="20"/>
                <w:szCs w:val="20"/>
              </w:rPr>
              <w:t>esolutions</w:t>
            </w:r>
            <w:r w:rsidRPr="00EC0F71">
              <w:rPr>
                <w:rFonts w:asciiTheme="minorHAnsi" w:hAnsiTheme="minorHAnsi"/>
                <w:sz w:val="20"/>
              </w:rPr>
              <w:t>, the Convention can foster more productive discussions and ultimately better-informed decision-making during formal meetings.</w:t>
            </w:r>
          </w:p>
          <w:p w14:paraId="2D56E5B2" w14:textId="77777777" w:rsidR="00A95E5F" w:rsidRPr="009B0E63" w:rsidRDefault="00A95E5F" w:rsidP="00C647D0">
            <w:pPr>
              <w:pStyle w:val="Default"/>
              <w:numPr>
                <w:ilvl w:val="0"/>
                <w:numId w:val="16"/>
              </w:numPr>
              <w:ind w:left="180" w:hanging="180"/>
              <w:rPr>
                <w:rFonts w:asciiTheme="minorHAnsi" w:hAnsiTheme="minorHAnsi" w:cstheme="minorHAnsi"/>
                <w:bCs/>
                <w:sz w:val="20"/>
                <w:szCs w:val="20"/>
              </w:rPr>
            </w:pPr>
            <w:r w:rsidRPr="009B0E63">
              <w:rPr>
                <w:rFonts w:asciiTheme="minorHAnsi" w:hAnsiTheme="minorHAnsi" w:cstheme="minorHAnsi"/>
                <w:bCs/>
                <w:sz w:val="20"/>
                <w:szCs w:val="20"/>
              </w:rPr>
              <w:t>The role of the Secretariat in strengthening training tools, such as virtual workshops and training materials, is crucial for Contracting Parties to effectively implement the provisions of the Convention at the national level.</w:t>
            </w:r>
          </w:p>
        </w:tc>
        <w:tc>
          <w:tcPr>
            <w:tcW w:w="2699" w:type="dxa"/>
          </w:tcPr>
          <w:p w14:paraId="79B6AF7C" w14:textId="50E96ACD" w:rsidR="00A62B4D" w:rsidRPr="00EC0F71" w:rsidRDefault="00637B99" w:rsidP="00472062">
            <w:pPr>
              <w:pStyle w:val="ListParagraph"/>
              <w:numPr>
                <w:ilvl w:val="0"/>
                <w:numId w:val="16"/>
              </w:numPr>
              <w:snapToGrid w:val="0"/>
              <w:ind w:left="170" w:hanging="142"/>
              <w:rPr>
                <w:rStyle w:val="cf01"/>
                <w:rFonts w:asciiTheme="minorHAnsi" w:hAnsiTheme="minorHAnsi"/>
                <w:color w:val="000000"/>
                <w:sz w:val="20"/>
                <w:lang w:val="en-GB"/>
              </w:rPr>
            </w:pPr>
            <w:r w:rsidRPr="00EC0F71">
              <w:rPr>
                <w:rStyle w:val="cf01"/>
                <w:rFonts w:asciiTheme="minorHAnsi" w:hAnsiTheme="minorHAnsi"/>
                <w:sz w:val="20"/>
              </w:rPr>
              <w:t xml:space="preserve">Based on </w:t>
            </w:r>
            <w:r w:rsidR="00421EF9" w:rsidRPr="00EC0F71">
              <w:rPr>
                <w:rStyle w:val="cf01"/>
                <w:rFonts w:asciiTheme="minorHAnsi" w:hAnsiTheme="minorHAnsi"/>
                <w:sz w:val="20"/>
              </w:rPr>
              <w:t xml:space="preserve">the </w:t>
            </w:r>
            <w:r w:rsidRPr="00EC0F71">
              <w:rPr>
                <w:rStyle w:val="cf01"/>
                <w:rFonts w:asciiTheme="minorHAnsi" w:hAnsiTheme="minorHAnsi"/>
                <w:sz w:val="20"/>
              </w:rPr>
              <w:t xml:space="preserve">decisions </w:t>
            </w:r>
            <w:r w:rsidR="00F12F54" w:rsidRPr="00EC0F71">
              <w:rPr>
                <w:rStyle w:val="cf01"/>
                <w:rFonts w:asciiTheme="minorHAnsi" w:hAnsiTheme="minorHAnsi"/>
                <w:sz w:val="20"/>
              </w:rPr>
              <w:t>of SC62</w:t>
            </w:r>
            <w:r w:rsidR="0041461C">
              <w:rPr>
                <w:rStyle w:val="cf01"/>
                <w:rFonts w:asciiTheme="minorHAnsi" w:hAnsiTheme="minorHAnsi" w:cstheme="minorHAnsi"/>
                <w:sz w:val="20"/>
                <w:szCs w:val="20"/>
              </w:rPr>
              <w:t>,</w:t>
            </w:r>
            <w:r w:rsidR="00F12F54" w:rsidRPr="00EC0F71">
              <w:rPr>
                <w:rStyle w:val="cf01"/>
                <w:rFonts w:asciiTheme="minorHAnsi" w:hAnsiTheme="minorHAnsi"/>
                <w:sz w:val="20"/>
              </w:rPr>
              <w:t xml:space="preserve"> </w:t>
            </w:r>
            <w:r w:rsidR="00421EF9" w:rsidRPr="00EC0F71">
              <w:rPr>
                <w:rStyle w:val="cf01"/>
                <w:rFonts w:asciiTheme="minorHAnsi" w:hAnsiTheme="minorHAnsi"/>
                <w:sz w:val="20"/>
              </w:rPr>
              <w:t>the Secre</w:t>
            </w:r>
            <w:r w:rsidR="003832FD" w:rsidRPr="00EC0F71">
              <w:rPr>
                <w:rStyle w:val="cf01"/>
                <w:rFonts w:asciiTheme="minorHAnsi" w:hAnsiTheme="minorHAnsi"/>
                <w:sz w:val="20"/>
              </w:rPr>
              <w:t>tariat will take further action</w:t>
            </w:r>
            <w:r w:rsidR="00A62B4D" w:rsidRPr="00EC0F71">
              <w:rPr>
                <w:rStyle w:val="cf01"/>
                <w:rFonts w:asciiTheme="minorHAnsi" w:hAnsiTheme="minorHAnsi"/>
                <w:sz w:val="20"/>
              </w:rPr>
              <w:t xml:space="preserve"> to explore and ultimately implement requested systems and tools</w:t>
            </w:r>
            <w:r w:rsidR="00421EF9" w:rsidRPr="00EC0F71">
              <w:rPr>
                <w:rStyle w:val="cf01"/>
                <w:rFonts w:asciiTheme="minorHAnsi" w:hAnsiTheme="minorHAnsi"/>
                <w:sz w:val="20"/>
              </w:rPr>
              <w:t xml:space="preserve"> to facilitate collaboration between Parties. </w:t>
            </w:r>
          </w:p>
          <w:p w14:paraId="70770F5F" w14:textId="77777777" w:rsidR="00A95E5F" w:rsidRPr="00EC0F71" w:rsidRDefault="00A95E5F" w:rsidP="00F12F54">
            <w:pPr>
              <w:pStyle w:val="Default"/>
              <w:rPr>
                <w:rFonts w:asciiTheme="minorHAnsi" w:hAnsiTheme="minorHAnsi"/>
                <w:sz w:val="20"/>
              </w:rPr>
            </w:pPr>
          </w:p>
        </w:tc>
      </w:tr>
      <w:tr w:rsidR="00EC0F71" w:rsidRPr="009B0E63" w14:paraId="7977D4E7" w14:textId="77777777" w:rsidTr="00C71000">
        <w:trPr>
          <w:cantSplit/>
        </w:trPr>
        <w:tc>
          <w:tcPr>
            <w:tcW w:w="1555" w:type="dxa"/>
          </w:tcPr>
          <w:p w14:paraId="608BF35E" w14:textId="25B32326" w:rsidR="00A95E5F" w:rsidRPr="00EC0F71" w:rsidRDefault="0086199D" w:rsidP="008E7036">
            <w:pPr>
              <w:pStyle w:val="Default"/>
              <w:rPr>
                <w:rFonts w:asciiTheme="minorHAnsi" w:hAnsiTheme="minorHAnsi"/>
                <w:sz w:val="20"/>
              </w:rPr>
            </w:pPr>
            <w:r w:rsidRPr="00EC0F71">
              <w:rPr>
                <w:rFonts w:asciiTheme="minorHAnsi" w:hAnsiTheme="minorHAnsi"/>
                <w:sz w:val="20"/>
              </w:rPr>
              <w:lastRenderedPageBreak/>
              <w:t>3. Leadership</w:t>
            </w:r>
          </w:p>
        </w:tc>
        <w:tc>
          <w:tcPr>
            <w:tcW w:w="2126" w:type="dxa"/>
            <w:shd w:val="clear" w:color="auto" w:fill="auto"/>
          </w:tcPr>
          <w:p w14:paraId="74044B4A" w14:textId="77777777" w:rsidR="00A95E5F" w:rsidRPr="00EC0F71" w:rsidRDefault="00A95E5F" w:rsidP="008E7036">
            <w:pPr>
              <w:snapToGrid w:val="0"/>
              <w:rPr>
                <w:sz w:val="20"/>
              </w:rPr>
            </w:pPr>
            <w:r w:rsidRPr="00EC0F71">
              <w:rPr>
                <w:sz w:val="20"/>
                <w:u w:val="single"/>
              </w:rPr>
              <w:t>Decision SC59-40</w:t>
            </w:r>
          </w:p>
          <w:p w14:paraId="63C95688" w14:textId="77777777" w:rsidR="00A95E5F" w:rsidRPr="00EC0F71" w:rsidRDefault="00A95E5F" w:rsidP="008E7036">
            <w:pPr>
              <w:snapToGrid w:val="0"/>
              <w:rPr>
                <w:sz w:val="20"/>
              </w:rPr>
            </w:pPr>
          </w:p>
          <w:p w14:paraId="3E099AF7" w14:textId="2794760A" w:rsidR="00A95E5F" w:rsidRPr="00EC0F71" w:rsidRDefault="00A95E5F" w:rsidP="00EC0F71">
            <w:pPr>
              <w:snapToGrid w:val="0"/>
              <w:rPr>
                <w:sz w:val="20"/>
              </w:rPr>
            </w:pPr>
            <w:r w:rsidRPr="00EC0F71">
              <w:rPr>
                <w:sz w:val="20"/>
              </w:rPr>
              <w:t>In Decision SC59-40, the Standing Committee entrusted the Management Working Group to develop a draft resolution to guide the process for recruiting a new Secretary General.  On this matter no draft resolution was submitted to the resumed session of SC59 i</w:t>
            </w:r>
            <w:r w:rsidR="0086199D" w:rsidRPr="00EC0F71">
              <w:rPr>
                <w:sz w:val="20"/>
              </w:rPr>
              <w:t>n May 2022.</w:t>
            </w:r>
          </w:p>
        </w:tc>
        <w:tc>
          <w:tcPr>
            <w:tcW w:w="2126" w:type="dxa"/>
            <w:shd w:val="clear" w:color="auto" w:fill="auto"/>
          </w:tcPr>
          <w:p w14:paraId="118ABD5D" w14:textId="77777777" w:rsidR="00A95E5F" w:rsidRPr="00EC0F71" w:rsidRDefault="00A95E5F" w:rsidP="008E7036">
            <w:pPr>
              <w:rPr>
                <w:sz w:val="20"/>
              </w:rPr>
            </w:pPr>
          </w:p>
        </w:tc>
        <w:tc>
          <w:tcPr>
            <w:tcW w:w="2131" w:type="dxa"/>
            <w:shd w:val="clear" w:color="auto" w:fill="auto"/>
          </w:tcPr>
          <w:p w14:paraId="128F6524" w14:textId="77777777" w:rsidR="00A95E5F" w:rsidRPr="009B0E63" w:rsidRDefault="00A95E5F" w:rsidP="008E7036">
            <w:pPr>
              <w:pStyle w:val="Default"/>
              <w:rPr>
                <w:rFonts w:asciiTheme="minorHAnsi" w:hAnsiTheme="minorHAnsi" w:cstheme="minorHAnsi"/>
                <w:sz w:val="20"/>
                <w:szCs w:val="20"/>
              </w:rPr>
            </w:pPr>
          </w:p>
        </w:tc>
        <w:tc>
          <w:tcPr>
            <w:tcW w:w="1555" w:type="dxa"/>
          </w:tcPr>
          <w:p w14:paraId="2227CD14" w14:textId="77777777" w:rsidR="00A95E5F" w:rsidRPr="009B0E63" w:rsidRDefault="00A95E5F" w:rsidP="008E7036">
            <w:pPr>
              <w:pStyle w:val="Default"/>
              <w:rPr>
                <w:rFonts w:asciiTheme="minorHAnsi" w:hAnsiTheme="minorHAnsi" w:cstheme="minorHAnsi"/>
                <w:b/>
                <w:sz w:val="20"/>
                <w:szCs w:val="20"/>
              </w:rPr>
            </w:pPr>
            <w:r w:rsidRPr="009B0E63">
              <w:rPr>
                <w:rFonts w:asciiTheme="minorHAnsi" w:hAnsiTheme="minorHAnsi" w:cstheme="minorHAnsi"/>
                <w:b/>
                <w:sz w:val="20"/>
                <w:szCs w:val="20"/>
              </w:rPr>
              <w:t>3</w:t>
            </w:r>
          </w:p>
        </w:tc>
        <w:tc>
          <w:tcPr>
            <w:tcW w:w="2976" w:type="dxa"/>
          </w:tcPr>
          <w:p w14:paraId="6BF3382D" w14:textId="471AA712" w:rsidR="00A95E5F" w:rsidRPr="00EC0F71" w:rsidRDefault="00A95E5F" w:rsidP="00EC0F71">
            <w:pPr>
              <w:pStyle w:val="Default"/>
              <w:numPr>
                <w:ilvl w:val="0"/>
                <w:numId w:val="10"/>
              </w:numPr>
              <w:ind w:left="174" w:hanging="174"/>
              <w:rPr>
                <w:rFonts w:asciiTheme="minorHAnsi" w:hAnsiTheme="minorHAnsi"/>
                <w:sz w:val="20"/>
              </w:rPr>
            </w:pPr>
            <w:r w:rsidRPr="00EC0F71">
              <w:rPr>
                <w:rFonts w:asciiTheme="minorHAnsi" w:hAnsiTheme="minorHAnsi"/>
                <w:sz w:val="20"/>
              </w:rPr>
              <w:t xml:space="preserve">Request the Management Working Group to </w:t>
            </w:r>
            <w:r w:rsidR="003832FD">
              <w:rPr>
                <w:rFonts w:asciiTheme="minorHAnsi" w:hAnsiTheme="minorHAnsi" w:cstheme="minorHAnsi"/>
                <w:bCs/>
                <w:sz w:val="20"/>
                <w:szCs w:val="20"/>
              </w:rPr>
              <w:t>prepare</w:t>
            </w:r>
            <w:r w:rsidRPr="009B0E63">
              <w:rPr>
                <w:rFonts w:asciiTheme="minorHAnsi" w:hAnsiTheme="minorHAnsi" w:cstheme="minorHAnsi"/>
                <w:bCs/>
                <w:sz w:val="20"/>
                <w:szCs w:val="20"/>
              </w:rPr>
              <w:t xml:space="preserve"> a </w:t>
            </w:r>
            <w:r w:rsidR="003832FD" w:rsidRPr="00EC0F71">
              <w:rPr>
                <w:rFonts w:asciiTheme="minorHAnsi" w:hAnsiTheme="minorHAnsi"/>
                <w:sz w:val="20"/>
              </w:rPr>
              <w:t xml:space="preserve">draft </w:t>
            </w:r>
            <w:r w:rsidRPr="00EC0F71">
              <w:rPr>
                <w:rFonts w:asciiTheme="minorHAnsi" w:hAnsiTheme="minorHAnsi"/>
                <w:sz w:val="20"/>
              </w:rPr>
              <w:t xml:space="preserve">resolution </w:t>
            </w:r>
            <w:r w:rsidR="003832FD" w:rsidRPr="009B0E63">
              <w:rPr>
                <w:rFonts w:asciiTheme="minorHAnsi" w:hAnsiTheme="minorHAnsi" w:cstheme="minorHAnsi"/>
                <w:bCs/>
                <w:sz w:val="20"/>
                <w:szCs w:val="20"/>
              </w:rPr>
              <w:t xml:space="preserve">for </w:t>
            </w:r>
            <w:r w:rsidR="003832FD">
              <w:rPr>
                <w:rFonts w:asciiTheme="minorHAnsi" w:hAnsiTheme="minorHAnsi" w:cstheme="minorHAnsi"/>
                <w:bCs/>
                <w:sz w:val="20"/>
                <w:szCs w:val="20"/>
              </w:rPr>
              <w:t xml:space="preserve">the </w:t>
            </w:r>
            <w:r w:rsidR="003832FD" w:rsidRPr="009B0E63">
              <w:rPr>
                <w:rFonts w:asciiTheme="minorHAnsi" w:hAnsiTheme="minorHAnsi" w:cstheme="minorHAnsi"/>
                <w:bCs/>
                <w:sz w:val="20"/>
                <w:szCs w:val="20"/>
              </w:rPr>
              <w:t>consideration</w:t>
            </w:r>
            <w:r w:rsidR="003832FD">
              <w:rPr>
                <w:rFonts w:asciiTheme="minorHAnsi" w:hAnsiTheme="minorHAnsi" w:cstheme="minorHAnsi"/>
                <w:bCs/>
                <w:sz w:val="20"/>
                <w:szCs w:val="20"/>
              </w:rPr>
              <w:t xml:space="preserve"> of </w:t>
            </w:r>
            <w:r w:rsidR="003832FD" w:rsidRPr="009B0E63">
              <w:rPr>
                <w:rFonts w:asciiTheme="minorHAnsi" w:hAnsiTheme="minorHAnsi" w:cstheme="minorHAnsi"/>
                <w:bCs/>
                <w:sz w:val="20"/>
                <w:szCs w:val="20"/>
              </w:rPr>
              <w:t>SC63</w:t>
            </w:r>
            <w:r w:rsidR="0041461C">
              <w:rPr>
                <w:rFonts w:asciiTheme="minorHAnsi" w:hAnsiTheme="minorHAnsi" w:cstheme="minorHAnsi"/>
                <w:bCs/>
                <w:sz w:val="20"/>
                <w:szCs w:val="20"/>
              </w:rPr>
              <w:t xml:space="preserve"> </w:t>
            </w:r>
            <w:r w:rsidRPr="00EC0F71">
              <w:rPr>
                <w:rFonts w:asciiTheme="minorHAnsi" w:hAnsiTheme="minorHAnsi"/>
                <w:sz w:val="20"/>
              </w:rPr>
              <w:t>that establishes the process for recruiting a new Secretary General</w:t>
            </w:r>
            <w:r w:rsidR="0041461C">
              <w:rPr>
                <w:rFonts w:asciiTheme="minorHAnsi" w:hAnsiTheme="minorHAnsi" w:cstheme="minorHAnsi"/>
                <w:bCs/>
                <w:sz w:val="20"/>
                <w:szCs w:val="20"/>
              </w:rPr>
              <w:t>,</w:t>
            </w:r>
            <w:r w:rsidRPr="00EC0F71">
              <w:rPr>
                <w:rFonts w:asciiTheme="minorHAnsi" w:hAnsiTheme="minorHAnsi"/>
                <w:sz w:val="20"/>
              </w:rPr>
              <w:t xml:space="preserve"> to respond to Decision SC59-40.</w:t>
            </w:r>
          </w:p>
        </w:tc>
        <w:tc>
          <w:tcPr>
            <w:tcW w:w="2699" w:type="dxa"/>
          </w:tcPr>
          <w:p w14:paraId="6CBF143A" w14:textId="067F5A33" w:rsidR="00A95E5F" w:rsidRPr="00EC0F71" w:rsidRDefault="00421EF9" w:rsidP="00EC0F71">
            <w:pPr>
              <w:pStyle w:val="Default"/>
              <w:numPr>
                <w:ilvl w:val="0"/>
                <w:numId w:val="10"/>
              </w:numPr>
              <w:ind w:left="174" w:hanging="174"/>
              <w:rPr>
                <w:rFonts w:asciiTheme="minorHAnsi" w:hAnsiTheme="minorHAnsi"/>
                <w:sz w:val="20"/>
              </w:rPr>
            </w:pPr>
            <w:r w:rsidRPr="00EC0F71">
              <w:rPr>
                <w:rFonts w:asciiTheme="minorHAnsi" w:hAnsiTheme="minorHAnsi"/>
                <w:sz w:val="20"/>
              </w:rPr>
              <w:t>Support the Management Working Group in the preparation of a draft resolution in response to Decision SC59-40</w:t>
            </w:r>
            <w:r w:rsidR="003832FD">
              <w:rPr>
                <w:rFonts w:asciiTheme="minorHAnsi" w:hAnsiTheme="minorHAnsi" w:cstheme="minorHAnsi"/>
                <w:bCs/>
                <w:sz w:val="20"/>
                <w:szCs w:val="20"/>
              </w:rPr>
              <w:t>.</w:t>
            </w:r>
          </w:p>
        </w:tc>
      </w:tr>
      <w:tr w:rsidR="00EC0F71" w:rsidRPr="00C2195B" w14:paraId="04997A53" w14:textId="77777777" w:rsidTr="00C71000">
        <w:trPr>
          <w:cantSplit/>
        </w:trPr>
        <w:tc>
          <w:tcPr>
            <w:tcW w:w="1555" w:type="dxa"/>
          </w:tcPr>
          <w:p w14:paraId="052F880D" w14:textId="77777777" w:rsidR="00A95E5F" w:rsidRPr="00EC0F71" w:rsidRDefault="00A95E5F" w:rsidP="008E7036">
            <w:pPr>
              <w:pStyle w:val="Default"/>
              <w:rPr>
                <w:rFonts w:asciiTheme="minorHAnsi" w:hAnsiTheme="minorHAnsi"/>
                <w:sz w:val="20"/>
              </w:rPr>
            </w:pPr>
            <w:r w:rsidRPr="00EC0F71">
              <w:rPr>
                <w:rFonts w:asciiTheme="minorHAnsi" w:hAnsiTheme="minorHAnsi"/>
                <w:sz w:val="20"/>
              </w:rPr>
              <w:lastRenderedPageBreak/>
              <w:t>4. Human Resources independency</w:t>
            </w:r>
          </w:p>
        </w:tc>
        <w:tc>
          <w:tcPr>
            <w:tcW w:w="2126" w:type="dxa"/>
            <w:shd w:val="clear" w:color="auto" w:fill="auto"/>
          </w:tcPr>
          <w:p w14:paraId="0B82FE04" w14:textId="77777777" w:rsidR="00A95E5F" w:rsidRPr="00EC0F71" w:rsidRDefault="00A95E5F" w:rsidP="008E7036">
            <w:pPr>
              <w:pStyle w:val="Default"/>
              <w:rPr>
                <w:rFonts w:asciiTheme="minorHAnsi" w:hAnsiTheme="minorHAnsi"/>
                <w:sz w:val="20"/>
              </w:rPr>
            </w:pPr>
            <w:r w:rsidRPr="00EC0F71">
              <w:rPr>
                <w:rFonts w:asciiTheme="minorHAnsi" w:hAnsiTheme="minorHAnsi"/>
                <w:sz w:val="20"/>
              </w:rPr>
              <w:t>Some limitations experienced by the Secretariat due to the lack of legal personality:</w:t>
            </w:r>
          </w:p>
          <w:p w14:paraId="3B57A822" w14:textId="77777777" w:rsidR="00A95E5F" w:rsidRPr="00EC0F71" w:rsidRDefault="00A95E5F" w:rsidP="008E7036">
            <w:pPr>
              <w:pStyle w:val="Default"/>
              <w:rPr>
                <w:rFonts w:asciiTheme="minorHAnsi" w:hAnsiTheme="minorHAnsi"/>
                <w:sz w:val="20"/>
              </w:rPr>
            </w:pPr>
          </w:p>
          <w:p w14:paraId="2CDA0189" w14:textId="77777777" w:rsidR="00A95E5F" w:rsidRPr="00EC0F71" w:rsidRDefault="00A95E5F" w:rsidP="00E62BEF">
            <w:pPr>
              <w:pStyle w:val="Default"/>
              <w:numPr>
                <w:ilvl w:val="0"/>
                <w:numId w:val="17"/>
              </w:numPr>
              <w:ind w:left="177" w:hanging="177"/>
              <w:rPr>
                <w:rFonts w:asciiTheme="minorHAnsi" w:hAnsiTheme="minorHAnsi"/>
                <w:sz w:val="20"/>
              </w:rPr>
            </w:pPr>
            <w:r w:rsidRPr="00EC0F71">
              <w:rPr>
                <w:rFonts w:asciiTheme="minorHAnsi" w:hAnsiTheme="minorHAnsi"/>
                <w:sz w:val="20"/>
              </w:rPr>
              <w:t>Limited competitiveness</w:t>
            </w:r>
            <w:r w:rsidRPr="00EC0F71">
              <w:rPr>
                <w:rFonts w:asciiTheme="minorHAnsi" w:hAnsiTheme="minorHAnsi"/>
                <w:b/>
                <w:sz w:val="20"/>
              </w:rPr>
              <w:t xml:space="preserve"> </w:t>
            </w:r>
            <w:r w:rsidRPr="00EC0F71">
              <w:rPr>
                <w:rFonts w:asciiTheme="minorHAnsi" w:hAnsiTheme="minorHAnsi"/>
                <w:sz w:val="20"/>
              </w:rPr>
              <w:t>in terms of recruitment of staff, compared with UN conditions and benefits.</w:t>
            </w:r>
          </w:p>
          <w:p w14:paraId="4279AECD" w14:textId="77777777" w:rsidR="00A95E5F" w:rsidRPr="00EC0F71" w:rsidRDefault="00A95E5F" w:rsidP="008E7036">
            <w:pPr>
              <w:pStyle w:val="Default"/>
              <w:rPr>
                <w:rFonts w:asciiTheme="minorHAnsi" w:hAnsiTheme="minorHAnsi"/>
                <w:sz w:val="20"/>
              </w:rPr>
            </w:pPr>
          </w:p>
          <w:p w14:paraId="5133B3A1" w14:textId="5477C6B5" w:rsidR="00A95E5F" w:rsidRPr="00EC0F71" w:rsidRDefault="00A95E5F" w:rsidP="00EC0F71">
            <w:pPr>
              <w:pStyle w:val="Default"/>
              <w:numPr>
                <w:ilvl w:val="0"/>
                <w:numId w:val="17"/>
              </w:numPr>
              <w:ind w:left="177" w:hanging="142"/>
              <w:rPr>
                <w:rFonts w:asciiTheme="minorHAnsi" w:hAnsiTheme="minorHAnsi"/>
                <w:sz w:val="20"/>
              </w:rPr>
            </w:pPr>
            <w:r w:rsidRPr="00B37307">
              <w:rPr>
                <w:rFonts w:asciiTheme="minorHAnsi" w:hAnsiTheme="minorHAnsi"/>
                <w:sz w:val="20"/>
              </w:rPr>
              <w:t>Staff recruitment and retention is growing in importance given that the competitiveness of IUCN and UN/other contracts is decreasing.</w:t>
            </w:r>
          </w:p>
        </w:tc>
        <w:tc>
          <w:tcPr>
            <w:tcW w:w="2126" w:type="dxa"/>
            <w:shd w:val="clear" w:color="auto" w:fill="auto"/>
          </w:tcPr>
          <w:p w14:paraId="477F1A6E" w14:textId="0BD34CE9" w:rsidR="00A95E5F" w:rsidRPr="00EC0F71" w:rsidRDefault="00A95E5F" w:rsidP="001A57DF">
            <w:pPr>
              <w:rPr>
                <w:sz w:val="20"/>
              </w:rPr>
            </w:pPr>
            <w:r w:rsidRPr="00EC0F71">
              <w:rPr>
                <w:sz w:val="20"/>
              </w:rPr>
              <w:t xml:space="preserve">Since 2017 for work and resident permit expatriate international members of the staff are entitled to legitimation cards </w:t>
            </w:r>
            <w:r w:rsidR="0041461C">
              <w:rPr>
                <w:rFonts w:cstheme="minorHAnsi"/>
                <w:sz w:val="20"/>
                <w:szCs w:val="20"/>
              </w:rPr>
              <w:t>rather than</w:t>
            </w:r>
            <w:r w:rsidRPr="00EC0F71">
              <w:rPr>
                <w:sz w:val="20"/>
              </w:rPr>
              <w:t xml:space="preserve"> B or C permits</w:t>
            </w:r>
            <w:r w:rsidR="001A57DF">
              <w:rPr>
                <w:rFonts w:cstheme="minorHAnsi"/>
                <w:sz w:val="20"/>
                <w:szCs w:val="20"/>
              </w:rPr>
              <w:t>,</w:t>
            </w:r>
            <w:r w:rsidRPr="00EC0F71">
              <w:rPr>
                <w:sz w:val="20"/>
              </w:rPr>
              <w:t xml:space="preserve"> which create some issues for the staff (n</w:t>
            </w:r>
            <w:r w:rsidRPr="00EC0F71">
              <w:rPr>
                <w:sz w:val="20"/>
                <w:lang w:val="en-GB"/>
              </w:rPr>
              <w:t xml:space="preserve">on-Swiss staff after leaving IUCN </w:t>
            </w:r>
            <w:r w:rsidR="001A57DF">
              <w:rPr>
                <w:rFonts w:eastAsia="Montserrat-Regular" w:cstheme="minorHAnsi"/>
                <w:sz w:val="20"/>
                <w:szCs w:val="20"/>
                <w:lang w:val="en-GB"/>
              </w:rPr>
              <w:t>are not</w:t>
            </w:r>
            <w:r w:rsidRPr="00EC0F71">
              <w:rPr>
                <w:sz w:val="20"/>
                <w:lang w:val="en-GB"/>
              </w:rPr>
              <w:t xml:space="preserve"> allowed to take up any work offered in Switzerland and have to apply again to obtain a new Swiss or resident permit). N</w:t>
            </w:r>
            <w:r w:rsidRPr="00EC0F71">
              <w:rPr>
                <w:sz w:val="20"/>
              </w:rPr>
              <w:t>ew staff members and their dependents from non-EU/EFTA countries may be required to obtain an entry visa for Switzerland.</w:t>
            </w:r>
          </w:p>
        </w:tc>
        <w:tc>
          <w:tcPr>
            <w:tcW w:w="2131" w:type="dxa"/>
            <w:shd w:val="clear" w:color="auto" w:fill="auto"/>
          </w:tcPr>
          <w:p w14:paraId="7225B9DC" w14:textId="77777777" w:rsidR="00A95E5F" w:rsidRPr="00EC0F71" w:rsidRDefault="00A95E5F" w:rsidP="008E7036">
            <w:pPr>
              <w:autoSpaceDE w:val="0"/>
              <w:autoSpaceDN w:val="0"/>
              <w:adjustRightInd w:val="0"/>
              <w:rPr>
                <w:sz w:val="20"/>
                <w:lang w:val="en-GB"/>
              </w:rPr>
            </w:pPr>
            <w:r w:rsidRPr="00EC0F71">
              <w:rPr>
                <w:sz w:val="20"/>
                <w:lang w:val="en-GB"/>
              </w:rPr>
              <w:t>IUCN’s own table of equivalencies</w:t>
            </w:r>
          </w:p>
          <w:p w14:paraId="2C582D33" w14:textId="77777777" w:rsidR="00A95E5F" w:rsidRPr="00EC0F71" w:rsidRDefault="00A95E5F" w:rsidP="008E7036">
            <w:pPr>
              <w:autoSpaceDE w:val="0"/>
              <w:autoSpaceDN w:val="0"/>
              <w:adjustRightInd w:val="0"/>
              <w:rPr>
                <w:sz w:val="20"/>
                <w:lang w:val="en-GB"/>
              </w:rPr>
            </w:pPr>
            <w:r w:rsidRPr="00EC0F71">
              <w:rPr>
                <w:sz w:val="20"/>
                <w:lang w:val="en-GB"/>
              </w:rPr>
              <w:t>between the IUCN and UN job does not identify</w:t>
            </w:r>
          </w:p>
          <w:p w14:paraId="4DCAD62B" w14:textId="443A304E" w:rsidR="00A95E5F" w:rsidRPr="00EC0F71" w:rsidRDefault="00A95E5F" w:rsidP="008E7036">
            <w:pPr>
              <w:autoSpaceDE w:val="0"/>
              <w:autoSpaceDN w:val="0"/>
              <w:adjustRightInd w:val="0"/>
              <w:rPr>
                <w:sz w:val="20"/>
                <w:lang w:val="en-GB"/>
              </w:rPr>
            </w:pPr>
            <w:r w:rsidRPr="00EC0F71">
              <w:rPr>
                <w:sz w:val="20"/>
                <w:lang w:val="en-GB"/>
              </w:rPr>
              <w:t>clear-cut equivalencies</w:t>
            </w:r>
            <w:r w:rsidR="001A57DF">
              <w:rPr>
                <w:rFonts w:eastAsia="Montserrat-Regular" w:cstheme="minorHAnsi"/>
                <w:sz w:val="20"/>
                <w:szCs w:val="20"/>
                <w:lang w:val="en-GB"/>
              </w:rPr>
              <w:t>;</w:t>
            </w:r>
            <w:r w:rsidRPr="00EC0F71">
              <w:rPr>
                <w:sz w:val="20"/>
                <w:lang w:val="en-GB"/>
              </w:rPr>
              <w:t xml:space="preserve"> instead it includes ranges of the possible</w:t>
            </w:r>
          </w:p>
          <w:p w14:paraId="798704E3" w14:textId="77777777" w:rsidR="00A95E5F" w:rsidRPr="00EC0F71" w:rsidRDefault="00A95E5F" w:rsidP="008E7036">
            <w:pPr>
              <w:autoSpaceDE w:val="0"/>
              <w:autoSpaceDN w:val="0"/>
              <w:adjustRightInd w:val="0"/>
              <w:rPr>
                <w:sz w:val="20"/>
                <w:lang w:val="en-GB"/>
              </w:rPr>
            </w:pPr>
            <w:r w:rsidRPr="00EC0F71">
              <w:rPr>
                <w:sz w:val="20"/>
                <w:lang w:val="en-GB"/>
              </w:rPr>
              <w:t>equivalencies. For example, according to IUCN’s table, a P1 position in</w:t>
            </w:r>
          </w:p>
          <w:p w14:paraId="4BD36D6D" w14:textId="77777777" w:rsidR="00A95E5F" w:rsidRPr="00EC0F71" w:rsidRDefault="00A95E5F" w:rsidP="008E7036">
            <w:pPr>
              <w:pStyle w:val="Default"/>
              <w:rPr>
                <w:rFonts w:asciiTheme="minorHAnsi" w:hAnsiTheme="minorHAnsi"/>
                <w:sz w:val="20"/>
              </w:rPr>
            </w:pPr>
            <w:r w:rsidRPr="00EC0F71">
              <w:rPr>
                <w:rFonts w:asciiTheme="minorHAnsi" w:hAnsiTheme="minorHAnsi"/>
                <w:sz w:val="20"/>
              </w:rPr>
              <w:t>IUCN may be equivalent to a P1 or P2 under the UN system.</w:t>
            </w:r>
          </w:p>
        </w:tc>
        <w:tc>
          <w:tcPr>
            <w:tcW w:w="1555" w:type="dxa"/>
          </w:tcPr>
          <w:p w14:paraId="0919DD45" w14:textId="77777777" w:rsidR="00A95E5F" w:rsidRPr="00C2195B" w:rsidRDefault="00A95E5F" w:rsidP="008E7036">
            <w:pPr>
              <w:pStyle w:val="Default"/>
              <w:rPr>
                <w:rFonts w:asciiTheme="minorHAnsi" w:hAnsiTheme="minorHAnsi" w:cstheme="minorHAnsi"/>
                <w:b/>
                <w:sz w:val="20"/>
                <w:szCs w:val="20"/>
              </w:rPr>
            </w:pPr>
            <w:r w:rsidRPr="00C2195B">
              <w:rPr>
                <w:rFonts w:asciiTheme="minorHAnsi" w:hAnsiTheme="minorHAnsi" w:cstheme="minorHAnsi"/>
                <w:b/>
                <w:sz w:val="20"/>
                <w:szCs w:val="20"/>
              </w:rPr>
              <w:t>3</w:t>
            </w:r>
          </w:p>
        </w:tc>
        <w:tc>
          <w:tcPr>
            <w:tcW w:w="2976" w:type="dxa"/>
          </w:tcPr>
          <w:p w14:paraId="404A5E68" w14:textId="075BF9E1" w:rsidR="00A95E5F" w:rsidRPr="00EC0F71" w:rsidRDefault="00A95E5F" w:rsidP="00942F40">
            <w:pPr>
              <w:pStyle w:val="Default"/>
              <w:numPr>
                <w:ilvl w:val="0"/>
                <w:numId w:val="10"/>
              </w:numPr>
              <w:ind w:left="174" w:hanging="174"/>
              <w:rPr>
                <w:rFonts w:asciiTheme="minorHAnsi" w:hAnsiTheme="minorHAnsi"/>
                <w:sz w:val="20"/>
              </w:rPr>
            </w:pPr>
            <w:r w:rsidRPr="00EC0F71">
              <w:rPr>
                <w:rFonts w:asciiTheme="minorHAnsi" w:hAnsiTheme="minorHAnsi"/>
                <w:sz w:val="20"/>
              </w:rPr>
              <w:t>Prepare comparisons to understand the limitations on competitiveness.</w:t>
            </w:r>
          </w:p>
          <w:p w14:paraId="00149A6B" w14:textId="185205BF" w:rsidR="00A95E5F" w:rsidRPr="00EC0F71" w:rsidRDefault="00A95E5F" w:rsidP="00EC0F71">
            <w:pPr>
              <w:pStyle w:val="Default"/>
              <w:numPr>
                <w:ilvl w:val="0"/>
                <w:numId w:val="10"/>
              </w:numPr>
              <w:ind w:left="174" w:hanging="174"/>
              <w:rPr>
                <w:rFonts w:asciiTheme="minorHAnsi" w:hAnsiTheme="minorHAnsi"/>
                <w:b/>
                <w:sz w:val="20"/>
              </w:rPr>
            </w:pPr>
            <w:r w:rsidRPr="00EC0F71">
              <w:rPr>
                <w:rFonts w:asciiTheme="minorHAnsi" w:hAnsiTheme="minorHAnsi"/>
                <w:sz w:val="20"/>
              </w:rPr>
              <w:t>Discussion with the host country</w:t>
            </w:r>
            <w:r w:rsidRPr="00EC0F71">
              <w:rPr>
                <w:rFonts w:asciiTheme="minorHAnsi" w:hAnsiTheme="minorHAnsi"/>
                <w:b/>
                <w:sz w:val="20"/>
              </w:rPr>
              <w:t xml:space="preserve"> </w:t>
            </w:r>
            <w:r w:rsidRPr="00EC0F71">
              <w:rPr>
                <w:rFonts w:asciiTheme="minorHAnsi" w:hAnsiTheme="minorHAnsi"/>
                <w:sz w:val="20"/>
              </w:rPr>
              <w:t>to find possible short-term solutions</w:t>
            </w:r>
            <w:r w:rsidR="0086199D" w:rsidRPr="00EC0F71">
              <w:rPr>
                <w:rFonts w:asciiTheme="minorHAnsi" w:hAnsiTheme="minorHAnsi"/>
                <w:sz w:val="20"/>
              </w:rPr>
              <w:t>.</w:t>
            </w:r>
          </w:p>
        </w:tc>
        <w:tc>
          <w:tcPr>
            <w:tcW w:w="2699" w:type="dxa"/>
          </w:tcPr>
          <w:p w14:paraId="3174BE28" w14:textId="77777777" w:rsidR="00421EF9" w:rsidRPr="00EC0F71" w:rsidRDefault="00421EF9" w:rsidP="001C32A6">
            <w:pPr>
              <w:pStyle w:val="Default"/>
              <w:numPr>
                <w:ilvl w:val="0"/>
                <w:numId w:val="10"/>
              </w:numPr>
              <w:ind w:left="174" w:hanging="174"/>
              <w:rPr>
                <w:rFonts w:asciiTheme="minorHAnsi" w:hAnsiTheme="minorHAnsi"/>
                <w:sz w:val="20"/>
              </w:rPr>
            </w:pPr>
            <w:r w:rsidRPr="00EC0F71">
              <w:rPr>
                <w:rFonts w:asciiTheme="minorHAnsi" w:hAnsiTheme="minorHAnsi"/>
                <w:sz w:val="20"/>
              </w:rPr>
              <w:t xml:space="preserve">Discuss with IUCN how the competitiveness of IUCN contracts can be enhanced. </w:t>
            </w:r>
          </w:p>
          <w:p w14:paraId="66AFE2B7" w14:textId="1DB32AD5" w:rsidR="00A95E5F" w:rsidRPr="00EC0F71" w:rsidRDefault="00421EF9" w:rsidP="00942F40">
            <w:pPr>
              <w:pStyle w:val="Default"/>
              <w:numPr>
                <w:ilvl w:val="0"/>
                <w:numId w:val="10"/>
              </w:numPr>
              <w:ind w:left="174" w:hanging="174"/>
              <w:rPr>
                <w:rFonts w:asciiTheme="minorHAnsi" w:hAnsiTheme="minorHAnsi"/>
                <w:sz w:val="20"/>
              </w:rPr>
            </w:pPr>
            <w:r w:rsidRPr="00EC0F71">
              <w:rPr>
                <w:rFonts w:asciiTheme="minorHAnsi" w:hAnsiTheme="minorHAnsi"/>
                <w:sz w:val="20"/>
              </w:rPr>
              <w:t>Request IUCN to identify clear-cut equivalencies</w:t>
            </w:r>
            <w:r w:rsidR="0086199D" w:rsidRPr="00EC0F71">
              <w:rPr>
                <w:rFonts w:asciiTheme="minorHAnsi" w:hAnsiTheme="minorHAnsi"/>
                <w:sz w:val="20"/>
              </w:rPr>
              <w:t xml:space="preserve"> between IUCN and UN positions.</w:t>
            </w:r>
          </w:p>
        </w:tc>
      </w:tr>
      <w:tr w:rsidR="00EC0F71" w:rsidRPr="00C2195B" w14:paraId="04D373BE" w14:textId="77777777" w:rsidTr="00C71000">
        <w:trPr>
          <w:cantSplit/>
        </w:trPr>
        <w:tc>
          <w:tcPr>
            <w:tcW w:w="1555" w:type="dxa"/>
          </w:tcPr>
          <w:p w14:paraId="0EF66E97" w14:textId="77777777" w:rsidR="00A95E5F" w:rsidRPr="00EC0F71" w:rsidRDefault="00A95E5F" w:rsidP="008E7036">
            <w:pPr>
              <w:pStyle w:val="Default"/>
              <w:rPr>
                <w:rFonts w:asciiTheme="minorHAnsi" w:hAnsiTheme="minorHAnsi"/>
                <w:sz w:val="20"/>
              </w:rPr>
            </w:pPr>
            <w:r w:rsidRPr="00EC0F71">
              <w:rPr>
                <w:rFonts w:asciiTheme="minorHAnsi" w:hAnsiTheme="minorHAnsi"/>
                <w:sz w:val="20"/>
              </w:rPr>
              <w:lastRenderedPageBreak/>
              <w:t>5.High-level political engagement, and the Convention’s visibility objectives.</w:t>
            </w:r>
          </w:p>
          <w:p w14:paraId="1EFD3F52" w14:textId="77777777" w:rsidR="00A95E5F" w:rsidRPr="00EC0F71" w:rsidRDefault="00A95E5F" w:rsidP="008E7036">
            <w:pPr>
              <w:pStyle w:val="Default"/>
              <w:rPr>
                <w:rFonts w:asciiTheme="minorHAnsi" w:hAnsiTheme="minorHAnsi"/>
                <w:sz w:val="20"/>
              </w:rPr>
            </w:pPr>
          </w:p>
          <w:p w14:paraId="7472E38F" w14:textId="77777777" w:rsidR="00A95E5F" w:rsidRPr="00EC0F71" w:rsidRDefault="00A95E5F" w:rsidP="008E7036">
            <w:pPr>
              <w:pStyle w:val="Default"/>
              <w:rPr>
                <w:rFonts w:asciiTheme="minorHAnsi" w:hAnsiTheme="minorHAnsi"/>
                <w:sz w:val="20"/>
              </w:rPr>
            </w:pPr>
            <w:r w:rsidRPr="00EC0F71">
              <w:rPr>
                <w:rFonts w:asciiTheme="minorHAnsi" w:hAnsiTheme="minorHAnsi"/>
                <w:sz w:val="20"/>
              </w:rPr>
              <w:t>Three issues were identified by the Observer Status Working Group concerning the international participation and visibility of the Secretariat related to its legal status</w:t>
            </w:r>
            <w:r w:rsidR="00040294" w:rsidRPr="00EC0F71">
              <w:rPr>
                <w:rFonts w:asciiTheme="minorHAnsi" w:hAnsiTheme="minorHAnsi"/>
                <w:sz w:val="20"/>
              </w:rPr>
              <w:t>.</w:t>
            </w:r>
          </w:p>
        </w:tc>
        <w:tc>
          <w:tcPr>
            <w:tcW w:w="2126" w:type="dxa"/>
            <w:shd w:val="clear" w:color="auto" w:fill="auto"/>
          </w:tcPr>
          <w:p w14:paraId="7690DCAE" w14:textId="7D7EFAED" w:rsidR="00A95E5F" w:rsidRPr="00EC0F71" w:rsidRDefault="00A95E5F" w:rsidP="008E7036">
            <w:pPr>
              <w:pStyle w:val="Default"/>
              <w:rPr>
                <w:rFonts w:asciiTheme="minorHAnsi" w:hAnsiTheme="minorHAnsi"/>
                <w:sz w:val="20"/>
              </w:rPr>
            </w:pPr>
            <w:r w:rsidRPr="00EC0F71">
              <w:rPr>
                <w:rFonts w:asciiTheme="minorHAnsi" w:hAnsiTheme="minorHAnsi"/>
                <w:sz w:val="20"/>
              </w:rPr>
              <w:t xml:space="preserve">International participation </w:t>
            </w:r>
            <w:r w:rsidR="00532C4E">
              <w:rPr>
                <w:rFonts w:asciiTheme="minorHAnsi" w:hAnsiTheme="minorHAnsi" w:cstheme="minorHAnsi"/>
                <w:sz w:val="20"/>
                <w:szCs w:val="20"/>
              </w:rPr>
              <w:t>and</w:t>
            </w:r>
            <w:r w:rsidRPr="00EC0F71">
              <w:rPr>
                <w:rFonts w:asciiTheme="minorHAnsi" w:hAnsiTheme="minorHAnsi"/>
                <w:sz w:val="20"/>
              </w:rPr>
              <w:t xml:space="preserve"> visibility: </w:t>
            </w:r>
          </w:p>
          <w:p w14:paraId="2E6F099B" w14:textId="0B6D563B" w:rsidR="00A95E5F" w:rsidRPr="00EC0F71" w:rsidRDefault="00A95E5F" w:rsidP="008E7036">
            <w:pPr>
              <w:rPr>
                <w:sz w:val="20"/>
              </w:rPr>
            </w:pPr>
            <w:r w:rsidRPr="00EC0F71">
              <w:rPr>
                <w:sz w:val="20"/>
              </w:rPr>
              <w:t xml:space="preserve">(a) Lack of possibility to participate in UN high-level fora and events (such as meetings of </w:t>
            </w:r>
            <w:r w:rsidR="008266A7" w:rsidRPr="008266A7">
              <w:rPr>
                <w:rFonts w:cstheme="minorHAnsi"/>
                <w:sz w:val="20"/>
                <w:szCs w:val="20"/>
              </w:rPr>
              <w:t xml:space="preserve">High-Level Political Forum on Sustainable Development </w:t>
            </w:r>
            <w:r w:rsidRPr="00C2195B">
              <w:rPr>
                <w:rFonts w:cstheme="minorHAnsi"/>
                <w:sz w:val="20"/>
                <w:szCs w:val="20"/>
              </w:rPr>
              <w:t>and the UN</w:t>
            </w:r>
            <w:r w:rsidR="008266A7">
              <w:rPr>
                <w:rFonts w:cstheme="minorHAnsi"/>
                <w:sz w:val="20"/>
                <w:szCs w:val="20"/>
              </w:rPr>
              <w:t xml:space="preserve"> </w:t>
            </w:r>
            <w:r w:rsidRPr="00C2195B">
              <w:rPr>
                <w:rFonts w:cstheme="minorHAnsi"/>
                <w:sz w:val="20"/>
                <w:szCs w:val="20"/>
              </w:rPr>
              <w:t>G</w:t>
            </w:r>
            <w:r w:rsidR="008266A7">
              <w:rPr>
                <w:rFonts w:cstheme="minorHAnsi"/>
                <w:sz w:val="20"/>
                <w:szCs w:val="20"/>
              </w:rPr>
              <w:t xml:space="preserve">eneral </w:t>
            </w:r>
            <w:r w:rsidRPr="00C2195B">
              <w:rPr>
                <w:rFonts w:cstheme="minorHAnsi"/>
                <w:sz w:val="20"/>
                <w:szCs w:val="20"/>
              </w:rPr>
              <w:t>A</w:t>
            </w:r>
            <w:r w:rsidR="008266A7">
              <w:rPr>
                <w:rFonts w:cstheme="minorHAnsi"/>
                <w:sz w:val="20"/>
                <w:szCs w:val="20"/>
              </w:rPr>
              <w:t>ssembly</w:t>
            </w:r>
            <w:r w:rsidRPr="00C2195B">
              <w:rPr>
                <w:rFonts w:cstheme="minorHAnsi"/>
                <w:sz w:val="20"/>
                <w:szCs w:val="20"/>
              </w:rPr>
              <w:t>)</w:t>
            </w:r>
          </w:p>
        </w:tc>
        <w:tc>
          <w:tcPr>
            <w:tcW w:w="2126" w:type="dxa"/>
            <w:shd w:val="clear" w:color="auto" w:fill="auto"/>
          </w:tcPr>
          <w:p w14:paraId="74D045AA" w14:textId="117396D6" w:rsidR="00A95E5F" w:rsidRPr="00EC0F71" w:rsidRDefault="00A95E5F" w:rsidP="00EC0F71">
            <w:pPr>
              <w:pStyle w:val="Default"/>
              <w:rPr>
                <w:rFonts w:asciiTheme="minorHAnsi" w:hAnsiTheme="minorHAnsi"/>
                <w:sz w:val="20"/>
              </w:rPr>
            </w:pPr>
            <w:r w:rsidRPr="00B37307">
              <w:rPr>
                <w:rFonts w:asciiTheme="minorHAnsi" w:hAnsiTheme="minorHAnsi"/>
                <w:sz w:val="20"/>
              </w:rPr>
              <w:t xml:space="preserve">b) Difficulties </w:t>
            </w:r>
            <w:r w:rsidR="008266A7">
              <w:rPr>
                <w:rFonts w:asciiTheme="minorHAnsi" w:hAnsiTheme="minorHAnsi" w:cstheme="minorHAnsi"/>
                <w:sz w:val="20"/>
                <w:szCs w:val="20"/>
              </w:rPr>
              <w:t>in participating</w:t>
            </w:r>
            <w:r w:rsidRPr="00EC0F71">
              <w:rPr>
                <w:rFonts w:asciiTheme="minorHAnsi" w:hAnsiTheme="minorHAnsi"/>
                <w:sz w:val="20"/>
              </w:rPr>
              <w:t xml:space="preserve"> as member in UN system inter-agency coordination mechanisms (such as EC</w:t>
            </w:r>
            <w:r w:rsidR="0086199D" w:rsidRPr="00EC0F71">
              <w:rPr>
                <w:rFonts w:asciiTheme="minorHAnsi" w:hAnsiTheme="minorHAnsi"/>
                <w:sz w:val="20"/>
              </w:rPr>
              <w:t>ESA Plus, UN-Oceans, UN-Water).</w:t>
            </w:r>
          </w:p>
        </w:tc>
        <w:tc>
          <w:tcPr>
            <w:tcW w:w="2131" w:type="dxa"/>
            <w:shd w:val="clear" w:color="auto" w:fill="auto"/>
          </w:tcPr>
          <w:p w14:paraId="750D7A19" w14:textId="13B685C7" w:rsidR="00A95E5F" w:rsidRPr="00EC0F71" w:rsidRDefault="00A95E5F" w:rsidP="008E7036">
            <w:pPr>
              <w:pStyle w:val="Default"/>
              <w:rPr>
                <w:rFonts w:asciiTheme="minorHAnsi" w:hAnsiTheme="minorHAnsi"/>
                <w:sz w:val="20"/>
              </w:rPr>
            </w:pPr>
            <w:r w:rsidRPr="00EC0F71">
              <w:rPr>
                <w:rFonts w:asciiTheme="minorHAnsi" w:hAnsiTheme="minorHAnsi"/>
                <w:sz w:val="20"/>
              </w:rPr>
              <w:t>c) Lack of visibility (in general) of the Conventi</w:t>
            </w:r>
            <w:r w:rsidR="0086199D" w:rsidRPr="00EC0F71">
              <w:rPr>
                <w:rFonts w:asciiTheme="minorHAnsi" w:hAnsiTheme="minorHAnsi"/>
                <w:sz w:val="20"/>
              </w:rPr>
              <w:t>on in UN processes and meeting.</w:t>
            </w:r>
          </w:p>
        </w:tc>
        <w:tc>
          <w:tcPr>
            <w:tcW w:w="1555" w:type="dxa"/>
          </w:tcPr>
          <w:p w14:paraId="21120E4A" w14:textId="77777777" w:rsidR="00A95E5F" w:rsidRPr="00C2195B" w:rsidRDefault="00A95E5F" w:rsidP="008E7036">
            <w:pPr>
              <w:pStyle w:val="Default"/>
              <w:rPr>
                <w:rFonts w:asciiTheme="minorHAnsi" w:hAnsiTheme="minorHAnsi" w:cstheme="minorHAnsi"/>
                <w:b/>
                <w:sz w:val="20"/>
                <w:szCs w:val="20"/>
              </w:rPr>
            </w:pPr>
            <w:r w:rsidRPr="00C2195B">
              <w:rPr>
                <w:rFonts w:asciiTheme="minorHAnsi" w:hAnsiTheme="minorHAnsi" w:cstheme="minorHAnsi"/>
                <w:b/>
                <w:sz w:val="20"/>
                <w:szCs w:val="20"/>
              </w:rPr>
              <w:t>5</w:t>
            </w:r>
          </w:p>
        </w:tc>
        <w:tc>
          <w:tcPr>
            <w:tcW w:w="2976" w:type="dxa"/>
          </w:tcPr>
          <w:p w14:paraId="4CBAF470" w14:textId="77777777" w:rsidR="00A95E5F" w:rsidRPr="00EC0F71" w:rsidRDefault="00A95E5F" w:rsidP="00F566A9">
            <w:pPr>
              <w:pStyle w:val="Default"/>
              <w:numPr>
                <w:ilvl w:val="0"/>
                <w:numId w:val="9"/>
              </w:numPr>
              <w:ind w:left="174" w:hanging="174"/>
              <w:rPr>
                <w:rFonts w:asciiTheme="minorHAnsi" w:hAnsiTheme="minorHAnsi"/>
                <w:sz w:val="20"/>
              </w:rPr>
            </w:pPr>
            <w:r w:rsidRPr="00EC0F71">
              <w:rPr>
                <w:rFonts w:asciiTheme="minorHAnsi" w:hAnsiTheme="minorHAnsi"/>
                <w:sz w:val="20"/>
              </w:rPr>
              <w:t xml:space="preserve">The issues will be solved when the administrative arrangements are solved. </w:t>
            </w:r>
          </w:p>
          <w:p w14:paraId="3B40586F" w14:textId="5C36D5B8" w:rsidR="00A95E5F" w:rsidRPr="00EC0F71" w:rsidRDefault="00A95E5F" w:rsidP="00EC0F71">
            <w:pPr>
              <w:pStyle w:val="ListParagraph"/>
              <w:numPr>
                <w:ilvl w:val="0"/>
                <w:numId w:val="9"/>
              </w:numPr>
              <w:ind w:left="180" w:hanging="142"/>
              <w:rPr>
                <w:sz w:val="20"/>
                <w:lang w:val="en-GB"/>
              </w:rPr>
            </w:pPr>
            <w:r w:rsidRPr="00EC0F71">
              <w:rPr>
                <w:sz w:val="20"/>
                <w:lang w:val="en-GB"/>
              </w:rPr>
              <w:t>Promote a meeting of missions from New York, Geneva and capitals in order to coordinate efforts to advance approval of Uruguay’s proposal in the 78th UN General Assembly agenda to obtain observer status</w:t>
            </w:r>
            <w:r w:rsidR="008266A7">
              <w:rPr>
                <w:rFonts w:cstheme="minorHAnsi"/>
                <w:sz w:val="20"/>
                <w:szCs w:val="20"/>
                <w:lang w:val="en-GB"/>
              </w:rPr>
              <w:t>,</w:t>
            </w:r>
            <w:r w:rsidRPr="00EC0F71">
              <w:rPr>
                <w:sz w:val="20"/>
                <w:lang w:val="en-GB"/>
              </w:rPr>
              <w:t xml:space="preserve"> following a similar process as was carried out for the UN World Wetlands Day Resolution. </w:t>
            </w:r>
          </w:p>
        </w:tc>
        <w:tc>
          <w:tcPr>
            <w:tcW w:w="2699" w:type="dxa"/>
          </w:tcPr>
          <w:p w14:paraId="2E8D7BCF" w14:textId="3EB1D70D" w:rsidR="00A95E5F" w:rsidRPr="00EC0F71" w:rsidRDefault="001F57D4" w:rsidP="00F566A9">
            <w:pPr>
              <w:pStyle w:val="Default"/>
              <w:numPr>
                <w:ilvl w:val="0"/>
                <w:numId w:val="9"/>
              </w:numPr>
              <w:ind w:left="174" w:hanging="174"/>
              <w:rPr>
                <w:rFonts w:asciiTheme="minorHAnsi" w:hAnsiTheme="minorHAnsi"/>
                <w:sz w:val="20"/>
              </w:rPr>
            </w:pPr>
            <w:r w:rsidRPr="00EC0F71">
              <w:rPr>
                <w:rFonts w:asciiTheme="minorHAnsi" w:hAnsiTheme="minorHAnsi"/>
                <w:sz w:val="20"/>
              </w:rPr>
              <w:t xml:space="preserve">Support </w:t>
            </w:r>
            <w:r w:rsidR="008A2060" w:rsidRPr="00EC0F71">
              <w:rPr>
                <w:rFonts w:asciiTheme="minorHAnsi" w:hAnsiTheme="minorHAnsi"/>
                <w:sz w:val="20"/>
              </w:rPr>
              <w:t>the preparation of meetings with the missions in New York</w:t>
            </w:r>
            <w:r w:rsidR="00421EF9" w:rsidRPr="00EC0F71">
              <w:rPr>
                <w:rFonts w:asciiTheme="minorHAnsi" w:hAnsiTheme="minorHAnsi"/>
                <w:sz w:val="20"/>
              </w:rPr>
              <w:t xml:space="preserve"> to advance Uruguay’s proposal</w:t>
            </w:r>
            <w:r w:rsidR="00095C67" w:rsidRPr="00EC0F71">
              <w:rPr>
                <w:rFonts w:asciiTheme="minorHAnsi" w:hAnsiTheme="minorHAnsi"/>
                <w:sz w:val="20"/>
              </w:rPr>
              <w:t>.</w:t>
            </w:r>
          </w:p>
        </w:tc>
      </w:tr>
    </w:tbl>
    <w:p w14:paraId="3F0BF4B3" w14:textId="77777777" w:rsidR="00AE7835" w:rsidRPr="007C64D2" w:rsidRDefault="00AE7835" w:rsidP="00F566A9">
      <w:pPr>
        <w:rPr>
          <w:lang w:val="en-GB"/>
        </w:rPr>
      </w:pPr>
    </w:p>
    <w:sectPr w:rsidR="00AE7835" w:rsidRPr="007C64D2" w:rsidSect="00304F7C">
      <w:footerReference w:type="default" r:id="rId13"/>
      <w:pgSz w:w="16838" w:h="11906" w:orient="landscape"/>
      <w:pgMar w:top="1440" w:right="82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E7DFA" w16cex:dateUtc="2023-07-28T15: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B1280" w14:textId="77777777" w:rsidR="00EC0F71" w:rsidRDefault="00EC0F71" w:rsidP="00BD4E4C">
      <w:pPr>
        <w:spacing w:after="0" w:line="240" w:lineRule="auto"/>
      </w:pPr>
      <w:r>
        <w:separator/>
      </w:r>
    </w:p>
  </w:endnote>
  <w:endnote w:type="continuationSeparator" w:id="0">
    <w:p w14:paraId="788D0DAE" w14:textId="77777777" w:rsidR="00EC0F71" w:rsidRDefault="00EC0F71" w:rsidP="00BD4E4C">
      <w:pPr>
        <w:spacing w:after="0" w:line="240" w:lineRule="auto"/>
      </w:pPr>
      <w:r>
        <w:continuationSeparator/>
      </w:r>
    </w:p>
  </w:endnote>
  <w:endnote w:type="continuationNotice" w:id="1">
    <w:p w14:paraId="16F528CE" w14:textId="77777777" w:rsidR="00EC0F71" w:rsidRDefault="00EC0F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Regular">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27D79" w14:textId="63D8D4BF" w:rsidR="002C5AF2" w:rsidRDefault="002C5AF2">
    <w:pPr>
      <w:pStyle w:val="Footer"/>
    </w:pPr>
    <w:r w:rsidRPr="00085362">
      <w:rPr>
        <w:rFonts w:cstheme="minorHAnsi"/>
        <w:sz w:val="20"/>
        <w:szCs w:val="20"/>
      </w:rPr>
      <w:t>S</w:t>
    </w:r>
    <w:r>
      <w:rPr>
        <w:rFonts w:cstheme="minorHAnsi"/>
        <w:sz w:val="20"/>
        <w:szCs w:val="20"/>
      </w:rPr>
      <w:t>C62</w:t>
    </w:r>
    <w:r w:rsidRPr="00085362">
      <w:rPr>
        <w:rFonts w:cstheme="minorHAnsi"/>
        <w:sz w:val="20"/>
        <w:szCs w:val="20"/>
      </w:rPr>
      <w:t xml:space="preserve"> Doc.</w:t>
    </w:r>
    <w:r>
      <w:rPr>
        <w:rFonts w:cstheme="minorHAnsi"/>
        <w:sz w:val="20"/>
        <w:szCs w:val="20"/>
      </w:rPr>
      <w:t>11</w:t>
    </w:r>
    <w:r w:rsidR="00C2195B">
      <w:rPr>
        <w:rFonts w:cstheme="minorHAnsi"/>
        <w:sz w:val="20"/>
        <w:szCs w:val="20"/>
      </w:rPr>
      <w:tab/>
    </w:r>
    <w:r w:rsidR="00C2195B">
      <w:rPr>
        <w:rFonts w:cstheme="minorHAnsi"/>
        <w:sz w:val="20"/>
        <w:szCs w:val="20"/>
      </w:rPr>
      <w:tab/>
    </w:r>
    <w:r w:rsidR="00C2195B" w:rsidRPr="00C2195B">
      <w:rPr>
        <w:rFonts w:cstheme="minorHAnsi"/>
        <w:sz w:val="20"/>
        <w:szCs w:val="20"/>
      </w:rPr>
      <w:fldChar w:fldCharType="begin"/>
    </w:r>
    <w:r w:rsidR="00C2195B" w:rsidRPr="00C2195B">
      <w:rPr>
        <w:rFonts w:cstheme="minorHAnsi"/>
        <w:sz w:val="20"/>
        <w:szCs w:val="20"/>
      </w:rPr>
      <w:instrText xml:space="preserve"> PAGE   \* MERGEFORMAT </w:instrText>
    </w:r>
    <w:r w:rsidR="00C2195B" w:rsidRPr="00C2195B">
      <w:rPr>
        <w:rFonts w:cstheme="minorHAnsi"/>
        <w:sz w:val="20"/>
        <w:szCs w:val="20"/>
      </w:rPr>
      <w:fldChar w:fldCharType="separate"/>
    </w:r>
    <w:r w:rsidR="00FC795A">
      <w:rPr>
        <w:rFonts w:cstheme="minorHAnsi"/>
        <w:noProof/>
        <w:sz w:val="20"/>
        <w:szCs w:val="20"/>
      </w:rPr>
      <w:t>4</w:t>
    </w:r>
    <w:r w:rsidR="00C2195B" w:rsidRPr="00C2195B">
      <w:rPr>
        <w:rFonts w:cstheme="minorHAns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9840D" w14:textId="5568B307" w:rsidR="00C2195B" w:rsidRDefault="00C2195B" w:rsidP="00EC0F71">
    <w:pPr>
      <w:pStyle w:val="Footer"/>
      <w:tabs>
        <w:tab w:val="clear" w:pos="9026"/>
        <w:tab w:val="right" w:pos="14175"/>
      </w:tabs>
    </w:pPr>
    <w:r w:rsidRPr="00085362">
      <w:rPr>
        <w:rFonts w:cstheme="minorHAnsi"/>
        <w:sz w:val="20"/>
        <w:szCs w:val="20"/>
      </w:rPr>
      <w:t>S</w:t>
    </w:r>
    <w:r>
      <w:rPr>
        <w:rFonts w:cstheme="minorHAnsi"/>
        <w:sz w:val="20"/>
        <w:szCs w:val="20"/>
      </w:rPr>
      <w:t>C62</w:t>
    </w:r>
    <w:r w:rsidRPr="00085362">
      <w:rPr>
        <w:rFonts w:cstheme="minorHAnsi"/>
        <w:sz w:val="20"/>
        <w:szCs w:val="20"/>
      </w:rPr>
      <w:t xml:space="preserve"> Doc.</w:t>
    </w:r>
    <w:r>
      <w:rPr>
        <w:rFonts w:cstheme="minorHAnsi"/>
        <w:sz w:val="20"/>
        <w:szCs w:val="20"/>
      </w:rPr>
      <w:t>11</w:t>
    </w:r>
    <w:r>
      <w:rPr>
        <w:rFonts w:cstheme="minorHAnsi"/>
        <w:sz w:val="20"/>
        <w:szCs w:val="20"/>
      </w:rPr>
      <w:tab/>
    </w:r>
    <w:r>
      <w:rPr>
        <w:rFonts w:cstheme="minorHAnsi"/>
        <w:sz w:val="20"/>
        <w:szCs w:val="20"/>
      </w:rPr>
      <w:tab/>
    </w:r>
    <w:r w:rsidRPr="00C2195B">
      <w:rPr>
        <w:rFonts w:cstheme="minorHAnsi"/>
        <w:sz w:val="20"/>
        <w:szCs w:val="20"/>
      </w:rPr>
      <w:fldChar w:fldCharType="begin"/>
    </w:r>
    <w:r w:rsidRPr="00C2195B">
      <w:rPr>
        <w:rFonts w:cstheme="minorHAnsi"/>
        <w:sz w:val="20"/>
        <w:szCs w:val="20"/>
      </w:rPr>
      <w:instrText xml:space="preserve"> PAGE   \* MERGEFORMAT </w:instrText>
    </w:r>
    <w:r w:rsidRPr="00C2195B">
      <w:rPr>
        <w:rFonts w:cstheme="minorHAnsi"/>
        <w:sz w:val="20"/>
        <w:szCs w:val="20"/>
      </w:rPr>
      <w:fldChar w:fldCharType="separate"/>
    </w:r>
    <w:r w:rsidR="00FC795A">
      <w:rPr>
        <w:rFonts w:cstheme="minorHAnsi"/>
        <w:noProof/>
        <w:sz w:val="20"/>
        <w:szCs w:val="20"/>
      </w:rPr>
      <w:t>10</w:t>
    </w:r>
    <w:r w:rsidRPr="00C2195B">
      <w:rPr>
        <w:rFonts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16FED" w14:textId="77777777" w:rsidR="00EC0F71" w:rsidRDefault="00EC0F71" w:rsidP="00BD4E4C">
      <w:pPr>
        <w:spacing w:after="0" w:line="240" w:lineRule="auto"/>
      </w:pPr>
      <w:r>
        <w:separator/>
      </w:r>
    </w:p>
  </w:footnote>
  <w:footnote w:type="continuationSeparator" w:id="0">
    <w:p w14:paraId="7A6A7341" w14:textId="77777777" w:rsidR="00EC0F71" w:rsidRDefault="00EC0F71" w:rsidP="00BD4E4C">
      <w:pPr>
        <w:spacing w:after="0" w:line="240" w:lineRule="auto"/>
      </w:pPr>
      <w:r>
        <w:continuationSeparator/>
      </w:r>
    </w:p>
  </w:footnote>
  <w:footnote w:type="continuationNotice" w:id="1">
    <w:p w14:paraId="3A1F2D2F" w14:textId="77777777" w:rsidR="00EC0F71" w:rsidRDefault="00EC0F71">
      <w:pPr>
        <w:spacing w:after="0" w:line="240" w:lineRule="auto"/>
      </w:pPr>
    </w:p>
  </w:footnote>
  <w:footnote w:id="2">
    <w:p w14:paraId="4173856E" w14:textId="71AAD451" w:rsidR="001C180F" w:rsidRPr="001C180F" w:rsidRDefault="001C180F">
      <w:pPr>
        <w:pStyle w:val="FootnoteText"/>
        <w:rPr>
          <w:lang w:val="en-GB"/>
        </w:rPr>
      </w:pPr>
      <w:r>
        <w:rPr>
          <w:rStyle w:val="FootnoteReference"/>
        </w:rPr>
        <w:footnoteRef/>
      </w:r>
      <w:r>
        <w:t xml:space="preserve"> </w:t>
      </w:r>
      <w:r>
        <w:rPr>
          <w:lang w:val="en-GB"/>
        </w:rPr>
        <w:t xml:space="preserve">See </w:t>
      </w:r>
      <w:hyperlink r:id="rId1" w:history="1">
        <w:r w:rsidRPr="00EF2877">
          <w:rPr>
            <w:rStyle w:val="Hyperlink"/>
            <w:lang w:val="en-GB"/>
          </w:rPr>
          <w:t>https://www.ramsar.org/document/independent-analysis-legal-status-secretariat-convention-wetlands-ramsar-convention</w:t>
        </w:r>
      </w:hyperlink>
      <w:r>
        <w:rPr>
          <w:lang w:val="en-GB"/>
        </w:rPr>
        <w:t xml:space="preserve">. </w:t>
      </w:r>
    </w:p>
  </w:footnote>
  <w:footnote w:id="3">
    <w:p w14:paraId="2A59DBF8" w14:textId="2E4A993E" w:rsidR="000E51B8" w:rsidRPr="000E51B8" w:rsidRDefault="000E51B8">
      <w:pPr>
        <w:pStyle w:val="FootnoteText"/>
        <w:rPr>
          <w:lang w:val="en-GB"/>
        </w:rPr>
      </w:pPr>
      <w:r>
        <w:rPr>
          <w:rStyle w:val="FootnoteReference"/>
        </w:rPr>
        <w:footnoteRef/>
      </w:r>
      <w:r>
        <w:t xml:space="preserve"> </w:t>
      </w:r>
      <w:r>
        <w:rPr>
          <w:lang w:val="en-GB"/>
        </w:rPr>
        <w:t xml:space="preserve">See </w:t>
      </w:r>
      <w:hyperlink r:id="rId2" w:history="1">
        <w:r w:rsidRPr="00EF2877">
          <w:rPr>
            <w:rStyle w:val="Hyperlink"/>
            <w:lang w:val="en-GB"/>
          </w:rPr>
          <w:t>https://www.ramsar.org/document/financial-analysis-legal-status-ramsar-secretariat</w:t>
        </w:r>
      </w:hyperlink>
      <w:r>
        <w:rPr>
          <w:lang w:val="en-GB"/>
        </w:rPr>
        <w:t xml:space="preserve">. </w:t>
      </w:r>
    </w:p>
  </w:footnote>
  <w:footnote w:id="4">
    <w:p w14:paraId="0186AD4D" w14:textId="174C45D7" w:rsidR="00F77BE9" w:rsidRPr="00F77BE9" w:rsidRDefault="00F77BE9">
      <w:pPr>
        <w:pStyle w:val="FootnoteText"/>
        <w:rPr>
          <w:lang w:val="en-GB"/>
        </w:rPr>
      </w:pPr>
      <w:r>
        <w:rPr>
          <w:rStyle w:val="FootnoteReference"/>
        </w:rPr>
        <w:footnoteRef/>
      </w:r>
      <w:r>
        <w:t xml:space="preserve"> </w:t>
      </w:r>
      <w:r>
        <w:rPr>
          <w:lang w:val="en-GB"/>
        </w:rPr>
        <w:t xml:space="preserve">See </w:t>
      </w:r>
      <w:hyperlink r:id="rId3" w:history="1">
        <w:r w:rsidRPr="00EF2877">
          <w:rPr>
            <w:rStyle w:val="Hyperlink"/>
            <w:lang w:val="en-GB"/>
          </w:rPr>
          <w:t>https://www.ramsar.org/document/resolution-xiv6-enhancing-conventions-visibility-and-synergies-other-multilateral</w:t>
        </w:r>
      </w:hyperlink>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C4F63" w14:textId="77777777" w:rsidR="00EC0F71" w:rsidRDefault="00EC0F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5563A"/>
    <w:multiLevelType w:val="hybridMultilevel"/>
    <w:tmpl w:val="78C487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FE5E15"/>
    <w:multiLevelType w:val="hybridMultilevel"/>
    <w:tmpl w:val="94920E94"/>
    <w:lvl w:ilvl="0" w:tplc="F774E102">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F55C35"/>
    <w:multiLevelType w:val="hybridMultilevel"/>
    <w:tmpl w:val="746AA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F4D13"/>
    <w:multiLevelType w:val="hybridMultilevel"/>
    <w:tmpl w:val="FCA63052"/>
    <w:lvl w:ilvl="0" w:tplc="79FC3DA2">
      <w:start w:val="1"/>
      <w:numFmt w:val="decimal"/>
      <w:lvlText w:val="%1."/>
      <w:lvlJc w:val="left"/>
      <w:pPr>
        <w:ind w:left="846" w:hanging="4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EE022C1"/>
    <w:multiLevelType w:val="hybridMultilevel"/>
    <w:tmpl w:val="3AFC351A"/>
    <w:lvl w:ilvl="0" w:tplc="665C336C">
      <w:start w:val="1"/>
      <w:numFmt w:val="lowerLetter"/>
      <w:lvlText w:val="%1."/>
      <w:lvlJc w:val="left"/>
      <w:pPr>
        <w:ind w:left="846" w:hanging="4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165512F"/>
    <w:multiLevelType w:val="hybridMultilevel"/>
    <w:tmpl w:val="B1AEE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47F00"/>
    <w:multiLevelType w:val="hybridMultilevel"/>
    <w:tmpl w:val="D9D43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657D4"/>
    <w:multiLevelType w:val="hybridMultilevel"/>
    <w:tmpl w:val="885A5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E20794"/>
    <w:multiLevelType w:val="hybridMultilevel"/>
    <w:tmpl w:val="DFB243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C3C184C"/>
    <w:multiLevelType w:val="hybridMultilevel"/>
    <w:tmpl w:val="99DAEB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44DF5D04"/>
    <w:multiLevelType w:val="hybridMultilevel"/>
    <w:tmpl w:val="E4A41CC6"/>
    <w:lvl w:ilvl="0" w:tplc="6E8EB4E2">
      <w:start w:val="2"/>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1" w15:restartNumberingAfterBreak="0">
    <w:nsid w:val="47AA19C7"/>
    <w:multiLevelType w:val="hybridMultilevel"/>
    <w:tmpl w:val="5BC29B5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48523622"/>
    <w:multiLevelType w:val="hybridMultilevel"/>
    <w:tmpl w:val="A2869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0E0C45"/>
    <w:multiLevelType w:val="hybridMultilevel"/>
    <w:tmpl w:val="E466BDFA"/>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05">
      <w:start w:val="1"/>
      <w:numFmt w:val="bullet"/>
      <w:lvlText w:val=""/>
      <w:lvlJc w:val="left"/>
      <w:pPr>
        <w:ind w:left="2205" w:hanging="360"/>
      </w:pPr>
      <w:rPr>
        <w:rFonts w:ascii="Wingdings" w:hAnsi="Wingdings" w:hint="default"/>
      </w:rPr>
    </w:lvl>
    <w:lvl w:ilvl="3" w:tplc="10090001">
      <w:start w:val="1"/>
      <w:numFmt w:val="bullet"/>
      <w:lvlText w:val=""/>
      <w:lvlJc w:val="left"/>
      <w:pPr>
        <w:ind w:left="2925" w:hanging="360"/>
      </w:pPr>
      <w:rPr>
        <w:rFonts w:ascii="Symbol" w:hAnsi="Symbol" w:hint="default"/>
      </w:rPr>
    </w:lvl>
    <w:lvl w:ilvl="4" w:tplc="10090003">
      <w:start w:val="1"/>
      <w:numFmt w:val="bullet"/>
      <w:lvlText w:val="o"/>
      <w:lvlJc w:val="left"/>
      <w:pPr>
        <w:ind w:left="3645" w:hanging="360"/>
      </w:pPr>
      <w:rPr>
        <w:rFonts w:ascii="Courier New" w:hAnsi="Courier New" w:cs="Courier New" w:hint="default"/>
      </w:rPr>
    </w:lvl>
    <w:lvl w:ilvl="5" w:tplc="10090005">
      <w:start w:val="1"/>
      <w:numFmt w:val="bullet"/>
      <w:lvlText w:val=""/>
      <w:lvlJc w:val="left"/>
      <w:pPr>
        <w:ind w:left="4365" w:hanging="360"/>
      </w:pPr>
      <w:rPr>
        <w:rFonts w:ascii="Wingdings" w:hAnsi="Wingdings" w:hint="default"/>
      </w:rPr>
    </w:lvl>
    <w:lvl w:ilvl="6" w:tplc="10090001">
      <w:start w:val="1"/>
      <w:numFmt w:val="bullet"/>
      <w:lvlText w:val=""/>
      <w:lvlJc w:val="left"/>
      <w:pPr>
        <w:ind w:left="5085" w:hanging="360"/>
      </w:pPr>
      <w:rPr>
        <w:rFonts w:ascii="Symbol" w:hAnsi="Symbol" w:hint="default"/>
      </w:rPr>
    </w:lvl>
    <w:lvl w:ilvl="7" w:tplc="10090003">
      <w:start w:val="1"/>
      <w:numFmt w:val="bullet"/>
      <w:lvlText w:val="o"/>
      <w:lvlJc w:val="left"/>
      <w:pPr>
        <w:ind w:left="5805" w:hanging="360"/>
      </w:pPr>
      <w:rPr>
        <w:rFonts w:ascii="Courier New" w:hAnsi="Courier New" w:cs="Courier New" w:hint="default"/>
      </w:rPr>
    </w:lvl>
    <w:lvl w:ilvl="8" w:tplc="10090005">
      <w:start w:val="1"/>
      <w:numFmt w:val="bullet"/>
      <w:lvlText w:val=""/>
      <w:lvlJc w:val="left"/>
      <w:pPr>
        <w:ind w:left="6525" w:hanging="360"/>
      </w:pPr>
      <w:rPr>
        <w:rFonts w:ascii="Wingdings" w:hAnsi="Wingdings" w:hint="default"/>
      </w:rPr>
    </w:lvl>
  </w:abstractNum>
  <w:abstractNum w:abstractNumId="14" w15:restartNumberingAfterBreak="0">
    <w:nsid w:val="5296078F"/>
    <w:multiLevelType w:val="hybridMultilevel"/>
    <w:tmpl w:val="0226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67296F"/>
    <w:multiLevelType w:val="hybridMultilevel"/>
    <w:tmpl w:val="7DF49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40E22"/>
    <w:multiLevelType w:val="hybridMultilevel"/>
    <w:tmpl w:val="92204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11DC9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5460A9D"/>
    <w:multiLevelType w:val="hybridMultilevel"/>
    <w:tmpl w:val="CAA46CFE"/>
    <w:lvl w:ilvl="0" w:tplc="35D8F85E">
      <w:start w:val="1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7D03EB"/>
    <w:multiLevelType w:val="hybridMultilevel"/>
    <w:tmpl w:val="AE1A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7903FF"/>
    <w:multiLevelType w:val="hybridMultilevel"/>
    <w:tmpl w:val="CA88811E"/>
    <w:lvl w:ilvl="0" w:tplc="E7A8D32A">
      <w:start w:val="1"/>
      <w:numFmt w:val="decimal"/>
      <w:lvlText w:val="%1."/>
      <w:lvlJc w:val="left"/>
      <w:pPr>
        <w:ind w:left="720" w:hanging="360"/>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D540DF"/>
    <w:multiLevelType w:val="hybridMultilevel"/>
    <w:tmpl w:val="77D46B80"/>
    <w:lvl w:ilvl="0" w:tplc="290055CA">
      <w:start w:val="2"/>
      <w:numFmt w:val="decimal"/>
      <w:lvlText w:val="%1."/>
      <w:lvlJc w:val="left"/>
      <w:pPr>
        <w:ind w:left="644" w:hanging="360"/>
      </w:pPr>
      <w:rPr>
        <w:rFonts w:eastAsiaTheme="minorEastAsia" w:cstheme="minorBidi"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
  </w:num>
  <w:num w:numId="2">
    <w:abstractNumId w:val="0"/>
  </w:num>
  <w:num w:numId="3">
    <w:abstractNumId w:val="10"/>
  </w:num>
  <w:num w:numId="4">
    <w:abstractNumId w:val="17"/>
  </w:num>
  <w:num w:numId="5">
    <w:abstractNumId w:val="11"/>
  </w:num>
  <w:num w:numId="6">
    <w:abstractNumId w:val="6"/>
  </w:num>
  <w:num w:numId="7">
    <w:abstractNumId w:val="5"/>
  </w:num>
  <w:num w:numId="8">
    <w:abstractNumId w:val="13"/>
  </w:num>
  <w:num w:numId="9">
    <w:abstractNumId w:val="16"/>
  </w:num>
  <w:num w:numId="10">
    <w:abstractNumId w:val="7"/>
  </w:num>
  <w:num w:numId="11">
    <w:abstractNumId w:val="12"/>
  </w:num>
  <w:num w:numId="12">
    <w:abstractNumId w:val="18"/>
  </w:num>
  <w:num w:numId="13">
    <w:abstractNumId w:val="20"/>
  </w:num>
  <w:num w:numId="14">
    <w:abstractNumId w:val="21"/>
  </w:num>
  <w:num w:numId="15">
    <w:abstractNumId w:val="15"/>
  </w:num>
  <w:num w:numId="16">
    <w:abstractNumId w:val="19"/>
  </w:num>
  <w:num w:numId="17">
    <w:abstractNumId w:val="14"/>
  </w:num>
  <w:num w:numId="18">
    <w:abstractNumId w:val="2"/>
  </w:num>
  <w:num w:numId="19">
    <w:abstractNumId w:val="9"/>
  </w:num>
  <w:num w:numId="20">
    <w:abstractNumId w:val="4"/>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48F"/>
    <w:rsid w:val="000028EA"/>
    <w:rsid w:val="00004DAF"/>
    <w:rsid w:val="00005D82"/>
    <w:rsid w:val="000121AE"/>
    <w:rsid w:val="00026178"/>
    <w:rsid w:val="00033D8E"/>
    <w:rsid w:val="00040294"/>
    <w:rsid w:val="00046BD8"/>
    <w:rsid w:val="000522C2"/>
    <w:rsid w:val="00064B3C"/>
    <w:rsid w:val="00070FE7"/>
    <w:rsid w:val="00071651"/>
    <w:rsid w:val="00072711"/>
    <w:rsid w:val="00073223"/>
    <w:rsid w:val="000863D9"/>
    <w:rsid w:val="00095107"/>
    <w:rsid w:val="00095C67"/>
    <w:rsid w:val="000A09AB"/>
    <w:rsid w:val="000A143D"/>
    <w:rsid w:val="000A50B6"/>
    <w:rsid w:val="000B14C7"/>
    <w:rsid w:val="000B15F0"/>
    <w:rsid w:val="000B1F52"/>
    <w:rsid w:val="000B2DB7"/>
    <w:rsid w:val="000B4DA9"/>
    <w:rsid w:val="000B6A49"/>
    <w:rsid w:val="000D3567"/>
    <w:rsid w:val="000E51B8"/>
    <w:rsid w:val="000F4572"/>
    <w:rsid w:val="000F6CD8"/>
    <w:rsid w:val="00100944"/>
    <w:rsid w:val="00103DB7"/>
    <w:rsid w:val="001055F4"/>
    <w:rsid w:val="001076B1"/>
    <w:rsid w:val="00110E39"/>
    <w:rsid w:val="001144D7"/>
    <w:rsid w:val="00115BFC"/>
    <w:rsid w:val="00115D09"/>
    <w:rsid w:val="00124683"/>
    <w:rsid w:val="00130032"/>
    <w:rsid w:val="00136FDC"/>
    <w:rsid w:val="0014001C"/>
    <w:rsid w:val="001455D1"/>
    <w:rsid w:val="001603E0"/>
    <w:rsid w:val="00166DBB"/>
    <w:rsid w:val="00171C4D"/>
    <w:rsid w:val="00174892"/>
    <w:rsid w:val="00175507"/>
    <w:rsid w:val="00177AC7"/>
    <w:rsid w:val="00183D4F"/>
    <w:rsid w:val="001871D2"/>
    <w:rsid w:val="00192B6E"/>
    <w:rsid w:val="001937C2"/>
    <w:rsid w:val="001A1741"/>
    <w:rsid w:val="001A1D56"/>
    <w:rsid w:val="001A57DF"/>
    <w:rsid w:val="001B2AD3"/>
    <w:rsid w:val="001C180F"/>
    <w:rsid w:val="001C32A6"/>
    <w:rsid w:val="001C4E71"/>
    <w:rsid w:val="001C7F55"/>
    <w:rsid w:val="001D05E5"/>
    <w:rsid w:val="001E5FA5"/>
    <w:rsid w:val="001F12E4"/>
    <w:rsid w:val="001F57D4"/>
    <w:rsid w:val="001F7693"/>
    <w:rsid w:val="002026F0"/>
    <w:rsid w:val="00210728"/>
    <w:rsid w:val="0022750F"/>
    <w:rsid w:val="00227CEB"/>
    <w:rsid w:val="002312AD"/>
    <w:rsid w:val="00240909"/>
    <w:rsid w:val="00240FFF"/>
    <w:rsid w:val="0024648F"/>
    <w:rsid w:val="00251AE5"/>
    <w:rsid w:val="00252AC0"/>
    <w:rsid w:val="0025334F"/>
    <w:rsid w:val="0027077F"/>
    <w:rsid w:val="002845EF"/>
    <w:rsid w:val="002A5CD3"/>
    <w:rsid w:val="002A60A6"/>
    <w:rsid w:val="002B202F"/>
    <w:rsid w:val="002C2799"/>
    <w:rsid w:val="002C5AF2"/>
    <w:rsid w:val="002C5C95"/>
    <w:rsid w:val="002D16E1"/>
    <w:rsid w:val="002D5ADE"/>
    <w:rsid w:val="002F020F"/>
    <w:rsid w:val="002F6C06"/>
    <w:rsid w:val="002F7462"/>
    <w:rsid w:val="00304F7C"/>
    <w:rsid w:val="00321CEE"/>
    <w:rsid w:val="00324B34"/>
    <w:rsid w:val="00327CEB"/>
    <w:rsid w:val="0034081F"/>
    <w:rsid w:val="0034229F"/>
    <w:rsid w:val="00343837"/>
    <w:rsid w:val="00351998"/>
    <w:rsid w:val="003529E4"/>
    <w:rsid w:val="003574C5"/>
    <w:rsid w:val="003832FD"/>
    <w:rsid w:val="00386930"/>
    <w:rsid w:val="00387CF9"/>
    <w:rsid w:val="003A0CEC"/>
    <w:rsid w:val="003A16A9"/>
    <w:rsid w:val="003B25F2"/>
    <w:rsid w:val="003B3962"/>
    <w:rsid w:val="003B6D90"/>
    <w:rsid w:val="003C1B1A"/>
    <w:rsid w:val="003C4496"/>
    <w:rsid w:val="003C7364"/>
    <w:rsid w:val="003D2C07"/>
    <w:rsid w:val="003E1B75"/>
    <w:rsid w:val="003E4740"/>
    <w:rsid w:val="003F39E5"/>
    <w:rsid w:val="00400BF7"/>
    <w:rsid w:val="00410652"/>
    <w:rsid w:val="00412B98"/>
    <w:rsid w:val="0041461C"/>
    <w:rsid w:val="00420430"/>
    <w:rsid w:val="00421EF9"/>
    <w:rsid w:val="00423BBD"/>
    <w:rsid w:val="004258B4"/>
    <w:rsid w:val="00432420"/>
    <w:rsid w:val="00432DB7"/>
    <w:rsid w:val="00451DB0"/>
    <w:rsid w:val="00453B62"/>
    <w:rsid w:val="00456E30"/>
    <w:rsid w:val="0046033F"/>
    <w:rsid w:val="00472062"/>
    <w:rsid w:val="0047453A"/>
    <w:rsid w:val="00474D7A"/>
    <w:rsid w:val="00476D2C"/>
    <w:rsid w:val="00487EBC"/>
    <w:rsid w:val="00491A13"/>
    <w:rsid w:val="00491FA4"/>
    <w:rsid w:val="004A105A"/>
    <w:rsid w:val="004A57A4"/>
    <w:rsid w:val="004A70ED"/>
    <w:rsid w:val="004B4645"/>
    <w:rsid w:val="004B7E5C"/>
    <w:rsid w:val="004C243B"/>
    <w:rsid w:val="004C4201"/>
    <w:rsid w:val="004C5FA5"/>
    <w:rsid w:val="004C66D6"/>
    <w:rsid w:val="004D4609"/>
    <w:rsid w:val="004E1709"/>
    <w:rsid w:val="004F130C"/>
    <w:rsid w:val="004F30C2"/>
    <w:rsid w:val="004F5BAA"/>
    <w:rsid w:val="005226E1"/>
    <w:rsid w:val="00530BB2"/>
    <w:rsid w:val="005326D4"/>
    <w:rsid w:val="00532C4E"/>
    <w:rsid w:val="005355B9"/>
    <w:rsid w:val="005362CF"/>
    <w:rsid w:val="00537570"/>
    <w:rsid w:val="005409FC"/>
    <w:rsid w:val="0054361E"/>
    <w:rsid w:val="005441CA"/>
    <w:rsid w:val="005541D3"/>
    <w:rsid w:val="00563CFD"/>
    <w:rsid w:val="00565247"/>
    <w:rsid w:val="00565424"/>
    <w:rsid w:val="00576AF0"/>
    <w:rsid w:val="00582923"/>
    <w:rsid w:val="00586E92"/>
    <w:rsid w:val="005914D5"/>
    <w:rsid w:val="00591AB7"/>
    <w:rsid w:val="005A2D2A"/>
    <w:rsid w:val="005A6367"/>
    <w:rsid w:val="005B0DCE"/>
    <w:rsid w:val="005C650F"/>
    <w:rsid w:val="005D1BBF"/>
    <w:rsid w:val="005E4C12"/>
    <w:rsid w:val="005E7875"/>
    <w:rsid w:val="005F0112"/>
    <w:rsid w:val="005F0771"/>
    <w:rsid w:val="005F59A1"/>
    <w:rsid w:val="005F7E7A"/>
    <w:rsid w:val="0060172E"/>
    <w:rsid w:val="006255E0"/>
    <w:rsid w:val="0062680F"/>
    <w:rsid w:val="00626A36"/>
    <w:rsid w:val="00627EA0"/>
    <w:rsid w:val="00637B99"/>
    <w:rsid w:val="006419E9"/>
    <w:rsid w:val="00644943"/>
    <w:rsid w:val="00646BA2"/>
    <w:rsid w:val="00650FDD"/>
    <w:rsid w:val="00666C5B"/>
    <w:rsid w:val="00671EB5"/>
    <w:rsid w:val="00677D44"/>
    <w:rsid w:val="00684F64"/>
    <w:rsid w:val="006910FC"/>
    <w:rsid w:val="00691700"/>
    <w:rsid w:val="00692B18"/>
    <w:rsid w:val="00694185"/>
    <w:rsid w:val="006A0004"/>
    <w:rsid w:val="006A69DF"/>
    <w:rsid w:val="006B1C34"/>
    <w:rsid w:val="006B5718"/>
    <w:rsid w:val="006E0AF6"/>
    <w:rsid w:val="006E4BC5"/>
    <w:rsid w:val="00701383"/>
    <w:rsid w:val="007055C1"/>
    <w:rsid w:val="00713454"/>
    <w:rsid w:val="00723694"/>
    <w:rsid w:val="00723E4F"/>
    <w:rsid w:val="007271E8"/>
    <w:rsid w:val="00731236"/>
    <w:rsid w:val="00746969"/>
    <w:rsid w:val="00750405"/>
    <w:rsid w:val="00761759"/>
    <w:rsid w:val="00762C42"/>
    <w:rsid w:val="00766CD3"/>
    <w:rsid w:val="007676E6"/>
    <w:rsid w:val="007718EA"/>
    <w:rsid w:val="00771FA6"/>
    <w:rsid w:val="00776424"/>
    <w:rsid w:val="007805D5"/>
    <w:rsid w:val="007832F3"/>
    <w:rsid w:val="007857E7"/>
    <w:rsid w:val="00794173"/>
    <w:rsid w:val="007A5662"/>
    <w:rsid w:val="007B0410"/>
    <w:rsid w:val="007B205D"/>
    <w:rsid w:val="007B6E6A"/>
    <w:rsid w:val="007C06A4"/>
    <w:rsid w:val="007C192D"/>
    <w:rsid w:val="007C64D2"/>
    <w:rsid w:val="007C7F44"/>
    <w:rsid w:val="007D55D4"/>
    <w:rsid w:val="007E3FF1"/>
    <w:rsid w:val="007F5414"/>
    <w:rsid w:val="007F630F"/>
    <w:rsid w:val="00803964"/>
    <w:rsid w:val="00804891"/>
    <w:rsid w:val="00804B80"/>
    <w:rsid w:val="0081491E"/>
    <w:rsid w:val="008176DB"/>
    <w:rsid w:val="00817B26"/>
    <w:rsid w:val="0082533B"/>
    <w:rsid w:val="008266A7"/>
    <w:rsid w:val="00826909"/>
    <w:rsid w:val="008316D2"/>
    <w:rsid w:val="00831BB0"/>
    <w:rsid w:val="00834ED4"/>
    <w:rsid w:val="00841FA2"/>
    <w:rsid w:val="008526CF"/>
    <w:rsid w:val="00853114"/>
    <w:rsid w:val="0086199D"/>
    <w:rsid w:val="00866C4B"/>
    <w:rsid w:val="008706E1"/>
    <w:rsid w:val="008712A9"/>
    <w:rsid w:val="008713CB"/>
    <w:rsid w:val="00877C02"/>
    <w:rsid w:val="0088320B"/>
    <w:rsid w:val="008901FA"/>
    <w:rsid w:val="00893226"/>
    <w:rsid w:val="008933FC"/>
    <w:rsid w:val="008A2060"/>
    <w:rsid w:val="008A31CF"/>
    <w:rsid w:val="008A36B5"/>
    <w:rsid w:val="008A3A3C"/>
    <w:rsid w:val="008B2F2F"/>
    <w:rsid w:val="008B6927"/>
    <w:rsid w:val="008C4994"/>
    <w:rsid w:val="008C5EAD"/>
    <w:rsid w:val="008C65B8"/>
    <w:rsid w:val="008D1540"/>
    <w:rsid w:val="008D5A7B"/>
    <w:rsid w:val="008E1D13"/>
    <w:rsid w:val="008F461C"/>
    <w:rsid w:val="00902137"/>
    <w:rsid w:val="009066B2"/>
    <w:rsid w:val="009109B6"/>
    <w:rsid w:val="00917006"/>
    <w:rsid w:val="00917BA8"/>
    <w:rsid w:val="00920133"/>
    <w:rsid w:val="009361A1"/>
    <w:rsid w:val="00942F40"/>
    <w:rsid w:val="009530D4"/>
    <w:rsid w:val="009664EB"/>
    <w:rsid w:val="0097650A"/>
    <w:rsid w:val="00984AE2"/>
    <w:rsid w:val="0098760C"/>
    <w:rsid w:val="00990602"/>
    <w:rsid w:val="00995D84"/>
    <w:rsid w:val="009A21FF"/>
    <w:rsid w:val="009A32D9"/>
    <w:rsid w:val="009B071B"/>
    <w:rsid w:val="009B0E63"/>
    <w:rsid w:val="009C3329"/>
    <w:rsid w:val="009C46F0"/>
    <w:rsid w:val="009C6AA2"/>
    <w:rsid w:val="009D07FE"/>
    <w:rsid w:val="009D6CFD"/>
    <w:rsid w:val="009D7A9F"/>
    <w:rsid w:val="009D7C98"/>
    <w:rsid w:val="009E1087"/>
    <w:rsid w:val="009E1CFB"/>
    <w:rsid w:val="009E2039"/>
    <w:rsid w:val="009E6501"/>
    <w:rsid w:val="009F58EA"/>
    <w:rsid w:val="00A023E8"/>
    <w:rsid w:val="00A11E59"/>
    <w:rsid w:val="00A218CB"/>
    <w:rsid w:val="00A36B9D"/>
    <w:rsid w:val="00A37E90"/>
    <w:rsid w:val="00A473C2"/>
    <w:rsid w:val="00A477B4"/>
    <w:rsid w:val="00A52174"/>
    <w:rsid w:val="00A53277"/>
    <w:rsid w:val="00A60460"/>
    <w:rsid w:val="00A62B4D"/>
    <w:rsid w:val="00A708A0"/>
    <w:rsid w:val="00A7223F"/>
    <w:rsid w:val="00A742CE"/>
    <w:rsid w:val="00A832E0"/>
    <w:rsid w:val="00A83CA6"/>
    <w:rsid w:val="00A86578"/>
    <w:rsid w:val="00A8714F"/>
    <w:rsid w:val="00A95E5F"/>
    <w:rsid w:val="00AA6200"/>
    <w:rsid w:val="00AA7C8D"/>
    <w:rsid w:val="00AC6391"/>
    <w:rsid w:val="00AE5E03"/>
    <w:rsid w:val="00AE7835"/>
    <w:rsid w:val="00B02183"/>
    <w:rsid w:val="00B04A5C"/>
    <w:rsid w:val="00B050E4"/>
    <w:rsid w:val="00B17310"/>
    <w:rsid w:val="00B22C80"/>
    <w:rsid w:val="00B369EC"/>
    <w:rsid w:val="00B37307"/>
    <w:rsid w:val="00B407BB"/>
    <w:rsid w:val="00B44446"/>
    <w:rsid w:val="00B53BC2"/>
    <w:rsid w:val="00B604E7"/>
    <w:rsid w:val="00B907F9"/>
    <w:rsid w:val="00B92BAE"/>
    <w:rsid w:val="00B9418E"/>
    <w:rsid w:val="00B9736A"/>
    <w:rsid w:val="00BA4AE6"/>
    <w:rsid w:val="00BD3EEE"/>
    <w:rsid w:val="00BD4E4C"/>
    <w:rsid w:val="00BE27D2"/>
    <w:rsid w:val="00BE3253"/>
    <w:rsid w:val="00BF07F3"/>
    <w:rsid w:val="00BF127C"/>
    <w:rsid w:val="00BF2B6D"/>
    <w:rsid w:val="00C0299A"/>
    <w:rsid w:val="00C069D1"/>
    <w:rsid w:val="00C10E00"/>
    <w:rsid w:val="00C16AA2"/>
    <w:rsid w:val="00C1768B"/>
    <w:rsid w:val="00C211DE"/>
    <w:rsid w:val="00C2195B"/>
    <w:rsid w:val="00C21CB0"/>
    <w:rsid w:val="00C21F4B"/>
    <w:rsid w:val="00C34DE8"/>
    <w:rsid w:val="00C42A7D"/>
    <w:rsid w:val="00C44395"/>
    <w:rsid w:val="00C51275"/>
    <w:rsid w:val="00C51332"/>
    <w:rsid w:val="00C54F0A"/>
    <w:rsid w:val="00C5789F"/>
    <w:rsid w:val="00C607F4"/>
    <w:rsid w:val="00C647D0"/>
    <w:rsid w:val="00C658AD"/>
    <w:rsid w:val="00C71000"/>
    <w:rsid w:val="00C71CD8"/>
    <w:rsid w:val="00C81337"/>
    <w:rsid w:val="00C95744"/>
    <w:rsid w:val="00C96E86"/>
    <w:rsid w:val="00CA2DB0"/>
    <w:rsid w:val="00CA5FE5"/>
    <w:rsid w:val="00CC7340"/>
    <w:rsid w:val="00CD53EB"/>
    <w:rsid w:val="00CD70EE"/>
    <w:rsid w:val="00CE0227"/>
    <w:rsid w:val="00CE049B"/>
    <w:rsid w:val="00CE0639"/>
    <w:rsid w:val="00CE551C"/>
    <w:rsid w:val="00CE6BBA"/>
    <w:rsid w:val="00CF346E"/>
    <w:rsid w:val="00D005D4"/>
    <w:rsid w:val="00D100E2"/>
    <w:rsid w:val="00D12397"/>
    <w:rsid w:val="00D133FE"/>
    <w:rsid w:val="00D277B3"/>
    <w:rsid w:val="00D32183"/>
    <w:rsid w:val="00D324EE"/>
    <w:rsid w:val="00D40498"/>
    <w:rsid w:val="00D40FFE"/>
    <w:rsid w:val="00D46681"/>
    <w:rsid w:val="00D52E67"/>
    <w:rsid w:val="00D54630"/>
    <w:rsid w:val="00D55049"/>
    <w:rsid w:val="00D55C02"/>
    <w:rsid w:val="00D60AE5"/>
    <w:rsid w:val="00D90A8A"/>
    <w:rsid w:val="00D90B59"/>
    <w:rsid w:val="00D92A0B"/>
    <w:rsid w:val="00D92B57"/>
    <w:rsid w:val="00D944E3"/>
    <w:rsid w:val="00D96527"/>
    <w:rsid w:val="00DA2827"/>
    <w:rsid w:val="00DB070D"/>
    <w:rsid w:val="00DC0458"/>
    <w:rsid w:val="00DC161E"/>
    <w:rsid w:val="00DC67F8"/>
    <w:rsid w:val="00DD3376"/>
    <w:rsid w:val="00DE31FD"/>
    <w:rsid w:val="00DE4065"/>
    <w:rsid w:val="00DE7904"/>
    <w:rsid w:val="00DF1BBF"/>
    <w:rsid w:val="00DF740C"/>
    <w:rsid w:val="00E047CE"/>
    <w:rsid w:val="00E05C46"/>
    <w:rsid w:val="00E15349"/>
    <w:rsid w:val="00E17330"/>
    <w:rsid w:val="00E17945"/>
    <w:rsid w:val="00E226D4"/>
    <w:rsid w:val="00E24FFC"/>
    <w:rsid w:val="00E261BD"/>
    <w:rsid w:val="00E266C9"/>
    <w:rsid w:val="00E37013"/>
    <w:rsid w:val="00E46D77"/>
    <w:rsid w:val="00E5267E"/>
    <w:rsid w:val="00E620BA"/>
    <w:rsid w:val="00E62BEF"/>
    <w:rsid w:val="00E63C74"/>
    <w:rsid w:val="00E669A4"/>
    <w:rsid w:val="00E8280D"/>
    <w:rsid w:val="00E84F6C"/>
    <w:rsid w:val="00E86992"/>
    <w:rsid w:val="00E92F35"/>
    <w:rsid w:val="00E9328B"/>
    <w:rsid w:val="00E9363C"/>
    <w:rsid w:val="00EA3399"/>
    <w:rsid w:val="00EA35EA"/>
    <w:rsid w:val="00EC0F71"/>
    <w:rsid w:val="00EC27F9"/>
    <w:rsid w:val="00EC3536"/>
    <w:rsid w:val="00EC5F3C"/>
    <w:rsid w:val="00EE1D4D"/>
    <w:rsid w:val="00EE2C87"/>
    <w:rsid w:val="00EF0628"/>
    <w:rsid w:val="00EF73A9"/>
    <w:rsid w:val="00F02565"/>
    <w:rsid w:val="00F0529F"/>
    <w:rsid w:val="00F12F54"/>
    <w:rsid w:val="00F16992"/>
    <w:rsid w:val="00F22BC7"/>
    <w:rsid w:val="00F315AD"/>
    <w:rsid w:val="00F315FF"/>
    <w:rsid w:val="00F3179C"/>
    <w:rsid w:val="00F428DC"/>
    <w:rsid w:val="00F55C9A"/>
    <w:rsid w:val="00F566A9"/>
    <w:rsid w:val="00F62543"/>
    <w:rsid w:val="00F64B23"/>
    <w:rsid w:val="00F7310C"/>
    <w:rsid w:val="00F74AF4"/>
    <w:rsid w:val="00F7626A"/>
    <w:rsid w:val="00F77BE9"/>
    <w:rsid w:val="00F82848"/>
    <w:rsid w:val="00F85E71"/>
    <w:rsid w:val="00F90A21"/>
    <w:rsid w:val="00F9140F"/>
    <w:rsid w:val="00FA4A9E"/>
    <w:rsid w:val="00FA718B"/>
    <w:rsid w:val="00FA7429"/>
    <w:rsid w:val="00FB75C9"/>
    <w:rsid w:val="00FB7F02"/>
    <w:rsid w:val="00FC1EDB"/>
    <w:rsid w:val="00FC3BBB"/>
    <w:rsid w:val="00FC795A"/>
    <w:rsid w:val="00FD0249"/>
    <w:rsid w:val="00FD1F6B"/>
    <w:rsid w:val="00FD5E4D"/>
    <w:rsid w:val="00FD6E93"/>
    <w:rsid w:val="00FE6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3F6E"/>
  <w15:chartTrackingRefBased/>
  <w15:docId w15:val="{E9523E19-C146-4CFC-992F-C14B7E06A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7B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07BB"/>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B407BB"/>
    <w:rPr>
      <w:color w:val="0000FF"/>
      <w:u w:val="single"/>
    </w:rPr>
  </w:style>
  <w:style w:type="paragraph" w:styleId="ListParagraph">
    <w:name w:val="List Paragraph"/>
    <w:aliases w:val="Rec para,Dot pt,Párrafo de lista1,Paragraphe de liste,List Paragraph12,MAIN CONTENT,List Paragraph2,List Paragraph1,Recommendation,List Paragraph11,F5 List Paragraph,List Paragraph Char Char Char,Indicator Text"/>
    <w:basedOn w:val="Normal"/>
    <w:link w:val="ListParagraphChar"/>
    <w:uiPriority w:val="34"/>
    <w:qFormat/>
    <w:rsid w:val="00B407BB"/>
    <w:pPr>
      <w:ind w:left="720"/>
      <w:contextualSpacing/>
    </w:pPr>
  </w:style>
  <w:style w:type="character" w:customStyle="1" w:styleId="cf01">
    <w:name w:val="cf01"/>
    <w:basedOn w:val="DefaultParagraphFont"/>
    <w:rsid w:val="00B407BB"/>
    <w:rPr>
      <w:rFonts w:ascii="Segoe UI" w:hAnsi="Segoe UI" w:cs="Segoe UI" w:hint="default"/>
      <w:sz w:val="18"/>
      <w:szCs w:val="18"/>
    </w:rPr>
  </w:style>
  <w:style w:type="paragraph" w:styleId="NoSpacing">
    <w:name w:val="No Spacing"/>
    <w:uiPriority w:val="1"/>
    <w:qFormat/>
    <w:rsid w:val="00B407BB"/>
    <w:pPr>
      <w:spacing w:after="0" w:line="240" w:lineRule="auto"/>
    </w:pPr>
    <w:rPr>
      <w:lang w:val="en-US"/>
    </w:rPr>
  </w:style>
  <w:style w:type="character" w:customStyle="1" w:styleId="ListParagraphChar">
    <w:name w:val="List Paragraph Char"/>
    <w:aliases w:val="Rec para Char,Dot pt Char,Párrafo de lista1 Char,Paragraphe de liste Char,List Paragraph12 Char,MAIN CONTENT Char,List Paragraph2 Char,List Paragraph1 Char,Recommendation Char,List Paragraph11 Char,F5 List Paragraph Char"/>
    <w:link w:val="ListParagraph"/>
    <w:uiPriority w:val="34"/>
    <w:qFormat/>
    <w:locked/>
    <w:rsid w:val="00B407BB"/>
    <w:rPr>
      <w:lang w:val="en-US"/>
    </w:rPr>
  </w:style>
  <w:style w:type="paragraph" w:customStyle="1" w:styleId="ColorfulList-Accent11">
    <w:name w:val="Colorful List - Accent 11"/>
    <w:basedOn w:val="Normal"/>
    <w:uiPriority w:val="34"/>
    <w:qFormat/>
    <w:rsid w:val="00B407BB"/>
    <w:pPr>
      <w:spacing w:after="0" w:line="240" w:lineRule="auto"/>
      <w:ind w:left="720" w:hanging="425"/>
      <w:contextualSpacing/>
    </w:pPr>
    <w:rPr>
      <w:rFonts w:ascii="Calibri" w:eastAsia="Calibri" w:hAnsi="Calibri" w:cs="Times New Roman"/>
      <w:lang w:val="en-GB"/>
    </w:rPr>
  </w:style>
  <w:style w:type="paragraph" w:styleId="NormalWeb">
    <w:name w:val="Normal (Web)"/>
    <w:basedOn w:val="Normal"/>
    <w:uiPriority w:val="99"/>
    <w:unhideWhenUsed/>
    <w:rsid w:val="00B407BB"/>
    <w:pPr>
      <w:spacing w:before="100" w:beforeAutospacing="1" w:after="100" w:afterAutospacing="1" w:line="240" w:lineRule="auto"/>
    </w:pPr>
    <w:rPr>
      <w:rFonts w:ascii="Times New Roman" w:hAnsi="Times New Roman" w:cs="Times New Roman"/>
      <w:sz w:val="24"/>
      <w:szCs w:val="24"/>
      <w:lang w:val="en-GB" w:eastAsia="en-GB"/>
    </w:rPr>
  </w:style>
  <w:style w:type="table" w:styleId="TableGrid">
    <w:name w:val="Table Grid"/>
    <w:basedOn w:val="TableNormal"/>
    <w:uiPriority w:val="39"/>
    <w:rsid w:val="00AE7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218CB"/>
    <w:rPr>
      <w:color w:val="605E5C"/>
      <w:shd w:val="clear" w:color="auto" w:fill="E1DFDD"/>
    </w:rPr>
  </w:style>
  <w:style w:type="paragraph" w:styleId="Header">
    <w:name w:val="header"/>
    <w:basedOn w:val="Normal"/>
    <w:link w:val="HeaderChar"/>
    <w:uiPriority w:val="99"/>
    <w:unhideWhenUsed/>
    <w:rsid w:val="00BD4E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E4C"/>
    <w:rPr>
      <w:lang w:val="en-US"/>
    </w:rPr>
  </w:style>
  <w:style w:type="paragraph" w:styleId="Footer">
    <w:name w:val="footer"/>
    <w:basedOn w:val="Normal"/>
    <w:link w:val="FooterChar"/>
    <w:uiPriority w:val="99"/>
    <w:unhideWhenUsed/>
    <w:rsid w:val="00BD4E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E4C"/>
    <w:rPr>
      <w:lang w:val="en-US"/>
    </w:rPr>
  </w:style>
  <w:style w:type="paragraph" w:styleId="BalloonText">
    <w:name w:val="Balloon Text"/>
    <w:basedOn w:val="Normal"/>
    <w:link w:val="BalloonTextChar"/>
    <w:uiPriority w:val="99"/>
    <w:semiHidden/>
    <w:unhideWhenUsed/>
    <w:rsid w:val="00240909"/>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240909"/>
    <w:rPr>
      <w:rFonts w:ascii="Arial" w:hAnsi="Arial" w:cs="Arial"/>
      <w:sz w:val="18"/>
      <w:szCs w:val="18"/>
      <w:lang w:val="en-US"/>
    </w:rPr>
  </w:style>
  <w:style w:type="character" w:styleId="CommentReference">
    <w:name w:val="annotation reference"/>
    <w:basedOn w:val="DefaultParagraphFont"/>
    <w:uiPriority w:val="99"/>
    <w:semiHidden/>
    <w:unhideWhenUsed/>
    <w:rsid w:val="00990602"/>
    <w:rPr>
      <w:sz w:val="16"/>
      <w:szCs w:val="16"/>
    </w:rPr>
  </w:style>
  <w:style w:type="paragraph" w:styleId="CommentText">
    <w:name w:val="annotation text"/>
    <w:basedOn w:val="Normal"/>
    <w:link w:val="CommentTextChar"/>
    <w:uiPriority w:val="99"/>
    <w:unhideWhenUsed/>
    <w:rsid w:val="00990602"/>
    <w:pPr>
      <w:spacing w:line="240" w:lineRule="auto"/>
    </w:pPr>
    <w:rPr>
      <w:sz w:val="20"/>
      <w:szCs w:val="20"/>
    </w:rPr>
  </w:style>
  <w:style w:type="character" w:customStyle="1" w:styleId="CommentTextChar">
    <w:name w:val="Comment Text Char"/>
    <w:basedOn w:val="DefaultParagraphFont"/>
    <w:link w:val="CommentText"/>
    <w:uiPriority w:val="99"/>
    <w:rsid w:val="00990602"/>
    <w:rPr>
      <w:sz w:val="20"/>
      <w:szCs w:val="20"/>
      <w:lang w:val="en-US"/>
    </w:rPr>
  </w:style>
  <w:style w:type="paragraph" w:styleId="CommentSubject">
    <w:name w:val="annotation subject"/>
    <w:basedOn w:val="CommentText"/>
    <w:next w:val="CommentText"/>
    <w:link w:val="CommentSubjectChar"/>
    <w:uiPriority w:val="99"/>
    <w:semiHidden/>
    <w:unhideWhenUsed/>
    <w:rsid w:val="00990602"/>
    <w:rPr>
      <w:b/>
      <w:bCs/>
    </w:rPr>
  </w:style>
  <w:style w:type="character" w:customStyle="1" w:styleId="CommentSubjectChar">
    <w:name w:val="Comment Subject Char"/>
    <w:basedOn w:val="CommentTextChar"/>
    <w:link w:val="CommentSubject"/>
    <w:uiPriority w:val="99"/>
    <w:semiHidden/>
    <w:rsid w:val="00990602"/>
    <w:rPr>
      <w:b/>
      <w:bCs/>
      <w:sz w:val="20"/>
      <w:szCs w:val="20"/>
      <w:lang w:val="en-US"/>
    </w:rPr>
  </w:style>
  <w:style w:type="paragraph" w:styleId="Revision">
    <w:name w:val="Revision"/>
    <w:hidden/>
    <w:uiPriority w:val="99"/>
    <w:semiHidden/>
    <w:rsid w:val="00746969"/>
    <w:pPr>
      <w:spacing w:after="0" w:line="240" w:lineRule="auto"/>
    </w:pPr>
    <w:rPr>
      <w:lang w:val="en-US"/>
    </w:rPr>
  </w:style>
  <w:style w:type="character" w:styleId="FollowedHyperlink">
    <w:name w:val="FollowedHyperlink"/>
    <w:basedOn w:val="DefaultParagraphFont"/>
    <w:uiPriority w:val="99"/>
    <w:semiHidden/>
    <w:unhideWhenUsed/>
    <w:rsid w:val="001C180F"/>
    <w:rPr>
      <w:color w:val="954F72" w:themeColor="followedHyperlink"/>
      <w:u w:val="single"/>
    </w:rPr>
  </w:style>
  <w:style w:type="paragraph" w:styleId="FootnoteText">
    <w:name w:val="footnote text"/>
    <w:basedOn w:val="Normal"/>
    <w:link w:val="FootnoteTextChar"/>
    <w:uiPriority w:val="99"/>
    <w:semiHidden/>
    <w:unhideWhenUsed/>
    <w:rsid w:val="001C18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180F"/>
    <w:rPr>
      <w:sz w:val="20"/>
      <w:szCs w:val="20"/>
      <w:lang w:val="en-US"/>
    </w:rPr>
  </w:style>
  <w:style w:type="character" w:styleId="FootnoteReference">
    <w:name w:val="footnote reference"/>
    <w:basedOn w:val="DefaultParagraphFont"/>
    <w:uiPriority w:val="99"/>
    <w:semiHidden/>
    <w:unhideWhenUsed/>
    <w:rsid w:val="001C18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514542">
      <w:bodyDiv w:val="1"/>
      <w:marLeft w:val="0"/>
      <w:marRight w:val="0"/>
      <w:marTop w:val="0"/>
      <w:marBottom w:val="0"/>
      <w:divBdr>
        <w:top w:val="none" w:sz="0" w:space="0" w:color="auto"/>
        <w:left w:val="none" w:sz="0" w:space="0" w:color="auto"/>
        <w:bottom w:val="none" w:sz="0" w:space="0" w:color="auto"/>
        <w:right w:val="none" w:sz="0" w:space="0" w:color="auto"/>
      </w:divBdr>
    </w:div>
    <w:div w:id="587203198">
      <w:bodyDiv w:val="1"/>
      <w:marLeft w:val="0"/>
      <w:marRight w:val="0"/>
      <w:marTop w:val="0"/>
      <w:marBottom w:val="0"/>
      <w:divBdr>
        <w:top w:val="none" w:sz="0" w:space="0" w:color="auto"/>
        <w:left w:val="none" w:sz="0" w:space="0" w:color="auto"/>
        <w:bottom w:val="none" w:sz="0" w:space="0" w:color="auto"/>
        <w:right w:val="none" w:sz="0" w:space="0" w:color="auto"/>
      </w:divBdr>
    </w:div>
    <w:div w:id="172374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document/resolution-xiv6-enhancing-conventions-visibility-and-synergies-other-multilateral" TargetMode="External"/><Relationship Id="rId2" Type="http://schemas.openxmlformats.org/officeDocument/2006/relationships/hyperlink" Target="https://www.ramsar.org/document/financial-analysis-legal-status-ramsar-secretariat" TargetMode="External"/><Relationship Id="rId1" Type="http://schemas.openxmlformats.org/officeDocument/2006/relationships/hyperlink" Target="https://www.ramsar.org/document/independent-analysis-legal-status-secretariat-convention-wetlands-ramsar-con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5" ma:contentTypeDescription="Create a new document." ma:contentTypeScope="" ma:versionID="edb5a81cb33a773fd150dd174133c226">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3d13f0ae6bc4881104d4d0908c0caaea"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E6660-F413-45DE-94DC-9EEF929DD15C}">
  <ds:schemaRefs>
    <ds:schemaRef ds:uri="http://schemas.microsoft.com/office/infopath/2007/PartnerControls"/>
    <ds:schemaRef ds:uri="8c0b6b05-eb82-4bda-97e8-cd82d0d6b453"/>
    <ds:schemaRef ds:uri="http://schemas.microsoft.com/office/2006/documentManagement/types"/>
    <ds:schemaRef ds:uri="http://purl.org/dc/elements/1.1/"/>
    <ds:schemaRef ds:uri="http://purl.org/dc/terms/"/>
    <ds:schemaRef ds:uri="aedd258d-19a7-41ba-8260-b0918f25313d"/>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AFF2C28-AC2E-4424-933E-1FA0354E1D19}">
  <ds:schemaRefs>
    <ds:schemaRef ds:uri="http://schemas.microsoft.com/sharepoint/v3/contenttype/forms"/>
  </ds:schemaRefs>
</ds:datastoreItem>
</file>

<file path=customXml/itemProps3.xml><?xml version="1.0" encoding="utf-8"?>
<ds:datastoreItem xmlns:ds="http://schemas.openxmlformats.org/officeDocument/2006/customXml" ds:itemID="{A39B0D9F-A8D0-41DC-8BFF-BB4BF1102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16FBAB-73D0-4931-962D-5F6AA69F3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2305</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Ed Jennings</cp:lastModifiedBy>
  <cp:revision>2</cp:revision>
  <dcterms:created xsi:type="dcterms:W3CDTF">2023-08-04T13:46:00Z</dcterms:created>
  <dcterms:modified xsi:type="dcterms:W3CDTF">2023-08-04T13:46:00Z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