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44561" w14:textId="77777777" w:rsidR="00F276D3" w:rsidRPr="000803CF" w:rsidRDefault="00F276D3" w:rsidP="00F276D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bookmarkStart w:id="0" w:name="_GoBack"/>
      <w:bookmarkEnd w:id="0"/>
      <w:r w:rsidRPr="000803CF">
        <w:rPr>
          <w:rFonts w:cstheme="minorHAnsi"/>
          <w:bCs/>
          <w:noProof/>
          <w:lang w:val="es-ES"/>
        </w:rPr>
        <w:t>LA CONVENCIÓN SOBRE LOS HUMEDALES</w:t>
      </w:r>
    </w:p>
    <w:p w14:paraId="63B66970" w14:textId="77777777" w:rsidR="00F276D3" w:rsidRPr="000803CF" w:rsidRDefault="00F276D3" w:rsidP="00F276D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0803CF">
        <w:rPr>
          <w:rFonts w:cstheme="minorHAnsi"/>
          <w:bCs/>
          <w:noProof/>
          <w:lang w:val="es-ES"/>
        </w:rPr>
        <w:t>59ª Reunión del Comité Permanente</w:t>
      </w:r>
    </w:p>
    <w:p w14:paraId="67F7C74D" w14:textId="77777777" w:rsidR="00F276D3" w:rsidRPr="000803CF" w:rsidRDefault="00F276D3" w:rsidP="00F276D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0803CF">
        <w:rPr>
          <w:rFonts w:cstheme="minorHAnsi"/>
          <w:bCs/>
          <w:noProof/>
          <w:lang w:val="es-ES"/>
        </w:rPr>
        <w:t>Gland, Suiza, 21 a 25 de junio de 2021</w:t>
      </w:r>
    </w:p>
    <w:p w14:paraId="27A5B81B" w14:textId="77777777" w:rsidR="00F276D3" w:rsidRPr="000803CF" w:rsidRDefault="00F276D3" w:rsidP="00F276D3">
      <w:pPr>
        <w:spacing w:after="0" w:line="240" w:lineRule="auto"/>
        <w:rPr>
          <w:rFonts w:cstheme="minorHAnsi"/>
          <w:b/>
          <w:noProof/>
          <w:sz w:val="28"/>
          <w:szCs w:val="28"/>
          <w:lang w:val="es-ES"/>
        </w:rPr>
      </w:pPr>
    </w:p>
    <w:p w14:paraId="1B94A333" w14:textId="4577B6DB" w:rsidR="00F276D3" w:rsidRPr="000803CF" w:rsidRDefault="00F276D3" w:rsidP="00F276D3">
      <w:pPr>
        <w:spacing w:after="0" w:line="240" w:lineRule="auto"/>
        <w:jc w:val="right"/>
        <w:rPr>
          <w:rFonts w:cstheme="minorHAnsi"/>
          <w:b/>
          <w:noProof/>
          <w:sz w:val="28"/>
          <w:szCs w:val="28"/>
          <w:lang w:val="es-ES"/>
        </w:rPr>
      </w:pPr>
      <w:r w:rsidRPr="000803CF">
        <w:rPr>
          <w:rFonts w:cstheme="minorHAnsi"/>
          <w:b/>
          <w:noProof/>
          <w:sz w:val="28"/>
          <w:szCs w:val="28"/>
          <w:lang w:val="es-ES"/>
        </w:rPr>
        <w:t>SC59 Rep.</w:t>
      </w:r>
      <w:r w:rsidR="00AC2709" w:rsidRPr="000803CF">
        <w:rPr>
          <w:rFonts w:cstheme="minorHAnsi"/>
          <w:b/>
          <w:noProof/>
          <w:sz w:val="28"/>
          <w:szCs w:val="28"/>
          <w:lang w:val="es-ES"/>
        </w:rPr>
        <w:t>4</w:t>
      </w:r>
    </w:p>
    <w:p w14:paraId="3045A8A1" w14:textId="77777777" w:rsidR="00F276D3" w:rsidRPr="000803CF" w:rsidRDefault="00F276D3" w:rsidP="00F276D3">
      <w:pPr>
        <w:spacing w:after="0" w:line="240" w:lineRule="auto"/>
        <w:jc w:val="center"/>
        <w:rPr>
          <w:rFonts w:cstheme="minorHAnsi"/>
          <w:b/>
          <w:noProof/>
          <w:sz w:val="28"/>
          <w:szCs w:val="28"/>
          <w:lang w:val="es-ES"/>
        </w:rPr>
      </w:pPr>
    </w:p>
    <w:p w14:paraId="7B62FECD" w14:textId="77777777" w:rsidR="00F276D3" w:rsidRPr="000803CF" w:rsidRDefault="00F276D3" w:rsidP="00F276D3">
      <w:pPr>
        <w:spacing w:after="0" w:line="240" w:lineRule="auto"/>
        <w:jc w:val="center"/>
        <w:rPr>
          <w:rFonts w:cstheme="minorHAnsi"/>
          <w:b/>
          <w:noProof/>
          <w:sz w:val="28"/>
          <w:szCs w:val="28"/>
          <w:lang w:val="es-ES"/>
        </w:rPr>
      </w:pPr>
      <w:r w:rsidRPr="000803CF">
        <w:rPr>
          <w:rFonts w:cstheme="minorHAnsi"/>
          <w:b/>
          <w:noProof/>
          <w:sz w:val="28"/>
          <w:szCs w:val="28"/>
          <w:lang w:val="es-ES"/>
        </w:rPr>
        <w:t>Informe y decisiones de la 59</w:t>
      </w:r>
      <w:r w:rsidRPr="000803CF">
        <w:rPr>
          <w:rFonts w:cstheme="minorHAnsi"/>
          <w:bCs/>
          <w:noProof/>
          <w:sz w:val="28"/>
          <w:szCs w:val="28"/>
          <w:lang w:val="es-ES"/>
        </w:rPr>
        <w:t>ª</w:t>
      </w:r>
      <w:r w:rsidRPr="000803CF">
        <w:rPr>
          <w:rFonts w:cstheme="minorHAnsi"/>
          <w:b/>
          <w:noProof/>
          <w:sz w:val="28"/>
          <w:szCs w:val="28"/>
          <w:lang w:val="es-ES"/>
        </w:rPr>
        <w:t xml:space="preserve"> reunión del Comité Permanente </w:t>
      </w:r>
    </w:p>
    <w:p w14:paraId="1FD60845" w14:textId="77777777" w:rsidR="00F276D3" w:rsidRPr="000803CF" w:rsidRDefault="00F276D3" w:rsidP="00F276D3">
      <w:pPr>
        <w:spacing w:after="0" w:line="240" w:lineRule="auto"/>
        <w:rPr>
          <w:rFonts w:cstheme="minorHAnsi"/>
          <w:b/>
          <w:noProof/>
          <w:lang w:val="es-ES"/>
        </w:rPr>
      </w:pPr>
    </w:p>
    <w:p w14:paraId="7107F40A" w14:textId="77777777" w:rsidR="00F276D3" w:rsidRPr="000803CF" w:rsidRDefault="00F276D3" w:rsidP="00F276D3">
      <w:pPr>
        <w:spacing w:after="0" w:line="240" w:lineRule="auto"/>
        <w:outlineLvl w:val="0"/>
        <w:rPr>
          <w:rFonts w:cstheme="minorHAnsi"/>
          <w:b/>
          <w:noProof/>
          <w:lang w:val="es-ES"/>
        </w:rPr>
      </w:pPr>
    </w:p>
    <w:p w14:paraId="592A0D95" w14:textId="77777777" w:rsidR="00F276D3" w:rsidRPr="000803CF" w:rsidRDefault="00F276D3" w:rsidP="00F276D3">
      <w:pPr>
        <w:keepNext/>
        <w:spacing w:after="0" w:line="240" w:lineRule="auto"/>
        <w:outlineLvl w:val="0"/>
        <w:rPr>
          <w:rFonts w:cstheme="minorHAnsi"/>
          <w:b/>
          <w:noProof/>
          <w:lang w:val="es-ES"/>
        </w:rPr>
      </w:pPr>
      <w:r w:rsidRPr="000803CF">
        <w:rPr>
          <w:rFonts w:cstheme="minorHAnsi"/>
          <w:b/>
          <w:noProof/>
          <w:lang w:val="es-ES"/>
        </w:rPr>
        <w:t>Viernes 25 de junio de 2021</w:t>
      </w:r>
    </w:p>
    <w:p w14:paraId="3D57E0F9" w14:textId="77777777" w:rsidR="00F276D3" w:rsidRPr="000803CF" w:rsidRDefault="00F276D3" w:rsidP="00F276D3">
      <w:pPr>
        <w:keepNext/>
        <w:spacing w:after="0" w:line="240" w:lineRule="auto"/>
        <w:rPr>
          <w:rFonts w:cstheme="minorHAnsi"/>
          <w:b/>
          <w:noProof/>
          <w:lang w:val="es-ES"/>
        </w:rPr>
      </w:pPr>
    </w:p>
    <w:p w14:paraId="6F5E941C" w14:textId="77777777" w:rsidR="00F276D3" w:rsidRPr="000803CF" w:rsidRDefault="00F276D3" w:rsidP="00F276D3">
      <w:pPr>
        <w:keepNext/>
        <w:spacing w:after="0" w:line="240" w:lineRule="auto"/>
        <w:rPr>
          <w:rFonts w:cstheme="minorHAnsi"/>
          <w:b/>
          <w:bCs/>
          <w:noProof/>
          <w:lang w:val="es-ES"/>
        </w:rPr>
      </w:pPr>
      <w:r w:rsidRPr="000803CF">
        <w:rPr>
          <w:rFonts w:cstheme="minorHAnsi"/>
          <w:b/>
          <w:noProof/>
          <w:lang w:val="es-ES"/>
        </w:rPr>
        <w:t xml:space="preserve">13:00 – 16:00 </w:t>
      </w:r>
      <w:r w:rsidRPr="000803CF">
        <w:rPr>
          <w:rFonts w:cstheme="minorHAnsi"/>
          <w:b/>
          <w:noProof/>
          <w:lang w:val="es-ES"/>
        </w:rPr>
        <w:tab/>
        <w:t>Sesión plenaria del Comité Permanente</w:t>
      </w:r>
    </w:p>
    <w:p w14:paraId="1A64E658" w14:textId="77777777" w:rsidR="00F276D3" w:rsidRPr="000803CF" w:rsidRDefault="00F276D3" w:rsidP="00F276D3">
      <w:pPr>
        <w:keepNext/>
        <w:spacing w:after="0" w:line="240" w:lineRule="auto"/>
        <w:rPr>
          <w:rFonts w:cstheme="minorHAnsi"/>
          <w:b/>
          <w:noProof/>
          <w:lang w:val="es-ES"/>
        </w:rPr>
      </w:pPr>
    </w:p>
    <w:p w14:paraId="2BE56E4D" w14:textId="77777777" w:rsidR="00F276D3" w:rsidRPr="000803CF" w:rsidRDefault="00F276D3" w:rsidP="00F276D3">
      <w:pPr>
        <w:keepNext/>
        <w:spacing w:after="0" w:line="240" w:lineRule="auto"/>
        <w:rPr>
          <w:rFonts w:cstheme="minorHAnsi"/>
          <w:noProof/>
          <w:lang w:val="es-ES"/>
        </w:rPr>
      </w:pPr>
    </w:p>
    <w:p w14:paraId="1BC53985" w14:textId="77777777" w:rsidR="00F276D3" w:rsidRPr="000803CF" w:rsidRDefault="00F276D3" w:rsidP="00F276D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0803CF">
        <w:rPr>
          <w:rFonts w:cstheme="minorHAnsi"/>
          <w:bCs/>
          <w:noProof/>
          <w:lang w:val="es-ES"/>
        </w:rPr>
        <w:t>Punto 8 del orden del día: Cuestiones financieras y presupuestarias: Informe del Subgrupo de Finanzas</w:t>
      </w:r>
    </w:p>
    <w:p w14:paraId="783C69F8" w14:textId="77777777" w:rsidR="00F276D3" w:rsidRPr="000803CF" w:rsidRDefault="00F276D3" w:rsidP="00F276D3">
      <w:pPr>
        <w:spacing w:after="0" w:line="240" w:lineRule="auto"/>
        <w:ind w:left="567" w:hanging="567"/>
        <w:rPr>
          <w:rFonts w:eastAsia="Calibri" w:cstheme="minorHAnsi"/>
          <w:bCs/>
          <w:noProof/>
          <w:lang w:val="es-ES"/>
        </w:rPr>
      </w:pPr>
    </w:p>
    <w:p w14:paraId="40BA5A50" w14:textId="19CEA41B" w:rsidR="00F276D3" w:rsidRPr="000803CF" w:rsidRDefault="00F276D3" w:rsidP="00F276D3">
      <w:pPr>
        <w:spacing w:after="0" w:line="240" w:lineRule="auto"/>
        <w:ind w:left="567" w:hanging="567"/>
        <w:rPr>
          <w:rFonts w:eastAsia="Calibri" w:cstheme="minorHAnsi"/>
          <w:bCs/>
          <w:noProof/>
          <w:lang w:val="es-ES"/>
        </w:rPr>
      </w:pPr>
      <w:r w:rsidRPr="000803CF">
        <w:rPr>
          <w:rFonts w:eastAsia="Calibri" w:cstheme="minorHAnsi"/>
          <w:bCs/>
          <w:noProof/>
          <w:lang w:val="es-ES"/>
        </w:rPr>
        <w:t>1.</w:t>
      </w:r>
      <w:r w:rsidRPr="000803CF">
        <w:rPr>
          <w:rFonts w:eastAsia="Calibri" w:cstheme="minorHAnsi"/>
          <w:bCs/>
          <w:noProof/>
          <w:lang w:val="es-ES"/>
        </w:rPr>
        <w:tab/>
        <w:t>La presidencia del Subgrupo de Finanzas (México) presentó los informes del Subgrupo</w:t>
      </w:r>
      <w:r w:rsidR="002128A7" w:rsidRPr="000803CF">
        <w:rPr>
          <w:rFonts w:eastAsia="Calibri" w:cstheme="minorHAnsi"/>
          <w:bCs/>
          <w:noProof/>
          <w:lang w:val="es-ES"/>
        </w:rPr>
        <w:t xml:space="preserve"> que figuran</w:t>
      </w:r>
      <w:r w:rsidRPr="000803CF">
        <w:rPr>
          <w:rFonts w:eastAsia="Calibri" w:cstheme="minorHAnsi"/>
          <w:bCs/>
          <w:noProof/>
          <w:lang w:val="es-ES"/>
        </w:rPr>
        <w:t xml:space="preserve"> en los documentos SC59 Com.1 y SC59 Com.2</w:t>
      </w:r>
      <w:r w:rsidR="008C22DA" w:rsidRPr="000803CF">
        <w:rPr>
          <w:rFonts w:eastAsia="Calibri" w:cstheme="minorHAnsi"/>
          <w:bCs/>
          <w:noProof/>
          <w:lang w:val="es-ES"/>
        </w:rPr>
        <w:t xml:space="preserve"> y agradeció </w:t>
      </w:r>
      <w:r w:rsidRPr="000803CF">
        <w:rPr>
          <w:rFonts w:eastAsia="Calibri" w:cstheme="minorHAnsi"/>
          <w:bCs/>
          <w:noProof/>
          <w:lang w:val="es-ES"/>
        </w:rPr>
        <w:t xml:space="preserve">a la Secretaría por su trabajo arduo y su </w:t>
      </w:r>
      <w:r w:rsidR="002128A7" w:rsidRPr="000803CF">
        <w:rPr>
          <w:rFonts w:eastAsia="Calibri" w:cstheme="minorHAnsi"/>
          <w:bCs/>
          <w:noProof/>
          <w:lang w:val="es-ES"/>
        </w:rPr>
        <w:t>respuesta</w:t>
      </w:r>
      <w:r w:rsidRPr="000803CF">
        <w:rPr>
          <w:rFonts w:eastAsia="Calibri" w:cstheme="minorHAnsi"/>
          <w:bCs/>
          <w:noProof/>
          <w:lang w:val="es-ES"/>
        </w:rPr>
        <w:t xml:space="preserve"> rápida durante los últimos diez meses, así como a los demás miembros del Subgrupo por </w:t>
      </w:r>
      <w:r w:rsidR="00D32F2A" w:rsidRPr="000803CF">
        <w:rPr>
          <w:rFonts w:eastAsia="Calibri" w:cstheme="minorHAnsi"/>
          <w:bCs/>
          <w:noProof/>
          <w:lang w:val="es-ES"/>
        </w:rPr>
        <w:t>su voluntad de</w:t>
      </w:r>
      <w:r w:rsidRPr="000803CF">
        <w:rPr>
          <w:rFonts w:eastAsia="Calibri" w:cstheme="minorHAnsi"/>
          <w:bCs/>
          <w:noProof/>
          <w:lang w:val="es-ES"/>
        </w:rPr>
        <w:t xml:space="preserve"> trabajar de forma constructiva y flexible en circunstancias a menudo difíciles.</w:t>
      </w:r>
    </w:p>
    <w:p w14:paraId="4827756C" w14:textId="77777777" w:rsidR="00F276D3" w:rsidRPr="000803CF" w:rsidRDefault="00F276D3" w:rsidP="00F276D3">
      <w:pPr>
        <w:spacing w:after="0" w:line="240" w:lineRule="auto"/>
        <w:rPr>
          <w:rFonts w:eastAsia="Calibri" w:cstheme="minorHAnsi"/>
          <w:bCs/>
          <w:noProof/>
          <w:lang w:val="es-ES"/>
        </w:rPr>
      </w:pPr>
    </w:p>
    <w:p w14:paraId="2CD07937" w14:textId="7264BAC7" w:rsidR="00F276D3" w:rsidRPr="000803CF" w:rsidRDefault="00F276D3" w:rsidP="008C22DA">
      <w:pPr>
        <w:spacing w:after="0" w:line="240" w:lineRule="auto"/>
        <w:ind w:left="567" w:hanging="567"/>
        <w:rPr>
          <w:rFonts w:eastAsia="Calibri" w:cstheme="minorHAnsi"/>
          <w:bCs/>
          <w:noProof/>
          <w:lang w:val="es-ES"/>
        </w:rPr>
      </w:pPr>
      <w:r w:rsidRPr="000803CF">
        <w:rPr>
          <w:rFonts w:eastAsia="Calibri" w:cstheme="minorHAnsi"/>
          <w:bCs/>
          <w:noProof/>
          <w:lang w:val="es-ES"/>
        </w:rPr>
        <w:t>2.</w:t>
      </w:r>
      <w:r w:rsidRPr="000803CF">
        <w:rPr>
          <w:rFonts w:eastAsia="Calibri" w:cstheme="minorHAnsi"/>
          <w:bCs/>
          <w:noProof/>
          <w:lang w:val="es-ES"/>
        </w:rPr>
        <w:tab/>
        <w:t xml:space="preserve">Se pidieron aclaraciones adicionales sobre el término “otras prestaciones” </w:t>
      </w:r>
      <w:r w:rsidR="008C22DA" w:rsidRPr="000803CF">
        <w:rPr>
          <w:rFonts w:eastAsia="Calibri" w:cstheme="minorHAnsi"/>
          <w:bCs/>
          <w:noProof/>
          <w:lang w:val="es-ES"/>
        </w:rPr>
        <w:t xml:space="preserve">que figura </w:t>
      </w:r>
      <w:r w:rsidRPr="000803CF">
        <w:rPr>
          <w:rFonts w:eastAsia="Calibri" w:cstheme="minorHAnsi"/>
          <w:bCs/>
          <w:noProof/>
          <w:lang w:val="es-ES"/>
        </w:rPr>
        <w:t>en el</w:t>
      </w:r>
      <w:r w:rsidR="008C22DA" w:rsidRPr="000803CF">
        <w:rPr>
          <w:rFonts w:eastAsia="Calibri" w:cstheme="minorHAnsi"/>
          <w:bCs/>
          <w:noProof/>
          <w:lang w:val="es-ES"/>
        </w:rPr>
        <w:t xml:space="preserve"> anexo 2 del documento SC59 Com.2 del</w:t>
      </w:r>
      <w:r w:rsidRPr="000803CF">
        <w:rPr>
          <w:rFonts w:eastAsia="Calibri" w:cstheme="minorHAnsi"/>
          <w:bCs/>
          <w:noProof/>
          <w:lang w:val="es-ES"/>
        </w:rPr>
        <w:t xml:space="preserve"> proyecto de presupuesto para 2022. La Secretaria General explicó que se trataba de prestaciones diversas, como las vacaciones en el país de origen y las subvenciones para viajar en transporte público, que formaban parte de las prestaciones estándar del personal de la UICN. Para </w:t>
      </w:r>
      <w:r w:rsidR="001536A4" w:rsidRPr="000803CF">
        <w:rPr>
          <w:rFonts w:eastAsia="Calibri" w:cstheme="minorHAnsi"/>
          <w:bCs/>
          <w:noProof/>
          <w:lang w:val="es-ES"/>
        </w:rPr>
        <w:t>fines de</w:t>
      </w:r>
      <w:r w:rsidRPr="000803CF">
        <w:rPr>
          <w:rFonts w:eastAsia="Calibri" w:cstheme="minorHAnsi"/>
          <w:bCs/>
          <w:noProof/>
          <w:lang w:val="es-ES"/>
        </w:rPr>
        <w:t xml:space="preserve"> presentación, la Secretaría había propuesto </w:t>
      </w:r>
      <w:r w:rsidR="001536A4" w:rsidRPr="000803CF">
        <w:rPr>
          <w:rFonts w:eastAsia="Calibri" w:cstheme="minorHAnsi"/>
          <w:bCs/>
          <w:noProof/>
          <w:lang w:val="es-ES"/>
        </w:rPr>
        <w:t xml:space="preserve">que </w:t>
      </w:r>
      <w:r w:rsidR="00194420" w:rsidRPr="000803CF">
        <w:rPr>
          <w:rFonts w:eastAsia="Calibri" w:cstheme="minorHAnsi"/>
          <w:bCs/>
          <w:noProof/>
          <w:lang w:val="es-ES"/>
        </w:rPr>
        <w:t>estas fueran</w:t>
      </w:r>
      <w:r w:rsidRPr="000803CF">
        <w:rPr>
          <w:rFonts w:eastAsia="Calibri" w:cstheme="minorHAnsi"/>
          <w:bCs/>
          <w:noProof/>
          <w:lang w:val="es-ES"/>
        </w:rPr>
        <w:t xml:space="preserve"> una </w:t>
      </w:r>
      <w:r w:rsidR="001536A4" w:rsidRPr="000803CF">
        <w:rPr>
          <w:rFonts w:eastAsia="Calibri" w:cstheme="minorHAnsi"/>
          <w:bCs/>
          <w:noProof/>
          <w:lang w:val="es-ES"/>
        </w:rPr>
        <w:t>sola</w:t>
      </w:r>
      <w:r w:rsidRPr="000803CF">
        <w:rPr>
          <w:rFonts w:eastAsia="Calibri" w:cstheme="minorHAnsi"/>
          <w:bCs/>
          <w:noProof/>
          <w:lang w:val="es-ES"/>
        </w:rPr>
        <w:t xml:space="preserve"> partida presupuestaria, pero el Subgrupo de Finanzas había preferido que se combinaran con los salarios y </w:t>
      </w:r>
      <w:r w:rsidR="00194420" w:rsidRPr="000803CF">
        <w:rPr>
          <w:rFonts w:eastAsia="Calibri" w:cstheme="minorHAnsi"/>
          <w:bCs/>
          <w:noProof/>
          <w:lang w:val="es-ES"/>
        </w:rPr>
        <w:t>gastos</w:t>
      </w:r>
      <w:r w:rsidRPr="000803CF">
        <w:rPr>
          <w:rFonts w:eastAsia="Calibri" w:cstheme="minorHAnsi"/>
          <w:bCs/>
          <w:noProof/>
          <w:lang w:val="es-ES"/>
        </w:rPr>
        <w:t xml:space="preserve"> sociales en una </w:t>
      </w:r>
      <w:r w:rsidR="001536A4" w:rsidRPr="000803CF">
        <w:rPr>
          <w:rFonts w:eastAsia="Calibri" w:cstheme="minorHAnsi"/>
          <w:bCs/>
          <w:noProof/>
          <w:lang w:val="es-ES"/>
        </w:rPr>
        <w:t>sola</w:t>
      </w:r>
      <w:r w:rsidRPr="000803CF">
        <w:rPr>
          <w:rFonts w:eastAsia="Calibri" w:cstheme="minorHAnsi"/>
          <w:bCs/>
          <w:noProof/>
          <w:lang w:val="es-ES"/>
        </w:rPr>
        <w:t xml:space="preserve"> partida presupuestaria para cada una de las diferentes unidades operativas de la Secretaría, indicando que este cambio en el método de presentación no tendría repercusiones financieras.</w:t>
      </w:r>
    </w:p>
    <w:p w14:paraId="54C709AC" w14:textId="77777777" w:rsidR="00F276D3" w:rsidRPr="000803CF" w:rsidRDefault="00F276D3" w:rsidP="00F276D3">
      <w:pPr>
        <w:spacing w:after="0" w:line="240" w:lineRule="auto"/>
        <w:rPr>
          <w:rFonts w:eastAsia="Calibri" w:cstheme="minorHAnsi"/>
          <w:bCs/>
          <w:noProof/>
          <w:lang w:val="es-ES"/>
        </w:rPr>
      </w:pPr>
    </w:p>
    <w:p w14:paraId="72CAEB64" w14:textId="7BF9064E" w:rsidR="00F276D3" w:rsidRPr="000803CF" w:rsidRDefault="00F276D3" w:rsidP="00E30059">
      <w:pPr>
        <w:spacing w:after="0" w:line="240" w:lineRule="auto"/>
        <w:ind w:left="567" w:hanging="567"/>
        <w:rPr>
          <w:rFonts w:eastAsia="Calibri" w:cstheme="minorHAnsi"/>
          <w:bCs/>
          <w:noProof/>
          <w:lang w:val="es-ES"/>
        </w:rPr>
      </w:pPr>
      <w:r w:rsidRPr="000803CF">
        <w:rPr>
          <w:rFonts w:eastAsia="Calibri" w:cstheme="minorHAnsi"/>
          <w:bCs/>
          <w:noProof/>
          <w:lang w:val="es-ES"/>
        </w:rPr>
        <w:t>3.</w:t>
      </w:r>
      <w:r w:rsidRPr="000803CF">
        <w:rPr>
          <w:rFonts w:eastAsia="Calibri" w:cstheme="minorHAnsi"/>
          <w:bCs/>
          <w:noProof/>
          <w:lang w:val="es-ES"/>
        </w:rPr>
        <w:tab/>
        <w:t xml:space="preserve">En respuesta a una pregunta sobre el presupuesto asignado a la COP14 y en especial sobre la financiación necesaria para permitir la plena participación de las Partes Contratantes en la COP se explicó que el presupuesto básico de la Convención no contemplaba la financiación de la COP. Sin embargo, en virtud de la Resolución XIII.2, </w:t>
      </w:r>
      <w:r w:rsidRPr="000803CF">
        <w:rPr>
          <w:rFonts w:eastAsia="Calibri" w:cstheme="minorHAnsi"/>
          <w:bCs/>
          <w:i/>
          <w:iCs/>
          <w:noProof/>
          <w:lang w:val="es-ES"/>
        </w:rPr>
        <w:t>Cuestiones financieras y presupuestarias</w:t>
      </w:r>
      <w:r w:rsidRPr="000803CF">
        <w:rPr>
          <w:rFonts w:eastAsia="Calibri" w:cstheme="minorHAnsi"/>
          <w:bCs/>
          <w:noProof/>
          <w:lang w:val="es-ES"/>
        </w:rPr>
        <w:t>, la Secretaría recibió el mandato de</w:t>
      </w:r>
      <w:r w:rsidR="00D66C71" w:rsidRPr="000803CF">
        <w:rPr>
          <w:rFonts w:eastAsia="Calibri" w:cstheme="minorHAnsi"/>
          <w:bCs/>
          <w:noProof/>
          <w:lang w:val="es-ES"/>
        </w:rPr>
        <w:t xml:space="preserve"> que</w:t>
      </w:r>
      <w:r w:rsidRPr="000803CF">
        <w:rPr>
          <w:rFonts w:eastAsia="Calibri" w:cstheme="minorHAnsi"/>
          <w:bCs/>
          <w:noProof/>
          <w:lang w:val="es-ES"/>
        </w:rPr>
        <w:t xml:space="preserve"> </w:t>
      </w:r>
      <w:r w:rsidR="00E30059" w:rsidRPr="000803CF">
        <w:rPr>
          <w:rFonts w:eastAsia="Calibri" w:cstheme="minorHAnsi"/>
          <w:bCs/>
          <w:noProof/>
          <w:lang w:val="es-ES"/>
        </w:rPr>
        <w:t>tratar</w:t>
      </w:r>
      <w:r w:rsidR="00D66C71" w:rsidRPr="000803CF">
        <w:rPr>
          <w:rFonts w:eastAsia="Calibri" w:cstheme="minorHAnsi"/>
          <w:bCs/>
          <w:noProof/>
          <w:lang w:val="es-ES"/>
        </w:rPr>
        <w:t>a</w:t>
      </w:r>
      <w:r w:rsidRPr="000803CF">
        <w:rPr>
          <w:rFonts w:eastAsia="Calibri" w:cstheme="minorHAnsi"/>
          <w:bCs/>
          <w:noProof/>
          <w:lang w:val="es-ES"/>
        </w:rPr>
        <w:t xml:space="preserve"> el auspicio </w:t>
      </w:r>
      <w:r w:rsidR="00E30059" w:rsidRPr="000803CF">
        <w:rPr>
          <w:rFonts w:eastAsia="Calibri" w:cstheme="minorHAnsi"/>
          <w:bCs/>
          <w:noProof/>
          <w:lang w:val="es-ES"/>
        </w:rPr>
        <w:t xml:space="preserve">para los delegados que </w:t>
      </w:r>
      <w:r w:rsidR="00D66C71" w:rsidRPr="000803CF">
        <w:rPr>
          <w:rFonts w:eastAsia="Calibri" w:cstheme="minorHAnsi"/>
          <w:bCs/>
          <w:noProof/>
          <w:lang w:val="es-ES"/>
        </w:rPr>
        <w:t>reunieran</w:t>
      </w:r>
      <w:r w:rsidR="00E30059" w:rsidRPr="000803CF">
        <w:rPr>
          <w:rFonts w:eastAsia="Calibri" w:cstheme="minorHAnsi"/>
          <w:bCs/>
          <w:noProof/>
          <w:lang w:val="es-ES"/>
        </w:rPr>
        <w:t xml:space="preserve"> los requisitos para participar en</w:t>
      </w:r>
      <w:r w:rsidRPr="000803CF">
        <w:rPr>
          <w:rFonts w:eastAsia="Calibri" w:cstheme="minorHAnsi"/>
          <w:bCs/>
          <w:noProof/>
          <w:lang w:val="es-ES"/>
        </w:rPr>
        <w:t xml:space="preserve"> la COP14 como una alta prioridad de sus </w:t>
      </w:r>
      <w:r w:rsidR="00E30059" w:rsidRPr="000803CF">
        <w:rPr>
          <w:rFonts w:eastAsia="Calibri" w:cstheme="minorHAnsi"/>
          <w:bCs/>
          <w:noProof/>
          <w:lang w:val="es-ES"/>
        </w:rPr>
        <w:t>esfuerzos</w:t>
      </w:r>
      <w:r w:rsidRPr="000803CF">
        <w:rPr>
          <w:rFonts w:eastAsia="Calibri" w:cstheme="minorHAnsi"/>
          <w:bCs/>
          <w:noProof/>
          <w:lang w:val="es-ES"/>
        </w:rPr>
        <w:t xml:space="preserve"> de recaudación de fondos.</w:t>
      </w:r>
    </w:p>
    <w:p w14:paraId="6DB54859" w14:textId="77777777" w:rsidR="00F276D3" w:rsidRPr="000803CF" w:rsidRDefault="00F276D3" w:rsidP="00F276D3">
      <w:pPr>
        <w:spacing w:after="0" w:line="240" w:lineRule="auto"/>
        <w:rPr>
          <w:rFonts w:eastAsia="Calibri" w:cstheme="minorHAnsi"/>
          <w:bCs/>
          <w:noProof/>
          <w:lang w:val="es-ES"/>
        </w:rPr>
      </w:pPr>
    </w:p>
    <w:p w14:paraId="6E2BD22A" w14:textId="1920FDD5" w:rsidR="00790AE9" w:rsidRPr="000803CF" w:rsidRDefault="003E662A" w:rsidP="00790AE9">
      <w:pPr>
        <w:spacing w:after="0" w:line="240" w:lineRule="auto"/>
        <w:ind w:left="567" w:hanging="567"/>
        <w:rPr>
          <w:rFonts w:eastAsia="Calibri" w:cstheme="minorHAnsi"/>
          <w:bCs/>
          <w:noProof/>
          <w:lang w:val="es-ES"/>
        </w:rPr>
      </w:pPr>
      <w:r w:rsidRPr="000803CF">
        <w:rPr>
          <w:rFonts w:eastAsia="Calibri" w:cstheme="minorHAnsi"/>
          <w:bCs/>
          <w:noProof/>
          <w:lang w:val="es-ES"/>
        </w:rPr>
        <w:t>4</w:t>
      </w:r>
      <w:r w:rsidR="00F276D3" w:rsidRPr="000803CF">
        <w:rPr>
          <w:rFonts w:eastAsia="Calibri" w:cstheme="minorHAnsi"/>
          <w:bCs/>
          <w:noProof/>
          <w:lang w:val="es-ES"/>
        </w:rPr>
        <w:t>.</w:t>
      </w:r>
      <w:r w:rsidR="00F276D3" w:rsidRPr="000803CF">
        <w:rPr>
          <w:rFonts w:eastAsia="Calibri" w:cstheme="minorHAnsi"/>
          <w:bCs/>
          <w:noProof/>
          <w:lang w:val="es-ES"/>
        </w:rPr>
        <w:tab/>
        <w:t xml:space="preserve">Se sugirió que para mejorar el valor de la presentación de informes de las iniciativas regionales de Ramsar el Comité Permanente </w:t>
      </w:r>
      <w:r w:rsidR="00FF1240" w:rsidRPr="000803CF">
        <w:rPr>
          <w:rFonts w:eastAsia="Calibri" w:cstheme="minorHAnsi"/>
          <w:bCs/>
          <w:noProof/>
          <w:lang w:val="es-ES"/>
        </w:rPr>
        <w:t>pod</w:t>
      </w:r>
      <w:r w:rsidR="007878C2" w:rsidRPr="000803CF">
        <w:rPr>
          <w:rFonts w:eastAsia="Calibri" w:cstheme="minorHAnsi"/>
          <w:bCs/>
          <w:noProof/>
          <w:lang w:val="es-ES"/>
        </w:rPr>
        <w:t>r</w:t>
      </w:r>
      <w:r w:rsidR="00FF1240" w:rsidRPr="000803CF">
        <w:rPr>
          <w:rFonts w:eastAsia="Calibri" w:cstheme="minorHAnsi"/>
          <w:bCs/>
          <w:noProof/>
          <w:lang w:val="es-ES"/>
        </w:rPr>
        <w:t>ía plantearse</w:t>
      </w:r>
      <w:r w:rsidR="00F276D3" w:rsidRPr="000803CF">
        <w:rPr>
          <w:rFonts w:eastAsia="Calibri" w:cstheme="minorHAnsi"/>
          <w:bCs/>
          <w:noProof/>
          <w:lang w:val="es-ES"/>
        </w:rPr>
        <w:t xml:space="preserve"> la aprobación de una plantilla para que las iniciativas regionales de Ramsar presentaran sus informes financieros, incluida como anexo 2 </w:t>
      </w:r>
      <w:r w:rsidR="007878C2" w:rsidRPr="000803CF">
        <w:rPr>
          <w:rFonts w:eastAsia="Calibri" w:cstheme="minorHAnsi"/>
          <w:bCs/>
          <w:noProof/>
          <w:lang w:val="es-ES"/>
        </w:rPr>
        <w:t>de</w:t>
      </w:r>
      <w:r w:rsidR="00F276D3" w:rsidRPr="000803CF">
        <w:rPr>
          <w:rFonts w:eastAsia="Calibri" w:cstheme="minorHAnsi"/>
          <w:bCs/>
          <w:noProof/>
          <w:lang w:val="es-ES"/>
        </w:rPr>
        <w:t xml:space="preserve">l documento SC58 Doc.22.2, </w:t>
      </w:r>
      <w:r w:rsidR="00F276D3" w:rsidRPr="000803CF">
        <w:rPr>
          <w:rFonts w:eastAsia="Calibri" w:cstheme="minorHAnsi"/>
          <w:bCs/>
          <w:i/>
          <w:iCs/>
          <w:noProof/>
          <w:lang w:val="es-ES"/>
        </w:rPr>
        <w:t>Informe de la Secretaría sobre las iniciativas regionales de Ramsar.</w:t>
      </w:r>
      <w:r w:rsidR="00F276D3" w:rsidRPr="000803CF">
        <w:rPr>
          <w:rFonts w:eastAsia="Calibri" w:cstheme="minorHAnsi"/>
          <w:bCs/>
          <w:noProof/>
          <w:lang w:val="es-ES"/>
        </w:rPr>
        <w:t xml:space="preserve"> La Secretaría explicó que el Comité Permanente no había otorgado prioridad a esta cuestión para </w:t>
      </w:r>
      <w:r w:rsidR="007878C2" w:rsidRPr="000803CF">
        <w:rPr>
          <w:rFonts w:eastAsia="Calibri" w:cstheme="minorHAnsi"/>
          <w:bCs/>
          <w:noProof/>
          <w:lang w:val="es-ES"/>
        </w:rPr>
        <w:t>que se examinara</w:t>
      </w:r>
      <w:r w:rsidR="00F276D3" w:rsidRPr="000803CF">
        <w:rPr>
          <w:rFonts w:eastAsia="Calibri" w:cstheme="minorHAnsi"/>
          <w:bCs/>
          <w:noProof/>
          <w:lang w:val="es-ES"/>
        </w:rPr>
        <w:t xml:space="preserve"> en la SC58 o en la presente reunión</w:t>
      </w:r>
      <w:r w:rsidR="007878C2" w:rsidRPr="000803CF">
        <w:rPr>
          <w:rFonts w:eastAsia="Calibri" w:cstheme="minorHAnsi"/>
          <w:bCs/>
          <w:noProof/>
          <w:lang w:val="es-ES"/>
        </w:rPr>
        <w:t xml:space="preserve">, pero que </w:t>
      </w:r>
      <w:r w:rsidR="00F276D3" w:rsidRPr="000803CF">
        <w:rPr>
          <w:rFonts w:eastAsia="Calibri" w:cstheme="minorHAnsi"/>
          <w:bCs/>
          <w:noProof/>
          <w:lang w:val="es-ES"/>
        </w:rPr>
        <w:t xml:space="preserve">el Comité Permanente podía decidir </w:t>
      </w:r>
      <w:r w:rsidR="00790AE9" w:rsidRPr="000803CF">
        <w:rPr>
          <w:rFonts w:eastAsia="Calibri" w:cstheme="minorHAnsi"/>
          <w:bCs/>
          <w:noProof/>
          <w:lang w:val="es-ES"/>
        </w:rPr>
        <w:t>si</w:t>
      </w:r>
      <w:r w:rsidR="00F276D3" w:rsidRPr="000803CF">
        <w:rPr>
          <w:rFonts w:eastAsia="Calibri" w:cstheme="minorHAnsi"/>
          <w:bCs/>
          <w:noProof/>
          <w:lang w:val="es-ES"/>
        </w:rPr>
        <w:t xml:space="preserve"> se examina</w:t>
      </w:r>
      <w:r w:rsidR="00790AE9" w:rsidRPr="000803CF">
        <w:rPr>
          <w:rFonts w:eastAsia="Calibri" w:cstheme="minorHAnsi"/>
          <w:bCs/>
          <w:noProof/>
          <w:lang w:val="es-ES"/>
        </w:rPr>
        <w:t>b</w:t>
      </w:r>
      <w:r w:rsidR="00F276D3" w:rsidRPr="000803CF">
        <w:rPr>
          <w:rFonts w:eastAsia="Calibri" w:cstheme="minorHAnsi"/>
          <w:bCs/>
          <w:noProof/>
          <w:lang w:val="es-ES"/>
        </w:rPr>
        <w:t xml:space="preserve">a </w:t>
      </w:r>
      <w:r w:rsidR="00D66C71" w:rsidRPr="000803CF">
        <w:rPr>
          <w:rFonts w:eastAsia="Calibri" w:cstheme="minorHAnsi"/>
          <w:bCs/>
          <w:noProof/>
          <w:lang w:val="es-ES"/>
        </w:rPr>
        <w:t>durante</w:t>
      </w:r>
      <w:r w:rsidR="00F276D3" w:rsidRPr="000803CF">
        <w:rPr>
          <w:rFonts w:eastAsia="Calibri" w:cstheme="minorHAnsi"/>
          <w:bCs/>
          <w:noProof/>
          <w:lang w:val="es-ES"/>
        </w:rPr>
        <w:t xml:space="preserve"> la </w:t>
      </w:r>
      <w:r w:rsidR="00790AE9" w:rsidRPr="000803CF">
        <w:rPr>
          <w:rFonts w:eastAsia="Calibri" w:cstheme="minorHAnsi"/>
          <w:bCs/>
          <w:noProof/>
          <w:lang w:val="es-ES"/>
        </w:rPr>
        <w:t>continuación de la</w:t>
      </w:r>
      <w:r w:rsidR="00F276D3" w:rsidRPr="000803CF">
        <w:rPr>
          <w:rFonts w:eastAsia="Calibri" w:cstheme="minorHAnsi"/>
          <w:bCs/>
          <w:noProof/>
          <w:lang w:val="es-ES"/>
        </w:rPr>
        <w:t xml:space="preserve"> reunión.</w:t>
      </w:r>
    </w:p>
    <w:p w14:paraId="55D18BC1" w14:textId="77777777" w:rsidR="00790AE9" w:rsidRPr="000803CF" w:rsidRDefault="00790AE9" w:rsidP="00790AE9">
      <w:pPr>
        <w:spacing w:after="0" w:line="240" w:lineRule="auto"/>
        <w:ind w:left="567" w:hanging="567"/>
        <w:rPr>
          <w:rFonts w:eastAsia="Calibri" w:cstheme="minorHAnsi"/>
          <w:bCs/>
          <w:noProof/>
          <w:lang w:val="es-ES"/>
        </w:rPr>
      </w:pPr>
    </w:p>
    <w:p w14:paraId="1D4B5B1D" w14:textId="155857E3" w:rsidR="00F276D3" w:rsidRPr="000803CF" w:rsidRDefault="00790AE9" w:rsidP="00790AE9">
      <w:pPr>
        <w:spacing w:after="0" w:line="240" w:lineRule="auto"/>
        <w:ind w:left="567" w:hanging="567"/>
        <w:rPr>
          <w:rFonts w:eastAsia="Calibri" w:cstheme="minorHAnsi"/>
          <w:bCs/>
          <w:noProof/>
          <w:lang w:val="es-ES"/>
        </w:rPr>
      </w:pPr>
      <w:r w:rsidRPr="000803CF">
        <w:rPr>
          <w:rFonts w:eastAsia="Calibri" w:cstheme="minorHAnsi"/>
          <w:bCs/>
          <w:noProof/>
          <w:lang w:val="es-ES"/>
        </w:rPr>
        <w:lastRenderedPageBreak/>
        <w:t>5.</w:t>
      </w:r>
      <w:r w:rsidRPr="000803CF">
        <w:rPr>
          <w:rFonts w:eastAsia="Calibri" w:cstheme="minorHAnsi"/>
          <w:bCs/>
          <w:noProof/>
          <w:lang w:val="es-ES"/>
        </w:rPr>
        <w:tab/>
      </w:r>
      <w:r w:rsidR="00F276D3" w:rsidRPr="000803CF">
        <w:rPr>
          <w:rFonts w:eastAsia="Calibri" w:cstheme="minorHAnsi"/>
          <w:bCs/>
          <w:noProof/>
          <w:lang w:val="es-ES"/>
        </w:rPr>
        <w:t>Hubo intervenciones de China, Finlandia, el Japón, México, la República Dominicana y el Uruguay.</w:t>
      </w:r>
    </w:p>
    <w:p w14:paraId="6EF31C5B" w14:textId="77777777" w:rsidR="00F276D3" w:rsidRPr="000803CF" w:rsidRDefault="00F276D3" w:rsidP="00F276D3">
      <w:pPr>
        <w:spacing w:after="0" w:line="240" w:lineRule="auto"/>
        <w:rPr>
          <w:rFonts w:eastAsia="Calibri" w:cstheme="minorHAnsi"/>
          <w:bCs/>
          <w:noProof/>
          <w:lang w:val="es-ES"/>
        </w:rPr>
      </w:pPr>
    </w:p>
    <w:p w14:paraId="7F93D16E" w14:textId="4656749C" w:rsidR="00F276D3" w:rsidRPr="000803CF" w:rsidRDefault="00F276D3" w:rsidP="00F276D3">
      <w:pPr>
        <w:spacing w:after="0" w:line="240" w:lineRule="auto"/>
        <w:rPr>
          <w:rFonts w:cstheme="minorHAnsi"/>
          <w:b/>
          <w:noProof/>
          <w:lang w:val="es-ES"/>
        </w:rPr>
      </w:pPr>
      <w:r w:rsidRPr="000803CF">
        <w:rPr>
          <w:rFonts w:cstheme="minorHAnsi"/>
          <w:b/>
          <w:noProof/>
          <w:lang w:val="es-ES"/>
        </w:rPr>
        <w:t xml:space="preserve">Decisión SC59-24: El Comité Permanente aprobó sin enmiendas la </w:t>
      </w:r>
      <w:r w:rsidR="00790AE9" w:rsidRPr="000803CF">
        <w:rPr>
          <w:rFonts w:cstheme="minorHAnsi"/>
          <w:b/>
          <w:noProof/>
          <w:lang w:val="es-ES"/>
        </w:rPr>
        <w:t>primera parte</w:t>
      </w:r>
      <w:r w:rsidRPr="000803CF">
        <w:rPr>
          <w:rFonts w:cstheme="minorHAnsi"/>
          <w:b/>
          <w:noProof/>
          <w:lang w:val="es-ES"/>
        </w:rPr>
        <w:t xml:space="preserve"> y la </w:t>
      </w:r>
      <w:r w:rsidR="00790AE9" w:rsidRPr="000803CF">
        <w:rPr>
          <w:rFonts w:cstheme="minorHAnsi"/>
          <w:b/>
          <w:noProof/>
          <w:lang w:val="es-ES"/>
        </w:rPr>
        <w:t>segunda</w:t>
      </w:r>
      <w:r w:rsidRPr="000803CF">
        <w:rPr>
          <w:rFonts w:cstheme="minorHAnsi"/>
          <w:b/>
          <w:noProof/>
          <w:lang w:val="es-ES"/>
        </w:rPr>
        <w:t xml:space="preserve"> </w:t>
      </w:r>
      <w:r w:rsidR="00790AE9" w:rsidRPr="000803CF">
        <w:rPr>
          <w:rFonts w:cstheme="minorHAnsi"/>
          <w:b/>
          <w:noProof/>
          <w:lang w:val="es-ES"/>
        </w:rPr>
        <w:t>p</w:t>
      </w:r>
      <w:r w:rsidRPr="000803CF">
        <w:rPr>
          <w:rFonts w:cstheme="minorHAnsi"/>
          <w:b/>
          <w:noProof/>
          <w:lang w:val="es-ES"/>
        </w:rPr>
        <w:t xml:space="preserve">arte del informe del Subgrupo de Finanzas. </w:t>
      </w:r>
    </w:p>
    <w:p w14:paraId="64D66B42" w14:textId="77777777" w:rsidR="00F276D3" w:rsidRPr="000803CF" w:rsidRDefault="00F276D3" w:rsidP="00F276D3">
      <w:pPr>
        <w:spacing w:after="0" w:line="240" w:lineRule="auto"/>
        <w:rPr>
          <w:rFonts w:cstheme="minorHAnsi"/>
          <w:b/>
          <w:noProof/>
          <w:lang w:val="es-ES"/>
        </w:rPr>
      </w:pPr>
    </w:p>
    <w:p w14:paraId="25DD95A9" w14:textId="0396C5D6" w:rsidR="00F276D3" w:rsidRPr="000803CF" w:rsidRDefault="00F276D3" w:rsidP="00F276D3">
      <w:pPr>
        <w:spacing w:line="240" w:lineRule="auto"/>
        <w:rPr>
          <w:rFonts w:cstheme="minorHAnsi"/>
          <w:b/>
          <w:noProof/>
          <w:lang w:val="es-ES"/>
        </w:rPr>
      </w:pPr>
      <w:r w:rsidRPr="000803CF">
        <w:rPr>
          <w:rFonts w:cstheme="minorHAnsi"/>
          <w:b/>
          <w:noProof/>
          <w:lang w:val="es-ES"/>
        </w:rPr>
        <w:t xml:space="preserve">Decisión SC59-25: El Comité Permanente tomó nota con preocupación de las dificultades causadas por la fecha de presentación de los estados financieros auditados, que ha dado lugar a la publicación tardía de los documentos relacionados con cuestiones financieras </w:t>
      </w:r>
      <w:r w:rsidR="00250285" w:rsidRPr="000803CF">
        <w:rPr>
          <w:rFonts w:cstheme="minorHAnsi"/>
          <w:b/>
          <w:noProof/>
          <w:lang w:val="es-ES"/>
        </w:rPr>
        <w:t>y ha impedido</w:t>
      </w:r>
      <w:r w:rsidRPr="000803CF">
        <w:rPr>
          <w:rFonts w:cstheme="minorHAnsi"/>
          <w:b/>
          <w:noProof/>
          <w:lang w:val="es-ES"/>
        </w:rPr>
        <w:t xml:space="preserve"> el cumplimiento del artículo 10 del reglamento, y pidió a la Secretaria General que adoptara las medidas necesarias para garantizar que todos los documentos financieros no relacionados con la auditoría, particularmente aquellos relacionados con solicitudes de fondos adicionales, se distribuyeran con arreglo al artículo 10 con antelación a las reuniones del Subgrupo de Finanzas para facilitar el examen adecuado y apropiado de todas las cuestiones presupuestarias.</w:t>
      </w:r>
    </w:p>
    <w:p w14:paraId="40C348FD" w14:textId="77777777" w:rsidR="00F276D3" w:rsidRPr="000803CF" w:rsidRDefault="00F276D3" w:rsidP="00F276D3">
      <w:pPr>
        <w:spacing w:after="0" w:line="240" w:lineRule="auto"/>
        <w:rPr>
          <w:rFonts w:cstheme="minorHAnsi"/>
          <w:b/>
          <w:noProof/>
          <w:lang w:val="es-ES"/>
        </w:rPr>
      </w:pPr>
      <w:r w:rsidRPr="000803CF">
        <w:rPr>
          <w:rFonts w:cstheme="minorHAnsi"/>
          <w:b/>
          <w:noProof/>
          <w:lang w:val="es-ES"/>
        </w:rPr>
        <w:t>Decisión SC59-26: El Comité Permanente:</w:t>
      </w:r>
    </w:p>
    <w:p w14:paraId="1ED3EE86"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aceptó los estados financieros auditados de 2020 al 31 de diciembre de 2020;</w:t>
      </w:r>
    </w:p>
    <w:p w14:paraId="437251A3"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tomó nota de los resultados del presupuesto básico para 2020;</w:t>
      </w:r>
    </w:p>
    <w:p w14:paraId="13B2B495"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tomó nota del saldo del presupuesto no básico y las contribuciones voluntarias para 2020;</w:t>
      </w:r>
    </w:p>
    <w:p w14:paraId="49C66DDA" w14:textId="76F261EA"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tomó nota de los saldos no gastados o no comprometidos que se traspasa</w:t>
      </w:r>
      <w:r w:rsidR="00AE75B9" w:rsidRPr="000803CF">
        <w:rPr>
          <w:rFonts w:cstheme="minorHAnsi"/>
          <w:b/>
          <w:iCs/>
          <w:noProof/>
          <w:lang w:val="es-ES"/>
        </w:rPr>
        <w:t>ro</w:t>
      </w:r>
      <w:r w:rsidRPr="000803CF">
        <w:rPr>
          <w:rFonts w:cstheme="minorHAnsi"/>
          <w:b/>
          <w:iCs/>
          <w:noProof/>
          <w:lang w:val="es-ES"/>
        </w:rPr>
        <w:t>n de 2020 a 2021, como se describe en el párrafo 20 del documento SC59 Doc.8.1.</w:t>
      </w:r>
    </w:p>
    <w:p w14:paraId="5C712719" w14:textId="77777777" w:rsidR="00F276D3" w:rsidRPr="000803CF" w:rsidRDefault="00F276D3" w:rsidP="00F276D3">
      <w:pPr>
        <w:spacing w:after="0" w:line="240" w:lineRule="auto"/>
        <w:rPr>
          <w:rFonts w:cstheme="minorHAnsi"/>
          <w:b/>
          <w:noProof/>
          <w:lang w:val="es-ES"/>
        </w:rPr>
      </w:pPr>
    </w:p>
    <w:p w14:paraId="7BF5E14A" w14:textId="77777777" w:rsidR="00F276D3" w:rsidRPr="000803CF" w:rsidRDefault="00F276D3" w:rsidP="00F276D3">
      <w:pPr>
        <w:spacing w:after="0" w:line="240" w:lineRule="auto"/>
        <w:rPr>
          <w:rFonts w:cstheme="minorHAnsi"/>
          <w:b/>
          <w:noProof/>
          <w:lang w:val="es-ES"/>
        </w:rPr>
      </w:pPr>
      <w:r w:rsidRPr="000803CF">
        <w:rPr>
          <w:rFonts w:cstheme="minorHAnsi"/>
          <w:b/>
          <w:noProof/>
          <w:lang w:val="es-ES"/>
        </w:rPr>
        <w:t>Decisión SC59-27: el Comité Permanente:</w:t>
      </w:r>
    </w:p>
    <w:p w14:paraId="22D0D3B6" w14:textId="77777777" w:rsidR="00F276D3" w:rsidRPr="000803CF" w:rsidRDefault="00F276D3" w:rsidP="00F276D3">
      <w:pPr>
        <w:pStyle w:val="ListParagraph"/>
        <w:numPr>
          <w:ilvl w:val="0"/>
          <w:numId w:val="50"/>
        </w:numPr>
        <w:spacing w:after="0" w:line="240" w:lineRule="auto"/>
        <w:rPr>
          <w:rFonts w:cstheme="minorHAnsi"/>
          <w:b/>
          <w:noProof/>
          <w:lang w:val="es-ES"/>
        </w:rPr>
      </w:pPr>
      <w:r w:rsidRPr="000803CF">
        <w:rPr>
          <w:rFonts w:cstheme="minorHAnsi"/>
          <w:b/>
          <w:noProof/>
          <w:lang w:val="es-ES"/>
        </w:rPr>
        <w:t>aprobó y tomó nota de los ajustes propuestos en el presupuesto básico aprobado por la COP13, descritos en los párrafos 35 y 36 del documento SC59 Doc.8.1 y presentados en la columna E del cuadro del anexo 4 del mismo documento; y</w:t>
      </w:r>
    </w:p>
    <w:p w14:paraId="4056C276" w14:textId="77777777" w:rsidR="00F276D3" w:rsidRPr="000803CF" w:rsidRDefault="00F276D3" w:rsidP="00F276D3">
      <w:pPr>
        <w:pStyle w:val="ListParagraph"/>
        <w:numPr>
          <w:ilvl w:val="0"/>
          <w:numId w:val="50"/>
        </w:numPr>
        <w:spacing w:after="0" w:line="240" w:lineRule="auto"/>
        <w:rPr>
          <w:rFonts w:cstheme="minorHAnsi"/>
          <w:b/>
          <w:noProof/>
          <w:lang w:val="es-ES"/>
        </w:rPr>
      </w:pPr>
      <w:r w:rsidRPr="000803CF">
        <w:rPr>
          <w:rFonts w:cstheme="minorHAnsi"/>
          <w:b/>
          <w:noProof/>
          <w:lang w:val="es-ES"/>
        </w:rPr>
        <w:t xml:space="preserve">aprobó la presentación de las “otras prestaciones” en la partida presupuestaria fusionada “salarios, gastos sociales y otras prestaciones” para cada área del presupuesto en los presupuestos futuros, reconociendo que este cambio en el lugar en que se muestra la financiación entre partidas presupuestarias no refleja ningún cambio en los niveles de financiación. </w:t>
      </w:r>
    </w:p>
    <w:p w14:paraId="5B6EFE6F" w14:textId="77777777" w:rsidR="00F276D3" w:rsidRPr="000803CF" w:rsidRDefault="00F276D3" w:rsidP="00F276D3">
      <w:pPr>
        <w:spacing w:after="0" w:line="240" w:lineRule="auto"/>
        <w:rPr>
          <w:rFonts w:cstheme="minorHAnsi"/>
          <w:b/>
          <w:noProof/>
          <w:lang w:val="es-ES"/>
        </w:rPr>
      </w:pPr>
    </w:p>
    <w:p w14:paraId="4C23D2CC" w14:textId="77777777" w:rsidR="00F276D3" w:rsidRPr="000803CF" w:rsidRDefault="00F276D3" w:rsidP="00F276D3">
      <w:pPr>
        <w:spacing w:line="240" w:lineRule="auto"/>
        <w:rPr>
          <w:rFonts w:cstheme="minorHAnsi"/>
          <w:b/>
          <w:noProof/>
          <w:lang w:val="es-ES"/>
        </w:rPr>
      </w:pPr>
      <w:r w:rsidRPr="000803CF">
        <w:rPr>
          <w:rFonts w:cstheme="minorHAnsi"/>
          <w:b/>
          <w:noProof/>
          <w:lang w:val="es-ES"/>
        </w:rPr>
        <w:t>Decisión SC59-28: El Comité Permanente aprobó la asignación de 72 000 francos suizos de los ahorros en el presupuesto básico de 2020 con miras a satisfacer el incremento de las provisiones para las contribuciones pendientes de pago en el presupuesto de 2021.</w:t>
      </w:r>
    </w:p>
    <w:p w14:paraId="155ABA39" w14:textId="77777777" w:rsidR="00F276D3" w:rsidRPr="000803CF" w:rsidRDefault="00F276D3" w:rsidP="00F276D3">
      <w:pPr>
        <w:spacing w:after="0" w:line="240" w:lineRule="auto"/>
        <w:rPr>
          <w:rFonts w:cstheme="minorHAnsi"/>
          <w:b/>
          <w:noProof/>
          <w:lang w:val="es-ES"/>
        </w:rPr>
      </w:pPr>
      <w:r w:rsidRPr="000803CF">
        <w:rPr>
          <w:rFonts w:cstheme="minorHAnsi"/>
          <w:b/>
          <w:noProof/>
          <w:lang w:val="es-ES"/>
        </w:rPr>
        <w:t>Decisión SC59-29: El Comité Permanente aprobó los siguientes usos de los ahorros del presupuesto básico de 2020, descritos en el párrafo 42 del documento SC59 Doc.8.1:</w:t>
      </w:r>
    </w:p>
    <w:p w14:paraId="54A6D594" w14:textId="77777777" w:rsidR="00F276D3" w:rsidRPr="000803CF" w:rsidRDefault="00F276D3" w:rsidP="00F276D3">
      <w:pPr>
        <w:spacing w:after="0" w:line="240" w:lineRule="auto"/>
        <w:rPr>
          <w:rFonts w:cstheme="minorHAnsi"/>
          <w:b/>
          <w:noProof/>
          <w:lang w:val="es-ES"/>
        </w:rPr>
      </w:pPr>
      <w:r w:rsidRPr="000803CF">
        <w:rPr>
          <w:rFonts w:cstheme="minorHAnsi"/>
          <w:b/>
          <w:noProof/>
          <w:u w:val="single"/>
          <w:lang w:val="es-ES"/>
        </w:rPr>
        <w:t>Para 2021</w:t>
      </w:r>
      <w:r w:rsidRPr="000803CF">
        <w:rPr>
          <w:rFonts w:cstheme="minorHAnsi"/>
          <w:b/>
          <w:noProof/>
          <w:lang w:val="es-ES"/>
        </w:rPr>
        <w:t xml:space="preserve">: </w:t>
      </w:r>
    </w:p>
    <w:p w14:paraId="1F5C6370" w14:textId="5C54DA4C" w:rsidR="00F276D3" w:rsidRPr="000803CF" w:rsidRDefault="00F276D3" w:rsidP="00F276D3">
      <w:pPr>
        <w:spacing w:after="0" w:line="240" w:lineRule="auto"/>
        <w:rPr>
          <w:rFonts w:cstheme="minorHAnsi"/>
          <w:b/>
          <w:noProof/>
          <w:lang w:val="es-ES"/>
        </w:rPr>
      </w:pPr>
      <w:r w:rsidRPr="000803CF">
        <w:rPr>
          <w:rFonts w:cstheme="minorHAnsi"/>
          <w:b/>
          <w:noProof/>
          <w:lang w:val="es-ES"/>
        </w:rPr>
        <w:t xml:space="preserve">- 25 000 francos suizos para la preparación y </w:t>
      </w:r>
      <w:r w:rsidR="009805C6" w:rsidRPr="000803CF">
        <w:rPr>
          <w:rFonts w:cstheme="minorHAnsi"/>
          <w:b/>
          <w:noProof/>
          <w:lang w:val="es-ES"/>
        </w:rPr>
        <w:t>producción</w:t>
      </w:r>
      <w:r w:rsidRPr="000803CF">
        <w:rPr>
          <w:rFonts w:cstheme="minorHAnsi"/>
          <w:b/>
          <w:noProof/>
          <w:lang w:val="es-ES"/>
        </w:rPr>
        <w:t xml:space="preserve"> de recursos para el Día Mundial de los Humedales 2022.</w:t>
      </w:r>
    </w:p>
    <w:p w14:paraId="365F7CE8" w14:textId="77777777" w:rsidR="00F276D3" w:rsidRPr="000803CF" w:rsidRDefault="00F276D3" w:rsidP="00F276D3">
      <w:pPr>
        <w:spacing w:after="0" w:line="240" w:lineRule="auto"/>
        <w:rPr>
          <w:rFonts w:cstheme="minorHAnsi"/>
          <w:b/>
          <w:noProof/>
          <w:lang w:val="es-ES"/>
        </w:rPr>
      </w:pPr>
      <w:r w:rsidRPr="000803CF">
        <w:rPr>
          <w:rFonts w:cstheme="minorHAnsi"/>
          <w:b/>
          <w:noProof/>
          <w:lang w:val="es-ES"/>
        </w:rPr>
        <w:t>- 86 000 francos suizos para realizar mejoras en el sitio web de la Convención.</w:t>
      </w:r>
    </w:p>
    <w:p w14:paraId="0847931F" w14:textId="77777777" w:rsidR="00F276D3" w:rsidRPr="000803CF" w:rsidRDefault="00F276D3" w:rsidP="00F276D3">
      <w:pPr>
        <w:spacing w:after="0" w:line="240" w:lineRule="auto"/>
        <w:rPr>
          <w:rFonts w:cstheme="minorHAnsi"/>
          <w:b/>
          <w:noProof/>
          <w:lang w:val="es-ES"/>
        </w:rPr>
      </w:pPr>
      <w:r w:rsidRPr="000803CF">
        <w:rPr>
          <w:rFonts w:cstheme="minorHAnsi"/>
          <w:b/>
          <w:noProof/>
          <w:u w:val="single"/>
          <w:lang w:val="es-ES"/>
        </w:rPr>
        <w:t>Para 2022</w:t>
      </w:r>
      <w:r w:rsidRPr="000803CF">
        <w:rPr>
          <w:rFonts w:cstheme="minorHAnsi"/>
          <w:b/>
          <w:noProof/>
          <w:lang w:val="es-ES"/>
        </w:rPr>
        <w:t>:</w:t>
      </w:r>
    </w:p>
    <w:p w14:paraId="3CE3C0A3" w14:textId="3565FC53" w:rsidR="00F276D3" w:rsidRPr="000803CF" w:rsidRDefault="00F276D3" w:rsidP="00F276D3">
      <w:pPr>
        <w:spacing w:after="0" w:line="240" w:lineRule="auto"/>
        <w:rPr>
          <w:b/>
          <w:i/>
          <w:noProof/>
          <w:lang w:val="es-ES"/>
        </w:rPr>
      </w:pPr>
      <w:r w:rsidRPr="000803CF">
        <w:rPr>
          <w:rFonts w:cstheme="minorHAnsi"/>
          <w:b/>
          <w:noProof/>
          <w:lang w:val="es-ES"/>
        </w:rPr>
        <w:t xml:space="preserve">- 76 000 francos suizos para cubrir el déficit creado en el presupuesto básico para las actividades principales de la Secretaría en 2022 (sujeto a la aprobación del presupuesto para 2022 por parte de la </w:t>
      </w:r>
      <w:r w:rsidR="00F40167" w:rsidRPr="000803CF">
        <w:rPr>
          <w:rFonts w:cstheme="minorHAnsi"/>
          <w:b/>
          <w:noProof/>
          <w:lang w:val="es-ES"/>
        </w:rPr>
        <w:t>COP</w:t>
      </w:r>
      <w:r w:rsidRPr="000803CF">
        <w:rPr>
          <w:rFonts w:cstheme="minorHAnsi"/>
          <w:b/>
          <w:noProof/>
          <w:lang w:val="es-ES"/>
        </w:rPr>
        <w:t xml:space="preserve"> </w:t>
      </w:r>
      <w:r w:rsidR="00F40167" w:rsidRPr="000803CF">
        <w:rPr>
          <w:rFonts w:cstheme="minorHAnsi"/>
          <w:b/>
          <w:noProof/>
          <w:lang w:val="es-ES"/>
        </w:rPr>
        <w:t>extraordinaria</w:t>
      </w:r>
      <w:r w:rsidRPr="000803CF">
        <w:rPr>
          <w:rFonts w:cstheme="minorHAnsi"/>
          <w:b/>
          <w:noProof/>
          <w:lang w:val="es-ES"/>
        </w:rPr>
        <w:t xml:space="preserve">). </w:t>
      </w:r>
    </w:p>
    <w:p w14:paraId="086205C9" w14:textId="77777777" w:rsidR="00F276D3" w:rsidRPr="000803CF" w:rsidRDefault="00F276D3" w:rsidP="00F276D3">
      <w:pPr>
        <w:spacing w:after="0" w:line="240" w:lineRule="auto"/>
        <w:rPr>
          <w:rFonts w:cstheme="minorHAnsi"/>
          <w:b/>
          <w:noProof/>
          <w:lang w:val="es-ES"/>
        </w:rPr>
      </w:pPr>
    </w:p>
    <w:p w14:paraId="338497F5" w14:textId="77777777" w:rsidR="00F276D3" w:rsidRPr="000803CF" w:rsidRDefault="00F276D3" w:rsidP="00F276D3">
      <w:pPr>
        <w:spacing w:after="0" w:line="240" w:lineRule="auto"/>
        <w:rPr>
          <w:rFonts w:cstheme="minorHAnsi"/>
          <w:b/>
          <w:noProof/>
          <w:lang w:val="es-ES"/>
        </w:rPr>
      </w:pPr>
      <w:r w:rsidRPr="000803CF">
        <w:rPr>
          <w:rFonts w:cstheme="minorHAnsi"/>
          <w:b/>
          <w:noProof/>
          <w:lang w:val="es-ES"/>
        </w:rPr>
        <w:t xml:space="preserve">Decisión SC59-30: El Comité Permanente: </w:t>
      </w:r>
    </w:p>
    <w:p w14:paraId="00C664BB"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tomó nota del estado de las contribuciones anuales;</w:t>
      </w:r>
    </w:p>
    <w:p w14:paraId="5612FB6D"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 xml:space="preserve">tomó nota de las acciones enumeradas en los párrafos 14 y 15 </w:t>
      </w:r>
      <w:r w:rsidRPr="000803CF">
        <w:rPr>
          <w:rFonts w:cstheme="minorHAnsi"/>
          <w:b/>
          <w:noProof/>
          <w:lang w:val="es-ES"/>
        </w:rPr>
        <w:t xml:space="preserve">del documento SC59 Doc.8.2 </w:t>
      </w:r>
      <w:r w:rsidRPr="000803CF">
        <w:rPr>
          <w:rFonts w:cstheme="minorHAnsi"/>
          <w:b/>
          <w:iCs/>
          <w:noProof/>
          <w:lang w:val="es-ES"/>
        </w:rPr>
        <w:t>sobre la confirmación de los grupos acerca de las contribuciones pendientes, como parte del proceso de auditoría;</w:t>
      </w:r>
    </w:p>
    <w:p w14:paraId="314465DB"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lastRenderedPageBreak/>
        <w:t>tomó nota de las acciones enumeradas en los párrafos 17, 19, 20 y 21 para seguir fomentando el pago de las contribuciones anuales;</w:t>
      </w:r>
    </w:p>
    <w:p w14:paraId="28045F06"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 xml:space="preserve">tomó nota del cambio en las contribuciones anuales por cobrar y en la provisión anual para las contribuciones pendientes de pago; y </w:t>
      </w:r>
    </w:p>
    <w:p w14:paraId="4ABE2233" w14:textId="77777777" w:rsidR="00F276D3" w:rsidRPr="000803CF" w:rsidRDefault="00F276D3" w:rsidP="00F276D3">
      <w:pPr>
        <w:pStyle w:val="ListParagraph"/>
        <w:numPr>
          <w:ilvl w:val="0"/>
          <w:numId w:val="49"/>
        </w:numPr>
        <w:autoSpaceDE w:val="0"/>
        <w:autoSpaceDN w:val="0"/>
        <w:spacing w:after="0" w:line="240" w:lineRule="auto"/>
        <w:ind w:left="426" w:hanging="426"/>
        <w:rPr>
          <w:rFonts w:cstheme="minorHAnsi"/>
          <w:b/>
          <w:iCs/>
          <w:noProof/>
          <w:lang w:val="es-ES"/>
        </w:rPr>
      </w:pPr>
      <w:r w:rsidRPr="000803CF">
        <w:rPr>
          <w:rFonts w:cstheme="minorHAnsi"/>
          <w:b/>
          <w:iCs/>
          <w:noProof/>
          <w:lang w:val="es-ES"/>
        </w:rPr>
        <w:t>tomó nota del estado de las contribuciones voluntarias de África.</w:t>
      </w:r>
    </w:p>
    <w:p w14:paraId="7B32E121" w14:textId="77777777" w:rsidR="00F276D3" w:rsidRPr="000803CF" w:rsidRDefault="00F276D3" w:rsidP="00F276D3">
      <w:pPr>
        <w:spacing w:after="0" w:line="240" w:lineRule="auto"/>
        <w:rPr>
          <w:rFonts w:cstheme="minorHAnsi"/>
          <w:b/>
          <w:noProof/>
          <w:lang w:val="es-ES"/>
        </w:rPr>
      </w:pPr>
    </w:p>
    <w:p w14:paraId="69F3B0B0" w14:textId="77777777" w:rsidR="00F276D3" w:rsidRPr="000803CF" w:rsidRDefault="00F276D3" w:rsidP="00F276D3">
      <w:pPr>
        <w:pStyle w:val="NormalWeb"/>
        <w:spacing w:before="0" w:beforeAutospacing="0" w:after="0" w:afterAutospacing="0"/>
        <w:rPr>
          <w:rFonts w:asciiTheme="minorHAnsi" w:hAnsiTheme="minorHAnsi" w:cstheme="minorHAnsi"/>
          <w:b/>
          <w:noProof/>
          <w:sz w:val="22"/>
          <w:szCs w:val="22"/>
          <w:lang w:val="es-ES"/>
        </w:rPr>
      </w:pPr>
      <w:r w:rsidRPr="000803CF">
        <w:rPr>
          <w:rFonts w:asciiTheme="minorHAnsi" w:hAnsiTheme="minorHAnsi" w:cstheme="minorHAnsi"/>
          <w:b/>
          <w:noProof/>
          <w:sz w:val="22"/>
          <w:szCs w:val="22"/>
          <w:lang w:val="es-ES"/>
        </w:rPr>
        <w:t>Decisión SC59-31: El Comité Permanente:</w:t>
      </w:r>
    </w:p>
    <w:p w14:paraId="44CE39F6" w14:textId="77777777" w:rsidR="00F276D3" w:rsidRPr="000803CF" w:rsidRDefault="00F276D3" w:rsidP="00F276D3">
      <w:pPr>
        <w:spacing w:after="0" w:line="240" w:lineRule="auto"/>
        <w:ind w:left="426" w:hanging="426"/>
        <w:rPr>
          <w:rFonts w:cstheme="minorHAnsi"/>
          <w:b/>
          <w:noProof/>
          <w:lang w:val="es-ES"/>
        </w:rPr>
      </w:pPr>
      <w:r w:rsidRPr="000803CF">
        <w:rPr>
          <w:rFonts w:cstheme="minorHAnsi"/>
          <w:b/>
          <w:noProof/>
          <w:lang w:val="es-ES"/>
        </w:rPr>
        <w:t xml:space="preserve">i. </w:t>
      </w:r>
      <w:r w:rsidRPr="000803CF">
        <w:rPr>
          <w:rFonts w:cstheme="minorHAnsi"/>
          <w:b/>
          <w:noProof/>
          <w:lang w:val="es-ES"/>
        </w:rPr>
        <w:tab/>
        <w:t xml:space="preserve">tomó nota del contenido del documento SC59 doc.8.3; </w:t>
      </w:r>
    </w:p>
    <w:p w14:paraId="36926D08" w14:textId="77777777" w:rsidR="00F276D3" w:rsidRPr="000803CF" w:rsidRDefault="00F276D3" w:rsidP="00F276D3">
      <w:pPr>
        <w:spacing w:after="0" w:line="240" w:lineRule="auto"/>
        <w:ind w:left="426" w:hanging="426"/>
        <w:rPr>
          <w:rFonts w:cstheme="minorHAnsi"/>
          <w:b/>
          <w:noProof/>
          <w:lang w:val="es-ES"/>
        </w:rPr>
      </w:pPr>
      <w:r w:rsidRPr="000803CF">
        <w:rPr>
          <w:rFonts w:cstheme="minorHAnsi"/>
          <w:b/>
          <w:noProof/>
          <w:lang w:val="es-ES"/>
        </w:rPr>
        <w:t xml:space="preserve">ii. </w:t>
      </w:r>
      <w:r w:rsidRPr="000803CF">
        <w:rPr>
          <w:rFonts w:cstheme="minorHAnsi"/>
          <w:b/>
          <w:noProof/>
          <w:lang w:val="es-ES"/>
        </w:rPr>
        <w:tab/>
        <w:t xml:space="preserve">pidió a la Secretaría que preparara un presupuesto anual para 2022 a partir del Escenario presupuestario A, a saber, un incremento del 0 % presentado por la Secretaría, con miras a presentarlo para su aprobación en la COP extraordinaria; y </w:t>
      </w:r>
    </w:p>
    <w:p w14:paraId="2A6D9D81" w14:textId="77777777" w:rsidR="00F276D3" w:rsidRPr="000803CF" w:rsidRDefault="00F276D3" w:rsidP="00F276D3">
      <w:pPr>
        <w:spacing w:after="0" w:line="240" w:lineRule="auto"/>
        <w:ind w:left="426" w:hanging="426"/>
        <w:rPr>
          <w:rFonts w:cstheme="minorHAnsi"/>
          <w:b/>
          <w:noProof/>
          <w:lang w:val="es-ES"/>
        </w:rPr>
      </w:pPr>
      <w:r w:rsidRPr="000803CF">
        <w:rPr>
          <w:rFonts w:cstheme="minorHAnsi"/>
          <w:b/>
          <w:noProof/>
          <w:lang w:val="es-ES"/>
        </w:rPr>
        <w:t xml:space="preserve">iii. </w:t>
      </w:r>
      <w:r w:rsidRPr="000803CF">
        <w:rPr>
          <w:rFonts w:cstheme="minorHAnsi"/>
          <w:b/>
          <w:noProof/>
          <w:lang w:val="es-ES"/>
        </w:rPr>
        <w:tab/>
        <w:t>pidió a la Secretaría que preparara un proyecto de resolución sobre el presupuesto con miras a presentarlo para su aprobación en la COP extraordinaria.</w:t>
      </w:r>
    </w:p>
    <w:p w14:paraId="4A403049" w14:textId="77777777" w:rsidR="00F276D3" w:rsidRPr="000803CF" w:rsidRDefault="00F276D3" w:rsidP="00F276D3">
      <w:pPr>
        <w:spacing w:after="0" w:line="240" w:lineRule="auto"/>
        <w:ind w:left="426" w:hanging="426"/>
        <w:rPr>
          <w:rFonts w:cstheme="minorHAnsi"/>
          <w:b/>
          <w:noProof/>
          <w:lang w:val="es-ES"/>
        </w:rPr>
      </w:pPr>
    </w:p>
    <w:p w14:paraId="1B8932DE" w14:textId="77777777" w:rsidR="00F276D3" w:rsidRPr="000803CF" w:rsidRDefault="00F276D3" w:rsidP="00F276D3">
      <w:pPr>
        <w:spacing w:after="0" w:line="240" w:lineRule="auto"/>
        <w:rPr>
          <w:rFonts w:cstheme="minorHAnsi"/>
          <w:b/>
          <w:iCs/>
          <w:noProof/>
          <w:lang w:val="es-ES"/>
        </w:rPr>
      </w:pPr>
      <w:r w:rsidRPr="000803CF">
        <w:rPr>
          <w:rFonts w:cstheme="minorHAnsi"/>
          <w:b/>
          <w:noProof/>
          <w:lang w:val="es-ES"/>
        </w:rPr>
        <w:t xml:space="preserve">Decisión SC59-32: </w:t>
      </w:r>
      <w:r w:rsidRPr="000803CF">
        <w:rPr>
          <w:rFonts w:cstheme="minorHAnsi"/>
          <w:b/>
          <w:iCs/>
          <w:noProof/>
          <w:lang w:val="es-ES"/>
        </w:rPr>
        <w:t>El Comité Permanente aprobó la asignación de 90 000 francos suizos de los ahorros en el presupuesto básico de 2020 para la labor del Grupo de trabajo sobre examen el Plan Estratégico,</w:t>
      </w:r>
      <w:r w:rsidRPr="000803CF">
        <w:rPr>
          <w:iCs/>
          <w:noProof/>
          <w:lang w:val="es-ES"/>
        </w:rPr>
        <w:t xml:space="preserve"> </w:t>
      </w:r>
      <w:r w:rsidRPr="000803CF">
        <w:rPr>
          <w:rFonts w:cstheme="minorHAnsi"/>
          <w:b/>
          <w:iCs/>
          <w:noProof/>
          <w:lang w:val="es-ES"/>
        </w:rPr>
        <w:t>con arreglo a la Decisión SC59-20 del Comité Permanente de establecer un nuevo grupo de trabajo.</w:t>
      </w:r>
    </w:p>
    <w:p w14:paraId="79713A06" w14:textId="77777777" w:rsidR="00F276D3" w:rsidRPr="000803CF" w:rsidRDefault="00F276D3" w:rsidP="00F276D3">
      <w:pPr>
        <w:spacing w:after="0" w:line="240" w:lineRule="auto"/>
        <w:rPr>
          <w:rFonts w:cstheme="minorHAnsi"/>
          <w:b/>
          <w:noProof/>
          <w:lang w:val="es-ES"/>
        </w:rPr>
      </w:pPr>
    </w:p>
    <w:p w14:paraId="07CBEE0C" w14:textId="6886D601" w:rsidR="00F276D3" w:rsidRPr="000803CF" w:rsidRDefault="00F276D3" w:rsidP="00F276D3">
      <w:pPr>
        <w:pStyle w:val="NormalWeb"/>
        <w:spacing w:before="0" w:beforeAutospacing="0" w:after="0" w:afterAutospacing="0"/>
        <w:rPr>
          <w:rFonts w:asciiTheme="minorHAnsi" w:eastAsiaTheme="minorHAnsi" w:hAnsiTheme="minorHAnsi" w:cstheme="minorHAnsi"/>
          <w:b/>
          <w:noProof/>
          <w:sz w:val="22"/>
          <w:szCs w:val="22"/>
          <w:lang w:val="es-ES"/>
        </w:rPr>
      </w:pPr>
      <w:r w:rsidRPr="000803CF">
        <w:rPr>
          <w:rFonts w:asciiTheme="minorHAnsi" w:eastAsiaTheme="minorHAnsi" w:hAnsiTheme="minorHAnsi" w:cstheme="minorHAnsi"/>
          <w:b/>
          <w:noProof/>
          <w:sz w:val="22"/>
          <w:szCs w:val="22"/>
          <w:lang w:val="es-ES"/>
        </w:rPr>
        <w:t xml:space="preserve">Decisión SC59-33: El Comité Permanente aprobó la asignación de 25 000 francos suizos a cada una de las cuatro IRR que </w:t>
      </w:r>
      <w:r w:rsidR="009805C6" w:rsidRPr="000803CF">
        <w:rPr>
          <w:rFonts w:asciiTheme="minorHAnsi" w:eastAsiaTheme="minorHAnsi" w:hAnsiTheme="minorHAnsi" w:cstheme="minorHAnsi"/>
          <w:b/>
          <w:noProof/>
          <w:sz w:val="22"/>
          <w:szCs w:val="22"/>
          <w:lang w:val="es-ES"/>
        </w:rPr>
        <w:t>reunieran</w:t>
      </w:r>
      <w:r w:rsidRPr="000803CF">
        <w:rPr>
          <w:rFonts w:asciiTheme="minorHAnsi" w:eastAsiaTheme="minorHAnsi" w:hAnsiTheme="minorHAnsi" w:cstheme="minorHAnsi"/>
          <w:b/>
          <w:noProof/>
          <w:sz w:val="22"/>
          <w:szCs w:val="22"/>
          <w:lang w:val="es-ES"/>
        </w:rPr>
        <w:t xml:space="preserve"> los requisitos para sus actividades en 2021 con cargo a la partida D del presupuesto básico “Apoyo a las iniciativas regionales” </w:t>
      </w:r>
      <w:r w:rsidR="009805C6" w:rsidRPr="000803CF">
        <w:rPr>
          <w:rFonts w:asciiTheme="minorHAnsi" w:eastAsiaTheme="minorHAnsi" w:hAnsiTheme="minorHAnsi" w:cstheme="minorHAnsi"/>
          <w:b/>
          <w:noProof/>
          <w:sz w:val="22"/>
          <w:szCs w:val="22"/>
          <w:lang w:val="es-ES"/>
        </w:rPr>
        <w:t>a</w:t>
      </w:r>
      <w:r w:rsidRPr="000803CF">
        <w:rPr>
          <w:rFonts w:asciiTheme="minorHAnsi" w:eastAsiaTheme="minorHAnsi" w:hAnsiTheme="minorHAnsi" w:cstheme="minorHAnsi"/>
          <w:b/>
          <w:noProof/>
          <w:sz w:val="22"/>
          <w:szCs w:val="22"/>
          <w:lang w:val="es-ES"/>
        </w:rPr>
        <w:t xml:space="preserve"> condición de que las IRR beneficiarias cumpl</w:t>
      </w:r>
      <w:r w:rsidR="009805C6" w:rsidRPr="000803CF">
        <w:rPr>
          <w:rFonts w:asciiTheme="minorHAnsi" w:eastAsiaTheme="minorHAnsi" w:hAnsiTheme="minorHAnsi" w:cstheme="minorHAnsi"/>
          <w:b/>
          <w:noProof/>
          <w:sz w:val="22"/>
          <w:szCs w:val="22"/>
          <w:lang w:val="es-ES"/>
        </w:rPr>
        <w:t>iera</w:t>
      </w:r>
      <w:r w:rsidRPr="000803CF">
        <w:rPr>
          <w:rFonts w:asciiTheme="minorHAnsi" w:eastAsiaTheme="minorHAnsi" w:hAnsiTheme="minorHAnsi" w:cstheme="minorHAnsi"/>
          <w:b/>
          <w:noProof/>
          <w:sz w:val="22"/>
          <w:szCs w:val="22"/>
          <w:lang w:val="es-ES"/>
        </w:rPr>
        <w:t>n el subpárrafo 8.d. de la Resolución XIII.9.</w:t>
      </w:r>
    </w:p>
    <w:p w14:paraId="3577EB32" w14:textId="77777777" w:rsidR="00F276D3" w:rsidRPr="000803CF" w:rsidRDefault="00F276D3" w:rsidP="00F276D3">
      <w:pPr>
        <w:spacing w:after="0" w:line="240" w:lineRule="auto"/>
        <w:rPr>
          <w:rFonts w:eastAsiaTheme="minorEastAsia" w:cstheme="minorHAnsi"/>
          <w:noProof/>
          <w:lang w:val="es-ES" w:eastAsia="ja-JP"/>
        </w:rPr>
      </w:pPr>
    </w:p>
    <w:p w14:paraId="5486B6C7" w14:textId="592E6A05" w:rsidR="00F276D3" w:rsidRPr="000803CF" w:rsidRDefault="00F276D3" w:rsidP="00F276D3">
      <w:pPr>
        <w:spacing w:line="240" w:lineRule="auto"/>
        <w:rPr>
          <w:rFonts w:cstheme="minorHAnsi"/>
          <w:b/>
          <w:noProof/>
          <w:lang w:val="es-ES"/>
        </w:rPr>
      </w:pPr>
      <w:r w:rsidRPr="000803CF">
        <w:rPr>
          <w:rFonts w:cstheme="minorHAnsi"/>
          <w:b/>
          <w:noProof/>
          <w:lang w:val="es-ES"/>
        </w:rPr>
        <w:t>Decisión SC59-34: El Comité Permanente decidió que toda solicitud por parte de las IRR de fondos del presupuesto básico incluyera una justificación de cómo estas ayuda</w:t>
      </w:r>
      <w:r w:rsidR="00AE75B9" w:rsidRPr="000803CF">
        <w:rPr>
          <w:rFonts w:cstheme="minorHAnsi"/>
          <w:b/>
          <w:noProof/>
          <w:lang w:val="es-ES"/>
        </w:rPr>
        <w:t>ría</w:t>
      </w:r>
      <w:r w:rsidRPr="000803CF">
        <w:rPr>
          <w:rFonts w:cstheme="minorHAnsi"/>
          <w:b/>
          <w:noProof/>
          <w:lang w:val="es-ES"/>
        </w:rPr>
        <w:t>n a las Partes Contratantes a aplicar la Convención y sus resoluciones y orientaciones, y que esas solicitudes se proporcionaran en inglés (siendo aceptables traducciones oficiosas de tipo “Google translate” revisadas por el coordinador nacional del país), de forma que el Subgrupo de Finanzas pudiera tomar decisiones fundamentadas en los plazos establecidos.</w:t>
      </w:r>
    </w:p>
    <w:p w14:paraId="4F1ED36C" w14:textId="77777777" w:rsidR="00F276D3" w:rsidRPr="000803CF" w:rsidRDefault="00F276D3" w:rsidP="00F276D3">
      <w:pPr>
        <w:pStyle w:val="NormalWeb"/>
        <w:spacing w:before="0" w:beforeAutospacing="0" w:after="0" w:afterAutospacing="0"/>
        <w:rPr>
          <w:rFonts w:asciiTheme="minorHAnsi" w:hAnsiTheme="minorHAnsi" w:cstheme="minorHAnsi"/>
          <w:b/>
          <w:noProof/>
          <w:sz w:val="22"/>
          <w:szCs w:val="22"/>
          <w:lang w:val="es-ES"/>
        </w:rPr>
      </w:pPr>
      <w:r w:rsidRPr="000803CF">
        <w:rPr>
          <w:rFonts w:asciiTheme="minorHAnsi" w:hAnsiTheme="minorHAnsi" w:cstheme="minorHAnsi"/>
          <w:b/>
          <w:noProof/>
          <w:sz w:val="22"/>
          <w:szCs w:val="22"/>
          <w:lang w:val="es-ES"/>
        </w:rPr>
        <w:t xml:space="preserve">Decisión SC59-35: El Comité Permanente aprobó, a falta de confirmación de que los fondos se emplearían con arreglo al párrafo 8 de la Resolución </w:t>
      </w:r>
      <w:r w:rsidRPr="000803CF">
        <w:rPr>
          <w:rFonts w:ascii="Calibri" w:eastAsia="Yu Gothic" w:hAnsi="Calibri" w:cs="MS PGothic"/>
          <w:b/>
          <w:noProof/>
          <w:sz w:val="22"/>
          <w:szCs w:val="22"/>
          <w:lang w:val="es-ES"/>
        </w:rPr>
        <w:t xml:space="preserve">XIII.9, la asignación presupuestaria restante de 10 000 francos suizos de la propuesta original en 2020 de 25 000 francos suizos </w:t>
      </w:r>
      <w:r w:rsidRPr="000803CF">
        <w:rPr>
          <w:rFonts w:asciiTheme="minorHAnsi" w:hAnsiTheme="minorHAnsi" w:cstheme="minorHAnsi"/>
          <w:b/>
          <w:noProof/>
          <w:sz w:val="22"/>
          <w:szCs w:val="22"/>
          <w:lang w:val="es-ES"/>
        </w:rPr>
        <w:t xml:space="preserve">de los ahorros en el presupuesto básico de 2020 </w:t>
      </w:r>
      <w:r w:rsidRPr="000803CF">
        <w:rPr>
          <w:rFonts w:ascii="Calibri" w:eastAsia="Yu Gothic" w:hAnsi="Calibri" w:cs="MS PGothic"/>
          <w:b/>
          <w:noProof/>
          <w:sz w:val="22"/>
          <w:szCs w:val="22"/>
          <w:lang w:val="es-ES"/>
        </w:rPr>
        <w:t xml:space="preserve">a dos de las cuatro iniciativas regionales de Ramsar (IRR) candidatas en el contexto de la Decisión </w:t>
      </w:r>
      <w:r w:rsidRPr="000803CF">
        <w:rPr>
          <w:rFonts w:asciiTheme="minorHAnsi" w:hAnsiTheme="minorHAnsi" w:cstheme="minorHAnsi"/>
          <w:b/>
          <w:noProof/>
          <w:sz w:val="22"/>
          <w:szCs w:val="22"/>
          <w:lang w:val="es-ES"/>
        </w:rPr>
        <w:t>SC58-28 para sus actividades previstas en 2020 pero aplazadas a 2021 y que los fondos se desembolsarían en 2021, teniendo en cuenta las circunstancias excepcionales actuales de la pandemia mundial. Las dos IRR son la Iniciativa Regional de Ramsar para la Cuenca del Río Senegal (SenegalWet)</w:t>
      </w:r>
      <w:r w:rsidRPr="000803CF">
        <w:rPr>
          <w:noProof/>
          <w:sz w:val="22"/>
          <w:szCs w:val="22"/>
          <w:lang w:val="es-ES"/>
        </w:rPr>
        <w:t xml:space="preserve"> </w:t>
      </w:r>
      <w:r w:rsidRPr="000803CF">
        <w:rPr>
          <w:rFonts w:asciiTheme="minorHAnsi" w:hAnsiTheme="minorHAnsi" w:cstheme="minorHAnsi"/>
          <w:b/>
          <w:noProof/>
          <w:sz w:val="22"/>
          <w:szCs w:val="22"/>
          <w:lang w:val="es-ES"/>
        </w:rPr>
        <w:t>y la Iniciativa Regional de Ramsar para la Cuenca del Río Amazonas, y las asignaciones se realizarían a condición de que las IRR beneficiarias cumplieran el subpárrafo 8.d. de la Resolución XIII.9 y otras reglas y normas pertinentes relativas a la presentación de informes sobre la utilización de los fondos del presupuesto básico.</w:t>
      </w:r>
    </w:p>
    <w:p w14:paraId="5CC12886" w14:textId="68A4F771" w:rsidR="00487156" w:rsidRPr="000803CF" w:rsidRDefault="00487156" w:rsidP="00472ACD">
      <w:pPr>
        <w:spacing w:after="0" w:line="240" w:lineRule="auto"/>
        <w:ind w:left="426" w:hanging="426"/>
        <w:rPr>
          <w:rFonts w:cstheme="minorHAnsi"/>
          <w:b/>
          <w:iCs/>
          <w:noProof/>
          <w:lang w:val="es-ES"/>
        </w:rPr>
      </w:pPr>
    </w:p>
    <w:p w14:paraId="0A45FD75" w14:textId="6F17377F" w:rsidR="00F276D3" w:rsidRPr="000803CF" w:rsidRDefault="00F276D3" w:rsidP="0029430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0803CF">
        <w:rPr>
          <w:rFonts w:cstheme="minorHAnsi"/>
          <w:bCs/>
          <w:noProof/>
          <w:lang w:val="es-ES"/>
        </w:rPr>
        <w:t xml:space="preserve">Punto </w:t>
      </w:r>
      <w:r w:rsidR="00294302" w:rsidRPr="000803CF">
        <w:rPr>
          <w:rFonts w:cstheme="minorHAnsi"/>
          <w:bCs/>
          <w:noProof/>
          <w:lang w:val="es-ES"/>
        </w:rPr>
        <w:t>27</w:t>
      </w:r>
      <w:r w:rsidRPr="000803CF">
        <w:rPr>
          <w:rFonts w:cstheme="minorHAnsi"/>
          <w:bCs/>
          <w:noProof/>
          <w:lang w:val="es-ES"/>
        </w:rPr>
        <w:t xml:space="preserve"> del orden del día</w:t>
      </w:r>
      <w:r w:rsidR="00294302" w:rsidRPr="000803CF">
        <w:rPr>
          <w:rFonts w:cstheme="minorHAnsi"/>
          <w:bCs/>
          <w:noProof/>
          <w:lang w:val="es-ES"/>
        </w:rPr>
        <w:t xml:space="preserve">: </w:t>
      </w:r>
      <w:r w:rsidRPr="000803CF">
        <w:rPr>
          <w:rFonts w:cstheme="minorHAnsi"/>
          <w:bCs/>
          <w:noProof/>
          <w:lang w:val="es-ES"/>
        </w:rPr>
        <w:t>Fechas y lugares de las reuniones 60ª y 61ª del Comité Permanente</w:t>
      </w:r>
    </w:p>
    <w:p w14:paraId="31D64150" w14:textId="77777777" w:rsidR="00294302" w:rsidRPr="000803CF" w:rsidRDefault="00294302" w:rsidP="00294302">
      <w:pPr>
        <w:spacing w:after="0" w:line="240" w:lineRule="auto"/>
        <w:ind w:left="567" w:hanging="567"/>
        <w:rPr>
          <w:rFonts w:eastAsia="Calibri" w:cstheme="minorHAnsi"/>
          <w:bCs/>
          <w:noProof/>
          <w:lang w:val="es-ES"/>
        </w:rPr>
      </w:pPr>
    </w:p>
    <w:p w14:paraId="7AB283E1" w14:textId="3142D910" w:rsidR="00F276D3" w:rsidRPr="000803CF" w:rsidRDefault="00D8124F" w:rsidP="00294302">
      <w:pPr>
        <w:spacing w:after="0" w:line="240" w:lineRule="auto"/>
        <w:ind w:left="567" w:hanging="567"/>
        <w:rPr>
          <w:rFonts w:eastAsia="Calibri" w:cstheme="minorHAnsi"/>
          <w:bCs/>
          <w:noProof/>
          <w:lang w:val="es-ES"/>
        </w:rPr>
      </w:pPr>
      <w:r w:rsidRPr="000803CF">
        <w:rPr>
          <w:rFonts w:eastAsia="Calibri" w:cstheme="minorHAnsi"/>
          <w:bCs/>
          <w:noProof/>
          <w:lang w:val="es-ES"/>
        </w:rPr>
        <w:t>6</w:t>
      </w:r>
      <w:r w:rsidR="00294302" w:rsidRPr="000803CF">
        <w:rPr>
          <w:rFonts w:eastAsia="Calibri" w:cstheme="minorHAnsi"/>
          <w:bCs/>
          <w:noProof/>
          <w:lang w:val="es-ES"/>
        </w:rPr>
        <w:t>.</w:t>
      </w:r>
      <w:r w:rsidR="00294302" w:rsidRPr="000803CF">
        <w:rPr>
          <w:rFonts w:eastAsia="Calibri" w:cstheme="minorHAnsi"/>
          <w:bCs/>
          <w:noProof/>
          <w:lang w:val="es-ES"/>
        </w:rPr>
        <w:tab/>
      </w:r>
      <w:r w:rsidR="00F276D3" w:rsidRPr="000803CF">
        <w:rPr>
          <w:rFonts w:eastAsia="Calibri" w:cstheme="minorHAnsi"/>
          <w:bCs/>
          <w:noProof/>
          <w:lang w:val="es-ES"/>
        </w:rPr>
        <w:t xml:space="preserve">La Secretaría observó que el Comité Permanente había decidido (Decisión SC59-13) que la presente reunión se realizaría en dos partes y que la segunda parte se celebraría en 2022. Teniendo en cuenta otras reuniones previstas, había identificado dos posibles períodos para </w:t>
      </w:r>
      <w:r w:rsidR="00F1453F" w:rsidRPr="000803CF">
        <w:rPr>
          <w:rFonts w:eastAsia="Calibri" w:cstheme="minorHAnsi"/>
          <w:bCs/>
          <w:noProof/>
          <w:lang w:val="es-ES"/>
        </w:rPr>
        <w:t>esto</w:t>
      </w:r>
      <w:r w:rsidR="00F276D3" w:rsidRPr="000803CF">
        <w:rPr>
          <w:rFonts w:eastAsia="Calibri" w:cstheme="minorHAnsi"/>
          <w:bCs/>
          <w:noProof/>
          <w:lang w:val="es-ES"/>
        </w:rPr>
        <w:t>: del 23 al 27 de mayo y del 20 al 24 de junio.</w:t>
      </w:r>
    </w:p>
    <w:p w14:paraId="2466DF97" w14:textId="77777777" w:rsidR="00294302" w:rsidRPr="000803CF" w:rsidRDefault="00294302" w:rsidP="00294302">
      <w:pPr>
        <w:spacing w:after="0" w:line="240" w:lineRule="auto"/>
        <w:ind w:left="567" w:hanging="567"/>
        <w:rPr>
          <w:rFonts w:eastAsia="Calibri" w:cstheme="minorHAnsi"/>
          <w:bCs/>
          <w:noProof/>
          <w:lang w:val="es-ES"/>
        </w:rPr>
      </w:pPr>
    </w:p>
    <w:p w14:paraId="584CE29A" w14:textId="5CFAD80A" w:rsidR="00663C91" w:rsidRPr="000803CF" w:rsidRDefault="00D8124F" w:rsidP="00294302">
      <w:pPr>
        <w:spacing w:after="0" w:line="240" w:lineRule="auto"/>
        <w:ind w:left="567" w:hanging="567"/>
        <w:rPr>
          <w:rFonts w:eastAsia="Calibri" w:cstheme="minorHAnsi"/>
          <w:bCs/>
          <w:noProof/>
          <w:lang w:val="es-ES"/>
        </w:rPr>
      </w:pPr>
      <w:r w:rsidRPr="000803CF">
        <w:rPr>
          <w:rFonts w:eastAsia="Calibri" w:cstheme="minorHAnsi"/>
          <w:bCs/>
          <w:noProof/>
          <w:lang w:val="es-ES"/>
        </w:rPr>
        <w:lastRenderedPageBreak/>
        <w:t>7</w:t>
      </w:r>
      <w:r w:rsidR="00294302" w:rsidRPr="000803CF">
        <w:rPr>
          <w:rFonts w:eastAsia="Calibri" w:cstheme="minorHAnsi"/>
          <w:bCs/>
          <w:noProof/>
          <w:lang w:val="es-ES"/>
        </w:rPr>
        <w:t>.</w:t>
      </w:r>
      <w:r w:rsidR="00294302" w:rsidRPr="000803CF">
        <w:rPr>
          <w:rFonts w:eastAsia="Calibri" w:cstheme="minorHAnsi"/>
          <w:bCs/>
          <w:noProof/>
          <w:lang w:val="es-ES"/>
        </w:rPr>
        <w:tab/>
      </w:r>
      <w:r w:rsidR="001B60F4" w:rsidRPr="000803CF">
        <w:rPr>
          <w:rFonts w:eastAsia="Calibri" w:cstheme="minorHAnsi"/>
          <w:bCs/>
          <w:noProof/>
          <w:lang w:val="es-ES"/>
        </w:rPr>
        <w:t>El</w:t>
      </w:r>
      <w:r w:rsidR="00663C91" w:rsidRPr="000803CF">
        <w:rPr>
          <w:rFonts w:eastAsia="Calibri" w:cstheme="minorHAnsi"/>
          <w:bCs/>
          <w:noProof/>
          <w:lang w:val="es-ES"/>
        </w:rPr>
        <w:t xml:space="preserve"> primer</w:t>
      </w:r>
      <w:r w:rsidR="001B60F4" w:rsidRPr="000803CF">
        <w:rPr>
          <w:rFonts w:eastAsia="Calibri" w:cstheme="minorHAnsi"/>
          <w:bCs/>
          <w:noProof/>
          <w:lang w:val="es-ES"/>
        </w:rPr>
        <w:t>o</w:t>
      </w:r>
      <w:r w:rsidR="00663C91" w:rsidRPr="000803CF">
        <w:rPr>
          <w:rFonts w:eastAsia="Calibri" w:cstheme="minorHAnsi"/>
          <w:bCs/>
          <w:noProof/>
          <w:lang w:val="es-ES"/>
        </w:rPr>
        <w:t xml:space="preserve"> de </w:t>
      </w:r>
      <w:r w:rsidR="001B60F4" w:rsidRPr="000803CF">
        <w:rPr>
          <w:rFonts w:eastAsia="Calibri" w:cstheme="minorHAnsi"/>
          <w:bCs/>
          <w:noProof/>
          <w:lang w:val="es-ES"/>
        </w:rPr>
        <w:t>los</w:t>
      </w:r>
      <w:r w:rsidR="00663C91" w:rsidRPr="000803CF">
        <w:rPr>
          <w:rFonts w:eastAsia="Calibri" w:cstheme="minorHAnsi"/>
          <w:bCs/>
          <w:noProof/>
          <w:lang w:val="es-ES"/>
        </w:rPr>
        <w:t xml:space="preserve"> dos </w:t>
      </w:r>
      <w:r w:rsidR="001B60F4" w:rsidRPr="000803CF">
        <w:rPr>
          <w:rFonts w:eastAsia="Calibri" w:cstheme="minorHAnsi"/>
          <w:bCs/>
          <w:noProof/>
          <w:lang w:val="es-ES"/>
        </w:rPr>
        <w:t>períodos contó con apoyo generalizado</w:t>
      </w:r>
      <w:r w:rsidR="00663C91" w:rsidRPr="000803CF">
        <w:rPr>
          <w:rFonts w:eastAsia="Calibri" w:cstheme="minorHAnsi"/>
          <w:bCs/>
          <w:noProof/>
          <w:lang w:val="es-ES"/>
        </w:rPr>
        <w:t xml:space="preserve">, aunque se </w:t>
      </w:r>
      <w:r w:rsidR="00700039" w:rsidRPr="000803CF">
        <w:rPr>
          <w:rFonts w:eastAsia="Calibri" w:cstheme="minorHAnsi"/>
          <w:bCs/>
          <w:noProof/>
          <w:lang w:val="es-ES"/>
        </w:rPr>
        <w:t>advirtió</w:t>
      </w:r>
      <w:r w:rsidR="00663C91" w:rsidRPr="000803CF">
        <w:rPr>
          <w:rFonts w:eastAsia="Calibri" w:cstheme="minorHAnsi"/>
          <w:bCs/>
          <w:noProof/>
          <w:lang w:val="es-ES"/>
        </w:rPr>
        <w:t xml:space="preserve"> que </w:t>
      </w:r>
      <w:r w:rsidR="00700039" w:rsidRPr="000803CF">
        <w:rPr>
          <w:rFonts w:eastAsia="Calibri" w:cstheme="minorHAnsi"/>
          <w:bCs/>
          <w:noProof/>
          <w:lang w:val="es-ES"/>
        </w:rPr>
        <w:t>las primeras</w:t>
      </w:r>
      <w:r w:rsidR="00663C91" w:rsidRPr="000803CF">
        <w:rPr>
          <w:rFonts w:eastAsia="Calibri" w:cstheme="minorHAnsi"/>
          <w:bCs/>
          <w:noProof/>
          <w:lang w:val="es-ES"/>
        </w:rPr>
        <w:t xml:space="preserve"> fechas coincidían con una reunión del Fondo Mundial para el Medio Ambiente. </w:t>
      </w:r>
      <w:r w:rsidR="00700039" w:rsidRPr="000803CF">
        <w:rPr>
          <w:rFonts w:eastAsia="Calibri" w:cstheme="minorHAnsi"/>
          <w:bCs/>
          <w:noProof/>
          <w:lang w:val="es-ES"/>
        </w:rPr>
        <w:t>Se acordó que, dado</w:t>
      </w:r>
      <w:r w:rsidR="00663C91" w:rsidRPr="000803CF">
        <w:rPr>
          <w:rFonts w:eastAsia="Calibri" w:cstheme="minorHAnsi"/>
          <w:bCs/>
          <w:noProof/>
          <w:lang w:val="es-ES"/>
        </w:rPr>
        <w:t xml:space="preserve"> el extenso orden del día previsto para la próxima </w:t>
      </w:r>
      <w:r w:rsidR="001B60F4" w:rsidRPr="000803CF">
        <w:rPr>
          <w:rFonts w:eastAsia="Calibri" w:cstheme="minorHAnsi"/>
          <w:bCs/>
          <w:noProof/>
          <w:lang w:val="es-ES"/>
        </w:rPr>
        <w:t>reunión</w:t>
      </w:r>
      <w:r w:rsidR="00663C91" w:rsidRPr="000803CF">
        <w:rPr>
          <w:rFonts w:eastAsia="Calibri" w:cstheme="minorHAnsi"/>
          <w:bCs/>
          <w:noProof/>
          <w:lang w:val="es-ES"/>
        </w:rPr>
        <w:t xml:space="preserve"> del Comité Permanente, sería conveniente tener la posibilidad de disponer de dos días adicionales</w:t>
      </w:r>
      <w:r w:rsidR="001B60F4" w:rsidRPr="000803CF">
        <w:rPr>
          <w:rFonts w:eastAsia="Calibri" w:cstheme="minorHAnsi"/>
          <w:bCs/>
          <w:noProof/>
          <w:lang w:val="es-ES"/>
        </w:rPr>
        <w:t xml:space="preserve"> para la reunión</w:t>
      </w:r>
      <w:r w:rsidR="00663C91" w:rsidRPr="000803CF">
        <w:rPr>
          <w:rFonts w:eastAsia="Calibri" w:cstheme="minorHAnsi"/>
          <w:bCs/>
          <w:noProof/>
          <w:lang w:val="es-ES"/>
        </w:rPr>
        <w:t xml:space="preserve"> (28 y 29 de mayo) </w:t>
      </w:r>
      <w:r w:rsidR="001B60F4" w:rsidRPr="000803CF">
        <w:rPr>
          <w:rFonts w:eastAsia="Calibri" w:cstheme="minorHAnsi"/>
          <w:bCs/>
          <w:noProof/>
          <w:lang w:val="es-ES"/>
        </w:rPr>
        <w:t xml:space="preserve">en caso </w:t>
      </w:r>
      <w:r w:rsidR="00E47378" w:rsidRPr="000803CF">
        <w:rPr>
          <w:rFonts w:eastAsia="Calibri" w:cstheme="minorHAnsi"/>
          <w:bCs/>
          <w:noProof/>
          <w:lang w:val="es-ES"/>
        </w:rPr>
        <w:t>fuera</w:t>
      </w:r>
      <w:r w:rsidR="001B60F4" w:rsidRPr="000803CF">
        <w:rPr>
          <w:rFonts w:eastAsia="Calibri" w:cstheme="minorHAnsi"/>
          <w:bCs/>
          <w:noProof/>
          <w:lang w:val="es-ES"/>
        </w:rPr>
        <w:t xml:space="preserve"> </w:t>
      </w:r>
      <w:r w:rsidR="00663C91" w:rsidRPr="000803CF">
        <w:rPr>
          <w:rFonts w:eastAsia="Calibri" w:cstheme="minorHAnsi"/>
          <w:bCs/>
          <w:noProof/>
          <w:lang w:val="es-ES"/>
        </w:rPr>
        <w:t xml:space="preserve">necesario </w:t>
      </w:r>
      <w:r w:rsidR="001B60F4" w:rsidRPr="000803CF">
        <w:rPr>
          <w:rFonts w:eastAsia="Calibri" w:cstheme="minorHAnsi"/>
          <w:bCs/>
          <w:noProof/>
          <w:lang w:val="es-ES"/>
        </w:rPr>
        <w:t>tras la finalización</w:t>
      </w:r>
      <w:r w:rsidR="00663C91" w:rsidRPr="000803CF">
        <w:rPr>
          <w:rFonts w:eastAsia="Calibri" w:cstheme="minorHAnsi"/>
          <w:bCs/>
          <w:noProof/>
          <w:lang w:val="es-ES"/>
        </w:rPr>
        <w:t xml:space="preserve"> el orden del día provisional.</w:t>
      </w:r>
    </w:p>
    <w:p w14:paraId="20B1E851" w14:textId="77777777" w:rsidR="00294302" w:rsidRPr="000803CF" w:rsidRDefault="00294302" w:rsidP="00343188">
      <w:pPr>
        <w:spacing w:after="0" w:line="240" w:lineRule="auto"/>
        <w:rPr>
          <w:rFonts w:eastAsia="Calibri" w:cstheme="minorHAnsi"/>
          <w:bCs/>
          <w:noProof/>
          <w:lang w:val="es-ES"/>
        </w:rPr>
      </w:pPr>
    </w:p>
    <w:p w14:paraId="10A17DF4" w14:textId="662DA8DC" w:rsidR="00343188" w:rsidRPr="000803CF" w:rsidRDefault="00D8124F" w:rsidP="00294302">
      <w:pPr>
        <w:spacing w:after="0" w:line="240" w:lineRule="auto"/>
        <w:ind w:left="567" w:hanging="567"/>
        <w:rPr>
          <w:rFonts w:eastAsia="Calibri" w:cstheme="minorHAnsi"/>
          <w:bCs/>
          <w:noProof/>
          <w:lang w:val="es-ES"/>
        </w:rPr>
      </w:pPr>
      <w:r w:rsidRPr="000803CF">
        <w:rPr>
          <w:rFonts w:eastAsia="Calibri" w:cstheme="minorHAnsi"/>
          <w:bCs/>
          <w:noProof/>
          <w:lang w:val="es-ES"/>
        </w:rPr>
        <w:t>8</w:t>
      </w:r>
      <w:r w:rsidR="00294302" w:rsidRPr="000803CF">
        <w:rPr>
          <w:rFonts w:eastAsia="Calibri" w:cstheme="minorHAnsi"/>
          <w:bCs/>
          <w:noProof/>
          <w:lang w:val="es-ES"/>
        </w:rPr>
        <w:t>.</w:t>
      </w:r>
      <w:r w:rsidR="00294302" w:rsidRPr="000803CF">
        <w:rPr>
          <w:rFonts w:eastAsia="Calibri" w:cstheme="minorHAnsi"/>
          <w:bCs/>
          <w:noProof/>
          <w:lang w:val="es-ES"/>
        </w:rPr>
        <w:tab/>
      </w:r>
      <w:r w:rsidR="00842CFA" w:rsidRPr="000803CF">
        <w:rPr>
          <w:rFonts w:eastAsia="Calibri" w:cstheme="minorHAnsi"/>
          <w:bCs/>
          <w:noProof/>
          <w:lang w:val="es-ES"/>
        </w:rPr>
        <w:t xml:space="preserve">A continuación hubo un debate extenso que se centró en la situación de los proyectos de resolución existentes y en </w:t>
      </w:r>
      <w:r w:rsidR="00B71538" w:rsidRPr="000803CF">
        <w:rPr>
          <w:rFonts w:eastAsia="Calibri" w:cstheme="minorHAnsi"/>
          <w:bCs/>
          <w:noProof/>
          <w:lang w:val="es-ES"/>
        </w:rPr>
        <w:t xml:space="preserve">si </w:t>
      </w:r>
      <w:r w:rsidR="00F241F4" w:rsidRPr="000803CF">
        <w:rPr>
          <w:rFonts w:eastAsia="Calibri" w:cstheme="minorHAnsi"/>
          <w:bCs/>
          <w:noProof/>
          <w:lang w:val="es-ES"/>
        </w:rPr>
        <w:t>fuera</w:t>
      </w:r>
      <w:r w:rsidR="00B71538" w:rsidRPr="000803CF">
        <w:rPr>
          <w:rFonts w:eastAsia="Calibri" w:cstheme="minorHAnsi"/>
          <w:bCs/>
          <w:noProof/>
          <w:lang w:val="es-ES"/>
        </w:rPr>
        <w:t xml:space="preserve"> </w:t>
      </w:r>
      <w:r w:rsidR="00842CFA" w:rsidRPr="000803CF">
        <w:rPr>
          <w:rFonts w:eastAsia="Calibri" w:cstheme="minorHAnsi"/>
          <w:bCs/>
          <w:noProof/>
          <w:lang w:val="es-ES"/>
        </w:rPr>
        <w:t>deseable o posible</w:t>
      </w:r>
      <w:r w:rsidR="00E77031" w:rsidRPr="000803CF">
        <w:rPr>
          <w:rFonts w:eastAsia="Calibri" w:cstheme="minorHAnsi"/>
          <w:bCs/>
          <w:noProof/>
          <w:lang w:val="es-ES"/>
        </w:rPr>
        <w:t>,</w:t>
      </w:r>
      <w:r w:rsidR="00842CFA" w:rsidRPr="000803CF">
        <w:rPr>
          <w:rFonts w:eastAsia="Calibri" w:cstheme="minorHAnsi"/>
          <w:bCs/>
          <w:noProof/>
          <w:lang w:val="es-ES"/>
        </w:rPr>
        <w:t xml:space="preserve"> </w:t>
      </w:r>
      <w:r w:rsidR="00B71538" w:rsidRPr="000803CF">
        <w:rPr>
          <w:rFonts w:eastAsia="Calibri" w:cstheme="minorHAnsi"/>
          <w:bCs/>
          <w:noProof/>
          <w:lang w:val="es-ES"/>
        </w:rPr>
        <w:t>con arreglo al</w:t>
      </w:r>
      <w:r w:rsidR="00842CFA" w:rsidRPr="000803CF">
        <w:rPr>
          <w:rFonts w:eastAsia="Calibri" w:cstheme="minorHAnsi"/>
          <w:bCs/>
          <w:noProof/>
          <w:lang w:val="es-ES"/>
        </w:rPr>
        <w:t xml:space="preserve"> reglamento</w:t>
      </w:r>
      <w:r w:rsidR="00E77031" w:rsidRPr="000803CF">
        <w:rPr>
          <w:rFonts w:eastAsia="Calibri" w:cstheme="minorHAnsi"/>
          <w:bCs/>
          <w:noProof/>
          <w:lang w:val="es-ES"/>
        </w:rPr>
        <w:t>,</w:t>
      </w:r>
      <w:r w:rsidR="00842CFA" w:rsidRPr="000803CF">
        <w:rPr>
          <w:rFonts w:eastAsia="Calibri" w:cstheme="minorHAnsi"/>
          <w:bCs/>
          <w:noProof/>
          <w:lang w:val="es-ES"/>
        </w:rPr>
        <w:t xml:space="preserve"> que las Partes Contratantes presentaran nuevos proyectos de resolución</w:t>
      </w:r>
      <w:r w:rsidR="00B71538" w:rsidRPr="000803CF">
        <w:rPr>
          <w:rFonts w:eastAsia="Calibri" w:cstheme="minorHAnsi"/>
          <w:bCs/>
          <w:noProof/>
          <w:lang w:val="es-ES"/>
        </w:rPr>
        <w:t>,</w:t>
      </w:r>
      <w:r w:rsidR="00842CFA" w:rsidRPr="000803CF">
        <w:rPr>
          <w:rFonts w:eastAsia="Calibri" w:cstheme="minorHAnsi"/>
          <w:bCs/>
          <w:noProof/>
          <w:lang w:val="es-ES"/>
        </w:rPr>
        <w:t xml:space="preserve"> dado que, en virtud del artículo 5.1, los proyectos de resolución deberían haberse presentado</w:t>
      </w:r>
      <w:r w:rsidR="00F241F4" w:rsidRPr="000803CF">
        <w:rPr>
          <w:rFonts w:eastAsia="Calibri" w:cstheme="minorHAnsi"/>
          <w:bCs/>
          <w:noProof/>
          <w:lang w:val="es-ES"/>
        </w:rPr>
        <w:t xml:space="preserve"> con</w:t>
      </w:r>
      <w:r w:rsidR="00842CFA" w:rsidRPr="000803CF">
        <w:rPr>
          <w:rFonts w:eastAsia="Calibri" w:cstheme="minorHAnsi"/>
          <w:bCs/>
          <w:noProof/>
          <w:lang w:val="es-ES"/>
        </w:rPr>
        <w:t xml:space="preserve"> 60 días </w:t>
      </w:r>
      <w:r w:rsidR="00F241F4" w:rsidRPr="000803CF">
        <w:rPr>
          <w:rFonts w:eastAsia="Calibri" w:cstheme="minorHAnsi"/>
          <w:bCs/>
          <w:noProof/>
          <w:lang w:val="es-ES"/>
        </w:rPr>
        <w:t>de antelación al</w:t>
      </w:r>
      <w:r w:rsidR="00842CFA" w:rsidRPr="000803CF">
        <w:rPr>
          <w:rFonts w:eastAsia="Calibri" w:cstheme="minorHAnsi"/>
          <w:bCs/>
          <w:noProof/>
          <w:lang w:val="es-ES"/>
        </w:rPr>
        <w:t xml:space="preserve"> inicio de la reunión en curso para que se examinaran en la COP14. Se </w:t>
      </w:r>
      <w:r w:rsidR="00B71538" w:rsidRPr="000803CF">
        <w:rPr>
          <w:rFonts w:eastAsia="Calibri" w:cstheme="minorHAnsi"/>
          <w:bCs/>
          <w:noProof/>
          <w:lang w:val="es-ES"/>
        </w:rPr>
        <w:t>observó</w:t>
      </w:r>
      <w:r w:rsidR="00842CFA" w:rsidRPr="000803CF">
        <w:rPr>
          <w:rFonts w:eastAsia="Calibri" w:cstheme="minorHAnsi"/>
          <w:bCs/>
          <w:noProof/>
          <w:lang w:val="es-ES"/>
        </w:rPr>
        <w:t xml:space="preserve"> que</w:t>
      </w:r>
      <w:r w:rsidR="00F241F4" w:rsidRPr="000803CF">
        <w:rPr>
          <w:rFonts w:eastAsia="Calibri" w:cstheme="minorHAnsi"/>
          <w:bCs/>
          <w:noProof/>
          <w:lang w:val="es-ES"/>
        </w:rPr>
        <w:t xml:space="preserve"> </w:t>
      </w:r>
      <w:r w:rsidR="00842CFA" w:rsidRPr="000803CF">
        <w:rPr>
          <w:rFonts w:eastAsia="Calibri" w:cstheme="minorHAnsi"/>
          <w:bCs/>
          <w:noProof/>
          <w:lang w:val="es-ES"/>
        </w:rPr>
        <w:t xml:space="preserve">algunos de los proyectos de resolución existentes </w:t>
      </w:r>
      <w:r w:rsidR="00E77031" w:rsidRPr="000803CF">
        <w:rPr>
          <w:rFonts w:eastAsia="Calibri" w:cstheme="minorHAnsi"/>
          <w:bCs/>
          <w:noProof/>
          <w:lang w:val="es-ES"/>
        </w:rPr>
        <w:t>contenían</w:t>
      </w:r>
      <w:r w:rsidR="00842CFA" w:rsidRPr="000803CF">
        <w:rPr>
          <w:rFonts w:eastAsia="Calibri" w:cstheme="minorHAnsi"/>
          <w:bCs/>
          <w:noProof/>
          <w:lang w:val="es-ES"/>
        </w:rPr>
        <w:t xml:space="preserve"> componentes urgentes que </w:t>
      </w:r>
      <w:r w:rsidR="00B71538" w:rsidRPr="000803CF">
        <w:rPr>
          <w:rFonts w:eastAsia="Calibri" w:cstheme="minorHAnsi"/>
          <w:bCs/>
          <w:noProof/>
          <w:lang w:val="es-ES"/>
        </w:rPr>
        <w:t>había que</w:t>
      </w:r>
      <w:r w:rsidR="00842CFA" w:rsidRPr="000803CF">
        <w:rPr>
          <w:rFonts w:eastAsia="Calibri" w:cstheme="minorHAnsi"/>
          <w:bCs/>
          <w:noProof/>
          <w:lang w:val="es-ES"/>
        </w:rPr>
        <w:t xml:space="preserve"> examinar en vista del aplazamiento de la COP14 y que algunos grupos de trabajo aún no habían </w:t>
      </w:r>
      <w:r w:rsidR="00B71538" w:rsidRPr="000803CF">
        <w:rPr>
          <w:rFonts w:eastAsia="Calibri" w:cstheme="minorHAnsi"/>
          <w:bCs/>
          <w:noProof/>
          <w:lang w:val="es-ES"/>
        </w:rPr>
        <w:t>finalizado</w:t>
      </w:r>
      <w:r w:rsidR="00842CFA" w:rsidRPr="000803CF">
        <w:rPr>
          <w:rFonts w:eastAsia="Calibri" w:cstheme="minorHAnsi"/>
          <w:bCs/>
          <w:noProof/>
          <w:lang w:val="es-ES"/>
        </w:rPr>
        <w:t xml:space="preserve"> su labor, incluida la elaboración de los proyectos de resolución </w:t>
      </w:r>
      <w:r w:rsidR="004A05A6" w:rsidRPr="000803CF">
        <w:rPr>
          <w:rFonts w:eastAsia="Calibri" w:cstheme="minorHAnsi"/>
          <w:bCs/>
          <w:noProof/>
          <w:lang w:val="es-ES"/>
        </w:rPr>
        <w:t>encargados</w:t>
      </w:r>
      <w:r w:rsidR="00842CFA" w:rsidRPr="000803CF">
        <w:rPr>
          <w:rFonts w:eastAsia="Calibri" w:cstheme="minorHAnsi"/>
          <w:bCs/>
          <w:noProof/>
          <w:lang w:val="es-ES"/>
        </w:rPr>
        <w:t xml:space="preserve"> por la COP.</w:t>
      </w:r>
    </w:p>
    <w:p w14:paraId="4120DC5F" w14:textId="77777777" w:rsidR="00294302" w:rsidRPr="000803CF" w:rsidRDefault="00294302" w:rsidP="00B71538">
      <w:pPr>
        <w:spacing w:after="0" w:line="240" w:lineRule="auto"/>
        <w:rPr>
          <w:rFonts w:eastAsia="Calibri" w:cstheme="minorHAnsi"/>
          <w:bCs/>
          <w:noProof/>
          <w:lang w:val="es-ES"/>
        </w:rPr>
      </w:pPr>
    </w:p>
    <w:p w14:paraId="70CD3B40" w14:textId="662EE6B4" w:rsidR="00E77BA4" w:rsidRPr="000803CF" w:rsidRDefault="00D8124F" w:rsidP="00294302">
      <w:pPr>
        <w:spacing w:after="0" w:line="240" w:lineRule="auto"/>
        <w:ind w:left="567" w:hanging="567"/>
        <w:rPr>
          <w:rFonts w:eastAsia="Calibri" w:cstheme="minorHAnsi"/>
          <w:bCs/>
          <w:noProof/>
          <w:lang w:val="es-ES"/>
        </w:rPr>
      </w:pPr>
      <w:r w:rsidRPr="000803CF">
        <w:rPr>
          <w:rFonts w:eastAsia="Calibri" w:cstheme="minorHAnsi"/>
          <w:bCs/>
          <w:noProof/>
          <w:lang w:val="es-ES"/>
        </w:rPr>
        <w:t>9</w:t>
      </w:r>
      <w:r w:rsidR="00294302" w:rsidRPr="000803CF">
        <w:rPr>
          <w:rFonts w:eastAsia="Calibri" w:cstheme="minorHAnsi"/>
          <w:bCs/>
          <w:noProof/>
          <w:lang w:val="es-ES"/>
        </w:rPr>
        <w:t>.</w:t>
      </w:r>
      <w:r w:rsidR="00294302" w:rsidRPr="000803CF">
        <w:rPr>
          <w:rFonts w:eastAsia="Calibri" w:cstheme="minorHAnsi"/>
          <w:bCs/>
          <w:noProof/>
          <w:lang w:val="es-ES"/>
        </w:rPr>
        <w:tab/>
      </w:r>
      <w:r w:rsidR="00E77BA4" w:rsidRPr="000803CF">
        <w:rPr>
          <w:rFonts w:eastAsia="Calibri" w:cstheme="minorHAnsi"/>
          <w:bCs/>
          <w:noProof/>
          <w:lang w:val="es-ES"/>
        </w:rPr>
        <w:t>Se pidieron aclaraciones sobre la Decisión 11 relativa a la SC59, aprobada en el período entre sesiones posterior a la SC58, y sobre la comunicación a las Partes Contratantes de un posible nuevo calendario para la presentación de proyectos de resolución para su consideración por la COP14.</w:t>
      </w:r>
    </w:p>
    <w:p w14:paraId="02AA65A8" w14:textId="77777777" w:rsidR="00294302" w:rsidRPr="000803CF" w:rsidRDefault="00294302" w:rsidP="00E77BA4">
      <w:pPr>
        <w:spacing w:after="0" w:line="240" w:lineRule="auto"/>
        <w:rPr>
          <w:rFonts w:eastAsia="Calibri" w:cstheme="minorHAnsi"/>
          <w:bCs/>
          <w:noProof/>
          <w:lang w:val="es-ES"/>
        </w:rPr>
      </w:pPr>
    </w:p>
    <w:p w14:paraId="1C53E0BC" w14:textId="4C60168E" w:rsidR="00E77BA4" w:rsidRPr="000803CF" w:rsidRDefault="00D8124F" w:rsidP="00294302">
      <w:pPr>
        <w:spacing w:after="0" w:line="240" w:lineRule="auto"/>
        <w:ind w:left="567" w:hanging="567"/>
        <w:rPr>
          <w:rFonts w:eastAsia="Calibri" w:cstheme="minorHAnsi"/>
          <w:bCs/>
          <w:noProof/>
          <w:lang w:val="es-ES"/>
        </w:rPr>
      </w:pPr>
      <w:r w:rsidRPr="000803CF">
        <w:rPr>
          <w:rFonts w:eastAsia="Calibri" w:cstheme="minorHAnsi"/>
          <w:bCs/>
          <w:noProof/>
          <w:lang w:val="es-ES"/>
        </w:rPr>
        <w:t>10</w:t>
      </w:r>
      <w:r w:rsidR="00294302" w:rsidRPr="000803CF">
        <w:rPr>
          <w:rFonts w:eastAsia="Calibri" w:cstheme="minorHAnsi"/>
          <w:bCs/>
          <w:noProof/>
          <w:lang w:val="es-ES"/>
        </w:rPr>
        <w:t>.</w:t>
      </w:r>
      <w:r w:rsidR="00294302" w:rsidRPr="000803CF">
        <w:rPr>
          <w:rFonts w:eastAsia="Calibri" w:cstheme="minorHAnsi"/>
          <w:bCs/>
          <w:noProof/>
          <w:lang w:val="es-ES"/>
        </w:rPr>
        <w:tab/>
      </w:r>
      <w:r w:rsidR="00E77BA4" w:rsidRPr="000803CF">
        <w:rPr>
          <w:rFonts w:eastAsia="Calibri" w:cstheme="minorHAnsi"/>
          <w:bCs/>
          <w:noProof/>
          <w:lang w:val="es-ES"/>
        </w:rPr>
        <w:t>Para permitir que las Partes Contratantes presentaran nuevos proyectos de resolución si así lo desea</w:t>
      </w:r>
      <w:r w:rsidR="001B0AE5" w:rsidRPr="000803CF">
        <w:rPr>
          <w:rFonts w:eastAsia="Calibri" w:cstheme="minorHAnsi"/>
          <w:bCs/>
          <w:noProof/>
          <w:lang w:val="es-ES"/>
        </w:rPr>
        <w:t>b</w:t>
      </w:r>
      <w:r w:rsidR="00E77BA4" w:rsidRPr="000803CF">
        <w:rPr>
          <w:rFonts w:eastAsia="Calibri" w:cstheme="minorHAnsi"/>
          <w:bCs/>
          <w:noProof/>
          <w:lang w:val="es-ES"/>
        </w:rPr>
        <w:t xml:space="preserve">an se sugirió que la próxima sesión del Comité Permanente se dividiera en dos (la </w:t>
      </w:r>
      <w:r w:rsidR="002A60A3" w:rsidRPr="000803CF">
        <w:rPr>
          <w:rFonts w:eastAsia="Calibri" w:cstheme="minorHAnsi"/>
          <w:bCs/>
          <w:noProof/>
          <w:lang w:val="es-ES"/>
        </w:rPr>
        <w:t>segunda</w:t>
      </w:r>
      <w:r w:rsidR="00E77BA4" w:rsidRPr="000803CF">
        <w:rPr>
          <w:rFonts w:eastAsia="Calibri" w:cstheme="minorHAnsi"/>
          <w:bCs/>
          <w:noProof/>
          <w:lang w:val="es-ES"/>
        </w:rPr>
        <w:t xml:space="preserve"> parte de la reunión SC59 y la reunión SC60), pero algunas Partes opinaron que esto sentaría un precedente indeseado </w:t>
      </w:r>
      <w:r w:rsidR="00851345" w:rsidRPr="000803CF">
        <w:rPr>
          <w:rFonts w:eastAsia="Calibri" w:cstheme="minorHAnsi"/>
          <w:bCs/>
          <w:noProof/>
          <w:lang w:val="es-ES"/>
        </w:rPr>
        <w:t>y</w:t>
      </w:r>
      <w:r w:rsidR="00E77BA4" w:rsidRPr="000803CF">
        <w:rPr>
          <w:rFonts w:eastAsia="Calibri" w:cstheme="minorHAnsi"/>
          <w:bCs/>
          <w:noProof/>
          <w:lang w:val="es-ES"/>
        </w:rPr>
        <w:t xml:space="preserve"> podría generar confusión. </w:t>
      </w:r>
      <w:r w:rsidR="002A60A3" w:rsidRPr="000803CF">
        <w:rPr>
          <w:rFonts w:eastAsia="Calibri" w:cstheme="minorHAnsi"/>
          <w:bCs/>
          <w:noProof/>
          <w:lang w:val="es-ES"/>
        </w:rPr>
        <w:t>También</w:t>
      </w:r>
      <w:r w:rsidR="00E77BA4" w:rsidRPr="000803CF">
        <w:rPr>
          <w:rFonts w:eastAsia="Calibri" w:cstheme="minorHAnsi"/>
          <w:bCs/>
          <w:noProof/>
          <w:lang w:val="es-ES"/>
        </w:rPr>
        <w:t xml:space="preserve"> se </w:t>
      </w:r>
      <w:r w:rsidR="00A85B9C" w:rsidRPr="000803CF">
        <w:rPr>
          <w:rFonts w:eastAsia="Calibri" w:cstheme="minorHAnsi"/>
          <w:bCs/>
          <w:noProof/>
          <w:lang w:val="es-ES"/>
        </w:rPr>
        <w:t>indicó</w:t>
      </w:r>
      <w:r w:rsidR="00E77BA4" w:rsidRPr="000803CF">
        <w:rPr>
          <w:rFonts w:eastAsia="Calibri" w:cstheme="minorHAnsi"/>
          <w:bCs/>
          <w:noProof/>
          <w:lang w:val="es-ES"/>
        </w:rPr>
        <w:t xml:space="preserve"> que, dado que el Comité Permanente ya había decidido que reanudaría la SC59 en 2022, el Comité Permanente tendría que </w:t>
      </w:r>
      <w:r w:rsidR="001B0AE5" w:rsidRPr="000803CF">
        <w:rPr>
          <w:rFonts w:eastAsia="Calibri" w:cstheme="minorHAnsi"/>
          <w:bCs/>
          <w:noProof/>
          <w:lang w:val="es-ES"/>
        </w:rPr>
        <w:t>replantear</w:t>
      </w:r>
      <w:r w:rsidR="00E77BA4" w:rsidRPr="000803CF">
        <w:rPr>
          <w:rFonts w:eastAsia="Calibri" w:cstheme="minorHAnsi"/>
          <w:bCs/>
          <w:noProof/>
          <w:lang w:val="es-ES"/>
        </w:rPr>
        <w:t xml:space="preserve"> esta decisión </w:t>
      </w:r>
      <w:r w:rsidR="00A85B9C" w:rsidRPr="000803CF">
        <w:rPr>
          <w:rFonts w:eastAsia="Calibri" w:cstheme="minorHAnsi"/>
          <w:bCs/>
          <w:noProof/>
          <w:lang w:val="es-ES"/>
        </w:rPr>
        <w:t>con arreglo al</w:t>
      </w:r>
      <w:r w:rsidR="00E77BA4" w:rsidRPr="000803CF">
        <w:rPr>
          <w:rFonts w:eastAsia="Calibri" w:cstheme="minorHAnsi"/>
          <w:bCs/>
          <w:noProof/>
          <w:lang w:val="es-ES"/>
        </w:rPr>
        <w:t xml:space="preserve"> artículo 37 si deseaba modificarla.</w:t>
      </w:r>
    </w:p>
    <w:p w14:paraId="54F32B9E" w14:textId="77777777" w:rsidR="00294302" w:rsidRPr="000803CF" w:rsidRDefault="00294302" w:rsidP="001B0AE5">
      <w:pPr>
        <w:spacing w:after="0" w:line="240" w:lineRule="auto"/>
        <w:rPr>
          <w:rFonts w:eastAsia="Calibri" w:cstheme="minorHAnsi"/>
          <w:bCs/>
          <w:noProof/>
          <w:lang w:val="es-ES"/>
        </w:rPr>
      </w:pPr>
    </w:p>
    <w:p w14:paraId="660DA69A" w14:textId="05F15DC0" w:rsidR="001B0AE5" w:rsidRPr="000803CF" w:rsidRDefault="00294302" w:rsidP="00735428">
      <w:pPr>
        <w:spacing w:after="0" w:line="240" w:lineRule="auto"/>
        <w:ind w:left="567" w:hanging="567"/>
        <w:rPr>
          <w:rFonts w:eastAsia="Calibri" w:cstheme="minorHAnsi"/>
          <w:bCs/>
          <w:noProof/>
          <w:lang w:val="es-ES"/>
        </w:rPr>
      </w:pPr>
      <w:r w:rsidRPr="000803CF">
        <w:rPr>
          <w:rFonts w:eastAsia="Calibri" w:cstheme="minorHAnsi"/>
          <w:bCs/>
          <w:noProof/>
          <w:lang w:val="es-ES"/>
        </w:rPr>
        <w:t>1</w:t>
      </w:r>
      <w:r w:rsidR="00D8124F" w:rsidRPr="000803CF">
        <w:rPr>
          <w:rFonts w:eastAsia="Calibri" w:cstheme="minorHAnsi"/>
          <w:bCs/>
          <w:noProof/>
          <w:lang w:val="es-ES"/>
        </w:rPr>
        <w:t>1</w:t>
      </w:r>
      <w:r w:rsidRPr="000803CF">
        <w:rPr>
          <w:rFonts w:eastAsia="Calibri" w:cstheme="minorHAnsi"/>
          <w:bCs/>
          <w:noProof/>
          <w:lang w:val="es-ES"/>
        </w:rPr>
        <w:t>.</w:t>
      </w:r>
      <w:r w:rsidRPr="000803CF">
        <w:rPr>
          <w:rFonts w:eastAsia="Calibri" w:cstheme="minorHAnsi"/>
          <w:bCs/>
          <w:noProof/>
          <w:lang w:val="es-ES"/>
        </w:rPr>
        <w:tab/>
      </w:r>
      <w:r w:rsidR="000001F4" w:rsidRPr="000803CF">
        <w:rPr>
          <w:rFonts w:eastAsia="Calibri" w:cstheme="minorHAnsi"/>
          <w:bCs/>
          <w:noProof/>
          <w:lang w:val="es-ES"/>
        </w:rPr>
        <w:t xml:space="preserve">En un debate posterior </w:t>
      </w:r>
      <w:r w:rsidR="001B0AE5" w:rsidRPr="000803CF">
        <w:rPr>
          <w:rFonts w:eastAsia="Calibri" w:cstheme="minorHAnsi"/>
          <w:bCs/>
          <w:noProof/>
          <w:lang w:val="es-ES"/>
        </w:rPr>
        <w:t xml:space="preserve">el Comité Permanente decidió que las Partes Contratantes que habían presentado proyectos de resolución </w:t>
      </w:r>
      <w:r w:rsidR="00735428" w:rsidRPr="000803CF">
        <w:rPr>
          <w:rFonts w:eastAsia="Calibri" w:cstheme="minorHAnsi"/>
          <w:bCs/>
          <w:noProof/>
          <w:lang w:val="es-ES"/>
        </w:rPr>
        <w:t>cumpliendo</w:t>
      </w:r>
      <w:r w:rsidR="00851345" w:rsidRPr="000803CF">
        <w:rPr>
          <w:rFonts w:eastAsia="Calibri" w:cstheme="minorHAnsi"/>
          <w:bCs/>
          <w:noProof/>
          <w:lang w:val="es-ES"/>
        </w:rPr>
        <w:t xml:space="preserve"> el</w:t>
      </w:r>
      <w:r w:rsidR="000001F4" w:rsidRPr="000803CF">
        <w:rPr>
          <w:rFonts w:eastAsia="Calibri" w:cstheme="minorHAnsi"/>
          <w:bCs/>
          <w:noProof/>
          <w:lang w:val="es-ES"/>
        </w:rPr>
        <w:t xml:space="preserve"> </w:t>
      </w:r>
      <w:r w:rsidR="001B0AE5" w:rsidRPr="000803CF">
        <w:rPr>
          <w:rFonts w:eastAsia="Calibri" w:cstheme="minorHAnsi"/>
          <w:bCs/>
          <w:noProof/>
          <w:lang w:val="es-ES"/>
        </w:rPr>
        <w:t xml:space="preserve">plazo </w:t>
      </w:r>
      <w:r w:rsidR="000001F4" w:rsidRPr="000803CF">
        <w:rPr>
          <w:rFonts w:eastAsia="Calibri" w:cstheme="minorHAnsi"/>
          <w:bCs/>
          <w:noProof/>
          <w:lang w:val="es-ES"/>
        </w:rPr>
        <w:t xml:space="preserve">antes de </w:t>
      </w:r>
      <w:r w:rsidR="001B0AE5" w:rsidRPr="000803CF">
        <w:rPr>
          <w:rFonts w:eastAsia="Calibri" w:cstheme="minorHAnsi"/>
          <w:bCs/>
          <w:noProof/>
          <w:lang w:val="es-ES"/>
        </w:rPr>
        <w:t xml:space="preserve">la presente reunión podían presentar </w:t>
      </w:r>
      <w:r w:rsidR="000001F4" w:rsidRPr="000803CF">
        <w:rPr>
          <w:rFonts w:eastAsia="Calibri" w:cstheme="minorHAnsi"/>
          <w:bCs/>
          <w:noProof/>
          <w:lang w:val="es-ES"/>
        </w:rPr>
        <w:t>modificaciones</w:t>
      </w:r>
      <w:r w:rsidR="001B0AE5" w:rsidRPr="000803CF">
        <w:rPr>
          <w:rFonts w:eastAsia="Calibri" w:cstheme="minorHAnsi"/>
          <w:bCs/>
          <w:noProof/>
          <w:lang w:val="es-ES"/>
        </w:rPr>
        <w:t xml:space="preserve"> de </w:t>
      </w:r>
      <w:r w:rsidR="00735428" w:rsidRPr="000803CF">
        <w:rPr>
          <w:rFonts w:eastAsia="Calibri" w:cstheme="minorHAnsi"/>
          <w:bCs/>
          <w:noProof/>
          <w:lang w:val="es-ES"/>
        </w:rPr>
        <w:t>estos</w:t>
      </w:r>
      <w:r w:rsidR="001B0AE5" w:rsidRPr="000803CF">
        <w:rPr>
          <w:rFonts w:eastAsia="Calibri" w:cstheme="minorHAnsi"/>
          <w:bCs/>
          <w:noProof/>
          <w:lang w:val="es-ES"/>
        </w:rPr>
        <w:t xml:space="preserve"> a más tardar</w:t>
      </w:r>
      <w:r w:rsidR="00735428" w:rsidRPr="000803CF">
        <w:rPr>
          <w:rFonts w:eastAsia="Calibri" w:cstheme="minorHAnsi"/>
          <w:bCs/>
          <w:noProof/>
          <w:lang w:val="es-ES"/>
        </w:rPr>
        <w:t xml:space="preserve"> con</w:t>
      </w:r>
      <w:r w:rsidR="001B0AE5" w:rsidRPr="000803CF">
        <w:rPr>
          <w:rFonts w:eastAsia="Calibri" w:cstheme="minorHAnsi"/>
          <w:bCs/>
          <w:noProof/>
          <w:lang w:val="es-ES"/>
        </w:rPr>
        <w:t xml:space="preserve"> 60 días </w:t>
      </w:r>
      <w:r w:rsidR="00735428" w:rsidRPr="000803CF">
        <w:rPr>
          <w:rFonts w:eastAsia="Calibri" w:cstheme="minorHAnsi"/>
          <w:bCs/>
          <w:noProof/>
          <w:lang w:val="es-ES"/>
        </w:rPr>
        <w:t>de antelación a</w:t>
      </w:r>
      <w:r w:rsidR="001B0AE5" w:rsidRPr="000803CF">
        <w:rPr>
          <w:rFonts w:eastAsia="Calibri" w:cstheme="minorHAnsi"/>
          <w:bCs/>
          <w:noProof/>
          <w:lang w:val="es-ES"/>
        </w:rPr>
        <w:t xml:space="preserve"> la </w:t>
      </w:r>
      <w:r w:rsidR="00735428" w:rsidRPr="000803CF">
        <w:rPr>
          <w:rFonts w:eastAsia="Calibri" w:cstheme="minorHAnsi"/>
          <w:bCs/>
          <w:noProof/>
          <w:lang w:val="es-ES"/>
        </w:rPr>
        <w:t>continuación</w:t>
      </w:r>
      <w:r w:rsidR="001B0AE5" w:rsidRPr="000803CF">
        <w:rPr>
          <w:rFonts w:eastAsia="Calibri" w:cstheme="minorHAnsi"/>
          <w:bCs/>
          <w:noProof/>
          <w:lang w:val="es-ES"/>
        </w:rPr>
        <w:t xml:space="preserve"> de la </w:t>
      </w:r>
      <w:r w:rsidR="000001F4" w:rsidRPr="000803CF">
        <w:rPr>
          <w:rFonts w:eastAsia="Calibri" w:cstheme="minorHAnsi"/>
          <w:bCs/>
          <w:noProof/>
          <w:lang w:val="es-ES"/>
        </w:rPr>
        <w:t xml:space="preserve">reunión </w:t>
      </w:r>
      <w:r w:rsidR="001B0AE5" w:rsidRPr="000803CF">
        <w:rPr>
          <w:rFonts w:eastAsia="Calibri" w:cstheme="minorHAnsi"/>
          <w:bCs/>
          <w:noProof/>
          <w:lang w:val="es-ES"/>
        </w:rPr>
        <w:t xml:space="preserve">SC59 en 2022. Los </w:t>
      </w:r>
      <w:r w:rsidR="000001F4" w:rsidRPr="000803CF">
        <w:rPr>
          <w:rFonts w:eastAsia="Calibri" w:cstheme="minorHAnsi"/>
          <w:bCs/>
          <w:noProof/>
          <w:lang w:val="es-ES"/>
        </w:rPr>
        <w:t>g</w:t>
      </w:r>
      <w:r w:rsidR="001B0AE5" w:rsidRPr="000803CF">
        <w:rPr>
          <w:rFonts w:eastAsia="Calibri" w:cstheme="minorHAnsi"/>
          <w:bCs/>
          <w:noProof/>
          <w:lang w:val="es-ES"/>
        </w:rPr>
        <w:t xml:space="preserve">rupos de </w:t>
      </w:r>
      <w:r w:rsidR="000001F4" w:rsidRPr="000803CF">
        <w:rPr>
          <w:rFonts w:eastAsia="Calibri" w:cstheme="minorHAnsi"/>
          <w:bCs/>
          <w:noProof/>
          <w:lang w:val="es-ES"/>
        </w:rPr>
        <w:t>t</w:t>
      </w:r>
      <w:r w:rsidR="001B0AE5" w:rsidRPr="000803CF">
        <w:rPr>
          <w:rFonts w:eastAsia="Calibri" w:cstheme="minorHAnsi"/>
          <w:bCs/>
          <w:noProof/>
          <w:lang w:val="es-ES"/>
        </w:rPr>
        <w:t xml:space="preserve">rabajo que aún no habían presentado proyectos de resolución </w:t>
      </w:r>
      <w:r w:rsidR="000001F4" w:rsidRPr="000803CF">
        <w:rPr>
          <w:rFonts w:eastAsia="Calibri" w:cstheme="minorHAnsi"/>
          <w:bCs/>
          <w:noProof/>
          <w:lang w:val="es-ES"/>
        </w:rPr>
        <w:t>con arreglo a</w:t>
      </w:r>
      <w:r w:rsidR="001B0AE5" w:rsidRPr="000803CF">
        <w:rPr>
          <w:rFonts w:eastAsia="Calibri" w:cstheme="minorHAnsi"/>
          <w:bCs/>
          <w:noProof/>
          <w:lang w:val="es-ES"/>
        </w:rPr>
        <w:t xml:space="preserve"> sus mandatos también podían hacerlo en ese plazo. A sugerencia de una Parte</w:t>
      </w:r>
      <w:r w:rsidR="00851345" w:rsidRPr="000803CF">
        <w:rPr>
          <w:rFonts w:eastAsia="Calibri" w:cstheme="minorHAnsi"/>
          <w:bCs/>
          <w:noProof/>
          <w:lang w:val="es-ES"/>
        </w:rPr>
        <w:t>,</w:t>
      </w:r>
      <w:r w:rsidR="001B0AE5" w:rsidRPr="000803CF">
        <w:rPr>
          <w:rFonts w:eastAsia="Calibri" w:cstheme="minorHAnsi"/>
          <w:bCs/>
          <w:noProof/>
          <w:lang w:val="es-ES"/>
        </w:rPr>
        <w:t xml:space="preserve"> la Secretaría pediría asesoramiento a su </w:t>
      </w:r>
      <w:r w:rsidR="00851345" w:rsidRPr="000803CF">
        <w:rPr>
          <w:rFonts w:eastAsia="Calibri" w:cstheme="minorHAnsi"/>
          <w:bCs/>
          <w:noProof/>
          <w:lang w:val="es-ES"/>
        </w:rPr>
        <w:t>a</w:t>
      </w:r>
      <w:r w:rsidR="001B0AE5" w:rsidRPr="000803CF">
        <w:rPr>
          <w:rFonts w:eastAsia="Calibri" w:cstheme="minorHAnsi"/>
          <w:bCs/>
          <w:noProof/>
          <w:lang w:val="es-ES"/>
        </w:rPr>
        <w:t>sesor</w:t>
      </w:r>
      <w:r w:rsidR="000001F4" w:rsidRPr="000803CF">
        <w:rPr>
          <w:rFonts w:eastAsia="Calibri" w:cstheme="minorHAnsi"/>
          <w:bCs/>
          <w:noProof/>
          <w:lang w:val="es-ES"/>
        </w:rPr>
        <w:t>a</w:t>
      </w:r>
      <w:r w:rsidR="001B0AE5" w:rsidRPr="000803CF">
        <w:rPr>
          <w:rFonts w:eastAsia="Calibri" w:cstheme="minorHAnsi"/>
          <w:bCs/>
          <w:noProof/>
          <w:lang w:val="es-ES"/>
        </w:rPr>
        <w:t xml:space="preserve"> </w:t>
      </w:r>
      <w:r w:rsidR="00851345" w:rsidRPr="000803CF">
        <w:rPr>
          <w:rFonts w:eastAsia="Calibri" w:cstheme="minorHAnsi"/>
          <w:bCs/>
          <w:noProof/>
          <w:lang w:val="es-ES"/>
        </w:rPr>
        <w:t>j</w:t>
      </w:r>
      <w:r w:rsidR="001B0AE5" w:rsidRPr="000803CF">
        <w:rPr>
          <w:rFonts w:eastAsia="Calibri" w:cstheme="minorHAnsi"/>
          <w:bCs/>
          <w:noProof/>
          <w:lang w:val="es-ES"/>
        </w:rPr>
        <w:t>urídic</w:t>
      </w:r>
      <w:r w:rsidR="000001F4" w:rsidRPr="000803CF">
        <w:rPr>
          <w:rFonts w:eastAsia="Calibri" w:cstheme="minorHAnsi"/>
          <w:bCs/>
          <w:noProof/>
          <w:lang w:val="es-ES"/>
        </w:rPr>
        <w:t>a</w:t>
      </w:r>
      <w:r w:rsidR="001B0AE5" w:rsidRPr="000803CF">
        <w:rPr>
          <w:rFonts w:eastAsia="Calibri" w:cstheme="minorHAnsi"/>
          <w:bCs/>
          <w:noProof/>
          <w:lang w:val="es-ES"/>
        </w:rPr>
        <w:t xml:space="preserve"> sobre si las Partes Contratantes podían presentar nuevos proyectos de resolución </w:t>
      </w:r>
      <w:r w:rsidR="0034653E" w:rsidRPr="000803CF">
        <w:rPr>
          <w:rFonts w:eastAsia="Calibri" w:cstheme="minorHAnsi"/>
          <w:bCs/>
          <w:noProof/>
          <w:lang w:val="es-ES"/>
        </w:rPr>
        <w:t>durante</w:t>
      </w:r>
      <w:r w:rsidR="000001F4" w:rsidRPr="000803CF">
        <w:rPr>
          <w:rFonts w:eastAsia="Calibri" w:cstheme="minorHAnsi"/>
          <w:bCs/>
          <w:noProof/>
          <w:lang w:val="es-ES"/>
        </w:rPr>
        <w:t xml:space="preserve"> </w:t>
      </w:r>
      <w:r w:rsidR="001B0AE5" w:rsidRPr="000803CF">
        <w:rPr>
          <w:rFonts w:eastAsia="Calibri" w:cstheme="minorHAnsi"/>
          <w:bCs/>
          <w:noProof/>
          <w:lang w:val="es-ES"/>
        </w:rPr>
        <w:t xml:space="preserve">este plazo y sobre si el Comité Permanente </w:t>
      </w:r>
      <w:r w:rsidR="000001F4" w:rsidRPr="000803CF">
        <w:rPr>
          <w:rFonts w:eastAsia="Calibri" w:cstheme="minorHAnsi"/>
          <w:bCs/>
          <w:noProof/>
          <w:lang w:val="es-ES"/>
        </w:rPr>
        <w:t xml:space="preserve">podía </w:t>
      </w:r>
      <w:r w:rsidR="0034653E" w:rsidRPr="000803CF">
        <w:rPr>
          <w:rFonts w:eastAsia="Calibri" w:cstheme="minorHAnsi"/>
          <w:bCs/>
          <w:noProof/>
          <w:lang w:val="es-ES"/>
        </w:rPr>
        <w:t>celebrar en forma consecutiva</w:t>
      </w:r>
      <w:r w:rsidR="001B0AE5" w:rsidRPr="000803CF">
        <w:rPr>
          <w:rFonts w:eastAsia="Calibri" w:cstheme="minorHAnsi"/>
          <w:bCs/>
          <w:noProof/>
          <w:lang w:val="es-ES"/>
        </w:rPr>
        <w:t xml:space="preserve"> la segunda parte de su 59ª reunión y su 60ª reunión. La Secretaría transmitiría esta información a las Partes Contratantes para su </w:t>
      </w:r>
      <w:r w:rsidR="0034653E" w:rsidRPr="000803CF">
        <w:rPr>
          <w:rFonts w:eastAsia="Calibri" w:cstheme="minorHAnsi"/>
          <w:bCs/>
          <w:noProof/>
          <w:lang w:val="es-ES"/>
        </w:rPr>
        <w:t>examen</w:t>
      </w:r>
      <w:r w:rsidR="000001F4" w:rsidRPr="000803CF">
        <w:rPr>
          <w:rFonts w:eastAsia="Calibri" w:cstheme="minorHAnsi"/>
          <w:bCs/>
          <w:noProof/>
          <w:lang w:val="es-ES"/>
        </w:rPr>
        <w:t xml:space="preserve"> </w:t>
      </w:r>
      <w:r w:rsidR="001B0AE5" w:rsidRPr="000803CF">
        <w:rPr>
          <w:rFonts w:eastAsia="Calibri" w:cstheme="minorHAnsi"/>
          <w:bCs/>
          <w:noProof/>
          <w:lang w:val="es-ES"/>
        </w:rPr>
        <w:t>posterior.</w:t>
      </w:r>
    </w:p>
    <w:p w14:paraId="33D12FA9" w14:textId="77777777" w:rsidR="00294302" w:rsidRPr="000803CF" w:rsidRDefault="00294302" w:rsidP="009F3213">
      <w:pPr>
        <w:spacing w:after="0" w:line="240" w:lineRule="auto"/>
        <w:rPr>
          <w:rFonts w:eastAsia="Calibri" w:cstheme="minorHAnsi"/>
          <w:bCs/>
          <w:noProof/>
          <w:lang w:val="es-ES"/>
        </w:rPr>
      </w:pPr>
    </w:p>
    <w:p w14:paraId="551557A6" w14:textId="66DBD09B" w:rsidR="00487156" w:rsidRPr="000803CF" w:rsidRDefault="00294302" w:rsidP="009F3213">
      <w:pPr>
        <w:spacing w:after="0" w:line="240" w:lineRule="auto"/>
        <w:ind w:left="567" w:hanging="567"/>
        <w:rPr>
          <w:rFonts w:eastAsia="Calibri" w:cstheme="minorHAnsi"/>
          <w:bCs/>
          <w:noProof/>
          <w:lang w:val="es-ES"/>
        </w:rPr>
      </w:pPr>
      <w:r w:rsidRPr="000803CF">
        <w:rPr>
          <w:rFonts w:eastAsia="Calibri" w:cstheme="minorHAnsi"/>
          <w:bCs/>
          <w:noProof/>
          <w:lang w:val="es-ES"/>
        </w:rPr>
        <w:t>1</w:t>
      </w:r>
      <w:r w:rsidR="00D8124F" w:rsidRPr="000803CF">
        <w:rPr>
          <w:rFonts w:eastAsia="Calibri" w:cstheme="minorHAnsi"/>
          <w:bCs/>
          <w:noProof/>
          <w:lang w:val="es-ES"/>
        </w:rPr>
        <w:t>2</w:t>
      </w:r>
      <w:r w:rsidRPr="000803CF">
        <w:rPr>
          <w:rFonts w:eastAsia="Calibri" w:cstheme="minorHAnsi"/>
          <w:bCs/>
          <w:noProof/>
          <w:lang w:val="es-ES"/>
        </w:rPr>
        <w:t>.</w:t>
      </w:r>
      <w:r w:rsidRPr="000803CF">
        <w:rPr>
          <w:rFonts w:eastAsia="Calibri" w:cstheme="minorHAnsi"/>
          <w:bCs/>
          <w:noProof/>
          <w:lang w:val="es-ES"/>
        </w:rPr>
        <w:tab/>
      </w:r>
      <w:r w:rsidR="009F3213" w:rsidRPr="000803CF">
        <w:rPr>
          <w:rFonts w:eastAsia="Calibri" w:cstheme="minorHAnsi"/>
          <w:bCs/>
          <w:noProof/>
          <w:lang w:val="es-ES"/>
        </w:rPr>
        <w:t xml:space="preserve">Hubo intervenciones de Eslovenia, </w:t>
      </w:r>
      <w:r w:rsidR="00215C4C" w:rsidRPr="000803CF">
        <w:rPr>
          <w:rFonts w:eastAsia="Calibri" w:cstheme="minorHAnsi"/>
          <w:bCs/>
          <w:noProof/>
          <w:lang w:val="es-ES"/>
        </w:rPr>
        <w:t xml:space="preserve">los </w:t>
      </w:r>
      <w:r w:rsidR="009F3213" w:rsidRPr="000803CF">
        <w:rPr>
          <w:rFonts w:eastAsia="Calibri" w:cstheme="minorHAnsi"/>
          <w:bCs/>
          <w:noProof/>
          <w:lang w:val="es-ES"/>
        </w:rPr>
        <w:t xml:space="preserve">Estados Unidos de América, </w:t>
      </w:r>
      <w:r w:rsidRPr="000803CF">
        <w:rPr>
          <w:rFonts w:eastAsia="Calibri" w:cstheme="minorHAnsi"/>
          <w:bCs/>
          <w:noProof/>
          <w:lang w:val="es-ES"/>
        </w:rPr>
        <w:t>Franc</w:t>
      </w:r>
      <w:r w:rsidR="009F3213" w:rsidRPr="000803CF">
        <w:rPr>
          <w:rFonts w:eastAsia="Calibri" w:cstheme="minorHAnsi"/>
          <w:bCs/>
          <w:noProof/>
          <w:lang w:val="es-ES"/>
        </w:rPr>
        <w:t>ia</w:t>
      </w:r>
      <w:r w:rsidRPr="000803CF">
        <w:rPr>
          <w:rFonts w:eastAsia="Calibri" w:cstheme="minorHAnsi"/>
          <w:bCs/>
          <w:noProof/>
          <w:lang w:val="es-ES"/>
        </w:rPr>
        <w:t xml:space="preserve">, </w:t>
      </w:r>
      <w:r w:rsidR="009F3213" w:rsidRPr="000803CF">
        <w:rPr>
          <w:rFonts w:eastAsia="Calibri" w:cstheme="minorHAnsi"/>
          <w:bCs/>
          <w:noProof/>
          <w:lang w:val="es-ES"/>
        </w:rPr>
        <w:t>el Japón</w:t>
      </w:r>
      <w:r w:rsidRPr="000803CF">
        <w:rPr>
          <w:rFonts w:eastAsia="Calibri" w:cstheme="minorHAnsi"/>
          <w:bCs/>
          <w:noProof/>
          <w:lang w:val="es-ES"/>
        </w:rPr>
        <w:t>,</w:t>
      </w:r>
      <w:r w:rsidR="009F3213" w:rsidRPr="000803CF">
        <w:rPr>
          <w:rFonts w:eastAsia="Calibri" w:cstheme="minorHAnsi"/>
          <w:bCs/>
          <w:noProof/>
          <w:lang w:val="es-ES"/>
        </w:rPr>
        <w:t xml:space="preserve"> el Reino Unido de Gran Bretaña e Irlanda del Norte, la República de Corea</w:t>
      </w:r>
      <w:r w:rsidR="00D8124F" w:rsidRPr="000803CF">
        <w:rPr>
          <w:rFonts w:eastAsia="Calibri" w:cstheme="minorHAnsi"/>
          <w:bCs/>
          <w:noProof/>
          <w:lang w:val="es-ES"/>
        </w:rPr>
        <w:t xml:space="preserve">, </w:t>
      </w:r>
      <w:r w:rsidR="009F3213" w:rsidRPr="000803CF">
        <w:rPr>
          <w:rFonts w:eastAsia="Calibri" w:cstheme="minorHAnsi"/>
          <w:bCs/>
          <w:noProof/>
          <w:lang w:val="es-ES"/>
        </w:rPr>
        <w:t>Suecia y Suiza.</w:t>
      </w:r>
    </w:p>
    <w:p w14:paraId="247322ED" w14:textId="77777777" w:rsidR="009F3213" w:rsidRPr="000803CF" w:rsidRDefault="009F3213" w:rsidP="009F3213">
      <w:pPr>
        <w:spacing w:after="0" w:line="240" w:lineRule="auto"/>
        <w:ind w:left="567" w:hanging="567"/>
        <w:rPr>
          <w:b/>
          <w:i/>
          <w:noProof/>
          <w:lang w:val="es-ES"/>
        </w:rPr>
      </w:pPr>
    </w:p>
    <w:p w14:paraId="53669D0D" w14:textId="702E11B4" w:rsidR="00D14559" w:rsidRPr="000803CF" w:rsidRDefault="0055491E" w:rsidP="009C3684">
      <w:pPr>
        <w:pStyle w:val="NormalWeb"/>
        <w:spacing w:before="0" w:beforeAutospacing="0" w:after="0" w:afterAutospacing="0"/>
        <w:rPr>
          <w:rFonts w:asciiTheme="minorHAnsi" w:hAnsiTheme="minorHAnsi" w:cstheme="minorHAnsi"/>
          <w:b/>
          <w:noProof/>
          <w:sz w:val="22"/>
          <w:szCs w:val="22"/>
          <w:lang w:val="es-ES"/>
        </w:rPr>
      </w:pPr>
      <w:r w:rsidRPr="000803CF">
        <w:rPr>
          <w:rFonts w:asciiTheme="minorHAnsi" w:hAnsiTheme="minorHAnsi" w:cstheme="minorHAnsi"/>
          <w:b/>
          <w:noProof/>
          <w:sz w:val="22"/>
          <w:szCs w:val="22"/>
          <w:lang w:val="es-ES"/>
        </w:rPr>
        <w:t>Decisi</w:t>
      </w:r>
      <w:r w:rsidR="00466DEC" w:rsidRPr="000803CF">
        <w:rPr>
          <w:rFonts w:asciiTheme="minorHAnsi" w:hAnsiTheme="minorHAnsi" w:cstheme="minorHAnsi"/>
          <w:b/>
          <w:noProof/>
          <w:sz w:val="22"/>
          <w:szCs w:val="22"/>
          <w:lang w:val="es-ES"/>
        </w:rPr>
        <w:t>ón</w:t>
      </w:r>
      <w:r w:rsidRPr="000803CF">
        <w:rPr>
          <w:rFonts w:asciiTheme="minorHAnsi" w:hAnsiTheme="minorHAnsi" w:cstheme="minorHAnsi"/>
          <w:b/>
          <w:noProof/>
          <w:sz w:val="22"/>
          <w:szCs w:val="22"/>
          <w:lang w:val="es-ES"/>
        </w:rPr>
        <w:t xml:space="preserve"> SC59-36: </w:t>
      </w:r>
      <w:r w:rsidR="00D14559" w:rsidRPr="000803CF">
        <w:rPr>
          <w:rFonts w:asciiTheme="minorHAnsi" w:hAnsiTheme="minorHAnsi" w:cstheme="minorHAnsi"/>
          <w:b/>
          <w:noProof/>
          <w:sz w:val="22"/>
          <w:szCs w:val="22"/>
          <w:lang w:val="es-ES"/>
        </w:rPr>
        <w:t xml:space="preserve">El Comité Permanente decidió que la </w:t>
      </w:r>
      <w:r w:rsidR="00215C4C" w:rsidRPr="000803CF">
        <w:rPr>
          <w:rFonts w:asciiTheme="minorHAnsi" w:hAnsiTheme="minorHAnsi" w:cstheme="minorHAnsi"/>
          <w:b/>
          <w:noProof/>
          <w:sz w:val="22"/>
          <w:szCs w:val="22"/>
          <w:lang w:val="es-ES"/>
        </w:rPr>
        <w:t>continuación</w:t>
      </w:r>
      <w:r w:rsidR="00D14559" w:rsidRPr="000803CF">
        <w:rPr>
          <w:rFonts w:asciiTheme="minorHAnsi" w:hAnsiTheme="minorHAnsi" w:cstheme="minorHAnsi"/>
          <w:b/>
          <w:noProof/>
          <w:sz w:val="22"/>
          <w:szCs w:val="22"/>
          <w:lang w:val="es-ES"/>
        </w:rPr>
        <w:t xml:space="preserve"> de su 59ª reunión </w:t>
      </w:r>
      <w:r w:rsidR="00215C4C" w:rsidRPr="000803CF">
        <w:rPr>
          <w:rFonts w:asciiTheme="minorHAnsi" w:hAnsiTheme="minorHAnsi" w:cstheme="minorHAnsi"/>
          <w:b/>
          <w:noProof/>
          <w:sz w:val="22"/>
          <w:szCs w:val="22"/>
          <w:lang w:val="es-ES"/>
        </w:rPr>
        <w:t>se realizaría del</w:t>
      </w:r>
      <w:r w:rsidR="00D14559" w:rsidRPr="000803CF">
        <w:rPr>
          <w:rFonts w:asciiTheme="minorHAnsi" w:hAnsiTheme="minorHAnsi" w:cstheme="minorHAnsi"/>
          <w:b/>
          <w:noProof/>
          <w:sz w:val="22"/>
          <w:szCs w:val="22"/>
          <w:lang w:val="es-ES"/>
        </w:rPr>
        <w:t xml:space="preserve"> 23 </w:t>
      </w:r>
      <w:r w:rsidR="00215C4C" w:rsidRPr="000803CF">
        <w:rPr>
          <w:rFonts w:asciiTheme="minorHAnsi" w:hAnsiTheme="minorHAnsi" w:cstheme="minorHAnsi"/>
          <w:b/>
          <w:noProof/>
          <w:sz w:val="22"/>
          <w:szCs w:val="22"/>
          <w:lang w:val="es-ES"/>
        </w:rPr>
        <w:t>al</w:t>
      </w:r>
      <w:r w:rsidR="00D14559" w:rsidRPr="000803CF">
        <w:rPr>
          <w:rFonts w:asciiTheme="minorHAnsi" w:hAnsiTheme="minorHAnsi" w:cstheme="minorHAnsi"/>
          <w:b/>
          <w:noProof/>
          <w:sz w:val="22"/>
          <w:szCs w:val="22"/>
          <w:lang w:val="es-ES"/>
        </w:rPr>
        <w:t xml:space="preserve"> 27 de mayo de 2022</w:t>
      </w:r>
      <w:r w:rsidR="00215C4C" w:rsidRPr="000803CF">
        <w:rPr>
          <w:rFonts w:asciiTheme="minorHAnsi" w:hAnsiTheme="minorHAnsi" w:cstheme="minorHAnsi"/>
          <w:b/>
          <w:noProof/>
          <w:sz w:val="22"/>
          <w:szCs w:val="22"/>
          <w:lang w:val="es-ES"/>
        </w:rPr>
        <w:t xml:space="preserve"> y se podría prolongar los días 28 y 29 de mayo si fuera necesario tras la finalización del orden del día provisional</w:t>
      </w:r>
      <w:r w:rsidR="00D14559" w:rsidRPr="000803CF">
        <w:rPr>
          <w:rFonts w:asciiTheme="minorHAnsi" w:hAnsiTheme="minorHAnsi" w:cstheme="minorHAnsi"/>
          <w:b/>
          <w:noProof/>
          <w:sz w:val="22"/>
          <w:szCs w:val="22"/>
          <w:lang w:val="es-ES"/>
        </w:rPr>
        <w:t xml:space="preserve">. </w:t>
      </w:r>
      <w:r w:rsidR="00735428" w:rsidRPr="000803CF">
        <w:rPr>
          <w:rFonts w:asciiTheme="minorHAnsi" w:hAnsiTheme="minorHAnsi" w:cstheme="minorHAnsi"/>
          <w:b/>
          <w:noProof/>
          <w:sz w:val="22"/>
          <w:szCs w:val="22"/>
          <w:lang w:val="es-ES"/>
        </w:rPr>
        <w:t>También decidió que las</w:t>
      </w:r>
      <w:r w:rsidR="00D14559" w:rsidRPr="000803CF">
        <w:rPr>
          <w:rFonts w:asciiTheme="minorHAnsi" w:hAnsiTheme="minorHAnsi" w:cstheme="minorHAnsi"/>
          <w:b/>
          <w:noProof/>
          <w:sz w:val="22"/>
          <w:szCs w:val="22"/>
          <w:lang w:val="es-ES"/>
        </w:rPr>
        <w:t xml:space="preserve"> Partes Contratantes que </w:t>
      </w:r>
      <w:r w:rsidR="00215C4C" w:rsidRPr="000803CF">
        <w:rPr>
          <w:rFonts w:asciiTheme="minorHAnsi" w:hAnsiTheme="minorHAnsi" w:cstheme="minorHAnsi"/>
          <w:b/>
          <w:noProof/>
          <w:sz w:val="22"/>
          <w:szCs w:val="22"/>
          <w:lang w:val="es-ES"/>
        </w:rPr>
        <w:t>presentaron</w:t>
      </w:r>
      <w:r w:rsidR="00D14559" w:rsidRPr="000803CF">
        <w:rPr>
          <w:rFonts w:asciiTheme="minorHAnsi" w:hAnsiTheme="minorHAnsi" w:cstheme="minorHAnsi"/>
          <w:b/>
          <w:noProof/>
          <w:sz w:val="22"/>
          <w:szCs w:val="22"/>
          <w:lang w:val="es-ES"/>
        </w:rPr>
        <w:t xml:space="preserve"> proyectos de resolución </w:t>
      </w:r>
      <w:r w:rsidR="00A321DF" w:rsidRPr="000803CF">
        <w:rPr>
          <w:rFonts w:asciiTheme="minorHAnsi" w:hAnsiTheme="minorHAnsi" w:cstheme="minorHAnsi"/>
          <w:b/>
          <w:noProof/>
          <w:sz w:val="22"/>
          <w:szCs w:val="22"/>
          <w:lang w:val="es-ES"/>
        </w:rPr>
        <w:t>en</w:t>
      </w:r>
      <w:r w:rsidR="00D14559" w:rsidRPr="000803CF">
        <w:rPr>
          <w:rFonts w:asciiTheme="minorHAnsi" w:hAnsiTheme="minorHAnsi" w:cstheme="minorHAnsi"/>
          <w:b/>
          <w:noProof/>
          <w:sz w:val="22"/>
          <w:szCs w:val="22"/>
          <w:lang w:val="es-ES"/>
        </w:rPr>
        <w:t xml:space="preserve"> la presente reunión pod</w:t>
      </w:r>
      <w:r w:rsidR="00215C4C" w:rsidRPr="000803CF">
        <w:rPr>
          <w:rFonts w:asciiTheme="minorHAnsi" w:hAnsiTheme="minorHAnsi" w:cstheme="minorHAnsi"/>
          <w:b/>
          <w:noProof/>
          <w:sz w:val="22"/>
          <w:szCs w:val="22"/>
          <w:lang w:val="es-ES"/>
        </w:rPr>
        <w:t>ía</w:t>
      </w:r>
      <w:r w:rsidR="00D14559" w:rsidRPr="000803CF">
        <w:rPr>
          <w:rFonts w:asciiTheme="minorHAnsi" w:hAnsiTheme="minorHAnsi" w:cstheme="minorHAnsi"/>
          <w:b/>
          <w:noProof/>
          <w:sz w:val="22"/>
          <w:szCs w:val="22"/>
          <w:lang w:val="es-ES"/>
        </w:rPr>
        <w:t xml:space="preserve">n presentar versiones </w:t>
      </w:r>
      <w:r w:rsidR="00735428" w:rsidRPr="000803CF">
        <w:rPr>
          <w:rFonts w:asciiTheme="minorHAnsi" w:hAnsiTheme="minorHAnsi" w:cstheme="minorHAnsi"/>
          <w:b/>
          <w:noProof/>
          <w:sz w:val="22"/>
          <w:szCs w:val="22"/>
          <w:lang w:val="es-ES"/>
        </w:rPr>
        <w:t>enmendadas</w:t>
      </w:r>
      <w:r w:rsidR="00D14559" w:rsidRPr="000803CF">
        <w:rPr>
          <w:rFonts w:asciiTheme="minorHAnsi" w:hAnsiTheme="minorHAnsi" w:cstheme="minorHAnsi"/>
          <w:b/>
          <w:noProof/>
          <w:sz w:val="22"/>
          <w:szCs w:val="22"/>
          <w:lang w:val="es-ES"/>
        </w:rPr>
        <w:t xml:space="preserve"> antes del 24 de marzo de 2022. Los grupos de trabajo cuyo mandato incluía la presentación de proyectos de resolución para su consideración por la COP14 también </w:t>
      </w:r>
      <w:r w:rsidR="00215C4C" w:rsidRPr="000803CF">
        <w:rPr>
          <w:rFonts w:asciiTheme="minorHAnsi" w:hAnsiTheme="minorHAnsi" w:cstheme="minorHAnsi"/>
          <w:b/>
          <w:noProof/>
          <w:sz w:val="22"/>
          <w:szCs w:val="22"/>
          <w:lang w:val="es-ES"/>
        </w:rPr>
        <w:t xml:space="preserve">los </w:t>
      </w:r>
      <w:r w:rsidR="00D14559" w:rsidRPr="000803CF">
        <w:rPr>
          <w:rFonts w:asciiTheme="minorHAnsi" w:hAnsiTheme="minorHAnsi" w:cstheme="minorHAnsi"/>
          <w:b/>
          <w:noProof/>
          <w:sz w:val="22"/>
          <w:szCs w:val="22"/>
          <w:lang w:val="es-ES"/>
        </w:rPr>
        <w:t>podían presentar antes del 24 de marzo de 2022.</w:t>
      </w:r>
    </w:p>
    <w:p w14:paraId="38AA9723" w14:textId="77777777" w:rsidR="009C3684" w:rsidRPr="000803CF" w:rsidRDefault="009C3684" w:rsidP="009C3684">
      <w:pPr>
        <w:pStyle w:val="NormalWeb"/>
        <w:spacing w:before="0" w:beforeAutospacing="0" w:after="0" w:afterAutospacing="0"/>
        <w:rPr>
          <w:rFonts w:asciiTheme="minorHAnsi" w:hAnsiTheme="minorHAnsi" w:cstheme="minorHAnsi"/>
          <w:b/>
          <w:noProof/>
          <w:sz w:val="22"/>
          <w:szCs w:val="22"/>
          <w:lang w:val="es-ES"/>
        </w:rPr>
      </w:pPr>
    </w:p>
    <w:p w14:paraId="443505BF" w14:textId="7F50A1A4" w:rsidR="00D14559" w:rsidRPr="000803CF" w:rsidRDefault="009C3684" w:rsidP="0055491E">
      <w:pPr>
        <w:pStyle w:val="NormalWeb"/>
        <w:spacing w:before="0" w:beforeAutospacing="0" w:after="0" w:afterAutospacing="0"/>
        <w:rPr>
          <w:rFonts w:asciiTheme="minorHAnsi" w:hAnsiTheme="minorHAnsi" w:cstheme="minorHAnsi"/>
          <w:b/>
          <w:noProof/>
          <w:sz w:val="22"/>
          <w:szCs w:val="22"/>
          <w:lang w:val="es-ES"/>
        </w:rPr>
      </w:pPr>
      <w:r w:rsidRPr="000803CF">
        <w:rPr>
          <w:rFonts w:asciiTheme="minorHAnsi" w:hAnsiTheme="minorHAnsi" w:cstheme="minorHAnsi"/>
          <w:b/>
          <w:noProof/>
          <w:sz w:val="22"/>
          <w:szCs w:val="22"/>
          <w:lang w:val="es-ES"/>
        </w:rPr>
        <w:t>Decisi</w:t>
      </w:r>
      <w:r w:rsidR="00D14559" w:rsidRPr="000803CF">
        <w:rPr>
          <w:rFonts w:asciiTheme="minorHAnsi" w:hAnsiTheme="minorHAnsi" w:cstheme="minorHAnsi"/>
          <w:b/>
          <w:noProof/>
          <w:sz w:val="22"/>
          <w:szCs w:val="22"/>
          <w:lang w:val="es-ES"/>
        </w:rPr>
        <w:t>ó</w:t>
      </w:r>
      <w:r w:rsidRPr="000803CF">
        <w:rPr>
          <w:rFonts w:asciiTheme="minorHAnsi" w:hAnsiTheme="minorHAnsi" w:cstheme="minorHAnsi"/>
          <w:b/>
          <w:noProof/>
          <w:sz w:val="22"/>
          <w:szCs w:val="22"/>
          <w:lang w:val="es-ES"/>
        </w:rPr>
        <w:t>n SC59</w:t>
      </w:r>
      <w:r w:rsidR="0055491E" w:rsidRPr="000803CF">
        <w:rPr>
          <w:rFonts w:asciiTheme="minorHAnsi" w:hAnsiTheme="minorHAnsi" w:cstheme="minorHAnsi"/>
          <w:b/>
          <w:noProof/>
          <w:sz w:val="22"/>
          <w:szCs w:val="22"/>
          <w:lang w:val="es-ES"/>
        </w:rPr>
        <w:t>-3</w:t>
      </w:r>
      <w:r w:rsidR="001D6354" w:rsidRPr="000803CF">
        <w:rPr>
          <w:rFonts w:asciiTheme="minorHAnsi" w:hAnsiTheme="minorHAnsi" w:cstheme="minorHAnsi"/>
          <w:b/>
          <w:noProof/>
          <w:sz w:val="22"/>
          <w:szCs w:val="22"/>
          <w:lang w:val="es-ES"/>
        </w:rPr>
        <w:t>7</w:t>
      </w:r>
      <w:r w:rsidR="0055491E" w:rsidRPr="000803CF">
        <w:rPr>
          <w:rFonts w:asciiTheme="minorHAnsi" w:hAnsiTheme="minorHAnsi" w:cstheme="minorHAnsi"/>
          <w:b/>
          <w:noProof/>
          <w:sz w:val="22"/>
          <w:szCs w:val="22"/>
          <w:lang w:val="es-ES"/>
        </w:rPr>
        <w:t xml:space="preserve">: </w:t>
      </w:r>
      <w:r w:rsidR="00D14559" w:rsidRPr="000803CF">
        <w:rPr>
          <w:rFonts w:asciiTheme="minorHAnsi" w:hAnsiTheme="minorHAnsi" w:cstheme="minorHAnsi"/>
          <w:b/>
          <w:noProof/>
          <w:sz w:val="22"/>
          <w:szCs w:val="22"/>
          <w:lang w:val="es-ES"/>
        </w:rPr>
        <w:t xml:space="preserve">El Comité Permanente encargó a la Secretaría que </w:t>
      </w:r>
      <w:r w:rsidR="0057625F" w:rsidRPr="000803CF">
        <w:rPr>
          <w:rFonts w:asciiTheme="minorHAnsi" w:hAnsiTheme="minorHAnsi" w:cstheme="minorHAnsi"/>
          <w:b/>
          <w:noProof/>
          <w:sz w:val="22"/>
          <w:szCs w:val="22"/>
          <w:lang w:val="es-ES"/>
        </w:rPr>
        <w:t>pidiera</w:t>
      </w:r>
      <w:r w:rsidR="00D14559" w:rsidRPr="000803CF">
        <w:rPr>
          <w:rFonts w:asciiTheme="minorHAnsi" w:hAnsiTheme="minorHAnsi" w:cstheme="minorHAnsi"/>
          <w:b/>
          <w:noProof/>
          <w:sz w:val="22"/>
          <w:szCs w:val="22"/>
          <w:lang w:val="es-ES"/>
        </w:rPr>
        <w:t xml:space="preserve"> asesoramiento jurídico sobre si, </w:t>
      </w:r>
      <w:r w:rsidR="0057625F" w:rsidRPr="000803CF">
        <w:rPr>
          <w:rFonts w:asciiTheme="minorHAnsi" w:hAnsiTheme="minorHAnsi" w:cstheme="minorHAnsi"/>
          <w:b/>
          <w:noProof/>
          <w:sz w:val="22"/>
          <w:szCs w:val="22"/>
          <w:lang w:val="es-ES"/>
        </w:rPr>
        <w:t>con arreglo al</w:t>
      </w:r>
      <w:r w:rsidR="00D14559" w:rsidRPr="000803CF">
        <w:rPr>
          <w:rFonts w:asciiTheme="minorHAnsi" w:hAnsiTheme="minorHAnsi" w:cstheme="minorHAnsi"/>
          <w:b/>
          <w:noProof/>
          <w:sz w:val="22"/>
          <w:szCs w:val="22"/>
          <w:lang w:val="es-ES"/>
        </w:rPr>
        <w:t xml:space="preserve"> </w:t>
      </w:r>
      <w:r w:rsidR="0057625F" w:rsidRPr="000803CF">
        <w:rPr>
          <w:rFonts w:asciiTheme="minorHAnsi" w:hAnsiTheme="minorHAnsi" w:cstheme="minorHAnsi"/>
          <w:b/>
          <w:noProof/>
          <w:sz w:val="22"/>
          <w:szCs w:val="22"/>
          <w:lang w:val="es-ES"/>
        </w:rPr>
        <w:t>r</w:t>
      </w:r>
      <w:r w:rsidR="00D14559" w:rsidRPr="000803CF">
        <w:rPr>
          <w:rFonts w:asciiTheme="minorHAnsi" w:hAnsiTheme="minorHAnsi" w:cstheme="minorHAnsi"/>
          <w:b/>
          <w:noProof/>
          <w:sz w:val="22"/>
          <w:szCs w:val="22"/>
          <w:lang w:val="es-ES"/>
        </w:rPr>
        <w:t xml:space="preserve">eglamento actual, las Partes Contratantes podían presentar nuevos proyectos de resolución antes del 24 de marzo de 2022 para su consideración por la COP14, y si era posible que el Comité Permanente celebrara la segunda parte de su 59ª reunión y su 60ª reunión </w:t>
      </w:r>
      <w:r w:rsidR="0057625F" w:rsidRPr="000803CF">
        <w:rPr>
          <w:rFonts w:asciiTheme="minorHAnsi" w:hAnsiTheme="minorHAnsi" w:cstheme="minorHAnsi"/>
          <w:b/>
          <w:noProof/>
          <w:sz w:val="22"/>
          <w:szCs w:val="22"/>
          <w:lang w:val="es-ES"/>
        </w:rPr>
        <w:t>en</w:t>
      </w:r>
      <w:r w:rsidR="00D14559" w:rsidRPr="000803CF">
        <w:rPr>
          <w:rFonts w:asciiTheme="minorHAnsi" w:hAnsiTheme="minorHAnsi" w:cstheme="minorHAnsi"/>
          <w:b/>
          <w:noProof/>
          <w:sz w:val="22"/>
          <w:szCs w:val="22"/>
          <w:lang w:val="es-ES"/>
        </w:rPr>
        <w:t xml:space="preserve"> forma consecutiva.</w:t>
      </w:r>
    </w:p>
    <w:p w14:paraId="0222766D" w14:textId="2D85AD16" w:rsidR="009C3684" w:rsidRPr="000803CF" w:rsidRDefault="009C3684" w:rsidP="00E641EE">
      <w:pPr>
        <w:spacing w:after="0" w:line="240" w:lineRule="auto"/>
        <w:rPr>
          <w:rFonts w:cstheme="minorHAnsi"/>
          <w:b/>
          <w:noProof/>
          <w:lang w:val="es-ES"/>
        </w:rPr>
      </w:pPr>
    </w:p>
    <w:p w14:paraId="06AA8B3C" w14:textId="2196934B" w:rsidR="001D6354" w:rsidRPr="000803CF" w:rsidRDefault="00F276D3" w:rsidP="001D635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0803CF">
        <w:rPr>
          <w:rFonts w:cstheme="minorHAnsi"/>
          <w:bCs/>
          <w:noProof/>
          <w:lang w:val="es-ES"/>
        </w:rPr>
        <w:t>Punto 28 del orden del día</w:t>
      </w:r>
      <w:r w:rsidR="001D6354" w:rsidRPr="000803CF">
        <w:rPr>
          <w:rFonts w:cstheme="minorHAnsi"/>
          <w:bCs/>
          <w:noProof/>
          <w:lang w:val="es-ES"/>
        </w:rPr>
        <w:t xml:space="preserve">: </w:t>
      </w:r>
      <w:r w:rsidRPr="000803CF">
        <w:rPr>
          <w:rFonts w:cstheme="minorHAnsi"/>
          <w:bCs/>
          <w:noProof/>
          <w:lang w:val="es-ES"/>
        </w:rPr>
        <w:t>Adopción del informe de la reunión</w:t>
      </w:r>
    </w:p>
    <w:p w14:paraId="7D30B627" w14:textId="77777777" w:rsidR="00DD15CB" w:rsidRPr="000803CF" w:rsidRDefault="00DD15CB" w:rsidP="001D6354">
      <w:pPr>
        <w:spacing w:after="0" w:line="240" w:lineRule="auto"/>
        <w:ind w:left="567" w:hanging="567"/>
        <w:rPr>
          <w:rFonts w:eastAsia="Calibri" w:cstheme="minorHAnsi"/>
          <w:bCs/>
          <w:noProof/>
          <w:lang w:val="es-ES"/>
        </w:rPr>
      </w:pPr>
    </w:p>
    <w:p w14:paraId="0F7ECC02" w14:textId="75867B1F" w:rsidR="00D14559" w:rsidRPr="000803CF" w:rsidRDefault="001D6354" w:rsidP="001D6354">
      <w:pPr>
        <w:spacing w:after="0" w:line="240" w:lineRule="auto"/>
        <w:ind w:left="567" w:hanging="567"/>
        <w:rPr>
          <w:rFonts w:eastAsia="Calibri" w:cstheme="minorHAnsi"/>
          <w:bCs/>
          <w:noProof/>
          <w:lang w:val="es-ES"/>
        </w:rPr>
      </w:pPr>
      <w:r w:rsidRPr="000803CF">
        <w:rPr>
          <w:rFonts w:eastAsia="Calibri" w:cstheme="minorHAnsi"/>
          <w:bCs/>
          <w:noProof/>
          <w:lang w:val="es-ES"/>
        </w:rPr>
        <w:t>13.</w:t>
      </w:r>
      <w:r w:rsidRPr="000803CF">
        <w:rPr>
          <w:rFonts w:eastAsia="Calibri" w:cstheme="minorHAnsi"/>
          <w:bCs/>
          <w:noProof/>
          <w:lang w:val="es-ES"/>
        </w:rPr>
        <w:tab/>
      </w:r>
      <w:r w:rsidR="00D14559" w:rsidRPr="000803CF">
        <w:rPr>
          <w:rFonts w:eastAsia="Calibri" w:cstheme="minorHAnsi"/>
          <w:bCs/>
          <w:noProof/>
          <w:lang w:val="es-ES"/>
        </w:rPr>
        <w:t xml:space="preserve">La Secretaría </w:t>
      </w:r>
      <w:r w:rsidR="00CD0FC3" w:rsidRPr="000803CF">
        <w:rPr>
          <w:rFonts w:eastAsia="Calibri" w:cstheme="minorHAnsi"/>
          <w:bCs/>
          <w:noProof/>
          <w:lang w:val="es-ES"/>
        </w:rPr>
        <w:t>indicó</w:t>
      </w:r>
      <w:r w:rsidR="00D14559" w:rsidRPr="000803CF">
        <w:rPr>
          <w:rFonts w:eastAsia="Calibri" w:cstheme="minorHAnsi"/>
          <w:bCs/>
          <w:noProof/>
          <w:lang w:val="es-ES"/>
        </w:rPr>
        <w:t xml:space="preserve"> que las versiones de los informes de los dos primeros días de la reunión</w:t>
      </w:r>
      <w:r w:rsidR="00851345" w:rsidRPr="000803CF">
        <w:rPr>
          <w:rFonts w:eastAsia="Calibri" w:cstheme="minorHAnsi"/>
          <w:bCs/>
          <w:noProof/>
          <w:lang w:val="es-ES"/>
        </w:rPr>
        <w:t xml:space="preserve"> se habían enmendado</w:t>
      </w:r>
      <w:r w:rsidR="00D14559" w:rsidRPr="000803CF">
        <w:rPr>
          <w:rFonts w:eastAsia="Calibri" w:cstheme="minorHAnsi"/>
          <w:bCs/>
          <w:noProof/>
          <w:lang w:val="es-ES"/>
        </w:rPr>
        <w:t xml:space="preserve"> teniendo en cuenta los comentarios recibidos</w:t>
      </w:r>
      <w:r w:rsidR="00851345" w:rsidRPr="000803CF">
        <w:rPr>
          <w:rFonts w:eastAsia="Calibri" w:cstheme="minorHAnsi"/>
          <w:bCs/>
          <w:noProof/>
          <w:lang w:val="es-ES"/>
        </w:rPr>
        <w:t xml:space="preserve"> y</w:t>
      </w:r>
      <w:r w:rsidR="00D14559" w:rsidRPr="000803CF">
        <w:rPr>
          <w:rFonts w:eastAsia="Calibri" w:cstheme="minorHAnsi"/>
          <w:bCs/>
          <w:noProof/>
          <w:lang w:val="es-ES"/>
        </w:rPr>
        <w:t xml:space="preserve"> </w:t>
      </w:r>
      <w:r w:rsidR="00CD0FC3" w:rsidRPr="000803CF">
        <w:rPr>
          <w:rFonts w:eastAsia="Calibri" w:cstheme="minorHAnsi"/>
          <w:bCs/>
          <w:noProof/>
          <w:lang w:val="es-ES"/>
        </w:rPr>
        <w:t>se podían consultar</w:t>
      </w:r>
      <w:r w:rsidR="00D14559" w:rsidRPr="000803CF">
        <w:rPr>
          <w:rFonts w:eastAsia="Calibri" w:cstheme="minorHAnsi"/>
          <w:bCs/>
          <w:noProof/>
          <w:lang w:val="es-ES"/>
        </w:rPr>
        <w:t xml:space="preserve"> en el sitio web.</w:t>
      </w:r>
    </w:p>
    <w:p w14:paraId="65743CA7" w14:textId="77777777" w:rsidR="001D6354" w:rsidRPr="000803CF" w:rsidRDefault="001D6354" w:rsidP="001D6354">
      <w:pPr>
        <w:spacing w:after="0" w:line="240" w:lineRule="auto"/>
        <w:ind w:left="567" w:hanging="567"/>
        <w:rPr>
          <w:rFonts w:eastAsia="Calibri" w:cstheme="minorHAnsi"/>
          <w:bCs/>
          <w:noProof/>
          <w:lang w:val="es-ES"/>
        </w:rPr>
      </w:pPr>
    </w:p>
    <w:p w14:paraId="3A6FE828" w14:textId="14D47C16" w:rsidR="00D14559" w:rsidRPr="000803CF" w:rsidRDefault="001D6354" w:rsidP="001D6354">
      <w:pPr>
        <w:spacing w:after="0" w:line="240" w:lineRule="auto"/>
        <w:ind w:left="567" w:hanging="567"/>
        <w:rPr>
          <w:rFonts w:eastAsia="Calibri" w:cstheme="minorHAnsi"/>
          <w:bCs/>
          <w:noProof/>
          <w:lang w:val="es-ES"/>
        </w:rPr>
      </w:pPr>
      <w:r w:rsidRPr="000803CF">
        <w:rPr>
          <w:rFonts w:eastAsia="Calibri" w:cstheme="minorHAnsi"/>
          <w:bCs/>
          <w:noProof/>
          <w:lang w:val="es-ES"/>
        </w:rPr>
        <w:t>14.</w:t>
      </w:r>
      <w:r w:rsidRPr="000803CF">
        <w:rPr>
          <w:rFonts w:eastAsia="Calibri" w:cstheme="minorHAnsi"/>
          <w:bCs/>
          <w:noProof/>
          <w:lang w:val="es-ES"/>
        </w:rPr>
        <w:tab/>
      </w:r>
      <w:r w:rsidR="00D14559" w:rsidRPr="000803CF">
        <w:rPr>
          <w:rFonts w:eastAsia="Calibri" w:cstheme="minorHAnsi"/>
          <w:bCs/>
          <w:noProof/>
          <w:lang w:val="es-ES"/>
        </w:rPr>
        <w:t xml:space="preserve">El </w:t>
      </w:r>
      <w:r w:rsidR="007B05CB" w:rsidRPr="000803CF">
        <w:rPr>
          <w:rFonts w:eastAsia="Calibri" w:cstheme="minorHAnsi"/>
          <w:bCs/>
          <w:noProof/>
          <w:lang w:val="es-ES"/>
        </w:rPr>
        <w:t>p</w:t>
      </w:r>
      <w:r w:rsidR="00D14559" w:rsidRPr="000803CF">
        <w:rPr>
          <w:rFonts w:eastAsia="Calibri" w:cstheme="minorHAnsi"/>
          <w:bCs/>
          <w:noProof/>
          <w:lang w:val="es-ES"/>
        </w:rPr>
        <w:t xml:space="preserve">residente del Comité Permanente pidió a los miembros del Comité que </w:t>
      </w:r>
      <w:r w:rsidR="00CD0FC3" w:rsidRPr="000803CF">
        <w:rPr>
          <w:rFonts w:eastAsia="Calibri" w:cstheme="minorHAnsi"/>
          <w:bCs/>
          <w:noProof/>
          <w:lang w:val="es-ES"/>
        </w:rPr>
        <w:t>enviaran</w:t>
      </w:r>
      <w:r w:rsidR="00D14559" w:rsidRPr="000803CF">
        <w:rPr>
          <w:rFonts w:eastAsia="Calibri" w:cstheme="minorHAnsi"/>
          <w:bCs/>
          <w:noProof/>
          <w:lang w:val="es-ES"/>
        </w:rPr>
        <w:t xml:space="preserve"> sus comentarios sobre el informe del tercer día</w:t>
      </w:r>
      <w:r w:rsidR="008E181F" w:rsidRPr="000803CF">
        <w:rPr>
          <w:rFonts w:eastAsia="Calibri" w:cstheme="minorHAnsi"/>
          <w:bCs/>
          <w:noProof/>
          <w:lang w:val="es-ES"/>
        </w:rPr>
        <w:t xml:space="preserve"> que estaba publicado</w:t>
      </w:r>
      <w:r w:rsidR="00D14559" w:rsidRPr="000803CF">
        <w:rPr>
          <w:rFonts w:eastAsia="Calibri" w:cstheme="minorHAnsi"/>
          <w:bCs/>
          <w:noProof/>
          <w:lang w:val="es-ES"/>
        </w:rPr>
        <w:t xml:space="preserve"> y</w:t>
      </w:r>
      <w:r w:rsidR="007B05CB" w:rsidRPr="000803CF">
        <w:rPr>
          <w:rFonts w:eastAsia="Calibri" w:cstheme="minorHAnsi"/>
          <w:bCs/>
          <w:noProof/>
          <w:lang w:val="es-ES"/>
        </w:rPr>
        <w:t xml:space="preserve"> sobre</w:t>
      </w:r>
      <w:r w:rsidR="00D14559" w:rsidRPr="000803CF">
        <w:rPr>
          <w:rFonts w:eastAsia="Calibri" w:cstheme="minorHAnsi"/>
          <w:bCs/>
          <w:noProof/>
          <w:lang w:val="es-ES"/>
        </w:rPr>
        <w:t xml:space="preserve"> el del cuarto día que </w:t>
      </w:r>
      <w:r w:rsidR="00851345" w:rsidRPr="000803CF">
        <w:rPr>
          <w:rFonts w:eastAsia="Calibri" w:cstheme="minorHAnsi"/>
          <w:bCs/>
          <w:noProof/>
          <w:lang w:val="es-ES"/>
        </w:rPr>
        <w:t>se les enviaría</w:t>
      </w:r>
      <w:r w:rsidR="00D14559" w:rsidRPr="000803CF">
        <w:rPr>
          <w:rFonts w:eastAsia="Calibri" w:cstheme="minorHAnsi"/>
          <w:bCs/>
          <w:noProof/>
          <w:lang w:val="es-ES"/>
        </w:rPr>
        <w:t xml:space="preserve"> por correo electrónico.</w:t>
      </w:r>
    </w:p>
    <w:p w14:paraId="5674F48C" w14:textId="77777777" w:rsidR="001D6354" w:rsidRPr="000803CF" w:rsidRDefault="001D6354" w:rsidP="001D6354">
      <w:pPr>
        <w:spacing w:after="0" w:line="240" w:lineRule="auto"/>
        <w:ind w:left="567" w:hanging="567"/>
        <w:rPr>
          <w:rFonts w:eastAsia="Calibri" w:cstheme="minorHAnsi"/>
          <w:bCs/>
          <w:noProof/>
          <w:lang w:val="es-ES"/>
        </w:rPr>
      </w:pPr>
    </w:p>
    <w:p w14:paraId="5FD68642" w14:textId="542D3E84" w:rsidR="001D6354" w:rsidRPr="000803CF" w:rsidRDefault="001D6354" w:rsidP="001D6354">
      <w:pPr>
        <w:spacing w:after="0" w:line="240" w:lineRule="auto"/>
        <w:ind w:left="567" w:hanging="567"/>
        <w:rPr>
          <w:rFonts w:eastAsia="Calibri" w:cstheme="minorHAnsi"/>
          <w:bCs/>
          <w:noProof/>
          <w:lang w:val="es-ES"/>
        </w:rPr>
      </w:pPr>
      <w:r w:rsidRPr="000803CF">
        <w:rPr>
          <w:rFonts w:eastAsia="Calibri" w:cstheme="minorHAnsi"/>
          <w:bCs/>
          <w:noProof/>
          <w:lang w:val="es-ES"/>
        </w:rPr>
        <w:t>15.</w:t>
      </w:r>
      <w:r w:rsidRPr="000803CF">
        <w:rPr>
          <w:rFonts w:eastAsia="Calibri" w:cstheme="minorHAnsi"/>
          <w:bCs/>
          <w:noProof/>
          <w:lang w:val="es-ES"/>
        </w:rPr>
        <w:tab/>
      </w:r>
      <w:r w:rsidR="00D14559" w:rsidRPr="000803CF">
        <w:rPr>
          <w:rFonts w:eastAsia="Calibri" w:cstheme="minorHAnsi"/>
          <w:bCs/>
          <w:noProof/>
          <w:lang w:val="es-ES"/>
        </w:rPr>
        <w:t xml:space="preserve">Hubo intervenciones de Francia, la República Dominicana y Suecia. </w:t>
      </w:r>
      <w:r w:rsidRPr="000803CF">
        <w:rPr>
          <w:rFonts w:eastAsia="Calibri" w:cstheme="minorHAnsi"/>
          <w:bCs/>
          <w:noProof/>
          <w:lang w:val="es-ES"/>
        </w:rPr>
        <w:t xml:space="preserve"> </w:t>
      </w:r>
    </w:p>
    <w:p w14:paraId="7C4DF743" w14:textId="7B2D8C20" w:rsidR="001D6354" w:rsidRPr="000803CF" w:rsidRDefault="001D6354" w:rsidP="00E641EE">
      <w:pPr>
        <w:spacing w:after="0" w:line="240" w:lineRule="auto"/>
        <w:rPr>
          <w:rFonts w:cstheme="minorHAnsi"/>
          <w:b/>
          <w:noProof/>
          <w:lang w:val="es-ES"/>
        </w:rPr>
      </w:pPr>
    </w:p>
    <w:p w14:paraId="317EFC8E" w14:textId="40B41761" w:rsidR="00D14559" w:rsidRPr="000803CF" w:rsidRDefault="00A82131" w:rsidP="00A82131">
      <w:pPr>
        <w:pStyle w:val="NormalWeb"/>
        <w:spacing w:before="0" w:beforeAutospacing="0" w:after="0" w:afterAutospacing="0"/>
        <w:rPr>
          <w:rFonts w:asciiTheme="minorHAnsi" w:hAnsiTheme="minorHAnsi" w:cstheme="minorHAnsi"/>
          <w:b/>
          <w:noProof/>
          <w:sz w:val="22"/>
          <w:szCs w:val="22"/>
          <w:lang w:val="es-ES"/>
        </w:rPr>
      </w:pPr>
      <w:r w:rsidRPr="000803CF">
        <w:rPr>
          <w:rFonts w:asciiTheme="minorHAnsi" w:hAnsiTheme="minorHAnsi" w:cstheme="minorHAnsi"/>
          <w:b/>
          <w:noProof/>
          <w:sz w:val="22"/>
          <w:szCs w:val="22"/>
          <w:lang w:val="es-ES"/>
        </w:rPr>
        <w:t>Decisi</w:t>
      </w:r>
      <w:r w:rsidR="00D14559" w:rsidRPr="000803CF">
        <w:rPr>
          <w:rFonts w:asciiTheme="minorHAnsi" w:hAnsiTheme="minorHAnsi" w:cstheme="minorHAnsi"/>
          <w:b/>
          <w:noProof/>
          <w:sz w:val="22"/>
          <w:szCs w:val="22"/>
          <w:lang w:val="es-ES"/>
        </w:rPr>
        <w:t>ó</w:t>
      </w:r>
      <w:r w:rsidRPr="000803CF">
        <w:rPr>
          <w:rFonts w:asciiTheme="minorHAnsi" w:hAnsiTheme="minorHAnsi" w:cstheme="minorHAnsi"/>
          <w:b/>
          <w:noProof/>
          <w:sz w:val="22"/>
          <w:szCs w:val="22"/>
          <w:lang w:val="es-ES"/>
        </w:rPr>
        <w:t xml:space="preserve">n SC59-38: </w:t>
      </w:r>
      <w:r w:rsidR="00D14559" w:rsidRPr="000803CF">
        <w:rPr>
          <w:rFonts w:asciiTheme="minorHAnsi" w:hAnsiTheme="minorHAnsi" w:cstheme="minorHAnsi"/>
          <w:b/>
          <w:noProof/>
          <w:sz w:val="22"/>
          <w:szCs w:val="22"/>
          <w:lang w:val="es-ES"/>
        </w:rPr>
        <w:t xml:space="preserve">El Comité Permanente aprobó los informes del primer y segundo día de la reunión y encargó a la Secretaría que </w:t>
      </w:r>
      <w:r w:rsidR="0087331F" w:rsidRPr="000803CF">
        <w:rPr>
          <w:rFonts w:asciiTheme="minorHAnsi" w:hAnsiTheme="minorHAnsi" w:cstheme="minorHAnsi"/>
          <w:b/>
          <w:noProof/>
          <w:sz w:val="22"/>
          <w:szCs w:val="22"/>
          <w:lang w:val="es-ES"/>
        </w:rPr>
        <w:t>transmitiera al</w:t>
      </w:r>
      <w:r w:rsidR="00D14559" w:rsidRPr="000803CF">
        <w:rPr>
          <w:rFonts w:asciiTheme="minorHAnsi" w:hAnsiTheme="minorHAnsi" w:cstheme="minorHAnsi"/>
          <w:b/>
          <w:noProof/>
          <w:sz w:val="22"/>
          <w:szCs w:val="22"/>
          <w:lang w:val="es-ES"/>
        </w:rPr>
        <w:t xml:space="preserve"> Comité el informe del cuarto día y </w:t>
      </w:r>
      <w:r w:rsidR="007B05CB" w:rsidRPr="000803CF">
        <w:rPr>
          <w:rFonts w:asciiTheme="minorHAnsi" w:hAnsiTheme="minorHAnsi" w:cstheme="minorHAnsi"/>
          <w:b/>
          <w:noProof/>
          <w:sz w:val="22"/>
          <w:szCs w:val="22"/>
          <w:lang w:val="es-ES"/>
        </w:rPr>
        <w:t>enmendara</w:t>
      </w:r>
      <w:r w:rsidR="00D14559" w:rsidRPr="000803CF">
        <w:rPr>
          <w:rFonts w:asciiTheme="minorHAnsi" w:hAnsiTheme="minorHAnsi" w:cstheme="minorHAnsi"/>
          <w:b/>
          <w:noProof/>
          <w:sz w:val="22"/>
          <w:szCs w:val="22"/>
          <w:lang w:val="es-ES"/>
        </w:rPr>
        <w:t xml:space="preserve"> los informes del tercer y cuarto día </w:t>
      </w:r>
      <w:r w:rsidR="0087331F" w:rsidRPr="000803CF">
        <w:rPr>
          <w:rFonts w:asciiTheme="minorHAnsi" w:hAnsiTheme="minorHAnsi" w:cstheme="minorHAnsi"/>
          <w:b/>
          <w:noProof/>
          <w:sz w:val="22"/>
          <w:szCs w:val="22"/>
          <w:lang w:val="es-ES"/>
        </w:rPr>
        <w:t>teniendo en cuenta</w:t>
      </w:r>
      <w:r w:rsidR="00D14559" w:rsidRPr="000803CF">
        <w:rPr>
          <w:rFonts w:asciiTheme="minorHAnsi" w:hAnsiTheme="minorHAnsi" w:cstheme="minorHAnsi"/>
          <w:b/>
          <w:noProof/>
          <w:sz w:val="22"/>
          <w:szCs w:val="22"/>
          <w:lang w:val="es-ES"/>
        </w:rPr>
        <w:t xml:space="preserve"> los comentarios </w:t>
      </w:r>
      <w:r w:rsidR="007B05CB" w:rsidRPr="000803CF">
        <w:rPr>
          <w:rFonts w:asciiTheme="minorHAnsi" w:hAnsiTheme="minorHAnsi" w:cstheme="minorHAnsi"/>
          <w:b/>
          <w:noProof/>
          <w:sz w:val="22"/>
          <w:szCs w:val="22"/>
          <w:lang w:val="es-ES"/>
        </w:rPr>
        <w:t>que recibiera</w:t>
      </w:r>
      <w:r w:rsidR="00D14559" w:rsidRPr="000803CF">
        <w:rPr>
          <w:rFonts w:asciiTheme="minorHAnsi" w:hAnsiTheme="minorHAnsi" w:cstheme="minorHAnsi"/>
          <w:b/>
          <w:noProof/>
          <w:sz w:val="22"/>
          <w:szCs w:val="22"/>
          <w:lang w:val="es-ES"/>
        </w:rPr>
        <w:t>.</w:t>
      </w:r>
    </w:p>
    <w:p w14:paraId="1D65B3AB" w14:textId="77777777" w:rsidR="001D6354" w:rsidRPr="000803CF" w:rsidRDefault="001D6354" w:rsidP="00E641EE">
      <w:pPr>
        <w:spacing w:after="0" w:line="240" w:lineRule="auto"/>
        <w:rPr>
          <w:rFonts w:cstheme="minorHAnsi"/>
          <w:b/>
          <w:noProof/>
          <w:lang w:val="es-ES"/>
        </w:rPr>
      </w:pPr>
    </w:p>
    <w:p w14:paraId="49F388FA" w14:textId="2FB1B163" w:rsidR="00A82131" w:rsidRPr="000803CF" w:rsidRDefault="00F276D3" w:rsidP="00A821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0803CF">
        <w:rPr>
          <w:rFonts w:cstheme="minorHAnsi"/>
          <w:bCs/>
          <w:noProof/>
          <w:lang w:val="es-ES"/>
        </w:rPr>
        <w:t>Punto 29 del orden del día: Otros asuntos</w:t>
      </w:r>
    </w:p>
    <w:p w14:paraId="36F70257" w14:textId="77777777" w:rsidR="004921C9" w:rsidRPr="000803CF" w:rsidRDefault="004921C9" w:rsidP="004921C9">
      <w:pPr>
        <w:spacing w:after="0" w:line="240" w:lineRule="auto"/>
        <w:ind w:left="567" w:hanging="567"/>
        <w:rPr>
          <w:rFonts w:eastAsia="Calibri" w:cstheme="minorHAnsi"/>
          <w:bCs/>
          <w:noProof/>
          <w:lang w:val="es-ES"/>
        </w:rPr>
      </w:pPr>
    </w:p>
    <w:p w14:paraId="05200943" w14:textId="27231E01" w:rsidR="00D14559" w:rsidRPr="000803CF" w:rsidRDefault="00A82131" w:rsidP="004921C9">
      <w:pPr>
        <w:spacing w:after="0" w:line="240" w:lineRule="auto"/>
        <w:ind w:left="567" w:hanging="567"/>
        <w:rPr>
          <w:rFonts w:eastAsia="Calibri" w:cstheme="minorHAnsi"/>
          <w:bCs/>
          <w:noProof/>
          <w:lang w:val="es-ES"/>
        </w:rPr>
      </w:pPr>
      <w:r w:rsidRPr="000803CF">
        <w:rPr>
          <w:rFonts w:eastAsia="Calibri" w:cstheme="minorHAnsi"/>
          <w:bCs/>
          <w:noProof/>
          <w:lang w:val="es-ES"/>
        </w:rPr>
        <w:t>16.</w:t>
      </w:r>
      <w:r w:rsidRPr="000803CF">
        <w:rPr>
          <w:rFonts w:eastAsia="Calibri" w:cstheme="minorHAnsi"/>
          <w:bCs/>
          <w:noProof/>
          <w:lang w:val="es-ES"/>
        </w:rPr>
        <w:tab/>
      </w:r>
      <w:r w:rsidR="00D14559" w:rsidRPr="000803CF">
        <w:rPr>
          <w:rFonts w:eastAsia="Calibri" w:cstheme="minorHAnsi"/>
          <w:bCs/>
          <w:noProof/>
          <w:lang w:val="es-ES"/>
        </w:rPr>
        <w:t xml:space="preserve">Un participante expresó </w:t>
      </w:r>
      <w:r w:rsidR="003F13D0" w:rsidRPr="000803CF">
        <w:rPr>
          <w:rFonts w:eastAsia="Calibri" w:cstheme="minorHAnsi"/>
          <w:bCs/>
          <w:noProof/>
          <w:lang w:val="es-ES"/>
        </w:rPr>
        <w:t>preocupación</w:t>
      </w:r>
      <w:r w:rsidR="00D14559" w:rsidRPr="000803CF">
        <w:rPr>
          <w:rFonts w:eastAsia="Calibri" w:cstheme="minorHAnsi"/>
          <w:bCs/>
          <w:noProof/>
          <w:lang w:val="es-ES"/>
        </w:rPr>
        <w:t xml:space="preserve"> respecto a las </w:t>
      </w:r>
      <w:r w:rsidR="0087331F" w:rsidRPr="000803CF">
        <w:rPr>
          <w:rFonts w:eastAsia="Calibri" w:cstheme="minorHAnsi"/>
          <w:bCs/>
          <w:noProof/>
          <w:lang w:val="es-ES"/>
        </w:rPr>
        <w:t>i</w:t>
      </w:r>
      <w:r w:rsidR="00D14559" w:rsidRPr="000803CF">
        <w:rPr>
          <w:rFonts w:eastAsia="Calibri" w:cstheme="minorHAnsi"/>
          <w:bCs/>
          <w:noProof/>
          <w:lang w:val="es-ES"/>
        </w:rPr>
        <w:t xml:space="preserve">niciativas </w:t>
      </w:r>
      <w:r w:rsidR="0087331F" w:rsidRPr="000803CF">
        <w:rPr>
          <w:rFonts w:eastAsia="Calibri" w:cstheme="minorHAnsi"/>
          <w:bCs/>
          <w:noProof/>
          <w:lang w:val="es-ES"/>
        </w:rPr>
        <w:t>r</w:t>
      </w:r>
      <w:r w:rsidR="00D14559" w:rsidRPr="000803CF">
        <w:rPr>
          <w:rFonts w:eastAsia="Calibri" w:cstheme="minorHAnsi"/>
          <w:bCs/>
          <w:noProof/>
          <w:lang w:val="es-ES"/>
        </w:rPr>
        <w:t xml:space="preserve">egionales de Ramsar </w:t>
      </w:r>
      <w:r w:rsidR="0087331F" w:rsidRPr="000803CF">
        <w:rPr>
          <w:rFonts w:eastAsia="Calibri" w:cstheme="minorHAnsi"/>
          <w:bCs/>
          <w:noProof/>
          <w:lang w:val="es-ES"/>
        </w:rPr>
        <w:t xml:space="preserve">y </w:t>
      </w:r>
      <w:r w:rsidR="00BD081D" w:rsidRPr="000803CF">
        <w:rPr>
          <w:rFonts w:eastAsia="Calibri" w:cstheme="minorHAnsi"/>
          <w:bCs/>
          <w:noProof/>
          <w:lang w:val="es-ES"/>
        </w:rPr>
        <w:t>deseaba</w:t>
      </w:r>
      <w:r w:rsidR="0087331F" w:rsidRPr="000803CF">
        <w:rPr>
          <w:rFonts w:eastAsia="Calibri" w:cstheme="minorHAnsi"/>
          <w:bCs/>
          <w:noProof/>
          <w:lang w:val="es-ES"/>
        </w:rPr>
        <w:t xml:space="preserve"> conocer la razón del retraso de</w:t>
      </w:r>
      <w:r w:rsidR="00D14559" w:rsidRPr="000803CF">
        <w:rPr>
          <w:rFonts w:eastAsia="Calibri" w:cstheme="minorHAnsi"/>
          <w:bCs/>
          <w:noProof/>
          <w:lang w:val="es-ES"/>
        </w:rPr>
        <w:t xml:space="preserve"> la aprobación de una de ellas hasta 2022</w:t>
      </w:r>
      <w:r w:rsidR="0087331F" w:rsidRPr="000803CF">
        <w:rPr>
          <w:rFonts w:eastAsia="Calibri" w:cstheme="minorHAnsi"/>
          <w:bCs/>
          <w:noProof/>
          <w:lang w:val="es-ES"/>
        </w:rPr>
        <w:t xml:space="preserve"> y el motivo </w:t>
      </w:r>
      <w:r w:rsidR="00BD081D" w:rsidRPr="000803CF">
        <w:rPr>
          <w:rFonts w:eastAsia="Calibri" w:cstheme="minorHAnsi"/>
          <w:bCs/>
          <w:noProof/>
          <w:lang w:val="es-ES"/>
        </w:rPr>
        <w:t xml:space="preserve">por el que </w:t>
      </w:r>
      <w:r w:rsidR="00D14559" w:rsidRPr="000803CF">
        <w:rPr>
          <w:rFonts w:eastAsia="Calibri" w:cstheme="minorHAnsi"/>
          <w:bCs/>
          <w:noProof/>
          <w:lang w:val="es-ES"/>
        </w:rPr>
        <w:t xml:space="preserve">la Secretaría </w:t>
      </w:r>
      <w:r w:rsidR="00BD081D" w:rsidRPr="000803CF">
        <w:rPr>
          <w:rFonts w:eastAsia="Calibri" w:cstheme="minorHAnsi"/>
          <w:bCs/>
          <w:noProof/>
          <w:lang w:val="es-ES"/>
        </w:rPr>
        <w:t>había determinado que la otra</w:t>
      </w:r>
      <w:r w:rsidR="00D14559" w:rsidRPr="000803CF">
        <w:rPr>
          <w:rFonts w:eastAsia="Calibri" w:cstheme="minorHAnsi"/>
          <w:bCs/>
          <w:noProof/>
          <w:lang w:val="es-ES"/>
        </w:rPr>
        <w:t xml:space="preserve"> no </w:t>
      </w:r>
      <w:r w:rsidR="00BD081D" w:rsidRPr="000803CF">
        <w:rPr>
          <w:rFonts w:eastAsia="Calibri" w:cstheme="minorHAnsi"/>
          <w:bCs/>
          <w:noProof/>
          <w:lang w:val="es-ES"/>
        </w:rPr>
        <w:t>reunía los requisitos</w:t>
      </w:r>
      <w:r w:rsidR="00D14559" w:rsidRPr="000803CF">
        <w:rPr>
          <w:rFonts w:eastAsia="Calibri" w:cstheme="minorHAnsi"/>
          <w:bCs/>
          <w:noProof/>
          <w:lang w:val="es-ES"/>
        </w:rPr>
        <w:t xml:space="preserve"> para su aprobación.</w:t>
      </w:r>
    </w:p>
    <w:p w14:paraId="540EF4F5" w14:textId="77777777" w:rsidR="00A82131" w:rsidRPr="000803CF" w:rsidRDefault="00A82131" w:rsidP="004921C9">
      <w:pPr>
        <w:spacing w:after="0" w:line="240" w:lineRule="auto"/>
        <w:ind w:left="567" w:hanging="567"/>
        <w:rPr>
          <w:rFonts w:eastAsia="Calibri" w:cstheme="minorHAnsi"/>
          <w:bCs/>
          <w:noProof/>
          <w:lang w:val="es-ES"/>
        </w:rPr>
      </w:pPr>
    </w:p>
    <w:p w14:paraId="0A6B2A25" w14:textId="215D70B7" w:rsidR="00D14559" w:rsidRPr="000803CF" w:rsidRDefault="00A82131" w:rsidP="004921C9">
      <w:pPr>
        <w:spacing w:after="0" w:line="240" w:lineRule="auto"/>
        <w:ind w:left="567" w:hanging="567"/>
        <w:rPr>
          <w:rFonts w:eastAsia="Calibri" w:cstheme="minorHAnsi"/>
          <w:bCs/>
          <w:noProof/>
          <w:lang w:val="es-ES"/>
        </w:rPr>
      </w:pPr>
      <w:r w:rsidRPr="000803CF">
        <w:rPr>
          <w:rFonts w:eastAsia="Calibri" w:cstheme="minorHAnsi"/>
          <w:bCs/>
          <w:noProof/>
          <w:lang w:val="es-ES"/>
        </w:rPr>
        <w:t>17.</w:t>
      </w:r>
      <w:r w:rsidRPr="000803CF">
        <w:rPr>
          <w:rFonts w:eastAsia="Calibri" w:cstheme="minorHAnsi"/>
          <w:bCs/>
          <w:noProof/>
          <w:lang w:val="es-ES"/>
        </w:rPr>
        <w:tab/>
      </w:r>
      <w:r w:rsidR="00D14559" w:rsidRPr="000803CF">
        <w:rPr>
          <w:rFonts w:eastAsia="Calibri" w:cstheme="minorHAnsi"/>
          <w:bCs/>
          <w:noProof/>
          <w:lang w:val="es-ES"/>
        </w:rPr>
        <w:t xml:space="preserve">Argentina declaró que el 18 de junio de 2021 su Misión Permanente en Ginebra había </w:t>
      </w:r>
      <w:r w:rsidR="008E181F" w:rsidRPr="000803CF">
        <w:rPr>
          <w:rFonts w:eastAsia="Calibri" w:cstheme="minorHAnsi"/>
          <w:bCs/>
          <w:noProof/>
          <w:lang w:val="es-ES"/>
        </w:rPr>
        <w:t>enviado</w:t>
      </w:r>
      <w:r w:rsidR="00D14559" w:rsidRPr="000803CF">
        <w:rPr>
          <w:rFonts w:eastAsia="Calibri" w:cstheme="minorHAnsi"/>
          <w:bCs/>
          <w:noProof/>
          <w:lang w:val="es-ES"/>
        </w:rPr>
        <w:t xml:space="preserve"> una nota a la Secretaría en relación con la actualización </w:t>
      </w:r>
      <w:r w:rsidR="00E74D82" w:rsidRPr="000803CF">
        <w:rPr>
          <w:rFonts w:eastAsia="Calibri" w:cstheme="minorHAnsi"/>
          <w:bCs/>
          <w:noProof/>
          <w:lang w:val="es-ES"/>
        </w:rPr>
        <w:t xml:space="preserve">más reciente </w:t>
      </w:r>
      <w:r w:rsidR="00D14559" w:rsidRPr="000803CF">
        <w:rPr>
          <w:rFonts w:eastAsia="Calibri" w:cstheme="minorHAnsi"/>
          <w:bCs/>
          <w:noProof/>
          <w:lang w:val="es-ES"/>
        </w:rPr>
        <w:t xml:space="preserve">de la Lista de </w:t>
      </w:r>
      <w:r w:rsidR="00E74D82" w:rsidRPr="000803CF">
        <w:rPr>
          <w:rFonts w:eastAsia="Calibri" w:cstheme="minorHAnsi"/>
          <w:bCs/>
          <w:noProof/>
          <w:lang w:val="es-ES"/>
        </w:rPr>
        <w:t>Humedales de Importancia Internacional</w:t>
      </w:r>
      <w:r w:rsidR="00D14559" w:rsidRPr="000803CF">
        <w:rPr>
          <w:rFonts w:eastAsia="Calibri" w:cstheme="minorHAnsi"/>
          <w:bCs/>
          <w:noProof/>
          <w:lang w:val="es-ES"/>
        </w:rPr>
        <w:t xml:space="preserve"> y pidió que quedara constancia de ello.</w:t>
      </w:r>
    </w:p>
    <w:p w14:paraId="6D8CD2D8" w14:textId="77777777" w:rsidR="00A82131" w:rsidRPr="000803CF" w:rsidRDefault="00A82131" w:rsidP="004921C9">
      <w:pPr>
        <w:spacing w:after="0" w:line="240" w:lineRule="auto"/>
        <w:ind w:left="567" w:hanging="567"/>
        <w:rPr>
          <w:rFonts w:eastAsia="Calibri" w:cstheme="minorHAnsi"/>
          <w:bCs/>
          <w:noProof/>
          <w:lang w:val="es-ES"/>
        </w:rPr>
      </w:pPr>
    </w:p>
    <w:p w14:paraId="61D9D245" w14:textId="4EBC19AE" w:rsidR="00D14559" w:rsidRPr="000803CF" w:rsidRDefault="00A82131" w:rsidP="004921C9">
      <w:pPr>
        <w:spacing w:after="0" w:line="240" w:lineRule="auto"/>
        <w:ind w:left="567" w:hanging="567"/>
        <w:rPr>
          <w:rFonts w:eastAsia="Calibri" w:cstheme="minorHAnsi"/>
          <w:bCs/>
          <w:noProof/>
          <w:lang w:val="es-ES"/>
        </w:rPr>
      </w:pPr>
      <w:r w:rsidRPr="000803CF">
        <w:rPr>
          <w:rFonts w:eastAsia="Calibri" w:cstheme="minorHAnsi"/>
          <w:bCs/>
          <w:noProof/>
          <w:lang w:val="es-ES"/>
        </w:rPr>
        <w:t>18.</w:t>
      </w:r>
      <w:r w:rsidRPr="000803CF">
        <w:rPr>
          <w:rFonts w:eastAsia="Calibri" w:cstheme="minorHAnsi"/>
          <w:bCs/>
          <w:noProof/>
          <w:lang w:val="es-ES"/>
        </w:rPr>
        <w:tab/>
      </w:r>
      <w:r w:rsidR="00D14559" w:rsidRPr="000803CF">
        <w:rPr>
          <w:rFonts w:eastAsia="Calibri" w:cstheme="minorHAnsi"/>
          <w:bCs/>
          <w:noProof/>
          <w:lang w:val="es-ES"/>
        </w:rPr>
        <w:t xml:space="preserve">Se leyó una declaración oral sobre el </w:t>
      </w:r>
      <w:r w:rsidR="009A3DFF" w:rsidRPr="000803CF">
        <w:rPr>
          <w:noProof/>
          <w:snapToGrid w:val="0"/>
          <w:lang w:val="es-ES"/>
        </w:rPr>
        <w:t>Segundo taller de consulta de los convenios relacionados con la diversidad biológica sobre el marco mundial de la diversidad biológica posterior a 2020</w:t>
      </w:r>
      <w:r w:rsidR="009A3DFF" w:rsidRPr="000803CF">
        <w:rPr>
          <w:rFonts w:eastAsia="Calibri" w:cstheme="minorHAnsi"/>
          <w:bCs/>
          <w:noProof/>
          <w:lang w:val="es-ES"/>
        </w:rPr>
        <w:t xml:space="preserve"> </w:t>
      </w:r>
      <w:r w:rsidR="00D14559" w:rsidRPr="000803CF">
        <w:rPr>
          <w:rFonts w:eastAsia="Calibri" w:cstheme="minorHAnsi"/>
          <w:bCs/>
          <w:noProof/>
          <w:lang w:val="es-ES"/>
        </w:rPr>
        <w:t xml:space="preserve">(Berna II), </w:t>
      </w:r>
      <w:r w:rsidR="009A3DFF" w:rsidRPr="000803CF">
        <w:rPr>
          <w:rFonts w:eastAsia="Calibri" w:cstheme="minorHAnsi"/>
          <w:bCs/>
          <w:noProof/>
          <w:lang w:val="es-ES"/>
        </w:rPr>
        <w:t>realizado</w:t>
      </w:r>
      <w:r w:rsidR="00D14559" w:rsidRPr="000803CF">
        <w:rPr>
          <w:rFonts w:eastAsia="Calibri" w:cstheme="minorHAnsi"/>
          <w:bCs/>
          <w:noProof/>
          <w:lang w:val="es-ES"/>
        </w:rPr>
        <w:t xml:space="preserve"> </w:t>
      </w:r>
      <w:r w:rsidR="009A3DFF" w:rsidRPr="000803CF">
        <w:rPr>
          <w:rFonts w:eastAsia="Calibri" w:cstheme="minorHAnsi"/>
          <w:bCs/>
          <w:noProof/>
          <w:lang w:val="es-ES"/>
        </w:rPr>
        <w:t>de forma remota</w:t>
      </w:r>
      <w:r w:rsidR="00D14559" w:rsidRPr="000803CF">
        <w:rPr>
          <w:rFonts w:eastAsia="Calibri" w:cstheme="minorHAnsi"/>
          <w:bCs/>
          <w:noProof/>
          <w:lang w:val="es-ES"/>
        </w:rPr>
        <w:t xml:space="preserve"> entre el 18 de enero y el 2 de febrero de 2021</w:t>
      </w:r>
      <w:r w:rsidR="009A3DFF" w:rsidRPr="000803CF">
        <w:rPr>
          <w:rFonts w:eastAsia="Calibri" w:cstheme="minorHAnsi"/>
          <w:bCs/>
          <w:noProof/>
          <w:lang w:val="es-ES"/>
        </w:rPr>
        <w:t xml:space="preserve"> e</w:t>
      </w:r>
      <w:r w:rsidR="00D14559" w:rsidRPr="000803CF">
        <w:rPr>
          <w:rFonts w:eastAsia="Calibri" w:cstheme="minorHAnsi"/>
          <w:bCs/>
          <w:noProof/>
          <w:lang w:val="es-ES"/>
        </w:rPr>
        <w:t xml:space="preserve"> </w:t>
      </w:r>
      <w:r w:rsidR="009A3DFF" w:rsidRPr="000803CF">
        <w:rPr>
          <w:rFonts w:eastAsia="Calibri" w:cstheme="minorHAnsi"/>
          <w:bCs/>
          <w:noProof/>
          <w:lang w:val="es-ES"/>
        </w:rPr>
        <w:t>incluido</w:t>
      </w:r>
      <w:r w:rsidR="00D14559" w:rsidRPr="000803CF">
        <w:rPr>
          <w:rFonts w:eastAsia="Calibri" w:cstheme="minorHAnsi"/>
          <w:bCs/>
          <w:noProof/>
          <w:lang w:val="es-ES"/>
        </w:rPr>
        <w:t xml:space="preserve"> como </w:t>
      </w:r>
      <w:r w:rsidR="009A3DFF" w:rsidRPr="000803CF">
        <w:rPr>
          <w:rFonts w:eastAsia="Calibri" w:cstheme="minorHAnsi"/>
          <w:bCs/>
          <w:noProof/>
          <w:lang w:val="es-ES"/>
        </w:rPr>
        <w:t>a</w:t>
      </w:r>
      <w:r w:rsidR="00D14559" w:rsidRPr="000803CF">
        <w:rPr>
          <w:rFonts w:eastAsia="Calibri" w:cstheme="minorHAnsi"/>
          <w:bCs/>
          <w:noProof/>
          <w:lang w:val="es-ES"/>
        </w:rPr>
        <w:t>nexo xx del presente informe.</w:t>
      </w:r>
    </w:p>
    <w:p w14:paraId="5EB225EC" w14:textId="77777777" w:rsidR="00A82131" w:rsidRPr="000803CF" w:rsidRDefault="00A82131" w:rsidP="004921C9">
      <w:pPr>
        <w:spacing w:after="0" w:line="240" w:lineRule="auto"/>
        <w:ind w:left="567" w:hanging="567"/>
        <w:rPr>
          <w:rFonts w:eastAsia="Calibri" w:cstheme="minorHAnsi"/>
          <w:bCs/>
          <w:noProof/>
          <w:lang w:val="es-ES"/>
        </w:rPr>
      </w:pPr>
    </w:p>
    <w:p w14:paraId="7365A499" w14:textId="47FBE61B" w:rsidR="00A82131" w:rsidRPr="000803CF" w:rsidRDefault="00A82131" w:rsidP="004921C9">
      <w:pPr>
        <w:spacing w:after="0" w:line="240" w:lineRule="auto"/>
        <w:ind w:left="567" w:hanging="567"/>
        <w:rPr>
          <w:rFonts w:eastAsia="Calibri" w:cstheme="minorHAnsi"/>
          <w:bCs/>
          <w:noProof/>
          <w:lang w:val="es-ES"/>
        </w:rPr>
      </w:pPr>
      <w:r w:rsidRPr="000803CF">
        <w:rPr>
          <w:rFonts w:eastAsia="Calibri" w:cstheme="minorHAnsi"/>
          <w:bCs/>
          <w:noProof/>
          <w:lang w:val="es-ES"/>
        </w:rPr>
        <w:t>19.</w:t>
      </w:r>
      <w:r w:rsidRPr="000803CF">
        <w:rPr>
          <w:rFonts w:eastAsia="Calibri" w:cstheme="minorHAnsi"/>
          <w:bCs/>
          <w:noProof/>
          <w:lang w:val="es-ES"/>
        </w:rPr>
        <w:tab/>
      </w:r>
      <w:r w:rsidR="00D14559" w:rsidRPr="000803CF">
        <w:rPr>
          <w:rFonts w:eastAsia="Calibri" w:cstheme="minorHAnsi"/>
          <w:bCs/>
          <w:noProof/>
          <w:lang w:val="es-ES"/>
        </w:rPr>
        <w:t>Hubo intervenciones de</w:t>
      </w:r>
      <w:r w:rsidRPr="000803CF">
        <w:rPr>
          <w:rFonts w:eastAsia="Calibri" w:cstheme="minorHAnsi"/>
          <w:bCs/>
          <w:noProof/>
          <w:lang w:val="es-ES"/>
        </w:rPr>
        <w:t xml:space="preserve"> Argentina, </w:t>
      </w:r>
      <w:r w:rsidR="00D14559" w:rsidRPr="000803CF">
        <w:rPr>
          <w:rFonts w:eastAsia="Calibri" w:cstheme="minorHAnsi"/>
          <w:bCs/>
          <w:noProof/>
          <w:lang w:val="es-ES"/>
        </w:rPr>
        <w:t>Suecia</w:t>
      </w:r>
      <w:r w:rsidRPr="000803CF">
        <w:rPr>
          <w:rFonts w:eastAsia="Calibri" w:cstheme="minorHAnsi"/>
          <w:bCs/>
          <w:noProof/>
          <w:lang w:val="es-ES"/>
        </w:rPr>
        <w:t xml:space="preserve">, </w:t>
      </w:r>
      <w:r w:rsidR="00D14559" w:rsidRPr="000803CF">
        <w:rPr>
          <w:rFonts w:eastAsia="Calibri" w:cstheme="minorHAnsi"/>
          <w:bCs/>
          <w:noProof/>
          <w:lang w:val="es-ES"/>
        </w:rPr>
        <w:t xml:space="preserve">Suiza, la Unión Europea y </w:t>
      </w:r>
      <w:r w:rsidRPr="000803CF">
        <w:rPr>
          <w:rFonts w:eastAsia="Calibri" w:cstheme="minorHAnsi"/>
          <w:bCs/>
          <w:noProof/>
          <w:lang w:val="es-ES"/>
        </w:rPr>
        <w:t>Youth Engaged in Wetlands.</w:t>
      </w:r>
    </w:p>
    <w:p w14:paraId="1D6887EE" w14:textId="77777777" w:rsidR="00A82131" w:rsidRPr="000803CF" w:rsidRDefault="00A82131" w:rsidP="004921C9">
      <w:pPr>
        <w:spacing w:after="0" w:line="240" w:lineRule="auto"/>
        <w:jc w:val="both"/>
        <w:rPr>
          <w:rFonts w:cstheme="minorHAnsi"/>
          <w:noProof/>
          <w:lang w:val="es-ES"/>
        </w:rPr>
      </w:pPr>
    </w:p>
    <w:p w14:paraId="4E338329" w14:textId="2D446BBE" w:rsidR="00A82131" w:rsidRPr="000803CF" w:rsidRDefault="00F276D3" w:rsidP="004921C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0803CF">
        <w:rPr>
          <w:rFonts w:cstheme="minorHAnsi"/>
          <w:bCs/>
          <w:noProof/>
          <w:lang w:val="es-ES"/>
        </w:rPr>
        <w:t>Punto 30 del orden del día: Observaciones de clausura</w:t>
      </w:r>
    </w:p>
    <w:p w14:paraId="293BA399" w14:textId="77777777" w:rsidR="00A82131" w:rsidRPr="000803CF" w:rsidRDefault="00A82131" w:rsidP="004921C9">
      <w:pPr>
        <w:spacing w:after="0" w:line="240" w:lineRule="auto"/>
        <w:jc w:val="both"/>
        <w:rPr>
          <w:rFonts w:cstheme="minorHAnsi"/>
          <w:noProof/>
          <w:lang w:val="es-ES"/>
        </w:rPr>
      </w:pPr>
    </w:p>
    <w:p w14:paraId="141DD26D" w14:textId="76FC3C03" w:rsidR="002B1C9D" w:rsidRPr="000803CF" w:rsidRDefault="004921C9" w:rsidP="000803CF">
      <w:pPr>
        <w:spacing w:after="0" w:line="240" w:lineRule="auto"/>
        <w:ind w:left="567" w:hanging="567"/>
        <w:rPr>
          <w:rFonts w:eastAsia="Calibri" w:cstheme="minorHAnsi"/>
          <w:bCs/>
          <w:noProof/>
          <w:lang w:val="es-ES"/>
        </w:rPr>
      </w:pPr>
      <w:r w:rsidRPr="000803CF">
        <w:rPr>
          <w:rFonts w:eastAsia="Calibri" w:cstheme="minorHAnsi"/>
          <w:bCs/>
          <w:noProof/>
          <w:lang w:val="es-ES"/>
        </w:rPr>
        <w:t>20.</w:t>
      </w:r>
      <w:r w:rsidRPr="000803CF">
        <w:rPr>
          <w:rFonts w:eastAsia="Calibri" w:cstheme="minorHAnsi"/>
          <w:bCs/>
          <w:noProof/>
          <w:lang w:val="es-ES"/>
        </w:rPr>
        <w:tab/>
      </w:r>
      <w:r w:rsidR="00D14559" w:rsidRPr="000803CF">
        <w:rPr>
          <w:rFonts w:eastAsia="Calibri" w:cstheme="minorHAnsi"/>
          <w:bCs/>
          <w:noProof/>
          <w:lang w:val="es-ES"/>
        </w:rPr>
        <w:t xml:space="preserve">El </w:t>
      </w:r>
      <w:r w:rsidR="003F13D0" w:rsidRPr="000803CF">
        <w:rPr>
          <w:rFonts w:eastAsia="Calibri" w:cstheme="minorHAnsi"/>
          <w:bCs/>
          <w:noProof/>
          <w:lang w:val="es-ES"/>
        </w:rPr>
        <w:t>p</w:t>
      </w:r>
      <w:r w:rsidR="00D14559" w:rsidRPr="000803CF">
        <w:rPr>
          <w:rFonts w:eastAsia="Calibri" w:cstheme="minorHAnsi"/>
          <w:bCs/>
          <w:noProof/>
          <w:lang w:val="es-ES"/>
        </w:rPr>
        <w:t>residente del Comité Permanente suspendió la reunió</w:t>
      </w:r>
      <w:r w:rsidR="009A3DFF" w:rsidRPr="000803CF">
        <w:rPr>
          <w:rFonts w:eastAsia="Calibri" w:cstheme="minorHAnsi"/>
          <w:bCs/>
          <w:noProof/>
          <w:lang w:val="es-ES"/>
        </w:rPr>
        <w:t>n</w:t>
      </w:r>
      <w:r w:rsidR="000803CF">
        <w:rPr>
          <w:rFonts w:eastAsia="Calibri" w:cstheme="minorHAnsi"/>
          <w:bCs/>
          <w:noProof/>
          <w:lang w:val="es-ES"/>
        </w:rPr>
        <w:t>.</w:t>
      </w:r>
    </w:p>
    <w:sectPr w:rsidR="002B1C9D" w:rsidRPr="000803CF"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384D" w14:textId="77777777" w:rsidR="00EB75C2" w:rsidRDefault="00EB75C2" w:rsidP="0021462B">
      <w:pPr>
        <w:spacing w:after="0" w:line="240" w:lineRule="auto"/>
      </w:pPr>
      <w:r>
        <w:separator/>
      </w:r>
    </w:p>
  </w:endnote>
  <w:endnote w:type="continuationSeparator" w:id="0">
    <w:p w14:paraId="73FA1486" w14:textId="77777777" w:rsidR="00EB75C2" w:rsidRDefault="00EB75C2" w:rsidP="0021462B">
      <w:pPr>
        <w:spacing w:after="0" w:line="240" w:lineRule="auto"/>
      </w:pPr>
      <w:r>
        <w:continuationSeparator/>
      </w:r>
    </w:p>
  </w:endnote>
  <w:endnote w:type="continuationNotice" w:id="1">
    <w:p w14:paraId="7B7F4576" w14:textId="77777777" w:rsidR="00EB75C2" w:rsidRDefault="00EB7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0028A878" w:rsidR="00EB5383" w:rsidRPr="0021462B" w:rsidRDefault="00E641EE">
    <w:pPr>
      <w:pStyle w:val="Footer"/>
      <w:rPr>
        <w:sz w:val="20"/>
        <w:szCs w:val="20"/>
      </w:rPr>
    </w:pPr>
    <w:r>
      <w:rPr>
        <w:sz w:val="20"/>
        <w:szCs w:val="20"/>
      </w:rPr>
      <w:t>SC59 Rep.4</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225C0F" w:rsidRPr="00225C0F">
      <w:rPr>
        <w:noProof/>
        <w:sz w:val="20"/>
        <w:szCs w:val="20"/>
      </w:rPr>
      <w:t>5</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3F39" w14:textId="77777777" w:rsidR="00EB75C2" w:rsidRDefault="00EB75C2" w:rsidP="0021462B">
      <w:pPr>
        <w:spacing w:after="0" w:line="240" w:lineRule="auto"/>
      </w:pPr>
      <w:r>
        <w:separator/>
      </w:r>
    </w:p>
  </w:footnote>
  <w:footnote w:type="continuationSeparator" w:id="0">
    <w:p w14:paraId="3D6EE349" w14:textId="77777777" w:rsidR="00EB75C2" w:rsidRDefault="00EB75C2" w:rsidP="0021462B">
      <w:pPr>
        <w:spacing w:after="0" w:line="240" w:lineRule="auto"/>
      </w:pPr>
      <w:r>
        <w:continuationSeparator/>
      </w:r>
    </w:p>
  </w:footnote>
  <w:footnote w:type="continuationNotice" w:id="1">
    <w:p w14:paraId="6F0C52FE" w14:textId="77777777" w:rsidR="00EB75C2" w:rsidRDefault="00EB7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876DA4"/>
    <w:multiLevelType w:val="hybridMultilevel"/>
    <w:tmpl w:val="0F7444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5"/>
  </w:num>
  <w:num w:numId="2">
    <w:abstractNumId w:val="27"/>
  </w:num>
  <w:num w:numId="3">
    <w:abstractNumId w:val="3"/>
  </w:num>
  <w:num w:numId="4">
    <w:abstractNumId w:val="31"/>
  </w:num>
  <w:num w:numId="5">
    <w:abstractNumId w:val="7"/>
  </w:num>
  <w:num w:numId="6">
    <w:abstractNumId w:val="36"/>
  </w:num>
  <w:num w:numId="7">
    <w:abstractNumId w:val="41"/>
  </w:num>
  <w:num w:numId="8">
    <w:abstractNumId w:val="6"/>
  </w:num>
  <w:num w:numId="9">
    <w:abstractNumId w:val="29"/>
  </w:num>
  <w:num w:numId="10">
    <w:abstractNumId w:val="19"/>
  </w:num>
  <w:num w:numId="11">
    <w:abstractNumId w:val="38"/>
  </w:num>
  <w:num w:numId="12">
    <w:abstractNumId w:val="4"/>
  </w:num>
  <w:num w:numId="13">
    <w:abstractNumId w:val="28"/>
  </w:num>
  <w:num w:numId="14">
    <w:abstractNumId w:val="11"/>
  </w:num>
  <w:num w:numId="15">
    <w:abstractNumId w:val="48"/>
  </w:num>
  <w:num w:numId="16">
    <w:abstractNumId w:val="30"/>
  </w:num>
  <w:num w:numId="17">
    <w:abstractNumId w:val="44"/>
  </w:num>
  <w:num w:numId="18">
    <w:abstractNumId w:val="47"/>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2"/>
  </w:num>
  <w:num w:numId="27">
    <w:abstractNumId w:val="22"/>
  </w:num>
  <w:num w:numId="28">
    <w:abstractNumId w:val="5"/>
  </w:num>
  <w:num w:numId="29">
    <w:abstractNumId w:val="20"/>
  </w:num>
  <w:num w:numId="30">
    <w:abstractNumId w:val="49"/>
  </w:num>
  <w:num w:numId="31">
    <w:abstractNumId w:val="34"/>
  </w:num>
  <w:num w:numId="32">
    <w:abstractNumId w:val="18"/>
  </w:num>
  <w:num w:numId="33">
    <w:abstractNumId w:val="15"/>
  </w:num>
  <w:num w:numId="34">
    <w:abstractNumId w:val="17"/>
  </w:num>
  <w:num w:numId="35">
    <w:abstractNumId w:val="42"/>
  </w:num>
  <w:num w:numId="36">
    <w:abstractNumId w:val="46"/>
  </w:num>
  <w:num w:numId="37">
    <w:abstractNumId w:val="0"/>
  </w:num>
  <w:num w:numId="38">
    <w:abstractNumId w:val="3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5"/>
  </w:num>
  <w:num w:numId="48">
    <w:abstractNumId w:val="25"/>
  </w:num>
  <w:num w:numId="49">
    <w:abstractNumId w:val="33"/>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01F4"/>
    <w:rsid w:val="0000107B"/>
    <w:rsid w:val="00003406"/>
    <w:rsid w:val="00005539"/>
    <w:rsid w:val="00011710"/>
    <w:rsid w:val="00015DBE"/>
    <w:rsid w:val="00035341"/>
    <w:rsid w:val="00037E1E"/>
    <w:rsid w:val="00040BFC"/>
    <w:rsid w:val="00051460"/>
    <w:rsid w:val="00052163"/>
    <w:rsid w:val="00052A2A"/>
    <w:rsid w:val="00065D01"/>
    <w:rsid w:val="0006762C"/>
    <w:rsid w:val="0008003D"/>
    <w:rsid w:val="000803CF"/>
    <w:rsid w:val="0008257D"/>
    <w:rsid w:val="00091B46"/>
    <w:rsid w:val="00094BD4"/>
    <w:rsid w:val="00096C8C"/>
    <w:rsid w:val="000A5B19"/>
    <w:rsid w:val="000A739B"/>
    <w:rsid w:val="000B5097"/>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66DB"/>
    <w:rsid w:val="00130E47"/>
    <w:rsid w:val="00131D19"/>
    <w:rsid w:val="00135706"/>
    <w:rsid w:val="00135C9D"/>
    <w:rsid w:val="00141FBB"/>
    <w:rsid w:val="001436BD"/>
    <w:rsid w:val="00152DA6"/>
    <w:rsid w:val="001536A4"/>
    <w:rsid w:val="0017223F"/>
    <w:rsid w:val="0017411A"/>
    <w:rsid w:val="001833DC"/>
    <w:rsid w:val="00185088"/>
    <w:rsid w:val="00194420"/>
    <w:rsid w:val="00197D9D"/>
    <w:rsid w:val="001A1A5D"/>
    <w:rsid w:val="001B0AE5"/>
    <w:rsid w:val="001B1CCF"/>
    <w:rsid w:val="001B60F4"/>
    <w:rsid w:val="001C643C"/>
    <w:rsid w:val="001C70EF"/>
    <w:rsid w:val="001D6354"/>
    <w:rsid w:val="001E31B7"/>
    <w:rsid w:val="001E7082"/>
    <w:rsid w:val="001E7F06"/>
    <w:rsid w:val="0020005D"/>
    <w:rsid w:val="002035A8"/>
    <w:rsid w:val="00204321"/>
    <w:rsid w:val="0020647A"/>
    <w:rsid w:val="00211A0E"/>
    <w:rsid w:val="002128A7"/>
    <w:rsid w:val="00212B99"/>
    <w:rsid w:val="00212BA9"/>
    <w:rsid w:val="00213A8D"/>
    <w:rsid w:val="0021462B"/>
    <w:rsid w:val="00215C4C"/>
    <w:rsid w:val="00225C0F"/>
    <w:rsid w:val="00234A2B"/>
    <w:rsid w:val="002366DE"/>
    <w:rsid w:val="00242978"/>
    <w:rsid w:val="0024341A"/>
    <w:rsid w:val="00250285"/>
    <w:rsid w:val="00250708"/>
    <w:rsid w:val="002566E0"/>
    <w:rsid w:val="00256D88"/>
    <w:rsid w:val="002620FA"/>
    <w:rsid w:val="002676BB"/>
    <w:rsid w:val="00277224"/>
    <w:rsid w:val="00294302"/>
    <w:rsid w:val="00294A7E"/>
    <w:rsid w:val="002A60A3"/>
    <w:rsid w:val="002B1C9D"/>
    <w:rsid w:val="002B333B"/>
    <w:rsid w:val="002B506E"/>
    <w:rsid w:val="002B5D8A"/>
    <w:rsid w:val="002C18F1"/>
    <w:rsid w:val="002C1D8B"/>
    <w:rsid w:val="002C46E8"/>
    <w:rsid w:val="002D1A0A"/>
    <w:rsid w:val="002D3C07"/>
    <w:rsid w:val="002D70BA"/>
    <w:rsid w:val="002E3F8A"/>
    <w:rsid w:val="002E7E09"/>
    <w:rsid w:val="00300945"/>
    <w:rsid w:val="00307696"/>
    <w:rsid w:val="00311EA4"/>
    <w:rsid w:val="00316FB0"/>
    <w:rsid w:val="00322898"/>
    <w:rsid w:val="0032300E"/>
    <w:rsid w:val="00324094"/>
    <w:rsid w:val="003323C2"/>
    <w:rsid w:val="003365A5"/>
    <w:rsid w:val="003370DB"/>
    <w:rsid w:val="003370FF"/>
    <w:rsid w:val="0034026E"/>
    <w:rsid w:val="00343188"/>
    <w:rsid w:val="0034653E"/>
    <w:rsid w:val="00347B02"/>
    <w:rsid w:val="00360D78"/>
    <w:rsid w:val="00367A4B"/>
    <w:rsid w:val="00370B73"/>
    <w:rsid w:val="003713EF"/>
    <w:rsid w:val="0037435C"/>
    <w:rsid w:val="00374368"/>
    <w:rsid w:val="00376AEA"/>
    <w:rsid w:val="003B2460"/>
    <w:rsid w:val="003B6C18"/>
    <w:rsid w:val="003C0E3F"/>
    <w:rsid w:val="003C32B7"/>
    <w:rsid w:val="003C4862"/>
    <w:rsid w:val="003E662A"/>
    <w:rsid w:val="003F13D0"/>
    <w:rsid w:val="003F6F4D"/>
    <w:rsid w:val="00400D96"/>
    <w:rsid w:val="00403150"/>
    <w:rsid w:val="00403D87"/>
    <w:rsid w:val="0041000E"/>
    <w:rsid w:val="00416BFE"/>
    <w:rsid w:val="00434D8C"/>
    <w:rsid w:val="00440B38"/>
    <w:rsid w:val="0045457C"/>
    <w:rsid w:val="00456B09"/>
    <w:rsid w:val="004608D6"/>
    <w:rsid w:val="0046661F"/>
    <w:rsid w:val="00466DEC"/>
    <w:rsid w:val="00472ACD"/>
    <w:rsid w:val="00480A12"/>
    <w:rsid w:val="00486AD0"/>
    <w:rsid w:val="00487156"/>
    <w:rsid w:val="004872A3"/>
    <w:rsid w:val="004921C9"/>
    <w:rsid w:val="004A05A6"/>
    <w:rsid w:val="004A3EEF"/>
    <w:rsid w:val="004A6E99"/>
    <w:rsid w:val="004A701D"/>
    <w:rsid w:val="004B16FF"/>
    <w:rsid w:val="004C2E9B"/>
    <w:rsid w:val="004D20C6"/>
    <w:rsid w:val="004E28BD"/>
    <w:rsid w:val="004E7B4B"/>
    <w:rsid w:val="0053592E"/>
    <w:rsid w:val="00541DD8"/>
    <w:rsid w:val="00543BF9"/>
    <w:rsid w:val="00545238"/>
    <w:rsid w:val="0054557E"/>
    <w:rsid w:val="0054722F"/>
    <w:rsid w:val="005502D7"/>
    <w:rsid w:val="00550CBA"/>
    <w:rsid w:val="00554312"/>
    <w:rsid w:val="00554838"/>
    <w:rsid w:val="0055491E"/>
    <w:rsid w:val="005746FC"/>
    <w:rsid w:val="0057625F"/>
    <w:rsid w:val="00583A38"/>
    <w:rsid w:val="00584154"/>
    <w:rsid w:val="00584301"/>
    <w:rsid w:val="005936F1"/>
    <w:rsid w:val="005A3D2D"/>
    <w:rsid w:val="005A4B27"/>
    <w:rsid w:val="005B4766"/>
    <w:rsid w:val="005C32B7"/>
    <w:rsid w:val="005C3E7C"/>
    <w:rsid w:val="005C4477"/>
    <w:rsid w:val="005D1FDD"/>
    <w:rsid w:val="005D5335"/>
    <w:rsid w:val="005E33B1"/>
    <w:rsid w:val="005E38DF"/>
    <w:rsid w:val="005E529E"/>
    <w:rsid w:val="005E61C6"/>
    <w:rsid w:val="005F4C17"/>
    <w:rsid w:val="00601B54"/>
    <w:rsid w:val="00604AB3"/>
    <w:rsid w:val="0061113C"/>
    <w:rsid w:val="006208DD"/>
    <w:rsid w:val="006211E5"/>
    <w:rsid w:val="00622DD9"/>
    <w:rsid w:val="00624F00"/>
    <w:rsid w:val="00630910"/>
    <w:rsid w:val="00633E8E"/>
    <w:rsid w:val="0064056B"/>
    <w:rsid w:val="006523E7"/>
    <w:rsid w:val="00655353"/>
    <w:rsid w:val="0065637A"/>
    <w:rsid w:val="00663C91"/>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E92"/>
    <w:rsid w:val="00700039"/>
    <w:rsid w:val="0072363D"/>
    <w:rsid w:val="00727C91"/>
    <w:rsid w:val="00735428"/>
    <w:rsid w:val="007439FE"/>
    <w:rsid w:val="007460D1"/>
    <w:rsid w:val="00747705"/>
    <w:rsid w:val="00753EB2"/>
    <w:rsid w:val="007546F8"/>
    <w:rsid w:val="007564EF"/>
    <w:rsid w:val="0076043D"/>
    <w:rsid w:val="0076130E"/>
    <w:rsid w:val="00764A77"/>
    <w:rsid w:val="00764D6F"/>
    <w:rsid w:val="00781BED"/>
    <w:rsid w:val="00783E5D"/>
    <w:rsid w:val="0078588B"/>
    <w:rsid w:val="007878C2"/>
    <w:rsid w:val="00790AE9"/>
    <w:rsid w:val="0079208E"/>
    <w:rsid w:val="00792A82"/>
    <w:rsid w:val="00793277"/>
    <w:rsid w:val="00793C93"/>
    <w:rsid w:val="0079631C"/>
    <w:rsid w:val="007A0A3F"/>
    <w:rsid w:val="007A4532"/>
    <w:rsid w:val="007A6FBF"/>
    <w:rsid w:val="007B05CB"/>
    <w:rsid w:val="007B277C"/>
    <w:rsid w:val="007C4F32"/>
    <w:rsid w:val="007C7939"/>
    <w:rsid w:val="007D30A0"/>
    <w:rsid w:val="0081547F"/>
    <w:rsid w:val="008156F0"/>
    <w:rsid w:val="008179A1"/>
    <w:rsid w:val="00831663"/>
    <w:rsid w:val="0083600D"/>
    <w:rsid w:val="008410FE"/>
    <w:rsid w:val="00842CFA"/>
    <w:rsid w:val="00851345"/>
    <w:rsid w:val="008615C1"/>
    <w:rsid w:val="0087331F"/>
    <w:rsid w:val="008804A8"/>
    <w:rsid w:val="00881410"/>
    <w:rsid w:val="00882E05"/>
    <w:rsid w:val="00890A37"/>
    <w:rsid w:val="0089482D"/>
    <w:rsid w:val="00895030"/>
    <w:rsid w:val="008A2242"/>
    <w:rsid w:val="008B6CF3"/>
    <w:rsid w:val="008C1127"/>
    <w:rsid w:val="008C22DA"/>
    <w:rsid w:val="008C2486"/>
    <w:rsid w:val="008D116B"/>
    <w:rsid w:val="008E181F"/>
    <w:rsid w:val="008E2CB2"/>
    <w:rsid w:val="008E35E3"/>
    <w:rsid w:val="00906E1C"/>
    <w:rsid w:val="00921422"/>
    <w:rsid w:val="00925E93"/>
    <w:rsid w:val="00933D94"/>
    <w:rsid w:val="0094347C"/>
    <w:rsid w:val="009549BE"/>
    <w:rsid w:val="00955177"/>
    <w:rsid w:val="00956EFE"/>
    <w:rsid w:val="009643B7"/>
    <w:rsid w:val="00965639"/>
    <w:rsid w:val="00976B31"/>
    <w:rsid w:val="009805C6"/>
    <w:rsid w:val="00987BD7"/>
    <w:rsid w:val="009A0A9D"/>
    <w:rsid w:val="009A3DFF"/>
    <w:rsid w:val="009A6EDB"/>
    <w:rsid w:val="009B0705"/>
    <w:rsid w:val="009C33E8"/>
    <w:rsid w:val="009C3684"/>
    <w:rsid w:val="009C5EC5"/>
    <w:rsid w:val="009C6DA8"/>
    <w:rsid w:val="009D41B6"/>
    <w:rsid w:val="009F3213"/>
    <w:rsid w:val="00A143F1"/>
    <w:rsid w:val="00A21C0C"/>
    <w:rsid w:val="00A250BF"/>
    <w:rsid w:val="00A304EB"/>
    <w:rsid w:val="00A321DF"/>
    <w:rsid w:val="00A35D1B"/>
    <w:rsid w:val="00A47A1A"/>
    <w:rsid w:val="00A54897"/>
    <w:rsid w:val="00A56B91"/>
    <w:rsid w:val="00A82131"/>
    <w:rsid w:val="00A85B9C"/>
    <w:rsid w:val="00A86EA6"/>
    <w:rsid w:val="00A900FF"/>
    <w:rsid w:val="00A93866"/>
    <w:rsid w:val="00A97DC2"/>
    <w:rsid w:val="00AB1DEB"/>
    <w:rsid w:val="00AB525F"/>
    <w:rsid w:val="00AB5C7C"/>
    <w:rsid w:val="00AC2709"/>
    <w:rsid w:val="00AC363F"/>
    <w:rsid w:val="00AC5388"/>
    <w:rsid w:val="00AD14BC"/>
    <w:rsid w:val="00AD182A"/>
    <w:rsid w:val="00AD3D63"/>
    <w:rsid w:val="00AD793E"/>
    <w:rsid w:val="00AE707B"/>
    <w:rsid w:val="00AE75B9"/>
    <w:rsid w:val="00B10151"/>
    <w:rsid w:val="00B27D50"/>
    <w:rsid w:val="00B3294C"/>
    <w:rsid w:val="00B3611F"/>
    <w:rsid w:val="00B475AA"/>
    <w:rsid w:val="00B47721"/>
    <w:rsid w:val="00B52919"/>
    <w:rsid w:val="00B60302"/>
    <w:rsid w:val="00B62467"/>
    <w:rsid w:val="00B70D29"/>
    <w:rsid w:val="00B71538"/>
    <w:rsid w:val="00B76D18"/>
    <w:rsid w:val="00B77951"/>
    <w:rsid w:val="00B80455"/>
    <w:rsid w:val="00B83816"/>
    <w:rsid w:val="00B97795"/>
    <w:rsid w:val="00BA0294"/>
    <w:rsid w:val="00BA6905"/>
    <w:rsid w:val="00BA7AAC"/>
    <w:rsid w:val="00BB135B"/>
    <w:rsid w:val="00BB542E"/>
    <w:rsid w:val="00BC304E"/>
    <w:rsid w:val="00BC5FF3"/>
    <w:rsid w:val="00BD081D"/>
    <w:rsid w:val="00BD300C"/>
    <w:rsid w:val="00BE2067"/>
    <w:rsid w:val="00BE2ABC"/>
    <w:rsid w:val="00BF06D5"/>
    <w:rsid w:val="00BF73AC"/>
    <w:rsid w:val="00C03FA9"/>
    <w:rsid w:val="00C04BED"/>
    <w:rsid w:val="00C05D05"/>
    <w:rsid w:val="00C115B5"/>
    <w:rsid w:val="00C1221D"/>
    <w:rsid w:val="00C21FDF"/>
    <w:rsid w:val="00C27F80"/>
    <w:rsid w:val="00C56683"/>
    <w:rsid w:val="00C602BE"/>
    <w:rsid w:val="00C611B3"/>
    <w:rsid w:val="00C64C2B"/>
    <w:rsid w:val="00C73282"/>
    <w:rsid w:val="00C92D16"/>
    <w:rsid w:val="00CA2333"/>
    <w:rsid w:val="00CA36D1"/>
    <w:rsid w:val="00CA3BDB"/>
    <w:rsid w:val="00CC30D5"/>
    <w:rsid w:val="00CC3C70"/>
    <w:rsid w:val="00CC6DB5"/>
    <w:rsid w:val="00CD0FC3"/>
    <w:rsid w:val="00CE3C87"/>
    <w:rsid w:val="00CE6A7E"/>
    <w:rsid w:val="00CF0FE8"/>
    <w:rsid w:val="00CF30CB"/>
    <w:rsid w:val="00D1200F"/>
    <w:rsid w:val="00D14559"/>
    <w:rsid w:val="00D163CF"/>
    <w:rsid w:val="00D20B2A"/>
    <w:rsid w:val="00D315D4"/>
    <w:rsid w:val="00D32F2A"/>
    <w:rsid w:val="00D349A5"/>
    <w:rsid w:val="00D35B8B"/>
    <w:rsid w:val="00D4704A"/>
    <w:rsid w:val="00D47231"/>
    <w:rsid w:val="00D62485"/>
    <w:rsid w:val="00D6398B"/>
    <w:rsid w:val="00D66AE8"/>
    <w:rsid w:val="00D66C71"/>
    <w:rsid w:val="00D71B9D"/>
    <w:rsid w:val="00D72801"/>
    <w:rsid w:val="00D7656B"/>
    <w:rsid w:val="00D77582"/>
    <w:rsid w:val="00D8124F"/>
    <w:rsid w:val="00D84F77"/>
    <w:rsid w:val="00D8580B"/>
    <w:rsid w:val="00D93E9F"/>
    <w:rsid w:val="00DA2204"/>
    <w:rsid w:val="00DA3496"/>
    <w:rsid w:val="00DA7386"/>
    <w:rsid w:val="00DB5E67"/>
    <w:rsid w:val="00DC6E49"/>
    <w:rsid w:val="00DD15CB"/>
    <w:rsid w:val="00DE0587"/>
    <w:rsid w:val="00DE252E"/>
    <w:rsid w:val="00DE3186"/>
    <w:rsid w:val="00DE4CDA"/>
    <w:rsid w:val="00DF7D6D"/>
    <w:rsid w:val="00E02F47"/>
    <w:rsid w:val="00E21EC0"/>
    <w:rsid w:val="00E22DAF"/>
    <w:rsid w:val="00E2616F"/>
    <w:rsid w:val="00E30059"/>
    <w:rsid w:val="00E378D8"/>
    <w:rsid w:val="00E37D85"/>
    <w:rsid w:val="00E460D8"/>
    <w:rsid w:val="00E47378"/>
    <w:rsid w:val="00E57C18"/>
    <w:rsid w:val="00E641EE"/>
    <w:rsid w:val="00E64244"/>
    <w:rsid w:val="00E6583E"/>
    <w:rsid w:val="00E70BFC"/>
    <w:rsid w:val="00E74D82"/>
    <w:rsid w:val="00E76DCA"/>
    <w:rsid w:val="00E77031"/>
    <w:rsid w:val="00E77BA4"/>
    <w:rsid w:val="00E828ED"/>
    <w:rsid w:val="00E8665D"/>
    <w:rsid w:val="00E875D4"/>
    <w:rsid w:val="00EA0885"/>
    <w:rsid w:val="00EB42C7"/>
    <w:rsid w:val="00EB5383"/>
    <w:rsid w:val="00EB67D8"/>
    <w:rsid w:val="00EB75C2"/>
    <w:rsid w:val="00EC0544"/>
    <w:rsid w:val="00EC300B"/>
    <w:rsid w:val="00EC46D8"/>
    <w:rsid w:val="00ED22B7"/>
    <w:rsid w:val="00EE1BCB"/>
    <w:rsid w:val="00EE7105"/>
    <w:rsid w:val="00F00092"/>
    <w:rsid w:val="00F1453F"/>
    <w:rsid w:val="00F20BB8"/>
    <w:rsid w:val="00F22DC9"/>
    <w:rsid w:val="00F23592"/>
    <w:rsid w:val="00F241F4"/>
    <w:rsid w:val="00F276D3"/>
    <w:rsid w:val="00F40167"/>
    <w:rsid w:val="00F43279"/>
    <w:rsid w:val="00F4437B"/>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124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schemas.microsoft.com/office/2006/documentManagement/types"/>
    <ds:schemaRef ds:uri="http://purl.org/dc/terms/"/>
    <ds:schemaRef ds:uri="8c0b6b05-eb82-4bda-97e8-cd82d0d6b453"/>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CADD0-33BD-4801-A300-B2EE222F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13213</Characters>
  <Application>Microsoft Office Word</Application>
  <DocSecurity>4</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15500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2019-06-25T19:33:00Z</cp:lastPrinted>
  <dcterms:created xsi:type="dcterms:W3CDTF">2021-06-26T06:54:00Z</dcterms:created>
  <dcterms:modified xsi:type="dcterms:W3CDTF">2021-06-26T06:54:00Z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