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CE87" w14:textId="0DD17ACA" w:rsidR="00135706" w:rsidRPr="00DE2BDC" w:rsidRDefault="008D7CE5"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LA CONVENCIÓN SOBRE LOS HUMEDALES</w:t>
      </w:r>
    </w:p>
    <w:p w14:paraId="6C671B39" w14:textId="5DDD843B" w:rsidR="00E029A3" w:rsidRPr="00DE2BDC" w:rsidRDefault="00E029A3" w:rsidP="00E029A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59</w:t>
      </w:r>
      <w:r w:rsidR="005B0B13" w:rsidRPr="00DE2BDC">
        <w:rPr>
          <w:rFonts w:cstheme="minorHAnsi"/>
          <w:bCs/>
          <w:noProof/>
          <w:lang w:val="es-ES"/>
        </w:rPr>
        <w:t>ª</w:t>
      </w:r>
      <w:r w:rsidRPr="00DE2BDC">
        <w:rPr>
          <w:rFonts w:cstheme="minorHAnsi"/>
          <w:bCs/>
          <w:noProof/>
          <w:lang w:val="es-ES"/>
        </w:rPr>
        <w:t xml:space="preserve"> Reunión del Comité Permanente</w:t>
      </w:r>
    </w:p>
    <w:p w14:paraId="4A8C515E" w14:textId="77777777" w:rsidR="00E029A3" w:rsidRPr="00DE2BDC" w:rsidRDefault="00E029A3" w:rsidP="00E029A3">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DE2BDC">
        <w:rPr>
          <w:rFonts w:cstheme="minorHAnsi"/>
          <w:bCs/>
          <w:noProof/>
          <w:lang w:val="es-ES"/>
        </w:rPr>
        <w:t>Gland, Suiza, 21 a 25 de junio de 2021</w:t>
      </w:r>
    </w:p>
    <w:p w14:paraId="3B5EBB45" w14:textId="77777777" w:rsidR="00135706" w:rsidRPr="00DE2BDC" w:rsidRDefault="00135706" w:rsidP="00CD7AAC">
      <w:pPr>
        <w:spacing w:after="0" w:line="240" w:lineRule="auto"/>
        <w:rPr>
          <w:rFonts w:cstheme="minorHAnsi"/>
          <w:b/>
          <w:noProof/>
          <w:sz w:val="28"/>
          <w:szCs w:val="28"/>
          <w:lang w:val="es-ES"/>
        </w:rPr>
      </w:pPr>
    </w:p>
    <w:p w14:paraId="3C4324ED" w14:textId="77777777" w:rsidR="00584301" w:rsidRPr="00DE2BDC" w:rsidRDefault="00584301" w:rsidP="00CD7AAC">
      <w:pPr>
        <w:spacing w:after="0" w:line="240" w:lineRule="auto"/>
        <w:jc w:val="right"/>
        <w:rPr>
          <w:rFonts w:cstheme="minorHAnsi"/>
          <w:b/>
          <w:noProof/>
          <w:sz w:val="28"/>
          <w:szCs w:val="28"/>
          <w:lang w:val="es-ES"/>
        </w:rPr>
      </w:pPr>
      <w:r w:rsidRPr="00DE2BDC">
        <w:rPr>
          <w:rFonts w:cstheme="minorHAnsi"/>
          <w:b/>
          <w:noProof/>
          <w:sz w:val="28"/>
          <w:szCs w:val="28"/>
          <w:lang w:val="es-ES"/>
        </w:rPr>
        <w:t>SC59 Rep.</w:t>
      </w:r>
      <w:r w:rsidR="005F1968" w:rsidRPr="00DE2BDC">
        <w:rPr>
          <w:rFonts w:cstheme="minorHAnsi"/>
          <w:b/>
          <w:noProof/>
          <w:sz w:val="28"/>
          <w:szCs w:val="28"/>
          <w:lang w:val="es-ES"/>
        </w:rPr>
        <w:t>3</w:t>
      </w:r>
    </w:p>
    <w:p w14:paraId="76EC7049" w14:textId="77777777" w:rsidR="00584301" w:rsidRPr="00DE2BDC" w:rsidRDefault="00584301" w:rsidP="00CD7AAC">
      <w:pPr>
        <w:spacing w:after="0" w:line="240" w:lineRule="auto"/>
        <w:jc w:val="center"/>
        <w:rPr>
          <w:rFonts w:cstheme="minorHAnsi"/>
          <w:b/>
          <w:noProof/>
          <w:sz w:val="28"/>
          <w:szCs w:val="28"/>
          <w:lang w:val="es-ES"/>
        </w:rPr>
      </w:pPr>
    </w:p>
    <w:p w14:paraId="235BFBCC" w14:textId="77777777" w:rsidR="00E029A3" w:rsidRPr="00DE2BDC" w:rsidRDefault="00E029A3" w:rsidP="00E029A3">
      <w:pPr>
        <w:spacing w:after="0" w:line="240" w:lineRule="auto"/>
        <w:jc w:val="center"/>
        <w:rPr>
          <w:rFonts w:cstheme="minorHAnsi"/>
          <w:b/>
          <w:noProof/>
          <w:sz w:val="28"/>
          <w:szCs w:val="28"/>
          <w:lang w:val="es-ES"/>
        </w:rPr>
      </w:pPr>
      <w:r w:rsidRPr="00DE2BDC">
        <w:rPr>
          <w:rFonts w:cstheme="minorHAnsi"/>
          <w:b/>
          <w:noProof/>
          <w:sz w:val="28"/>
          <w:szCs w:val="28"/>
          <w:lang w:val="es-ES"/>
        </w:rPr>
        <w:t>Informe y decisiones de la 59</w:t>
      </w:r>
      <w:r w:rsidRPr="00DE2BDC">
        <w:rPr>
          <w:rFonts w:cstheme="minorHAnsi"/>
          <w:bCs/>
          <w:noProof/>
          <w:sz w:val="28"/>
          <w:szCs w:val="28"/>
          <w:lang w:val="es-ES"/>
        </w:rPr>
        <w:t>ª</w:t>
      </w:r>
      <w:r w:rsidRPr="00DE2BDC">
        <w:rPr>
          <w:rFonts w:cstheme="minorHAnsi"/>
          <w:b/>
          <w:noProof/>
          <w:sz w:val="28"/>
          <w:szCs w:val="28"/>
          <w:lang w:val="es-ES"/>
        </w:rPr>
        <w:t xml:space="preserve"> reunión del Comité Permanente </w:t>
      </w:r>
    </w:p>
    <w:p w14:paraId="1AD78DB0" w14:textId="77777777" w:rsidR="00E029A3" w:rsidRPr="00DE2BDC" w:rsidRDefault="00E029A3" w:rsidP="00E029A3">
      <w:pPr>
        <w:spacing w:after="0" w:line="240" w:lineRule="auto"/>
        <w:rPr>
          <w:rFonts w:cstheme="minorHAnsi"/>
          <w:b/>
          <w:noProof/>
          <w:lang w:val="es-ES"/>
        </w:rPr>
      </w:pPr>
    </w:p>
    <w:p w14:paraId="5A6364D7" w14:textId="77777777" w:rsidR="00E029A3" w:rsidRPr="00DE2BDC" w:rsidRDefault="00E029A3" w:rsidP="00E029A3">
      <w:pPr>
        <w:spacing w:after="0" w:line="240" w:lineRule="auto"/>
        <w:outlineLvl w:val="0"/>
        <w:rPr>
          <w:rFonts w:cstheme="minorHAnsi"/>
          <w:b/>
          <w:noProof/>
          <w:lang w:val="es-ES"/>
        </w:rPr>
      </w:pPr>
    </w:p>
    <w:p w14:paraId="32206605" w14:textId="16B0365C" w:rsidR="00E029A3" w:rsidRPr="00DE2BDC" w:rsidRDefault="00E029A3" w:rsidP="00E029A3">
      <w:pPr>
        <w:keepNext/>
        <w:spacing w:after="0" w:line="240" w:lineRule="auto"/>
        <w:outlineLvl w:val="0"/>
        <w:rPr>
          <w:rFonts w:cstheme="minorHAnsi"/>
          <w:b/>
          <w:noProof/>
          <w:lang w:val="es-ES"/>
        </w:rPr>
      </w:pPr>
      <w:r w:rsidRPr="00DE2BDC">
        <w:rPr>
          <w:rFonts w:cstheme="minorHAnsi"/>
          <w:b/>
          <w:noProof/>
          <w:lang w:val="es-ES"/>
        </w:rPr>
        <w:t>Jueves 24 de junio de 2021</w:t>
      </w:r>
    </w:p>
    <w:p w14:paraId="1FF6A675" w14:textId="77777777" w:rsidR="00E029A3" w:rsidRPr="00DE2BDC" w:rsidRDefault="00E029A3" w:rsidP="00E029A3">
      <w:pPr>
        <w:keepNext/>
        <w:spacing w:after="0" w:line="240" w:lineRule="auto"/>
        <w:rPr>
          <w:rFonts w:cstheme="minorHAnsi"/>
          <w:b/>
          <w:noProof/>
          <w:lang w:val="es-ES"/>
        </w:rPr>
      </w:pPr>
    </w:p>
    <w:p w14:paraId="545CABC5" w14:textId="2DA07407" w:rsidR="00E029A3" w:rsidRPr="00DE2BDC" w:rsidRDefault="00E029A3" w:rsidP="00E029A3">
      <w:pPr>
        <w:keepNext/>
        <w:spacing w:after="0" w:line="240" w:lineRule="auto"/>
        <w:rPr>
          <w:rFonts w:cstheme="minorHAnsi"/>
          <w:b/>
          <w:bCs/>
          <w:noProof/>
          <w:lang w:val="es-ES"/>
        </w:rPr>
      </w:pPr>
      <w:r w:rsidRPr="00DE2BDC">
        <w:rPr>
          <w:rFonts w:cstheme="minorHAnsi"/>
          <w:b/>
          <w:noProof/>
          <w:lang w:val="es-ES"/>
        </w:rPr>
        <w:t xml:space="preserve">13:40 – 16:00 </w:t>
      </w:r>
      <w:r w:rsidRPr="00DE2BDC">
        <w:rPr>
          <w:rFonts w:cstheme="minorHAnsi"/>
          <w:b/>
          <w:noProof/>
          <w:lang w:val="es-ES"/>
        </w:rPr>
        <w:tab/>
        <w:t>Sesión plenaria del Comité Permanente</w:t>
      </w:r>
    </w:p>
    <w:p w14:paraId="0DC419EF" w14:textId="77777777" w:rsidR="005F1968" w:rsidRPr="00DE2BDC" w:rsidRDefault="005F1968" w:rsidP="00CD7AAC">
      <w:pPr>
        <w:keepNext/>
        <w:spacing w:after="0" w:line="240" w:lineRule="auto"/>
        <w:rPr>
          <w:rFonts w:cstheme="minorHAnsi"/>
          <w:b/>
          <w:bCs/>
          <w:noProof/>
          <w:lang w:val="es-ES"/>
        </w:rPr>
      </w:pPr>
    </w:p>
    <w:p w14:paraId="3723AF54" w14:textId="1B48A44C" w:rsidR="005F1968"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Punto</w:t>
      </w:r>
      <w:r w:rsidR="005F1968" w:rsidRPr="00DE2BDC">
        <w:rPr>
          <w:rFonts w:cstheme="minorHAnsi"/>
          <w:bCs/>
          <w:noProof/>
          <w:lang w:val="es-ES"/>
        </w:rPr>
        <w:t xml:space="preserve"> </w:t>
      </w:r>
      <w:r w:rsidR="005F1968" w:rsidRPr="00DE2BDC">
        <w:rPr>
          <w:noProof/>
          <w:lang w:val="es-ES"/>
        </w:rPr>
        <w:t>10</w:t>
      </w:r>
      <w:r w:rsidRPr="00DE2BDC">
        <w:rPr>
          <w:noProof/>
          <w:lang w:val="es-ES"/>
        </w:rPr>
        <w:t xml:space="preserve"> del orden del día</w:t>
      </w:r>
      <w:r w:rsidR="005F1968" w:rsidRPr="00DE2BDC">
        <w:rPr>
          <w:noProof/>
          <w:lang w:val="es-ES"/>
        </w:rPr>
        <w:t xml:space="preserve">: </w:t>
      </w:r>
      <w:r w:rsidRPr="00DE2BDC">
        <w:rPr>
          <w:rFonts w:cstheme="minorHAnsi"/>
          <w:noProof/>
          <w:lang w:val="es-ES"/>
        </w:rPr>
        <w:t>Informe del Grupo de trabajo sobre el examen del Plan Estratégico de la Convención de Ramsar</w:t>
      </w:r>
      <w:r w:rsidRPr="00DE2BDC">
        <w:rPr>
          <w:noProof/>
          <w:lang w:val="es-ES"/>
        </w:rPr>
        <w:t xml:space="preserve"> </w:t>
      </w:r>
      <w:r w:rsidR="005F1968" w:rsidRPr="00DE2BDC">
        <w:rPr>
          <w:noProof/>
          <w:lang w:val="es-ES"/>
        </w:rPr>
        <w:t>(continu</w:t>
      </w:r>
      <w:r w:rsidRPr="00DE2BDC">
        <w:rPr>
          <w:noProof/>
          <w:lang w:val="es-ES"/>
        </w:rPr>
        <w:t>ación</w:t>
      </w:r>
      <w:r w:rsidR="005F1968" w:rsidRPr="00DE2BDC">
        <w:rPr>
          <w:noProof/>
          <w:lang w:val="es-ES"/>
        </w:rPr>
        <w:t>)</w:t>
      </w:r>
    </w:p>
    <w:p w14:paraId="2EFD08BB" w14:textId="77777777" w:rsidR="00F239F1" w:rsidRPr="00DE2BDC" w:rsidRDefault="00F239F1" w:rsidP="00CD7AAC">
      <w:pPr>
        <w:keepNext/>
        <w:spacing w:after="0" w:line="240" w:lineRule="auto"/>
        <w:rPr>
          <w:rFonts w:cstheme="minorHAnsi"/>
          <w:b/>
          <w:bCs/>
          <w:noProof/>
          <w:lang w:val="es-ES"/>
        </w:rPr>
      </w:pPr>
    </w:p>
    <w:p w14:paraId="34CDB2D2" w14:textId="65110F96" w:rsidR="00F239F1" w:rsidRPr="00DE2BDC" w:rsidRDefault="003C0807" w:rsidP="00CD7AAC">
      <w:pPr>
        <w:spacing w:after="0" w:line="240" w:lineRule="auto"/>
        <w:ind w:left="567" w:hanging="567"/>
        <w:rPr>
          <w:noProof/>
          <w:lang w:val="es-ES"/>
        </w:rPr>
      </w:pPr>
      <w:r w:rsidRPr="00DE2BDC">
        <w:rPr>
          <w:noProof/>
          <w:lang w:val="es-ES"/>
        </w:rPr>
        <w:t>1.</w:t>
      </w:r>
      <w:r w:rsidRPr="00DE2BDC">
        <w:rPr>
          <w:noProof/>
          <w:lang w:val="es-ES"/>
        </w:rPr>
        <w:tab/>
      </w:r>
      <w:r w:rsidR="005B0B13" w:rsidRPr="00DE2BDC">
        <w:rPr>
          <w:noProof/>
          <w:lang w:val="es-ES"/>
        </w:rPr>
        <w:t>La presidencia</w:t>
      </w:r>
      <w:r w:rsidR="00F239F1" w:rsidRPr="00DE2BDC">
        <w:rPr>
          <w:noProof/>
          <w:lang w:val="es-ES"/>
        </w:rPr>
        <w:t xml:space="preserve"> del Comité Permanente resumió los debates del día anterior, señalando que </w:t>
      </w:r>
      <w:r w:rsidR="005B0B13" w:rsidRPr="00DE2BDC">
        <w:rPr>
          <w:noProof/>
          <w:lang w:val="es-ES"/>
        </w:rPr>
        <w:t>la presidencia</w:t>
      </w:r>
      <w:r w:rsidR="00F239F1" w:rsidRPr="00DE2BDC">
        <w:rPr>
          <w:noProof/>
          <w:lang w:val="es-ES"/>
        </w:rPr>
        <w:t xml:space="preserve"> del </w:t>
      </w:r>
      <w:r w:rsidR="00E84A1F" w:rsidRPr="00DE2BDC">
        <w:rPr>
          <w:noProof/>
          <w:lang w:val="es-ES"/>
        </w:rPr>
        <w:t>G</w:t>
      </w:r>
      <w:r w:rsidR="00F239F1" w:rsidRPr="00DE2BDC">
        <w:rPr>
          <w:noProof/>
          <w:lang w:val="es-ES"/>
        </w:rPr>
        <w:t>rupo de trabajo sobre el examen del (Cuarto) Plan Estratégico había propuesto que el Comité Permanente estableciera un nuevo grupo de trabajo para comenzar a trabajar en el Quinto Plan Estratégico que entraría en vigor en 2024.</w:t>
      </w:r>
    </w:p>
    <w:p w14:paraId="79BE7DCA" w14:textId="77777777" w:rsidR="00362114" w:rsidRPr="00DE2BDC" w:rsidRDefault="00362114" w:rsidP="00E84A1F">
      <w:pPr>
        <w:spacing w:after="0" w:line="240" w:lineRule="auto"/>
        <w:rPr>
          <w:noProof/>
          <w:lang w:val="es-ES"/>
        </w:rPr>
      </w:pPr>
    </w:p>
    <w:p w14:paraId="1FE86376" w14:textId="21A71E46" w:rsidR="00E84A1F" w:rsidRPr="00DE2BDC" w:rsidRDefault="000B77E1" w:rsidP="00CD7AAC">
      <w:pPr>
        <w:spacing w:after="0" w:line="240" w:lineRule="auto"/>
        <w:ind w:left="567" w:hanging="567"/>
        <w:rPr>
          <w:noProof/>
          <w:lang w:val="es-ES"/>
        </w:rPr>
      </w:pPr>
      <w:r w:rsidRPr="00DE2BDC">
        <w:rPr>
          <w:noProof/>
          <w:lang w:val="es-ES"/>
        </w:rPr>
        <w:t>2.</w:t>
      </w:r>
      <w:r w:rsidRPr="00DE2BDC">
        <w:rPr>
          <w:noProof/>
          <w:lang w:val="es-ES"/>
        </w:rPr>
        <w:tab/>
      </w:r>
      <w:r w:rsidR="00E84A1F" w:rsidRPr="00DE2BDC">
        <w:rPr>
          <w:noProof/>
          <w:lang w:val="es-ES"/>
        </w:rPr>
        <w:t xml:space="preserve">En el debate posterior, se expresó preocupación por el tiempo relativamente limitado que un nuevo grupo de trabajo </w:t>
      </w:r>
      <w:r w:rsidR="005B0B13" w:rsidRPr="00DE2BDC">
        <w:rPr>
          <w:noProof/>
          <w:lang w:val="es-ES"/>
        </w:rPr>
        <w:t xml:space="preserve">tendría </w:t>
      </w:r>
      <w:r w:rsidR="00E84A1F" w:rsidRPr="00DE2BDC">
        <w:rPr>
          <w:noProof/>
          <w:lang w:val="es-ES"/>
        </w:rPr>
        <w:t xml:space="preserve">para iniciar su labor y por la posibilidad de que la COP14 adoptara un enfoque diferente respecto al Quinto Plan Estratégico, lo que daría lugar a la creación de otro grupo de trabajo para tratar </w:t>
      </w:r>
      <w:r w:rsidR="005B0B13" w:rsidRPr="00DE2BDC">
        <w:rPr>
          <w:noProof/>
          <w:lang w:val="es-ES"/>
        </w:rPr>
        <w:t>el asunto</w:t>
      </w:r>
      <w:r w:rsidR="00E84A1F" w:rsidRPr="00DE2BDC">
        <w:rPr>
          <w:noProof/>
          <w:lang w:val="es-ES"/>
        </w:rPr>
        <w:t xml:space="preserve">. En general, se acordó que no sería necesario ni deseable que para abordar el plan estratégico hubiera grupos de trabajo distintos </w:t>
      </w:r>
      <w:r w:rsidR="00907C6B" w:rsidRPr="00DE2BDC">
        <w:rPr>
          <w:noProof/>
          <w:lang w:val="es-ES"/>
        </w:rPr>
        <w:t xml:space="preserve">o </w:t>
      </w:r>
      <w:r w:rsidR="00E84A1F" w:rsidRPr="00DE2BDC">
        <w:rPr>
          <w:noProof/>
          <w:lang w:val="es-ES"/>
        </w:rPr>
        <w:t xml:space="preserve">que se </w:t>
      </w:r>
      <w:r w:rsidR="00907C6B" w:rsidRPr="00DE2BDC">
        <w:rPr>
          <w:noProof/>
          <w:lang w:val="es-ES"/>
        </w:rPr>
        <w:t>traslaparan</w:t>
      </w:r>
      <w:r w:rsidR="00E84A1F" w:rsidRPr="00DE2BDC">
        <w:rPr>
          <w:noProof/>
          <w:lang w:val="es-ES"/>
        </w:rPr>
        <w:t>. En todo caso, se debería alentar a los miembros de los grupos de trabajo existentes a que continuaran su labor en el nuevo grupo, para garantizar la mayor coherencia y continuidad posibles, aunque también se observó que el mandato del Comité Permanente no obligaba a las Partes Contratantes a formar parte de los grupos de trabajo.</w:t>
      </w:r>
    </w:p>
    <w:p w14:paraId="60F58D9E" w14:textId="77777777" w:rsidR="003C0807" w:rsidRPr="00DE2BDC" w:rsidRDefault="003C0807" w:rsidP="00E84A1F">
      <w:pPr>
        <w:spacing w:after="0" w:line="240" w:lineRule="auto"/>
        <w:rPr>
          <w:noProof/>
          <w:lang w:val="es-ES"/>
        </w:rPr>
      </w:pPr>
    </w:p>
    <w:p w14:paraId="6D083F45" w14:textId="09845335" w:rsidR="00E84A1F" w:rsidRPr="00DE2BDC" w:rsidRDefault="000B77E1" w:rsidP="00CD7AAC">
      <w:pPr>
        <w:spacing w:after="0" w:line="240" w:lineRule="auto"/>
        <w:ind w:left="567" w:hanging="567"/>
        <w:rPr>
          <w:noProof/>
          <w:lang w:val="es-ES"/>
        </w:rPr>
      </w:pPr>
      <w:r w:rsidRPr="00DE2BDC">
        <w:rPr>
          <w:noProof/>
          <w:lang w:val="es-ES"/>
        </w:rPr>
        <w:t>3.</w:t>
      </w:r>
      <w:r w:rsidRPr="00DE2BDC">
        <w:rPr>
          <w:noProof/>
          <w:lang w:val="es-ES"/>
        </w:rPr>
        <w:tab/>
      </w:r>
      <w:r w:rsidR="00EF1028" w:rsidRPr="00DE2BDC">
        <w:rPr>
          <w:noProof/>
          <w:lang w:val="es-ES"/>
        </w:rPr>
        <w:t xml:space="preserve">Un miembro advirtió que, dado que el Grupo de supervisión de las actividades de CECoP no había finalizado su trabajo </w:t>
      </w:r>
      <w:r w:rsidR="00107422" w:rsidRPr="00DE2BDC">
        <w:rPr>
          <w:noProof/>
          <w:lang w:val="es-ES"/>
        </w:rPr>
        <w:t>sobre</w:t>
      </w:r>
      <w:r w:rsidR="00EF1028" w:rsidRPr="00DE2BDC">
        <w:rPr>
          <w:noProof/>
          <w:lang w:val="es-ES"/>
        </w:rPr>
        <w:t xml:space="preserve"> un nuevo enfoque para las actividades de CECoP, el Grupo difícilmente podría incorporarse en la labor relacionada con el Quinto Plan Estratégico. A</w:t>
      </w:r>
      <w:r w:rsidR="00107422" w:rsidRPr="00DE2BDC">
        <w:rPr>
          <w:noProof/>
          <w:lang w:val="es-ES"/>
        </w:rPr>
        <w:t xml:space="preserve">l </w:t>
      </w:r>
      <w:r w:rsidR="00EF1028" w:rsidRPr="00DE2BDC">
        <w:rPr>
          <w:noProof/>
          <w:lang w:val="es-ES"/>
        </w:rPr>
        <w:t>respecto, el presidente del Grupo de supervisión de las actividades de CECoP afirmó que, de hecho, el Grupo había terminado su trabajo, pero aún no había redactado el proyecto de resolución correspondiente. No obstante, el texto acordado sobre el nuevo enfoque para las actividades de CECoP podría incorporarse en un borrador del Quinto Plan Estratégico.</w:t>
      </w:r>
    </w:p>
    <w:p w14:paraId="03DEAC95" w14:textId="77777777" w:rsidR="003C0807" w:rsidRPr="00DE2BDC" w:rsidRDefault="003C0807" w:rsidP="00EF1028">
      <w:pPr>
        <w:spacing w:after="0" w:line="240" w:lineRule="auto"/>
        <w:rPr>
          <w:noProof/>
          <w:lang w:val="es-ES"/>
        </w:rPr>
      </w:pPr>
    </w:p>
    <w:p w14:paraId="3CA54189" w14:textId="7A8B892E" w:rsidR="00EF1028" w:rsidRPr="00DE2BDC" w:rsidRDefault="000B77E1" w:rsidP="00CD7AAC">
      <w:pPr>
        <w:spacing w:after="0" w:line="240" w:lineRule="auto"/>
        <w:ind w:left="567" w:hanging="567"/>
        <w:rPr>
          <w:noProof/>
          <w:lang w:val="es-ES"/>
        </w:rPr>
      </w:pPr>
      <w:r w:rsidRPr="00DE2BDC">
        <w:rPr>
          <w:noProof/>
          <w:lang w:val="es-ES"/>
        </w:rPr>
        <w:t>4.</w:t>
      </w:r>
      <w:r w:rsidRPr="00DE2BDC">
        <w:rPr>
          <w:noProof/>
          <w:lang w:val="es-ES"/>
        </w:rPr>
        <w:tab/>
      </w:r>
      <w:r w:rsidR="00107422" w:rsidRPr="00DE2BDC">
        <w:rPr>
          <w:noProof/>
          <w:lang w:val="es-ES"/>
        </w:rPr>
        <w:t>La presidencia</w:t>
      </w:r>
      <w:r w:rsidR="00EF1028" w:rsidRPr="00DE2BDC">
        <w:rPr>
          <w:noProof/>
          <w:lang w:val="es-ES"/>
        </w:rPr>
        <w:t xml:space="preserve"> del grupo de trabajo existente propuso al Comité Permanente el texto de una decisión. Este se aceptó</w:t>
      </w:r>
      <w:r w:rsidR="00C15791" w:rsidRPr="00DE2BDC">
        <w:rPr>
          <w:noProof/>
          <w:lang w:val="es-ES"/>
        </w:rPr>
        <w:t xml:space="preserve"> con una pequeña modificación</w:t>
      </w:r>
      <w:r w:rsidR="00EF1028" w:rsidRPr="00DE2BDC">
        <w:rPr>
          <w:noProof/>
          <w:lang w:val="es-ES"/>
        </w:rPr>
        <w:t xml:space="preserve"> </w:t>
      </w:r>
      <w:r w:rsidR="00C15791" w:rsidRPr="00DE2BDC">
        <w:rPr>
          <w:noProof/>
          <w:lang w:val="es-ES"/>
        </w:rPr>
        <w:t>que consistía en cambiar</w:t>
      </w:r>
      <w:r w:rsidR="00EF1028" w:rsidRPr="00DE2BDC">
        <w:rPr>
          <w:noProof/>
          <w:lang w:val="es-ES"/>
        </w:rPr>
        <w:t xml:space="preserve"> “integra</w:t>
      </w:r>
      <w:r w:rsidR="00CE4DD6" w:rsidRPr="00DE2BDC">
        <w:rPr>
          <w:noProof/>
          <w:lang w:val="es-ES"/>
        </w:rPr>
        <w:t>ndo</w:t>
      </w:r>
      <w:r w:rsidR="00EF1028" w:rsidRPr="00DE2BDC">
        <w:rPr>
          <w:noProof/>
          <w:lang w:val="es-ES"/>
        </w:rPr>
        <w:t>” por “</w:t>
      </w:r>
      <w:r w:rsidR="00CE4DD6" w:rsidRPr="00DE2BDC">
        <w:rPr>
          <w:noProof/>
          <w:lang w:val="es-ES"/>
        </w:rPr>
        <w:t>teniendo en</w:t>
      </w:r>
      <w:r w:rsidR="00BD1B3D" w:rsidRPr="00DE2BDC">
        <w:rPr>
          <w:noProof/>
          <w:lang w:val="es-ES"/>
        </w:rPr>
        <w:t xml:space="preserve"> cuenta</w:t>
      </w:r>
      <w:r w:rsidR="00EF1028" w:rsidRPr="00DE2BDC">
        <w:rPr>
          <w:noProof/>
          <w:lang w:val="es-ES"/>
        </w:rPr>
        <w:t>”.</w:t>
      </w:r>
    </w:p>
    <w:p w14:paraId="6B1D9579" w14:textId="77777777" w:rsidR="000B77E1" w:rsidRPr="00DE2BDC" w:rsidRDefault="000B77E1" w:rsidP="00C15791">
      <w:pPr>
        <w:spacing w:after="0" w:line="240" w:lineRule="auto"/>
        <w:rPr>
          <w:noProof/>
          <w:lang w:val="es-ES"/>
        </w:rPr>
      </w:pPr>
    </w:p>
    <w:p w14:paraId="68FC2A35" w14:textId="22800BF1" w:rsidR="000B77E1" w:rsidRPr="00DE2BDC" w:rsidRDefault="000B77E1" w:rsidP="00CD7AAC">
      <w:pPr>
        <w:spacing w:after="0" w:line="240" w:lineRule="auto"/>
        <w:ind w:left="567" w:hanging="567"/>
        <w:rPr>
          <w:noProof/>
          <w:lang w:val="es-ES"/>
        </w:rPr>
      </w:pPr>
      <w:r w:rsidRPr="00DE2BDC">
        <w:rPr>
          <w:noProof/>
          <w:lang w:val="es-ES"/>
        </w:rPr>
        <w:t>5.</w:t>
      </w:r>
      <w:r w:rsidRPr="00DE2BDC">
        <w:rPr>
          <w:noProof/>
          <w:lang w:val="es-ES"/>
        </w:rPr>
        <w:tab/>
      </w:r>
      <w:r w:rsidR="00C15791" w:rsidRPr="00DE2BDC">
        <w:rPr>
          <w:noProof/>
          <w:lang w:val="es-ES"/>
        </w:rPr>
        <w:t>Hubo intervenciones de</w:t>
      </w:r>
      <w:r w:rsidRPr="00DE2BDC">
        <w:rPr>
          <w:noProof/>
          <w:lang w:val="es-ES"/>
        </w:rPr>
        <w:t xml:space="preserve"> Australia, Costa Rica,</w:t>
      </w:r>
      <w:r w:rsidR="00C15791" w:rsidRPr="00DE2BDC">
        <w:rPr>
          <w:noProof/>
          <w:lang w:val="es-ES"/>
        </w:rPr>
        <w:t xml:space="preserve"> Eslovenia,</w:t>
      </w:r>
      <w:r w:rsidRPr="00DE2BDC">
        <w:rPr>
          <w:noProof/>
          <w:lang w:val="es-ES"/>
        </w:rPr>
        <w:t xml:space="preserve"> </w:t>
      </w:r>
      <w:r w:rsidR="00C15791" w:rsidRPr="00DE2BDC">
        <w:rPr>
          <w:noProof/>
          <w:lang w:val="es-ES"/>
        </w:rPr>
        <w:t xml:space="preserve">los Estados Unidos de América, </w:t>
      </w:r>
      <w:r w:rsidRPr="00DE2BDC">
        <w:rPr>
          <w:noProof/>
          <w:lang w:val="es-ES"/>
        </w:rPr>
        <w:t>M</w:t>
      </w:r>
      <w:r w:rsidR="00C15791" w:rsidRPr="00DE2BDC">
        <w:rPr>
          <w:noProof/>
          <w:lang w:val="es-ES"/>
        </w:rPr>
        <w:t>é</w:t>
      </w:r>
      <w:r w:rsidRPr="00DE2BDC">
        <w:rPr>
          <w:noProof/>
          <w:lang w:val="es-ES"/>
        </w:rPr>
        <w:t>xico</w:t>
      </w:r>
      <w:r w:rsidR="00C15791" w:rsidRPr="00DE2BDC">
        <w:rPr>
          <w:noProof/>
          <w:lang w:val="es-ES"/>
        </w:rPr>
        <w:t xml:space="preserve"> y</w:t>
      </w:r>
      <w:r w:rsidRPr="00DE2BDC">
        <w:rPr>
          <w:noProof/>
          <w:lang w:val="es-ES"/>
        </w:rPr>
        <w:t xml:space="preserve"> </w:t>
      </w:r>
      <w:r w:rsidR="00C15791" w:rsidRPr="00DE2BDC">
        <w:rPr>
          <w:noProof/>
          <w:lang w:val="es-ES"/>
        </w:rPr>
        <w:t>Suecia.</w:t>
      </w:r>
    </w:p>
    <w:p w14:paraId="2CEC18C9" w14:textId="77777777" w:rsidR="000B77E1" w:rsidRPr="00DE2BDC" w:rsidRDefault="000B77E1" w:rsidP="00CD7AAC">
      <w:pPr>
        <w:spacing w:after="0" w:line="240" w:lineRule="auto"/>
        <w:ind w:left="567" w:hanging="567"/>
        <w:rPr>
          <w:noProof/>
          <w:lang w:val="es-ES"/>
        </w:rPr>
      </w:pPr>
    </w:p>
    <w:p w14:paraId="573DEA09" w14:textId="6F65C33F" w:rsidR="00C15791" w:rsidRPr="00DE2BDC" w:rsidRDefault="000B77E1" w:rsidP="00CD7AAC">
      <w:pPr>
        <w:spacing w:after="0" w:line="240" w:lineRule="auto"/>
        <w:rPr>
          <w:rFonts w:cstheme="minorHAnsi"/>
          <w:b/>
          <w:noProof/>
          <w:lang w:val="es-ES"/>
        </w:rPr>
      </w:pPr>
      <w:r w:rsidRPr="00DE2BDC">
        <w:rPr>
          <w:rFonts w:cstheme="minorHAnsi"/>
          <w:b/>
          <w:noProof/>
          <w:lang w:val="es-ES"/>
        </w:rPr>
        <w:t>Decisi</w:t>
      </w:r>
      <w:r w:rsidR="00C15791" w:rsidRPr="00DE2BDC">
        <w:rPr>
          <w:rFonts w:cstheme="minorHAnsi"/>
          <w:b/>
          <w:noProof/>
          <w:lang w:val="es-ES"/>
        </w:rPr>
        <w:t>ó</w:t>
      </w:r>
      <w:r w:rsidRPr="00DE2BDC">
        <w:rPr>
          <w:rFonts w:cstheme="minorHAnsi"/>
          <w:b/>
          <w:noProof/>
          <w:lang w:val="es-ES"/>
        </w:rPr>
        <w:t xml:space="preserve">n SC59-20: </w:t>
      </w:r>
      <w:r w:rsidR="00C15791" w:rsidRPr="00DE2BDC">
        <w:rPr>
          <w:rFonts w:cstheme="minorHAnsi"/>
          <w:b/>
          <w:noProof/>
          <w:lang w:val="es-ES"/>
        </w:rPr>
        <w:t xml:space="preserve">El Comité Permanente estableció un nuevo grupo de trabajo con la participación de miembros de las Partes Contratantes, el GECT y las Organizaciones Internacionales Asociadas para la </w:t>
      </w:r>
      <w:r w:rsidR="00A7574E" w:rsidRPr="00DE2BDC">
        <w:rPr>
          <w:rFonts w:cstheme="minorHAnsi"/>
          <w:b/>
          <w:noProof/>
          <w:lang w:val="es-ES"/>
        </w:rPr>
        <w:t>elabo</w:t>
      </w:r>
      <w:r w:rsidR="00C15791" w:rsidRPr="00DE2BDC">
        <w:rPr>
          <w:rFonts w:cstheme="minorHAnsi"/>
          <w:b/>
          <w:noProof/>
          <w:lang w:val="es-ES"/>
        </w:rPr>
        <w:t>ración del Quinto Plan Estratégico de la Convención sobre los Humedales, cuyo mandato y plan de trabajo se acordar</w:t>
      </w:r>
      <w:r w:rsidR="002F1BD5" w:rsidRPr="00DE2BDC">
        <w:rPr>
          <w:rFonts w:cstheme="minorHAnsi"/>
          <w:b/>
          <w:noProof/>
          <w:lang w:val="es-ES"/>
        </w:rPr>
        <w:t>ía</w:t>
      </w:r>
      <w:r w:rsidR="00C15791" w:rsidRPr="00DE2BDC">
        <w:rPr>
          <w:rFonts w:cstheme="minorHAnsi"/>
          <w:b/>
          <w:noProof/>
          <w:lang w:val="es-ES"/>
        </w:rPr>
        <w:t>n entre</w:t>
      </w:r>
      <w:r w:rsidR="00BD1B3D" w:rsidRPr="00DE2BDC">
        <w:rPr>
          <w:rFonts w:cstheme="minorHAnsi"/>
          <w:b/>
          <w:noProof/>
          <w:lang w:val="es-ES"/>
        </w:rPr>
        <w:t xml:space="preserve"> períodos de </w:t>
      </w:r>
      <w:r w:rsidR="00C15791" w:rsidRPr="00DE2BDC">
        <w:rPr>
          <w:rFonts w:cstheme="minorHAnsi"/>
          <w:b/>
          <w:noProof/>
          <w:lang w:val="es-ES"/>
        </w:rPr>
        <w:t xml:space="preserve">sesiones y </w:t>
      </w:r>
      <w:r w:rsidR="002F1BD5" w:rsidRPr="00DE2BDC">
        <w:rPr>
          <w:rFonts w:cstheme="minorHAnsi"/>
          <w:b/>
          <w:noProof/>
          <w:lang w:val="es-ES"/>
        </w:rPr>
        <w:t xml:space="preserve">el </w:t>
      </w:r>
      <w:r w:rsidR="00C15791" w:rsidRPr="00DE2BDC">
        <w:rPr>
          <w:rFonts w:cstheme="minorHAnsi"/>
          <w:b/>
          <w:noProof/>
          <w:lang w:val="es-ES"/>
        </w:rPr>
        <w:t>que se diseñar</w:t>
      </w:r>
      <w:r w:rsidR="002F1BD5" w:rsidRPr="00DE2BDC">
        <w:rPr>
          <w:rFonts w:cstheme="minorHAnsi"/>
          <w:b/>
          <w:noProof/>
          <w:lang w:val="es-ES"/>
        </w:rPr>
        <w:t>ía</w:t>
      </w:r>
      <w:r w:rsidR="00C15791" w:rsidRPr="00DE2BDC">
        <w:rPr>
          <w:rFonts w:cstheme="minorHAnsi"/>
          <w:b/>
          <w:noProof/>
          <w:lang w:val="es-ES"/>
        </w:rPr>
        <w:t xml:space="preserve"> </w:t>
      </w:r>
      <w:r w:rsidR="00A7574E" w:rsidRPr="00DE2BDC">
        <w:rPr>
          <w:rFonts w:cstheme="minorHAnsi"/>
          <w:b/>
          <w:noProof/>
          <w:lang w:val="es-ES"/>
        </w:rPr>
        <w:t>teniendo</w:t>
      </w:r>
      <w:r w:rsidR="00BD1B3D" w:rsidRPr="00DE2BDC">
        <w:rPr>
          <w:rFonts w:cstheme="minorHAnsi"/>
          <w:b/>
          <w:noProof/>
          <w:lang w:val="es-ES"/>
        </w:rPr>
        <w:t xml:space="preserve"> </w:t>
      </w:r>
      <w:r w:rsidR="00BD1B3D" w:rsidRPr="00DE2BDC">
        <w:rPr>
          <w:rFonts w:cstheme="minorHAnsi"/>
          <w:b/>
          <w:noProof/>
          <w:lang w:val="es-ES"/>
        </w:rPr>
        <w:lastRenderedPageBreak/>
        <w:t>en cuenta</w:t>
      </w:r>
      <w:r w:rsidR="00C15791" w:rsidRPr="00DE2BDC">
        <w:rPr>
          <w:rFonts w:cstheme="minorHAnsi"/>
          <w:b/>
          <w:noProof/>
          <w:lang w:val="es-ES"/>
        </w:rPr>
        <w:t xml:space="preserve"> los elementos </w:t>
      </w:r>
      <w:r w:rsidR="00BD1B3D" w:rsidRPr="00DE2BDC">
        <w:rPr>
          <w:rFonts w:cstheme="minorHAnsi"/>
          <w:b/>
          <w:noProof/>
          <w:lang w:val="es-ES"/>
        </w:rPr>
        <w:t>esenciales</w:t>
      </w:r>
      <w:r w:rsidR="00C15791" w:rsidRPr="00DE2BDC">
        <w:rPr>
          <w:rFonts w:cstheme="minorHAnsi"/>
          <w:b/>
          <w:noProof/>
          <w:lang w:val="es-ES"/>
        </w:rPr>
        <w:t xml:space="preserve"> y elemento</w:t>
      </w:r>
      <w:r w:rsidR="00BD1B3D" w:rsidRPr="00DE2BDC">
        <w:rPr>
          <w:rFonts w:cstheme="minorHAnsi"/>
          <w:b/>
          <w:noProof/>
          <w:lang w:val="es-ES"/>
        </w:rPr>
        <w:t>s</w:t>
      </w:r>
      <w:r w:rsidR="00C15791" w:rsidRPr="00DE2BDC">
        <w:rPr>
          <w:rFonts w:cstheme="minorHAnsi"/>
          <w:b/>
          <w:noProof/>
          <w:lang w:val="es-ES"/>
        </w:rPr>
        <w:t xml:space="preserve"> prioritario</w:t>
      </w:r>
      <w:r w:rsidR="00BD1B3D" w:rsidRPr="00DE2BDC">
        <w:rPr>
          <w:rFonts w:cstheme="minorHAnsi"/>
          <w:b/>
          <w:noProof/>
          <w:lang w:val="es-ES"/>
        </w:rPr>
        <w:t xml:space="preserve">s adicionales, así como </w:t>
      </w:r>
      <w:r w:rsidR="00C15791" w:rsidRPr="00DE2BDC">
        <w:rPr>
          <w:rFonts w:cstheme="minorHAnsi"/>
          <w:b/>
          <w:noProof/>
          <w:lang w:val="es-ES"/>
        </w:rPr>
        <w:t xml:space="preserve">las </w:t>
      </w:r>
      <w:r w:rsidR="00A7574E" w:rsidRPr="00DE2BDC">
        <w:rPr>
          <w:rFonts w:cstheme="minorHAnsi"/>
          <w:b/>
          <w:noProof/>
          <w:lang w:val="es-ES"/>
        </w:rPr>
        <w:t>modificaciones</w:t>
      </w:r>
      <w:r w:rsidR="00C15791" w:rsidRPr="00DE2BDC">
        <w:rPr>
          <w:rFonts w:cstheme="minorHAnsi"/>
          <w:b/>
          <w:noProof/>
          <w:lang w:val="es-ES"/>
        </w:rPr>
        <w:t xml:space="preserve"> para el </w:t>
      </w:r>
      <w:r w:rsidR="00BD1B3D" w:rsidRPr="00DE2BDC">
        <w:rPr>
          <w:rFonts w:cstheme="minorHAnsi"/>
          <w:b/>
          <w:noProof/>
          <w:lang w:val="es-ES"/>
        </w:rPr>
        <w:t xml:space="preserve">Quinto Plan Estratégico </w:t>
      </w:r>
      <w:r w:rsidR="00C15791" w:rsidRPr="00DE2BDC">
        <w:rPr>
          <w:rFonts w:cstheme="minorHAnsi"/>
          <w:b/>
          <w:noProof/>
          <w:lang w:val="es-ES"/>
        </w:rPr>
        <w:t xml:space="preserve">que </w:t>
      </w:r>
      <w:r w:rsidR="00CE4DD6" w:rsidRPr="00DE2BDC">
        <w:rPr>
          <w:rFonts w:cstheme="minorHAnsi"/>
          <w:b/>
          <w:noProof/>
          <w:lang w:val="es-ES"/>
        </w:rPr>
        <w:t>pudieran</w:t>
      </w:r>
      <w:r w:rsidR="00C15791" w:rsidRPr="00DE2BDC">
        <w:rPr>
          <w:rFonts w:cstheme="minorHAnsi"/>
          <w:b/>
          <w:noProof/>
          <w:lang w:val="es-ES"/>
        </w:rPr>
        <w:t xml:space="preserve"> acordarse en la COP14. </w:t>
      </w:r>
      <w:r w:rsidR="00A7574E" w:rsidRPr="00DE2BDC">
        <w:rPr>
          <w:rFonts w:cstheme="minorHAnsi"/>
          <w:b/>
          <w:noProof/>
          <w:lang w:val="es-ES"/>
        </w:rPr>
        <w:t xml:space="preserve">Por razones de continuidad, el </w:t>
      </w:r>
      <w:r w:rsidR="00C15791" w:rsidRPr="00DE2BDC">
        <w:rPr>
          <w:rFonts w:cstheme="minorHAnsi"/>
          <w:b/>
          <w:noProof/>
          <w:lang w:val="es-ES"/>
        </w:rPr>
        <w:t xml:space="preserve">Comité Permanente alentó </w:t>
      </w:r>
      <w:r w:rsidR="00BD1B3D" w:rsidRPr="00DE2BDC">
        <w:rPr>
          <w:rFonts w:cstheme="minorHAnsi"/>
          <w:b/>
          <w:noProof/>
          <w:lang w:val="es-ES"/>
        </w:rPr>
        <w:t>a</w:t>
      </w:r>
      <w:r w:rsidR="00C15791" w:rsidRPr="00DE2BDC">
        <w:rPr>
          <w:rFonts w:cstheme="minorHAnsi"/>
          <w:b/>
          <w:noProof/>
          <w:lang w:val="es-ES"/>
        </w:rPr>
        <w:t xml:space="preserve"> los miembros del </w:t>
      </w:r>
      <w:r w:rsidR="00BD1B3D" w:rsidRPr="00DE2BDC">
        <w:rPr>
          <w:rFonts w:cstheme="minorHAnsi"/>
          <w:b/>
          <w:noProof/>
          <w:lang w:val="es-ES"/>
        </w:rPr>
        <w:t>g</w:t>
      </w:r>
      <w:r w:rsidR="00C15791" w:rsidRPr="00DE2BDC">
        <w:rPr>
          <w:rFonts w:cstheme="minorHAnsi"/>
          <w:b/>
          <w:noProof/>
          <w:lang w:val="es-ES"/>
        </w:rPr>
        <w:t xml:space="preserve">rupo de </w:t>
      </w:r>
      <w:r w:rsidR="00BD1B3D" w:rsidRPr="00DE2BDC">
        <w:rPr>
          <w:rFonts w:cstheme="minorHAnsi"/>
          <w:b/>
          <w:noProof/>
          <w:lang w:val="es-ES"/>
        </w:rPr>
        <w:t>t</w:t>
      </w:r>
      <w:r w:rsidR="00C15791" w:rsidRPr="00DE2BDC">
        <w:rPr>
          <w:rFonts w:cstheme="minorHAnsi"/>
          <w:b/>
          <w:noProof/>
          <w:lang w:val="es-ES"/>
        </w:rPr>
        <w:t xml:space="preserve">rabajo sobre </w:t>
      </w:r>
      <w:r w:rsidR="00BD1B3D" w:rsidRPr="00DE2BDC">
        <w:rPr>
          <w:rFonts w:cstheme="minorHAnsi"/>
          <w:b/>
          <w:noProof/>
          <w:lang w:val="es-ES"/>
        </w:rPr>
        <w:t>el examen</w:t>
      </w:r>
      <w:r w:rsidR="00C15791" w:rsidRPr="00DE2BDC">
        <w:rPr>
          <w:rFonts w:cstheme="minorHAnsi"/>
          <w:b/>
          <w:noProof/>
          <w:lang w:val="es-ES"/>
        </w:rPr>
        <w:t xml:space="preserve"> del Cuarto Plan Estratégico </w:t>
      </w:r>
      <w:r w:rsidR="00BD1B3D" w:rsidRPr="00DE2BDC">
        <w:rPr>
          <w:rFonts w:cstheme="minorHAnsi"/>
          <w:b/>
          <w:noProof/>
          <w:lang w:val="es-ES"/>
        </w:rPr>
        <w:t xml:space="preserve">a que participaran </w:t>
      </w:r>
      <w:r w:rsidR="00C15791" w:rsidRPr="00DE2BDC">
        <w:rPr>
          <w:rFonts w:cstheme="minorHAnsi"/>
          <w:b/>
          <w:noProof/>
          <w:lang w:val="es-ES"/>
        </w:rPr>
        <w:t>en el nuevo grupo de trabajo</w:t>
      </w:r>
      <w:r w:rsidR="00A7574E" w:rsidRPr="00DE2BDC">
        <w:rPr>
          <w:rFonts w:cstheme="minorHAnsi"/>
          <w:b/>
          <w:noProof/>
          <w:lang w:val="es-ES"/>
        </w:rPr>
        <w:t>.</w:t>
      </w:r>
      <w:r w:rsidR="00C15791" w:rsidRPr="00DE2BDC">
        <w:rPr>
          <w:rFonts w:cstheme="minorHAnsi"/>
          <w:b/>
          <w:noProof/>
          <w:lang w:val="es-ES"/>
        </w:rPr>
        <w:t xml:space="preserve"> </w:t>
      </w:r>
    </w:p>
    <w:p w14:paraId="50A613A9" w14:textId="77777777" w:rsidR="0088167E" w:rsidRPr="00DE2BDC" w:rsidRDefault="0088167E" w:rsidP="00CD7AAC">
      <w:pPr>
        <w:spacing w:after="0" w:line="240" w:lineRule="auto"/>
        <w:rPr>
          <w:rFonts w:cstheme="minorHAnsi"/>
          <w:b/>
          <w:noProof/>
          <w:lang w:val="es-ES"/>
        </w:rPr>
      </w:pPr>
    </w:p>
    <w:p w14:paraId="0E4D1CC7" w14:textId="6A9DBF44" w:rsidR="0088167E"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 xml:space="preserve">Punto </w:t>
      </w:r>
      <w:r w:rsidRPr="00DE2BDC">
        <w:rPr>
          <w:noProof/>
          <w:lang w:val="es-ES"/>
        </w:rPr>
        <w:t xml:space="preserve">21.1 del orden del día: </w:t>
      </w:r>
      <w:r w:rsidRPr="00DE2BDC">
        <w:rPr>
          <w:rFonts w:cstheme="minorHAnsi"/>
          <w:bCs/>
          <w:noProof/>
          <w:lang w:val="es-ES"/>
        </w:rPr>
        <w:t>Informe del Grupo de trabajo sobre las iniciativas regionales de Ramsar</w:t>
      </w:r>
    </w:p>
    <w:p w14:paraId="3F55C4BA" w14:textId="77777777" w:rsidR="0088167E" w:rsidRPr="00DE2BDC" w:rsidRDefault="0088167E" w:rsidP="00CD7AAC">
      <w:pPr>
        <w:spacing w:after="0" w:line="240" w:lineRule="auto"/>
        <w:rPr>
          <w:rFonts w:cstheme="minorHAnsi"/>
          <w:b/>
          <w:noProof/>
          <w:lang w:val="es-ES"/>
        </w:rPr>
      </w:pPr>
    </w:p>
    <w:p w14:paraId="6D36B75A" w14:textId="4506F268" w:rsidR="00CE4DD6" w:rsidRPr="00DE2BDC" w:rsidRDefault="0088167E" w:rsidP="00CD7AAC">
      <w:pPr>
        <w:spacing w:after="0" w:line="240" w:lineRule="auto"/>
        <w:ind w:left="567" w:hanging="567"/>
        <w:rPr>
          <w:noProof/>
          <w:lang w:val="es-ES"/>
        </w:rPr>
      </w:pPr>
      <w:r w:rsidRPr="00DE2BDC">
        <w:rPr>
          <w:noProof/>
          <w:lang w:val="es-ES"/>
        </w:rPr>
        <w:t>6.</w:t>
      </w:r>
      <w:r w:rsidRPr="00DE2BDC">
        <w:rPr>
          <w:noProof/>
          <w:lang w:val="es-ES"/>
        </w:rPr>
        <w:tab/>
      </w:r>
      <w:r w:rsidR="00CE4DD6" w:rsidRPr="00DE2BDC">
        <w:rPr>
          <w:noProof/>
          <w:lang w:val="es-ES"/>
        </w:rPr>
        <w:t xml:space="preserve">La </w:t>
      </w:r>
      <w:r w:rsidR="00C93607" w:rsidRPr="00DE2BDC">
        <w:rPr>
          <w:noProof/>
          <w:lang w:val="es-ES"/>
        </w:rPr>
        <w:t>presidencia</w:t>
      </w:r>
      <w:r w:rsidR="00CE4DD6" w:rsidRPr="00DE2BDC">
        <w:rPr>
          <w:noProof/>
          <w:lang w:val="es-ES"/>
        </w:rPr>
        <w:t xml:space="preserve"> del grupo de trabajo (Costa Rica) presentó </w:t>
      </w:r>
      <w:r w:rsidR="002E5002" w:rsidRPr="00DE2BDC">
        <w:rPr>
          <w:noProof/>
          <w:lang w:val="es-ES"/>
        </w:rPr>
        <w:t>su</w:t>
      </w:r>
      <w:r w:rsidR="00CE4DD6" w:rsidRPr="00DE2BDC">
        <w:rPr>
          <w:noProof/>
          <w:lang w:val="es-ES"/>
        </w:rPr>
        <w:t xml:space="preserve"> informe</w:t>
      </w:r>
      <w:r w:rsidR="002E5002" w:rsidRPr="00DE2BDC">
        <w:rPr>
          <w:noProof/>
          <w:lang w:val="es-ES"/>
        </w:rPr>
        <w:t>,</w:t>
      </w:r>
      <w:r w:rsidR="00CE4DD6" w:rsidRPr="00DE2BDC">
        <w:rPr>
          <w:noProof/>
          <w:lang w:val="es-ES"/>
        </w:rPr>
        <w:t xml:space="preserve"> que figura en el documento SC59 Doc.21.1, y resumió su labor hasta la fecha, concretamente en lo</w:t>
      </w:r>
      <w:r w:rsidR="00C93607" w:rsidRPr="00DE2BDC">
        <w:rPr>
          <w:noProof/>
          <w:lang w:val="es-ES"/>
        </w:rPr>
        <w:t xml:space="preserve"> referente </w:t>
      </w:r>
      <w:r w:rsidR="00CE4DD6" w:rsidRPr="00DE2BDC">
        <w:rPr>
          <w:noProof/>
          <w:lang w:val="es-ES"/>
        </w:rPr>
        <w:t xml:space="preserve">a la Resolución XIII.9. Señaló que el trabajo había resultado ser relativamente complejo y exigente, y agradeció a la Secretaría por su apoyo. Indicó que se había contratado a un consultor, </w:t>
      </w:r>
      <w:r w:rsidR="002E5002" w:rsidRPr="00DE2BDC">
        <w:rPr>
          <w:noProof/>
          <w:lang w:val="es-ES"/>
        </w:rPr>
        <w:t>designado</w:t>
      </w:r>
      <w:r w:rsidR="00CE4DD6" w:rsidRPr="00DE2BDC">
        <w:rPr>
          <w:noProof/>
          <w:lang w:val="es-ES"/>
        </w:rPr>
        <w:t xml:space="preserve"> mediante un proceso de licitación, para que elaborara nuevos lineamientos operativos, </w:t>
      </w:r>
      <w:r w:rsidR="002E5002" w:rsidRPr="00DE2BDC">
        <w:rPr>
          <w:noProof/>
          <w:lang w:val="es-ES"/>
        </w:rPr>
        <w:t xml:space="preserve">los </w:t>
      </w:r>
      <w:r w:rsidR="00CE4DD6" w:rsidRPr="00DE2BDC">
        <w:rPr>
          <w:noProof/>
          <w:lang w:val="es-ES"/>
        </w:rPr>
        <w:t xml:space="preserve">que se han sometido a un proceso de examen reiterado. </w:t>
      </w:r>
      <w:r w:rsidR="002E5002" w:rsidRPr="00DE2BDC">
        <w:rPr>
          <w:noProof/>
          <w:lang w:val="es-ES"/>
        </w:rPr>
        <w:t>Informó que se había</w:t>
      </w:r>
      <w:r w:rsidR="00CE4DD6" w:rsidRPr="00DE2BDC">
        <w:rPr>
          <w:noProof/>
          <w:lang w:val="es-ES"/>
        </w:rPr>
        <w:t xml:space="preserve"> llegado a un acuerdo sobre la mayoría de los elementos de </w:t>
      </w:r>
      <w:r w:rsidR="002E5002" w:rsidRPr="00DE2BDC">
        <w:rPr>
          <w:noProof/>
          <w:lang w:val="es-ES"/>
        </w:rPr>
        <w:t>los lineamientos</w:t>
      </w:r>
      <w:r w:rsidR="00CE4DD6" w:rsidRPr="00DE2BDC">
        <w:rPr>
          <w:noProof/>
          <w:lang w:val="es-ES"/>
        </w:rPr>
        <w:t xml:space="preserve">, pero algunos </w:t>
      </w:r>
      <w:r w:rsidR="002E5002" w:rsidRPr="00DE2BDC">
        <w:rPr>
          <w:noProof/>
          <w:lang w:val="es-ES"/>
        </w:rPr>
        <w:t>seguían</w:t>
      </w:r>
      <w:r w:rsidR="00CE4DD6" w:rsidRPr="00DE2BDC">
        <w:rPr>
          <w:noProof/>
          <w:lang w:val="es-ES"/>
        </w:rPr>
        <w:t xml:space="preserve"> sin resolverse y </w:t>
      </w:r>
      <w:r w:rsidR="002E5002" w:rsidRPr="00DE2BDC">
        <w:rPr>
          <w:noProof/>
          <w:lang w:val="es-ES"/>
        </w:rPr>
        <w:t>aparecían</w:t>
      </w:r>
      <w:r w:rsidR="00CE4DD6" w:rsidRPr="00DE2BDC">
        <w:rPr>
          <w:noProof/>
          <w:lang w:val="es-ES"/>
        </w:rPr>
        <w:t xml:space="preserve"> entre corchetes en el </w:t>
      </w:r>
      <w:r w:rsidR="002E5002" w:rsidRPr="00DE2BDC">
        <w:rPr>
          <w:noProof/>
          <w:lang w:val="es-ES"/>
        </w:rPr>
        <w:t>borrador</w:t>
      </w:r>
      <w:r w:rsidR="00CE4DD6" w:rsidRPr="00DE2BDC">
        <w:rPr>
          <w:noProof/>
          <w:lang w:val="es-ES"/>
        </w:rPr>
        <w:t xml:space="preserve"> actual, </w:t>
      </w:r>
      <w:r w:rsidR="002E5002" w:rsidRPr="00DE2BDC">
        <w:rPr>
          <w:noProof/>
          <w:lang w:val="es-ES"/>
        </w:rPr>
        <w:t>incluido</w:t>
      </w:r>
      <w:r w:rsidR="00CE4DD6" w:rsidRPr="00DE2BDC">
        <w:rPr>
          <w:noProof/>
          <w:lang w:val="es-ES"/>
        </w:rPr>
        <w:t xml:space="preserve"> como Anexo I del proyecto de resolución en el documento. Se había creado un pequeño grupo de trabajo, </w:t>
      </w:r>
      <w:r w:rsidR="002E5002" w:rsidRPr="00DE2BDC">
        <w:rPr>
          <w:noProof/>
          <w:lang w:val="es-ES"/>
        </w:rPr>
        <w:t>constituido</w:t>
      </w:r>
      <w:r w:rsidR="00CE4DD6" w:rsidRPr="00DE2BDC">
        <w:rPr>
          <w:noProof/>
          <w:lang w:val="es-ES"/>
        </w:rPr>
        <w:t xml:space="preserve"> por cuatro Partes Contratantes (Colombia, Costa Rica, Panamá y </w:t>
      </w:r>
      <w:r w:rsidR="002E5002" w:rsidRPr="00DE2BDC">
        <w:rPr>
          <w:noProof/>
          <w:lang w:val="es-ES"/>
        </w:rPr>
        <w:t xml:space="preserve">el </w:t>
      </w:r>
      <w:r w:rsidR="00CE4DD6" w:rsidRPr="00DE2BDC">
        <w:rPr>
          <w:noProof/>
          <w:lang w:val="es-ES"/>
        </w:rPr>
        <w:t xml:space="preserve">Uruguay) para </w:t>
      </w:r>
      <w:r w:rsidR="002E5002" w:rsidRPr="00DE2BDC">
        <w:rPr>
          <w:noProof/>
          <w:lang w:val="es-ES"/>
        </w:rPr>
        <w:t>elaborar</w:t>
      </w:r>
      <w:r w:rsidR="00CE4DD6" w:rsidRPr="00DE2BDC">
        <w:rPr>
          <w:noProof/>
          <w:lang w:val="es-ES"/>
        </w:rPr>
        <w:t xml:space="preserve"> el proyecto de resolución que se examinaría en la siguiente sesión del Comité Permanente. </w:t>
      </w:r>
      <w:r w:rsidR="002E5002" w:rsidRPr="00DE2BDC">
        <w:rPr>
          <w:noProof/>
          <w:lang w:val="es-ES"/>
        </w:rPr>
        <w:t>Destacó que el</w:t>
      </w:r>
      <w:r w:rsidR="00CE4DD6" w:rsidRPr="00DE2BDC">
        <w:rPr>
          <w:noProof/>
          <w:lang w:val="es-ES"/>
        </w:rPr>
        <w:t xml:space="preserve"> grupo de trabajo ha</w:t>
      </w:r>
      <w:r w:rsidR="002E5002" w:rsidRPr="00DE2BDC">
        <w:rPr>
          <w:noProof/>
          <w:lang w:val="es-ES"/>
        </w:rPr>
        <w:t>bía</w:t>
      </w:r>
      <w:r w:rsidR="00CE4DD6" w:rsidRPr="00DE2BDC">
        <w:rPr>
          <w:noProof/>
          <w:lang w:val="es-ES"/>
        </w:rPr>
        <w:t xml:space="preserve"> </w:t>
      </w:r>
      <w:r w:rsidR="002E5002" w:rsidRPr="00DE2BDC">
        <w:rPr>
          <w:noProof/>
          <w:lang w:val="es-ES"/>
        </w:rPr>
        <w:t>concluido</w:t>
      </w:r>
      <w:r w:rsidR="00CE4DD6" w:rsidRPr="00DE2BDC">
        <w:rPr>
          <w:noProof/>
          <w:lang w:val="es-ES"/>
        </w:rPr>
        <w:t xml:space="preserve"> su mandato, trabajando en circunstancias difíciles, y ha</w:t>
      </w:r>
      <w:r w:rsidR="002E5002" w:rsidRPr="00DE2BDC">
        <w:rPr>
          <w:noProof/>
          <w:lang w:val="es-ES"/>
        </w:rPr>
        <w:t>bía</w:t>
      </w:r>
      <w:r w:rsidR="00CE4DD6" w:rsidRPr="00DE2BDC">
        <w:rPr>
          <w:noProof/>
          <w:lang w:val="es-ES"/>
        </w:rPr>
        <w:t xml:space="preserve"> demostrado </w:t>
      </w:r>
      <w:r w:rsidR="002E5002" w:rsidRPr="00DE2BDC">
        <w:rPr>
          <w:noProof/>
          <w:lang w:val="es-ES"/>
        </w:rPr>
        <w:t xml:space="preserve">la </w:t>
      </w:r>
      <w:r w:rsidR="00886567" w:rsidRPr="00DE2BDC">
        <w:rPr>
          <w:noProof/>
          <w:lang w:val="es-ES"/>
        </w:rPr>
        <w:t>manera</w:t>
      </w:r>
      <w:r w:rsidR="002E5002" w:rsidRPr="00DE2BDC">
        <w:rPr>
          <w:noProof/>
          <w:lang w:val="es-ES"/>
        </w:rPr>
        <w:t xml:space="preserve"> en que</w:t>
      </w:r>
      <w:r w:rsidR="00CE4DD6" w:rsidRPr="00DE2BDC">
        <w:rPr>
          <w:noProof/>
          <w:lang w:val="es-ES"/>
        </w:rPr>
        <w:t xml:space="preserve"> </w:t>
      </w:r>
      <w:r w:rsidR="002E5002" w:rsidRPr="00DE2BDC">
        <w:rPr>
          <w:noProof/>
          <w:lang w:val="es-ES"/>
        </w:rPr>
        <w:t>las discrepancias</w:t>
      </w:r>
      <w:r w:rsidR="00CE4DD6" w:rsidRPr="00DE2BDC">
        <w:rPr>
          <w:noProof/>
          <w:lang w:val="es-ES"/>
        </w:rPr>
        <w:t xml:space="preserve"> iniciales </w:t>
      </w:r>
      <w:r w:rsidR="002E5002" w:rsidRPr="00DE2BDC">
        <w:rPr>
          <w:noProof/>
          <w:lang w:val="es-ES"/>
        </w:rPr>
        <w:t>podían</w:t>
      </w:r>
      <w:r w:rsidR="00CE4DD6" w:rsidRPr="00DE2BDC">
        <w:rPr>
          <w:noProof/>
          <w:lang w:val="es-ES"/>
        </w:rPr>
        <w:t xml:space="preserve"> </w:t>
      </w:r>
      <w:r w:rsidR="002E5002" w:rsidRPr="00DE2BDC">
        <w:rPr>
          <w:noProof/>
          <w:lang w:val="es-ES"/>
        </w:rPr>
        <w:t>superarse</w:t>
      </w:r>
      <w:r w:rsidR="00CE4DD6" w:rsidRPr="00DE2BDC">
        <w:rPr>
          <w:noProof/>
          <w:lang w:val="es-ES"/>
        </w:rPr>
        <w:t xml:space="preserve"> a través </w:t>
      </w:r>
      <w:r w:rsidR="002E5002" w:rsidRPr="00DE2BDC">
        <w:rPr>
          <w:noProof/>
          <w:lang w:val="es-ES"/>
        </w:rPr>
        <w:t>del</w:t>
      </w:r>
      <w:r w:rsidR="00CE4DD6" w:rsidRPr="00DE2BDC">
        <w:rPr>
          <w:noProof/>
          <w:lang w:val="es-ES"/>
        </w:rPr>
        <w:t xml:space="preserve"> diálogo constructivo.</w:t>
      </w:r>
    </w:p>
    <w:p w14:paraId="4AED37E3" w14:textId="77777777" w:rsidR="0088167E" w:rsidRPr="00DE2BDC" w:rsidRDefault="0088167E" w:rsidP="002E5002">
      <w:pPr>
        <w:spacing w:after="0" w:line="240" w:lineRule="auto"/>
        <w:rPr>
          <w:noProof/>
          <w:lang w:val="es-ES"/>
        </w:rPr>
      </w:pPr>
    </w:p>
    <w:p w14:paraId="16010953" w14:textId="681809EF" w:rsidR="004264A7" w:rsidRPr="00DE2BDC" w:rsidRDefault="0088167E" w:rsidP="00CD7AAC">
      <w:pPr>
        <w:spacing w:after="0" w:line="240" w:lineRule="auto"/>
        <w:ind w:left="567" w:hanging="567"/>
        <w:rPr>
          <w:noProof/>
          <w:lang w:val="es-ES"/>
        </w:rPr>
      </w:pPr>
      <w:r w:rsidRPr="00DE2BDC">
        <w:rPr>
          <w:noProof/>
          <w:lang w:val="es-ES"/>
        </w:rPr>
        <w:t>7.</w:t>
      </w:r>
      <w:r w:rsidRPr="00DE2BDC">
        <w:rPr>
          <w:noProof/>
          <w:lang w:val="es-ES"/>
        </w:rPr>
        <w:tab/>
      </w:r>
      <w:r w:rsidR="004264A7" w:rsidRPr="00DE2BDC">
        <w:rPr>
          <w:noProof/>
          <w:lang w:val="es-ES"/>
        </w:rPr>
        <w:t xml:space="preserve">Los participantes felicitaron al grupo de trabajo por sus logros, aunque algunos observaron que el actual proyecto de resolución contenía </w:t>
      </w:r>
      <w:r w:rsidR="00101754" w:rsidRPr="00DE2BDC">
        <w:rPr>
          <w:noProof/>
          <w:lang w:val="es-ES"/>
        </w:rPr>
        <w:t>ciertas</w:t>
      </w:r>
      <w:r w:rsidR="004264A7" w:rsidRPr="00DE2BDC">
        <w:rPr>
          <w:noProof/>
          <w:lang w:val="es-ES"/>
        </w:rPr>
        <w:t xml:space="preserve"> imprecisiones e incoherencias. Expresaron que confiaban en que se siguiera trabajando para afinar el proyecto de resolución antes de que se presentara para su </w:t>
      </w:r>
      <w:r w:rsidR="00302108" w:rsidRPr="00DE2BDC">
        <w:rPr>
          <w:noProof/>
          <w:lang w:val="es-ES"/>
        </w:rPr>
        <w:t>examen</w:t>
      </w:r>
      <w:r w:rsidR="004264A7" w:rsidRPr="00DE2BDC">
        <w:rPr>
          <w:noProof/>
          <w:lang w:val="es-ES"/>
        </w:rPr>
        <w:t xml:space="preserve"> en la próxima sesión del Comité Permanente.</w:t>
      </w:r>
    </w:p>
    <w:p w14:paraId="6FE58BE2" w14:textId="77777777" w:rsidR="0088167E" w:rsidRPr="00DE2BDC" w:rsidRDefault="0088167E" w:rsidP="00EA24EF">
      <w:pPr>
        <w:spacing w:after="0" w:line="240" w:lineRule="auto"/>
        <w:rPr>
          <w:noProof/>
          <w:lang w:val="es-ES"/>
        </w:rPr>
      </w:pPr>
    </w:p>
    <w:p w14:paraId="2446FBCA" w14:textId="73C8E7C5" w:rsidR="00EA24EF" w:rsidRPr="00DE2BDC" w:rsidRDefault="0088167E" w:rsidP="00CD7AAC">
      <w:pPr>
        <w:spacing w:after="0" w:line="240" w:lineRule="auto"/>
        <w:ind w:left="567" w:hanging="567"/>
        <w:rPr>
          <w:noProof/>
          <w:lang w:val="es-ES"/>
        </w:rPr>
      </w:pPr>
      <w:r w:rsidRPr="00DE2BDC">
        <w:rPr>
          <w:noProof/>
          <w:lang w:val="es-ES"/>
        </w:rPr>
        <w:t>8.</w:t>
      </w:r>
      <w:r w:rsidRPr="00DE2BDC">
        <w:rPr>
          <w:noProof/>
          <w:lang w:val="es-ES"/>
        </w:rPr>
        <w:tab/>
      </w:r>
      <w:r w:rsidR="00EA24EF" w:rsidRPr="00DE2BDC">
        <w:rPr>
          <w:noProof/>
          <w:lang w:val="es-ES"/>
        </w:rPr>
        <w:t xml:space="preserve">Asimismo, se expresó preocupación </w:t>
      </w:r>
      <w:r w:rsidR="004E77BE" w:rsidRPr="00DE2BDC">
        <w:rPr>
          <w:noProof/>
          <w:lang w:val="es-ES"/>
        </w:rPr>
        <w:t>en relación con</w:t>
      </w:r>
      <w:r w:rsidR="00EA24EF" w:rsidRPr="00DE2BDC">
        <w:rPr>
          <w:noProof/>
          <w:lang w:val="es-ES"/>
        </w:rPr>
        <w:t xml:space="preserve"> las propuestas de dos nuevas iniciativas regionales de Ramsar</w:t>
      </w:r>
      <w:r w:rsidR="004E77BE" w:rsidRPr="00DE2BDC">
        <w:rPr>
          <w:noProof/>
          <w:lang w:val="es-ES"/>
        </w:rPr>
        <w:t xml:space="preserve"> que se recibieron </w:t>
      </w:r>
      <w:r w:rsidR="00EA24EF" w:rsidRPr="00DE2BDC">
        <w:rPr>
          <w:noProof/>
          <w:lang w:val="es-ES"/>
        </w:rPr>
        <w:t xml:space="preserve">en respuesta a una solicitud de la Secretaría enviada en julio de 2020. Se preguntó el motivo por el </w:t>
      </w:r>
      <w:r w:rsidR="004E77BE" w:rsidRPr="00DE2BDC">
        <w:rPr>
          <w:noProof/>
          <w:lang w:val="es-ES"/>
        </w:rPr>
        <w:t>que</w:t>
      </w:r>
      <w:r w:rsidR="00EA24EF" w:rsidRPr="00DE2BDC">
        <w:rPr>
          <w:noProof/>
          <w:lang w:val="es-ES"/>
        </w:rPr>
        <w:t xml:space="preserve">, como se señala en el párrafo 21 del documento SC59 Doc. 21.2, </w:t>
      </w:r>
      <w:r w:rsidR="003542EE" w:rsidRPr="00DE2BDC">
        <w:rPr>
          <w:noProof/>
          <w:lang w:val="es-ES"/>
        </w:rPr>
        <w:t>se había recomendado al Comité Permanente que aprobara solo</w:t>
      </w:r>
      <w:r w:rsidR="00EA24EF" w:rsidRPr="00DE2BDC">
        <w:rPr>
          <w:noProof/>
          <w:lang w:val="es-ES"/>
        </w:rPr>
        <w:t xml:space="preserve"> una de estas propuestas (en la región de la Comunidad para el Desarrollo de África Meridional). En respuesta, se señaló que el Subgrupo de Finanzas estudiaría las asignaciones presupuestarias para nuevas iniciativas regionales, y que la aprobación de nuevas iniciativas regionales se abordaría en la próxima sesión del Comité Permanente.</w:t>
      </w:r>
    </w:p>
    <w:p w14:paraId="767C5BA2" w14:textId="77777777" w:rsidR="0088167E" w:rsidRPr="00DE2BDC" w:rsidRDefault="0088167E" w:rsidP="00EA24EF">
      <w:pPr>
        <w:spacing w:after="0" w:line="240" w:lineRule="auto"/>
        <w:rPr>
          <w:noProof/>
          <w:lang w:val="es-ES"/>
        </w:rPr>
      </w:pPr>
      <w:r w:rsidRPr="00DE2BDC">
        <w:rPr>
          <w:noProof/>
          <w:lang w:val="es-ES"/>
        </w:rPr>
        <w:t xml:space="preserve"> </w:t>
      </w:r>
    </w:p>
    <w:p w14:paraId="1BD452FC" w14:textId="1309D388" w:rsidR="0088167E" w:rsidRPr="00DE2BDC" w:rsidRDefault="0088167E" w:rsidP="00CD7AAC">
      <w:pPr>
        <w:spacing w:after="0" w:line="240" w:lineRule="auto"/>
        <w:ind w:left="567" w:hanging="567"/>
        <w:rPr>
          <w:noProof/>
          <w:lang w:val="es-ES"/>
        </w:rPr>
      </w:pPr>
      <w:r w:rsidRPr="00DE2BDC">
        <w:rPr>
          <w:noProof/>
          <w:lang w:val="es-ES"/>
        </w:rPr>
        <w:t>9.</w:t>
      </w:r>
      <w:r w:rsidRPr="00DE2BDC">
        <w:rPr>
          <w:noProof/>
          <w:lang w:val="es-ES"/>
        </w:rPr>
        <w:tab/>
      </w:r>
      <w:r w:rsidR="00EA24EF" w:rsidRPr="00DE2BDC">
        <w:rPr>
          <w:noProof/>
          <w:lang w:val="es-ES"/>
        </w:rPr>
        <w:t>Hubo intervenciones de</w:t>
      </w:r>
      <w:r w:rsidRPr="00DE2BDC">
        <w:rPr>
          <w:noProof/>
          <w:lang w:val="es-ES"/>
        </w:rPr>
        <w:t xml:space="preserve"> Costa Rica,</w:t>
      </w:r>
      <w:r w:rsidR="00EA24EF" w:rsidRPr="00DE2BDC">
        <w:rPr>
          <w:noProof/>
          <w:lang w:val="es-ES"/>
        </w:rPr>
        <w:t xml:space="preserve"> los Estados Unidos de América</w:t>
      </w:r>
      <w:r w:rsidRPr="00DE2BDC">
        <w:rPr>
          <w:noProof/>
          <w:lang w:val="es-ES"/>
        </w:rPr>
        <w:t xml:space="preserve">, </w:t>
      </w:r>
      <w:r w:rsidR="00EA24EF" w:rsidRPr="00DE2BDC">
        <w:rPr>
          <w:noProof/>
          <w:lang w:val="es-ES"/>
        </w:rPr>
        <w:t>el Reino Unido de Gran Bretaña e Irlanda del Norte</w:t>
      </w:r>
      <w:r w:rsidR="00D3408C" w:rsidRPr="00DE2BDC">
        <w:rPr>
          <w:noProof/>
          <w:lang w:val="es-ES"/>
        </w:rPr>
        <w:t>,</w:t>
      </w:r>
      <w:r w:rsidR="00EA24EF" w:rsidRPr="00DE2BDC">
        <w:rPr>
          <w:noProof/>
          <w:lang w:val="es-ES"/>
        </w:rPr>
        <w:t xml:space="preserve"> la República Dominicana y Suecia.</w:t>
      </w:r>
    </w:p>
    <w:p w14:paraId="3B804E36" w14:textId="77777777" w:rsidR="0088167E" w:rsidRPr="00DE2BDC" w:rsidRDefault="0088167E" w:rsidP="00CD7AAC">
      <w:pPr>
        <w:spacing w:after="0" w:line="240" w:lineRule="auto"/>
        <w:rPr>
          <w:rFonts w:cstheme="minorHAnsi"/>
          <w:b/>
          <w:noProof/>
          <w:lang w:val="es-ES"/>
        </w:rPr>
      </w:pPr>
    </w:p>
    <w:p w14:paraId="4678C93E" w14:textId="4A2C2E34" w:rsidR="00EA24EF" w:rsidRPr="00DE2BDC" w:rsidRDefault="00D3408C" w:rsidP="00CD7AAC">
      <w:pPr>
        <w:spacing w:after="0" w:line="240" w:lineRule="auto"/>
        <w:rPr>
          <w:rFonts w:cstheme="minorHAnsi"/>
          <w:b/>
          <w:noProof/>
          <w:lang w:val="es-ES"/>
        </w:rPr>
      </w:pPr>
      <w:r w:rsidRPr="00DE2BDC">
        <w:rPr>
          <w:rFonts w:cstheme="minorHAnsi"/>
          <w:b/>
          <w:noProof/>
          <w:lang w:val="es-ES"/>
        </w:rPr>
        <w:t>Decisi</w:t>
      </w:r>
      <w:r w:rsidR="00EA24EF" w:rsidRPr="00DE2BDC">
        <w:rPr>
          <w:rFonts w:cstheme="minorHAnsi"/>
          <w:b/>
          <w:noProof/>
          <w:lang w:val="es-ES"/>
        </w:rPr>
        <w:t>ó</w:t>
      </w:r>
      <w:r w:rsidRPr="00DE2BDC">
        <w:rPr>
          <w:rFonts w:cstheme="minorHAnsi"/>
          <w:b/>
          <w:noProof/>
          <w:lang w:val="es-ES"/>
        </w:rPr>
        <w:t>n SC59-2</w:t>
      </w:r>
      <w:r w:rsidR="004903EE">
        <w:rPr>
          <w:rFonts w:cstheme="minorHAnsi"/>
          <w:b/>
          <w:noProof/>
          <w:lang w:val="es-ES"/>
        </w:rPr>
        <w:t>1</w:t>
      </w:r>
      <w:r w:rsidRPr="00DE2BDC">
        <w:rPr>
          <w:rFonts w:cstheme="minorHAnsi"/>
          <w:b/>
          <w:noProof/>
          <w:lang w:val="es-ES"/>
        </w:rPr>
        <w:t xml:space="preserve">: </w:t>
      </w:r>
      <w:r w:rsidR="00EA24EF" w:rsidRPr="00DE2BDC">
        <w:rPr>
          <w:rFonts w:cstheme="minorHAnsi"/>
          <w:b/>
          <w:noProof/>
          <w:lang w:val="es-ES"/>
        </w:rPr>
        <w:t xml:space="preserve">El Comité Permanente tomó nota del informe sobre los progresos realizados </w:t>
      </w:r>
      <w:r w:rsidR="00AA3440" w:rsidRPr="00DE2BDC">
        <w:rPr>
          <w:rFonts w:cstheme="minorHAnsi"/>
          <w:b/>
          <w:noProof/>
          <w:lang w:val="es-ES"/>
        </w:rPr>
        <w:t>por el</w:t>
      </w:r>
      <w:r w:rsidR="00EA24EF" w:rsidRPr="00DE2BDC">
        <w:rPr>
          <w:rFonts w:cstheme="minorHAnsi"/>
          <w:b/>
          <w:noProof/>
          <w:lang w:val="es-ES"/>
        </w:rPr>
        <w:t xml:space="preserve"> Grupo de trabajo sobre las iniciativas regionales de Ramsar</w:t>
      </w:r>
      <w:r w:rsidR="00AA3440" w:rsidRPr="00DE2BDC">
        <w:rPr>
          <w:rFonts w:cstheme="minorHAnsi"/>
          <w:b/>
          <w:noProof/>
          <w:lang w:val="es-ES"/>
        </w:rPr>
        <w:t>,</w:t>
      </w:r>
      <w:r w:rsidR="00EA24EF" w:rsidRPr="00DE2BDC">
        <w:rPr>
          <w:rFonts w:cstheme="minorHAnsi"/>
          <w:b/>
          <w:noProof/>
          <w:lang w:val="es-ES"/>
        </w:rPr>
        <w:t xml:space="preserve"> e invitó al Grupo a que en su próxima sesión presentar</w:t>
      </w:r>
      <w:r w:rsidR="00111D6B" w:rsidRPr="00DE2BDC">
        <w:rPr>
          <w:rFonts w:cstheme="minorHAnsi"/>
          <w:b/>
          <w:noProof/>
          <w:lang w:val="es-ES"/>
        </w:rPr>
        <w:t>a,</w:t>
      </w:r>
      <w:r w:rsidR="00EA24EF" w:rsidRPr="00DE2BDC">
        <w:rPr>
          <w:rFonts w:cstheme="minorHAnsi"/>
          <w:b/>
          <w:noProof/>
          <w:lang w:val="es-ES"/>
        </w:rPr>
        <w:t xml:space="preserve"> para su examen por la COP14, un proyecto de resolución sobre iniciativas regionales</w:t>
      </w:r>
      <w:r w:rsidR="00111D6B" w:rsidRPr="00DE2BDC">
        <w:rPr>
          <w:rFonts w:cstheme="minorHAnsi"/>
          <w:b/>
          <w:noProof/>
          <w:lang w:val="es-ES"/>
        </w:rPr>
        <w:t xml:space="preserve"> que incluyera </w:t>
      </w:r>
      <w:r w:rsidR="00EA24EF" w:rsidRPr="00DE2BDC">
        <w:rPr>
          <w:rFonts w:cstheme="minorHAnsi"/>
          <w:b/>
          <w:noProof/>
          <w:lang w:val="es-ES"/>
        </w:rPr>
        <w:t xml:space="preserve">nuevos “Lineamientos operativos </w:t>
      </w:r>
      <w:r w:rsidR="004015F3" w:rsidRPr="00DE2BDC">
        <w:rPr>
          <w:rFonts w:cstheme="minorHAnsi"/>
          <w:b/>
          <w:noProof/>
          <w:lang w:val="es-ES"/>
        </w:rPr>
        <w:t>destinado</w:t>
      </w:r>
      <w:r w:rsidR="00111D6B" w:rsidRPr="00DE2BDC">
        <w:rPr>
          <w:rFonts w:cstheme="minorHAnsi"/>
          <w:b/>
          <w:noProof/>
          <w:lang w:val="es-ES"/>
        </w:rPr>
        <w:t>s</w:t>
      </w:r>
      <w:r w:rsidR="004015F3" w:rsidRPr="00DE2BDC">
        <w:rPr>
          <w:rFonts w:cstheme="minorHAnsi"/>
          <w:b/>
          <w:noProof/>
          <w:lang w:val="es-ES"/>
        </w:rPr>
        <w:t xml:space="preserve"> a</w:t>
      </w:r>
      <w:r w:rsidR="00EA24EF" w:rsidRPr="00DE2BDC">
        <w:rPr>
          <w:rFonts w:cstheme="minorHAnsi"/>
          <w:b/>
          <w:noProof/>
          <w:lang w:val="es-ES"/>
        </w:rPr>
        <w:t xml:space="preserve"> las iniciativas regionales de Ramsar </w:t>
      </w:r>
      <w:r w:rsidR="004015F3" w:rsidRPr="00DE2BDC">
        <w:rPr>
          <w:rFonts w:cstheme="minorHAnsi"/>
          <w:b/>
          <w:noProof/>
          <w:lang w:val="es-ES"/>
        </w:rPr>
        <w:t>para apoyar</w:t>
      </w:r>
      <w:r w:rsidR="00EA24EF" w:rsidRPr="00DE2BDC">
        <w:rPr>
          <w:rFonts w:cstheme="minorHAnsi"/>
          <w:b/>
          <w:noProof/>
          <w:lang w:val="es-ES"/>
        </w:rPr>
        <w:t xml:space="preserve"> la aplicación de la Convención</w:t>
      </w:r>
      <w:r w:rsidR="004015F3" w:rsidRPr="00DE2BDC">
        <w:rPr>
          <w:rFonts w:cstheme="minorHAnsi"/>
          <w:b/>
          <w:noProof/>
          <w:lang w:val="es-ES"/>
        </w:rPr>
        <w:t>”</w:t>
      </w:r>
      <w:r w:rsidR="00EA24EF" w:rsidRPr="00DE2BDC">
        <w:rPr>
          <w:rFonts w:cstheme="minorHAnsi"/>
          <w:b/>
          <w:noProof/>
          <w:lang w:val="es-ES"/>
        </w:rPr>
        <w:t xml:space="preserve">, a fin de sustituir los </w:t>
      </w:r>
      <w:r w:rsidR="004015F3" w:rsidRPr="00DE2BDC">
        <w:rPr>
          <w:rFonts w:cstheme="minorHAnsi"/>
          <w:b/>
          <w:noProof/>
          <w:lang w:val="es-ES"/>
        </w:rPr>
        <w:t>l</w:t>
      </w:r>
      <w:r w:rsidR="00EA24EF" w:rsidRPr="00DE2BDC">
        <w:rPr>
          <w:rFonts w:cstheme="minorHAnsi"/>
          <w:b/>
          <w:noProof/>
          <w:lang w:val="es-ES"/>
        </w:rPr>
        <w:t xml:space="preserve">ineamientos </w:t>
      </w:r>
      <w:r w:rsidR="00111D6B" w:rsidRPr="00DE2BDC">
        <w:rPr>
          <w:rFonts w:cstheme="minorHAnsi"/>
          <w:b/>
          <w:noProof/>
          <w:lang w:val="es-ES"/>
        </w:rPr>
        <w:t>aprobados</w:t>
      </w:r>
      <w:r w:rsidR="00EA24EF" w:rsidRPr="00DE2BDC">
        <w:rPr>
          <w:rFonts w:cstheme="minorHAnsi"/>
          <w:b/>
          <w:noProof/>
          <w:lang w:val="es-ES"/>
        </w:rPr>
        <w:t xml:space="preserve"> mediante la Decisión SC52-16.</w:t>
      </w:r>
    </w:p>
    <w:p w14:paraId="2F6BD558" w14:textId="77777777" w:rsidR="00362114" w:rsidRPr="00DE2BDC" w:rsidRDefault="00362114" w:rsidP="00111D6B">
      <w:pPr>
        <w:spacing w:after="0" w:line="240" w:lineRule="auto"/>
        <w:rPr>
          <w:rFonts w:cstheme="minorHAnsi"/>
          <w:b/>
          <w:noProof/>
          <w:color w:val="A6A6A6" w:themeColor="background1" w:themeShade="A6"/>
          <w:lang w:val="es-ES"/>
        </w:rPr>
      </w:pPr>
    </w:p>
    <w:p w14:paraId="56E45467" w14:textId="0BCBCEFC" w:rsidR="000E5517"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Punto 11 del orden del día</w:t>
      </w:r>
      <w:r w:rsidR="000E5517" w:rsidRPr="00DE2BDC">
        <w:rPr>
          <w:noProof/>
          <w:lang w:val="es-ES"/>
        </w:rPr>
        <w:t xml:space="preserve">: </w:t>
      </w:r>
      <w:r w:rsidRPr="00DE2BDC">
        <w:rPr>
          <w:rFonts w:cstheme="minorHAnsi"/>
          <w:bCs/>
          <w:noProof/>
          <w:lang w:val="es-ES"/>
        </w:rPr>
        <w:t>Informe del Grupo de trabajo sobre la eficacia</w:t>
      </w:r>
    </w:p>
    <w:p w14:paraId="1086DF8B" w14:textId="77777777" w:rsidR="002B1C9D" w:rsidRPr="00DE2BDC" w:rsidRDefault="002B1C9D" w:rsidP="00CD7AAC">
      <w:pPr>
        <w:spacing w:after="0" w:line="240" w:lineRule="auto"/>
        <w:contextualSpacing/>
        <w:rPr>
          <w:noProof/>
          <w:color w:val="A6A6A6" w:themeColor="background1" w:themeShade="A6"/>
          <w:lang w:val="es-ES"/>
        </w:rPr>
      </w:pPr>
    </w:p>
    <w:p w14:paraId="5CC3F594" w14:textId="019F798F" w:rsidR="00111D6B" w:rsidRPr="00DE2BDC" w:rsidRDefault="000E5517" w:rsidP="00CD7AAC">
      <w:pPr>
        <w:spacing w:after="0" w:line="240" w:lineRule="auto"/>
        <w:ind w:left="567" w:hanging="567"/>
        <w:rPr>
          <w:noProof/>
          <w:lang w:val="es-ES"/>
        </w:rPr>
      </w:pPr>
      <w:r w:rsidRPr="00DE2BDC">
        <w:rPr>
          <w:noProof/>
          <w:lang w:val="es-ES"/>
        </w:rPr>
        <w:t>10.</w:t>
      </w:r>
      <w:r w:rsidRPr="00DE2BDC">
        <w:rPr>
          <w:noProof/>
          <w:lang w:val="es-ES"/>
        </w:rPr>
        <w:tab/>
      </w:r>
      <w:r w:rsidR="00111D6B" w:rsidRPr="00DE2BDC">
        <w:rPr>
          <w:noProof/>
          <w:lang w:val="es-ES"/>
        </w:rPr>
        <w:t xml:space="preserve">La presidencia del </w:t>
      </w:r>
      <w:r w:rsidR="00111D6B" w:rsidRPr="00DE2BDC">
        <w:rPr>
          <w:rFonts w:cstheme="minorHAnsi"/>
          <w:bCs/>
          <w:noProof/>
          <w:lang w:val="es-ES"/>
        </w:rPr>
        <w:t>Grupo de trabajo sobre la eficacia (el Reino Unido de Gran Bretaña e Irlanda del Norte) presentó el informe del Grupo que figura en el documento</w:t>
      </w:r>
      <w:r w:rsidR="00111D6B" w:rsidRPr="00DE2BDC">
        <w:rPr>
          <w:noProof/>
          <w:lang w:val="es-ES"/>
        </w:rPr>
        <w:t xml:space="preserve"> SC59 Doc.11, observando que, debido a la pandemia, el Grupo no había podido </w:t>
      </w:r>
      <w:r w:rsidR="005204D7" w:rsidRPr="00DE2BDC">
        <w:rPr>
          <w:noProof/>
          <w:lang w:val="es-ES"/>
        </w:rPr>
        <w:t>terminar</w:t>
      </w:r>
      <w:r w:rsidR="00111D6B" w:rsidRPr="00DE2BDC">
        <w:rPr>
          <w:noProof/>
          <w:lang w:val="es-ES"/>
        </w:rPr>
        <w:t xml:space="preserve"> su trabajo. </w:t>
      </w:r>
      <w:r w:rsidR="005204D7" w:rsidRPr="00DE2BDC">
        <w:rPr>
          <w:noProof/>
          <w:lang w:val="es-ES"/>
        </w:rPr>
        <w:lastRenderedPageBreak/>
        <w:t>Informó que un</w:t>
      </w:r>
      <w:r w:rsidR="00111D6B" w:rsidRPr="00DE2BDC">
        <w:rPr>
          <w:noProof/>
          <w:lang w:val="es-ES"/>
        </w:rPr>
        <w:t xml:space="preserve"> consultor había </w:t>
      </w:r>
      <w:r w:rsidR="005204D7" w:rsidRPr="00DE2BDC">
        <w:rPr>
          <w:noProof/>
          <w:lang w:val="es-ES"/>
        </w:rPr>
        <w:t>elaborado</w:t>
      </w:r>
      <w:r w:rsidR="00111D6B" w:rsidRPr="00DE2BDC">
        <w:rPr>
          <w:noProof/>
          <w:lang w:val="es-ES"/>
        </w:rPr>
        <w:t xml:space="preserve"> tres informes relacionados con la gobernanza de la Convención </w:t>
      </w:r>
      <w:r w:rsidR="005204D7" w:rsidRPr="00DE2BDC">
        <w:rPr>
          <w:noProof/>
          <w:lang w:val="es-ES"/>
        </w:rPr>
        <w:t>que</w:t>
      </w:r>
      <w:r w:rsidR="00111D6B" w:rsidRPr="00DE2BDC">
        <w:rPr>
          <w:noProof/>
          <w:lang w:val="es-ES"/>
        </w:rPr>
        <w:t xml:space="preserve"> se incluían como anexos del documento</w:t>
      </w:r>
      <w:r w:rsidR="000F008B" w:rsidRPr="00DE2BDC">
        <w:rPr>
          <w:noProof/>
          <w:lang w:val="es-ES"/>
        </w:rPr>
        <w:t>, y que e</w:t>
      </w:r>
      <w:r w:rsidR="00111D6B" w:rsidRPr="00DE2BDC">
        <w:rPr>
          <w:noProof/>
          <w:lang w:val="es-ES"/>
        </w:rPr>
        <w:t xml:space="preserve">l </w:t>
      </w:r>
      <w:r w:rsidR="005204D7" w:rsidRPr="00DE2BDC">
        <w:rPr>
          <w:noProof/>
          <w:lang w:val="es-ES"/>
        </w:rPr>
        <w:t xml:space="preserve">último </w:t>
      </w:r>
      <w:r w:rsidR="00111D6B" w:rsidRPr="00DE2BDC">
        <w:rPr>
          <w:noProof/>
          <w:lang w:val="es-ES"/>
        </w:rPr>
        <w:t xml:space="preserve">informe contenía recomendaciones </w:t>
      </w:r>
      <w:r w:rsidR="005204D7" w:rsidRPr="00DE2BDC">
        <w:rPr>
          <w:noProof/>
          <w:lang w:val="es-ES"/>
        </w:rPr>
        <w:t>del</w:t>
      </w:r>
      <w:r w:rsidR="00111D6B" w:rsidRPr="00DE2BDC">
        <w:rPr>
          <w:noProof/>
          <w:lang w:val="es-ES"/>
        </w:rPr>
        <w:t xml:space="preserve"> consultor sobre posibles medidas para mejorar la eficacia de la Convención. </w:t>
      </w:r>
      <w:r w:rsidR="000F008B" w:rsidRPr="00DE2BDC">
        <w:rPr>
          <w:noProof/>
          <w:lang w:val="es-ES"/>
        </w:rPr>
        <w:t>Comentó</w:t>
      </w:r>
      <w:r w:rsidR="00111D6B" w:rsidRPr="00DE2BDC">
        <w:rPr>
          <w:noProof/>
          <w:lang w:val="es-ES"/>
        </w:rPr>
        <w:t xml:space="preserve"> que el grupo de trabajo </w:t>
      </w:r>
      <w:r w:rsidR="005204D7" w:rsidRPr="00DE2BDC">
        <w:rPr>
          <w:noProof/>
          <w:lang w:val="es-ES"/>
        </w:rPr>
        <w:t xml:space="preserve">las </w:t>
      </w:r>
      <w:r w:rsidR="00111D6B" w:rsidRPr="00DE2BDC">
        <w:rPr>
          <w:noProof/>
          <w:lang w:val="es-ES"/>
        </w:rPr>
        <w:t>estaba evaluando</w:t>
      </w:r>
      <w:r w:rsidR="005204D7" w:rsidRPr="00DE2BDC">
        <w:rPr>
          <w:noProof/>
          <w:lang w:val="es-ES"/>
        </w:rPr>
        <w:t xml:space="preserve"> y</w:t>
      </w:r>
      <w:r w:rsidR="000F008B" w:rsidRPr="00DE2BDC">
        <w:rPr>
          <w:noProof/>
          <w:lang w:val="es-ES"/>
        </w:rPr>
        <w:t xml:space="preserve"> que</w:t>
      </w:r>
      <w:r w:rsidR="005204D7" w:rsidRPr="00DE2BDC">
        <w:rPr>
          <w:noProof/>
          <w:lang w:val="es-ES"/>
        </w:rPr>
        <w:t xml:space="preserve">, </w:t>
      </w:r>
      <w:r w:rsidR="000F008B" w:rsidRPr="00DE2BDC">
        <w:rPr>
          <w:noProof/>
          <w:lang w:val="es-ES"/>
        </w:rPr>
        <w:t>luego de</w:t>
      </w:r>
      <w:r w:rsidR="005204D7" w:rsidRPr="00DE2BDC">
        <w:rPr>
          <w:noProof/>
          <w:lang w:val="es-ES"/>
        </w:rPr>
        <w:t xml:space="preserve"> sus deliberaciones, </w:t>
      </w:r>
      <w:r w:rsidR="000F008B" w:rsidRPr="00DE2BDC">
        <w:rPr>
          <w:noProof/>
          <w:lang w:val="es-ES"/>
        </w:rPr>
        <w:t>presentaría</w:t>
      </w:r>
      <w:r w:rsidR="005204D7" w:rsidRPr="00DE2BDC">
        <w:rPr>
          <w:noProof/>
          <w:lang w:val="es-ES"/>
        </w:rPr>
        <w:t xml:space="preserve"> un proyecto de resolución a la próxima sesión del Comité Permanente para su examen.</w:t>
      </w:r>
      <w:r w:rsidR="00111D6B" w:rsidRPr="00DE2BDC">
        <w:rPr>
          <w:noProof/>
          <w:lang w:val="es-ES"/>
        </w:rPr>
        <w:t xml:space="preserve"> </w:t>
      </w:r>
    </w:p>
    <w:p w14:paraId="5E905D04" w14:textId="77777777" w:rsidR="000E5517" w:rsidRPr="00DE2BDC" w:rsidRDefault="000E5517" w:rsidP="00243ADD">
      <w:pPr>
        <w:spacing w:after="0" w:line="240" w:lineRule="auto"/>
        <w:rPr>
          <w:noProof/>
          <w:lang w:val="es-ES"/>
        </w:rPr>
      </w:pPr>
    </w:p>
    <w:p w14:paraId="28DA5D41" w14:textId="6B11398F" w:rsidR="00243ADD" w:rsidRPr="00DE2BDC" w:rsidRDefault="000E5517" w:rsidP="00CD7AAC">
      <w:pPr>
        <w:spacing w:after="0" w:line="240" w:lineRule="auto"/>
        <w:ind w:left="567" w:hanging="567"/>
        <w:rPr>
          <w:noProof/>
          <w:lang w:val="es-ES"/>
        </w:rPr>
      </w:pPr>
      <w:r w:rsidRPr="00DE2BDC">
        <w:rPr>
          <w:noProof/>
          <w:lang w:val="es-ES"/>
        </w:rPr>
        <w:t>11.</w:t>
      </w:r>
      <w:r w:rsidRPr="00DE2BDC">
        <w:rPr>
          <w:noProof/>
          <w:lang w:val="es-ES"/>
        </w:rPr>
        <w:tab/>
      </w:r>
      <w:r w:rsidR="00243ADD" w:rsidRPr="00DE2BDC">
        <w:rPr>
          <w:noProof/>
          <w:lang w:val="es-ES"/>
        </w:rPr>
        <w:t xml:space="preserve">En el debate se </w:t>
      </w:r>
      <w:r w:rsidR="00F45103" w:rsidRPr="00DE2BDC">
        <w:rPr>
          <w:noProof/>
          <w:lang w:val="es-ES"/>
        </w:rPr>
        <w:t>expuso</w:t>
      </w:r>
      <w:r w:rsidR="00243ADD" w:rsidRPr="00DE2BDC">
        <w:rPr>
          <w:noProof/>
          <w:lang w:val="es-ES"/>
        </w:rPr>
        <w:t xml:space="preserve"> que, dado que los informes </w:t>
      </w:r>
      <w:r w:rsidR="00F45103" w:rsidRPr="00DE2BDC">
        <w:rPr>
          <w:noProof/>
          <w:lang w:val="es-ES"/>
        </w:rPr>
        <w:t>del</w:t>
      </w:r>
      <w:r w:rsidR="00243ADD" w:rsidRPr="00DE2BDC">
        <w:rPr>
          <w:noProof/>
          <w:lang w:val="es-ES"/>
        </w:rPr>
        <w:t xml:space="preserve"> consultor eran extensos, las Partes Contratantes </w:t>
      </w:r>
      <w:r w:rsidR="0007286C" w:rsidRPr="00DE2BDC">
        <w:rPr>
          <w:noProof/>
          <w:lang w:val="es-ES"/>
        </w:rPr>
        <w:t>requerirían</w:t>
      </w:r>
      <w:r w:rsidR="00243ADD" w:rsidRPr="00DE2BDC">
        <w:rPr>
          <w:noProof/>
          <w:lang w:val="es-ES"/>
        </w:rPr>
        <w:t xml:space="preserve"> </w:t>
      </w:r>
      <w:r w:rsidR="00101754" w:rsidRPr="00DE2BDC">
        <w:rPr>
          <w:noProof/>
          <w:lang w:val="es-ES"/>
        </w:rPr>
        <w:t>algún</w:t>
      </w:r>
      <w:r w:rsidR="00243ADD" w:rsidRPr="00DE2BDC">
        <w:rPr>
          <w:noProof/>
          <w:lang w:val="es-ES"/>
        </w:rPr>
        <w:t xml:space="preserve"> tiempo para asimilar su contenido. Se alentó al grupo de trabajo </w:t>
      </w:r>
      <w:r w:rsidR="00F45103" w:rsidRPr="00DE2BDC">
        <w:rPr>
          <w:noProof/>
          <w:lang w:val="es-ES"/>
        </w:rPr>
        <w:t xml:space="preserve">a </w:t>
      </w:r>
      <w:r w:rsidR="00243ADD" w:rsidRPr="00DE2BDC">
        <w:rPr>
          <w:noProof/>
          <w:lang w:val="es-ES"/>
        </w:rPr>
        <w:t xml:space="preserve">que continuara su labor y explorara todas las opciones </w:t>
      </w:r>
      <w:r w:rsidR="0007286C" w:rsidRPr="00DE2BDC">
        <w:rPr>
          <w:noProof/>
          <w:lang w:val="es-ES"/>
        </w:rPr>
        <w:t>para</w:t>
      </w:r>
      <w:r w:rsidR="00243ADD" w:rsidRPr="00DE2BDC">
        <w:rPr>
          <w:noProof/>
          <w:lang w:val="es-ES"/>
        </w:rPr>
        <w:t xml:space="preserve"> formular</w:t>
      </w:r>
      <w:r w:rsidR="0007286C" w:rsidRPr="00DE2BDC">
        <w:rPr>
          <w:noProof/>
          <w:lang w:val="es-ES"/>
        </w:rPr>
        <w:t xml:space="preserve"> sus</w:t>
      </w:r>
      <w:r w:rsidR="00243ADD" w:rsidRPr="00DE2BDC">
        <w:rPr>
          <w:noProof/>
          <w:lang w:val="es-ES"/>
        </w:rPr>
        <w:t xml:space="preserve"> recomendaciones </w:t>
      </w:r>
      <w:r w:rsidR="0007286C" w:rsidRPr="00DE2BDC">
        <w:rPr>
          <w:noProof/>
          <w:lang w:val="es-ES"/>
        </w:rPr>
        <w:t>a fin de</w:t>
      </w:r>
      <w:r w:rsidR="00243ADD" w:rsidRPr="00DE2BDC">
        <w:rPr>
          <w:noProof/>
          <w:lang w:val="es-ES"/>
        </w:rPr>
        <w:t xml:space="preserve"> mejorar la eficacia de la Convención.</w:t>
      </w:r>
    </w:p>
    <w:p w14:paraId="2584B59E" w14:textId="77777777" w:rsidR="000E5517" w:rsidRPr="00DE2BDC" w:rsidRDefault="000E5517" w:rsidP="000F2BB6">
      <w:pPr>
        <w:spacing w:after="0" w:line="240" w:lineRule="auto"/>
        <w:rPr>
          <w:noProof/>
          <w:lang w:val="es-ES"/>
        </w:rPr>
      </w:pPr>
    </w:p>
    <w:p w14:paraId="6F383846" w14:textId="718C7DE5" w:rsidR="000E5517" w:rsidRPr="00DE2BDC" w:rsidRDefault="000E5517" w:rsidP="00CD7AAC">
      <w:pPr>
        <w:spacing w:after="0" w:line="240" w:lineRule="auto"/>
        <w:ind w:left="567" w:hanging="567"/>
        <w:rPr>
          <w:noProof/>
          <w:lang w:val="es-ES"/>
        </w:rPr>
      </w:pPr>
      <w:r w:rsidRPr="00DE2BDC">
        <w:rPr>
          <w:noProof/>
          <w:lang w:val="es-ES"/>
        </w:rPr>
        <w:t>12.</w:t>
      </w:r>
      <w:r w:rsidRPr="00DE2BDC">
        <w:rPr>
          <w:noProof/>
          <w:lang w:val="es-ES"/>
        </w:rPr>
        <w:tab/>
      </w:r>
      <w:r w:rsidR="000F2BB6" w:rsidRPr="00DE2BDC">
        <w:rPr>
          <w:noProof/>
          <w:lang w:val="es-ES"/>
        </w:rPr>
        <w:t>Hubo intervenciones de</w:t>
      </w:r>
      <w:r w:rsidRPr="00DE2BDC">
        <w:rPr>
          <w:noProof/>
          <w:lang w:val="es-ES"/>
        </w:rPr>
        <w:t xml:space="preserve"> China, </w:t>
      </w:r>
      <w:r w:rsidR="000F2BB6" w:rsidRPr="00DE2BDC">
        <w:rPr>
          <w:noProof/>
          <w:lang w:val="es-ES"/>
        </w:rPr>
        <w:t>el Reino Unido de Gran Bretaña e Irlanda del Norte</w:t>
      </w:r>
      <w:r w:rsidRPr="00DE2BDC">
        <w:rPr>
          <w:noProof/>
          <w:lang w:val="es-ES"/>
        </w:rPr>
        <w:t xml:space="preserve"> </w:t>
      </w:r>
      <w:r w:rsidR="000F2BB6" w:rsidRPr="00DE2BDC">
        <w:rPr>
          <w:noProof/>
          <w:lang w:val="es-ES"/>
        </w:rPr>
        <w:t>y Suecia.</w:t>
      </w:r>
    </w:p>
    <w:p w14:paraId="5AD3D961" w14:textId="77777777" w:rsidR="000E5517" w:rsidRPr="00DE2BDC" w:rsidRDefault="000E5517" w:rsidP="00CD7AAC">
      <w:pPr>
        <w:spacing w:after="0" w:line="240" w:lineRule="auto"/>
        <w:rPr>
          <w:rFonts w:cstheme="minorHAnsi"/>
          <w:b/>
          <w:noProof/>
          <w:lang w:val="es-ES"/>
        </w:rPr>
      </w:pPr>
    </w:p>
    <w:p w14:paraId="0C473323" w14:textId="53BA6E1C" w:rsidR="001519AE" w:rsidRPr="00DE2BDC" w:rsidRDefault="001519AE" w:rsidP="00CD7AAC">
      <w:pPr>
        <w:spacing w:after="0" w:line="240" w:lineRule="auto"/>
        <w:rPr>
          <w:rFonts w:cstheme="minorHAnsi"/>
          <w:b/>
          <w:noProof/>
          <w:lang w:val="es-ES"/>
        </w:rPr>
      </w:pPr>
      <w:r w:rsidRPr="00DE2BDC">
        <w:rPr>
          <w:rFonts w:cstheme="minorHAnsi"/>
          <w:b/>
          <w:noProof/>
          <w:lang w:val="es-ES"/>
        </w:rPr>
        <w:t>Decisi</w:t>
      </w:r>
      <w:r w:rsidR="002C7ED5" w:rsidRPr="00DE2BDC">
        <w:rPr>
          <w:rFonts w:cstheme="minorHAnsi"/>
          <w:b/>
          <w:noProof/>
          <w:lang w:val="es-ES"/>
        </w:rPr>
        <w:t>ó</w:t>
      </w:r>
      <w:r w:rsidRPr="00DE2BDC">
        <w:rPr>
          <w:rFonts w:cstheme="minorHAnsi"/>
          <w:b/>
          <w:noProof/>
          <w:lang w:val="es-ES"/>
        </w:rPr>
        <w:t>n SC59-2</w:t>
      </w:r>
      <w:r w:rsidR="004903EE">
        <w:rPr>
          <w:rFonts w:cstheme="minorHAnsi"/>
          <w:b/>
          <w:noProof/>
          <w:lang w:val="es-ES"/>
        </w:rPr>
        <w:t>2</w:t>
      </w:r>
      <w:r w:rsidRPr="00DE2BDC">
        <w:rPr>
          <w:rFonts w:cstheme="minorHAnsi"/>
          <w:b/>
          <w:noProof/>
          <w:lang w:val="es-ES"/>
        </w:rPr>
        <w:t xml:space="preserve">: </w:t>
      </w:r>
      <w:r w:rsidR="000F2BB6" w:rsidRPr="00DE2BDC">
        <w:rPr>
          <w:rFonts w:cstheme="minorHAnsi"/>
          <w:b/>
          <w:noProof/>
          <w:lang w:val="es-ES"/>
        </w:rPr>
        <w:t>El Comité Permanente tomó nota del informe del Grupo de trabajo sobre la eficacia que figura en el documento SC59 Doc.11.</w:t>
      </w:r>
    </w:p>
    <w:p w14:paraId="2281717A" w14:textId="77777777" w:rsidR="001519AE" w:rsidRPr="00DE2BDC" w:rsidRDefault="001519AE" w:rsidP="00CD7AAC">
      <w:pPr>
        <w:spacing w:after="0" w:line="240" w:lineRule="auto"/>
        <w:contextualSpacing/>
        <w:rPr>
          <w:rFonts w:cstheme="minorHAnsi"/>
          <w:b/>
          <w:noProof/>
          <w:color w:val="A6A6A6" w:themeColor="background1" w:themeShade="A6"/>
          <w:lang w:val="es-ES"/>
        </w:rPr>
      </w:pPr>
    </w:p>
    <w:p w14:paraId="1AE2A37F" w14:textId="03A705CC" w:rsidR="00D94E16" w:rsidRPr="00DE2BDC" w:rsidRDefault="00D94E16" w:rsidP="00CD7AA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DE2BDC">
        <w:rPr>
          <w:rFonts w:cstheme="minorHAnsi"/>
          <w:bCs/>
          <w:noProof/>
          <w:lang w:val="es-ES"/>
        </w:rPr>
        <w:t>Punto 14 del orden del día</w:t>
      </w:r>
      <w:r w:rsidRPr="00DE2BDC">
        <w:rPr>
          <w:noProof/>
          <w:lang w:val="es-ES"/>
        </w:rPr>
        <w:t xml:space="preserve">: </w:t>
      </w:r>
      <w:r w:rsidRPr="00DE2BDC">
        <w:rPr>
          <w:rFonts w:cstheme="minorHAnsi"/>
          <w:noProof/>
          <w:lang w:val="es-ES"/>
        </w:rPr>
        <w:t>Informe del Grupo de trabajo sobre la condición</w:t>
      </w:r>
      <w:r w:rsidRPr="00DE2BDC">
        <w:rPr>
          <w:rFonts w:cstheme="minorHAnsi"/>
          <w:bCs/>
          <w:noProof/>
          <w:lang w:val="es-ES"/>
        </w:rPr>
        <w:t xml:space="preserve"> de observador en la Asamblea General de las Naciones Unidas</w:t>
      </w:r>
    </w:p>
    <w:p w14:paraId="0630469D" w14:textId="77777777" w:rsidR="00CD7AAC" w:rsidRPr="00DE2BDC" w:rsidRDefault="00CD7AAC" w:rsidP="00CD7AAC">
      <w:pPr>
        <w:spacing w:after="0" w:line="240" w:lineRule="auto"/>
        <w:ind w:left="567" w:hanging="567"/>
        <w:rPr>
          <w:noProof/>
          <w:lang w:val="es-ES"/>
        </w:rPr>
      </w:pPr>
    </w:p>
    <w:p w14:paraId="6BEF6001" w14:textId="27D8A251" w:rsidR="002C4145" w:rsidRPr="00DE2BDC" w:rsidRDefault="001519AE" w:rsidP="00CD7AAC">
      <w:pPr>
        <w:spacing w:after="0" w:line="240" w:lineRule="auto"/>
        <w:ind w:left="567" w:hanging="567"/>
        <w:rPr>
          <w:noProof/>
          <w:lang w:val="es-ES"/>
        </w:rPr>
      </w:pPr>
      <w:r w:rsidRPr="00DE2BDC">
        <w:rPr>
          <w:noProof/>
          <w:lang w:val="es-ES"/>
        </w:rPr>
        <w:t>13.</w:t>
      </w:r>
      <w:r w:rsidRPr="00DE2BDC">
        <w:rPr>
          <w:noProof/>
          <w:lang w:val="es-ES"/>
        </w:rPr>
        <w:tab/>
      </w:r>
      <w:r w:rsidR="00FD6C7F" w:rsidRPr="00DE2BDC">
        <w:rPr>
          <w:noProof/>
          <w:lang w:val="es-ES"/>
        </w:rPr>
        <w:t xml:space="preserve">La presidencia del grupo de trabajo presentó su informe que figura en el documento SC59 Doc.14, advirtiendo que en él se resumían las conclusiones de una consultoría jurídica </w:t>
      </w:r>
      <w:r w:rsidR="00126264" w:rsidRPr="00DE2BDC">
        <w:rPr>
          <w:noProof/>
          <w:lang w:val="es-ES"/>
        </w:rPr>
        <w:t>que se realizó a fin de</w:t>
      </w:r>
      <w:r w:rsidR="00FD6C7F" w:rsidRPr="00DE2BDC">
        <w:rPr>
          <w:noProof/>
          <w:lang w:val="es-ES"/>
        </w:rPr>
        <w:t xml:space="preserve"> </w:t>
      </w:r>
      <w:r w:rsidR="00126264" w:rsidRPr="00DE2BDC">
        <w:rPr>
          <w:noProof/>
          <w:lang w:val="es-ES"/>
        </w:rPr>
        <w:t>estudiar</w:t>
      </w:r>
      <w:r w:rsidR="00FD6C7F" w:rsidRPr="00DE2BDC">
        <w:rPr>
          <w:noProof/>
          <w:lang w:val="es-ES"/>
        </w:rPr>
        <w:t xml:space="preserve"> las opciones </w:t>
      </w:r>
      <w:r w:rsidR="00126264" w:rsidRPr="00DE2BDC">
        <w:rPr>
          <w:noProof/>
          <w:lang w:val="es-ES"/>
        </w:rPr>
        <w:t>para</w:t>
      </w:r>
      <w:r w:rsidR="00FD6C7F" w:rsidRPr="00DE2BDC">
        <w:rPr>
          <w:noProof/>
          <w:lang w:val="es-ES"/>
        </w:rPr>
        <w:t xml:space="preserve"> </w:t>
      </w:r>
      <w:r w:rsidR="00AF193F" w:rsidRPr="00DE2BDC">
        <w:rPr>
          <w:noProof/>
          <w:lang w:val="es-ES"/>
        </w:rPr>
        <w:t>aumentar</w:t>
      </w:r>
      <w:r w:rsidR="00FD6C7F" w:rsidRPr="00DE2BDC">
        <w:rPr>
          <w:noProof/>
          <w:lang w:val="es-ES"/>
        </w:rPr>
        <w:t xml:space="preserve"> la participación en los foros y procesos de alto nivel de las Naciones Unidas en el marco de la Asamblea General de las Naciones Unidas (AGNU). El grupo de trabajo estaba analizando las repercusiones financieras de las diferentes opciones presentadas en el informe del consultor y </w:t>
      </w:r>
      <w:r w:rsidR="00AF193F" w:rsidRPr="00DE2BDC">
        <w:rPr>
          <w:noProof/>
          <w:lang w:val="es-ES"/>
        </w:rPr>
        <w:t>esperaba</w:t>
      </w:r>
      <w:r w:rsidR="00FD6C7F" w:rsidRPr="00DE2BDC">
        <w:rPr>
          <w:noProof/>
          <w:lang w:val="es-ES"/>
        </w:rPr>
        <w:t xml:space="preserve"> </w:t>
      </w:r>
      <w:r w:rsidR="00AF193F" w:rsidRPr="00DE2BDC">
        <w:rPr>
          <w:noProof/>
          <w:lang w:val="es-ES"/>
        </w:rPr>
        <w:t>presentar sus recomendaciones finales en la próxima reunión del</w:t>
      </w:r>
      <w:r w:rsidR="00FD6C7F" w:rsidRPr="00DE2BDC">
        <w:rPr>
          <w:noProof/>
          <w:lang w:val="es-ES"/>
        </w:rPr>
        <w:t xml:space="preserve"> Comité Permanente.</w:t>
      </w:r>
    </w:p>
    <w:p w14:paraId="0FB44FB3" w14:textId="77777777" w:rsidR="001519AE" w:rsidRPr="00DE2BDC" w:rsidRDefault="001519AE" w:rsidP="00126264">
      <w:pPr>
        <w:spacing w:after="0" w:line="240" w:lineRule="auto"/>
        <w:rPr>
          <w:noProof/>
          <w:lang w:val="es-ES"/>
        </w:rPr>
      </w:pPr>
    </w:p>
    <w:p w14:paraId="5F847D00" w14:textId="747F95C0" w:rsidR="00126264" w:rsidRPr="00DE2BDC" w:rsidRDefault="001519AE" w:rsidP="00CD7AAC">
      <w:pPr>
        <w:spacing w:after="0" w:line="240" w:lineRule="auto"/>
        <w:ind w:left="567" w:hanging="567"/>
        <w:rPr>
          <w:noProof/>
          <w:lang w:val="es-ES"/>
        </w:rPr>
      </w:pPr>
      <w:r w:rsidRPr="00DE2BDC">
        <w:rPr>
          <w:noProof/>
          <w:lang w:val="es-ES"/>
        </w:rPr>
        <w:t>14.</w:t>
      </w:r>
      <w:r w:rsidRPr="00DE2BDC">
        <w:rPr>
          <w:noProof/>
          <w:lang w:val="es-ES"/>
        </w:rPr>
        <w:tab/>
      </w:r>
      <w:r w:rsidR="00126264" w:rsidRPr="00DE2BDC">
        <w:rPr>
          <w:noProof/>
          <w:lang w:val="es-ES"/>
        </w:rPr>
        <w:t xml:space="preserve">Durante las </w:t>
      </w:r>
      <w:r w:rsidR="00E0309C" w:rsidRPr="00DE2BDC">
        <w:rPr>
          <w:noProof/>
          <w:lang w:val="es-ES"/>
        </w:rPr>
        <w:t>deliberaciones</w:t>
      </w:r>
      <w:r w:rsidR="00126264" w:rsidRPr="00DE2BDC">
        <w:rPr>
          <w:noProof/>
          <w:lang w:val="es-ES"/>
        </w:rPr>
        <w:t xml:space="preserve"> se observó que en las consultas informales con los miembros del Consejo Económico y Social (ECOSOC) se había revelado que era probable que la Convención avanzara poco </w:t>
      </w:r>
      <w:r w:rsidR="00E0309C" w:rsidRPr="00DE2BDC">
        <w:rPr>
          <w:noProof/>
          <w:lang w:val="es-ES"/>
        </w:rPr>
        <w:t>para</w:t>
      </w:r>
      <w:r w:rsidR="008728BF" w:rsidRPr="00DE2BDC">
        <w:rPr>
          <w:noProof/>
          <w:lang w:val="es-ES"/>
        </w:rPr>
        <w:t xml:space="preserve"> </w:t>
      </w:r>
      <w:r w:rsidR="00E0309C" w:rsidRPr="00DE2BDC">
        <w:rPr>
          <w:noProof/>
          <w:lang w:val="es-ES"/>
        </w:rPr>
        <w:t>alcanzar</w:t>
      </w:r>
      <w:r w:rsidR="008728BF" w:rsidRPr="00DE2BDC">
        <w:rPr>
          <w:noProof/>
          <w:lang w:val="es-ES"/>
        </w:rPr>
        <w:t xml:space="preserve"> la condición</w:t>
      </w:r>
      <w:r w:rsidR="00126264" w:rsidRPr="00DE2BDC">
        <w:rPr>
          <w:noProof/>
          <w:lang w:val="es-ES"/>
        </w:rPr>
        <w:t xml:space="preserve"> de observador en dicho Consejo</w:t>
      </w:r>
      <w:r w:rsidR="00E0309C" w:rsidRPr="00DE2BDC">
        <w:rPr>
          <w:noProof/>
          <w:lang w:val="es-ES"/>
        </w:rPr>
        <w:t>,</w:t>
      </w:r>
      <w:r w:rsidR="00126264" w:rsidRPr="00DE2BDC">
        <w:rPr>
          <w:noProof/>
          <w:lang w:val="es-ES"/>
        </w:rPr>
        <w:t xml:space="preserve"> hasta que se resolviera la cuestión de su </w:t>
      </w:r>
      <w:r w:rsidR="008728BF" w:rsidRPr="00DE2BDC">
        <w:rPr>
          <w:noProof/>
          <w:lang w:val="es-ES"/>
        </w:rPr>
        <w:t>condición</w:t>
      </w:r>
      <w:r w:rsidR="00126264" w:rsidRPr="00DE2BDC">
        <w:rPr>
          <w:noProof/>
          <w:lang w:val="es-ES"/>
        </w:rPr>
        <w:t xml:space="preserve"> en la AGNU.</w:t>
      </w:r>
    </w:p>
    <w:p w14:paraId="3A0B5E1F" w14:textId="77777777" w:rsidR="001519AE" w:rsidRPr="00DE2BDC" w:rsidRDefault="001519AE" w:rsidP="00126264">
      <w:pPr>
        <w:spacing w:after="0" w:line="240" w:lineRule="auto"/>
        <w:rPr>
          <w:noProof/>
          <w:lang w:val="es-ES"/>
        </w:rPr>
      </w:pPr>
    </w:p>
    <w:p w14:paraId="73403B14" w14:textId="05827AB1" w:rsidR="00126264" w:rsidRPr="00DE2BDC" w:rsidRDefault="001519AE" w:rsidP="00CD7AAC">
      <w:pPr>
        <w:spacing w:after="0" w:line="240" w:lineRule="auto"/>
        <w:ind w:left="567" w:hanging="567"/>
        <w:rPr>
          <w:noProof/>
          <w:lang w:val="es-ES"/>
        </w:rPr>
      </w:pPr>
      <w:r w:rsidRPr="00DE2BDC">
        <w:rPr>
          <w:noProof/>
          <w:lang w:val="es-ES"/>
        </w:rPr>
        <w:t>15.</w:t>
      </w:r>
      <w:r w:rsidRPr="00DE2BDC">
        <w:rPr>
          <w:noProof/>
          <w:lang w:val="es-ES"/>
        </w:rPr>
        <w:tab/>
      </w:r>
      <w:r w:rsidR="00126264" w:rsidRPr="00DE2BDC">
        <w:rPr>
          <w:noProof/>
          <w:lang w:val="es-ES"/>
        </w:rPr>
        <w:t>Un observador de una</w:t>
      </w:r>
      <w:r w:rsidR="001D34AF" w:rsidRPr="00DE2BDC">
        <w:rPr>
          <w:noProof/>
          <w:lang w:val="es-ES"/>
        </w:rPr>
        <w:t xml:space="preserve"> de las</w:t>
      </w:r>
      <w:r w:rsidR="00126264" w:rsidRPr="00DE2BDC">
        <w:rPr>
          <w:noProof/>
          <w:lang w:val="es-ES"/>
        </w:rPr>
        <w:t xml:space="preserve"> Parte</w:t>
      </w:r>
      <w:r w:rsidR="001D34AF" w:rsidRPr="00DE2BDC">
        <w:rPr>
          <w:noProof/>
          <w:lang w:val="es-ES"/>
        </w:rPr>
        <w:t>s</w:t>
      </w:r>
      <w:r w:rsidR="00126264" w:rsidRPr="00DE2BDC">
        <w:rPr>
          <w:noProof/>
          <w:lang w:val="es-ES"/>
        </w:rPr>
        <w:t xml:space="preserve"> Contratante</w:t>
      </w:r>
      <w:r w:rsidR="001D34AF" w:rsidRPr="00DE2BDC">
        <w:rPr>
          <w:noProof/>
          <w:lang w:val="es-ES"/>
        </w:rPr>
        <w:t>s</w:t>
      </w:r>
      <w:r w:rsidR="00126264" w:rsidRPr="00DE2BDC">
        <w:rPr>
          <w:noProof/>
          <w:lang w:val="es-ES"/>
        </w:rPr>
        <w:t xml:space="preserve"> comentó que </w:t>
      </w:r>
      <w:r w:rsidR="00616245" w:rsidRPr="00DE2BDC">
        <w:rPr>
          <w:noProof/>
          <w:lang w:val="es-ES"/>
        </w:rPr>
        <w:t>este</w:t>
      </w:r>
      <w:r w:rsidR="00126264" w:rsidRPr="00DE2BDC">
        <w:rPr>
          <w:noProof/>
          <w:lang w:val="es-ES"/>
        </w:rPr>
        <w:t xml:space="preserve"> año se realizarían algunos eventos importantes, entre ellos la COP15 del Convenio sobre la Diversidad Biológica, la COP26 de la Convención Marco de las Naciones Unidas sobre el Cambio Climático y el Congreso Mundial de la Naturaleza de la UICN</w:t>
      </w:r>
      <w:r w:rsidR="00AD1C27" w:rsidRPr="00DE2BDC">
        <w:rPr>
          <w:noProof/>
          <w:lang w:val="es-ES"/>
        </w:rPr>
        <w:t xml:space="preserve">. </w:t>
      </w:r>
      <w:r w:rsidR="001D34AF" w:rsidRPr="00DE2BDC">
        <w:rPr>
          <w:noProof/>
          <w:lang w:val="es-ES"/>
        </w:rPr>
        <w:t>Añadió que todos</w:t>
      </w:r>
      <w:r w:rsidR="00126264" w:rsidRPr="00DE2BDC">
        <w:rPr>
          <w:noProof/>
          <w:lang w:val="es-ES"/>
        </w:rPr>
        <w:t xml:space="preserve"> ellos representa</w:t>
      </w:r>
      <w:r w:rsidR="001D34AF" w:rsidRPr="00DE2BDC">
        <w:rPr>
          <w:noProof/>
          <w:lang w:val="es-ES"/>
        </w:rPr>
        <w:t>ría</w:t>
      </w:r>
      <w:r w:rsidR="00126264" w:rsidRPr="00DE2BDC">
        <w:rPr>
          <w:noProof/>
          <w:lang w:val="es-ES"/>
        </w:rPr>
        <w:t xml:space="preserve">n oportunidades </w:t>
      </w:r>
      <w:r w:rsidR="002D5F5B" w:rsidRPr="00DE2BDC">
        <w:rPr>
          <w:noProof/>
          <w:lang w:val="es-ES"/>
        </w:rPr>
        <w:t xml:space="preserve">importantes </w:t>
      </w:r>
      <w:r w:rsidR="00126264" w:rsidRPr="00DE2BDC">
        <w:rPr>
          <w:noProof/>
          <w:lang w:val="es-ES"/>
        </w:rPr>
        <w:t>para que las Partes Contratantes de la Convención sobre los Humedales aument</w:t>
      </w:r>
      <w:r w:rsidR="001D34AF" w:rsidRPr="00DE2BDC">
        <w:rPr>
          <w:noProof/>
          <w:lang w:val="es-ES"/>
        </w:rPr>
        <w:t>ara</w:t>
      </w:r>
      <w:r w:rsidR="00126264" w:rsidRPr="00DE2BDC">
        <w:rPr>
          <w:noProof/>
          <w:lang w:val="es-ES"/>
        </w:rPr>
        <w:t xml:space="preserve">n la visibilidad de la Convención y </w:t>
      </w:r>
      <w:r w:rsidR="001D34AF" w:rsidRPr="00DE2BDC">
        <w:rPr>
          <w:noProof/>
          <w:lang w:val="es-ES"/>
        </w:rPr>
        <w:t>promovieran</w:t>
      </w:r>
      <w:r w:rsidR="00126264" w:rsidRPr="00DE2BDC">
        <w:rPr>
          <w:noProof/>
          <w:lang w:val="es-ES"/>
        </w:rPr>
        <w:t xml:space="preserve"> la importancia de la conservación de los humedales a través del diálogo con los interesados. </w:t>
      </w:r>
      <w:r w:rsidR="00EC1958" w:rsidRPr="00DE2BDC">
        <w:rPr>
          <w:noProof/>
          <w:lang w:val="es-ES"/>
        </w:rPr>
        <w:t>Destacó que</w:t>
      </w:r>
      <w:r w:rsidR="00375E62" w:rsidRPr="00DE2BDC">
        <w:rPr>
          <w:noProof/>
          <w:lang w:val="es-ES"/>
        </w:rPr>
        <w:t xml:space="preserve"> el tema de</w:t>
      </w:r>
      <w:r w:rsidR="00EC1958" w:rsidRPr="00DE2BDC">
        <w:rPr>
          <w:noProof/>
          <w:lang w:val="es-ES"/>
        </w:rPr>
        <w:t xml:space="preserve"> los</w:t>
      </w:r>
      <w:r w:rsidR="00126264" w:rsidRPr="00DE2BDC">
        <w:rPr>
          <w:noProof/>
          <w:lang w:val="es-ES"/>
        </w:rPr>
        <w:t xml:space="preserve"> riesgos para el agua dulce </w:t>
      </w:r>
      <w:r w:rsidR="00AD1C27" w:rsidRPr="00DE2BDC">
        <w:rPr>
          <w:noProof/>
          <w:lang w:val="es-ES"/>
        </w:rPr>
        <w:t xml:space="preserve">a escala </w:t>
      </w:r>
      <w:r w:rsidR="00126264" w:rsidRPr="00DE2BDC">
        <w:rPr>
          <w:noProof/>
          <w:lang w:val="es-ES"/>
        </w:rPr>
        <w:t xml:space="preserve">mundial </w:t>
      </w:r>
      <w:r w:rsidR="00375E62" w:rsidRPr="00DE2BDC">
        <w:rPr>
          <w:noProof/>
          <w:lang w:val="es-ES"/>
        </w:rPr>
        <w:t>sería</w:t>
      </w:r>
      <w:r w:rsidR="00126264" w:rsidRPr="00DE2BDC">
        <w:rPr>
          <w:noProof/>
          <w:lang w:val="es-ES"/>
        </w:rPr>
        <w:t xml:space="preserve"> uno de los </w:t>
      </w:r>
      <w:r w:rsidR="00375E62" w:rsidRPr="00DE2BDC">
        <w:rPr>
          <w:noProof/>
          <w:lang w:val="es-ES"/>
        </w:rPr>
        <w:t>que se tratarían</w:t>
      </w:r>
      <w:r w:rsidR="00126264" w:rsidRPr="00DE2BDC">
        <w:rPr>
          <w:noProof/>
          <w:lang w:val="es-ES"/>
        </w:rPr>
        <w:t xml:space="preserve"> la sesión plenaria de apertura del </w:t>
      </w:r>
      <w:r w:rsidR="00AD1C27" w:rsidRPr="00DE2BDC">
        <w:rPr>
          <w:noProof/>
          <w:lang w:val="es-ES"/>
        </w:rPr>
        <w:t>Congreso Mundial de la Naturaleza de la UICN</w:t>
      </w:r>
      <w:r w:rsidR="00126264" w:rsidRPr="00DE2BDC">
        <w:rPr>
          <w:noProof/>
          <w:lang w:val="es-ES"/>
        </w:rPr>
        <w:t xml:space="preserve">, </w:t>
      </w:r>
      <w:r w:rsidR="00EC1958" w:rsidRPr="00DE2BDC">
        <w:rPr>
          <w:noProof/>
          <w:lang w:val="es-ES"/>
        </w:rPr>
        <w:t>a celebrarse en</w:t>
      </w:r>
      <w:r w:rsidR="00126264" w:rsidRPr="00DE2BDC">
        <w:rPr>
          <w:noProof/>
          <w:lang w:val="es-ES"/>
        </w:rPr>
        <w:t xml:space="preserve"> Marsella (Francia) en septiembre de 202</w:t>
      </w:r>
      <w:r w:rsidR="008A1CE4" w:rsidRPr="00DE2BDC">
        <w:rPr>
          <w:noProof/>
          <w:lang w:val="es-ES"/>
        </w:rPr>
        <w:t>1</w:t>
      </w:r>
      <w:r w:rsidR="00126264" w:rsidRPr="00DE2BDC">
        <w:rPr>
          <w:noProof/>
          <w:lang w:val="es-ES"/>
        </w:rPr>
        <w:t xml:space="preserve">. Se </w:t>
      </w:r>
      <w:r w:rsidR="00375E62" w:rsidRPr="00DE2BDC">
        <w:rPr>
          <w:noProof/>
          <w:lang w:val="es-ES"/>
        </w:rPr>
        <w:t>reveló</w:t>
      </w:r>
      <w:r w:rsidR="00126264" w:rsidRPr="00DE2BDC">
        <w:rPr>
          <w:noProof/>
          <w:lang w:val="es-ES"/>
        </w:rPr>
        <w:t xml:space="preserve"> que </w:t>
      </w:r>
      <w:r w:rsidR="00AD1C27" w:rsidRPr="00DE2BDC">
        <w:rPr>
          <w:noProof/>
          <w:lang w:val="es-ES"/>
        </w:rPr>
        <w:t>la</w:t>
      </w:r>
      <w:r w:rsidR="00126264" w:rsidRPr="00DE2BDC">
        <w:rPr>
          <w:noProof/>
          <w:lang w:val="es-ES"/>
        </w:rPr>
        <w:t xml:space="preserve"> Secretari</w:t>
      </w:r>
      <w:r w:rsidR="00AD1C27" w:rsidRPr="00DE2BDC">
        <w:rPr>
          <w:noProof/>
          <w:lang w:val="es-ES"/>
        </w:rPr>
        <w:t>a</w:t>
      </w:r>
      <w:r w:rsidR="00126264" w:rsidRPr="00DE2BDC">
        <w:rPr>
          <w:noProof/>
          <w:lang w:val="es-ES"/>
        </w:rPr>
        <w:t xml:space="preserve"> General participaría como orador</w:t>
      </w:r>
      <w:r w:rsidR="00AD1C27" w:rsidRPr="00DE2BDC">
        <w:rPr>
          <w:noProof/>
          <w:lang w:val="es-ES"/>
        </w:rPr>
        <w:t>a</w:t>
      </w:r>
      <w:r w:rsidR="00126264" w:rsidRPr="00DE2BDC">
        <w:rPr>
          <w:noProof/>
          <w:lang w:val="es-ES"/>
        </w:rPr>
        <w:t xml:space="preserve"> en este evento. Se instó a las Partes Contratantes a</w:t>
      </w:r>
      <w:r w:rsidR="00EC1958" w:rsidRPr="00DE2BDC">
        <w:rPr>
          <w:noProof/>
          <w:lang w:val="es-ES"/>
        </w:rPr>
        <w:t xml:space="preserve"> que</w:t>
      </w:r>
      <w:r w:rsidR="00126264" w:rsidRPr="00DE2BDC">
        <w:rPr>
          <w:noProof/>
          <w:lang w:val="es-ES"/>
        </w:rPr>
        <w:t xml:space="preserve"> </w:t>
      </w:r>
      <w:r w:rsidR="00EC1958" w:rsidRPr="00DE2BDC">
        <w:rPr>
          <w:noProof/>
          <w:lang w:val="es-ES"/>
        </w:rPr>
        <w:t>tomaran parte</w:t>
      </w:r>
      <w:r w:rsidR="00126264" w:rsidRPr="00DE2BDC">
        <w:rPr>
          <w:noProof/>
          <w:lang w:val="es-ES"/>
        </w:rPr>
        <w:t xml:space="preserve"> en este y otros procesos y </w:t>
      </w:r>
      <w:r w:rsidR="00375E62" w:rsidRPr="00DE2BDC">
        <w:rPr>
          <w:noProof/>
          <w:lang w:val="es-ES"/>
        </w:rPr>
        <w:t xml:space="preserve">que </w:t>
      </w:r>
      <w:r w:rsidR="00EC1958" w:rsidRPr="00DE2BDC">
        <w:rPr>
          <w:noProof/>
          <w:lang w:val="es-ES"/>
        </w:rPr>
        <w:t>trabajaran</w:t>
      </w:r>
      <w:r w:rsidR="00126264" w:rsidRPr="00DE2BDC">
        <w:rPr>
          <w:noProof/>
          <w:lang w:val="es-ES"/>
        </w:rPr>
        <w:t xml:space="preserve"> </w:t>
      </w:r>
      <w:r w:rsidR="00EC1958" w:rsidRPr="00DE2BDC">
        <w:rPr>
          <w:noProof/>
          <w:lang w:val="es-ES"/>
        </w:rPr>
        <w:t xml:space="preserve">por garantizar </w:t>
      </w:r>
      <w:r w:rsidR="00126264" w:rsidRPr="00DE2BDC">
        <w:rPr>
          <w:noProof/>
          <w:lang w:val="es-ES"/>
        </w:rPr>
        <w:t xml:space="preserve">que los objetivos </w:t>
      </w:r>
      <w:r w:rsidR="00AD1C27" w:rsidRPr="00DE2BDC">
        <w:rPr>
          <w:noProof/>
          <w:lang w:val="es-ES"/>
        </w:rPr>
        <w:t>de la Convención</w:t>
      </w:r>
      <w:r w:rsidR="00126264" w:rsidRPr="00DE2BDC">
        <w:rPr>
          <w:noProof/>
          <w:lang w:val="es-ES"/>
        </w:rPr>
        <w:t xml:space="preserve"> </w:t>
      </w:r>
      <w:r w:rsidR="00DE2BDC" w:rsidRPr="00DE2BDC">
        <w:rPr>
          <w:noProof/>
          <w:lang w:val="es-ES"/>
        </w:rPr>
        <w:t>estuvieran plenamente</w:t>
      </w:r>
      <w:r w:rsidR="00126264" w:rsidRPr="00DE2BDC">
        <w:rPr>
          <w:noProof/>
          <w:lang w:val="es-ES"/>
        </w:rPr>
        <w:t xml:space="preserve"> representados en el desarrollo del marco de </w:t>
      </w:r>
      <w:r w:rsidR="00AD1C27" w:rsidRPr="00DE2BDC">
        <w:rPr>
          <w:noProof/>
          <w:lang w:val="es-ES"/>
        </w:rPr>
        <w:t xml:space="preserve">la </w:t>
      </w:r>
      <w:r w:rsidR="00126264" w:rsidRPr="00DE2BDC">
        <w:rPr>
          <w:noProof/>
          <w:lang w:val="es-ES"/>
        </w:rPr>
        <w:t>diversidad</w:t>
      </w:r>
      <w:r w:rsidR="00AD1C27" w:rsidRPr="00DE2BDC">
        <w:rPr>
          <w:noProof/>
          <w:lang w:val="es-ES"/>
        </w:rPr>
        <w:t xml:space="preserve"> biológica</w:t>
      </w:r>
      <w:r w:rsidR="00126264" w:rsidRPr="00DE2BDC">
        <w:rPr>
          <w:noProof/>
          <w:lang w:val="es-ES"/>
        </w:rPr>
        <w:t xml:space="preserve"> posterior a 2020. El observador pidió que se incluyera una copia de su intervención completa como anexo </w:t>
      </w:r>
      <w:r w:rsidR="002D5F5B" w:rsidRPr="00DE2BDC">
        <w:rPr>
          <w:noProof/>
          <w:lang w:val="es-ES"/>
        </w:rPr>
        <w:t>del</w:t>
      </w:r>
      <w:r w:rsidR="00126264" w:rsidRPr="00DE2BDC">
        <w:rPr>
          <w:noProof/>
          <w:lang w:val="es-ES"/>
        </w:rPr>
        <w:t xml:space="preserve"> presente informe (véase el </w:t>
      </w:r>
      <w:r w:rsidR="00AD1C27" w:rsidRPr="00DE2BDC">
        <w:rPr>
          <w:noProof/>
          <w:lang w:val="es-ES"/>
        </w:rPr>
        <w:t>A</w:t>
      </w:r>
      <w:r w:rsidR="00126264" w:rsidRPr="00DE2BDC">
        <w:rPr>
          <w:noProof/>
          <w:lang w:val="es-ES"/>
        </w:rPr>
        <w:t>nexo x).</w:t>
      </w:r>
    </w:p>
    <w:p w14:paraId="2361DF11" w14:textId="77777777" w:rsidR="001519AE" w:rsidRPr="00DE2BDC" w:rsidRDefault="001519AE" w:rsidP="002D5F5B">
      <w:pPr>
        <w:spacing w:after="0" w:line="240" w:lineRule="auto"/>
        <w:rPr>
          <w:noProof/>
          <w:lang w:val="es-ES"/>
        </w:rPr>
      </w:pPr>
    </w:p>
    <w:p w14:paraId="53AE039A" w14:textId="79A97B97" w:rsidR="002D5F5B" w:rsidRPr="00DE2BDC" w:rsidRDefault="001519AE" w:rsidP="00CD7AAC">
      <w:pPr>
        <w:spacing w:after="0" w:line="240" w:lineRule="auto"/>
        <w:ind w:left="567" w:hanging="567"/>
        <w:rPr>
          <w:noProof/>
          <w:lang w:val="es-ES"/>
        </w:rPr>
      </w:pPr>
      <w:r w:rsidRPr="00DE2BDC">
        <w:rPr>
          <w:noProof/>
          <w:lang w:val="es-ES"/>
        </w:rPr>
        <w:lastRenderedPageBreak/>
        <w:t>16.</w:t>
      </w:r>
      <w:r w:rsidRPr="00DE2BDC">
        <w:rPr>
          <w:noProof/>
          <w:lang w:val="es-ES"/>
        </w:rPr>
        <w:tab/>
      </w:r>
      <w:r w:rsidR="002D5F5B" w:rsidRPr="00DE2BDC">
        <w:rPr>
          <w:noProof/>
          <w:lang w:val="es-ES"/>
        </w:rPr>
        <w:t>Se alentó además a las Partes Contratantes a que aprovecharan todas las oportunidades para garantizar que las cuestiones relativas a los humedales se plantearan en todos los foros pertinentes y que su importancia no se pasara por alto cuando se negociara el texto.</w:t>
      </w:r>
    </w:p>
    <w:p w14:paraId="2036B34E" w14:textId="77777777" w:rsidR="001519AE" w:rsidRPr="00DE2BDC" w:rsidRDefault="001519AE" w:rsidP="002D5F5B">
      <w:pPr>
        <w:spacing w:after="0" w:line="240" w:lineRule="auto"/>
        <w:rPr>
          <w:noProof/>
          <w:lang w:val="es-ES"/>
        </w:rPr>
      </w:pPr>
    </w:p>
    <w:p w14:paraId="6D8972E7" w14:textId="7FB422F6" w:rsidR="001519AE" w:rsidRPr="00DE2BDC" w:rsidRDefault="001519AE" w:rsidP="00CD7AAC">
      <w:pPr>
        <w:spacing w:after="0" w:line="240" w:lineRule="auto"/>
        <w:ind w:left="567" w:hanging="567"/>
        <w:rPr>
          <w:noProof/>
          <w:lang w:val="es-ES"/>
        </w:rPr>
      </w:pPr>
      <w:r w:rsidRPr="00DE2BDC">
        <w:rPr>
          <w:noProof/>
          <w:lang w:val="es-ES"/>
        </w:rPr>
        <w:t>17.</w:t>
      </w:r>
      <w:r w:rsidRPr="00DE2BDC">
        <w:rPr>
          <w:noProof/>
          <w:lang w:val="es-ES"/>
        </w:rPr>
        <w:tab/>
      </w:r>
      <w:r w:rsidR="002D5F5B" w:rsidRPr="00DE2BDC">
        <w:rPr>
          <w:noProof/>
          <w:lang w:val="es-ES"/>
        </w:rPr>
        <w:t>Hubo intervenciones de</w:t>
      </w:r>
      <w:r w:rsidRPr="00DE2BDC">
        <w:rPr>
          <w:noProof/>
          <w:lang w:val="es-ES"/>
        </w:rPr>
        <w:t xml:space="preserve"> </w:t>
      </w:r>
      <w:r w:rsidR="002D5F5B" w:rsidRPr="00DE2BDC">
        <w:rPr>
          <w:noProof/>
          <w:lang w:val="es-ES"/>
        </w:rPr>
        <w:t xml:space="preserve">Eslovenia, </w:t>
      </w:r>
      <w:r w:rsidRPr="00DE2BDC">
        <w:rPr>
          <w:noProof/>
          <w:lang w:val="es-ES"/>
        </w:rPr>
        <w:t>Franc</w:t>
      </w:r>
      <w:r w:rsidR="002D5F5B" w:rsidRPr="00DE2BDC">
        <w:rPr>
          <w:noProof/>
          <w:lang w:val="es-ES"/>
        </w:rPr>
        <w:t>ia</w:t>
      </w:r>
      <w:r w:rsidRPr="00DE2BDC">
        <w:rPr>
          <w:noProof/>
          <w:lang w:val="es-ES"/>
        </w:rPr>
        <w:t>, M</w:t>
      </w:r>
      <w:r w:rsidR="002D5F5B" w:rsidRPr="00DE2BDC">
        <w:rPr>
          <w:noProof/>
          <w:lang w:val="es-ES"/>
        </w:rPr>
        <w:t>é</w:t>
      </w:r>
      <w:r w:rsidRPr="00DE2BDC">
        <w:rPr>
          <w:noProof/>
          <w:lang w:val="es-ES"/>
        </w:rPr>
        <w:t xml:space="preserve">xico </w:t>
      </w:r>
      <w:r w:rsidR="002D5F5B" w:rsidRPr="00DE2BDC">
        <w:rPr>
          <w:noProof/>
          <w:lang w:val="es-ES"/>
        </w:rPr>
        <w:t>y Suiza</w:t>
      </w:r>
      <w:r w:rsidRPr="00DE2BDC">
        <w:rPr>
          <w:noProof/>
          <w:lang w:val="es-ES"/>
        </w:rPr>
        <w:t>.</w:t>
      </w:r>
    </w:p>
    <w:p w14:paraId="4D09F144" w14:textId="77777777" w:rsidR="001519AE" w:rsidRPr="00DE2BDC" w:rsidRDefault="001519AE" w:rsidP="00CD7AAC">
      <w:pPr>
        <w:spacing w:after="0" w:line="240" w:lineRule="auto"/>
        <w:rPr>
          <w:rFonts w:ascii="Times New Roman" w:hAnsi="Times New Roman"/>
          <w:noProof/>
          <w:sz w:val="24"/>
          <w:szCs w:val="24"/>
          <w:lang w:val="es-ES"/>
        </w:rPr>
      </w:pPr>
    </w:p>
    <w:p w14:paraId="1179A688" w14:textId="4D04780E" w:rsidR="001519AE" w:rsidRPr="00DE2BDC" w:rsidRDefault="001519AE" w:rsidP="00E64244">
      <w:pPr>
        <w:spacing w:after="0" w:line="240" w:lineRule="auto"/>
        <w:rPr>
          <w:rFonts w:cstheme="minorHAnsi"/>
          <w:b/>
          <w:noProof/>
          <w:lang w:val="es-ES"/>
        </w:rPr>
      </w:pPr>
      <w:r w:rsidRPr="00DE2BDC">
        <w:rPr>
          <w:rFonts w:cstheme="minorHAnsi"/>
          <w:b/>
          <w:noProof/>
          <w:lang w:val="es-ES"/>
        </w:rPr>
        <w:t>Decisi</w:t>
      </w:r>
      <w:r w:rsidR="008728BF" w:rsidRPr="00DE2BDC">
        <w:rPr>
          <w:rFonts w:cstheme="minorHAnsi"/>
          <w:b/>
          <w:noProof/>
          <w:lang w:val="es-ES"/>
        </w:rPr>
        <w:t>ó</w:t>
      </w:r>
      <w:r w:rsidRPr="00DE2BDC">
        <w:rPr>
          <w:rFonts w:cstheme="minorHAnsi"/>
          <w:b/>
          <w:noProof/>
          <w:lang w:val="es-ES"/>
        </w:rPr>
        <w:t>n SC59</w:t>
      </w:r>
      <w:r w:rsidR="00CD7AAC" w:rsidRPr="00DE2BDC">
        <w:rPr>
          <w:rFonts w:cstheme="minorHAnsi"/>
          <w:b/>
          <w:noProof/>
          <w:lang w:val="es-ES"/>
        </w:rPr>
        <w:t>-2</w:t>
      </w:r>
      <w:r w:rsidR="004903EE">
        <w:rPr>
          <w:rFonts w:cstheme="minorHAnsi"/>
          <w:b/>
          <w:noProof/>
          <w:lang w:val="es-ES"/>
        </w:rPr>
        <w:t>3</w:t>
      </w:r>
      <w:bookmarkStart w:id="0" w:name="_GoBack"/>
      <w:bookmarkEnd w:id="0"/>
      <w:r w:rsidR="00CD7AAC" w:rsidRPr="00DE2BDC">
        <w:rPr>
          <w:rFonts w:cstheme="minorHAnsi"/>
          <w:b/>
          <w:noProof/>
          <w:lang w:val="es-ES"/>
        </w:rPr>
        <w:t xml:space="preserve">: </w:t>
      </w:r>
      <w:r w:rsidR="008728BF" w:rsidRPr="00DE2BDC">
        <w:rPr>
          <w:rFonts w:cstheme="minorHAnsi"/>
          <w:b/>
          <w:noProof/>
          <w:lang w:val="es-ES"/>
        </w:rPr>
        <w:t>El Comité Permanente tomó nota del informe del Grupo de trabajo sobre la condición de observador que figura en el documento SC59 Doc.14, y recomendó que el grupo de trabajo continuara su labor e informara al respecto en la próxima sesión del Comité.</w:t>
      </w:r>
    </w:p>
    <w:sectPr w:rsidR="001519AE" w:rsidRPr="00DE2BDC"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78F0" w14:textId="77777777" w:rsidR="00D03867" w:rsidRDefault="00D03867" w:rsidP="0021462B">
      <w:pPr>
        <w:spacing w:after="0" w:line="240" w:lineRule="auto"/>
      </w:pPr>
      <w:r>
        <w:separator/>
      </w:r>
    </w:p>
  </w:endnote>
  <w:endnote w:type="continuationSeparator" w:id="0">
    <w:p w14:paraId="5E2080D1" w14:textId="77777777" w:rsidR="00D03867" w:rsidRDefault="00D03867" w:rsidP="0021462B">
      <w:pPr>
        <w:spacing w:after="0" w:line="240" w:lineRule="auto"/>
      </w:pPr>
      <w:r>
        <w:continuationSeparator/>
      </w:r>
    </w:p>
  </w:endnote>
  <w:endnote w:type="continuationNotice" w:id="1">
    <w:p w14:paraId="6E5A32D9" w14:textId="77777777" w:rsidR="00D03867" w:rsidRDefault="00D03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4C32ADBB" w:rsidR="00EB5383" w:rsidRPr="0021462B" w:rsidRDefault="00362114">
    <w:pPr>
      <w:pStyle w:val="Footer"/>
      <w:rPr>
        <w:sz w:val="20"/>
        <w:szCs w:val="20"/>
      </w:rPr>
    </w:pPr>
    <w:r>
      <w:rPr>
        <w:sz w:val="20"/>
        <w:szCs w:val="20"/>
      </w:rPr>
      <w:t>SC59 Rep.</w:t>
    </w:r>
    <w:r w:rsidR="0088167E">
      <w:rPr>
        <w:sz w:val="20"/>
        <w:szCs w:val="20"/>
      </w:rPr>
      <w:t>3</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4903EE" w:rsidRPr="004903EE">
      <w:rPr>
        <w:noProof/>
        <w:sz w:val="20"/>
        <w:szCs w:val="20"/>
      </w:rPr>
      <w:t>2</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372D" w14:textId="77777777" w:rsidR="00D03867" w:rsidRDefault="00D03867" w:rsidP="0021462B">
      <w:pPr>
        <w:spacing w:after="0" w:line="240" w:lineRule="auto"/>
      </w:pPr>
      <w:r>
        <w:separator/>
      </w:r>
    </w:p>
  </w:footnote>
  <w:footnote w:type="continuationSeparator" w:id="0">
    <w:p w14:paraId="47004F19" w14:textId="77777777" w:rsidR="00D03867" w:rsidRDefault="00D03867" w:rsidP="0021462B">
      <w:pPr>
        <w:spacing w:after="0" w:line="240" w:lineRule="auto"/>
      </w:pPr>
      <w:r>
        <w:continuationSeparator/>
      </w:r>
    </w:p>
  </w:footnote>
  <w:footnote w:type="continuationNotice" w:id="1">
    <w:p w14:paraId="4FAF018C" w14:textId="77777777" w:rsidR="00D03867" w:rsidRDefault="00D038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7286C"/>
    <w:rsid w:val="0008003D"/>
    <w:rsid w:val="0008257D"/>
    <w:rsid w:val="00094BD4"/>
    <w:rsid w:val="00096C8C"/>
    <w:rsid w:val="000A5B19"/>
    <w:rsid w:val="000A739B"/>
    <w:rsid w:val="000B5097"/>
    <w:rsid w:val="000B77E1"/>
    <w:rsid w:val="000C31CF"/>
    <w:rsid w:val="000D6619"/>
    <w:rsid w:val="000E0D43"/>
    <w:rsid w:val="000E1B66"/>
    <w:rsid w:val="000E1F64"/>
    <w:rsid w:val="000E5517"/>
    <w:rsid w:val="000E621C"/>
    <w:rsid w:val="000F008B"/>
    <w:rsid w:val="000F08CF"/>
    <w:rsid w:val="000F0DA6"/>
    <w:rsid w:val="000F2BB6"/>
    <w:rsid w:val="000F6A3D"/>
    <w:rsid w:val="000F768E"/>
    <w:rsid w:val="00100CFF"/>
    <w:rsid w:val="00101754"/>
    <w:rsid w:val="001048C0"/>
    <w:rsid w:val="00105953"/>
    <w:rsid w:val="00107422"/>
    <w:rsid w:val="00111D6B"/>
    <w:rsid w:val="00111E9F"/>
    <w:rsid w:val="0011266F"/>
    <w:rsid w:val="00113818"/>
    <w:rsid w:val="00121C24"/>
    <w:rsid w:val="0012586E"/>
    <w:rsid w:val="00126264"/>
    <w:rsid w:val="001265C8"/>
    <w:rsid w:val="001266DB"/>
    <w:rsid w:val="00130E47"/>
    <w:rsid w:val="00131D19"/>
    <w:rsid w:val="00135706"/>
    <w:rsid w:val="00135C9D"/>
    <w:rsid w:val="00141FBB"/>
    <w:rsid w:val="001436BD"/>
    <w:rsid w:val="001519AE"/>
    <w:rsid w:val="00152DA6"/>
    <w:rsid w:val="00157812"/>
    <w:rsid w:val="0017223F"/>
    <w:rsid w:val="0017411A"/>
    <w:rsid w:val="001833DC"/>
    <w:rsid w:val="00185088"/>
    <w:rsid w:val="00197D9D"/>
    <w:rsid w:val="001A1A5D"/>
    <w:rsid w:val="001A6E83"/>
    <w:rsid w:val="001B1CCF"/>
    <w:rsid w:val="001C643C"/>
    <w:rsid w:val="001C70EF"/>
    <w:rsid w:val="001D3415"/>
    <w:rsid w:val="001D34AF"/>
    <w:rsid w:val="001E31B7"/>
    <w:rsid w:val="001E7082"/>
    <w:rsid w:val="001E7F06"/>
    <w:rsid w:val="001F595A"/>
    <w:rsid w:val="002035A8"/>
    <w:rsid w:val="00204321"/>
    <w:rsid w:val="0020647A"/>
    <w:rsid w:val="00211A0E"/>
    <w:rsid w:val="00212BA9"/>
    <w:rsid w:val="00213A8D"/>
    <w:rsid w:val="0021462B"/>
    <w:rsid w:val="00216CC1"/>
    <w:rsid w:val="00226707"/>
    <w:rsid w:val="00234A2B"/>
    <w:rsid w:val="00242978"/>
    <w:rsid w:val="0024341A"/>
    <w:rsid w:val="00243ADD"/>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145"/>
    <w:rsid w:val="002C46E8"/>
    <w:rsid w:val="002C5040"/>
    <w:rsid w:val="002C7ED5"/>
    <w:rsid w:val="002D1A0A"/>
    <w:rsid w:val="002D3C07"/>
    <w:rsid w:val="002D5F5B"/>
    <w:rsid w:val="002D6F11"/>
    <w:rsid w:val="002D70BA"/>
    <w:rsid w:val="002E3F8A"/>
    <w:rsid w:val="002E5002"/>
    <w:rsid w:val="002E5F12"/>
    <w:rsid w:val="002E7E09"/>
    <w:rsid w:val="002F178E"/>
    <w:rsid w:val="002F1BD5"/>
    <w:rsid w:val="00300945"/>
    <w:rsid w:val="00302108"/>
    <w:rsid w:val="00307696"/>
    <w:rsid w:val="00311EA4"/>
    <w:rsid w:val="00315A91"/>
    <w:rsid w:val="00316FB0"/>
    <w:rsid w:val="003207B6"/>
    <w:rsid w:val="00322898"/>
    <w:rsid w:val="0032300E"/>
    <w:rsid w:val="00324094"/>
    <w:rsid w:val="003323C2"/>
    <w:rsid w:val="003365A5"/>
    <w:rsid w:val="003370DB"/>
    <w:rsid w:val="0034026E"/>
    <w:rsid w:val="00347B02"/>
    <w:rsid w:val="0035255A"/>
    <w:rsid w:val="003542EE"/>
    <w:rsid w:val="0035592B"/>
    <w:rsid w:val="003565D3"/>
    <w:rsid w:val="00360D78"/>
    <w:rsid w:val="003614D4"/>
    <w:rsid w:val="00362114"/>
    <w:rsid w:val="00367A4B"/>
    <w:rsid w:val="00370B73"/>
    <w:rsid w:val="003713EF"/>
    <w:rsid w:val="0037435C"/>
    <w:rsid w:val="00374368"/>
    <w:rsid w:val="00375E62"/>
    <w:rsid w:val="00376AEA"/>
    <w:rsid w:val="0039473C"/>
    <w:rsid w:val="003B2460"/>
    <w:rsid w:val="003B6C18"/>
    <w:rsid w:val="003C0807"/>
    <w:rsid w:val="003C0E3F"/>
    <w:rsid w:val="003C32B7"/>
    <w:rsid w:val="003C4862"/>
    <w:rsid w:val="003F6F4D"/>
    <w:rsid w:val="00400D96"/>
    <w:rsid w:val="004015F3"/>
    <w:rsid w:val="00403150"/>
    <w:rsid w:val="00403D87"/>
    <w:rsid w:val="0041000E"/>
    <w:rsid w:val="00416BFE"/>
    <w:rsid w:val="004264A7"/>
    <w:rsid w:val="00434D8C"/>
    <w:rsid w:val="00440B38"/>
    <w:rsid w:val="00451EC7"/>
    <w:rsid w:val="0045457C"/>
    <w:rsid w:val="00456B09"/>
    <w:rsid w:val="004608D6"/>
    <w:rsid w:val="004649B2"/>
    <w:rsid w:val="0046661F"/>
    <w:rsid w:val="00480A12"/>
    <w:rsid w:val="00486AD0"/>
    <w:rsid w:val="004872A3"/>
    <w:rsid w:val="004903EE"/>
    <w:rsid w:val="004A3EEF"/>
    <w:rsid w:val="004A6E99"/>
    <w:rsid w:val="004A701D"/>
    <w:rsid w:val="004B16FF"/>
    <w:rsid w:val="004C2E9B"/>
    <w:rsid w:val="004D20C6"/>
    <w:rsid w:val="004E28BD"/>
    <w:rsid w:val="004E77BE"/>
    <w:rsid w:val="004E7B4B"/>
    <w:rsid w:val="00517342"/>
    <w:rsid w:val="005204D7"/>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B0B13"/>
    <w:rsid w:val="005B4766"/>
    <w:rsid w:val="005C32B7"/>
    <w:rsid w:val="005C3E7C"/>
    <w:rsid w:val="005C4477"/>
    <w:rsid w:val="005D055F"/>
    <w:rsid w:val="005D1FDD"/>
    <w:rsid w:val="005D5335"/>
    <w:rsid w:val="005E33B1"/>
    <w:rsid w:val="005E38DF"/>
    <w:rsid w:val="005E529E"/>
    <w:rsid w:val="005E61C6"/>
    <w:rsid w:val="005F1968"/>
    <w:rsid w:val="005F4C17"/>
    <w:rsid w:val="00601B54"/>
    <w:rsid w:val="0061113C"/>
    <w:rsid w:val="00616245"/>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7A89"/>
    <w:rsid w:val="006B3DD2"/>
    <w:rsid w:val="006B761D"/>
    <w:rsid w:val="006C022D"/>
    <w:rsid w:val="006E58B6"/>
    <w:rsid w:val="006F28D9"/>
    <w:rsid w:val="006F5E92"/>
    <w:rsid w:val="00714348"/>
    <w:rsid w:val="00714E5E"/>
    <w:rsid w:val="0072363D"/>
    <w:rsid w:val="00727C91"/>
    <w:rsid w:val="007439FE"/>
    <w:rsid w:val="007460D1"/>
    <w:rsid w:val="00747705"/>
    <w:rsid w:val="00750EF2"/>
    <w:rsid w:val="00753EB2"/>
    <w:rsid w:val="007546F8"/>
    <w:rsid w:val="007564EF"/>
    <w:rsid w:val="0076043D"/>
    <w:rsid w:val="0076130E"/>
    <w:rsid w:val="00764A77"/>
    <w:rsid w:val="00764D6F"/>
    <w:rsid w:val="00766137"/>
    <w:rsid w:val="00781BED"/>
    <w:rsid w:val="00783E5D"/>
    <w:rsid w:val="0078588B"/>
    <w:rsid w:val="0079208E"/>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31663"/>
    <w:rsid w:val="0083600D"/>
    <w:rsid w:val="008410FE"/>
    <w:rsid w:val="00852EBE"/>
    <w:rsid w:val="008615C1"/>
    <w:rsid w:val="008655C8"/>
    <w:rsid w:val="008728BF"/>
    <w:rsid w:val="008804A8"/>
    <w:rsid w:val="00881410"/>
    <w:rsid w:val="0088167E"/>
    <w:rsid w:val="00882E05"/>
    <w:rsid w:val="00886567"/>
    <w:rsid w:val="00890A37"/>
    <w:rsid w:val="0089482D"/>
    <w:rsid w:val="00895030"/>
    <w:rsid w:val="0089756E"/>
    <w:rsid w:val="00897CB9"/>
    <w:rsid w:val="008A1CE4"/>
    <w:rsid w:val="008A2242"/>
    <w:rsid w:val="008B1783"/>
    <w:rsid w:val="008B3829"/>
    <w:rsid w:val="008B6CF3"/>
    <w:rsid w:val="008B7704"/>
    <w:rsid w:val="008C1127"/>
    <w:rsid w:val="008C2486"/>
    <w:rsid w:val="008D116B"/>
    <w:rsid w:val="008D3025"/>
    <w:rsid w:val="008D7CE5"/>
    <w:rsid w:val="008E2CB2"/>
    <w:rsid w:val="008E35E3"/>
    <w:rsid w:val="00906E1C"/>
    <w:rsid w:val="00907C6B"/>
    <w:rsid w:val="00921422"/>
    <w:rsid w:val="009253F5"/>
    <w:rsid w:val="00925E93"/>
    <w:rsid w:val="00933D94"/>
    <w:rsid w:val="00937A42"/>
    <w:rsid w:val="00940EE2"/>
    <w:rsid w:val="0094347C"/>
    <w:rsid w:val="00943BFA"/>
    <w:rsid w:val="009549BE"/>
    <w:rsid w:val="00955177"/>
    <w:rsid w:val="00956EFE"/>
    <w:rsid w:val="009643B7"/>
    <w:rsid w:val="00965639"/>
    <w:rsid w:val="00966B8F"/>
    <w:rsid w:val="00976B31"/>
    <w:rsid w:val="009809A9"/>
    <w:rsid w:val="00987BD7"/>
    <w:rsid w:val="009A0A9D"/>
    <w:rsid w:val="009A6EDB"/>
    <w:rsid w:val="009B0705"/>
    <w:rsid w:val="009C33E8"/>
    <w:rsid w:val="009C5EC5"/>
    <w:rsid w:val="009C6DA8"/>
    <w:rsid w:val="009D41B6"/>
    <w:rsid w:val="009F234A"/>
    <w:rsid w:val="00A07570"/>
    <w:rsid w:val="00A143F1"/>
    <w:rsid w:val="00A21C0C"/>
    <w:rsid w:val="00A250BF"/>
    <w:rsid w:val="00A304EB"/>
    <w:rsid w:val="00A35D1B"/>
    <w:rsid w:val="00A47A1A"/>
    <w:rsid w:val="00A54897"/>
    <w:rsid w:val="00A56B91"/>
    <w:rsid w:val="00A7574E"/>
    <w:rsid w:val="00A86EA6"/>
    <w:rsid w:val="00A900FF"/>
    <w:rsid w:val="00A93866"/>
    <w:rsid w:val="00A97DC2"/>
    <w:rsid w:val="00AA3440"/>
    <w:rsid w:val="00AB1DEB"/>
    <w:rsid w:val="00AB525F"/>
    <w:rsid w:val="00AB5C7C"/>
    <w:rsid w:val="00AC363F"/>
    <w:rsid w:val="00AD14BC"/>
    <w:rsid w:val="00AD1C27"/>
    <w:rsid w:val="00AD3D63"/>
    <w:rsid w:val="00AD793E"/>
    <w:rsid w:val="00AE707B"/>
    <w:rsid w:val="00AF193F"/>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0BD3"/>
    <w:rsid w:val="00BA7AAC"/>
    <w:rsid w:val="00BB135B"/>
    <w:rsid w:val="00BB542E"/>
    <w:rsid w:val="00BC304E"/>
    <w:rsid w:val="00BC378A"/>
    <w:rsid w:val="00BC5FF3"/>
    <w:rsid w:val="00BC6DB6"/>
    <w:rsid w:val="00BD1B3D"/>
    <w:rsid w:val="00BD300C"/>
    <w:rsid w:val="00BE2067"/>
    <w:rsid w:val="00BE2ABC"/>
    <w:rsid w:val="00BF06D5"/>
    <w:rsid w:val="00BF4488"/>
    <w:rsid w:val="00BF73AC"/>
    <w:rsid w:val="00C03FA9"/>
    <w:rsid w:val="00C04BED"/>
    <w:rsid w:val="00C05D05"/>
    <w:rsid w:val="00C115B5"/>
    <w:rsid w:val="00C1221D"/>
    <w:rsid w:val="00C15791"/>
    <w:rsid w:val="00C21FDF"/>
    <w:rsid w:val="00C27F80"/>
    <w:rsid w:val="00C56683"/>
    <w:rsid w:val="00C602BE"/>
    <w:rsid w:val="00C611B3"/>
    <w:rsid w:val="00C64C2B"/>
    <w:rsid w:val="00C67876"/>
    <w:rsid w:val="00C73282"/>
    <w:rsid w:val="00C92D16"/>
    <w:rsid w:val="00C93607"/>
    <w:rsid w:val="00CA2333"/>
    <w:rsid w:val="00CA36D1"/>
    <w:rsid w:val="00CA3BDB"/>
    <w:rsid w:val="00CC2E79"/>
    <w:rsid w:val="00CC30D5"/>
    <w:rsid w:val="00CC3C70"/>
    <w:rsid w:val="00CC6DB5"/>
    <w:rsid w:val="00CD7AAC"/>
    <w:rsid w:val="00CE09FB"/>
    <w:rsid w:val="00CE3C87"/>
    <w:rsid w:val="00CE4DD6"/>
    <w:rsid w:val="00CF0FE8"/>
    <w:rsid w:val="00CF30CB"/>
    <w:rsid w:val="00D03867"/>
    <w:rsid w:val="00D1200F"/>
    <w:rsid w:val="00D163CF"/>
    <w:rsid w:val="00D20B2A"/>
    <w:rsid w:val="00D315D4"/>
    <w:rsid w:val="00D3408C"/>
    <w:rsid w:val="00D349A5"/>
    <w:rsid w:val="00D35B8B"/>
    <w:rsid w:val="00D4704A"/>
    <w:rsid w:val="00D47231"/>
    <w:rsid w:val="00D62485"/>
    <w:rsid w:val="00D6398B"/>
    <w:rsid w:val="00D66AE8"/>
    <w:rsid w:val="00D71B9D"/>
    <w:rsid w:val="00D72618"/>
    <w:rsid w:val="00D72801"/>
    <w:rsid w:val="00D7656B"/>
    <w:rsid w:val="00D77582"/>
    <w:rsid w:val="00D84F77"/>
    <w:rsid w:val="00D93E9F"/>
    <w:rsid w:val="00D94E16"/>
    <w:rsid w:val="00DA2204"/>
    <w:rsid w:val="00DA3496"/>
    <w:rsid w:val="00DA7386"/>
    <w:rsid w:val="00DB13B4"/>
    <w:rsid w:val="00DB5E67"/>
    <w:rsid w:val="00DC6E49"/>
    <w:rsid w:val="00DE0587"/>
    <w:rsid w:val="00DE252E"/>
    <w:rsid w:val="00DE2BDC"/>
    <w:rsid w:val="00DE3186"/>
    <w:rsid w:val="00DF797B"/>
    <w:rsid w:val="00DF7D6D"/>
    <w:rsid w:val="00E029A3"/>
    <w:rsid w:val="00E02F47"/>
    <w:rsid w:val="00E0309C"/>
    <w:rsid w:val="00E21EC0"/>
    <w:rsid w:val="00E22DAF"/>
    <w:rsid w:val="00E2616F"/>
    <w:rsid w:val="00E378D8"/>
    <w:rsid w:val="00E37D85"/>
    <w:rsid w:val="00E460D8"/>
    <w:rsid w:val="00E57C18"/>
    <w:rsid w:val="00E64244"/>
    <w:rsid w:val="00E6583E"/>
    <w:rsid w:val="00E70BFC"/>
    <w:rsid w:val="00E76DCA"/>
    <w:rsid w:val="00E828ED"/>
    <w:rsid w:val="00E84A1F"/>
    <w:rsid w:val="00E8665D"/>
    <w:rsid w:val="00E875D4"/>
    <w:rsid w:val="00EA0885"/>
    <w:rsid w:val="00EA24EF"/>
    <w:rsid w:val="00EA31AF"/>
    <w:rsid w:val="00EA7EA8"/>
    <w:rsid w:val="00EB30BD"/>
    <w:rsid w:val="00EB42C7"/>
    <w:rsid w:val="00EB5383"/>
    <w:rsid w:val="00EB67D8"/>
    <w:rsid w:val="00EC1958"/>
    <w:rsid w:val="00EC300B"/>
    <w:rsid w:val="00EC46D8"/>
    <w:rsid w:val="00ED22B7"/>
    <w:rsid w:val="00EE7105"/>
    <w:rsid w:val="00EF071C"/>
    <w:rsid w:val="00EF1028"/>
    <w:rsid w:val="00F00092"/>
    <w:rsid w:val="00F1225F"/>
    <w:rsid w:val="00F20BB8"/>
    <w:rsid w:val="00F22DC9"/>
    <w:rsid w:val="00F239F1"/>
    <w:rsid w:val="00F43279"/>
    <w:rsid w:val="00F4437B"/>
    <w:rsid w:val="00F45103"/>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6C7F"/>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2FE4D"/>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8c0b6b05-eb82-4bda-97e8-cd82d0d6b453"/>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34B47-171E-4D80-A4EE-8CE2DFFD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9073</Characters>
  <Application>Microsoft Office Word</Application>
  <DocSecurity>4</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2</cp:revision>
  <cp:lastPrinted>2021-06-24T08:53:00Z</cp:lastPrinted>
  <dcterms:created xsi:type="dcterms:W3CDTF">2021-06-25T07:27:00Z</dcterms:created>
  <dcterms:modified xsi:type="dcterms:W3CDTF">2021-06-25T07:27:00Z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