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C552" w14:textId="77777777" w:rsidR="000E57AD" w:rsidRPr="007E62B3" w:rsidRDefault="000E57AD" w:rsidP="000E57A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Pr>
          <w:rFonts w:cstheme="minorHAnsi"/>
          <w:bCs/>
          <w:lang w:val="fr-CH"/>
        </w:rPr>
        <w:t>CONVENTION SUR LES ZONES HUMIDES</w:t>
      </w:r>
    </w:p>
    <w:p w14:paraId="24FA90E4" w14:textId="77777777" w:rsidR="000E57AD" w:rsidRPr="007E62B3" w:rsidRDefault="000E57AD" w:rsidP="000E57A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59</w:t>
      </w:r>
      <w:r w:rsidRPr="007E62B3">
        <w:rPr>
          <w:rFonts w:cstheme="minorHAnsi"/>
          <w:bCs/>
          <w:vertAlign w:val="superscript"/>
          <w:lang w:val="fr-CH"/>
        </w:rPr>
        <w:t>e</w:t>
      </w:r>
      <w:r w:rsidRPr="007E62B3">
        <w:rPr>
          <w:rFonts w:cstheme="minorHAnsi"/>
          <w:bCs/>
          <w:lang w:val="fr-CH"/>
        </w:rPr>
        <w:t xml:space="preserve"> </w:t>
      </w:r>
      <w:r>
        <w:rPr>
          <w:rFonts w:cstheme="minorHAnsi"/>
          <w:bCs/>
          <w:lang w:val="fr-CH"/>
        </w:rPr>
        <w:t>Réunion du Comité permanent</w:t>
      </w:r>
    </w:p>
    <w:p w14:paraId="3B954ADA" w14:textId="77777777" w:rsidR="000E57AD" w:rsidRPr="007E62B3" w:rsidRDefault="000E57AD" w:rsidP="000E57A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 xml:space="preserve">Gland, </w:t>
      </w:r>
      <w:r>
        <w:rPr>
          <w:rFonts w:cstheme="minorHAnsi"/>
          <w:bCs/>
          <w:lang w:val="fr-CH"/>
        </w:rPr>
        <w:t>Suisse</w:t>
      </w:r>
      <w:r w:rsidRPr="007E62B3">
        <w:rPr>
          <w:rFonts w:cstheme="minorHAnsi"/>
          <w:bCs/>
          <w:lang w:val="fr-CH"/>
        </w:rPr>
        <w:t xml:space="preserve">, 21 </w:t>
      </w:r>
      <w:r>
        <w:rPr>
          <w:rFonts w:cstheme="minorHAnsi"/>
          <w:bCs/>
          <w:lang w:val="fr-CH"/>
        </w:rPr>
        <w:t>au</w:t>
      </w:r>
      <w:r w:rsidRPr="007E62B3">
        <w:rPr>
          <w:rFonts w:cstheme="minorHAnsi"/>
          <w:bCs/>
          <w:lang w:val="fr-CH"/>
        </w:rPr>
        <w:t xml:space="preserve"> 25 </w:t>
      </w:r>
      <w:r>
        <w:rPr>
          <w:rFonts w:cstheme="minorHAnsi"/>
          <w:bCs/>
          <w:lang w:val="fr-CH"/>
        </w:rPr>
        <w:t>juin</w:t>
      </w:r>
      <w:r w:rsidRPr="007E62B3">
        <w:rPr>
          <w:rFonts w:cstheme="minorHAnsi"/>
          <w:bCs/>
          <w:lang w:val="fr-CH"/>
        </w:rPr>
        <w:t xml:space="preserve"> 2021</w:t>
      </w:r>
    </w:p>
    <w:p w14:paraId="696566BB" w14:textId="77777777" w:rsidR="000E57AD" w:rsidRPr="003465D1" w:rsidRDefault="000E57AD" w:rsidP="000E57AD">
      <w:pPr>
        <w:spacing w:after="0" w:line="240" w:lineRule="auto"/>
        <w:rPr>
          <w:rFonts w:cstheme="minorHAnsi"/>
          <w:b/>
          <w:sz w:val="28"/>
          <w:szCs w:val="28"/>
          <w:lang w:val="fr-FR"/>
        </w:rPr>
      </w:pPr>
    </w:p>
    <w:p w14:paraId="72231675" w14:textId="2C2BC640" w:rsidR="000E57AD" w:rsidRPr="003465D1" w:rsidRDefault="000E57AD" w:rsidP="000E57AD">
      <w:pPr>
        <w:spacing w:after="0" w:line="240" w:lineRule="auto"/>
        <w:jc w:val="right"/>
        <w:rPr>
          <w:rFonts w:cstheme="minorHAnsi"/>
          <w:b/>
          <w:sz w:val="28"/>
          <w:szCs w:val="28"/>
          <w:lang w:val="fr-FR"/>
        </w:rPr>
      </w:pPr>
      <w:r w:rsidRPr="003465D1">
        <w:rPr>
          <w:rFonts w:cstheme="minorHAnsi"/>
          <w:b/>
          <w:sz w:val="28"/>
          <w:szCs w:val="28"/>
          <w:lang w:val="fr-FR"/>
        </w:rPr>
        <w:t xml:space="preserve">SC59 </w:t>
      </w:r>
      <w:r w:rsidRPr="00C330B5">
        <w:rPr>
          <w:rFonts w:cstheme="minorHAnsi"/>
          <w:b/>
          <w:sz w:val="28"/>
          <w:szCs w:val="28"/>
          <w:lang w:val="fr-FR"/>
        </w:rPr>
        <w:t>Rep.</w:t>
      </w:r>
      <w:r w:rsidR="003B6911" w:rsidRPr="00C330B5">
        <w:rPr>
          <w:rFonts w:cstheme="minorHAnsi"/>
          <w:b/>
          <w:sz w:val="28"/>
          <w:szCs w:val="28"/>
          <w:lang w:val="fr-FR"/>
        </w:rPr>
        <w:t>2</w:t>
      </w:r>
      <w:r w:rsidR="00F54191">
        <w:rPr>
          <w:rFonts w:cstheme="minorHAnsi"/>
          <w:b/>
          <w:sz w:val="28"/>
          <w:szCs w:val="28"/>
          <w:lang w:val="fr-FR"/>
        </w:rPr>
        <w:t xml:space="preserve"> Rev.1</w:t>
      </w:r>
    </w:p>
    <w:p w14:paraId="47217061" w14:textId="77777777" w:rsidR="000E57AD" w:rsidRPr="003465D1" w:rsidRDefault="000E57AD" w:rsidP="000E57AD">
      <w:pPr>
        <w:spacing w:after="0" w:line="240" w:lineRule="auto"/>
        <w:jc w:val="center"/>
        <w:rPr>
          <w:rFonts w:cstheme="minorHAnsi"/>
          <w:b/>
          <w:sz w:val="28"/>
          <w:szCs w:val="28"/>
          <w:lang w:val="fr-FR"/>
        </w:rPr>
      </w:pPr>
    </w:p>
    <w:p w14:paraId="68E1060A" w14:textId="77777777" w:rsidR="000E57AD" w:rsidRPr="007E62B3" w:rsidRDefault="000E57AD" w:rsidP="000E57AD">
      <w:pPr>
        <w:spacing w:after="0" w:line="240" w:lineRule="auto"/>
        <w:jc w:val="center"/>
        <w:rPr>
          <w:rFonts w:cstheme="minorHAnsi"/>
          <w:b/>
          <w:lang w:val="fr-CH"/>
        </w:rPr>
      </w:pPr>
      <w:r w:rsidRPr="007E62B3">
        <w:rPr>
          <w:rFonts w:cstheme="minorHAnsi"/>
          <w:b/>
          <w:sz w:val="28"/>
          <w:szCs w:val="28"/>
          <w:lang w:val="fr-CH"/>
        </w:rPr>
        <w:t>R</w:t>
      </w:r>
      <w:r>
        <w:rPr>
          <w:rFonts w:cstheme="minorHAnsi"/>
          <w:b/>
          <w:sz w:val="28"/>
          <w:szCs w:val="28"/>
          <w:lang w:val="fr-CH"/>
        </w:rPr>
        <w:t>apport et Décisions de la 59</w:t>
      </w:r>
      <w:r w:rsidRPr="007E62B3">
        <w:rPr>
          <w:rFonts w:cstheme="minorHAnsi"/>
          <w:b/>
          <w:sz w:val="28"/>
          <w:szCs w:val="28"/>
          <w:vertAlign w:val="superscript"/>
          <w:lang w:val="fr-CH"/>
        </w:rPr>
        <w:t>e</w:t>
      </w:r>
      <w:r>
        <w:rPr>
          <w:rFonts w:cstheme="minorHAnsi"/>
          <w:b/>
          <w:sz w:val="28"/>
          <w:szCs w:val="28"/>
          <w:lang w:val="fr-CH"/>
        </w:rPr>
        <w:t xml:space="preserve"> Réunion </w:t>
      </w:r>
      <w:r w:rsidRPr="007E62B3">
        <w:rPr>
          <w:rFonts w:cstheme="minorHAnsi"/>
          <w:b/>
          <w:sz w:val="28"/>
          <w:szCs w:val="28"/>
          <w:lang w:val="fr-CH"/>
        </w:rPr>
        <w:br/>
      </w:r>
      <w:r>
        <w:rPr>
          <w:rFonts w:cstheme="minorHAnsi"/>
          <w:b/>
          <w:sz w:val="28"/>
          <w:szCs w:val="28"/>
          <w:lang w:val="fr-CH"/>
        </w:rPr>
        <w:t>du Comité permanent</w:t>
      </w:r>
    </w:p>
    <w:p w14:paraId="05B2529B" w14:textId="13F136A9" w:rsidR="000E57AD" w:rsidRDefault="000E57AD" w:rsidP="000E57AD">
      <w:pPr>
        <w:spacing w:after="0" w:line="240" w:lineRule="auto"/>
        <w:outlineLvl w:val="0"/>
        <w:rPr>
          <w:rFonts w:cstheme="minorHAnsi"/>
          <w:b/>
          <w:lang w:val="fr-CH"/>
        </w:rPr>
      </w:pPr>
    </w:p>
    <w:p w14:paraId="27CAA41F" w14:textId="77777777" w:rsidR="00DC0076" w:rsidRPr="007E62B3" w:rsidRDefault="00DC0076" w:rsidP="000E57AD">
      <w:pPr>
        <w:spacing w:after="0" w:line="240" w:lineRule="auto"/>
        <w:outlineLvl w:val="0"/>
        <w:rPr>
          <w:rFonts w:cstheme="minorHAnsi"/>
          <w:b/>
          <w:lang w:val="fr-CH"/>
        </w:rPr>
      </w:pPr>
    </w:p>
    <w:p w14:paraId="2517B7B6" w14:textId="25A41A79" w:rsidR="000E57AD" w:rsidRPr="00DC0076" w:rsidRDefault="000E57AD" w:rsidP="000E57AD">
      <w:pPr>
        <w:keepNext/>
        <w:spacing w:after="0" w:line="240" w:lineRule="auto"/>
        <w:outlineLvl w:val="0"/>
        <w:rPr>
          <w:rFonts w:cstheme="minorHAnsi"/>
          <w:b/>
          <w:lang w:val="fr-CH"/>
        </w:rPr>
      </w:pPr>
      <w:r w:rsidRPr="00DC0076">
        <w:rPr>
          <w:rFonts w:cstheme="minorHAnsi"/>
          <w:b/>
          <w:lang w:val="fr-CH"/>
        </w:rPr>
        <w:t>Mercredi 23 juin 2021</w:t>
      </w:r>
    </w:p>
    <w:p w14:paraId="19EF8BD3" w14:textId="77777777" w:rsidR="000E57AD" w:rsidRPr="00DC0076" w:rsidRDefault="000E57AD" w:rsidP="000E57AD">
      <w:pPr>
        <w:keepNext/>
        <w:spacing w:after="0" w:line="240" w:lineRule="auto"/>
        <w:rPr>
          <w:rFonts w:cstheme="minorHAnsi"/>
          <w:b/>
          <w:lang w:val="fr-CH"/>
        </w:rPr>
      </w:pPr>
    </w:p>
    <w:p w14:paraId="15D3D4CD" w14:textId="4138072C" w:rsidR="000E57AD" w:rsidRPr="00DC0076" w:rsidRDefault="000E57AD" w:rsidP="000E57AD">
      <w:pPr>
        <w:keepNext/>
        <w:spacing w:after="0" w:line="240" w:lineRule="auto"/>
        <w:rPr>
          <w:rFonts w:cstheme="minorHAnsi"/>
          <w:b/>
          <w:bCs/>
          <w:lang w:val="fr-CH"/>
        </w:rPr>
      </w:pPr>
      <w:r w:rsidRPr="00DC0076">
        <w:rPr>
          <w:rFonts w:cstheme="minorHAnsi"/>
          <w:b/>
          <w:lang w:val="fr-CH"/>
        </w:rPr>
        <w:t>13</w:t>
      </w:r>
      <w:r w:rsidR="00390176" w:rsidRPr="00DC0076">
        <w:rPr>
          <w:rFonts w:cstheme="minorHAnsi"/>
          <w:b/>
          <w:lang w:val="fr-CH"/>
        </w:rPr>
        <w:t>h</w:t>
      </w:r>
      <w:r w:rsidRPr="00DC0076">
        <w:rPr>
          <w:rFonts w:cstheme="minorHAnsi"/>
          <w:b/>
          <w:lang w:val="fr-CH"/>
        </w:rPr>
        <w:t>00 – 16</w:t>
      </w:r>
      <w:r w:rsidR="00390176" w:rsidRPr="00DC0076">
        <w:rPr>
          <w:rFonts w:cstheme="minorHAnsi"/>
          <w:b/>
          <w:lang w:val="fr-CH"/>
        </w:rPr>
        <w:t>h</w:t>
      </w:r>
      <w:r w:rsidRPr="00DC0076">
        <w:rPr>
          <w:rFonts w:cstheme="minorHAnsi"/>
          <w:b/>
          <w:lang w:val="fr-CH"/>
        </w:rPr>
        <w:t xml:space="preserve">00 </w:t>
      </w:r>
      <w:r w:rsidRPr="00DC0076">
        <w:rPr>
          <w:rFonts w:cstheme="minorHAnsi"/>
          <w:b/>
          <w:lang w:val="fr-CH"/>
        </w:rPr>
        <w:tab/>
        <w:t>Séance plénière du Comité permanent</w:t>
      </w:r>
    </w:p>
    <w:p w14:paraId="4A6F2DB9" w14:textId="77777777" w:rsidR="00135706" w:rsidRPr="00DC0076" w:rsidRDefault="00135706" w:rsidP="0012586E">
      <w:pPr>
        <w:keepNext/>
        <w:spacing w:after="0" w:line="240" w:lineRule="auto"/>
        <w:rPr>
          <w:rFonts w:cstheme="minorHAnsi"/>
          <w:lang w:val="fr-CH"/>
        </w:rPr>
      </w:pPr>
    </w:p>
    <w:p w14:paraId="3556B994" w14:textId="394FADAD" w:rsidR="002F178E" w:rsidRPr="00DC0076" w:rsidRDefault="000E57AD"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DC0076">
        <w:rPr>
          <w:rFonts w:cstheme="minorHAnsi"/>
          <w:bCs/>
          <w:lang w:val="fr-FR"/>
        </w:rPr>
        <w:t xml:space="preserve">Suivi du jour précédent </w:t>
      </w:r>
      <w:r w:rsidR="002F178E" w:rsidRPr="00DC0076">
        <w:rPr>
          <w:rFonts w:cstheme="minorHAnsi"/>
          <w:bCs/>
          <w:lang w:val="fr-FR"/>
        </w:rPr>
        <w:t xml:space="preserve">: </w:t>
      </w:r>
    </w:p>
    <w:p w14:paraId="26355ACA" w14:textId="64F0212C" w:rsidR="002F178E" w:rsidRPr="00DC0076" w:rsidRDefault="002F178E"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DC0076">
        <w:rPr>
          <w:rFonts w:cstheme="minorHAnsi"/>
          <w:bCs/>
          <w:lang w:val="fr-FR"/>
        </w:rPr>
        <w:t>Mandat</w:t>
      </w:r>
      <w:r w:rsidR="000E57AD" w:rsidRPr="00DC0076">
        <w:rPr>
          <w:rFonts w:cstheme="minorHAnsi"/>
          <w:bCs/>
          <w:lang w:val="fr-FR"/>
        </w:rPr>
        <w:t>s</w:t>
      </w:r>
      <w:r w:rsidRPr="00DC0076">
        <w:rPr>
          <w:rFonts w:cstheme="minorHAnsi"/>
          <w:bCs/>
          <w:lang w:val="fr-FR"/>
        </w:rPr>
        <w:t xml:space="preserve"> </w:t>
      </w:r>
      <w:r w:rsidR="000E57AD" w:rsidRPr="00DC0076">
        <w:rPr>
          <w:rFonts w:cstheme="minorHAnsi"/>
          <w:bCs/>
          <w:lang w:val="fr-FR"/>
        </w:rPr>
        <w:t>des</w:t>
      </w:r>
      <w:r w:rsidRPr="00DC0076">
        <w:rPr>
          <w:rFonts w:cstheme="minorHAnsi"/>
          <w:bCs/>
          <w:lang w:val="fr-FR"/>
        </w:rPr>
        <w:t xml:space="preserve"> </w:t>
      </w:r>
      <w:r w:rsidR="000E57AD" w:rsidRPr="00DC0076">
        <w:rPr>
          <w:rFonts w:cstheme="minorHAnsi"/>
          <w:bCs/>
          <w:lang w:val="fr-FR"/>
        </w:rPr>
        <w:t>groupes de travail et décision concernant</w:t>
      </w:r>
      <w:r w:rsidRPr="00DC0076">
        <w:rPr>
          <w:rFonts w:cstheme="minorHAnsi"/>
          <w:bCs/>
          <w:lang w:val="fr-FR"/>
        </w:rPr>
        <w:t xml:space="preserve"> </w:t>
      </w:r>
      <w:r w:rsidR="000E57AD" w:rsidRPr="00DC0076">
        <w:rPr>
          <w:rFonts w:cstheme="minorHAnsi"/>
          <w:bCs/>
          <w:lang w:val="fr-FR"/>
        </w:rPr>
        <w:t>la 59</w:t>
      </w:r>
      <w:r w:rsidR="000E57AD" w:rsidRPr="00DC0076">
        <w:rPr>
          <w:rFonts w:cstheme="minorHAnsi"/>
          <w:bCs/>
          <w:vertAlign w:val="superscript"/>
          <w:lang w:val="fr-FR"/>
        </w:rPr>
        <w:t>e</w:t>
      </w:r>
      <w:r w:rsidR="000E57AD" w:rsidRPr="00DC0076">
        <w:rPr>
          <w:rFonts w:cstheme="minorHAnsi"/>
          <w:bCs/>
          <w:lang w:val="fr-FR"/>
        </w:rPr>
        <w:t xml:space="preserve"> et la 60</w:t>
      </w:r>
      <w:r w:rsidR="000E57AD" w:rsidRPr="00DC0076">
        <w:rPr>
          <w:rFonts w:cstheme="minorHAnsi"/>
          <w:bCs/>
          <w:vertAlign w:val="superscript"/>
          <w:lang w:val="fr-FR"/>
        </w:rPr>
        <w:t>e</w:t>
      </w:r>
      <w:r w:rsidR="000E57AD" w:rsidRPr="00DC0076">
        <w:rPr>
          <w:rFonts w:cstheme="minorHAnsi"/>
          <w:bCs/>
          <w:lang w:val="fr-FR"/>
        </w:rPr>
        <w:t xml:space="preserve"> Réunions du Comité permanent (SC59/SC60)</w:t>
      </w:r>
    </w:p>
    <w:p w14:paraId="641C751F" w14:textId="77777777" w:rsidR="002F178E" w:rsidRPr="00DC0076" w:rsidRDefault="002F178E" w:rsidP="0012586E">
      <w:pPr>
        <w:spacing w:after="0" w:line="240" w:lineRule="auto"/>
        <w:ind w:left="567" w:hanging="567"/>
        <w:rPr>
          <w:rFonts w:eastAsia="Calibri" w:cstheme="minorHAnsi"/>
          <w:bCs/>
          <w:lang w:val="fr-FR"/>
        </w:rPr>
      </w:pPr>
    </w:p>
    <w:p w14:paraId="3889B1AE" w14:textId="645271D6" w:rsidR="00362114" w:rsidRPr="00DC0076" w:rsidRDefault="00D84F77" w:rsidP="0012586E">
      <w:pPr>
        <w:spacing w:after="0" w:line="240" w:lineRule="auto"/>
        <w:ind w:left="567" w:hanging="567"/>
        <w:rPr>
          <w:rFonts w:cstheme="minorHAnsi"/>
          <w:lang w:val="fr-CH"/>
        </w:rPr>
      </w:pPr>
      <w:r w:rsidRPr="00DC0076">
        <w:rPr>
          <w:rFonts w:eastAsia="Calibri" w:cstheme="minorHAnsi"/>
          <w:bCs/>
          <w:lang w:val="fr-CH"/>
        </w:rPr>
        <w:t>1.</w:t>
      </w:r>
      <w:r w:rsidRPr="00DC0076">
        <w:rPr>
          <w:rFonts w:eastAsia="Calibri" w:cstheme="minorHAnsi"/>
          <w:bCs/>
          <w:lang w:val="fr-CH"/>
        </w:rPr>
        <w:tab/>
      </w:r>
      <w:r w:rsidR="007F6563" w:rsidRPr="00DC0076">
        <w:rPr>
          <w:rFonts w:eastAsia="Calibri" w:cstheme="minorHAnsi"/>
          <w:bCs/>
          <w:lang w:val="fr-CH"/>
        </w:rPr>
        <w:t xml:space="preserve">La Conseillère juridique </w:t>
      </w:r>
      <w:r w:rsidR="00390176" w:rsidRPr="00DC0076">
        <w:rPr>
          <w:rFonts w:eastAsia="Calibri" w:cstheme="minorHAnsi"/>
          <w:bCs/>
          <w:lang w:val="fr-CH"/>
        </w:rPr>
        <w:t xml:space="preserve">donne des précisions supplémentaires sur les groupes de travail. Elle </w:t>
      </w:r>
      <w:r w:rsidR="008865A7" w:rsidRPr="00DC0076">
        <w:rPr>
          <w:rFonts w:eastAsia="Calibri" w:cstheme="minorHAnsi"/>
          <w:bCs/>
          <w:lang w:val="fr-CH"/>
        </w:rPr>
        <w:t>explique qu</w:t>
      </w:r>
      <w:r w:rsidR="00E31C61" w:rsidRPr="00DC0076">
        <w:rPr>
          <w:rFonts w:eastAsia="Calibri" w:cstheme="minorHAnsi"/>
          <w:bCs/>
          <w:lang w:val="fr-CH"/>
        </w:rPr>
        <w:t>’</w:t>
      </w:r>
      <w:r w:rsidR="008865A7" w:rsidRPr="00DC0076">
        <w:rPr>
          <w:rFonts w:eastAsia="Calibri" w:cstheme="minorHAnsi"/>
          <w:bCs/>
          <w:lang w:val="fr-CH"/>
        </w:rPr>
        <w:t xml:space="preserve">il y a effectivement deux sortes de groupes de travail : ceux qui sont établis par le Comité permanent et ceux qui sont établis par la COP. À sa discrétion, le Comité permanent peut </w:t>
      </w:r>
      <w:r w:rsidR="00390176" w:rsidRPr="00DC0076">
        <w:rPr>
          <w:rFonts w:eastAsia="Calibri" w:cstheme="minorHAnsi"/>
          <w:bCs/>
          <w:lang w:val="fr-CH"/>
        </w:rPr>
        <w:t>ajuster</w:t>
      </w:r>
      <w:r w:rsidR="008865A7" w:rsidRPr="00DC0076">
        <w:rPr>
          <w:rFonts w:eastAsia="Calibri" w:cstheme="minorHAnsi"/>
          <w:bCs/>
          <w:lang w:val="fr-CH"/>
        </w:rPr>
        <w:t xml:space="preserve"> les mandats et les calendriers de</w:t>
      </w:r>
      <w:r w:rsidR="00C330B5" w:rsidRPr="00DC0076">
        <w:rPr>
          <w:rFonts w:eastAsia="Calibri" w:cstheme="minorHAnsi"/>
          <w:bCs/>
          <w:lang w:val="fr-CH"/>
        </w:rPr>
        <w:t>s</w:t>
      </w:r>
      <w:r w:rsidR="008865A7" w:rsidRPr="00DC0076">
        <w:rPr>
          <w:rFonts w:eastAsia="Calibri" w:cstheme="minorHAnsi"/>
          <w:bCs/>
          <w:lang w:val="fr-CH"/>
        </w:rPr>
        <w:t xml:space="preserve"> groupes de travail</w:t>
      </w:r>
      <w:r w:rsidR="00C330B5" w:rsidRPr="00DC0076">
        <w:rPr>
          <w:rFonts w:eastAsia="Calibri" w:cstheme="minorHAnsi"/>
          <w:bCs/>
          <w:lang w:val="fr-CH"/>
        </w:rPr>
        <w:t xml:space="preserve"> qu</w:t>
      </w:r>
      <w:r w:rsidR="00E31C61" w:rsidRPr="00DC0076">
        <w:rPr>
          <w:rFonts w:eastAsia="Calibri" w:cstheme="minorHAnsi"/>
          <w:bCs/>
          <w:lang w:val="fr-CH"/>
        </w:rPr>
        <w:t>’</w:t>
      </w:r>
      <w:r w:rsidR="00C330B5" w:rsidRPr="00DC0076">
        <w:rPr>
          <w:rFonts w:eastAsia="Calibri" w:cstheme="minorHAnsi"/>
          <w:bCs/>
          <w:lang w:val="fr-CH"/>
        </w:rPr>
        <w:t>il a créés</w:t>
      </w:r>
      <w:r w:rsidR="008865A7" w:rsidRPr="00DC0076">
        <w:rPr>
          <w:rFonts w:eastAsia="Calibri" w:cstheme="minorHAnsi"/>
          <w:bCs/>
          <w:lang w:val="fr-CH"/>
        </w:rPr>
        <w:t xml:space="preserve"> mais, selon le Règlement intérieur </w:t>
      </w:r>
      <w:r w:rsidR="00C330B5" w:rsidRPr="00DC0076">
        <w:rPr>
          <w:rFonts w:eastAsia="Calibri" w:cstheme="minorHAnsi"/>
          <w:bCs/>
          <w:lang w:val="fr-CH"/>
        </w:rPr>
        <w:t>en vigueur</w:t>
      </w:r>
      <w:r w:rsidR="008865A7" w:rsidRPr="00DC0076">
        <w:rPr>
          <w:rFonts w:eastAsia="Calibri" w:cstheme="minorHAnsi"/>
          <w:bCs/>
          <w:lang w:val="fr-CH"/>
        </w:rPr>
        <w:t>, ne peut rien changer à ceux qui ont été établis par la COP (Article </w:t>
      </w:r>
      <w:r w:rsidR="00216CC1" w:rsidRPr="00DC0076">
        <w:rPr>
          <w:rFonts w:cstheme="minorHAnsi"/>
          <w:lang w:val="fr-CH"/>
        </w:rPr>
        <w:t>25.3.a.)</w:t>
      </w:r>
      <w:r w:rsidR="00362114" w:rsidRPr="00DC0076">
        <w:rPr>
          <w:rFonts w:cstheme="minorHAnsi"/>
          <w:lang w:val="fr-CH"/>
        </w:rPr>
        <w:t xml:space="preserve">. </w:t>
      </w:r>
      <w:r w:rsidR="008865A7" w:rsidRPr="00DC0076">
        <w:rPr>
          <w:rFonts w:cstheme="minorHAnsi"/>
          <w:lang w:val="fr-CH"/>
        </w:rPr>
        <w:t xml:space="preserve">Elle ajoute que, tant que les procédures </w:t>
      </w:r>
      <w:r w:rsidR="00C330B5" w:rsidRPr="00DC0076">
        <w:rPr>
          <w:rFonts w:cstheme="minorHAnsi"/>
          <w:lang w:val="fr-CH"/>
        </w:rPr>
        <w:t>prévues</w:t>
      </w:r>
      <w:r w:rsidR="008865A7" w:rsidRPr="00DC0076">
        <w:rPr>
          <w:rFonts w:cstheme="minorHAnsi"/>
          <w:lang w:val="fr-CH"/>
        </w:rPr>
        <w:t xml:space="preserve"> </w:t>
      </w:r>
      <w:r w:rsidR="00C330B5" w:rsidRPr="00DC0076">
        <w:rPr>
          <w:rFonts w:cstheme="minorHAnsi"/>
          <w:lang w:val="fr-CH"/>
        </w:rPr>
        <w:t>au</w:t>
      </w:r>
      <w:r w:rsidR="008865A7" w:rsidRPr="00DC0076">
        <w:rPr>
          <w:rFonts w:cstheme="minorHAnsi"/>
          <w:lang w:val="fr-CH"/>
        </w:rPr>
        <w:t xml:space="preserve"> Règlement intérieur et dans la Résolution </w:t>
      </w:r>
      <w:r w:rsidR="00362114" w:rsidRPr="00DC0076">
        <w:rPr>
          <w:rFonts w:cstheme="minorHAnsi"/>
          <w:lang w:val="fr-CH"/>
        </w:rPr>
        <w:t>XIII.4</w:t>
      </w:r>
      <w:r w:rsidR="000E57AD" w:rsidRPr="00DC0076">
        <w:rPr>
          <w:rFonts w:cstheme="minorHAnsi"/>
          <w:lang w:val="fr-CH"/>
        </w:rPr>
        <w:t>,</w:t>
      </w:r>
      <w:r w:rsidR="00362114" w:rsidRPr="00DC0076">
        <w:rPr>
          <w:rFonts w:cstheme="minorHAnsi"/>
          <w:lang w:val="fr-CH"/>
        </w:rPr>
        <w:t xml:space="preserve"> </w:t>
      </w:r>
      <w:r w:rsidR="002F4712" w:rsidRPr="00DC0076">
        <w:rPr>
          <w:rFonts w:cstheme="minorHAnsi"/>
          <w:i/>
          <w:iCs/>
          <w:lang w:val="fr-CH"/>
        </w:rPr>
        <w:t>Responsabilités, rôle et composition du Comité permanent et répartition régionale des pays dans le cadre de la Convention de Ramsar</w:t>
      </w:r>
      <w:r w:rsidR="002B5392" w:rsidRPr="00DC0076">
        <w:rPr>
          <w:rFonts w:cstheme="minorHAnsi"/>
          <w:iCs/>
          <w:lang w:val="fr-CH"/>
        </w:rPr>
        <w:t>,</w:t>
      </w:r>
      <w:r w:rsidR="00216CC1" w:rsidRPr="00DC0076">
        <w:rPr>
          <w:rFonts w:cstheme="minorHAnsi"/>
          <w:i/>
          <w:iCs/>
          <w:lang w:val="fr-CH"/>
        </w:rPr>
        <w:t xml:space="preserve"> </w:t>
      </w:r>
      <w:r w:rsidR="008865A7" w:rsidRPr="00DC0076">
        <w:rPr>
          <w:rFonts w:cstheme="minorHAnsi"/>
          <w:iCs/>
          <w:lang w:val="fr-CH"/>
        </w:rPr>
        <w:t xml:space="preserve">sont </w:t>
      </w:r>
      <w:r w:rsidR="00C330B5" w:rsidRPr="00DC0076">
        <w:rPr>
          <w:rFonts w:cstheme="minorHAnsi"/>
          <w:iCs/>
          <w:lang w:val="fr-CH"/>
        </w:rPr>
        <w:t>respectées</w:t>
      </w:r>
      <w:r w:rsidR="008865A7" w:rsidRPr="00DC0076">
        <w:rPr>
          <w:rFonts w:cstheme="minorHAnsi"/>
          <w:iCs/>
          <w:lang w:val="fr-CH"/>
        </w:rPr>
        <w:t>, et que les Parties contractantes sont notifiées au moins trois mois à l</w:t>
      </w:r>
      <w:r w:rsidR="00E31C61" w:rsidRPr="00DC0076">
        <w:rPr>
          <w:rFonts w:cstheme="minorHAnsi"/>
          <w:iCs/>
          <w:lang w:val="fr-CH"/>
        </w:rPr>
        <w:t>’</w:t>
      </w:r>
      <w:r w:rsidR="008865A7" w:rsidRPr="00DC0076">
        <w:rPr>
          <w:rFonts w:cstheme="minorHAnsi"/>
          <w:iCs/>
          <w:lang w:val="fr-CH"/>
        </w:rPr>
        <w:t>avance, rien n</w:t>
      </w:r>
      <w:r w:rsidR="00E31C61" w:rsidRPr="00DC0076">
        <w:rPr>
          <w:rFonts w:cstheme="minorHAnsi"/>
          <w:iCs/>
          <w:lang w:val="fr-CH"/>
        </w:rPr>
        <w:t>’</w:t>
      </w:r>
      <w:r w:rsidR="008865A7" w:rsidRPr="00DC0076">
        <w:rPr>
          <w:rFonts w:cstheme="minorHAnsi"/>
          <w:iCs/>
          <w:lang w:val="fr-CH"/>
        </w:rPr>
        <w:t xml:space="preserve">empêche le Comité permanent de </w:t>
      </w:r>
      <w:r w:rsidR="00C330B5" w:rsidRPr="00DC0076">
        <w:rPr>
          <w:rFonts w:cstheme="minorHAnsi"/>
          <w:iCs/>
          <w:lang w:val="fr-CH"/>
        </w:rPr>
        <w:t>scinder</w:t>
      </w:r>
      <w:r w:rsidR="008865A7" w:rsidRPr="00DC0076">
        <w:rPr>
          <w:rFonts w:cstheme="minorHAnsi"/>
          <w:iCs/>
          <w:lang w:val="fr-CH"/>
        </w:rPr>
        <w:t xml:space="preserve"> une réunion en deux parties, s</w:t>
      </w:r>
      <w:r w:rsidR="00E31C61" w:rsidRPr="00DC0076">
        <w:rPr>
          <w:rFonts w:cstheme="minorHAnsi"/>
          <w:iCs/>
          <w:lang w:val="fr-CH"/>
        </w:rPr>
        <w:t>’</w:t>
      </w:r>
      <w:r w:rsidR="008865A7" w:rsidRPr="00DC0076">
        <w:rPr>
          <w:rFonts w:cstheme="minorHAnsi"/>
          <w:iCs/>
          <w:lang w:val="fr-CH"/>
        </w:rPr>
        <w:t>il le juge nécessaire. Cela permettrait, par exemple, au Groupe de travail sur l</w:t>
      </w:r>
      <w:r w:rsidR="00E31C61" w:rsidRPr="00DC0076">
        <w:rPr>
          <w:rFonts w:cstheme="minorHAnsi"/>
          <w:iCs/>
          <w:lang w:val="fr-CH"/>
        </w:rPr>
        <w:t>’</w:t>
      </w:r>
      <w:r w:rsidR="008865A7" w:rsidRPr="00DC0076">
        <w:rPr>
          <w:rFonts w:cstheme="minorHAnsi"/>
          <w:iCs/>
          <w:lang w:val="fr-CH"/>
        </w:rPr>
        <w:t xml:space="preserve">efficacité de terminer ses travaux sans contrevenir à la Résolution </w:t>
      </w:r>
      <w:r w:rsidR="001D3415" w:rsidRPr="00DC0076">
        <w:rPr>
          <w:rFonts w:cstheme="minorHAnsi"/>
          <w:lang w:val="fr-CH"/>
        </w:rPr>
        <w:t>XIII.3</w:t>
      </w:r>
      <w:r w:rsidR="000E57AD" w:rsidRPr="00DC0076">
        <w:rPr>
          <w:rFonts w:cstheme="minorHAnsi"/>
          <w:lang w:val="fr-CH"/>
        </w:rPr>
        <w:t>,</w:t>
      </w:r>
      <w:r w:rsidR="001D3415" w:rsidRPr="00DC0076">
        <w:rPr>
          <w:rFonts w:cstheme="minorHAnsi"/>
          <w:lang w:val="fr-CH"/>
        </w:rPr>
        <w:t xml:space="preserve"> </w:t>
      </w:r>
      <w:r w:rsidR="001D3415" w:rsidRPr="00DC0076">
        <w:rPr>
          <w:rFonts w:cstheme="minorHAnsi"/>
          <w:i/>
          <w:lang w:val="fr-CH"/>
        </w:rPr>
        <w:t>Go</w:t>
      </w:r>
      <w:r w:rsidR="000E57AD" w:rsidRPr="00DC0076">
        <w:rPr>
          <w:rFonts w:cstheme="minorHAnsi"/>
          <w:i/>
          <w:lang w:val="fr-CH"/>
        </w:rPr>
        <w:t>u</w:t>
      </w:r>
      <w:r w:rsidR="001D3415" w:rsidRPr="00DC0076">
        <w:rPr>
          <w:rFonts w:cstheme="minorHAnsi"/>
          <w:i/>
          <w:lang w:val="fr-CH"/>
        </w:rPr>
        <w:t xml:space="preserve">vernance </w:t>
      </w:r>
      <w:r w:rsidR="000E57AD" w:rsidRPr="00DC0076">
        <w:rPr>
          <w:rFonts w:cstheme="minorHAnsi"/>
          <w:i/>
          <w:lang w:val="fr-CH"/>
        </w:rPr>
        <w:t>de la</w:t>
      </w:r>
      <w:r w:rsidR="001D3415" w:rsidRPr="00DC0076">
        <w:rPr>
          <w:rFonts w:cstheme="minorHAnsi"/>
          <w:i/>
          <w:lang w:val="fr-CH"/>
        </w:rPr>
        <w:t xml:space="preserve"> Convention</w:t>
      </w:r>
      <w:r w:rsidR="001D3415" w:rsidRPr="00DC0076">
        <w:rPr>
          <w:rFonts w:cstheme="minorHAnsi"/>
          <w:lang w:val="fr-CH"/>
        </w:rPr>
        <w:t>.</w:t>
      </w:r>
    </w:p>
    <w:p w14:paraId="6172B60A" w14:textId="77777777" w:rsidR="00362114" w:rsidRPr="00DC0076" w:rsidRDefault="00362114" w:rsidP="00362114">
      <w:pPr>
        <w:spacing w:after="0" w:line="240" w:lineRule="auto"/>
        <w:ind w:left="567" w:hanging="567"/>
        <w:rPr>
          <w:rFonts w:cstheme="minorHAnsi"/>
          <w:lang w:val="fr-CH"/>
        </w:rPr>
      </w:pPr>
    </w:p>
    <w:p w14:paraId="57820219" w14:textId="3B7CB639" w:rsidR="00362114" w:rsidRPr="00DC0076" w:rsidRDefault="00362114" w:rsidP="00362114">
      <w:pPr>
        <w:spacing w:after="0" w:line="240" w:lineRule="auto"/>
        <w:ind w:left="567" w:hanging="567"/>
        <w:rPr>
          <w:rFonts w:cstheme="minorHAnsi"/>
          <w:lang w:val="fr-CH"/>
        </w:rPr>
      </w:pPr>
      <w:r w:rsidRPr="00DC0076">
        <w:rPr>
          <w:rFonts w:cstheme="minorHAnsi"/>
          <w:lang w:val="fr-CH"/>
        </w:rPr>
        <w:t>2.</w:t>
      </w:r>
      <w:r w:rsidRPr="00DC0076">
        <w:rPr>
          <w:rFonts w:cstheme="minorHAnsi"/>
          <w:lang w:val="fr-CH"/>
        </w:rPr>
        <w:tab/>
      </w:r>
      <w:r w:rsidR="00C330B5" w:rsidRPr="00DC0076">
        <w:rPr>
          <w:rFonts w:cstheme="minorHAnsi"/>
          <w:lang w:val="fr-CH"/>
        </w:rPr>
        <w:t>Certains</w:t>
      </w:r>
      <w:r w:rsidR="008865A7" w:rsidRPr="00DC0076">
        <w:rPr>
          <w:rFonts w:cstheme="minorHAnsi"/>
          <w:lang w:val="fr-CH"/>
        </w:rPr>
        <w:t xml:space="preserve"> participants expriment leur appui à l</w:t>
      </w:r>
      <w:r w:rsidR="00E31C61" w:rsidRPr="00DC0076">
        <w:rPr>
          <w:rFonts w:cstheme="minorHAnsi"/>
          <w:lang w:val="fr-CH"/>
        </w:rPr>
        <w:t>’</w:t>
      </w:r>
      <w:r w:rsidR="008865A7" w:rsidRPr="00DC0076">
        <w:rPr>
          <w:rFonts w:cstheme="minorHAnsi"/>
          <w:lang w:val="fr-CH"/>
        </w:rPr>
        <w:t>adoption d</w:t>
      </w:r>
      <w:r w:rsidR="00E31C61" w:rsidRPr="00DC0076">
        <w:rPr>
          <w:rFonts w:cstheme="minorHAnsi"/>
          <w:lang w:val="fr-CH"/>
        </w:rPr>
        <w:t>’</w:t>
      </w:r>
      <w:r w:rsidR="008865A7" w:rsidRPr="00DC0076">
        <w:rPr>
          <w:rFonts w:cstheme="minorHAnsi"/>
          <w:lang w:val="fr-CH"/>
        </w:rPr>
        <w:t xml:space="preserve">une approche pragmatique et souple en réponse aux circonstances extraordinaires actuelles, qui permettrait aux Groupes de travail de terminer leurs travaux pour la COP14, bien que </w:t>
      </w:r>
      <w:r w:rsidR="00C330B5" w:rsidRPr="00DC0076">
        <w:rPr>
          <w:rFonts w:cstheme="minorHAnsi"/>
          <w:lang w:val="fr-CH"/>
        </w:rPr>
        <w:t>d</w:t>
      </w:r>
      <w:r w:rsidR="00E31C61" w:rsidRPr="00DC0076">
        <w:rPr>
          <w:rFonts w:cstheme="minorHAnsi"/>
          <w:lang w:val="fr-CH"/>
        </w:rPr>
        <w:t>’</w:t>
      </w:r>
      <w:r w:rsidR="00C330B5" w:rsidRPr="00DC0076">
        <w:rPr>
          <w:rFonts w:cstheme="minorHAnsi"/>
          <w:lang w:val="fr-CH"/>
        </w:rPr>
        <w:t>autres soient d</w:t>
      </w:r>
      <w:r w:rsidR="00E31C61" w:rsidRPr="00DC0076">
        <w:rPr>
          <w:rFonts w:cstheme="minorHAnsi"/>
          <w:lang w:val="fr-CH"/>
        </w:rPr>
        <w:t>’</w:t>
      </w:r>
      <w:r w:rsidR="00C330B5" w:rsidRPr="00DC0076">
        <w:rPr>
          <w:rFonts w:cstheme="minorHAnsi"/>
          <w:lang w:val="fr-CH"/>
        </w:rPr>
        <w:t>avis</w:t>
      </w:r>
      <w:r w:rsidR="008865A7" w:rsidRPr="00DC0076">
        <w:rPr>
          <w:rFonts w:cstheme="minorHAnsi"/>
          <w:lang w:val="fr-CH"/>
        </w:rPr>
        <w:t xml:space="preserve"> qu</w:t>
      </w:r>
      <w:r w:rsidR="00C330B5" w:rsidRPr="00DC0076">
        <w:rPr>
          <w:rFonts w:cstheme="minorHAnsi"/>
          <w:lang w:val="fr-CH"/>
        </w:rPr>
        <w:t>e scinder</w:t>
      </w:r>
      <w:r w:rsidR="008865A7" w:rsidRPr="00DC0076">
        <w:rPr>
          <w:rFonts w:cstheme="minorHAnsi"/>
          <w:lang w:val="fr-CH"/>
        </w:rPr>
        <w:t xml:space="preserve"> la présente réunion en deux parties </w:t>
      </w:r>
      <w:r w:rsidR="00C330B5" w:rsidRPr="00DC0076">
        <w:rPr>
          <w:rFonts w:cstheme="minorHAnsi"/>
          <w:lang w:val="fr-CH"/>
        </w:rPr>
        <w:t>ou plus</w:t>
      </w:r>
      <w:r w:rsidR="008865A7" w:rsidRPr="00DC0076">
        <w:rPr>
          <w:rFonts w:cstheme="minorHAnsi"/>
          <w:lang w:val="fr-CH"/>
        </w:rPr>
        <w:t xml:space="preserve"> pourrait créer un précédent, source de confusion. </w:t>
      </w:r>
    </w:p>
    <w:p w14:paraId="319768F4" w14:textId="77777777" w:rsidR="00362114" w:rsidRPr="00DC0076" w:rsidRDefault="00362114" w:rsidP="00362114">
      <w:pPr>
        <w:spacing w:after="0" w:line="240" w:lineRule="auto"/>
        <w:ind w:left="567" w:hanging="567"/>
        <w:rPr>
          <w:rFonts w:cstheme="minorHAnsi"/>
          <w:lang w:val="fr-CH"/>
        </w:rPr>
      </w:pPr>
    </w:p>
    <w:p w14:paraId="18A21363" w14:textId="4249FC93" w:rsidR="00362114" w:rsidRPr="00DC0076" w:rsidRDefault="00362114" w:rsidP="00362114">
      <w:pPr>
        <w:spacing w:after="0" w:line="240" w:lineRule="auto"/>
        <w:ind w:left="567" w:hanging="567"/>
        <w:rPr>
          <w:rFonts w:cstheme="minorHAnsi"/>
          <w:lang w:val="fr-CH"/>
        </w:rPr>
      </w:pPr>
      <w:r w:rsidRPr="00DC0076">
        <w:rPr>
          <w:rFonts w:cstheme="minorHAnsi"/>
          <w:lang w:val="fr-CH"/>
        </w:rPr>
        <w:t>3.</w:t>
      </w:r>
      <w:r w:rsidRPr="00DC0076">
        <w:rPr>
          <w:rFonts w:cstheme="minorHAnsi"/>
          <w:lang w:val="fr-CH"/>
        </w:rPr>
        <w:tab/>
      </w:r>
      <w:r w:rsidR="008865A7" w:rsidRPr="00DC0076">
        <w:rPr>
          <w:rFonts w:cstheme="minorHAnsi"/>
          <w:lang w:val="fr-CH"/>
        </w:rPr>
        <w:t>Les États</w:t>
      </w:r>
      <w:r w:rsidR="008865A7" w:rsidRPr="00DC0076">
        <w:rPr>
          <w:rFonts w:cstheme="minorHAnsi"/>
          <w:lang w:val="fr-CH"/>
        </w:rPr>
        <w:noBreakHyphen/>
        <w:t>Unis d</w:t>
      </w:r>
      <w:r w:rsidR="00E31C61" w:rsidRPr="00DC0076">
        <w:rPr>
          <w:rFonts w:cstheme="minorHAnsi"/>
          <w:lang w:val="fr-CH"/>
        </w:rPr>
        <w:t>’</w:t>
      </w:r>
      <w:r w:rsidR="008865A7" w:rsidRPr="00DC0076">
        <w:rPr>
          <w:rFonts w:cstheme="minorHAnsi"/>
          <w:lang w:val="fr-CH"/>
        </w:rPr>
        <w:t>Amérique, le Royaume-Uni de Grande-Bretagne et d</w:t>
      </w:r>
      <w:r w:rsidR="00E31C61" w:rsidRPr="00DC0076">
        <w:rPr>
          <w:rFonts w:cstheme="minorHAnsi"/>
          <w:lang w:val="fr-CH"/>
        </w:rPr>
        <w:t>’</w:t>
      </w:r>
      <w:r w:rsidR="008865A7" w:rsidRPr="00DC0076">
        <w:rPr>
          <w:rFonts w:cstheme="minorHAnsi"/>
          <w:lang w:val="fr-CH"/>
        </w:rPr>
        <w:t xml:space="preserve">Irlande du Nord, la Suède et la Suisse interviennent dans la discussion. </w:t>
      </w:r>
    </w:p>
    <w:p w14:paraId="26201BDB" w14:textId="77777777" w:rsidR="00362114" w:rsidRPr="00DC0076" w:rsidRDefault="00362114" w:rsidP="00362114">
      <w:pPr>
        <w:spacing w:after="0" w:line="240" w:lineRule="auto"/>
        <w:ind w:left="567" w:hanging="567"/>
        <w:rPr>
          <w:rFonts w:cstheme="minorHAnsi"/>
          <w:b/>
          <w:lang w:val="fr-CH"/>
        </w:rPr>
      </w:pPr>
    </w:p>
    <w:p w14:paraId="7901B788" w14:textId="0065162A" w:rsidR="00362114" w:rsidRPr="00DC0076" w:rsidRDefault="008B11C2" w:rsidP="001D3415">
      <w:pPr>
        <w:spacing w:after="0" w:line="240" w:lineRule="auto"/>
        <w:rPr>
          <w:rFonts w:cstheme="minorHAnsi"/>
          <w:b/>
          <w:lang w:val="fr-CH"/>
        </w:rPr>
      </w:pPr>
      <w:r w:rsidRPr="00DC0076">
        <w:rPr>
          <w:rFonts w:cstheme="minorHAnsi"/>
          <w:b/>
          <w:lang w:val="fr-CH"/>
        </w:rPr>
        <w:t>Décision</w:t>
      </w:r>
      <w:r w:rsidR="00362114" w:rsidRPr="00DC0076">
        <w:rPr>
          <w:rFonts w:cstheme="minorHAnsi"/>
          <w:b/>
          <w:lang w:val="fr-CH"/>
        </w:rPr>
        <w:t xml:space="preserve"> SC59</w:t>
      </w:r>
      <w:r w:rsidR="001D3415" w:rsidRPr="00DC0076">
        <w:rPr>
          <w:rFonts w:cstheme="minorHAnsi"/>
          <w:b/>
          <w:lang w:val="fr-CH"/>
        </w:rPr>
        <w:t>-13</w:t>
      </w:r>
      <w:r w:rsidRPr="00DC0076">
        <w:rPr>
          <w:rFonts w:cstheme="minorHAnsi"/>
          <w:b/>
          <w:lang w:val="fr-CH"/>
        </w:rPr>
        <w:t> :</w:t>
      </w:r>
      <w:r w:rsidR="00B8638A" w:rsidRPr="00DC0076">
        <w:rPr>
          <w:rFonts w:cstheme="minorHAnsi"/>
          <w:b/>
          <w:lang w:val="fr-CH"/>
        </w:rPr>
        <w:t xml:space="preserve"> Le Comité permanent décide que sa présente réunion (SC59) sera </w:t>
      </w:r>
      <w:r w:rsidR="00C330B5" w:rsidRPr="00DC0076">
        <w:rPr>
          <w:rFonts w:cstheme="minorHAnsi"/>
          <w:b/>
          <w:lang w:val="fr-CH"/>
        </w:rPr>
        <w:t>scindée</w:t>
      </w:r>
      <w:r w:rsidR="00B8638A" w:rsidRPr="00DC0076">
        <w:rPr>
          <w:rFonts w:cstheme="minorHAnsi"/>
          <w:b/>
          <w:lang w:val="fr-CH"/>
        </w:rPr>
        <w:t xml:space="preserve"> en deux parties</w:t>
      </w:r>
      <w:r w:rsidR="00C330B5" w:rsidRPr="00DC0076">
        <w:rPr>
          <w:rFonts w:cstheme="minorHAnsi"/>
          <w:b/>
          <w:lang w:val="fr-CH"/>
        </w:rPr>
        <w:t xml:space="preserve"> et</w:t>
      </w:r>
      <w:r w:rsidR="00B8638A" w:rsidRPr="00DC0076">
        <w:rPr>
          <w:rFonts w:cstheme="minorHAnsi"/>
          <w:b/>
          <w:lang w:val="fr-CH"/>
        </w:rPr>
        <w:t xml:space="preserve"> que la deuxième partie aura lieu en 2022 </w:t>
      </w:r>
      <w:r w:rsidR="00F54191">
        <w:rPr>
          <w:rFonts w:cstheme="minorHAnsi"/>
          <w:b/>
          <w:lang w:val="fr-CH"/>
        </w:rPr>
        <w:t>en temps voulu</w:t>
      </w:r>
      <w:r w:rsidR="00B8638A" w:rsidRPr="00DC0076">
        <w:rPr>
          <w:rFonts w:cstheme="minorHAnsi"/>
          <w:b/>
          <w:lang w:val="fr-CH"/>
        </w:rPr>
        <w:t xml:space="preserve">, avant la date établie pour la </w:t>
      </w:r>
      <w:r w:rsidR="00362114" w:rsidRPr="00DC0076">
        <w:rPr>
          <w:rFonts w:cstheme="minorHAnsi"/>
          <w:b/>
          <w:lang w:val="fr-CH"/>
        </w:rPr>
        <w:t>COP14.</w:t>
      </w:r>
    </w:p>
    <w:p w14:paraId="5EE1B759" w14:textId="3F01864B" w:rsidR="005C3E7C" w:rsidRPr="00DC0076" w:rsidRDefault="005C3E7C" w:rsidP="002F178E">
      <w:pPr>
        <w:spacing w:after="0" w:line="240" w:lineRule="auto"/>
        <w:ind w:left="567" w:hanging="567"/>
        <w:rPr>
          <w:rFonts w:cstheme="minorHAnsi"/>
          <w:lang w:val="fr-CH"/>
        </w:rPr>
      </w:pPr>
    </w:p>
    <w:p w14:paraId="23B00248" w14:textId="025BC990" w:rsidR="002F178E" w:rsidRPr="00DC0076" w:rsidRDefault="00B8638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DC0076">
        <w:rPr>
          <w:rFonts w:cstheme="minorHAnsi"/>
          <w:bCs/>
          <w:lang w:val="fr-CH"/>
        </w:rPr>
        <w:t xml:space="preserve">Suivi du jour précédent : </w:t>
      </w:r>
    </w:p>
    <w:p w14:paraId="045DB966" w14:textId="700C36D8" w:rsidR="005A4B27" w:rsidRPr="00DC0076" w:rsidRDefault="002F178E"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DC0076">
        <w:rPr>
          <w:rFonts w:cstheme="minorHAnsi"/>
          <w:lang w:val="fr-CH"/>
        </w:rPr>
        <w:t>Participation</w:t>
      </w:r>
      <w:r w:rsidR="00B8638A" w:rsidRPr="00DC0076">
        <w:rPr>
          <w:rFonts w:cstheme="minorHAnsi"/>
          <w:lang w:val="fr-CH"/>
        </w:rPr>
        <w:t xml:space="preserve"> aux réunions virtuelles</w:t>
      </w:r>
    </w:p>
    <w:p w14:paraId="1A9E3D86" w14:textId="77777777" w:rsidR="005A4B27" w:rsidRPr="00DC0076" w:rsidRDefault="005A4B27" w:rsidP="00E64244">
      <w:pPr>
        <w:spacing w:after="0" w:line="240" w:lineRule="auto"/>
        <w:ind w:left="567" w:hanging="567"/>
        <w:rPr>
          <w:rFonts w:cstheme="minorHAnsi"/>
          <w:lang w:val="fr-CH"/>
        </w:rPr>
      </w:pPr>
    </w:p>
    <w:p w14:paraId="11554B7A" w14:textId="60A3885A" w:rsidR="001D3415" w:rsidRPr="00DC0076" w:rsidRDefault="00714348" w:rsidP="001D3415">
      <w:pPr>
        <w:spacing w:after="0" w:line="240" w:lineRule="auto"/>
        <w:ind w:left="567" w:hanging="567"/>
        <w:rPr>
          <w:rFonts w:cstheme="minorHAnsi"/>
          <w:lang w:val="fr-CH"/>
        </w:rPr>
      </w:pPr>
      <w:r w:rsidRPr="00DC0076">
        <w:rPr>
          <w:rFonts w:cstheme="minorHAnsi"/>
          <w:lang w:val="fr-CH"/>
        </w:rPr>
        <w:t>4</w:t>
      </w:r>
      <w:r w:rsidR="005A4B27" w:rsidRPr="00DC0076">
        <w:rPr>
          <w:rFonts w:cstheme="minorHAnsi"/>
          <w:lang w:val="fr-CH"/>
        </w:rPr>
        <w:t>.</w:t>
      </w:r>
      <w:r w:rsidR="005A4B27" w:rsidRPr="00DC0076">
        <w:rPr>
          <w:rFonts w:cstheme="minorHAnsi"/>
          <w:lang w:val="fr-CH"/>
        </w:rPr>
        <w:tab/>
      </w:r>
      <w:r w:rsidR="00B8638A" w:rsidRPr="00DC0076">
        <w:rPr>
          <w:rFonts w:cstheme="minorHAnsi"/>
          <w:lang w:val="fr-CH"/>
        </w:rPr>
        <w:t>Le Secrétariat annonce la participation aux réunions les plus récentes du Comité permanent, comme suit :</w:t>
      </w:r>
    </w:p>
    <w:p w14:paraId="34C4489A" w14:textId="257BB625" w:rsidR="001D3415" w:rsidRPr="00DC0076" w:rsidRDefault="001D3415" w:rsidP="0012586E">
      <w:pPr>
        <w:pStyle w:val="ListParagraph"/>
        <w:numPr>
          <w:ilvl w:val="0"/>
          <w:numId w:val="49"/>
        </w:numPr>
        <w:spacing w:after="0" w:line="240" w:lineRule="auto"/>
        <w:ind w:left="993" w:hanging="425"/>
        <w:rPr>
          <w:rFonts w:cstheme="minorHAnsi"/>
          <w:lang w:val="fr-CH"/>
        </w:rPr>
      </w:pPr>
      <w:r w:rsidRPr="00DC0076">
        <w:rPr>
          <w:rFonts w:cstheme="minorHAnsi"/>
          <w:lang w:val="fr-CH"/>
        </w:rPr>
        <w:t>SC57</w:t>
      </w:r>
      <w:r w:rsidR="008B11C2" w:rsidRPr="00DC0076">
        <w:rPr>
          <w:rFonts w:cstheme="minorHAnsi"/>
          <w:lang w:val="fr-CH"/>
        </w:rPr>
        <w:t> :</w:t>
      </w:r>
      <w:r w:rsidRPr="00DC0076">
        <w:rPr>
          <w:rFonts w:cstheme="minorHAnsi"/>
          <w:lang w:val="fr-CH"/>
        </w:rPr>
        <w:t xml:space="preserve"> 96 </w:t>
      </w:r>
      <w:r w:rsidR="00B8638A" w:rsidRPr="00DC0076">
        <w:rPr>
          <w:rFonts w:cstheme="minorHAnsi"/>
          <w:lang w:val="fr-CH"/>
        </w:rPr>
        <w:t>représentants de 48 Parties contractantes ; 18 observateurs ;</w:t>
      </w:r>
    </w:p>
    <w:p w14:paraId="47266018" w14:textId="32D0D38E" w:rsidR="001D3415" w:rsidRPr="00DC0076" w:rsidRDefault="001D3415" w:rsidP="0012586E">
      <w:pPr>
        <w:pStyle w:val="ListParagraph"/>
        <w:numPr>
          <w:ilvl w:val="0"/>
          <w:numId w:val="49"/>
        </w:numPr>
        <w:spacing w:after="0" w:line="240" w:lineRule="auto"/>
        <w:ind w:left="993" w:hanging="425"/>
        <w:rPr>
          <w:rFonts w:cstheme="minorHAnsi"/>
          <w:lang w:val="fr-CH"/>
        </w:rPr>
      </w:pPr>
      <w:r w:rsidRPr="00DC0076">
        <w:rPr>
          <w:rFonts w:cstheme="minorHAnsi"/>
          <w:lang w:val="fr-CH"/>
        </w:rPr>
        <w:lastRenderedPageBreak/>
        <w:t>SC58</w:t>
      </w:r>
      <w:r w:rsidR="008B11C2" w:rsidRPr="00DC0076">
        <w:rPr>
          <w:rFonts w:cstheme="minorHAnsi"/>
          <w:lang w:val="fr-CH"/>
        </w:rPr>
        <w:t> :</w:t>
      </w:r>
      <w:r w:rsidRPr="00DC0076">
        <w:rPr>
          <w:rFonts w:cstheme="minorHAnsi"/>
          <w:lang w:val="fr-CH"/>
        </w:rPr>
        <w:t xml:space="preserve"> </w:t>
      </w:r>
      <w:r w:rsidR="0035592B" w:rsidRPr="00DC0076">
        <w:rPr>
          <w:rFonts w:cstheme="minorHAnsi"/>
          <w:lang w:val="fr-CH"/>
        </w:rPr>
        <w:t>6</w:t>
      </w:r>
      <w:r w:rsidR="0012586E" w:rsidRPr="00DC0076">
        <w:rPr>
          <w:rFonts w:cstheme="minorHAnsi"/>
          <w:lang w:val="fr-CH"/>
        </w:rPr>
        <w:t xml:space="preserve">6 </w:t>
      </w:r>
      <w:r w:rsidR="00B8638A" w:rsidRPr="00DC0076">
        <w:rPr>
          <w:rFonts w:cstheme="minorHAnsi"/>
          <w:lang w:val="fr-CH"/>
        </w:rPr>
        <w:t xml:space="preserve">représentants de 34 Parties contractantes ; </w:t>
      </w:r>
      <w:r w:rsidR="00390176" w:rsidRPr="00DC0076">
        <w:rPr>
          <w:rFonts w:cstheme="minorHAnsi"/>
          <w:lang w:val="fr-CH"/>
        </w:rPr>
        <w:t xml:space="preserve">session à huis clos ; </w:t>
      </w:r>
      <w:r w:rsidR="00B8638A" w:rsidRPr="00DC0076">
        <w:rPr>
          <w:rFonts w:cstheme="minorHAnsi"/>
          <w:lang w:val="fr-CH"/>
        </w:rPr>
        <w:t>aucun observateur invité ;</w:t>
      </w:r>
    </w:p>
    <w:p w14:paraId="53800E7A" w14:textId="3E9F7719" w:rsidR="0012586E" w:rsidRPr="00DC0076" w:rsidRDefault="0012586E" w:rsidP="0012586E">
      <w:pPr>
        <w:pStyle w:val="ListParagraph"/>
        <w:numPr>
          <w:ilvl w:val="0"/>
          <w:numId w:val="49"/>
        </w:numPr>
        <w:spacing w:after="0" w:line="240" w:lineRule="auto"/>
        <w:ind w:left="993" w:hanging="425"/>
        <w:rPr>
          <w:rFonts w:cstheme="minorHAnsi"/>
          <w:lang w:val="fr-CH"/>
        </w:rPr>
      </w:pPr>
      <w:r w:rsidRPr="00DC0076">
        <w:rPr>
          <w:rFonts w:cstheme="minorHAnsi"/>
          <w:lang w:val="fr-CH"/>
        </w:rPr>
        <w:t>SC5</w:t>
      </w:r>
      <w:r w:rsidR="009B262C" w:rsidRPr="00DC0076">
        <w:rPr>
          <w:rFonts w:cstheme="minorHAnsi"/>
          <w:lang w:val="fr-CH"/>
        </w:rPr>
        <w:t>9</w:t>
      </w:r>
      <w:r w:rsidR="008B11C2" w:rsidRPr="00DC0076">
        <w:rPr>
          <w:rFonts w:cstheme="minorHAnsi"/>
          <w:lang w:val="fr-CH"/>
        </w:rPr>
        <w:t> :</w:t>
      </w:r>
      <w:r w:rsidRPr="00DC0076">
        <w:rPr>
          <w:rFonts w:cstheme="minorHAnsi"/>
          <w:lang w:val="fr-CH"/>
        </w:rPr>
        <w:t xml:space="preserve"> 97 </w:t>
      </w:r>
      <w:r w:rsidR="00B8638A" w:rsidRPr="00DC0076">
        <w:rPr>
          <w:rFonts w:cstheme="minorHAnsi"/>
          <w:lang w:val="fr-CH"/>
        </w:rPr>
        <w:t>représentants de 39 Parties contractantes ; 16 observateurs ; 153 participants inscrits au total.</w:t>
      </w:r>
    </w:p>
    <w:p w14:paraId="797E2AD7" w14:textId="1A57F4D8" w:rsidR="002F178E" w:rsidRPr="00DC0076" w:rsidRDefault="002F178E" w:rsidP="00E64244">
      <w:pPr>
        <w:spacing w:after="0" w:line="240" w:lineRule="auto"/>
        <w:ind w:left="567" w:hanging="567"/>
        <w:rPr>
          <w:rFonts w:cstheme="minorHAnsi"/>
          <w:lang w:val="fr-CH"/>
        </w:rPr>
      </w:pPr>
    </w:p>
    <w:p w14:paraId="28A7B878" w14:textId="466133B6" w:rsidR="002F178E" w:rsidRPr="00DC0076" w:rsidRDefault="00B8638A"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DC0076">
        <w:rPr>
          <w:rFonts w:cstheme="minorHAnsi"/>
          <w:bCs/>
          <w:lang w:val="fr-CH"/>
        </w:rPr>
        <w:t>Suivi du jour précédent :</w:t>
      </w:r>
      <w:r w:rsidR="002F178E" w:rsidRPr="00DC0076">
        <w:rPr>
          <w:rFonts w:cstheme="minorHAnsi"/>
          <w:bCs/>
          <w:lang w:val="fr-CH"/>
        </w:rPr>
        <w:t xml:space="preserve"> </w:t>
      </w:r>
    </w:p>
    <w:p w14:paraId="3B58B858" w14:textId="4C2693A7" w:rsidR="002F178E" w:rsidRPr="00DC0076" w:rsidRDefault="002F178E"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lang w:val="fr-CH"/>
        </w:rPr>
        <w:t>R</w:t>
      </w:r>
      <w:r w:rsidR="00B8638A" w:rsidRPr="00DC0076">
        <w:rPr>
          <w:rFonts w:cstheme="minorHAnsi"/>
          <w:lang w:val="fr-CH"/>
        </w:rPr>
        <w:t>apport du Président du Sous</w:t>
      </w:r>
      <w:r w:rsidR="00B8638A" w:rsidRPr="00DC0076">
        <w:rPr>
          <w:rFonts w:cstheme="minorHAnsi"/>
          <w:lang w:val="fr-CH"/>
        </w:rPr>
        <w:noBreakHyphen/>
        <w:t xml:space="preserve">groupe sur la </w:t>
      </w:r>
      <w:r w:rsidRPr="00DC0076">
        <w:rPr>
          <w:rFonts w:cstheme="minorHAnsi"/>
          <w:lang w:val="fr-CH"/>
        </w:rPr>
        <w:t xml:space="preserve">COP14 </w:t>
      </w:r>
      <w:r w:rsidR="00B8638A" w:rsidRPr="00DC0076">
        <w:rPr>
          <w:rFonts w:cstheme="minorHAnsi"/>
          <w:lang w:val="fr-CH"/>
        </w:rPr>
        <w:t xml:space="preserve">sur les prix </w:t>
      </w:r>
      <w:r w:rsidRPr="00DC0076">
        <w:rPr>
          <w:rFonts w:cstheme="minorHAnsi"/>
          <w:lang w:val="fr-CH"/>
        </w:rPr>
        <w:t xml:space="preserve">Ramsar </w:t>
      </w:r>
      <w:r w:rsidR="00B8638A" w:rsidRPr="00DC0076">
        <w:rPr>
          <w:rFonts w:cstheme="minorHAnsi"/>
          <w:lang w:val="fr-CH"/>
        </w:rPr>
        <w:t>pour la conservation des zones humides</w:t>
      </w:r>
    </w:p>
    <w:p w14:paraId="48937A4C" w14:textId="77777777" w:rsidR="00E64244" w:rsidRPr="00DC0076" w:rsidRDefault="00E64244" w:rsidP="00E64244">
      <w:pPr>
        <w:spacing w:after="0" w:line="240" w:lineRule="auto"/>
        <w:ind w:left="567" w:hanging="567"/>
        <w:rPr>
          <w:rFonts w:cstheme="minorHAnsi"/>
          <w:lang w:val="fr-CH"/>
        </w:rPr>
      </w:pPr>
    </w:p>
    <w:p w14:paraId="5A18869F" w14:textId="30B60997" w:rsidR="00362114" w:rsidRPr="00DC0076" w:rsidRDefault="00714348" w:rsidP="00362114">
      <w:pPr>
        <w:spacing w:after="0" w:line="240" w:lineRule="auto"/>
        <w:ind w:left="567" w:hanging="567"/>
        <w:rPr>
          <w:rFonts w:cstheme="minorHAnsi"/>
          <w:lang w:val="fr-CH"/>
        </w:rPr>
      </w:pPr>
      <w:r w:rsidRPr="00DC0076">
        <w:rPr>
          <w:rFonts w:cstheme="minorHAnsi"/>
          <w:lang w:val="fr-CH"/>
        </w:rPr>
        <w:t>5</w:t>
      </w:r>
      <w:r w:rsidR="0079631C" w:rsidRPr="00DC0076">
        <w:rPr>
          <w:rFonts w:cstheme="minorHAnsi"/>
          <w:lang w:val="fr-CH"/>
        </w:rPr>
        <w:t>.</w:t>
      </w:r>
      <w:r w:rsidR="0079631C" w:rsidRPr="00DC0076">
        <w:rPr>
          <w:rFonts w:cstheme="minorHAnsi"/>
          <w:lang w:val="fr-CH"/>
        </w:rPr>
        <w:tab/>
      </w:r>
      <w:r w:rsidR="00B8638A" w:rsidRPr="00DC0076">
        <w:rPr>
          <w:rFonts w:cstheme="minorHAnsi"/>
          <w:lang w:val="fr-CH"/>
        </w:rPr>
        <w:t>Le Président du Sous</w:t>
      </w:r>
      <w:r w:rsidR="00B8638A" w:rsidRPr="00DC0076">
        <w:rPr>
          <w:rFonts w:cstheme="minorHAnsi"/>
          <w:lang w:val="fr-CH"/>
        </w:rPr>
        <w:noBreakHyphen/>
        <w:t xml:space="preserve">groupe sur la </w:t>
      </w:r>
      <w:r w:rsidR="00362114" w:rsidRPr="00DC0076">
        <w:rPr>
          <w:rFonts w:cstheme="minorHAnsi"/>
          <w:lang w:val="fr-CH"/>
        </w:rPr>
        <w:t xml:space="preserve">COP14 </w:t>
      </w:r>
      <w:r w:rsidR="00B8638A" w:rsidRPr="00DC0076">
        <w:rPr>
          <w:rFonts w:cstheme="minorHAnsi"/>
          <w:lang w:val="fr-CH"/>
        </w:rPr>
        <w:t>indique qu</w:t>
      </w:r>
      <w:r w:rsidR="00E31C61" w:rsidRPr="00DC0076">
        <w:rPr>
          <w:rFonts w:cstheme="minorHAnsi"/>
          <w:lang w:val="fr-CH"/>
        </w:rPr>
        <w:t>’</w:t>
      </w:r>
      <w:r w:rsidR="00B8638A" w:rsidRPr="00DC0076">
        <w:rPr>
          <w:rFonts w:cstheme="minorHAnsi"/>
          <w:lang w:val="fr-CH"/>
        </w:rPr>
        <w:t>une</w:t>
      </w:r>
      <w:r w:rsidR="00362114" w:rsidRPr="00DC0076">
        <w:rPr>
          <w:rFonts w:cstheme="minorHAnsi"/>
          <w:lang w:val="fr-CH"/>
        </w:rPr>
        <w:t xml:space="preserve"> consultation </w:t>
      </w:r>
      <w:r w:rsidR="00B8638A" w:rsidRPr="00DC0076">
        <w:rPr>
          <w:rFonts w:cstheme="minorHAnsi"/>
          <w:lang w:val="fr-CH"/>
        </w:rPr>
        <w:t xml:space="preserve">par courriel a eu lieu le soir précédent et a </w:t>
      </w:r>
      <w:r w:rsidR="009B262C" w:rsidRPr="00DC0076">
        <w:rPr>
          <w:rFonts w:cstheme="minorHAnsi"/>
          <w:lang w:val="fr-CH"/>
        </w:rPr>
        <w:t>obtenu</w:t>
      </w:r>
      <w:r w:rsidR="00B8638A" w:rsidRPr="00DC0076">
        <w:rPr>
          <w:rFonts w:cstheme="minorHAnsi"/>
          <w:lang w:val="fr-CH"/>
        </w:rPr>
        <w:t xml:space="preserve"> une réponse unanime, à savoir que les membres du Sous</w:t>
      </w:r>
      <w:r w:rsidR="00B8638A" w:rsidRPr="00DC0076">
        <w:rPr>
          <w:rFonts w:cstheme="minorHAnsi"/>
          <w:lang w:val="fr-CH"/>
        </w:rPr>
        <w:noBreakHyphen/>
        <w:t>groupe n</w:t>
      </w:r>
      <w:r w:rsidR="00E31C61" w:rsidRPr="00DC0076">
        <w:rPr>
          <w:rFonts w:cstheme="minorHAnsi"/>
          <w:lang w:val="fr-CH"/>
        </w:rPr>
        <w:t>’</w:t>
      </w:r>
      <w:r w:rsidR="00B8638A" w:rsidRPr="00DC0076">
        <w:rPr>
          <w:rFonts w:cstheme="minorHAnsi"/>
          <w:lang w:val="fr-CH"/>
        </w:rPr>
        <w:t xml:space="preserve">ont pas eu assez de temps pour </w:t>
      </w:r>
      <w:r w:rsidR="009B262C" w:rsidRPr="00DC0076">
        <w:rPr>
          <w:rFonts w:cstheme="minorHAnsi"/>
          <w:lang w:val="fr-CH"/>
        </w:rPr>
        <w:t>évaluer les candidats</w:t>
      </w:r>
      <w:r w:rsidR="00B8638A" w:rsidRPr="00DC0076">
        <w:rPr>
          <w:rFonts w:cstheme="minorHAnsi"/>
          <w:lang w:val="fr-CH"/>
        </w:rPr>
        <w:t xml:space="preserve"> </w:t>
      </w:r>
      <w:r w:rsidR="009B262C" w:rsidRPr="00DC0076">
        <w:rPr>
          <w:rFonts w:cstheme="minorHAnsi"/>
          <w:lang w:val="fr-CH"/>
        </w:rPr>
        <w:t>présentés</w:t>
      </w:r>
      <w:r w:rsidR="00B8638A" w:rsidRPr="00DC0076">
        <w:rPr>
          <w:rFonts w:cstheme="minorHAnsi"/>
          <w:lang w:val="fr-CH"/>
        </w:rPr>
        <w:t xml:space="preserve"> comme lauréats possibles des prix Ramsar pour la conservation des zones humides et que</w:t>
      </w:r>
      <w:r w:rsidR="009B262C" w:rsidRPr="00DC0076">
        <w:rPr>
          <w:rFonts w:cstheme="minorHAnsi"/>
          <w:lang w:val="fr-CH"/>
        </w:rPr>
        <w:t>,</w:t>
      </w:r>
      <w:r w:rsidR="00B8638A" w:rsidRPr="00DC0076">
        <w:rPr>
          <w:rFonts w:cstheme="minorHAnsi"/>
          <w:lang w:val="fr-CH"/>
        </w:rPr>
        <w:t xml:space="preserve"> la question n</w:t>
      </w:r>
      <w:r w:rsidR="00E31C61" w:rsidRPr="00DC0076">
        <w:rPr>
          <w:rFonts w:cstheme="minorHAnsi"/>
          <w:lang w:val="fr-CH"/>
        </w:rPr>
        <w:t>’</w:t>
      </w:r>
      <w:r w:rsidR="00B8638A" w:rsidRPr="00DC0076">
        <w:rPr>
          <w:rFonts w:cstheme="minorHAnsi"/>
          <w:lang w:val="fr-CH"/>
        </w:rPr>
        <w:t>étant pas sensible au temps</w:t>
      </w:r>
      <w:r w:rsidR="009B262C" w:rsidRPr="00DC0076">
        <w:rPr>
          <w:rFonts w:cstheme="minorHAnsi"/>
          <w:lang w:val="fr-CH"/>
        </w:rPr>
        <w:t>,</w:t>
      </w:r>
      <w:r w:rsidR="00B8638A" w:rsidRPr="00DC0076">
        <w:rPr>
          <w:rFonts w:cstheme="minorHAnsi"/>
          <w:lang w:val="fr-CH"/>
        </w:rPr>
        <w:t xml:space="preserve"> </w:t>
      </w:r>
      <w:r w:rsidR="009B262C" w:rsidRPr="00DC0076">
        <w:rPr>
          <w:rFonts w:cstheme="minorHAnsi"/>
          <w:lang w:val="fr-CH"/>
        </w:rPr>
        <w:t>il serait bon de la</w:t>
      </w:r>
      <w:r w:rsidR="00B8638A" w:rsidRPr="00DC0076">
        <w:rPr>
          <w:rFonts w:cstheme="minorHAnsi"/>
          <w:lang w:val="fr-CH"/>
        </w:rPr>
        <w:t xml:space="preserve"> différ</w:t>
      </w:r>
      <w:r w:rsidR="009B262C" w:rsidRPr="00DC0076">
        <w:rPr>
          <w:rFonts w:cstheme="minorHAnsi"/>
          <w:lang w:val="fr-CH"/>
        </w:rPr>
        <w:t>er</w:t>
      </w:r>
      <w:r w:rsidR="00B8638A" w:rsidRPr="00DC0076">
        <w:rPr>
          <w:rFonts w:cstheme="minorHAnsi"/>
          <w:lang w:val="fr-CH"/>
        </w:rPr>
        <w:t xml:space="preserve"> jusqu</w:t>
      </w:r>
      <w:r w:rsidR="00E31C61" w:rsidRPr="00DC0076">
        <w:rPr>
          <w:rFonts w:cstheme="minorHAnsi"/>
          <w:lang w:val="fr-CH"/>
        </w:rPr>
        <w:t>’</w:t>
      </w:r>
      <w:r w:rsidR="00B8638A" w:rsidRPr="00DC0076">
        <w:rPr>
          <w:rFonts w:cstheme="minorHAnsi"/>
          <w:lang w:val="fr-CH"/>
        </w:rPr>
        <w:t xml:space="preserve">à une réunion ultérieure du Comité permanent. Le Président demande que le Secrétariat </w:t>
      </w:r>
      <w:r w:rsidR="009B262C" w:rsidRPr="00DC0076">
        <w:rPr>
          <w:rFonts w:cstheme="minorHAnsi"/>
          <w:lang w:val="fr-CH"/>
        </w:rPr>
        <w:t>annonce le nouveau calendrier à</w:t>
      </w:r>
      <w:r w:rsidR="00B8638A" w:rsidRPr="00DC0076">
        <w:rPr>
          <w:rFonts w:cstheme="minorHAnsi"/>
          <w:lang w:val="fr-CH"/>
        </w:rPr>
        <w:t xml:space="preserve"> ceux qui ont proposé les candidats </w:t>
      </w:r>
      <w:r w:rsidR="009B262C" w:rsidRPr="00DC0076">
        <w:rPr>
          <w:rFonts w:cstheme="minorHAnsi"/>
          <w:lang w:val="fr-CH"/>
        </w:rPr>
        <w:t>aux prix.</w:t>
      </w:r>
      <w:r w:rsidR="00B8638A" w:rsidRPr="00DC0076">
        <w:rPr>
          <w:rFonts w:cstheme="minorHAnsi"/>
          <w:lang w:val="fr-CH"/>
        </w:rPr>
        <w:t xml:space="preserve"> </w:t>
      </w:r>
    </w:p>
    <w:p w14:paraId="47714E36" w14:textId="32CF69BF" w:rsidR="00E64244" w:rsidRPr="00DC0076" w:rsidRDefault="00E64244" w:rsidP="002F178E">
      <w:pPr>
        <w:spacing w:after="0" w:line="240" w:lineRule="auto"/>
        <w:ind w:left="567" w:hanging="567"/>
        <w:rPr>
          <w:rFonts w:cstheme="minorHAnsi"/>
          <w:lang w:val="fr-CH"/>
        </w:rPr>
      </w:pPr>
    </w:p>
    <w:p w14:paraId="724AEB83" w14:textId="4C7A342D" w:rsidR="002F178E" w:rsidRPr="00DC0076" w:rsidRDefault="008B11C2" w:rsidP="002F178E">
      <w:pPr>
        <w:spacing w:after="0" w:line="240" w:lineRule="auto"/>
        <w:rPr>
          <w:rFonts w:cstheme="minorHAnsi"/>
          <w:b/>
          <w:lang w:val="fr-CH"/>
        </w:rPr>
      </w:pPr>
      <w:r w:rsidRPr="00DC0076">
        <w:rPr>
          <w:rFonts w:cstheme="minorHAnsi"/>
          <w:b/>
          <w:lang w:val="fr-CH"/>
        </w:rPr>
        <w:t>Décision</w:t>
      </w:r>
      <w:r w:rsidR="00362114" w:rsidRPr="00DC0076">
        <w:rPr>
          <w:rFonts w:cstheme="minorHAnsi"/>
          <w:b/>
          <w:lang w:val="fr-CH"/>
        </w:rPr>
        <w:t xml:space="preserve"> SC59</w:t>
      </w:r>
      <w:r w:rsidR="0012586E" w:rsidRPr="00DC0076">
        <w:rPr>
          <w:rFonts w:cstheme="minorHAnsi"/>
          <w:b/>
          <w:lang w:val="fr-CH"/>
        </w:rPr>
        <w:t>-14</w:t>
      </w:r>
      <w:r w:rsidRPr="00DC0076">
        <w:rPr>
          <w:rFonts w:cstheme="minorHAnsi"/>
          <w:b/>
          <w:lang w:val="fr-CH"/>
        </w:rPr>
        <w:t> :</w:t>
      </w:r>
      <w:r w:rsidR="00B8638A" w:rsidRPr="00DC0076">
        <w:rPr>
          <w:rFonts w:cstheme="minorHAnsi"/>
          <w:b/>
          <w:lang w:val="fr-CH"/>
        </w:rPr>
        <w:t xml:space="preserve"> Le Comité permanent décide de différer l</w:t>
      </w:r>
      <w:r w:rsidR="00E31C61" w:rsidRPr="00DC0076">
        <w:rPr>
          <w:rFonts w:cstheme="minorHAnsi"/>
          <w:b/>
          <w:lang w:val="fr-CH"/>
        </w:rPr>
        <w:t>’</w:t>
      </w:r>
      <w:r w:rsidR="00B8638A" w:rsidRPr="00DC0076">
        <w:rPr>
          <w:rFonts w:cstheme="minorHAnsi"/>
          <w:b/>
          <w:lang w:val="fr-CH"/>
        </w:rPr>
        <w:t>examen des prix Ramsar pour la conservation des zones humides jusqu</w:t>
      </w:r>
      <w:r w:rsidR="00E31C61" w:rsidRPr="00DC0076">
        <w:rPr>
          <w:rFonts w:cstheme="minorHAnsi"/>
          <w:b/>
          <w:lang w:val="fr-CH"/>
        </w:rPr>
        <w:t>’</w:t>
      </w:r>
      <w:r w:rsidR="00B8638A" w:rsidRPr="00DC0076">
        <w:rPr>
          <w:rFonts w:cstheme="minorHAnsi"/>
          <w:b/>
          <w:lang w:val="fr-CH"/>
        </w:rPr>
        <w:t>à sa prochaine réunion</w:t>
      </w:r>
      <w:r w:rsidR="009B262C" w:rsidRPr="00DC0076">
        <w:rPr>
          <w:rFonts w:cstheme="minorHAnsi"/>
          <w:b/>
          <w:lang w:val="fr-CH"/>
        </w:rPr>
        <w:t>,</w:t>
      </w:r>
      <w:r w:rsidR="00B8638A" w:rsidRPr="00DC0076">
        <w:rPr>
          <w:rFonts w:cstheme="minorHAnsi"/>
          <w:b/>
          <w:lang w:val="fr-CH"/>
        </w:rPr>
        <w:t xml:space="preserve"> qui aura lieu en 2022. </w:t>
      </w:r>
    </w:p>
    <w:p w14:paraId="0A73CA68" w14:textId="77777777" w:rsidR="00362114" w:rsidRPr="00DC0076" w:rsidRDefault="00362114" w:rsidP="002F178E">
      <w:pPr>
        <w:spacing w:after="0" w:line="240" w:lineRule="auto"/>
        <w:rPr>
          <w:rFonts w:cstheme="minorHAnsi"/>
          <w:b/>
          <w:lang w:val="fr-CH"/>
        </w:rPr>
      </w:pPr>
    </w:p>
    <w:p w14:paraId="5DF766C5" w14:textId="6D3DEAE5" w:rsidR="0024341A" w:rsidRPr="00DC0076" w:rsidRDefault="00B8638A"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bCs/>
          <w:lang w:val="fr-CH"/>
        </w:rPr>
        <w:t>Point</w:t>
      </w:r>
      <w:r w:rsidR="0024341A" w:rsidRPr="00DC0076">
        <w:rPr>
          <w:rFonts w:cstheme="minorHAnsi"/>
          <w:bCs/>
          <w:lang w:val="fr-CH"/>
        </w:rPr>
        <w:t xml:space="preserve"> </w:t>
      </w:r>
      <w:r w:rsidR="002F178E" w:rsidRPr="00DC0076">
        <w:rPr>
          <w:rFonts w:cstheme="minorHAnsi"/>
          <w:lang w:val="fr-CH"/>
        </w:rPr>
        <w:t>17.3</w:t>
      </w:r>
      <w:r w:rsidRPr="00DC0076">
        <w:rPr>
          <w:rFonts w:cstheme="minorHAnsi"/>
          <w:lang w:val="fr-CH"/>
        </w:rPr>
        <w:t xml:space="preserve"> de l</w:t>
      </w:r>
      <w:r w:rsidR="00E31C61" w:rsidRPr="00DC0076">
        <w:rPr>
          <w:rFonts w:cstheme="minorHAnsi"/>
          <w:lang w:val="fr-CH"/>
        </w:rPr>
        <w:t>’</w:t>
      </w:r>
      <w:r w:rsidRPr="00DC0076">
        <w:rPr>
          <w:rFonts w:cstheme="minorHAnsi"/>
          <w:lang w:val="fr-CH"/>
        </w:rPr>
        <w:t>ordre du jour</w:t>
      </w:r>
      <w:r w:rsidR="008B11C2" w:rsidRPr="00DC0076">
        <w:rPr>
          <w:rFonts w:cstheme="minorHAnsi"/>
          <w:lang w:val="fr-CH"/>
        </w:rPr>
        <w:t> :</w:t>
      </w:r>
      <w:r w:rsidRPr="00DC0076">
        <w:rPr>
          <w:rFonts w:cstheme="minorHAnsi"/>
          <w:lang w:val="fr-CH"/>
        </w:rPr>
        <w:t xml:space="preserve"> Thèmes de la Journée mondiale des zones humides pour </w:t>
      </w:r>
      <w:r w:rsidR="002F178E" w:rsidRPr="00DC0076">
        <w:rPr>
          <w:rFonts w:cstheme="minorHAnsi"/>
          <w:lang w:val="fr-CH"/>
        </w:rPr>
        <w:t>2022-2024</w:t>
      </w:r>
    </w:p>
    <w:p w14:paraId="61B706EA" w14:textId="77777777" w:rsidR="002F178E" w:rsidRPr="00DC0076" w:rsidRDefault="002F178E" w:rsidP="005F4C17">
      <w:pPr>
        <w:spacing w:after="0" w:line="240" w:lineRule="auto"/>
        <w:ind w:left="567" w:hanging="567"/>
        <w:rPr>
          <w:rFonts w:cstheme="minorHAnsi"/>
          <w:lang w:val="fr-CH"/>
        </w:rPr>
      </w:pPr>
    </w:p>
    <w:p w14:paraId="27BAA59F" w14:textId="524F7762" w:rsidR="00362114" w:rsidRPr="00DC0076" w:rsidRDefault="00714348" w:rsidP="00714348">
      <w:pPr>
        <w:spacing w:after="0" w:line="240" w:lineRule="auto"/>
        <w:ind w:left="567" w:hanging="567"/>
        <w:rPr>
          <w:rFonts w:cstheme="minorHAnsi"/>
          <w:lang w:val="fr-CH"/>
        </w:rPr>
      </w:pPr>
      <w:r w:rsidRPr="00DC0076">
        <w:rPr>
          <w:rFonts w:cstheme="minorHAnsi"/>
          <w:lang w:val="fr-CH"/>
        </w:rPr>
        <w:t>6</w:t>
      </w:r>
      <w:r w:rsidR="0079631C" w:rsidRPr="00DC0076">
        <w:rPr>
          <w:rFonts w:cstheme="minorHAnsi"/>
          <w:lang w:val="fr-CH"/>
        </w:rPr>
        <w:t>.</w:t>
      </w:r>
      <w:r w:rsidR="0079631C" w:rsidRPr="00DC0076">
        <w:rPr>
          <w:rFonts w:cstheme="minorHAnsi"/>
          <w:lang w:val="fr-CH"/>
        </w:rPr>
        <w:tab/>
      </w:r>
      <w:r w:rsidR="00D2704A" w:rsidRPr="00DC0076">
        <w:rPr>
          <w:rFonts w:cstheme="minorHAnsi"/>
          <w:lang w:val="fr-CH"/>
        </w:rPr>
        <w:t xml:space="preserve">Le Secrétariat informe le Comité permanent que, malgré les restrictions liées à la pandémie de </w:t>
      </w:r>
      <w:r w:rsidR="00BA0BD3" w:rsidRPr="00DC0076">
        <w:rPr>
          <w:rFonts w:cstheme="minorHAnsi"/>
          <w:lang w:val="fr-CH"/>
        </w:rPr>
        <w:t>COVID-19, 1100</w:t>
      </w:r>
      <w:r w:rsidR="00D2704A" w:rsidRPr="00DC0076">
        <w:rPr>
          <w:rFonts w:cstheme="minorHAnsi"/>
          <w:lang w:val="fr-CH"/>
        </w:rPr>
        <w:t xml:space="preserve"> activités </w:t>
      </w:r>
      <w:r w:rsidR="009B262C" w:rsidRPr="00DC0076">
        <w:rPr>
          <w:rFonts w:cstheme="minorHAnsi"/>
          <w:lang w:val="fr-CH"/>
        </w:rPr>
        <w:t>de</w:t>
      </w:r>
      <w:r w:rsidR="00D2704A" w:rsidRPr="00DC0076">
        <w:rPr>
          <w:rFonts w:cstheme="minorHAnsi"/>
          <w:lang w:val="fr-CH"/>
        </w:rPr>
        <w:t xml:space="preserve"> la Journée mondiale des zones humides se sont déroulées dans 82 pays. Il présente le document </w:t>
      </w:r>
      <w:r w:rsidR="00362114" w:rsidRPr="00DC0076">
        <w:rPr>
          <w:rFonts w:cstheme="minorHAnsi"/>
          <w:lang w:val="fr-CH"/>
        </w:rPr>
        <w:t>SC59 Doc</w:t>
      </w:r>
      <w:r w:rsidR="00D2704A" w:rsidRPr="00DC0076">
        <w:rPr>
          <w:rFonts w:cstheme="minorHAnsi"/>
          <w:lang w:val="fr-CH"/>
        </w:rPr>
        <w:t>.</w:t>
      </w:r>
      <w:r w:rsidR="00362114" w:rsidRPr="00DC0076">
        <w:rPr>
          <w:rFonts w:cstheme="minorHAnsi"/>
          <w:lang w:val="fr-CH"/>
        </w:rPr>
        <w:t xml:space="preserve">17.3 </w:t>
      </w:r>
      <w:r w:rsidR="00D2704A" w:rsidRPr="00DC0076">
        <w:rPr>
          <w:rFonts w:cstheme="minorHAnsi"/>
          <w:i/>
          <w:lang w:val="fr-CH"/>
        </w:rPr>
        <w:t xml:space="preserve">Thèmes de la Journée mondiale des zones humides pour </w:t>
      </w:r>
      <w:r w:rsidR="00362114" w:rsidRPr="00DC0076">
        <w:rPr>
          <w:rFonts w:cstheme="minorHAnsi"/>
          <w:i/>
          <w:lang w:val="fr-CH"/>
        </w:rPr>
        <w:t>2022-2024</w:t>
      </w:r>
      <w:r w:rsidR="00362114" w:rsidRPr="00DC0076">
        <w:rPr>
          <w:rFonts w:cstheme="minorHAnsi"/>
          <w:lang w:val="fr-CH"/>
        </w:rPr>
        <w:t xml:space="preserve">, </w:t>
      </w:r>
      <w:r w:rsidR="00D2704A" w:rsidRPr="00DC0076">
        <w:rPr>
          <w:rFonts w:cstheme="minorHAnsi"/>
          <w:lang w:val="fr-CH"/>
        </w:rPr>
        <w:t>qui propose comme thèmes :</w:t>
      </w:r>
      <w:r w:rsidR="00362114" w:rsidRPr="00DC0076">
        <w:rPr>
          <w:rFonts w:cstheme="minorHAnsi"/>
          <w:lang w:val="fr-CH"/>
        </w:rPr>
        <w:t xml:space="preserve"> </w:t>
      </w:r>
      <w:r w:rsidR="00D2704A" w:rsidRPr="00DC0076">
        <w:rPr>
          <w:rFonts w:cstheme="minorHAnsi"/>
          <w:lang w:val="fr-CH"/>
        </w:rPr>
        <w:t xml:space="preserve">« utilisation rationnelle des zones humides » </w:t>
      </w:r>
      <w:r w:rsidR="00362114" w:rsidRPr="00DC0076">
        <w:rPr>
          <w:rFonts w:cstheme="minorHAnsi"/>
          <w:lang w:val="fr-CH"/>
        </w:rPr>
        <w:t>(2022)</w:t>
      </w:r>
      <w:r w:rsidR="00D2704A" w:rsidRPr="00DC0076">
        <w:rPr>
          <w:rFonts w:cstheme="minorHAnsi"/>
          <w:lang w:val="fr-CH"/>
        </w:rPr>
        <w:t> </w:t>
      </w:r>
      <w:r w:rsidR="00362114" w:rsidRPr="00DC0076">
        <w:rPr>
          <w:rFonts w:cstheme="minorHAnsi"/>
          <w:lang w:val="fr-CH"/>
        </w:rPr>
        <w:t xml:space="preserve">; </w:t>
      </w:r>
      <w:r w:rsidR="00D2704A" w:rsidRPr="00DC0076">
        <w:rPr>
          <w:rFonts w:cstheme="minorHAnsi"/>
          <w:lang w:val="fr-CH"/>
        </w:rPr>
        <w:t xml:space="preserve">« restaurer les zones humides » </w:t>
      </w:r>
      <w:r w:rsidR="00362114" w:rsidRPr="00DC0076">
        <w:rPr>
          <w:rFonts w:cstheme="minorHAnsi"/>
          <w:lang w:val="fr-CH"/>
        </w:rPr>
        <w:t>(2023)</w:t>
      </w:r>
      <w:r w:rsidR="00D2704A" w:rsidRPr="00DC0076">
        <w:rPr>
          <w:rFonts w:cstheme="minorHAnsi"/>
          <w:lang w:val="fr-CH"/>
        </w:rPr>
        <w:t> </w:t>
      </w:r>
      <w:r w:rsidR="00362114" w:rsidRPr="00DC0076">
        <w:rPr>
          <w:rFonts w:cstheme="minorHAnsi"/>
          <w:lang w:val="fr-CH"/>
        </w:rPr>
        <w:t xml:space="preserve">; </w:t>
      </w:r>
      <w:r w:rsidR="00D2704A" w:rsidRPr="00DC0076">
        <w:rPr>
          <w:rFonts w:cstheme="minorHAnsi"/>
          <w:lang w:val="fr-CH"/>
        </w:rPr>
        <w:t>et « les zones humides et l</w:t>
      </w:r>
      <w:r w:rsidR="00E31C61" w:rsidRPr="00DC0076">
        <w:rPr>
          <w:rFonts w:cstheme="minorHAnsi"/>
          <w:lang w:val="fr-CH"/>
        </w:rPr>
        <w:t>’</w:t>
      </w:r>
      <w:r w:rsidR="00D2704A" w:rsidRPr="00DC0076">
        <w:rPr>
          <w:rFonts w:cstheme="minorHAnsi"/>
          <w:lang w:val="fr-CH"/>
        </w:rPr>
        <w:t xml:space="preserve">égalité entre les genres » </w:t>
      </w:r>
      <w:r w:rsidR="00362114" w:rsidRPr="00DC0076">
        <w:rPr>
          <w:rFonts w:cstheme="minorHAnsi"/>
          <w:lang w:val="fr-CH"/>
        </w:rPr>
        <w:t>(2024).</w:t>
      </w:r>
      <w:r w:rsidRPr="00DC0076">
        <w:rPr>
          <w:rFonts w:cstheme="minorHAnsi"/>
          <w:lang w:val="fr-CH"/>
        </w:rPr>
        <w:t xml:space="preserve"> </w:t>
      </w:r>
      <w:r w:rsidR="00D2704A" w:rsidRPr="00DC0076">
        <w:rPr>
          <w:rFonts w:cstheme="minorHAnsi"/>
          <w:lang w:val="fr-CH"/>
        </w:rPr>
        <w:t>D</w:t>
      </w:r>
      <w:r w:rsidR="00E31C61" w:rsidRPr="00DC0076">
        <w:rPr>
          <w:rFonts w:cstheme="minorHAnsi"/>
          <w:lang w:val="fr-CH"/>
        </w:rPr>
        <w:t>’</w:t>
      </w:r>
      <w:r w:rsidR="00D2704A" w:rsidRPr="00DC0076">
        <w:rPr>
          <w:rFonts w:cstheme="minorHAnsi"/>
          <w:lang w:val="fr-CH"/>
        </w:rPr>
        <w:t>autres suggestions sont proposées pour examen : « les zones humides et le bien</w:t>
      </w:r>
      <w:r w:rsidR="00D2704A" w:rsidRPr="00DC0076">
        <w:rPr>
          <w:rFonts w:cstheme="minorHAnsi"/>
          <w:lang w:val="fr-CH"/>
        </w:rPr>
        <w:noBreakHyphen/>
        <w:t>être humain » et « nourrir la planète – les zones humides et l</w:t>
      </w:r>
      <w:r w:rsidR="00E31C61" w:rsidRPr="00DC0076">
        <w:rPr>
          <w:rFonts w:cstheme="minorHAnsi"/>
          <w:lang w:val="fr-CH"/>
        </w:rPr>
        <w:t>’</w:t>
      </w:r>
      <w:r w:rsidR="00D2704A" w:rsidRPr="00DC0076">
        <w:rPr>
          <w:rFonts w:cstheme="minorHAnsi"/>
          <w:lang w:val="fr-CH"/>
        </w:rPr>
        <w:t xml:space="preserve">alimentation ». </w:t>
      </w:r>
    </w:p>
    <w:p w14:paraId="3E709CBA" w14:textId="77777777" w:rsidR="00362114" w:rsidRPr="00DC0076" w:rsidRDefault="00362114" w:rsidP="00362114">
      <w:pPr>
        <w:spacing w:after="0" w:line="240" w:lineRule="auto"/>
        <w:ind w:left="567" w:hanging="567"/>
        <w:rPr>
          <w:rFonts w:cstheme="minorHAnsi"/>
          <w:lang w:val="fr-CH"/>
        </w:rPr>
      </w:pPr>
    </w:p>
    <w:p w14:paraId="01396EDB" w14:textId="63FB8AF7" w:rsidR="00362114" w:rsidRPr="00DC0076" w:rsidRDefault="00714348" w:rsidP="008077DC">
      <w:pPr>
        <w:spacing w:after="0" w:line="240" w:lineRule="auto"/>
        <w:ind w:left="567" w:hanging="567"/>
        <w:rPr>
          <w:rFonts w:cstheme="minorHAnsi"/>
          <w:lang w:val="fr-CH"/>
        </w:rPr>
      </w:pPr>
      <w:r w:rsidRPr="00DC0076">
        <w:rPr>
          <w:rFonts w:cstheme="minorHAnsi"/>
          <w:lang w:val="fr-CH"/>
        </w:rPr>
        <w:t>7.</w:t>
      </w:r>
      <w:r w:rsidRPr="00DC0076">
        <w:rPr>
          <w:rFonts w:cstheme="minorHAnsi"/>
          <w:lang w:val="fr-CH"/>
        </w:rPr>
        <w:tab/>
      </w:r>
      <w:r w:rsidR="00D2704A" w:rsidRPr="00DC0076">
        <w:rPr>
          <w:rFonts w:cstheme="minorHAnsi"/>
          <w:lang w:val="fr-CH"/>
        </w:rPr>
        <w:t xml:space="preserve">Les thèmes </w:t>
      </w:r>
      <w:r w:rsidR="009B262C" w:rsidRPr="00DC0076">
        <w:rPr>
          <w:rFonts w:cstheme="minorHAnsi"/>
          <w:lang w:val="fr-CH"/>
        </w:rPr>
        <w:t>pour</w:t>
      </w:r>
      <w:r w:rsidR="00D2704A" w:rsidRPr="00DC0076">
        <w:rPr>
          <w:rFonts w:cstheme="minorHAnsi"/>
          <w:lang w:val="fr-CH"/>
        </w:rPr>
        <w:t xml:space="preserve"> chaque année et les suggestions additionnelles reçoivent un appui général. </w:t>
      </w:r>
      <w:r w:rsidR="009B262C" w:rsidRPr="00DC0076">
        <w:rPr>
          <w:rFonts w:cstheme="minorHAnsi"/>
          <w:lang w:val="fr-CH"/>
        </w:rPr>
        <w:t>Il est proposé de l</w:t>
      </w:r>
      <w:r w:rsidR="00D2704A" w:rsidRPr="00DC0076">
        <w:rPr>
          <w:rFonts w:cstheme="minorHAnsi"/>
          <w:lang w:val="fr-CH"/>
        </w:rPr>
        <w:t>ier le thème de 2022 avec celui qui est proposé pour la COP14 (« </w:t>
      </w:r>
      <w:r w:rsidR="00F36427" w:rsidRPr="00DC0076">
        <w:rPr>
          <w:rFonts w:cstheme="minorHAnsi"/>
          <w:lang w:val="fr-CH"/>
        </w:rPr>
        <w:t>Agir pour les zones humides, c</w:t>
      </w:r>
      <w:r w:rsidR="00E31C61" w:rsidRPr="00DC0076">
        <w:rPr>
          <w:rFonts w:cstheme="minorHAnsi"/>
          <w:lang w:val="fr-CH"/>
        </w:rPr>
        <w:t>’</w:t>
      </w:r>
      <w:r w:rsidR="00F36427" w:rsidRPr="00DC0076">
        <w:rPr>
          <w:rFonts w:cstheme="minorHAnsi"/>
          <w:lang w:val="fr-CH"/>
        </w:rPr>
        <w:t>est agir pour l</w:t>
      </w:r>
      <w:r w:rsidR="00E31C61" w:rsidRPr="00DC0076">
        <w:rPr>
          <w:rFonts w:cstheme="minorHAnsi"/>
          <w:lang w:val="fr-CH"/>
        </w:rPr>
        <w:t>’</w:t>
      </w:r>
      <w:r w:rsidR="00F36427" w:rsidRPr="00DC0076">
        <w:rPr>
          <w:rFonts w:cstheme="minorHAnsi"/>
          <w:lang w:val="fr-CH"/>
        </w:rPr>
        <w:t>h</w:t>
      </w:r>
      <w:r w:rsidR="00447AD1" w:rsidRPr="00DC0076">
        <w:rPr>
          <w:rFonts w:cstheme="minorHAnsi"/>
          <w:lang w:val="fr-CH"/>
        </w:rPr>
        <w:t>omme et la</w:t>
      </w:r>
      <w:r w:rsidR="00F36427" w:rsidRPr="00DC0076">
        <w:rPr>
          <w:rFonts w:cstheme="minorHAnsi"/>
          <w:lang w:val="fr-CH"/>
        </w:rPr>
        <w:t xml:space="preserve"> nature</w:t>
      </w:r>
      <w:r w:rsidR="00447AD1" w:rsidRPr="00DC0076">
        <w:rPr>
          <w:rFonts w:cstheme="minorHAnsi"/>
          <w:lang w:val="fr-CH"/>
        </w:rPr>
        <w:t xml:space="preserve"> </w:t>
      </w:r>
      <w:r w:rsidR="00D2704A" w:rsidRPr="00DC0076">
        <w:rPr>
          <w:rFonts w:cstheme="minorHAnsi"/>
          <w:lang w:val="fr-CH"/>
        </w:rPr>
        <w:t xml:space="preserve">») </w:t>
      </w:r>
      <w:r w:rsidR="009B262C" w:rsidRPr="00DC0076">
        <w:rPr>
          <w:rFonts w:cstheme="minorHAnsi"/>
          <w:lang w:val="fr-CH"/>
        </w:rPr>
        <w:t>mais</w:t>
      </w:r>
      <w:r w:rsidR="00D2704A" w:rsidRPr="00DC0076">
        <w:rPr>
          <w:rFonts w:cstheme="minorHAnsi"/>
          <w:lang w:val="fr-CH"/>
        </w:rPr>
        <w:t xml:space="preserve"> le lancement de la Décennie des Nations Unies pour la restauration des écosystèmes est également mentionné et la révision future des Perspectives mondiales des zones humides a déjà la restauration des zones humides comme thème principal. Plusieurs observations sont faites </w:t>
      </w:r>
      <w:r w:rsidR="009B262C" w:rsidRPr="00DC0076">
        <w:rPr>
          <w:rFonts w:cstheme="minorHAnsi"/>
          <w:lang w:val="fr-CH"/>
        </w:rPr>
        <w:t>ainsi que</w:t>
      </w:r>
      <w:r w:rsidR="00D2704A" w:rsidRPr="00DC0076">
        <w:rPr>
          <w:rFonts w:cstheme="minorHAnsi"/>
          <w:lang w:val="fr-CH"/>
        </w:rPr>
        <w:t xml:space="preserve"> des suggestions </w:t>
      </w:r>
      <w:r w:rsidR="009B262C" w:rsidRPr="00DC0076">
        <w:rPr>
          <w:rFonts w:cstheme="minorHAnsi"/>
          <w:lang w:val="fr-CH"/>
        </w:rPr>
        <w:t xml:space="preserve">visant à affiner les </w:t>
      </w:r>
      <w:r w:rsidR="00D2704A" w:rsidRPr="00DC0076">
        <w:rPr>
          <w:rFonts w:cstheme="minorHAnsi"/>
          <w:lang w:val="fr-CH"/>
        </w:rPr>
        <w:t>futurs thèmes, notamment « les zones humides et le carbone » ; « les zones humides et l</w:t>
      </w:r>
      <w:r w:rsidR="00E31C61" w:rsidRPr="00DC0076">
        <w:rPr>
          <w:rFonts w:cstheme="minorHAnsi"/>
          <w:lang w:val="fr-CH"/>
        </w:rPr>
        <w:t>’</w:t>
      </w:r>
      <w:r w:rsidR="00D2704A" w:rsidRPr="00DC0076">
        <w:rPr>
          <w:rFonts w:cstheme="minorHAnsi"/>
          <w:lang w:val="fr-CH"/>
        </w:rPr>
        <w:t xml:space="preserve">alimentation durable » ; « les zones humides et les communautés autochtones » ; « les zones humides et la gestion des bassins versants » ; « les zones humides et le développement régional » ; « les zones humides pour tous » (intégrant </w:t>
      </w:r>
      <w:r w:rsidR="009B262C" w:rsidRPr="00DC0076">
        <w:rPr>
          <w:rFonts w:cstheme="minorHAnsi"/>
          <w:lang w:val="fr-CH"/>
        </w:rPr>
        <w:t>l</w:t>
      </w:r>
      <w:r w:rsidR="00E31C61" w:rsidRPr="00DC0076">
        <w:rPr>
          <w:rFonts w:cstheme="minorHAnsi"/>
          <w:lang w:val="fr-CH"/>
        </w:rPr>
        <w:t>’</w:t>
      </w:r>
      <w:r w:rsidR="009B262C" w:rsidRPr="00DC0076">
        <w:rPr>
          <w:rFonts w:cstheme="minorHAnsi"/>
          <w:lang w:val="fr-CH"/>
        </w:rPr>
        <w:t>égalité entre les sexes</w:t>
      </w:r>
      <w:r w:rsidR="00D2704A" w:rsidRPr="00DC0076">
        <w:rPr>
          <w:rFonts w:cstheme="minorHAnsi"/>
          <w:lang w:val="fr-CH"/>
        </w:rPr>
        <w:t xml:space="preserve"> et autres questions d</w:t>
      </w:r>
      <w:r w:rsidR="00E31C61" w:rsidRPr="00DC0076">
        <w:rPr>
          <w:rFonts w:cstheme="minorHAnsi"/>
          <w:lang w:val="fr-CH"/>
        </w:rPr>
        <w:t>’</w:t>
      </w:r>
      <w:r w:rsidR="00D2704A" w:rsidRPr="00DC0076">
        <w:rPr>
          <w:rFonts w:cstheme="minorHAnsi"/>
          <w:lang w:val="fr-CH"/>
        </w:rPr>
        <w:t xml:space="preserve">inclusion) ; « le pouvoir citoyen – soutenir la conservation des zones humides » ; et « la jeunesse explorant un nouvel horizon de la conservation des zones humides ». </w:t>
      </w:r>
    </w:p>
    <w:p w14:paraId="440DCD5C" w14:textId="27CABCD3" w:rsidR="005F4C17" w:rsidRPr="00DC0076" w:rsidRDefault="005F4C17" w:rsidP="002F178E">
      <w:pPr>
        <w:spacing w:after="0" w:line="240" w:lineRule="auto"/>
        <w:ind w:left="567" w:hanging="567"/>
        <w:rPr>
          <w:rFonts w:cstheme="minorHAnsi"/>
          <w:lang w:val="fr-CH"/>
        </w:rPr>
      </w:pPr>
    </w:p>
    <w:p w14:paraId="2A7418BC" w14:textId="74AB5694" w:rsidR="00C67876" w:rsidRPr="00DC0076" w:rsidRDefault="00714348" w:rsidP="00C67876">
      <w:pPr>
        <w:spacing w:after="0" w:line="240" w:lineRule="auto"/>
        <w:ind w:left="567" w:hanging="567"/>
        <w:rPr>
          <w:rFonts w:cstheme="minorHAnsi"/>
          <w:lang w:val="fr-CH"/>
        </w:rPr>
      </w:pPr>
      <w:r w:rsidRPr="00DC0076">
        <w:rPr>
          <w:rFonts w:cstheme="minorHAnsi"/>
          <w:lang w:val="fr-CH"/>
        </w:rPr>
        <w:t>8.</w:t>
      </w:r>
      <w:r w:rsidRPr="00DC0076">
        <w:rPr>
          <w:rFonts w:cstheme="minorHAnsi"/>
          <w:lang w:val="fr-CH"/>
        </w:rPr>
        <w:tab/>
      </w:r>
      <w:r w:rsidR="00D2704A" w:rsidRPr="00DC0076">
        <w:rPr>
          <w:rFonts w:cstheme="minorHAnsi"/>
          <w:lang w:val="fr-CH"/>
        </w:rPr>
        <w:t xml:space="preserve">Après débat, le Secrétariat propose les thèmes suivants pour la Journée mondiale des zones humides </w:t>
      </w:r>
      <w:r w:rsidR="00C67876" w:rsidRPr="00DC0076">
        <w:rPr>
          <w:rFonts w:cstheme="minorHAnsi"/>
          <w:lang w:val="fr-CH"/>
        </w:rPr>
        <w:t>2022-2024</w:t>
      </w:r>
      <w:r w:rsidR="00D2704A" w:rsidRPr="00DC0076">
        <w:rPr>
          <w:rFonts w:cstheme="minorHAnsi"/>
          <w:lang w:val="fr-CH"/>
        </w:rPr>
        <w:t> </w:t>
      </w:r>
      <w:r w:rsidR="00C67876" w:rsidRPr="00DC0076">
        <w:rPr>
          <w:rFonts w:cstheme="minorHAnsi"/>
          <w:lang w:val="fr-CH"/>
        </w:rPr>
        <w:t>:</w:t>
      </w:r>
    </w:p>
    <w:p w14:paraId="42E5A0D7" w14:textId="0D7973A1" w:rsidR="00C67876" w:rsidRPr="00DC0076" w:rsidRDefault="00C67876" w:rsidP="00C67876">
      <w:pPr>
        <w:spacing w:after="0" w:line="240" w:lineRule="auto"/>
        <w:ind w:left="567"/>
        <w:rPr>
          <w:rFonts w:cstheme="minorHAnsi"/>
          <w:lang w:val="fr-CH"/>
        </w:rPr>
      </w:pPr>
      <w:r w:rsidRPr="00DC0076">
        <w:rPr>
          <w:rFonts w:cstheme="minorHAnsi"/>
          <w:lang w:val="fr-CH"/>
        </w:rPr>
        <w:t>2022</w:t>
      </w:r>
      <w:r w:rsidR="008B11C2" w:rsidRPr="00DC0076">
        <w:rPr>
          <w:rFonts w:cstheme="minorHAnsi"/>
          <w:lang w:val="fr-CH"/>
        </w:rPr>
        <w:t> :</w:t>
      </w:r>
      <w:r w:rsidRPr="00DC0076">
        <w:rPr>
          <w:rFonts w:cstheme="minorHAnsi"/>
          <w:lang w:val="fr-CH"/>
        </w:rPr>
        <w:t xml:space="preserve"> </w:t>
      </w:r>
      <w:r w:rsidR="004F6252" w:rsidRPr="00DC0076">
        <w:rPr>
          <w:rFonts w:cstheme="minorHAnsi"/>
          <w:lang w:val="fr-CH"/>
        </w:rPr>
        <w:t>Agir pour les zones humides, c</w:t>
      </w:r>
      <w:r w:rsidR="00E31C61" w:rsidRPr="00DC0076">
        <w:rPr>
          <w:rFonts w:cstheme="minorHAnsi"/>
          <w:lang w:val="fr-CH"/>
        </w:rPr>
        <w:t>’</w:t>
      </w:r>
      <w:r w:rsidR="004F6252" w:rsidRPr="00DC0076">
        <w:rPr>
          <w:rFonts w:cstheme="minorHAnsi"/>
          <w:lang w:val="fr-CH"/>
        </w:rPr>
        <w:t xml:space="preserve">est agir pour </w:t>
      </w:r>
      <w:r w:rsidR="00447AD1" w:rsidRPr="00DC0076">
        <w:rPr>
          <w:rFonts w:cstheme="minorHAnsi"/>
          <w:lang w:val="fr-CH"/>
        </w:rPr>
        <w:t>l</w:t>
      </w:r>
      <w:r w:rsidR="00E31C61" w:rsidRPr="00DC0076">
        <w:rPr>
          <w:rFonts w:cstheme="minorHAnsi"/>
          <w:lang w:val="fr-CH"/>
        </w:rPr>
        <w:t>’</w:t>
      </w:r>
      <w:r w:rsidR="00447AD1" w:rsidRPr="00DC0076">
        <w:rPr>
          <w:rFonts w:cstheme="minorHAnsi"/>
          <w:lang w:val="fr-CH"/>
        </w:rPr>
        <w:t>homme et</w:t>
      </w:r>
      <w:r w:rsidR="004F6252" w:rsidRPr="00DC0076">
        <w:rPr>
          <w:rFonts w:cstheme="minorHAnsi"/>
          <w:lang w:val="fr-CH"/>
        </w:rPr>
        <w:t xml:space="preserve"> la nature </w:t>
      </w:r>
      <w:r w:rsidR="00CF310D" w:rsidRPr="00DC0076">
        <w:rPr>
          <w:rFonts w:cstheme="minorHAnsi"/>
          <w:lang w:val="fr-CH"/>
        </w:rPr>
        <w:t xml:space="preserve">(lié au thème de la COP14) </w:t>
      </w:r>
    </w:p>
    <w:p w14:paraId="7E5828F3" w14:textId="04FB4137" w:rsidR="00C67876" w:rsidRPr="00DC0076" w:rsidRDefault="00C67876" w:rsidP="00C67876">
      <w:pPr>
        <w:spacing w:after="0" w:line="240" w:lineRule="auto"/>
        <w:ind w:left="567"/>
        <w:rPr>
          <w:rFonts w:cstheme="minorHAnsi"/>
          <w:lang w:val="fr-CH"/>
        </w:rPr>
      </w:pPr>
      <w:r w:rsidRPr="00DC0076">
        <w:rPr>
          <w:rFonts w:cstheme="minorHAnsi"/>
          <w:lang w:val="fr-CH"/>
        </w:rPr>
        <w:t>2023</w:t>
      </w:r>
      <w:r w:rsidR="008B11C2" w:rsidRPr="00DC0076">
        <w:rPr>
          <w:rFonts w:cstheme="minorHAnsi"/>
          <w:lang w:val="fr-CH"/>
        </w:rPr>
        <w:t> :</w:t>
      </w:r>
      <w:r w:rsidRPr="00DC0076">
        <w:rPr>
          <w:rFonts w:cstheme="minorHAnsi"/>
          <w:lang w:val="fr-CH"/>
        </w:rPr>
        <w:t xml:space="preserve"> </w:t>
      </w:r>
      <w:r w:rsidR="00CF310D" w:rsidRPr="00DC0076">
        <w:rPr>
          <w:rFonts w:cstheme="minorHAnsi"/>
          <w:lang w:val="fr-CH"/>
        </w:rPr>
        <w:t>Restaurer les zones humides</w:t>
      </w:r>
      <w:r w:rsidRPr="00DC0076">
        <w:rPr>
          <w:rFonts w:cstheme="minorHAnsi"/>
          <w:lang w:val="fr-CH"/>
        </w:rPr>
        <w:t xml:space="preserve"> (</w:t>
      </w:r>
      <w:r w:rsidR="00CF310D" w:rsidRPr="00DC0076">
        <w:rPr>
          <w:rFonts w:cstheme="minorHAnsi"/>
          <w:lang w:val="fr-CH"/>
        </w:rPr>
        <w:t xml:space="preserve">en lien avec la Décennie des Nations Unies pour la restauration des écosystèmes) </w:t>
      </w:r>
    </w:p>
    <w:p w14:paraId="1727F21C" w14:textId="44CF0DFC" w:rsidR="00C67876" w:rsidRPr="00DC0076" w:rsidRDefault="00C67876" w:rsidP="00C67876">
      <w:pPr>
        <w:spacing w:after="0" w:line="240" w:lineRule="auto"/>
        <w:ind w:left="567"/>
        <w:rPr>
          <w:rFonts w:cstheme="minorHAnsi"/>
          <w:lang w:val="fr-CH"/>
        </w:rPr>
      </w:pPr>
      <w:r w:rsidRPr="00DC0076">
        <w:rPr>
          <w:rFonts w:cstheme="minorHAnsi"/>
          <w:lang w:val="fr-CH"/>
        </w:rPr>
        <w:lastRenderedPageBreak/>
        <w:t>2024</w:t>
      </w:r>
      <w:r w:rsidR="008B11C2" w:rsidRPr="00DC0076">
        <w:rPr>
          <w:rFonts w:cstheme="minorHAnsi"/>
          <w:lang w:val="fr-CH"/>
        </w:rPr>
        <w:t> :</w:t>
      </w:r>
      <w:r w:rsidRPr="00DC0076">
        <w:rPr>
          <w:rFonts w:cstheme="minorHAnsi"/>
          <w:lang w:val="fr-CH"/>
        </w:rPr>
        <w:t xml:space="preserve"> </w:t>
      </w:r>
      <w:r w:rsidR="00CF310D" w:rsidRPr="00DC0076">
        <w:rPr>
          <w:rFonts w:cstheme="minorHAnsi"/>
          <w:lang w:val="fr-CH"/>
        </w:rPr>
        <w:t>Les zones humides et le bien</w:t>
      </w:r>
      <w:r w:rsidR="00CF310D" w:rsidRPr="00DC0076">
        <w:rPr>
          <w:rFonts w:cstheme="minorHAnsi"/>
          <w:lang w:val="fr-CH"/>
        </w:rPr>
        <w:noBreakHyphen/>
        <w:t>être humain.</w:t>
      </w:r>
    </w:p>
    <w:p w14:paraId="1D48C445" w14:textId="77777777" w:rsidR="00C67876" w:rsidRPr="00DC0076" w:rsidRDefault="00C67876" w:rsidP="00BA0BD3">
      <w:pPr>
        <w:spacing w:after="0" w:line="240" w:lineRule="auto"/>
        <w:ind w:left="567" w:hanging="567"/>
        <w:rPr>
          <w:rFonts w:cstheme="minorHAnsi"/>
          <w:lang w:val="fr-CH"/>
        </w:rPr>
      </w:pPr>
    </w:p>
    <w:p w14:paraId="1E1ADA64" w14:textId="68A2700E" w:rsidR="00BA0BD3" w:rsidRPr="00DC0076" w:rsidRDefault="00C67876" w:rsidP="00BA0BD3">
      <w:pPr>
        <w:spacing w:after="0" w:line="240" w:lineRule="auto"/>
        <w:ind w:left="567" w:hanging="567"/>
        <w:rPr>
          <w:rFonts w:cstheme="minorHAnsi"/>
          <w:lang w:val="fr-CH"/>
        </w:rPr>
      </w:pPr>
      <w:r w:rsidRPr="00DC0076">
        <w:rPr>
          <w:rFonts w:cstheme="minorHAnsi"/>
          <w:lang w:val="fr-CH"/>
        </w:rPr>
        <w:t>9.</w:t>
      </w:r>
      <w:r w:rsidRPr="00DC0076">
        <w:rPr>
          <w:rFonts w:cstheme="minorHAnsi"/>
          <w:lang w:val="fr-CH"/>
        </w:rPr>
        <w:tab/>
      </w:r>
      <w:r w:rsidR="00CF310D" w:rsidRPr="00DC0076">
        <w:rPr>
          <w:rFonts w:cstheme="minorHAnsi"/>
          <w:lang w:val="fr-CH"/>
        </w:rPr>
        <w:t xml:space="preserve">Le Costa Rica présente une mise à jour sur </w:t>
      </w:r>
      <w:r w:rsidR="009B262C" w:rsidRPr="00DC0076">
        <w:rPr>
          <w:rFonts w:cstheme="minorHAnsi"/>
          <w:lang w:val="fr-CH"/>
        </w:rPr>
        <w:t>l</w:t>
      </w:r>
      <w:r w:rsidR="00E31C61" w:rsidRPr="00DC0076">
        <w:rPr>
          <w:rFonts w:cstheme="minorHAnsi"/>
          <w:lang w:val="fr-CH"/>
        </w:rPr>
        <w:t>’</w:t>
      </w:r>
      <w:r w:rsidR="009B262C" w:rsidRPr="00DC0076">
        <w:rPr>
          <w:rFonts w:cstheme="minorHAnsi"/>
          <w:lang w:val="fr-CH"/>
        </w:rPr>
        <w:t>application</w:t>
      </w:r>
      <w:r w:rsidR="00CF310D" w:rsidRPr="00DC0076">
        <w:rPr>
          <w:rFonts w:cstheme="minorHAnsi"/>
          <w:lang w:val="fr-CH"/>
        </w:rPr>
        <w:t xml:space="preserve"> de la Résolution XIII.1, </w:t>
      </w:r>
      <w:r w:rsidR="00CF310D" w:rsidRPr="00DC0076">
        <w:rPr>
          <w:rFonts w:cstheme="minorHAnsi"/>
          <w:i/>
          <w:lang w:val="fr-CH"/>
        </w:rPr>
        <w:t>Journée mondiale des zones humides</w:t>
      </w:r>
      <w:r w:rsidR="00CF310D" w:rsidRPr="00DC0076">
        <w:rPr>
          <w:rFonts w:cstheme="minorHAnsi"/>
          <w:lang w:val="fr-CH"/>
        </w:rPr>
        <w:t xml:space="preserve">, </w:t>
      </w:r>
      <w:r w:rsidR="00BA0BD3" w:rsidRPr="00DC0076">
        <w:rPr>
          <w:rFonts w:cstheme="minorHAnsi"/>
          <w:lang w:val="fr-CH"/>
        </w:rPr>
        <w:t>concern</w:t>
      </w:r>
      <w:r w:rsidR="00CF310D" w:rsidRPr="00DC0076">
        <w:rPr>
          <w:rFonts w:cstheme="minorHAnsi"/>
          <w:lang w:val="fr-CH"/>
        </w:rPr>
        <w:t>ant les progrès en vue de la soumission d</w:t>
      </w:r>
      <w:r w:rsidR="00E31C61" w:rsidRPr="00DC0076">
        <w:rPr>
          <w:rFonts w:cstheme="minorHAnsi"/>
          <w:lang w:val="fr-CH"/>
        </w:rPr>
        <w:t>’</w:t>
      </w:r>
      <w:r w:rsidR="00CF310D" w:rsidRPr="00DC0076">
        <w:rPr>
          <w:rFonts w:cstheme="minorHAnsi"/>
          <w:lang w:val="fr-CH"/>
        </w:rPr>
        <w:t>un projet de résolution à l</w:t>
      </w:r>
      <w:r w:rsidR="00E31C61" w:rsidRPr="00DC0076">
        <w:rPr>
          <w:rFonts w:cstheme="minorHAnsi"/>
          <w:lang w:val="fr-CH"/>
        </w:rPr>
        <w:t>’</w:t>
      </w:r>
      <w:r w:rsidR="00CF310D" w:rsidRPr="00DC0076">
        <w:rPr>
          <w:rFonts w:cstheme="minorHAnsi"/>
          <w:lang w:val="fr-CH"/>
        </w:rPr>
        <w:t>Assemblée générale des Nations Unies pour l</w:t>
      </w:r>
      <w:r w:rsidR="00E31C61" w:rsidRPr="00DC0076">
        <w:rPr>
          <w:rFonts w:cstheme="minorHAnsi"/>
          <w:lang w:val="fr-CH"/>
        </w:rPr>
        <w:t>’</w:t>
      </w:r>
      <w:r w:rsidR="00CF310D" w:rsidRPr="00DC0076">
        <w:rPr>
          <w:rFonts w:cstheme="minorHAnsi"/>
          <w:lang w:val="fr-CH"/>
        </w:rPr>
        <w:t>inviter à reconnaître le 2 février de chaque année comme Journée mondiale des zones humides internationale observée par les Nations Unies. Le groupe de Parties contractantes intéressées prie toutes les Parties de contacter leurs Missions permanentes à New York pour les inviter à participer à une activité parallèle qui aura lieu le 7 juillet en marge du Forum politique de haut niveau sur le développement durable</w:t>
      </w:r>
      <w:r w:rsidR="009E05DB" w:rsidRPr="00DC0076">
        <w:rPr>
          <w:rFonts w:cstheme="minorHAnsi"/>
          <w:lang w:val="fr-CH"/>
        </w:rPr>
        <w:t xml:space="preserve"> afin de soutenir la présentation</w:t>
      </w:r>
      <w:r w:rsidR="00CF310D" w:rsidRPr="00DC0076">
        <w:rPr>
          <w:rFonts w:cstheme="minorHAnsi"/>
          <w:lang w:val="fr-CH"/>
        </w:rPr>
        <w:t xml:space="preserve"> </w:t>
      </w:r>
      <w:r w:rsidR="009E05DB" w:rsidRPr="00DC0076">
        <w:rPr>
          <w:rFonts w:cstheme="minorHAnsi"/>
          <w:lang w:val="fr-CH"/>
        </w:rPr>
        <w:t>du projet de</w:t>
      </w:r>
      <w:r w:rsidR="00CF310D" w:rsidRPr="00DC0076">
        <w:rPr>
          <w:rFonts w:cstheme="minorHAnsi"/>
          <w:lang w:val="fr-CH"/>
        </w:rPr>
        <w:t xml:space="preserve"> résolution </w:t>
      </w:r>
      <w:r w:rsidR="009E05DB" w:rsidRPr="00DC0076">
        <w:rPr>
          <w:rFonts w:cstheme="minorHAnsi"/>
          <w:lang w:val="fr-CH"/>
        </w:rPr>
        <w:t>à l</w:t>
      </w:r>
      <w:r w:rsidR="00E31C61" w:rsidRPr="00DC0076">
        <w:rPr>
          <w:rFonts w:cstheme="minorHAnsi"/>
          <w:lang w:val="fr-CH"/>
        </w:rPr>
        <w:t>’</w:t>
      </w:r>
      <w:r w:rsidR="009E05DB" w:rsidRPr="00DC0076">
        <w:rPr>
          <w:rFonts w:cstheme="minorHAnsi"/>
          <w:lang w:val="fr-CH"/>
        </w:rPr>
        <w:t>Assemblée générale des Nations Unies</w:t>
      </w:r>
      <w:r w:rsidR="00CF310D" w:rsidRPr="00DC0076">
        <w:rPr>
          <w:rFonts w:cstheme="minorHAnsi"/>
          <w:lang w:val="fr-CH"/>
        </w:rPr>
        <w:t>. Le Secrétariat déclare qu</w:t>
      </w:r>
      <w:r w:rsidR="00E31C61" w:rsidRPr="00DC0076">
        <w:rPr>
          <w:rFonts w:cstheme="minorHAnsi"/>
          <w:lang w:val="fr-CH"/>
        </w:rPr>
        <w:t>’</w:t>
      </w:r>
      <w:r w:rsidR="00CF310D" w:rsidRPr="00DC0076">
        <w:rPr>
          <w:rFonts w:cstheme="minorHAnsi"/>
          <w:lang w:val="fr-CH"/>
        </w:rPr>
        <w:t>il fournira un complément d</w:t>
      </w:r>
      <w:r w:rsidR="00E31C61" w:rsidRPr="00DC0076">
        <w:rPr>
          <w:rFonts w:cstheme="minorHAnsi"/>
          <w:lang w:val="fr-CH"/>
        </w:rPr>
        <w:t>’</w:t>
      </w:r>
      <w:r w:rsidR="00CF310D" w:rsidRPr="00DC0076">
        <w:rPr>
          <w:rFonts w:cstheme="minorHAnsi"/>
          <w:lang w:val="fr-CH"/>
        </w:rPr>
        <w:t>information à toutes les Parties contractantes dès que cet événement sera inscrit à l</w:t>
      </w:r>
      <w:r w:rsidR="00E31C61" w:rsidRPr="00DC0076">
        <w:rPr>
          <w:rFonts w:cstheme="minorHAnsi"/>
          <w:lang w:val="fr-CH"/>
        </w:rPr>
        <w:t>’</w:t>
      </w:r>
      <w:r w:rsidR="00CF310D" w:rsidRPr="00DC0076">
        <w:rPr>
          <w:rFonts w:cstheme="minorHAnsi"/>
          <w:lang w:val="fr-CH"/>
        </w:rPr>
        <w:t xml:space="preserve">ordre du jour du Forum. </w:t>
      </w:r>
    </w:p>
    <w:p w14:paraId="0738E807" w14:textId="77777777" w:rsidR="00BA0BD3" w:rsidRPr="00DC0076" w:rsidRDefault="00BA0BD3" w:rsidP="00BA0BD3">
      <w:pPr>
        <w:spacing w:after="0" w:line="240" w:lineRule="auto"/>
        <w:ind w:left="567" w:hanging="567"/>
        <w:rPr>
          <w:rFonts w:cstheme="minorHAnsi"/>
          <w:lang w:val="fr-CH"/>
        </w:rPr>
      </w:pPr>
    </w:p>
    <w:p w14:paraId="7798C241" w14:textId="763917C2" w:rsidR="00BA0BD3" w:rsidRPr="00DC0076" w:rsidRDefault="00C67876" w:rsidP="00BA0BD3">
      <w:pPr>
        <w:spacing w:after="0" w:line="240" w:lineRule="auto"/>
        <w:ind w:left="567" w:hanging="567"/>
        <w:rPr>
          <w:rFonts w:cstheme="minorHAnsi"/>
          <w:lang w:val="fr-CH"/>
        </w:rPr>
      </w:pPr>
      <w:r w:rsidRPr="00DC0076">
        <w:rPr>
          <w:rFonts w:cstheme="minorHAnsi"/>
          <w:lang w:val="fr-CH"/>
        </w:rPr>
        <w:t>10</w:t>
      </w:r>
      <w:r w:rsidR="00BF4488" w:rsidRPr="00DC0076">
        <w:rPr>
          <w:rFonts w:cstheme="minorHAnsi"/>
          <w:lang w:val="fr-CH"/>
        </w:rPr>
        <w:t>.</w:t>
      </w:r>
      <w:r w:rsidR="00BF4488" w:rsidRPr="00DC0076">
        <w:rPr>
          <w:rFonts w:cstheme="minorHAnsi"/>
          <w:lang w:val="fr-CH"/>
        </w:rPr>
        <w:tab/>
      </w:r>
      <w:r w:rsidR="004F6252" w:rsidRPr="00DC0076">
        <w:rPr>
          <w:rFonts w:cstheme="minorHAnsi"/>
          <w:lang w:val="fr-CH"/>
        </w:rPr>
        <w:t>L</w:t>
      </w:r>
      <w:r w:rsidR="00E31C61" w:rsidRPr="00DC0076">
        <w:rPr>
          <w:rFonts w:cstheme="minorHAnsi"/>
          <w:lang w:val="fr-CH"/>
        </w:rPr>
        <w:t>’</w:t>
      </w:r>
      <w:r w:rsidR="004F6252" w:rsidRPr="00DC0076">
        <w:rPr>
          <w:rFonts w:cstheme="minorHAnsi"/>
          <w:lang w:val="fr-CH"/>
        </w:rPr>
        <w:t xml:space="preserve">Argentine, la Chine, la Colombie, le </w:t>
      </w:r>
      <w:r w:rsidR="00BA0BD3" w:rsidRPr="00DC0076">
        <w:rPr>
          <w:rFonts w:cstheme="minorHAnsi"/>
          <w:lang w:val="fr-CH"/>
        </w:rPr>
        <w:t xml:space="preserve">Costa Rica, </w:t>
      </w:r>
      <w:r w:rsidR="004F6252" w:rsidRPr="00DC0076">
        <w:rPr>
          <w:rFonts w:cstheme="minorHAnsi"/>
          <w:lang w:val="fr-CH"/>
        </w:rPr>
        <w:t>les États</w:t>
      </w:r>
      <w:r w:rsidR="004F6252" w:rsidRPr="00DC0076">
        <w:rPr>
          <w:rFonts w:cstheme="minorHAnsi"/>
          <w:lang w:val="fr-CH"/>
        </w:rPr>
        <w:noBreakHyphen/>
        <w:t>Unis d</w:t>
      </w:r>
      <w:r w:rsidR="00E31C61" w:rsidRPr="00DC0076">
        <w:rPr>
          <w:rFonts w:cstheme="minorHAnsi"/>
          <w:lang w:val="fr-CH"/>
        </w:rPr>
        <w:t>’</w:t>
      </w:r>
      <w:r w:rsidR="004F6252" w:rsidRPr="00DC0076">
        <w:rPr>
          <w:rFonts w:cstheme="minorHAnsi"/>
          <w:lang w:val="fr-CH"/>
        </w:rPr>
        <w:t>Amérique, l</w:t>
      </w:r>
      <w:r w:rsidR="00E31C61" w:rsidRPr="00DC0076">
        <w:rPr>
          <w:rFonts w:cstheme="minorHAnsi"/>
          <w:lang w:val="fr-CH"/>
        </w:rPr>
        <w:t>’</w:t>
      </w:r>
      <w:r w:rsidR="004F6252" w:rsidRPr="00DC0076">
        <w:rPr>
          <w:rFonts w:cstheme="minorHAnsi"/>
          <w:lang w:val="fr-CH"/>
        </w:rPr>
        <w:t>Iraq, le Japon, Oman, la République dominicaine, la République islamique d</w:t>
      </w:r>
      <w:r w:rsidR="00E31C61" w:rsidRPr="00DC0076">
        <w:rPr>
          <w:rFonts w:cstheme="minorHAnsi"/>
          <w:lang w:val="fr-CH"/>
        </w:rPr>
        <w:t>’</w:t>
      </w:r>
      <w:r w:rsidR="004F6252" w:rsidRPr="00DC0076">
        <w:rPr>
          <w:rFonts w:cstheme="minorHAnsi"/>
          <w:lang w:val="fr-CH"/>
        </w:rPr>
        <w:t>Iran, le Royaume</w:t>
      </w:r>
      <w:r w:rsidR="004F6252" w:rsidRPr="00DC0076">
        <w:rPr>
          <w:rFonts w:cstheme="minorHAnsi"/>
          <w:lang w:val="fr-CH"/>
        </w:rPr>
        <w:noBreakHyphen/>
        <w:t>Uni de Grande-Bretagne et d</w:t>
      </w:r>
      <w:r w:rsidR="00E31C61" w:rsidRPr="00DC0076">
        <w:rPr>
          <w:rFonts w:cstheme="minorHAnsi"/>
          <w:lang w:val="fr-CH"/>
        </w:rPr>
        <w:t>’</w:t>
      </w:r>
      <w:r w:rsidR="004F6252" w:rsidRPr="00DC0076">
        <w:rPr>
          <w:rFonts w:cstheme="minorHAnsi"/>
          <w:lang w:val="fr-CH"/>
        </w:rPr>
        <w:t xml:space="preserve">Irlande du Nord et la Suède interviennent dans la discussion. </w:t>
      </w:r>
    </w:p>
    <w:p w14:paraId="3A6135CB" w14:textId="77777777" w:rsidR="00BA0BD3" w:rsidRPr="00DC0076" w:rsidRDefault="00BA0BD3" w:rsidP="00BA0BD3">
      <w:pPr>
        <w:spacing w:after="0" w:line="240" w:lineRule="auto"/>
        <w:ind w:left="567" w:hanging="567"/>
        <w:rPr>
          <w:rFonts w:cstheme="minorHAnsi"/>
          <w:lang w:val="fr-CH"/>
        </w:rPr>
      </w:pPr>
    </w:p>
    <w:p w14:paraId="3A5CB7C9" w14:textId="5DAA2308" w:rsidR="00C67876" w:rsidRPr="00DC0076" w:rsidRDefault="008B11C2" w:rsidP="00C67876">
      <w:pPr>
        <w:spacing w:after="0" w:line="240" w:lineRule="auto"/>
        <w:rPr>
          <w:rFonts w:cstheme="minorHAnsi"/>
          <w:b/>
          <w:lang w:val="fr-CH"/>
        </w:rPr>
      </w:pPr>
      <w:r w:rsidRPr="00DC0076">
        <w:rPr>
          <w:rFonts w:cstheme="minorHAnsi"/>
          <w:b/>
          <w:lang w:val="fr-CH"/>
        </w:rPr>
        <w:t>Décision</w:t>
      </w:r>
      <w:r w:rsidR="005F4C17" w:rsidRPr="00DC0076">
        <w:rPr>
          <w:rFonts w:cstheme="minorHAnsi"/>
          <w:b/>
          <w:lang w:val="fr-CH"/>
        </w:rPr>
        <w:t xml:space="preserve"> SC59-</w:t>
      </w:r>
      <w:r w:rsidR="00C67876" w:rsidRPr="00DC0076">
        <w:rPr>
          <w:rFonts w:cstheme="minorHAnsi"/>
          <w:b/>
          <w:lang w:val="fr-CH"/>
        </w:rPr>
        <w:t>1</w:t>
      </w:r>
      <w:r w:rsidR="00EB30BD" w:rsidRPr="00DC0076">
        <w:rPr>
          <w:rFonts w:cstheme="minorHAnsi"/>
          <w:b/>
          <w:lang w:val="fr-CH"/>
        </w:rPr>
        <w:t>5</w:t>
      </w:r>
      <w:r w:rsidRPr="00DC0076">
        <w:rPr>
          <w:rFonts w:cstheme="minorHAnsi"/>
          <w:b/>
          <w:lang w:val="fr-CH"/>
        </w:rPr>
        <w:t> :</w:t>
      </w:r>
      <w:r w:rsidR="004F6252" w:rsidRPr="00DC0076">
        <w:rPr>
          <w:rFonts w:cstheme="minorHAnsi"/>
          <w:b/>
          <w:lang w:val="fr-CH"/>
        </w:rPr>
        <w:t xml:space="preserve"> Le Comité permanent décide que les thèmes des futures Journées mondiales des zones humides seront :</w:t>
      </w:r>
      <w:r w:rsidR="00C67876" w:rsidRPr="00DC0076">
        <w:rPr>
          <w:rFonts w:cstheme="minorHAnsi"/>
          <w:b/>
          <w:lang w:val="fr-CH"/>
        </w:rPr>
        <w:t xml:space="preserve"> </w:t>
      </w:r>
    </w:p>
    <w:p w14:paraId="120377C2" w14:textId="56015C12" w:rsidR="00C67876" w:rsidRPr="00DC0076" w:rsidRDefault="00C67876" w:rsidP="00C67876">
      <w:pPr>
        <w:spacing w:after="0" w:line="240" w:lineRule="auto"/>
        <w:rPr>
          <w:rFonts w:cstheme="minorHAnsi"/>
          <w:b/>
          <w:lang w:val="fr-CH"/>
        </w:rPr>
      </w:pPr>
      <w:r w:rsidRPr="00DC0076">
        <w:rPr>
          <w:rFonts w:cstheme="minorHAnsi"/>
          <w:b/>
          <w:lang w:val="fr-CH"/>
        </w:rPr>
        <w:t>2022</w:t>
      </w:r>
      <w:r w:rsidR="008B11C2" w:rsidRPr="00DC0076">
        <w:rPr>
          <w:rFonts w:cstheme="minorHAnsi"/>
          <w:b/>
          <w:lang w:val="fr-CH"/>
        </w:rPr>
        <w:t> :</w:t>
      </w:r>
      <w:r w:rsidRPr="00DC0076">
        <w:rPr>
          <w:rFonts w:cstheme="minorHAnsi"/>
          <w:b/>
          <w:lang w:val="fr-CH"/>
        </w:rPr>
        <w:t xml:space="preserve"> </w:t>
      </w:r>
      <w:r w:rsidR="004F6252" w:rsidRPr="00DC0076">
        <w:rPr>
          <w:rFonts w:cstheme="minorHAnsi"/>
          <w:b/>
          <w:lang w:val="fr-CH"/>
        </w:rPr>
        <w:t>Agir pour les zones humides, c</w:t>
      </w:r>
      <w:r w:rsidR="00E31C61" w:rsidRPr="00DC0076">
        <w:rPr>
          <w:rFonts w:cstheme="minorHAnsi"/>
          <w:b/>
          <w:lang w:val="fr-CH"/>
        </w:rPr>
        <w:t>’</w:t>
      </w:r>
      <w:r w:rsidR="004F6252" w:rsidRPr="00DC0076">
        <w:rPr>
          <w:rFonts w:cstheme="minorHAnsi"/>
          <w:b/>
          <w:lang w:val="fr-CH"/>
        </w:rPr>
        <w:t xml:space="preserve">est agir pour </w:t>
      </w:r>
      <w:r w:rsidR="00447AD1" w:rsidRPr="00DC0076">
        <w:rPr>
          <w:rFonts w:cstheme="minorHAnsi"/>
          <w:b/>
          <w:lang w:val="fr-CH"/>
        </w:rPr>
        <w:t>l</w:t>
      </w:r>
      <w:r w:rsidR="00E31C61" w:rsidRPr="00DC0076">
        <w:rPr>
          <w:rFonts w:cstheme="minorHAnsi"/>
          <w:b/>
          <w:lang w:val="fr-CH"/>
        </w:rPr>
        <w:t>’</w:t>
      </w:r>
      <w:r w:rsidR="00447AD1" w:rsidRPr="00DC0076">
        <w:rPr>
          <w:rFonts w:cstheme="minorHAnsi"/>
          <w:b/>
          <w:lang w:val="fr-CH"/>
        </w:rPr>
        <w:t>homme et</w:t>
      </w:r>
      <w:r w:rsidR="004F6252" w:rsidRPr="00DC0076">
        <w:rPr>
          <w:rFonts w:cstheme="minorHAnsi"/>
          <w:b/>
          <w:lang w:val="fr-CH"/>
        </w:rPr>
        <w:t xml:space="preserve"> la nature</w:t>
      </w:r>
    </w:p>
    <w:p w14:paraId="2A1609DF" w14:textId="4E289267" w:rsidR="00C67876" w:rsidRPr="00DC0076" w:rsidRDefault="00C67876" w:rsidP="00C67876">
      <w:pPr>
        <w:spacing w:after="0" w:line="240" w:lineRule="auto"/>
        <w:rPr>
          <w:rFonts w:cstheme="minorHAnsi"/>
          <w:b/>
          <w:lang w:val="fr-CH"/>
        </w:rPr>
      </w:pPr>
      <w:r w:rsidRPr="00DC0076">
        <w:rPr>
          <w:rFonts w:cstheme="minorHAnsi"/>
          <w:b/>
          <w:lang w:val="fr-CH"/>
        </w:rPr>
        <w:t>2023</w:t>
      </w:r>
      <w:r w:rsidR="008B11C2" w:rsidRPr="00DC0076">
        <w:rPr>
          <w:rFonts w:cstheme="minorHAnsi"/>
          <w:b/>
          <w:lang w:val="fr-CH"/>
        </w:rPr>
        <w:t> :</w:t>
      </w:r>
      <w:r w:rsidRPr="00DC0076">
        <w:rPr>
          <w:rFonts w:cstheme="minorHAnsi"/>
          <w:b/>
          <w:lang w:val="fr-CH"/>
        </w:rPr>
        <w:t xml:space="preserve"> </w:t>
      </w:r>
      <w:r w:rsidR="004F6252" w:rsidRPr="00DC0076">
        <w:rPr>
          <w:rFonts w:cstheme="minorHAnsi"/>
          <w:b/>
          <w:lang w:val="fr-CH"/>
        </w:rPr>
        <w:t>Restaurer les zones humides</w:t>
      </w:r>
    </w:p>
    <w:p w14:paraId="289110D7" w14:textId="6C96F5FA" w:rsidR="005F4C17" w:rsidRPr="00DC0076" w:rsidRDefault="00C67876" w:rsidP="00C67876">
      <w:pPr>
        <w:spacing w:after="0" w:line="240" w:lineRule="auto"/>
        <w:rPr>
          <w:rFonts w:cstheme="minorHAnsi"/>
          <w:lang w:val="fr-CH"/>
        </w:rPr>
      </w:pPr>
      <w:r w:rsidRPr="00DC0076">
        <w:rPr>
          <w:rFonts w:cstheme="minorHAnsi"/>
          <w:b/>
          <w:lang w:val="fr-CH"/>
        </w:rPr>
        <w:t>2024</w:t>
      </w:r>
      <w:r w:rsidR="008B11C2" w:rsidRPr="00DC0076">
        <w:rPr>
          <w:rFonts w:cstheme="minorHAnsi"/>
          <w:b/>
          <w:lang w:val="fr-CH"/>
        </w:rPr>
        <w:t> :</w:t>
      </w:r>
      <w:r w:rsidRPr="00DC0076">
        <w:rPr>
          <w:rFonts w:cstheme="minorHAnsi"/>
          <w:b/>
          <w:lang w:val="fr-CH"/>
        </w:rPr>
        <w:t xml:space="preserve"> </w:t>
      </w:r>
      <w:r w:rsidR="004F6252" w:rsidRPr="00DC0076">
        <w:rPr>
          <w:rFonts w:cstheme="minorHAnsi"/>
          <w:b/>
          <w:lang w:val="fr-CH"/>
        </w:rPr>
        <w:t>Les zones humides et le bien</w:t>
      </w:r>
      <w:r w:rsidR="004F6252" w:rsidRPr="00DC0076">
        <w:rPr>
          <w:rFonts w:cstheme="minorHAnsi"/>
          <w:b/>
          <w:lang w:val="fr-CH"/>
        </w:rPr>
        <w:noBreakHyphen/>
        <w:t>être humain</w:t>
      </w:r>
    </w:p>
    <w:p w14:paraId="088BBE94" w14:textId="77777777" w:rsidR="0024341A" w:rsidRPr="00DC0076" w:rsidRDefault="0024341A" w:rsidP="00D47231">
      <w:pPr>
        <w:tabs>
          <w:tab w:val="left" w:pos="720"/>
          <w:tab w:val="center" w:pos="4680"/>
        </w:tabs>
        <w:spacing w:after="0" w:line="240" w:lineRule="auto"/>
        <w:rPr>
          <w:rFonts w:cstheme="minorHAnsi"/>
          <w:bCs/>
          <w:lang w:val="fr-CH"/>
        </w:rPr>
      </w:pPr>
    </w:p>
    <w:p w14:paraId="48007D5E" w14:textId="0FF39598" w:rsidR="0024341A" w:rsidRPr="00DC0076" w:rsidRDefault="004F6252"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bCs/>
          <w:lang w:val="fr-CH"/>
        </w:rPr>
        <w:t>Point</w:t>
      </w:r>
      <w:r w:rsidR="002F178E" w:rsidRPr="00DC0076">
        <w:rPr>
          <w:rFonts w:cstheme="minorHAnsi"/>
          <w:bCs/>
          <w:lang w:val="fr-CH"/>
        </w:rPr>
        <w:t xml:space="preserve"> </w:t>
      </w:r>
      <w:r w:rsidR="002F178E" w:rsidRPr="00DC0076">
        <w:rPr>
          <w:rFonts w:cstheme="minorHAnsi"/>
          <w:lang w:val="fr-CH"/>
        </w:rPr>
        <w:t>10</w:t>
      </w:r>
      <w:r w:rsidRPr="00DC0076">
        <w:rPr>
          <w:rFonts w:cstheme="minorHAnsi"/>
          <w:lang w:val="fr-CH"/>
        </w:rPr>
        <w:t xml:space="preserve"> de l</w:t>
      </w:r>
      <w:r w:rsidR="00E31C61" w:rsidRPr="00DC0076">
        <w:rPr>
          <w:rFonts w:cstheme="minorHAnsi"/>
          <w:lang w:val="fr-CH"/>
        </w:rPr>
        <w:t>’</w:t>
      </w:r>
      <w:r w:rsidRPr="00DC0076">
        <w:rPr>
          <w:rFonts w:cstheme="minorHAnsi"/>
          <w:lang w:val="fr-CH"/>
        </w:rPr>
        <w:t>ordre du jour</w:t>
      </w:r>
      <w:r w:rsidR="008B11C2" w:rsidRPr="00DC0076">
        <w:rPr>
          <w:rFonts w:cstheme="minorHAnsi"/>
          <w:lang w:val="fr-CH"/>
        </w:rPr>
        <w:t> :</w:t>
      </w:r>
      <w:r w:rsidR="002F178E" w:rsidRPr="00DC0076">
        <w:rPr>
          <w:rFonts w:cstheme="minorHAnsi"/>
          <w:lang w:val="fr-CH"/>
        </w:rPr>
        <w:t xml:space="preserve"> R</w:t>
      </w:r>
      <w:r w:rsidRPr="00DC0076">
        <w:rPr>
          <w:rFonts w:cstheme="minorHAnsi"/>
          <w:lang w:val="fr-CH"/>
        </w:rPr>
        <w:t>apport du Groupe de travail sur l</w:t>
      </w:r>
      <w:r w:rsidR="00E31C61" w:rsidRPr="00DC0076">
        <w:rPr>
          <w:rFonts w:cstheme="minorHAnsi"/>
          <w:lang w:val="fr-CH"/>
        </w:rPr>
        <w:t>’</w:t>
      </w:r>
      <w:r w:rsidRPr="00DC0076">
        <w:rPr>
          <w:rFonts w:cstheme="minorHAnsi"/>
          <w:lang w:val="fr-CH"/>
        </w:rPr>
        <w:t xml:space="preserve">examen du Plan stratégique de la Convention de Ramsar </w:t>
      </w:r>
    </w:p>
    <w:p w14:paraId="5112830F" w14:textId="77777777" w:rsidR="002F178E" w:rsidRPr="00DC0076" w:rsidRDefault="002F178E" w:rsidP="00937A42">
      <w:pPr>
        <w:spacing w:after="0" w:line="240" w:lineRule="auto"/>
        <w:ind w:left="567" w:hanging="567"/>
        <w:rPr>
          <w:rFonts w:eastAsia="Calibri" w:cstheme="minorHAnsi"/>
          <w:bCs/>
          <w:lang w:val="fr-CH"/>
        </w:rPr>
      </w:pPr>
    </w:p>
    <w:p w14:paraId="42AFD85F" w14:textId="743E328B" w:rsidR="00BA0BD3" w:rsidRPr="00DC0076" w:rsidRDefault="005D055F" w:rsidP="002C1330">
      <w:pPr>
        <w:spacing w:after="0" w:line="240" w:lineRule="auto"/>
        <w:ind w:left="567" w:hanging="567"/>
        <w:rPr>
          <w:rFonts w:eastAsia="Calibri" w:cstheme="minorHAnsi"/>
          <w:bCs/>
          <w:lang w:val="fr-CH"/>
        </w:rPr>
      </w:pPr>
      <w:r w:rsidRPr="00DC0076">
        <w:rPr>
          <w:rFonts w:eastAsia="Calibri" w:cstheme="minorHAnsi"/>
          <w:bCs/>
          <w:lang w:val="fr-CH"/>
        </w:rPr>
        <w:t>11.</w:t>
      </w:r>
      <w:r w:rsidRPr="00DC0076">
        <w:rPr>
          <w:rFonts w:eastAsia="Calibri" w:cstheme="minorHAnsi"/>
          <w:bCs/>
          <w:lang w:val="fr-CH"/>
        </w:rPr>
        <w:tab/>
      </w:r>
      <w:r w:rsidR="00A355F3" w:rsidRPr="00DC0076">
        <w:rPr>
          <w:rFonts w:eastAsia="Calibri" w:cstheme="minorHAnsi"/>
          <w:bCs/>
          <w:lang w:val="fr-CH"/>
        </w:rPr>
        <w:t>Le Président du Groupe de travail présente son rapport figurant dans le document SC59 Doc.10 et explique que l</w:t>
      </w:r>
      <w:r w:rsidR="00E31C61" w:rsidRPr="00DC0076">
        <w:rPr>
          <w:rFonts w:eastAsia="Calibri" w:cstheme="minorHAnsi"/>
          <w:bCs/>
          <w:lang w:val="fr-CH"/>
        </w:rPr>
        <w:t>’</w:t>
      </w:r>
      <w:r w:rsidR="00A355F3" w:rsidRPr="00DC0076">
        <w:rPr>
          <w:rFonts w:eastAsia="Calibri" w:cstheme="minorHAnsi"/>
          <w:bCs/>
          <w:lang w:val="fr-CH"/>
        </w:rPr>
        <w:t xml:space="preserve">Australie a repris ce rôle suite à la triste disparition, en septembre 2020, </w:t>
      </w:r>
      <w:r w:rsidR="00560999" w:rsidRPr="00DC0076">
        <w:rPr>
          <w:rFonts w:eastAsia="Calibri" w:cstheme="minorHAnsi"/>
          <w:bCs/>
          <w:lang w:val="fr-CH"/>
        </w:rPr>
        <w:t>de l</w:t>
      </w:r>
      <w:r w:rsidR="00E31C61" w:rsidRPr="00DC0076">
        <w:rPr>
          <w:rFonts w:eastAsia="Calibri" w:cstheme="minorHAnsi"/>
          <w:bCs/>
          <w:lang w:val="fr-CH"/>
        </w:rPr>
        <w:t>’</w:t>
      </w:r>
      <w:r w:rsidR="00560999" w:rsidRPr="00DC0076">
        <w:rPr>
          <w:rFonts w:eastAsia="Calibri" w:cstheme="minorHAnsi"/>
          <w:bCs/>
          <w:lang w:val="fr-CH"/>
        </w:rPr>
        <w:t>ancien</w:t>
      </w:r>
      <w:r w:rsidR="00A355F3" w:rsidRPr="00DC0076">
        <w:rPr>
          <w:rFonts w:eastAsia="Calibri" w:cstheme="minorHAnsi"/>
          <w:bCs/>
          <w:lang w:val="fr-CH"/>
        </w:rPr>
        <w:t xml:space="preserve"> Président, M. </w:t>
      </w:r>
      <w:r w:rsidR="00BA0BD3" w:rsidRPr="00DC0076">
        <w:rPr>
          <w:rFonts w:eastAsia="Calibri" w:cstheme="minorHAnsi"/>
          <w:bCs/>
          <w:lang w:val="fr-CH"/>
        </w:rPr>
        <w:t xml:space="preserve">Paul Mafabi </w:t>
      </w:r>
      <w:r w:rsidR="00A355F3" w:rsidRPr="00DC0076">
        <w:rPr>
          <w:rFonts w:eastAsia="Calibri" w:cstheme="minorHAnsi"/>
          <w:bCs/>
          <w:lang w:val="fr-CH"/>
        </w:rPr>
        <w:t>d</w:t>
      </w:r>
      <w:r w:rsidR="00E31C61" w:rsidRPr="00DC0076">
        <w:rPr>
          <w:rFonts w:eastAsia="Calibri" w:cstheme="minorHAnsi"/>
          <w:bCs/>
          <w:lang w:val="fr-CH"/>
        </w:rPr>
        <w:t>’</w:t>
      </w:r>
      <w:r w:rsidR="00A355F3" w:rsidRPr="00DC0076">
        <w:rPr>
          <w:rFonts w:eastAsia="Calibri" w:cstheme="minorHAnsi"/>
          <w:bCs/>
          <w:lang w:val="fr-CH"/>
        </w:rPr>
        <w:t>Ouganda. Un résumé de l</w:t>
      </w:r>
      <w:r w:rsidR="00E31C61" w:rsidRPr="00DC0076">
        <w:rPr>
          <w:rFonts w:eastAsia="Calibri" w:cstheme="minorHAnsi"/>
          <w:bCs/>
          <w:lang w:val="fr-CH"/>
        </w:rPr>
        <w:t>’</w:t>
      </w:r>
      <w:r w:rsidR="00A355F3" w:rsidRPr="00DC0076">
        <w:rPr>
          <w:rFonts w:eastAsia="Calibri" w:cstheme="minorHAnsi"/>
          <w:bCs/>
          <w:lang w:val="fr-CH"/>
        </w:rPr>
        <w:t>histoire du groupe, des tâches et processus essentiels, est présenté en deux diapositives qui figurent dans l</w:t>
      </w:r>
      <w:r w:rsidR="00E31C61" w:rsidRPr="00DC0076">
        <w:rPr>
          <w:rFonts w:eastAsia="Calibri" w:cstheme="minorHAnsi"/>
          <w:bCs/>
          <w:lang w:val="fr-CH"/>
        </w:rPr>
        <w:t>’</w:t>
      </w:r>
      <w:r w:rsidR="00A355F3" w:rsidRPr="00DC0076">
        <w:rPr>
          <w:rFonts w:eastAsia="Calibri" w:cstheme="minorHAnsi"/>
          <w:bCs/>
          <w:lang w:val="fr-CH"/>
        </w:rPr>
        <w:t xml:space="preserve">Annexe X du présent rapport. Le Président du Groupe de travail </w:t>
      </w:r>
      <w:r w:rsidR="006B3FC3" w:rsidRPr="00DC0076">
        <w:rPr>
          <w:rFonts w:eastAsia="Calibri" w:cstheme="minorHAnsi"/>
          <w:bCs/>
          <w:lang w:val="fr-CH"/>
        </w:rPr>
        <w:t xml:space="preserve">note que le Plan stratégique actuel (PS4) vient à terme en 2024 et que le Groupe propose une modification mineure du Plan, </w:t>
      </w:r>
      <w:r w:rsidR="00560999" w:rsidRPr="00DC0076">
        <w:rPr>
          <w:rFonts w:eastAsia="Calibri" w:cstheme="minorHAnsi"/>
          <w:bCs/>
          <w:lang w:val="fr-CH"/>
        </w:rPr>
        <w:t>préférant attirer</w:t>
      </w:r>
      <w:r w:rsidR="006B3FC3" w:rsidRPr="00DC0076">
        <w:rPr>
          <w:rFonts w:eastAsia="Calibri" w:cstheme="minorHAnsi"/>
          <w:bCs/>
          <w:lang w:val="fr-CH"/>
        </w:rPr>
        <w:t xml:space="preserve"> l</w:t>
      </w:r>
      <w:r w:rsidR="00E31C61" w:rsidRPr="00DC0076">
        <w:rPr>
          <w:rFonts w:eastAsia="Calibri" w:cstheme="minorHAnsi"/>
          <w:bCs/>
          <w:lang w:val="fr-CH"/>
        </w:rPr>
        <w:t>’</w:t>
      </w:r>
      <w:r w:rsidR="006B3FC3" w:rsidRPr="00DC0076">
        <w:rPr>
          <w:rFonts w:eastAsia="Calibri" w:cstheme="minorHAnsi"/>
          <w:bCs/>
          <w:lang w:val="fr-CH"/>
        </w:rPr>
        <w:t>attention sur une série de cinq annexes thématiques proposées que les Parties contractantes p</w:t>
      </w:r>
      <w:r w:rsidR="00560999" w:rsidRPr="00DC0076">
        <w:rPr>
          <w:rFonts w:eastAsia="Calibri" w:cstheme="minorHAnsi"/>
          <w:bCs/>
          <w:lang w:val="fr-CH"/>
        </w:rPr>
        <w:t>ourront</w:t>
      </w:r>
      <w:r w:rsidR="006B3FC3" w:rsidRPr="00DC0076">
        <w:rPr>
          <w:rFonts w:eastAsia="Calibri" w:cstheme="minorHAnsi"/>
          <w:bCs/>
          <w:lang w:val="fr-CH"/>
        </w:rPr>
        <w:t>, si elles le souhaitent, ajouter au Plan</w:t>
      </w:r>
      <w:r w:rsidR="00560999" w:rsidRPr="00DC0076">
        <w:rPr>
          <w:rFonts w:eastAsia="Calibri" w:cstheme="minorHAnsi"/>
          <w:bCs/>
          <w:lang w:val="fr-CH"/>
        </w:rPr>
        <w:t xml:space="preserve"> stratégique</w:t>
      </w:r>
      <w:r w:rsidR="006B3FC3" w:rsidRPr="00DC0076">
        <w:rPr>
          <w:rFonts w:eastAsia="Calibri" w:cstheme="minorHAnsi"/>
          <w:bCs/>
          <w:lang w:val="fr-CH"/>
        </w:rPr>
        <w:t xml:space="preserve"> à</w:t>
      </w:r>
      <w:r w:rsidR="00560999" w:rsidRPr="00DC0076">
        <w:rPr>
          <w:rFonts w:eastAsia="Calibri" w:cstheme="minorHAnsi"/>
          <w:bCs/>
          <w:lang w:val="fr-CH"/>
        </w:rPr>
        <w:t xml:space="preserve"> l</w:t>
      </w:r>
      <w:r w:rsidR="00E31C61" w:rsidRPr="00DC0076">
        <w:rPr>
          <w:rFonts w:eastAsia="Calibri" w:cstheme="minorHAnsi"/>
          <w:bCs/>
          <w:lang w:val="fr-CH"/>
        </w:rPr>
        <w:t>’</w:t>
      </w:r>
      <w:r w:rsidR="00560999" w:rsidRPr="00DC0076">
        <w:rPr>
          <w:rFonts w:eastAsia="Calibri" w:cstheme="minorHAnsi"/>
          <w:bCs/>
          <w:lang w:val="fr-CH"/>
        </w:rPr>
        <w:t>occasion de</w:t>
      </w:r>
      <w:r w:rsidR="006B3FC3" w:rsidRPr="00DC0076">
        <w:rPr>
          <w:rFonts w:eastAsia="Calibri" w:cstheme="minorHAnsi"/>
          <w:bCs/>
          <w:lang w:val="fr-CH"/>
        </w:rPr>
        <w:t xml:space="preserve"> la COP14. Il propose en outre la création d</w:t>
      </w:r>
      <w:r w:rsidR="00E31C61" w:rsidRPr="00DC0076">
        <w:rPr>
          <w:rFonts w:eastAsia="Calibri" w:cstheme="minorHAnsi"/>
          <w:bCs/>
          <w:lang w:val="fr-CH"/>
        </w:rPr>
        <w:t>’</w:t>
      </w:r>
      <w:r w:rsidR="006B3FC3" w:rsidRPr="00DC0076">
        <w:rPr>
          <w:rFonts w:eastAsia="Calibri" w:cstheme="minorHAnsi"/>
          <w:bCs/>
          <w:lang w:val="fr-CH"/>
        </w:rPr>
        <w:t>un nouveau Groupe de travail pour commencer à élaborer le prochain Plan stratégique (PS5) afin de garantir la cohérence et la continuité.</w:t>
      </w:r>
      <w:r w:rsidR="002C1330" w:rsidRPr="00DC0076">
        <w:rPr>
          <w:rFonts w:eastAsia="Calibri" w:cstheme="minorHAnsi"/>
          <w:bCs/>
          <w:lang w:val="fr-CH"/>
        </w:rPr>
        <w:t xml:space="preserve"> Il ajoute que, sur le budget attribué aux préparatifs du PS4, il reste 18 000 CHF non dépensés et il propose de les réattribuer à l</w:t>
      </w:r>
      <w:r w:rsidR="00E31C61" w:rsidRPr="00DC0076">
        <w:rPr>
          <w:rFonts w:eastAsia="Calibri" w:cstheme="minorHAnsi"/>
          <w:bCs/>
          <w:lang w:val="fr-CH"/>
        </w:rPr>
        <w:t>’</w:t>
      </w:r>
      <w:r w:rsidR="002C1330" w:rsidRPr="00DC0076">
        <w:rPr>
          <w:rFonts w:eastAsia="Calibri" w:cstheme="minorHAnsi"/>
          <w:bCs/>
          <w:lang w:val="fr-CH"/>
        </w:rPr>
        <w:t>élaboration du PS5.</w:t>
      </w:r>
      <w:r w:rsidR="006B3FC3" w:rsidRPr="00DC0076">
        <w:rPr>
          <w:rFonts w:eastAsia="Calibri" w:cstheme="minorHAnsi"/>
          <w:bCs/>
          <w:lang w:val="fr-CH"/>
        </w:rPr>
        <w:t xml:space="preserve"> </w:t>
      </w:r>
      <w:r w:rsidR="0079003D" w:rsidRPr="00DC0076">
        <w:rPr>
          <w:rFonts w:eastAsia="Calibri" w:cstheme="minorHAnsi"/>
          <w:bCs/>
          <w:lang w:val="fr-CH"/>
        </w:rPr>
        <w:t>Selon l</w:t>
      </w:r>
      <w:r w:rsidR="00E31C61" w:rsidRPr="00DC0076">
        <w:rPr>
          <w:rFonts w:eastAsia="Calibri" w:cstheme="minorHAnsi"/>
          <w:bCs/>
          <w:lang w:val="fr-CH"/>
        </w:rPr>
        <w:t>’</w:t>
      </w:r>
      <w:r w:rsidR="006B3FC3" w:rsidRPr="00DC0076">
        <w:rPr>
          <w:rFonts w:eastAsia="Calibri" w:cstheme="minorHAnsi"/>
          <w:bCs/>
          <w:lang w:val="fr-CH"/>
        </w:rPr>
        <w:t>avis rendu par la Conseillère juridique du Secrétariat</w:t>
      </w:r>
      <w:r w:rsidR="0079003D" w:rsidRPr="00DC0076">
        <w:rPr>
          <w:rFonts w:eastAsia="Calibri" w:cstheme="minorHAnsi"/>
          <w:bCs/>
          <w:lang w:val="fr-CH"/>
        </w:rPr>
        <w:t>,</w:t>
      </w:r>
      <w:r w:rsidR="006B3FC3" w:rsidRPr="00DC0076">
        <w:rPr>
          <w:rFonts w:eastAsia="Calibri" w:cstheme="minorHAnsi"/>
          <w:bCs/>
          <w:lang w:val="fr-CH"/>
        </w:rPr>
        <w:t xml:space="preserve"> rien n</w:t>
      </w:r>
      <w:r w:rsidR="00E31C61" w:rsidRPr="00DC0076">
        <w:rPr>
          <w:rFonts w:eastAsia="Calibri" w:cstheme="minorHAnsi"/>
          <w:bCs/>
          <w:lang w:val="fr-CH"/>
        </w:rPr>
        <w:t>’</w:t>
      </w:r>
      <w:r w:rsidR="006B3FC3" w:rsidRPr="00DC0076">
        <w:rPr>
          <w:rFonts w:eastAsia="Calibri" w:cstheme="minorHAnsi"/>
          <w:bCs/>
          <w:lang w:val="fr-CH"/>
        </w:rPr>
        <w:t xml:space="preserve">empêche de créer ce groupe si le Comité </w:t>
      </w:r>
      <w:r w:rsidR="006B3FC3" w:rsidRPr="00DC0076">
        <w:rPr>
          <w:rFonts w:eastAsia="Calibri" w:cstheme="minorHAnsi"/>
          <w:bCs/>
          <w:lang w:val="fr-CH"/>
        </w:rPr>
        <w:t xml:space="preserve">permanent </w:t>
      </w:r>
      <w:r w:rsidR="00560999" w:rsidRPr="00DC0076">
        <w:rPr>
          <w:rFonts w:eastAsia="Calibri" w:cstheme="minorHAnsi"/>
          <w:bCs/>
          <w:lang w:val="fr-CH"/>
        </w:rPr>
        <w:t xml:space="preserve">le </w:t>
      </w:r>
      <w:r w:rsidR="006B3FC3" w:rsidRPr="00DC0076">
        <w:rPr>
          <w:rFonts w:eastAsia="Calibri" w:cstheme="minorHAnsi"/>
          <w:bCs/>
          <w:lang w:val="fr-CH"/>
        </w:rPr>
        <w:t>juge approprié</w:t>
      </w:r>
      <w:r w:rsidR="002C1330" w:rsidRPr="00DC0076">
        <w:rPr>
          <w:rFonts w:eastAsia="Calibri" w:cstheme="minorHAnsi"/>
          <w:bCs/>
          <w:lang w:val="fr-CH"/>
        </w:rPr>
        <w:t>.</w:t>
      </w:r>
      <w:r w:rsidR="00BA0BD3" w:rsidRPr="00DC0076">
        <w:rPr>
          <w:rFonts w:eastAsia="Calibri" w:cstheme="minorHAnsi"/>
          <w:bCs/>
          <w:lang w:val="fr-CH"/>
        </w:rPr>
        <w:t xml:space="preserve"> </w:t>
      </w:r>
    </w:p>
    <w:p w14:paraId="6F0C965E" w14:textId="77777777" w:rsidR="00BA0BD3" w:rsidRPr="00DC0076" w:rsidRDefault="00BA0BD3" w:rsidP="00BA0BD3">
      <w:pPr>
        <w:spacing w:after="0" w:line="240" w:lineRule="auto"/>
        <w:ind w:left="567" w:hanging="567"/>
        <w:rPr>
          <w:rFonts w:eastAsia="Calibri" w:cstheme="minorHAnsi"/>
          <w:bCs/>
          <w:lang w:val="fr-CH"/>
        </w:rPr>
      </w:pPr>
    </w:p>
    <w:p w14:paraId="50F17687" w14:textId="770057E1" w:rsidR="00BA0BD3" w:rsidRPr="00DC0076" w:rsidRDefault="00852EBE" w:rsidP="00BA0BD3">
      <w:pPr>
        <w:spacing w:after="0" w:line="240" w:lineRule="auto"/>
        <w:ind w:left="567" w:hanging="567"/>
        <w:rPr>
          <w:rFonts w:eastAsia="Calibri" w:cstheme="minorHAnsi"/>
          <w:bCs/>
          <w:lang w:val="fr-CH"/>
        </w:rPr>
      </w:pPr>
      <w:r w:rsidRPr="00DC0076">
        <w:rPr>
          <w:rFonts w:eastAsia="Calibri" w:cstheme="minorHAnsi"/>
          <w:bCs/>
          <w:lang w:val="fr-CH"/>
        </w:rPr>
        <w:t>12.</w:t>
      </w:r>
      <w:r w:rsidRPr="00DC0076">
        <w:rPr>
          <w:rFonts w:eastAsia="Calibri" w:cstheme="minorHAnsi"/>
          <w:bCs/>
          <w:lang w:val="fr-CH"/>
        </w:rPr>
        <w:tab/>
      </w:r>
      <w:r w:rsidR="00A903E7" w:rsidRPr="00DC0076">
        <w:rPr>
          <w:rFonts w:eastAsia="Calibri" w:cstheme="minorHAnsi"/>
          <w:bCs/>
          <w:lang w:val="fr-CH"/>
        </w:rPr>
        <w:t xml:space="preserve">Au cours de la </w:t>
      </w:r>
      <w:r w:rsidR="00BA0BD3" w:rsidRPr="00DC0076">
        <w:rPr>
          <w:rFonts w:eastAsia="Calibri" w:cstheme="minorHAnsi"/>
          <w:bCs/>
          <w:lang w:val="fr-CH"/>
        </w:rPr>
        <w:t xml:space="preserve">discussion, </w:t>
      </w:r>
      <w:r w:rsidR="00A903E7" w:rsidRPr="00DC0076">
        <w:rPr>
          <w:rFonts w:eastAsia="Calibri" w:cstheme="minorHAnsi"/>
          <w:bCs/>
          <w:lang w:val="fr-CH"/>
        </w:rPr>
        <w:t xml:space="preserve">de nombreux participants expriment leurs condoléances à la famille de M. Mafabi et rappellent sa longue association avec la Convention et ses </w:t>
      </w:r>
      <w:r w:rsidR="002C1330" w:rsidRPr="00DC0076">
        <w:rPr>
          <w:rFonts w:eastAsia="Calibri" w:cstheme="minorHAnsi"/>
          <w:bCs/>
          <w:lang w:val="fr-CH"/>
        </w:rPr>
        <w:t>réalisations</w:t>
      </w:r>
      <w:r w:rsidR="00A903E7" w:rsidRPr="00DC0076">
        <w:rPr>
          <w:rFonts w:eastAsia="Calibri" w:cstheme="minorHAnsi"/>
          <w:bCs/>
          <w:lang w:val="fr-CH"/>
        </w:rPr>
        <w:t xml:space="preserve">. Certains expriment le souhait </w:t>
      </w:r>
      <w:r w:rsidR="00560999" w:rsidRPr="00DC0076">
        <w:rPr>
          <w:rFonts w:eastAsia="Calibri" w:cstheme="minorHAnsi"/>
          <w:bCs/>
          <w:lang w:val="fr-CH"/>
        </w:rPr>
        <w:t>que le</w:t>
      </w:r>
      <w:r w:rsidR="00A903E7" w:rsidRPr="00DC0076">
        <w:rPr>
          <w:rFonts w:eastAsia="Calibri" w:cstheme="minorHAnsi"/>
          <w:bCs/>
          <w:lang w:val="fr-CH"/>
        </w:rPr>
        <w:t xml:space="preserve"> </w:t>
      </w:r>
      <w:r w:rsidR="008F6B52" w:rsidRPr="00DC0076">
        <w:rPr>
          <w:rFonts w:eastAsia="Calibri" w:cstheme="minorHAnsi"/>
          <w:bCs/>
          <w:lang w:val="fr-CH"/>
        </w:rPr>
        <w:t>5</w:t>
      </w:r>
      <w:r w:rsidR="008F6B52" w:rsidRPr="00DC0076">
        <w:rPr>
          <w:rFonts w:eastAsia="Calibri" w:cstheme="minorHAnsi"/>
          <w:bCs/>
          <w:vertAlign w:val="superscript"/>
          <w:lang w:val="fr-CH"/>
        </w:rPr>
        <w:t>e</w:t>
      </w:r>
      <w:r w:rsidR="008F6B52" w:rsidRPr="00DC0076">
        <w:rPr>
          <w:rFonts w:eastAsia="Calibri" w:cstheme="minorHAnsi"/>
          <w:bCs/>
          <w:lang w:val="fr-CH"/>
        </w:rPr>
        <w:t xml:space="preserve"> </w:t>
      </w:r>
      <w:r w:rsidR="00A903E7" w:rsidRPr="00DC0076">
        <w:rPr>
          <w:rFonts w:eastAsia="Calibri" w:cstheme="minorHAnsi"/>
          <w:bCs/>
          <w:lang w:val="fr-CH"/>
        </w:rPr>
        <w:t>P</w:t>
      </w:r>
      <w:r w:rsidR="002C1330" w:rsidRPr="00DC0076">
        <w:rPr>
          <w:rFonts w:eastAsia="Calibri" w:cstheme="minorHAnsi"/>
          <w:bCs/>
          <w:lang w:val="fr-CH"/>
        </w:rPr>
        <w:t>lan stratégique </w:t>
      </w:r>
      <w:r w:rsidR="00560999" w:rsidRPr="00DC0076">
        <w:rPr>
          <w:rFonts w:eastAsia="Calibri" w:cstheme="minorHAnsi"/>
          <w:bCs/>
          <w:lang w:val="fr-CH"/>
        </w:rPr>
        <w:t xml:space="preserve">soit </w:t>
      </w:r>
      <w:r w:rsidR="00A903E7" w:rsidRPr="00DC0076">
        <w:rPr>
          <w:rFonts w:eastAsia="Calibri" w:cstheme="minorHAnsi"/>
          <w:bCs/>
          <w:lang w:val="fr-CH"/>
        </w:rPr>
        <w:t>plus simple, orienté vers l</w:t>
      </w:r>
      <w:r w:rsidR="00E31C61" w:rsidRPr="00DC0076">
        <w:rPr>
          <w:rFonts w:eastAsia="Calibri" w:cstheme="minorHAnsi"/>
          <w:bCs/>
          <w:lang w:val="fr-CH"/>
        </w:rPr>
        <w:t>’</w:t>
      </w:r>
      <w:r w:rsidR="00A903E7" w:rsidRPr="00DC0076">
        <w:rPr>
          <w:rFonts w:eastAsia="Calibri" w:cstheme="minorHAnsi"/>
          <w:bCs/>
          <w:lang w:val="fr-CH"/>
        </w:rPr>
        <w:t>action</w:t>
      </w:r>
      <w:r w:rsidR="00F54191">
        <w:rPr>
          <w:rFonts w:eastAsia="Calibri" w:cstheme="minorHAnsi"/>
          <w:bCs/>
          <w:lang w:val="fr-CH"/>
        </w:rPr>
        <w:t>.</w:t>
      </w:r>
      <w:r w:rsidR="00A903E7" w:rsidRPr="00DC0076">
        <w:rPr>
          <w:rFonts w:eastAsia="Calibri" w:cstheme="minorHAnsi"/>
          <w:bCs/>
          <w:lang w:val="fr-CH"/>
        </w:rPr>
        <w:t xml:space="preserve"> </w:t>
      </w:r>
      <w:r w:rsidR="00F54191">
        <w:rPr>
          <w:rFonts w:eastAsia="Calibri" w:cstheme="minorHAnsi"/>
          <w:bCs/>
          <w:lang w:val="fr-CH"/>
        </w:rPr>
        <w:t>D</w:t>
      </w:r>
      <w:r w:rsidR="00E31C61" w:rsidRPr="00DC0076">
        <w:rPr>
          <w:rFonts w:eastAsia="Calibri" w:cstheme="minorHAnsi"/>
          <w:bCs/>
          <w:lang w:val="fr-CH"/>
        </w:rPr>
        <w:t>’</w:t>
      </w:r>
      <w:r w:rsidR="00A903E7" w:rsidRPr="00DC0076">
        <w:rPr>
          <w:rFonts w:eastAsia="Calibri" w:cstheme="minorHAnsi"/>
          <w:bCs/>
          <w:lang w:val="fr-CH"/>
        </w:rPr>
        <w:t xml:space="preserve">autres </w:t>
      </w:r>
      <w:r w:rsidR="00560999" w:rsidRPr="00DC0076">
        <w:rPr>
          <w:rFonts w:eastAsia="Calibri" w:cstheme="minorHAnsi"/>
          <w:bCs/>
          <w:lang w:val="fr-CH"/>
        </w:rPr>
        <w:t>se déclarent préoccupés, se</w:t>
      </w:r>
      <w:r w:rsidR="00A903E7" w:rsidRPr="00DC0076">
        <w:rPr>
          <w:rFonts w:eastAsia="Calibri" w:cstheme="minorHAnsi"/>
          <w:bCs/>
          <w:lang w:val="fr-CH"/>
        </w:rPr>
        <w:t xml:space="preserve"> demand</w:t>
      </w:r>
      <w:r w:rsidR="00560999" w:rsidRPr="00DC0076">
        <w:rPr>
          <w:rFonts w:eastAsia="Calibri" w:cstheme="minorHAnsi"/>
          <w:bCs/>
          <w:lang w:val="fr-CH"/>
        </w:rPr>
        <w:t>a</w:t>
      </w:r>
      <w:r w:rsidR="00A903E7" w:rsidRPr="00DC0076">
        <w:rPr>
          <w:rFonts w:eastAsia="Calibri" w:cstheme="minorHAnsi"/>
          <w:bCs/>
          <w:lang w:val="fr-CH"/>
        </w:rPr>
        <w:t>nt s</w:t>
      </w:r>
      <w:r w:rsidR="00E31C61" w:rsidRPr="00DC0076">
        <w:rPr>
          <w:rFonts w:eastAsia="Calibri" w:cstheme="minorHAnsi"/>
          <w:bCs/>
          <w:lang w:val="fr-CH"/>
        </w:rPr>
        <w:t>’</w:t>
      </w:r>
      <w:r w:rsidR="00A903E7" w:rsidRPr="00DC0076">
        <w:rPr>
          <w:rFonts w:eastAsia="Calibri" w:cstheme="minorHAnsi"/>
          <w:bCs/>
          <w:lang w:val="fr-CH"/>
        </w:rPr>
        <w:t xml:space="preserve">il est </w:t>
      </w:r>
      <w:r w:rsidR="00560999" w:rsidRPr="00DC0076">
        <w:rPr>
          <w:rFonts w:eastAsia="Calibri" w:cstheme="minorHAnsi"/>
          <w:bCs/>
          <w:lang w:val="fr-CH"/>
        </w:rPr>
        <w:t>justifié</w:t>
      </w:r>
      <w:r w:rsidR="00A903E7" w:rsidRPr="00DC0076">
        <w:rPr>
          <w:rFonts w:eastAsia="Calibri" w:cstheme="minorHAnsi"/>
          <w:bCs/>
          <w:lang w:val="fr-CH"/>
        </w:rPr>
        <w:t xml:space="preserve"> que le Comité permanent établisse un groupe de travail sur le </w:t>
      </w:r>
      <w:r w:rsidR="008F6B52" w:rsidRPr="00DC0076">
        <w:rPr>
          <w:rFonts w:eastAsia="Calibri" w:cstheme="minorHAnsi"/>
          <w:bCs/>
          <w:lang w:val="fr-CH"/>
        </w:rPr>
        <w:t>5</w:t>
      </w:r>
      <w:r w:rsidR="008F6B52" w:rsidRPr="00DC0076">
        <w:rPr>
          <w:rFonts w:eastAsia="Calibri" w:cstheme="minorHAnsi"/>
          <w:bCs/>
          <w:vertAlign w:val="superscript"/>
          <w:lang w:val="fr-CH"/>
        </w:rPr>
        <w:t>e</w:t>
      </w:r>
      <w:r w:rsidR="008F6B52" w:rsidRPr="00DC0076">
        <w:rPr>
          <w:rFonts w:eastAsia="Calibri" w:cstheme="minorHAnsi"/>
          <w:bCs/>
          <w:lang w:val="fr-CH"/>
        </w:rPr>
        <w:t xml:space="preserve"> </w:t>
      </w:r>
      <w:r w:rsidR="002C1330" w:rsidRPr="00DC0076">
        <w:rPr>
          <w:rFonts w:eastAsia="Calibri" w:cstheme="minorHAnsi"/>
          <w:bCs/>
          <w:lang w:val="fr-CH"/>
        </w:rPr>
        <w:t>Plan stratégique </w:t>
      </w:r>
      <w:r w:rsidR="00A903E7" w:rsidRPr="00DC0076">
        <w:rPr>
          <w:rFonts w:eastAsia="Calibri" w:cstheme="minorHAnsi"/>
          <w:bCs/>
          <w:lang w:val="fr-CH"/>
        </w:rPr>
        <w:t xml:space="preserve">sans </w:t>
      </w:r>
      <w:r w:rsidR="00560999" w:rsidRPr="00DC0076">
        <w:rPr>
          <w:rFonts w:eastAsia="Calibri" w:cstheme="minorHAnsi"/>
          <w:bCs/>
          <w:lang w:val="fr-CH"/>
        </w:rPr>
        <w:t xml:space="preserve">intervention </w:t>
      </w:r>
      <w:r w:rsidR="00A903E7" w:rsidRPr="00DC0076">
        <w:rPr>
          <w:rFonts w:eastAsia="Calibri" w:cstheme="minorHAnsi"/>
          <w:bCs/>
          <w:lang w:val="fr-CH"/>
        </w:rPr>
        <w:t>de la COP</w:t>
      </w:r>
      <w:r w:rsidR="00F54191">
        <w:rPr>
          <w:rFonts w:eastAsia="Calibri" w:cstheme="minorHAnsi"/>
          <w:bCs/>
          <w:lang w:val="fr-CH"/>
        </w:rPr>
        <w:t>14</w:t>
      </w:r>
      <w:r w:rsidR="002C1330" w:rsidRPr="00DC0076">
        <w:rPr>
          <w:rFonts w:eastAsia="Calibri" w:cstheme="minorHAnsi"/>
          <w:bCs/>
          <w:lang w:val="fr-CH"/>
        </w:rPr>
        <w:t xml:space="preserve"> et </w:t>
      </w:r>
      <w:r w:rsidR="00F54191">
        <w:rPr>
          <w:rFonts w:eastAsia="Calibri" w:cstheme="minorHAnsi"/>
          <w:bCs/>
          <w:lang w:val="fr-CH"/>
        </w:rPr>
        <w:t>sans que celui-ci n’</w:t>
      </w:r>
      <w:r w:rsidR="004A1C5E">
        <w:rPr>
          <w:rFonts w:eastAsia="Calibri" w:cstheme="minorHAnsi"/>
          <w:bCs/>
          <w:lang w:val="fr-CH"/>
        </w:rPr>
        <w:t>ait d</w:t>
      </w:r>
      <w:r w:rsidR="00F54191">
        <w:rPr>
          <w:rFonts w:eastAsia="Calibri" w:cstheme="minorHAnsi"/>
          <w:bCs/>
          <w:lang w:val="fr-CH"/>
        </w:rPr>
        <w:t xml:space="preserve">e mandat pour </w:t>
      </w:r>
      <w:r w:rsidR="002C1330" w:rsidRPr="00DC0076">
        <w:rPr>
          <w:rFonts w:eastAsia="Calibri" w:cstheme="minorHAnsi"/>
          <w:bCs/>
          <w:lang w:val="fr-CH"/>
        </w:rPr>
        <w:t>modifie</w:t>
      </w:r>
      <w:r w:rsidR="00F54191">
        <w:rPr>
          <w:rFonts w:eastAsia="Calibri" w:cstheme="minorHAnsi"/>
          <w:bCs/>
          <w:lang w:val="fr-CH"/>
        </w:rPr>
        <w:t>r</w:t>
      </w:r>
      <w:r w:rsidR="002C1330" w:rsidRPr="00DC0076">
        <w:rPr>
          <w:rFonts w:eastAsia="Calibri" w:cstheme="minorHAnsi"/>
          <w:bCs/>
          <w:lang w:val="fr-CH"/>
        </w:rPr>
        <w:t xml:space="preserve"> l</w:t>
      </w:r>
      <w:r w:rsidR="00E31C61" w:rsidRPr="00DC0076">
        <w:rPr>
          <w:rFonts w:eastAsia="Calibri" w:cstheme="minorHAnsi"/>
          <w:bCs/>
          <w:lang w:val="fr-CH"/>
        </w:rPr>
        <w:t>’</w:t>
      </w:r>
      <w:r w:rsidR="002C1330" w:rsidRPr="00DC0076">
        <w:rPr>
          <w:rFonts w:eastAsia="Calibri" w:cstheme="minorHAnsi"/>
          <w:bCs/>
          <w:lang w:val="fr-CH"/>
        </w:rPr>
        <w:t>actuel Plan stratégique</w:t>
      </w:r>
      <w:r w:rsidR="004A1C5E">
        <w:rPr>
          <w:rFonts w:eastAsia="Calibri" w:cstheme="minorHAnsi"/>
          <w:bCs/>
          <w:lang w:val="fr-CH"/>
        </w:rPr>
        <w:t>, mais que le travail accompli pourrait être diffusé aux Parties contractantes de manière informelle juqu’à ce que la COP14 puisse décider de modifier le présent plan.</w:t>
      </w:r>
      <w:r w:rsidR="00A903E7" w:rsidRPr="00DC0076">
        <w:rPr>
          <w:rFonts w:eastAsia="Calibri" w:cstheme="minorHAnsi"/>
          <w:bCs/>
          <w:lang w:val="fr-CH"/>
        </w:rPr>
        <w:t xml:space="preserve"> </w:t>
      </w:r>
      <w:r w:rsidR="004A1C5E">
        <w:rPr>
          <w:rFonts w:eastAsia="Calibri" w:cstheme="minorHAnsi"/>
          <w:bCs/>
          <w:lang w:val="fr-CH"/>
        </w:rPr>
        <w:t xml:space="preserve"> </w:t>
      </w:r>
      <w:r w:rsidR="002C1330" w:rsidRPr="00DC0076">
        <w:rPr>
          <w:rFonts w:eastAsia="Calibri" w:cstheme="minorHAnsi"/>
          <w:bCs/>
          <w:lang w:val="fr-CH"/>
        </w:rPr>
        <w:t>Des observations sont faites concernant la portée des annexes thématiques.</w:t>
      </w:r>
      <w:r w:rsidRPr="00DC0076">
        <w:rPr>
          <w:rFonts w:eastAsia="Calibri" w:cstheme="minorHAnsi"/>
          <w:bCs/>
          <w:lang w:val="fr-CH"/>
        </w:rPr>
        <w:t xml:space="preserve"> </w:t>
      </w:r>
    </w:p>
    <w:p w14:paraId="5A5D05EA" w14:textId="77777777" w:rsidR="00BA0BD3" w:rsidRPr="00DC0076" w:rsidRDefault="00BA0BD3" w:rsidP="00BA0BD3">
      <w:pPr>
        <w:spacing w:after="0" w:line="240" w:lineRule="auto"/>
        <w:ind w:left="567" w:hanging="567"/>
        <w:rPr>
          <w:rFonts w:eastAsia="Calibri" w:cstheme="minorHAnsi"/>
          <w:bCs/>
          <w:lang w:val="fr-CH"/>
        </w:rPr>
      </w:pPr>
    </w:p>
    <w:p w14:paraId="3DB8B8ED" w14:textId="0B446FA2" w:rsidR="00BA0BD3" w:rsidRPr="00DC0076" w:rsidRDefault="00852EBE" w:rsidP="00BA0BD3">
      <w:pPr>
        <w:spacing w:after="0" w:line="240" w:lineRule="auto"/>
        <w:ind w:left="567" w:hanging="567"/>
        <w:rPr>
          <w:rFonts w:eastAsia="Calibri" w:cstheme="minorHAnsi"/>
          <w:bCs/>
          <w:lang w:val="fr-CH"/>
        </w:rPr>
      </w:pPr>
      <w:r w:rsidRPr="00DC0076">
        <w:rPr>
          <w:rFonts w:eastAsia="Calibri" w:cstheme="minorHAnsi"/>
          <w:bCs/>
          <w:lang w:val="fr-CH"/>
        </w:rPr>
        <w:t>13.</w:t>
      </w:r>
      <w:r w:rsidRPr="00DC0076">
        <w:rPr>
          <w:rFonts w:eastAsia="Calibri" w:cstheme="minorHAnsi"/>
          <w:bCs/>
          <w:lang w:val="fr-CH"/>
        </w:rPr>
        <w:tab/>
      </w:r>
      <w:r w:rsidR="009B1DB4" w:rsidRPr="00DC0076">
        <w:rPr>
          <w:rFonts w:eastAsia="Calibri" w:cstheme="minorHAnsi"/>
          <w:bCs/>
          <w:lang w:val="fr-CH"/>
        </w:rPr>
        <w:t>Le Président du Groupe de travail précise encore que certaines des annexes figurant dans le document</w:t>
      </w:r>
      <w:r w:rsidR="00560999" w:rsidRPr="00DC0076">
        <w:rPr>
          <w:rFonts w:eastAsia="Calibri" w:cstheme="minorHAnsi"/>
          <w:bCs/>
          <w:lang w:val="fr-CH"/>
        </w:rPr>
        <w:t>,</w:t>
      </w:r>
      <w:r w:rsidR="009B1DB4" w:rsidRPr="00DC0076">
        <w:rPr>
          <w:rFonts w:eastAsia="Calibri" w:cstheme="minorHAnsi"/>
          <w:bCs/>
          <w:lang w:val="fr-CH"/>
        </w:rPr>
        <w:t xml:space="preserve"> telles que l</w:t>
      </w:r>
      <w:r w:rsidR="00E31C61" w:rsidRPr="00DC0076">
        <w:rPr>
          <w:rFonts w:eastAsia="Calibri" w:cstheme="minorHAnsi"/>
          <w:bCs/>
          <w:lang w:val="fr-CH"/>
        </w:rPr>
        <w:t>’</w:t>
      </w:r>
      <w:r w:rsidR="009B1DB4" w:rsidRPr="00DC0076">
        <w:rPr>
          <w:rFonts w:eastAsia="Calibri" w:cstheme="minorHAnsi"/>
          <w:bCs/>
          <w:lang w:val="fr-CH"/>
        </w:rPr>
        <w:t xml:space="preserve">Annexe C </w:t>
      </w:r>
      <w:r w:rsidR="00560999" w:rsidRPr="00DC0076">
        <w:rPr>
          <w:rFonts w:eastAsia="Calibri" w:cstheme="minorHAnsi"/>
          <w:bCs/>
          <w:lang w:val="fr-CH"/>
        </w:rPr>
        <w:t xml:space="preserve">relative à </w:t>
      </w:r>
      <w:r w:rsidR="009B1DB4" w:rsidRPr="00DC0076">
        <w:rPr>
          <w:rFonts w:eastAsia="Calibri" w:cstheme="minorHAnsi"/>
          <w:bCs/>
          <w:lang w:val="fr-CH"/>
        </w:rPr>
        <w:t xml:space="preserve">la Convention sur la diversité biologique (CDB) reflètent </w:t>
      </w:r>
      <w:r w:rsidR="0079003D" w:rsidRPr="00DC0076">
        <w:rPr>
          <w:rFonts w:eastAsia="Calibri" w:cstheme="minorHAnsi"/>
          <w:bCs/>
          <w:lang w:val="fr-CH"/>
        </w:rPr>
        <w:t>l</w:t>
      </w:r>
      <w:r w:rsidR="009B1DB4" w:rsidRPr="00DC0076">
        <w:rPr>
          <w:rFonts w:eastAsia="Calibri" w:cstheme="minorHAnsi"/>
          <w:bCs/>
          <w:lang w:val="fr-CH"/>
        </w:rPr>
        <w:t>es retards d</w:t>
      </w:r>
      <w:r w:rsidR="00E31C61" w:rsidRPr="00DC0076">
        <w:rPr>
          <w:rFonts w:eastAsia="Calibri" w:cstheme="minorHAnsi"/>
          <w:bCs/>
          <w:lang w:val="fr-CH"/>
        </w:rPr>
        <w:t>’</w:t>
      </w:r>
      <w:r w:rsidR="009B1DB4" w:rsidRPr="00DC0076">
        <w:rPr>
          <w:rFonts w:eastAsia="Calibri" w:cstheme="minorHAnsi"/>
          <w:bCs/>
          <w:lang w:val="fr-CH"/>
        </w:rPr>
        <w:t>autres processus, causés par la pandémie</w:t>
      </w:r>
      <w:r w:rsidR="00560999" w:rsidRPr="00DC0076">
        <w:rPr>
          <w:rFonts w:eastAsia="Calibri" w:cstheme="minorHAnsi"/>
          <w:bCs/>
          <w:lang w:val="fr-CH"/>
        </w:rPr>
        <w:t>,</w:t>
      </w:r>
      <w:r w:rsidR="009B1DB4" w:rsidRPr="00DC0076">
        <w:rPr>
          <w:rFonts w:eastAsia="Calibri" w:cstheme="minorHAnsi"/>
          <w:bCs/>
          <w:lang w:val="fr-CH"/>
        </w:rPr>
        <w:t xml:space="preserve"> et ont </w:t>
      </w:r>
      <w:r w:rsidR="0079003D" w:rsidRPr="00DC0076">
        <w:rPr>
          <w:rFonts w:eastAsia="Calibri" w:cstheme="minorHAnsi"/>
          <w:bCs/>
          <w:lang w:val="fr-CH"/>
        </w:rPr>
        <w:t>vocation à être remplacées</w:t>
      </w:r>
      <w:r w:rsidR="009B1DB4" w:rsidRPr="00DC0076">
        <w:rPr>
          <w:rFonts w:eastAsia="Calibri" w:cstheme="minorHAnsi"/>
          <w:bCs/>
          <w:lang w:val="fr-CH"/>
        </w:rPr>
        <w:t xml:space="preserve">. </w:t>
      </w:r>
    </w:p>
    <w:p w14:paraId="729B2A8B" w14:textId="77777777" w:rsidR="00BA0BD3" w:rsidRPr="00DC0076" w:rsidRDefault="00BA0BD3" w:rsidP="00BA0BD3">
      <w:pPr>
        <w:spacing w:after="0" w:line="240" w:lineRule="auto"/>
        <w:ind w:left="567" w:hanging="567"/>
        <w:rPr>
          <w:rFonts w:eastAsia="Calibri" w:cstheme="minorHAnsi"/>
          <w:bCs/>
          <w:lang w:val="fr-CH"/>
        </w:rPr>
      </w:pPr>
    </w:p>
    <w:p w14:paraId="45BC1D84" w14:textId="6677A4DE" w:rsidR="00BA0BD3" w:rsidRPr="00DC0076" w:rsidRDefault="00852EBE" w:rsidP="00BA0BD3">
      <w:pPr>
        <w:spacing w:after="0" w:line="240" w:lineRule="auto"/>
        <w:ind w:left="567" w:hanging="567"/>
        <w:rPr>
          <w:rFonts w:eastAsia="Calibri" w:cstheme="minorHAnsi"/>
          <w:bCs/>
          <w:lang w:val="fr-CH"/>
        </w:rPr>
      </w:pPr>
      <w:r w:rsidRPr="00DC0076">
        <w:rPr>
          <w:rFonts w:eastAsia="Calibri" w:cstheme="minorHAnsi"/>
          <w:bCs/>
          <w:lang w:val="fr-CH"/>
        </w:rPr>
        <w:t>14.</w:t>
      </w:r>
      <w:r w:rsidRPr="00DC0076">
        <w:rPr>
          <w:rFonts w:eastAsia="Calibri" w:cstheme="minorHAnsi"/>
          <w:bCs/>
          <w:lang w:val="fr-CH"/>
        </w:rPr>
        <w:tab/>
      </w:r>
      <w:r w:rsidR="009B1DB4" w:rsidRPr="00DC0076">
        <w:rPr>
          <w:rFonts w:eastAsia="Calibri" w:cstheme="minorHAnsi"/>
          <w:bCs/>
          <w:lang w:val="fr-CH"/>
        </w:rPr>
        <w:t>L</w:t>
      </w:r>
      <w:r w:rsidR="00E31C61" w:rsidRPr="00DC0076">
        <w:rPr>
          <w:rFonts w:eastAsia="Calibri" w:cstheme="minorHAnsi"/>
          <w:bCs/>
          <w:lang w:val="fr-CH"/>
        </w:rPr>
        <w:t>’</w:t>
      </w:r>
      <w:r w:rsidR="009B1DB4" w:rsidRPr="00DC0076">
        <w:rPr>
          <w:rFonts w:eastAsia="Calibri" w:cstheme="minorHAnsi"/>
          <w:bCs/>
          <w:lang w:val="fr-CH"/>
        </w:rPr>
        <w:t>Argentine, l</w:t>
      </w:r>
      <w:r w:rsidR="00E31C61" w:rsidRPr="00DC0076">
        <w:rPr>
          <w:rFonts w:eastAsia="Calibri" w:cstheme="minorHAnsi"/>
          <w:bCs/>
          <w:lang w:val="fr-CH"/>
        </w:rPr>
        <w:t>’</w:t>
      </w:r>
      <w:r w:rsidR="009B1DB4" w:rsidRPr="00DC0076">
        <w:rPr>
          <w:rFonts w:eastAsia="Calibri" w:cstheme="minorHAnsi"/>
          <w:bCs/>
          <w:lang w:val="fr-CH"/>
        </w:rPr>
        <w:t>Australie, le Brésil, la Chine, les États</w:t>
      </w:r>
      <w:r w:rsidR="009B1DB4" w:rsidRPr="00DC0076">
        <w:rPr>
          <w:rFonts w:eastAsia="Calibri" w:cstheme="minorHAnsi"/>
          <w:bCs/>
          <w:lang w:val="fr-CH"/>
        </w:rPr>
        <w:noBreakHyphen/>
        <w:t>Unis d</w:t>
      </w:r>
      <w:r w:rsidR="00E31C61" w:rsidRPr="00DC0076">
        <w:rPr>
          <w:rFonts w:eastAsia="Calibri" w:cstheme="minorHAnsi"/>
          <w:bCs/>
          <w:lang w:val="fr-CH"/>
        </w:rPr>
        <w:t>’</w:t>
      </w:r>
      <w:r w:rsidR="009B1DB4" w:rsidRPr="00DC0076">
        <w:rPr>
          <w:rFonts w:eastAsia="Calibri" w:cstheme="minorHAnsi"/>
          <w:bCs/>
          <w:lang w:val="fr-CH"/>
        </w:rPr>
        <w:t xml:space="preserve">Amérique, le Mexique, la Suède et la Suisse interviennent dans la discussion. </w:t>
      </w:r>
    </w:p>
    <w:p w14:paraId="76ED8B0E" w14:textId="77777777" w:rsidR="00852EBE" w:rsidRPr="00DC0076" w:rsidRDefault="00852EBE" w:rsidP="00BA0BD3">
      <w:pPr>
        <w:spacing w:after="0" w:line="240" w:lineRule="auto"/>
        <w:ind w:left="567" w:hanging="567"/>
        <w:rPr>
          <w:rFonts w:eastAsia="Calibri" w:cstheme="minorHAnsi"/>
          <w:bCs/>
          <w:lang w:val="fr-CH"/>
        </w:rPr>
      </w:pPr>
    </w:p>
    <w:p w14:paraId="46DA330F" w14:textId="3B8F587A" w:rsidR="00750EF2" w:rsidRPr="00DC0076" w:rsidRDefault="008B11C2" w:rsidP="001A6E83">
      <w:pPr>
        <w:spacing w:after="0" w:line="240" w:lineRule="auto"/>
        <w:rPr>
          <w:rFonts w:eastAsia="Times New Roman" w:cstheme="minorHAnsi"/>
          <w:b/>
          <w:lang w:val="fr-CH"/>
        </w:rPr>
      </w:pPr>
      <w:r w:rsidRPr="00DC0076">
        <w:rPr>
          <w:rFonts w:cstheme="minorHAnsi"/>
          <w:b/>
          <w:lang w:val="fr-CH"/>
        </w:rPr>
        <w:t>Décision</w:t>
      </w:r>
      <w:r w:rsidR="00852EBE" w:rsidRPr="00DC0076">
        <w:rPr>
          <w:rFonts w:cstheme="minorHAnsi"/>
          <w:b/>
          <w:lang w:val="fr-CH"/>
        </w:rPr>
        <w:t xml:space="preserve"> SC59-1</w:t>
      </w:r>
      <w:r w:rsidR="00EB30BD" w:rsidRPr="00DC0076">
        <w:rPr>
          <w:rFonts w:cstheme="minorHAnsi"/>
          <w:b/>
          <w:lang w:val="fr-CH"/>
        </w:rPr>
        <w:t>6</w:t>
      </w:r>
      <w:r w:rsidRPr="00DC0076">
        <w:rPr>
          <w:rFonts w:cstheme="minorHAnsi"/>
          <w:b/>
          <w:lang w:val="fr-CH"/>
        </w:rPr>
        <w:t> :</w:t>
      </w:r>
      <w:r w:rsidR="009B1DB4" w:rsidRPr="00DC0076">
        <w:rPr>
          <w:rFonts w:cstheme="minorHAnsi"/>
          <w:b/>
          <w:lang w:val="fr-CH"/>
        </w:rPr>
        <w:t xml:space="preserve"> Le Comité permanent </w:t>
      </w:r>
      <w:r w:rsidR="00B05B15" w:rsidRPr="00DC0076">
        <w:rPr>
          <w:rFonts w:cstheme="minorHAnsi"/>
          <w:b/>
          <w:lang w:val="fr-CH"/>
        </w:rPr>
        <w:t>prend note des travaux du Groupe de travail sur le Plan stratégique ; l</w:t>
      </w:r>
      <w:r w:rsidR="00E31C61" w:rsidRPr="00DC0076">
        <w:rPr>
          <w:rFonts w:cstheme="minorHAnsi"/>
          <w:b/>
          <w:lang w:val="fr-CH"/>
        </w:rPr>
        <w:t>’</w:t>
      </w:r>
      <w:r w:rsidR="00B05B15" w:rsidRPr="00DC0076">
        <w:rPr>
          <w:rFonts w:cstheme="minorHAnsi"/>
          <w:b/>
          <w:lang w:val="fr-CH"/>
        </w:rPr>
        <w:t xml:space="preserve">invite à recommander à la COP14 </w:t>
      </w:r>
      <w:r w:rsidR="00FF033E" w:rsidRPr="00DC0076">
        <w:rPr>
          <w:rFonts w:cstheme="minorHAnsi"/>
          <w:b/>
          <w:lang w:val="fr-CH"/>
        </w:rPr>
        <w:t>d</w:t>
      </w:r>
      <w:r w:rsidR="00E31C61" w:rsidRPr="00DC0076">
        <w:rPr>
          <w:rFonts w:cstheme="minorHAnsi"/>
          <w:b/>
          <w:lang w:val="fr-CH"/>
        </w:rPr>
        <w:t>’</w:t>
      </w:r>
      <w:r w:rsidR="00B05B15" w:rsidRPr="00DC0076">
        <w:rPr>
          <w:rFonts w:cstheme="minorHAnsi"/>
          <w:b/>
          <w:lang w:val="fr-CH"/>
        </w:rPr>
        <w:t>amend</w:t>
      </w:r>
      <w:r w:rsidR="00FF033E" w:rsidRPr="00DC0076">
        <w:rPr>
          <w:rFonts w:cstheme="minorHAnsi"/>
          <w:b/>
          <w:lang w:val="fr-CH"/>
        </w:rPr>
        <w:t>er le</w:t>
      </w:r>
      <w:r w:rsidR="00B05B15" w:rsidRPr="00DC0076">
        <w:rPr>
          <w:rFonts w:cstheme="minorHAnsi"/>
          <w:b/>
          <w:lang w:val="fr-CH"/>
        </w:rPr>
        <w:t xml:space="preserve"> PS4 </w:t>
      </w:r>
      <w:r w:rsidR="00FF033E" w:rsidRPr="00DC0076">
        <w:rPr>
          <w:rFonts w:cstheme="minorHAnsi"/>
          <w:b/>
          <w:lang w:val="fr-CH"/>
        </w:rPr>
        <w:t>en</w:t>
      </w:r>
      <w:r w:rsidR="00B05B15" w:rsidRPr="00DC0076">
        <w:rPr>
          <w:rFonts w:cstheme="minorHAnsi"/>
          <w:b/>
          <w:lang w:val="fr-CH"/>
        </w:rPr>
        <w:t xml:space="preserve"> y ajout</w:t>
      </w:r>
      <w:r w:rsidR="00FF033E" w:rsidRPr="00DC0076">
        <w:rPr>
          <w:rFonts w:cstheme="minorHAnsi"/>
          <w:b/>
          <w:lang w:val="fr-CH"/>
        </w:rPr>
        <w:t>ant</w:t>
      </w:r>
      <w:r w:rsidR="00B05B15" w:rsidRPr="00DC0076">
        <w:rPr>
          <w:rFonts w:cstheme="minorHAnsi"/>
          <w:b/>
          <w:lang w:val="fr-CH"/>
        </w:rPr>
        <w:t xml:space="preserve"> les annexes thématiques qui traitent de questions émergentes</w:t>
      </w:r>
      <w:r w:rsidR="009D2D9B" w:rsidRPr="00DC0076">
        <w:rPr>
          <w:rFonts w:cstheme="minorHAnsi"/>
          <w:b/>
          <w:lang w:val="fr-CH"/>
        </w:rPr>
        <w:t xml:space="preserve"> et</w:t>
      </w:r>
      <w:r w:rsidR="00560999" w:rsidRPr="00DC0076">
        <w:rPr>
          <w:rFonts w:cstheme="minorHAnsi"/>
          <w:b/>
          <w:lang w:val="fr-CH"/>
        </w:rPr>
        <w:t xml:space="preserve"> autres</w:t>
      </w:r>
      <w:r w:rsidR="00FF033E" w:rsidRPr="00DC0076">
        <w:rPr>
          <w:rFonts w:cstheme="minorHAnsi"/>
          <w:b/>
          <w:lang w:val="fr-CH"/>
        </w:rPr>
        <w:t>, précisant que l</w:t>
      </w:r>
      <w:r w:rsidR="00E31C61" w:rsidRPr="00DC0076">
        <w:rPr>
          <w:rFonts w:cstheme="minorHAnsi"/>
          <w:b/>
          <w:lang w:val="fr-CH"/>
        </w:rPr>
        <w:t>’</w:t>
      </w:r>
      <w:r w:rsidR="00FF033E" w:rsidRPr="00DC0076">
        <w:rPr>
          <w:rFonts w:cstheme="minorHAnsi"/>
          <w:b/>
          <w:lang w:val="fr-CH"/>
        </w:rPr>
        <w:t xml:space="preserve">annexe 2 existante sera mise à </w:t>
      </w:r>
      <w:r w:rsidR="009D2D9B" w:rsidRPr="00DC0076">
        <w:rPr>
          <w:rFonts w:cstheme="minorHAnsi"/>
          <w:b/>
          <w:lang w:val="fr-CH"/>
        </w:rPr>
        <w:t>jour de manière à mettre en correspondance les Objectifs Ramsar avec les Objectifs et Indicateurs relatifs à la biodiversité pour l</w:t>
      </w:r>
      <w:r w:rsidR="00E31C61" w:rsidRPr="00DC0076">
        <w:rPr>
          <w:rFonts w:cstheme="minorHAnsi"/>
          <w:b/>
          <w:lang w:val="fr-CH"/>
        </w:rPr>
        <w:t>’</w:t>
      </w:r>
      <w:r w:rsidR="009D2D9B" w:rsidRPr="00DC0076">
        <w:rPr>
          <w:rFonts w:cstheme="minorHAnsi"/>
          <w:b/>
          <w:lang w:val="fr-CH"/>
        </w:rPr>
        <w:t xml:space="preserve">après-2020 </w:t>
      </w:r>
      <w:r w:rsidR="00B05B15" w:rsidRPr="00DC0076">
        <w:rPr>
          <w:rFonts w:cstheme="minorHAnsi"/>
          <w:b/>
          <w:lang w:val="fr-CH"/>
        </w:rPr>
        <w:t>.</w:t>
      </w:r>
    </w:p>
    <w:p w14:paraId="6EF7F39A" w14:textId="77777777" w:rsidR="00EB30BD" w:rsidRPr="00DC0076" w:rsidRDefault="00EB30BD" w:rsidP="00852EBE">
      <w:pPr>
        <w:spacing w:after="0" w:line="240" w:lineRule="auto"/>
        <w:rPr>
          <w:rFonts w:cstheme="minorHAnsi"/>
          <w:b/>
          <w:lang w:val="fr-CH"/>
        </w:rPr>
      </w:pPr>
    </w:p>
    <w:p w14:paraId="3B279723" w14:textId="5140879B" w:rsidR="00E76E03" w:rsidRPr="00DC0076" w:rsidRDefault="008B11C2" w:rsidP="00852EBE">
      <w:pPr>
        <w:spacing w:after="0" w:line="240" w:lineRule="auto"/>
        <w:rPr>
          <w:rFonts w:cstheme="minorHAnsi"/>
          <w:b/>
          <w:lang w:val="fr-CH"/>
        </w:rPr>
      </w:pPr>
      <w:r w:rsidRPr="00DC0076">
        <w:rPr>
          <w:rFonts w:cstheme="minorHAnsi"/>
          <w:b/>
          <w:lang w:val="fr-CH"/>
        </w:rPr>
        <w:t>Décision</w:t>
      </w:r>
      <w:r w:rsidR="00EB30BD" w:rsidRPr="00DC0076">
        <w:rPr>
          <w:rFonts w:cstheme="minorHAnsi"/>
          <w:b/>
          <w:lang w:val="fr-CH"/>
        </w:rPr>
        <w:t xml:space="preserve"> SC59-17</w:t>
      </w:r>
      <w:r w:rsidRPr="00DC0076">
        <w:rPr>
          <w:rFonts w:cstheme="minorHAnsi"/>
          <w:b/>
          <w:lang w:val="fr-CH"/>
        </w:rPr>
        <w:t> :</w:t>
      </w:r>
      <w:r w:rsidR="00B05B15" w:rsidRPr="00DC0076">
        <w:rPr>
          <w:rFonts w:cstheme="minorHAnsi"/>
          <w:b/>
          <w:lang w:val="fr-CH"/>
        </w:rPr>
        <w:t xml:space="preserve"> Le Comité permanent décide que les orientations et outils existants </w:t>
      </w:r>
      <w:r w:rsidR="00A86464" w:rsidRPr="00DC0076">
        <w:rPr>
          <w:rFonts w:cstheme="minorHAnsi"/>
          <w:b/>
          <w:lang w:val="fr-CH"/>
        </w:rPr>
        <w:t>doivent être</w:t>
      </w:r>
      <w:r w:rsidR="00B05B15" w:rsidRPr="00DC0076">
        <w:rPr>
          <w:rFonts w:cstheme="minorHAnsi"/>
          <w:b/>
          <w:lang w:val="fr-CH"/>
        </w:rPr>
        <w:t xml:space="preserve"> communiqués aux Parties contractantes pour soutenir </w:t>
      </w:r>
      <w:r w:rsidR="00A86464" w:rsidRPr="00DC0076">
        <w:rPr>
          <w:rFonts w:cstheme="minorHAnsi"/>
          <w:b/>
          <w:lang w:val="fr-CH"/>
        </w:rPr>
        <w:t>l</w:t>
      </w:r>
      <w:r w:rsidR="00E31C61" w:rsidRPr="00DC0076">
        <w:rPr>
          <w:rFonts w:cstheme="minorHAnsi"/>
          <w:b/>
          <w:lang w:val="fr-CH"/>
        </w:rPr>
        <w:t>’</w:t>
      </w:r>
      <w:r w:rsidR="00A86464" w:rsidRPr="00DC0076">
        <w:rPr>
          <w:rFonts w:cstheme="minorHAnsi"/>
          <w:b/>
          <w:lang w:val="fr-CH"/>
        </w:rPr>
        <w:t>application</w:t>
      </w:r>
      <w:r w:rsidR="00B05B15" w:rsidRPr="00DC0076">
        <w:rPr>
          <w:rFonts w:cstheme="minorHAnsi"/>
          <w:b/>
          <w:lang w:val="fr-CH"/>
        </w:rPr>
        <w:t xml:space="preserve"> du PS4 </w:t>
      </w:r>
      <w:r w:rsidR="00A86464" w:rsidRPr="00DC0076">
        <w:rPr>
          <w:rFonts w:cstheme="minorHAnsi"/>
          <w:b/>
          <w:lang w:val="fr-CH"/>
        </w:rPr>
        <w:t xml:space="preserve">dans la dernière année </w:t>
      </w:r>
      <w:r w:rsidR="00B05B15" w:rsidRPr="00DC0076">
        <w:rPr>
          <w:rFonts w:cstheme="minorHAnsi"/>
          <w:b/>
          <w:lang w:val="fr-CH"/>
        </w:rPr>
        <w:t>avant la COP14, sous réserve de</w:t>
      </w:r>
      <w:r w:rsidR="00A86464" w:rsidRPr="00DC0076">
        <w:rPr>
          <w:rFonts w:cstheme="minorHAnsi"/>
          <w:b/>
          <w:lang w:val="fr-CH"/>
        </w:rPr>
        <w:t>s</w:t>
      </w:r>
      <w:r w:rsidR="00B05B15" w:rsidRPr="00DC0076">
        <w:rPr>
          <w:rFonts w:cstheme="minorHAnsi"/>
          <w:b/>
          <w:lang w:val="fr-CH"/>
        </w:rPr>
        <w:t xml:space="preserve"> capacités disponibles au sein du Secrétariat. </w:t>
      </w:r>
    </w:p>
    <w:p w14:paraId="760BFDCC" w14:textId="77777777" w:rsidR="00E76E03" w:rsidRPr="00DC0076" w:rsidRDefault="00E76E03" w:rsidP="00852EBE">
      <w:pPr>
        <w:spacing w:after="0" w:line="240" w:lineRule="auto"/>
        <w:rPr>
          <w:rFonts w:cstheme="minorHAnsi"/>
          <w:b/>
          <w:lang w:val="fr-CH"/>
        </w:rPr>
      </w:pPr>
    </w:p>
    <w:p w14:paraId="7E01D052" w14:textId="4A4DE82B" w:rsidR="00EB30BD" w:rsidRPr="00DC0076" w:rsidRDefault="00E76E03" w:rsidP="00852EBE">
      <w:pPr>
        <w:spacing w:after="0" w:line="240" w:lineRule="auto"/>
        <w:rPr>
          <w:rFonts w:cstheme="minorHAnsi"/>
          <w:b/>
          <w:lang w:val="fr-CH"/>
        </w:rPr>
      </w:pPr>
      <w:r w:rsidRPr="00DC0076">
        <w:rPr>
          <w:rFonts w:cstheme="minorHAnsi"/>
          <w:b/>
          <w:lang w:val="fr-CH"/>
        </w:rPr>
        <w:t>Décision SC59-18 : Le Comité permanent note que le groupe de travail préparera un projet de résolution sur l</w:t>
      </w:r>
      <w:r w:rsidR="00E31C61" w:rsidRPr="00DC0076">
        <w:rPr>
          <w:rFonts w:cstheme="minorHAnsi"/>
          <w:b/>
          <w:lang w:val="fr-CH"/>
        </w:rPr>
        <w:t>’</w:t>
      </w:r>
      <w:r w:rsidRPr="00DC0076">
        <w:rPr>
          <w:rFonts w:cstheme="minorHAnsi"/>
          <w:b/>
          <w:lang w:val="fr-CH"/>
        </w:rPr>
        <w:t xml:space="preserve">examen du </w:t>
      </w:r>
      <w:r w:rsidR="008F6B52" w:rsidRPr="00DC0076">
        <w:rPr>
          <w:rFonts w:cstheme="minorHAnsi"/>
          <w:b/>
          <w:lang w:val="fr-CH"/>
        </w:rPr>
        <w:t>4</w:t>
      </w:r>
      <w:r w:rsidR="008F6B52" w:rsidRPr="00DC0076">
        <w:rPr>
          <w:rFonts w:cstheme="minorHAnsi"/>
          <w:b/>
          <w:vertAlign w:val="superscript"/>
          <w:lang w:val="fr-CH"/>
        </w:rPr>
        <w:t>e</w:t>
      </w:r>
      <w:r w:rsidR="008F6B52" w:rsidRPr="00DC0076">
        <w:rPr>
          <w:rFonts w:cstheme="minorHAnsi"/>
          <w:b/>
          <w:lang w:val="fr-CH"/>
        </w:rPr>
        <w:t xml:space="preserve"> </w:t>
      </w:r>
      <w:r w:rsidRPr="00DC0076">
        <w:rPr>
          <w:rFonts w:cstheme="minorHAnsi"/>
          <w:b/>
          <w:lang w:val="fr-CH"/>
        </w:rPr>
        <w:t xml:space="preserve">Plan stratégique, les annexes thématiques proposées et les domaines </w:t>
      </w:r>
      <w:r w:rsidR="008F6B52" w:rsidRPr="00DC0076">
        <w:rPr>
          <w:rFonts w:cstheme="minorHAnsi"/>
          <w:b/>
          <w:lang w:val="fr-CH"/>
        </w:rPr>
        <w:t>pouvant faire l</w:t>
      </w:r>
      <w:r w:rsidR="00E31C61" w:rsidRPr="00DC0076">
        <w:rPr>
          <w:rFonts w:cstheme="minorHAnsi"/>
          <w:b/>
          <w:lang w:val="fr-CH"/>
        </w:rPr>
        <w:t>’</w:t>
      </w:r>
      <w:r w:rsidR="008F6B52" w:rsidRPr="00DC0076">
        <w:rPr>
          <w:rFonts w:cstheme="minorHAnsi"/>
          <w:b/>
          <w:lang w:val="fr-CH"/>
        </w:rPr>
        <w:t>objet</w:t>
      </w:r>
      <w:r w:rsidRPr="00DC0076">
        <w:rPr>
          <w:rFonts w:cstheme="minorHAnsi"/>
          <w:b/>
          <w:lang w:val="fr-CH"/>
        </w:rPr>
        <w:t xml:space="preserve"> de nouvelles orientations au cours de la prochaine période triennale, </w:t>
      </w:r>
      <w:r w:rsidR="008F6B52" w:rsidRPr="00DC0076">
        <w:rPr>
          <w:rFonts w:cstheme="minorHAnsi"/>
          <w:b/>
          <w:lang w:val="fr-CH"/>
        </w:rPr>
        <w:t>et réunira</w:t>
      </w:r>
      <w:r w:rsidRPr="00DC0076">
        <w:rPr>
          <w:rFonts w:cstheme="minorHAnsi"/>
          <w:b/>
          <w:lang w:val="fr-CH"/>
        </w:rPr>
        <w:t xml:space="preserve"> les éléments </w:t>
      </w:r>
      <w:r w:rsidR="008F6B52" w:rsidRPr="00DC0076">
        <w:rPr>
          <w:rFonts w:cstheme="minorHAnsi"/>
          <w:b/>
          <w:lang w:val="fr-CH"/>
        </w:rPr>
        <w:t>fondamentaux</w:t>
      </w:r>
      <w:r w:rsidRPr="00DC0076">
        <w:rPr>
          <w:rFonts w:cstheme="minorHAnsi"/>
          <w:b/>
          <w:lang w:val="fr-CH"/>
        </w:rPr>
        <w:t xml:space="preserve"> </w:t>
      </w:r>
      <w:r w:rsidR="008F6B52" w:rsidRPr="00DC0076">
        <w:rPr>
          <w:rFonts w:cstheme="minorHAnsi"/>
          <w:b/>
          <w:lang w:val="fr-CH"/>
        </w:rPr>
        <w:t>en vue de</w:t>
      </w:r>
      <w:r w:rsidRPr="00DC0076">
        <w:rPr>
          <w:rFonts w:cstheme="minorHAnsi"/>
          <w:b/>
          <w:lang w:val="fr-CH"/>
        </w:rPr>
        <w:t xml:space="preserve"> </w:t>
      </w:r>
      <w:r w:rsidR="008F6B52" w:rsidRPr="00DC0076">
        <w:rPr>
          <w:rFonts w:cstheme="minorHAnsi"/>
          <w:b/>
          <w:lang w:val="fr-CH"/>
        </w:rPr>
        <w:t>l</w:t>
      </w:r>
      <w:r w:rsidR="00E31C61" w:rsidRPr="00DC0076">
        <w:rPr>
          <w:rFonts w:cstheme="minorHAnsi"/>
          <w:b/>
          <w:lang w:val="fr-CH"/>
        </w:rPr>
        <w:t>’</w:t>
      </w:r>
      <w:r w:rsidR="008F6B52" w:rsidRPr="00DC0076">
        <w:rPr>
          <w:rFonts w:cstheme="minorHAnsi"/>
          <w:b/>
          <w:lang w:val="fr-CH"/>
        </w:rPr>
        <w:t>élaboration d</w:t>
      </w:r>
      <w:r w:rsidR="00E31C61" w:rsidRPr="00DC0076">
        <w:rPr>
          <w:rFonts w:cstheme="minorHAnsi"/>
          <w:b/>
          <w:lang w:val="fr-CH"/>
        </w:rPr>
        <w:t>’</w:t>
      </w:r>
      <w:r w:rsidR="008F6B52" w:rsidRPr="00DC0076">
        <w:rPr>
          <w:rFonts w:cstheme="minorHAnsi"/>
          <w:b/>
          <w:lang w:val="fr-CH"/>
        </w:rPr>
        <w:t>une proposition de</w:t>
      </w:r>
      <w:r w:rsidRPr="00DC0076">
        <w:rPr>
          <w:rFonts w:cstheme="minorHAnsi"/>
          <w:b/>
          <w:lang w:val="fr-CH"/>
        </w:rPr>
        <w:t xml:space="preserve"> cadre pour le 5</w:t>
      </w:r>
      <w:r w:rsidRPr="00DC0076">
        <w:rPr>
          <w:rFonts w:cstheme="minorHAnsi"/>
          <w:b/>
          <w:vertAlign w:val="superscript"/>
          <w:lang w:val="fr-CH"/>
        </w:rPr>
        <w:t>e</w:t>
      </w:r>
      <w:r w:rsidRPr="00DC0076">
        <w:rPr>
          <w:rFonts w:cstheme="minorHAnsi"/>
          <w:b/>
          <w:lang w:val="fr-CH"/>
        </w:rPr>
        <w:t xml:space="preserve"> Plan stratégique indiquant les éléments clés, </w:t>
      </w:r>
      <w:r w:rsidR="00E31C61" w:rsidRPr="00DC0076">
        <w:rPr>
          <w:rFonts w:cstheme="minorHAnsi"/>
          <w:b/>
          <w:lang w:val="fr-CH"/>
        </w:rPr>
        <w:t>dans la perspective</w:t>
      </w:r>
      <w:r w:rsidR="008F6B52" w:rsidRPr="00DC0076">
        <w:rPr>
          <w:rFonts w:cstheme="minorHAnsi"/>
          <w:b/>
          <w:lang w:val="fr-CH"/>
        </w:rPr>
        <w:t xml:space="preserve"> de</w:t>
      </w:r>
      <w:r w:rsidRPr="00DC0076">
        <w:rPr>
          <w:rFonts w:cstheme="minorHAnsi"/>
          <w:b/>
          <w:lang w:val="fr-CH"/>
        </w:rPr>
        <w:t xml:space="preserve"> la </w:t>
      </w:r>
      <w:r w:rsidR="00E31C61" w:rsidRPr="00DC0076">
        <w:rPr>
          <w:rFonts w:cstheme="minorHAnsi"/>
          <w:b/>
          <w:lang w:val="fr-CH"/>
        </w:rPr>
        <w:t>R</w:t>
      </w:r>
      <w:r w:rsidRPr="00DC0076">
        <w:rPr>
          <w:rFonts w:cstheme="minorHAnsi"/>
          <w:b/>
          <w:lang w:val="fr-CH"/>
        </w:rPr>
        <w:t xml:space="preserve">éunion du Comité permanent </w:t>
      </w:r>
      <w:r w:rsidR="008F6B52" w:rsidRPr="00DC0076">
        <w:rPr>
          <w:rFonts w:cstheme="minorHAnsi"/>
          <w:b/>
          <w:lang w:val="fr-CH"/>
        </w:rPr>
        <w:t>prévue en</w:t>
      </w:r>
      <w:r w:rsidRPr="00DC0076">
        <w:rPr>
          <w:rFonts w:cstheme="minorHAnsi"/>
          <w:b/>
          <w:lang w:val="fr-CH"/>
        </w:rPr>
        <w:t xml:space="preserve"> 2022, </w:t>
      </w:r>
      <w:r w:rsidR="00E31C61" w:rsidRPr="00DC0076">
        <w:rPr>
          <w:rFonts w:cstheme="minorHAnsi"/>
          <w:b/>
          <w:lang w:val="fr-CH"/>
        </w:rPr>
        <w:t>en amont de</w:t>
      </w:r>
      <w:r w:rsidRPr="00DC0076">
        <w:rPr>
          <w:rFonts w:cstheme="minorHAnsi"/>
          <w:b/>
          <w:lang w:val="fr-CH"/>
        </w:rPr>
        <w:t xml:space="preserve"> la COP14.</w:t>
      </w:r>
      <w:r w:rsidR="00B05B15" w:rsidRPr="00DC0076">
        <w:rPr>
          <w:rFonts w:cstheme="minorHAnsi"/>
          <w:b/>
          <w:lang w:val="fr-CH"/>
        </w:rPr>
        <w:t xml:space="preserve"> </w:t>
      </w:r>
    </w:p>
    <w:p w14:paraId="7741AA6D" w14:textId="77777777" w:rsidR="00EB30BD" w:rsidRPr="00DC0076" w:rsidRDefault="00EB30BD" w:rsidP="00852EBE">
      <w:pPr>
        <w:spacing w:after="0" w:line="240" w:lineRule="auto"/>
        <w:rPr>
          <w:rFonts w:cstheme="minorHAnsi"/>
          <w:b/>
          <w:lang w:val="fr-CH"/>
        </w:rPr>
      </w:pPr>
    </w:p>
    <w:p w14:paraId="141DD26D" w14:textId="150FC33F" w:rsidR="00EA2338" w:rsidRDefault="008B11C2" w:rsidP="00E64244">
      <w:pPr>
        <w:spacing w:after="0" w:line="240" w:lineRule="auto"/>
        <w:rPr>
          <w:rFonts w:cstheme="minorHAnsi"/>
          <w:b/>
          <w:lang w:val="fr-CH"/>
        </w:rPr>
      </w:pPr>
      <w:r w:rsidRPr="00DC0076">
        <w:rPr>
          <w:rFonts w:cstheme="minorHAnsi"/>
          <w:b/>
          <w:lang w:val="fr-CH"/>
        </w:rPr>
        <w:t>Décision</w:t>
      </w:r>
      <w:r w:rsidR="00EB30BD" w:rsidRPr="00DC0076">
        <w:rPr>
          <w:rFonts w:cstheme="minorHAnsi"/>
          <w:b/>
          <w:lang w:val="fr-CH"/>
        </w:rPr>
        <w:t xml:space="preserve"> SC59-1</w:t>
      </w:r>
      <w:r w:rsidR="00E76E03" w:rsidRPr="00DC0076">
        <w:rPr>
          <w:rFonts w:cstheme="minorHAnsi"/>
          <w:b/>
          <w:lang w:val="fr-CH"/>
        </w:rPr>
        <w:t>9</w:t>
      </w:r>
      <w:r w:rsidRPr="00DC0076">
        <w:rPr>
          <w:rFonts w:cstheme="minorHAnsi"/>
          <w:b/>
          <w:lang w:val="fr-CH"/>
        </w:rPr>
        <w:t> :</w:t>
      </w:r>
      <w:r w:rsidR="00EB30BD" w:rsidRPr="00DC0076">
        <w:rPr>
          <w:rFonts w:cstheme="minorHAnsi"/>
          <w:b/>
          <w:lang w:val="fr-CH"/>
        </w:rPr>
        <w:t xml:space="preserve"> </w:t>
      </w:r>
      <w:r w:rsidR="00B05B15" w:rsidRPr="00DC0076">
        <w:rPr>
          <w:rFonts w:cstheme="minorHAnsi"/>
          <w:b/>
          <w:lang w:val="fr-CH"/>
        </w:rPr>
        <w:t>Le Comité permanent recommande qu</w:t>
      </w:r>
      <w:r w:rsidR="00E31C61" w:rsidRPr="00DC0076">
        <w:rPr>
          <w:rFonts w:cstheme="minorHAnsi"/>
          <w:b/>
          <w:lang w:val="fr-CH"/>
        </w:rPr>
        <w:t>’</w:t>
      </w:r>
      <w:r w:rsidR="00A86464" w:rsidRPr="00DC0076">
        <w:rPr>
          <w:rFonts w:cstheme="minorHAnsi"/>
          <w:b/>
          <w:lang w:val="fr-CH"/>
        </w:rPr>
        <w:t>à la COP,</w:t>
      </w:r>
      <w:r w:rsidR="00B05B15" w:rsidRPr="00DC0076">
        <w:rPr>
          <w:rFonts w:cstheme="minorHAnsi"/>
          <w:b/>
          <w:lang w:val="fr-CH"/>
        </w:rPr>
        <w:t xml:space="preserve"> les Parties contractantes prolongent la durée du PS4</w:t>
      </w:r>
      <w:r w:rsidR="00A86464" w:rsidRPr="00DC0076">
        <w:rPr>
          <w:rFonts w:cstheme="minorHAnsi"/>
          <w:b/>
          <w:lang w:val="fr-CH"/>
        </w:rPr>
        <w:t>,</w:t>
      </w:r>
      <w:r w:rsidR="00E4592A" w:rsidRPr="00DC0076">
        <w:rPr>
          <w:rFonts w:cstheme="minorHAnsi"/>
          <w:b/>
          <w:lang w:val="fr-CH"/>
        </w:rPr>
        <w:t xml:space="preserve"> de 2024 jusqu</w:t>
      </w:r>
      <w:r w:rsidR="00E31C61" w:rsidRPr="00DC0076">
        <w:rPr>
          <w:rFonts w:cstheme="minorHAnsi"/>
          <w:b/>
          <w:lang w:val="fr-CH"/>
        </w:rPr>
        <w:t>’</w:t>
      </w:r>
      <w:r w:rsidR="00E4592A" w:rsidRPr="00DC0076">
        <w:rPr>
          <w:rFonts w:cstheme="minorHAnsi"/>
          <w:b/>
          <w:lang w:val="fr-CH"/>
        </w:rPr>
        <w:t>au moment où la COP15 aura lieu</w:t>
      </w:r>
      <w:r w:rsidR="00A86464" w:rsidRPr="00DC0076">
        <w:rPr>
          <w:rFonts w:cstheme="minorHAnsi"/>
          <w:b/>
          <w:lang w:val="fr-CH"/>
        </w:rPr>
        <w:t>,</w:t>
      </w:r>
      <w:r w:rsidR="00E4592A" w:rsidRPr="00DC0076">
        <w:rPr>
          <w:rFonts w:cstheme="minorHAnsi"/>
          <w:b/>
          <w:lang w:val="fr-CH"/>
        </w:rPr>
        <w:t xml:space="preserve"> </w:t>
      </w:r>
      <w:r w:rsidR="00A86464" w:rsidRPr="00DC0076">
        <w:rPr>
          <w:rFonts w:cstheme="minorHAnsi"/>
          <w:b/>
          <w:lang w:val="fr-CH"/>
        </w:rPr>
        <w:t>pour</w:t>
      </w:r>
      <w:r w:rsidR="00E4592A" w:rsidRPr="00DC0076">
        <w:rPr>
          <w:rFonts w:cstheme="minorHAnsi"/>
          <w:b/>
          <w:lang w:val="fr-CH"/>
        </w:rPr>
        <w:t xml:space="preserve"> </w:t>
      </w:r>
      <w:r w:rsidR="00A86464" w:rsidRPr="00DC0076">
        <w:rPr>
          <w:rFonts w:cstheme="minorHAnsi"/>
          <w:b/>
          <w:lang w:val="fr-CH"/>
        </w:rPr>
        <w:t>veiller à</w:t>
      </w:r>
      <w:r w:rsidR="00E4592A" w:rsidRPr="00DC0076">
        <w:rPr>
          <w:rFonts w:cstheme="minorHAnsi"/>
          <w:b/>
          <w:lang w:val="fr-CH"/>
        </w:rPr>
        <w:t xml:space="preserve"> la continuité entre les Plans </w:t>
      </w:r>
      <w:r w:rsidR="00A86464" w:rsidRPr="00DC0076">
        <w:rPr>
          <w:rFonts w:cstheme="minorHAnsi"/>
          <w:b/>
          <w:lang w:val="fr-CH"/>
        </w:rPr>
        <w:t xml:space="preserve">stratégiques </w:t>
      </w:r>
      <w:r w:rsidR="00E4592A" w:rsidRPr="00DC0076">
        <w:rPr>
          <w:rFonts w:cstheme="minorHAnsi"/>
          <w:b/>
          <w:lang w:val="fr-CH"/>
        </w:rPr>
        <w:t>successifs.</w:t>
      </w:r>
      <w:r w:rsidR="00E4592A" w:rsidRPr="00DC0076">
        <w:rPr>
          <w:rFonts w:cstheme="minorHAnsi"/>
          <w:color w:val="1F497D"/>
          <w:shd w:val="clear" w:color="auto" w:fill="FFFFFF"/>
          <w:lang w:val="fr-CH"/>
        </w:rPr>
        <w:t xml:space="preserve"> </w:t>
      </w:r>
    </w:p>
    <w:p w14:paraId="5F57CAD4" w14:textId="77777777" w:rsidR="00EA2338" w:rsidRPr="00EA2338" w:rsidRDefault="00EA2338" w:rsidP="00EA2338">
      <w:pPr>
        <w:rPr>
          <w:rFonts w:cstheme="minorHAnsi"/>
          <w:lang w:val="fr-CH"/>
        </w:rPr>
      </w:pPr>
    </w:p>
    <w:p w14:paraId="7BF222B6" w14:textId="77777777" w:rsidR="00EA2338" w:rsidRPr="00EA2338" w:rsidRDefault="00EA2338" w:rsidP="00EA2338">
      <w:pPr>
        <w:rPr>
          <w:rFonts w:cstheme="minorHAnsi"/>
          <w:lang w:val="fr-CH"/>
        </w:rPr>
      </w:pPr>
    </w:p>
    <w:p w14:paraId="18C214C4" w14:textId="37B05BD7" w:rsidR="00EA2338" w:rsidRDefault="00EA2338" w:rsidP="00EA2338">
      <w:pPr>
        <w:rPr>
          <w:rFonts w:cstheme="minorHAnsi"/>
          <w:lang w:val="fr-CH"/>
        </w:rPr>
      </w:pPr>
    </w:p>
    <w:p w14:paraId="03C00945" w14:textId="6FEDF053" w:rsidR="00EA2338" w:rsidRDefault="00EA2338" w:rsidP="00EA2338">
      <w:pPr>
        <w:rPr>
          <w:rFonts w:cstheme="minorHAnsi"/>
          <w:lang w:val="fr-CH"/>
        </w:rPr>
      </w:pPr>
    </w:p>
    <w:p w14:paraId="1629998A" w14:textId="0D24F2EE" w:rsidR="002B1C9D" w:rsidRPr="00EA2338" w:rsidRDefault="00EA2338" w:rsidP="00EA2338">
      <w:pPr>
        <w:tabs>
          <w:tab w:val="left" w:pos="3800"/>
        </w:tabs>
        <w:rPr>
          <w:rFonts w:cstheme="minorHAnsi"/>
          <w:lang w:val="fr-CH"/>
        </w:rPr>
      </w:pPr>
      <w:r>
        <w:rPr>
          <w:rFonts w:cstheme="minorHAnsi"/>
          <w:lang w:val="fr-CH"/>
        </w:rPr>
        <w:tab/>
      </w:r>
      <w:bookmarkStart w:id="0" w:name="_GoBack"/>
      <w:bookmarkEnd w:id="0"/>
    </w:p>
    <w:sectPr w:rsidR="002B1C9D" w:rsidRPr="00EA2338"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952BF" w14:textId="77777777" w:rsidR="001C1D25" w:rsidRDefault="001C1D25" w:rsidP="0021462B">
      <w:pPr>
        <w:spacing w:after="0" w:line="240" w:lineRule="auto"/>
      </w:pPr>
      <w:r>
        <w:separator/>
      </w:r>
    </w:p>
  </w:endnote>
  <w:endnote w:type="continuationSeparator" w:id="0">
    <w:p w14:paraId="29AEE31D" w14:textId="77777777" w:rsidR="001C1D25" w:rsidRDefault="001C1D25" w:rsidP="0021462B">
      <w:pPr>
        <w:spacing w:after="0" w:line="240" w:lineRule="auto"/>
      </w:pPr>
      <w:r>
        <w:continuationSeparator/>
      </w:r>
    </w:p>
  </w:endnote>
  <w:endnote w:type="continuationNotice" w:id="1">
    <w:p w14:paraId="2E04AF38" w14:textId="77777777" w:rsidR="001C1D25" w:rsidRDefault="001C1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6EE369A1" w:rsidR="00B05B15" w:rsidRPr="0021462B" w:rsidRDefault="00B05B15">
    <w:pPr>
      <w:pStyle w:val="Footer"/>
      <w:rPr>
        <w:sz w:val="20"/>
        <w:szCs w:val="20"/>
      </w:rPr>
    </w:pPr>
    <w:r>
      <w:rPr>
        <w:sz w:val="20"/>
        <w:szCs w:val="20"/>
      </w:rPr>
      <w:t>SC59 Rep.2</w:t>
    </w:r>
    <w:r w:rsidR="00EA2338">
      <w:rPr>
        <w:sz w:val="20"/>
        <w:szCs w:val="20"/>
      </w:rPr>
      <w:t xml:space="preserve"> </w:t>
    </w:r>
    <w:r w:rsidR="00EA2338">
      <w:rPr>
        <w:sz w:val="20"/>
        <w:szCs w:val="20"/>
      </w:rPr>
      <w:t>Rev.1</w:t>
    </w:r>
    <w:r w:rsidRPr="0021462B">
      <w:rPr>
        <w:sz w:val="20"/>
        <w:szCs w:val="20"/>
      </w:rPr>
      <w:tab/>
    </w:r>
    <w:r w:rsidRPr="0021462B">
      <w:rPr>
        <w:sz w:val="20"/>
        <w:szCs w:val="20"/>
      </w:rPr>
      <w:tab/>
    </w:r>
    <w:r>
      <w:fldChar w:fldCharType="begin"/>
    </w:r>
    <w:r>
      <w:instrText xml:space="preserve"> PAGE   \* MERGEFORMAT </w:instrText>
    </w:r>
    <w:r>
      <w:fldChar w:fldCharType="separate"/>
    </w:r>
    <w:r w:rsidR="00EA2338" w:rsidRPr="00EA2338">
      <w:rPr>
        <w:noProof/>
        <w:sz w:val="20"/>
        <w:szCs w:val="20"/>
      </w:rPr>
      <w:t>4</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13EB" w14:textId="77777777" w:rsidR="001C1D25" w:rsidRDefault="001C1D25" w:rsidP="0021462B">
      <w:pPr>
        <w:spacing w:after="0" w:line="240" w:lineRule="auto"/>
      </w:pPr>
      <w:r>
        <w:separator/>
      </w:r>
    </w:p>
  </w:footnote>
  <w:footnote w:type="continuationSeparator" w:id="0">
    <w:p w14:paraId="00B6AD61" w14:textId="77777777" w:rsidR="001C1D25" w:rsidRDefault="001C1D25" w:rsidP="0021462B">
      <w:pPr>
        <w:spacing w:after="0" w:line="240" w:lineRule="auto"/>
      </w:pPr>
      <w:r>
        <w:continuationSeparator/>
      </w:r>
    </w:p>
  </w:footnote>
  <w:footnote w:type="continuationNotice" w:id="1">
    <w:p w14:paraId="7BEB83E1" w14:textId="77777777" w:rsidR="001C1D25" w:rsidRDefault="001C1D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E500B"/>
    <w:multiLevelType w:val="hybridMultilevel"/>
    <w:tmpl w:val="E89654BE"/>
    <w:lvl w:ilvl="0" w:tplc="8A209058">
      <w:start w:val="1"/>
      <w:numFmt w:val="bullet"/>
      <w:lvlText w:val="•"/>
      <w:lvlJc w:val="left"/>
      <w:pPr>
        <w:tabs>
          <w:tab w:val="num" w:pos="720"/>
        </w:tabs>
        <w:ind w:left="720" w:hanging="360"/>
      </w:pPr>
      <w:rPr>
        <w:rFonts w:ascii="Times New Roman" w:hAnsi="Times New Roman" w:hint="default"/>
      </w:rPr>
    </w:lvl>
    <w:lvl w:ilvl="1" w:tplc="280A4A18" w:tentative="1">
      <w:start w:val="1"/>
      <w:numFmt w:val="bullet"/>
      <w:lvlText w:val="•"/>
      <w:lvlJc w:val="left"/>
      <w:pPr>
        <w:tabs>
          <w:tab w:val="num" w:pos="1440"/>
        </w:tabs>
        <w:ind w:left="1440" w:hanging="360"/>
      </w:pPr>
      <w:rPr>
        <w:rFonts w:ascii="Times New Roman" w:hAnsi="Times New Roman" w:hint="default"/>
      </w:rPr>
    </w:lvl>
    <w:lvl w:ilvl="2" w:tplc="11E009F4" w:tentative="1">
      <w:start w:val="1"/>
      <w:numFmt w:val="bullet"/>
      <w:lvlText w:val="•"/>
      <w:lvlJc w:val="left"/>
      <w:pPr>
        <w:tabs>
          <w:tab w:val="num" w:pos="2160"/>
        </w:tabs>
        <w:ind w:left="2160" w:hanging="360"/>
      </w:pPr>
      <w:rPr>
        <w:rFonts w:ascii="Times New Roman" w:hAnsi="Times New Roman" w:hint="default"/>
      </w:rPr>
    </w:lvl>
    <w:lvl w:ilvl="3" w:tplc="38FEE7EC" w:tentative="1">
      <w:start w:val="1"/>
      <w:numFmt w:val="bullet"/>
      <w:lvlText w:val="•"/>
      <w:lvlJc w:val="left"/>
      <w:pPr>
        <w:tabs>
          <w:tab w:val="num" w:pos="2880"/>
        </w:tabs>
        <w:ind w:left="2880" w:hanging="360"/>
      </w:pPr>
      <w:rPr>
        <w:rFonts w:ascii="Times New Roman" w:hAnsi="Times New Roman" w:hint="default"/>
      </w:rPr>
    </w:lvl>
    <w:lvl w:ilvl="4" w:tplc="DE38CC3A" w:tentative="1">
      <w:start w:val="1"/>
      <w:numFmt w:val="bullet"/>
      <w:lvlText w:val="•"/>
      <w:lvlJc w:val="left"/>
      <w:pPr>
        <w:tabs>
          <w:tab w:val="num" w:pos="3600"/>
        </w:tabs>
        <w:ind w:left="3600" w:hanging="360"/>
      </w:pPr>
      <w:rPr>
        <w:rFonts w:ascii="Times New Roman" w:hAnsi="Times New Roman" w:hint="default"/>
      </w:rPr>
    </w:lvl>
    <w:lvl w:ilvl="5" w:tplc="8CA08048" w:tentative="1">
      <w:start w:val="1"/>
      <w:numFmt w:val="bullet"/>
      <w:lvlText w:val="•"/>
      <w:lvlJc w:val="left"/>
      <w:pPr>
        <w:tabs>
          <w:tab w:val="num" w:pos="4320"/>
        </w:tabs>
        <w:ind w:left="4320" w:hanging="360"/>
      </w:pPr>
      <w:rPr>
        <w:rFonts w:ascii="Times New Roman" w:hAnsi="Times New Roman" w:hint="default"/>
      </w:rPr>
    </w:lvl>
    <w:lvl w:ilvl="6" w:tplc="C0BC78DA" w:tentative="1">
      <w:start w:val="1"/>
      <w:numFmt w:val="bullet"/>
      <w:lvlText w:val="•"/>
      <w:lvlJc w:val="left"/>
      <w:pPr>
        <w:tabs>
          <w:tab w:val="num" w:pos="5040"/>
        </w:tabs>
        <w:ind w:left="5040" w:hanging="360"/>
      </w:pPr>
      <w:rPr>
        <w:rFonts w:ascii="Times New Roman" w:hAnsi="Times New Roman" w:hint="default"/>
      </w:rPr>
    </w:lvl>
    <w:lvl w:ilvl="7" w:tplc="B50865D6" w:tentative="1">
      <w:start w:val="1"/>
      <w:numFmt w:val="bullet"/>
      <w:lvlText w:val="•"/>
      <w:lvlJc w:val="left"/>
      <w:pPr>
        <w:tabs>
          <w:tab w:val="num" w:pos="5760"/>
        </w:tabs>
        <w:ind w:left="5760" w:hanging="360"/>
      </w:pPr>
      <w:rPr>
        <w:rFonts w:ascii="Times New Roman" w:hAnsi="Times New Roman" w:hint="default"/>
      </w:rPr>
    </w:lvl>
    <w:lvl w:ilvl="8" w:tplc="36BC341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3"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7"/>
  </w:num>
  <w:num w:numId="3">
    <w:abstractNumId w:val="3"/>
  </w:num>
  <w:num w:numId="4">
    <w:abstractNumId w:val="31"/>
  </w:num>
  <w:num w:numId="5">
    <w:abstractNumId w:val="7"/>
  </w:num>
  <w:num w:numId="6">
    <w:abstractNumId w:val="35"/>
  </w:num>
  <w:num w:numId="7">
    <w:abstractNumId w:val="40"/>
  </w:num>
  <w:num w:numId="8">
    <w:abstractNumId w:val="6"/>
  </w:num>
  <w:num w:numId="9">
    <w:abstractNumId w:val="29"/>
  </w:num>
  <w:num w:numId="10">
    <w:abstractNumId w:val="19"/>
  </w:num>
  <w:num w:numId="11">
    <w:abstractNumId w:val="37"/>
  </w:num>
  <w:num w:numId="12">
    <w:abstractNumId w:val="4"/>
  </w:num>
  <w:num w:numId="13">
    <w:abstractNumId w:val="28"/>
  </w:num>
  <w:num w:numId="14">
    <w:abstractNumId w:val="11"/>
  </w:num>
  <w:num w:numId="15">
    <w:abstractNumId w:val="48"/>
  </w:num>
  <w:num w:numId="16">
    <w:abstractNumId w:val="30"/>
  </w:num>
  <w:num w:numId="17">
    <w:abstractNumId w:val="44"/>
  </w:num>
  <w:num w:numId="18">
    <w:abstractNumId w:val="47"/>
  </w:num>
  <w:num w:numId="19">
    <w:abstractNumId w:val="1"/>
  </w:num>
  <w:num w:numId="20">
    <w:abstractNumId w:val="25"/>
  </w:num>
  <w:num w:numId="21">
    <w:abstractNumId w:val="2"/>
  </w:num>
  <w:num w:numId="22">
    <w:abstractNumId w:val="9"/>
  </w:num>
  <w:num w:numId="23">
    <w:abstractNumId w:val="8"/>
  </w:num>
  <w:num w:numId="24">
    <w:abstractNumId w:val="14"/>
  </w:num>
  <w:num w:numId="25">
    <w:abstractNumId w:val="24"/>
  </w:num>
  <w:num w:numId="26">
    <w:abstractNumId w:val="32"/>
  </w:num>
  <w:num w:numId="27">
    <w:abstractNumId w:val="23"/>
  </w:num>
  <w:num w:numId="28">
    <w:abstractNumId w:val="5"/>
  </w:num>
  <w:num w:numId="29">
    <w:abstractNumId w:val="20"/>
  </w:num>
  <w:num w:numId="30">
    <w:abstractNumId w:val="49"/>
  </w:num>
  <w:num w:numId="31">
    <w:abstractNumId w:val="33"/>
  </w:num>
  <w:num w:numId="32">
    <w:abstractNumId w:val="18"/>
  </w:num>
  <w:num w:numId="33">
    <w:abstractNumId w:val="15"/>
  </w:num>
  <w:num w:numId="34">
    <w:abstractNumId w:val="17"/>
  </w:num>
  <w:num w:numId="35">
    <w:abstractNumId w:val="42"/>
  </w:num>
  <w:num w:numId="36">
    <w:abstractNumId w:val="46"/>
  </w:num>
  <w:num w:numId="37">
    <w:abstractNumId w:val="0"/>
  </w:num>
  <w:num w:numId="38">
    <w:abstractNumId w:val="3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5"/>
  </w:num>
  <w:num w:numId="48">
    <w:abstractNumId w:val="26"/>
  </w:num>
  <w:num w:numId="49">
    <w:abstractNumId w:val="41"/>
  </w:num>
  <w:num w:numId="50">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454"/>
    <w:rsid w:val="00040BFC"/>
    <w:rsid w:val="00051460"/>
    <w:rsid w:val="00052163"/>
    <w:rsid w:val="00052A2A"/>
    <w:rsid w:val="00065D01"/>
    <w:rsid w:val="0008003D"/>
    <w:rsid w:val="0008257D"/>
    <w:rsid w:val="00094BD4"/>
    <w:rsid w:val="00096C8C"/>
    <w:rsid w:val="000A5B19"/>
    <w:rsid w:val="000A739B"/>
    <w:rsid w:val="000B5097"/>
    <w:rsid w:val="000C31CF"/>
    <w:rsid w:val="000D6619"/>
    <w:rsid w:val="000E0D43"/>
    <w:rsid w:val="000E0EDD"/>
    <w:rsid w:val="000E1B66"/>
    <w:rsid w:val="000E1F64"/>
    <w:rsid w:val="000E57AD"/>
    <w:rsid w:val="000E621C"/>
    <w:rsid w:val="000F08CF"/>
    <w:rsid w:val="000F0DA6"/>
    <w:rsid w:val="000F6A3D"/>
    <w:rsid w:val="000F768E"/>
    <w:rsid w:val="00100CFF"/>
    <w:rsid w:val="001048C0"/>
    <w:rsid w:val="00105953"/>
    <w:rsid w:val="00111E9F"/>
    <w:rsid w:val="0011266F"/>
    <w:rsid w:val="00113818"/>
    <w:rsid w:val="00121C24"/>
    <w:rsid w:val="0012586E"/>
    <w:rsid w:val="001265C8"/>
    <w:rsid w:val="001266DB"/>
    <w:rsid w:val="00130E47"/>
    <w:rsid w:val="00131D19"/>
    <w:rsid w:val="00135706"/>
    <w:rsid w:val="00135C9D"/>
    <w:rsid w:val="00141FBB"/>
    <w:rsid w:val="001436BD"/>
    <w:rsid w:val="00152DA6"/>
    <w:rsid w:val="0017223F"/>
    <w:rsid w:val="0017411A"/>
    <w:rsid w:val="001833DC"/>
    <w:rsid w:val="00185088"/>
    <w:rsid w:val="00197D9D"/>
    <w:rsid w:val="001A1A5D"/>
    <w:rsid w:val="001A6E83"/>
    <w:rsid w:val="001B1CCF"/>
    <w:rsid w:val="001C1D25"/>
    <w:rsid w:val="001C643C"/>
    <w:rsid w:val="001C70EF"/>
    <w:rsid w:val="001D3415"/>
    <w:rsid w:val="001E31B7"/>
    <w:rsid w:val="001E7082"/>
    <w:rsid w:val="001E7F06"/>
    <w:rsid w:val="001F595A"/>
    <w:rsid w:val="002035A8"/>
    <w:rsid w:val="00204321"/>
    <w:rsid w:val="0020647A"/>
    <w:rsid w:val="00211A0E"/>
    <w:rsid w:val="00212BA9"/>
    <w:rsid w:val="00213A8D"/>
    <w:rsid w:val="0021462B"/>
    <w:rsid w:val="00216CC1"/>
    <w:rsid w:val="00234A2B"/>
    <w:rsid w:val="00242978"/>
    <w:rsid w:val="0024341A"/>
    <w:rsid w:val="00250708"/>
    <w:rsid w:val="002566E0"/>
    <w:rsid w:val="002620FA"/>
    <w:rsid w:val="002676BB"/>
    <w:rsid w:val="00277224"/>
    <w:rsid w:val="00294A7E"/>
    <w:rsid w:val="002B1C9D"/>
    <w:rsid w:val="002B333B"/>
    <w:rsid w:val="002B506E"/>
    <w:rsid w:val="002B5392"/>
    <w:rsid w:val="002B5D8A"/>
    <w:rsid w:val="002C1330"/>
    <w:rsid w:val="002C18F1"/>
    <w:rsid w:val="002C1D8B"/>
    <w:rsid w:val="002C46E8"/>
    <w:rsid w:val="002C5040"/>
    <w:rsid w:val="002D1A0A"/>
    <w:rsid w:val="002D3C07"/>
    <w:rsid w:val="002D70BA"/>
    <w:rsid w:val="002E3F8A"/>
    <w:rsid w:val="002E7E09"/>
    <w:rsid w:val="002F178E"/>
    <w:rsid w:val="002F4712"/>
    <w:rsid w:val="00300945"/>
    <w:rsid w:val="00300A09"/>
    <w:rsid w:val="00307696"/>
    <w:rsid w:val="00311EA4"/>
    <w:rsid w:val="00316FB0"/>
    <w:rsid w:val="00322898"/>
    <w:rsid w:val="0032300E"/>
    <w:rsid w:val="00324094"/>
    <w:rsid w:val="003323C2"/>
    <w:rsid w:val="003365A5"/>
    <w:rsid w:val="003370DB"/>
    <w:rsid w:val="0034026E"/>
    <w:rsid w:val="00347B02"/>
    <w:rsid w:val="0035592B"/>
    <w:rsid w:val="00360D78"/>
    <w:rsid w:val="00362114"/>
    <w:rsid w:val="00367A4B"/>
    <w:rsid w:val="00370B73"/>
    <w:rsid w:val="003713EF"/>
    <w:rsid w:val="0037435C"/>
    <w:rsid w:val="00374368"/>
    <w:rsid w:val="00376AEA"/>
    <w:rsid w:val="00390176"/>
    <w:rsid w:val="003B2460"/>
    <w:rsid w:val="003B6911"/>
    <w:rsid w:val="003B6C18"/>
    <w:rsid w:val="003C0E3F"/>
    <w:rsid w:val="003C32B7"/>
    <w:rsid w:val="003C4862"/>
    <w:rsid w:val="003F6F4D"/>
    <w:rsid w:val="00400D96"/>
    <w:rsid w:val="00403150"/>
    <w:rsid w:val="00403D87"/>
    <w:rsid w:val="0041000E"/>
    <w:rsid w:val="00416BFE"/>
    <w:rsid w:val="00434D8C"/>
    <w:rsid w:val="00440B38"/>
    <w:rsid w:val="00447AD1"/>
    <w:rsid w:val="0045457C"/>
    <w:rsid w:val="00456B09"/>
    <w:rsid w:val="004608D6"/>
    <w:rsid w:val="0046661F"/>
    <w:rsid w:val="00480A12"/>
    <w:rsid w:val="00486AD0"/>
    <w:rsid w:val="004872A3"/>
    <w:rsid w:val="004A1C5E"/>
    <w:rsid w:val="004A3EEF"/>
    <w:rsid w:val="004A6E99"/>
    <w:rsid w:val="004A701D"/>
    <w:rsid w:val="004B16FF"/>
    <w:rsid w:val="004C2E9B"/>
    <w:rsid w:val="004D20C6"/>
    <w:rsid w:val="004E28BD"/>
    <w:rsid w:val="004E7B4B"/>
    <w:rsid w:val="004F6252"/>
    <w:rsid w:val="0053592E"/>
    <w:rsid w:val="00541DD8"/>
    <w:rsid w:val="00543BF9"/>
    <w:rsid w:val="00545238"/>
    <w:rsid w:val="0054557E"/>
    <w:rsid w:val="0054722F"/>
    <w:rsid w:val="005502D7"/>
    <w:rsid w:val="00550CBA"/>
    <w:rsid w:val="00554312"/>
    <w:rsid w:val="00554838"/>
    <w:rsid w:val="00560999"/>
    <w:rsid w:val="00583A38"/>
    <w:rsid w:val="00584154"/>
    <w:rsid w:val="00584301"/>
    <w:rsid w:val="005936F1"/>
    <w:rsid w:val="005A3D2D"/>
    <w:rsid w:val="005A4B27"/>
    <w:rsid w:val="005B4766"/>
    <w:rsid w:val="005C32B7"/>
    <w:rsid w:val="005C3E7C"/>
    <w:rsid w:val="005C4477"/>
    <w:rsid w:val="005D055F"/>
    <w:rsid w:val="005D1FDD"/>
    <w:rsid w:val="005D5335"/>
    <w:rsid w:val="005E33B1"/>
    <w:rsid w:val="005E38DF"/>
    <w:rsid w:val="005E529E"/>
    <w:rsid w:val="005E61C6"/>
    <w:rsid w:val="005F4C17"/>
    <w:rsid w:val="00601B54"/>
    <w:rsid w:val="0061113C"/>
    <w:rsid w:val="006208DD"/>
    <w:rsid w:val="006211E5"/>
    <w:rsid w:val="00624F00"/>
    <w:rsid w:val="00630910"/>
    <w:rsid w:val="00633E8E"/>
    <w:rsid w:val="0064056B"/>
    <w:rsid w:val="006523E7"/>
    <w:rsid w:val="00655353"/>
    <w:rsid w:val="0065637A"/>
    <w:rsid w:val="0066515D"/>
    <w:rsid w:val="00665235"/>
    <w:rsid w:val="006666D2"/>
    <w:rsid w:val="00666C2B"/>
    <w:rsid w:val="00667D01"/>
    <w:rsid w:val="00670978"/>
    <w:rsid w:val="00675BFB"/>
    <w:rsid w:val="0068291E"/>
    <w:rsid w:val="00683D21"/>
    <w:rsid w:val="00694026"/>
    <w:rsid w:val="00696420"/>
    <w:rsid w:val="006A020D"/>
    <w:rsid w:val="006A157B"/>
    <w:rsid w:val="006A46EA"/>
    <w:rsid w:val="006A7A89"/>
    <w:rsid w:val="006B3DD2"/>
    <w:rsid w:val="006B3FC3"/>
    <w:rsid w:val="006B72EB"/>
    <w:rsid w:val="006B761D"/>
    <w:rsid w:val="006C022D"/>
    <w:rsid w:val="006F28D9"/>
    <w:rsid w:val="006F5E92"/>
    <w:rsid w:val="00714348"/>
    <w:rsid w:val="00714E5E"/>
    <w:rsid w:val="0072363D"/>
    <w:rsid w:val="00727C91"/>
    <w:rsid w:val="00727E7C"/>
    <w:rsid w:val="007439FE"/>
    <w:rsid w:val="007460D1"/>
    <w:rsid w:val="00747705"/>
    <w:rsid w:val="00750EF2"/>
    <w:rsid w:val="00753EB2"/>
    <w:rsid w:val="007546F8"/>
    <w:rsid w:val="007564EF"/>
    <w:rsid w:val="0076043D"/>
    <w:rsid w:val="0076130E"/>
    <w:rsid w:val="00764A77"/>
    <w:rsid w:val="00764D6F"/>
    <w:rsid w:val="00781BED"/>
    <w:rsid w:val="00783E5D"/>
    <w:rsid w:val="0078588B"/>
    <w:rsid w:val="0079003D"/>
    <w:rsid w:val="0079208E"/>
    <w:rsid w:val="00793277"/>
    <w:rsid w:val="00793C93"/>
    <w:rsid w:val="0079631C"/>
    <w:rsid w:val="007A0A3F"/>
    <w:rsid w:val="007A4532"/>
    <w:rsid w:val="007A6FBF"/>
    <w:rsid w:val="007B277C"/>
    <w:rsid w:val="007C7939"/>
    <w:rsid w:val="007D30A0"/>
    <w:rsid w:val="007F6563"/>
    <w:rsid w:val="008077DC"/>
    <w:rsid w:val="0081547F"/>
    <w:rsid w:val="008156F0"/>
    <w:rsid w:val="008179A1"/>
    <w:rsid w:val="00831663"/>
    <w:rsid w:val="0083600D"/>
    <w:rsid w:val="008410FE"/>
    <w:rsid w:val="00852EBE"/>
    <w:rsid w:val="008615C1"/>
    <w:rsid w:val="008804A8"/>
    <w:rsid w:val="00881410"/>
    <w:rsid w:val="00882E05"/>
    <w:rsid w:val="008865A7"/>
    <w:rsid w:val="00890A37"/>
    <w:rsid w:val="0089482D"/>
    <w:rsid w:val="00895030"/>
    <w:rsid w:val="008A2242"/>
    <w:rsid w:val="008B11C2"/>
    <w:rsid w:val="008B6CF3"/>
    <w:rsid w:val="008C1127"/>
    <w:rsid w:val="008C2486"/>
    <w:rsid w:val="008C4907"/>
    <w:rsid w:val="008D116B"/>
    <w:rsid w:val="008E2CB2"/>
    <w:rsid w:val="008E35E3"/>
    <w:rsid w:val="008F6B52"/>
    <w:rsid w:val="00906E1C"/>
    <w:rsid w:val="00921422"/>
    <w:rsid w:val="00925E93"/>
    <w:rsid w:val="00933D94"/>
    <w:rsid w:val="00937A42"/>
    <w:rsid w:val="00940EE2"/>
    <w:rsid w:val="0094347C"/>
    <w:rsid w:val="009549BE"/>
    <w:rsid w:val="00955177"/>
    <w:rsid w:val="00956EFE"/>
    <w:rsid w:val="009643B7"/>
    <w:rsid w:val="00965639"/>
    <w:rsid w:val="00976B31"/>
    <w:rsid w:val="00987BD7"/>
    <w:rsid w:val="009A0A9D"/>
    <w:rsid w:val="009A6EDB"/>
    <w:rsid w:val="009B0705"/>
    <w:rsid w:val="009B1DB4"/>
    <w:rsid w:val="009B262C"/>
    <w:rsid w:val="009C33E8"/>
    <w:rsid w:val="009C5EC5"/>
    <w:rsid w:val="009C6DA8"/>
    <w:rsid w:val="009D2D9B"/>
    <w:rsid w:val="009D41B6"/>
    <w:rsid w:val="009E05DB"/>
    <w:rsid w:val="00A143F1"/>
    <w:rsid w:val="00A21C0C"/>
    <w:rsid w:val="00A250BF"/>
    <w:rsid w:val="00A304EB"/>
    <w:rsid w:val="00A355F3"/>
    <w:rsid w:val="00A35D1B"/>
    <w:rsid w:val="00A47A1A"/>
    <w:rsid w:val="00A52F87"/>
    <w:rsid w:val="00A54897"/>
    <w:rsid w:val="00A56B91"/>
    <w:rsid w:val="00A86464"/>
    <w:rsid w:val="00A86EA6"/>
    <w:rsid w:val="00A900FF"/>
    <w:rsid w:val="00A903E7"/>
    <w:rsid w:val="00A93866"/>
    <w:rsid w:val="00A97DC2"/>
    <w:rsid w:val="00AB1DEB"/>
    <w:rsid w:val="00AB2ED7"/>
    <w:rsid w:val="00AB525F"/>
    <w:rsid w:val="00AB5C7C"/>
    <w:rsid w:val="00AC363F"/>
    <w:rsid w:val="00AD14BC"/>
    <w:rsid w:val="00AD3D63"/>
    <w:rsid w:val="00AD701A"/>
    <w:rsid w:val="00AD793E"/>
    <w:rsid w:val="00AE707B"/>
    <w:rsid w:val="00B05B15"/>
    <w:rsid w:val="00B27D50"/>
    <w:rsid w:val="00B3294C"/>
    <w:rsid w:val="00B3611F"/>
    <w:rsid w:val="00B475AA"/>
    <w:rsid w:val="00B47721"/>
    <w:rsid w:val="00B52919"/>
    <w:rsid w:val="00B60302"/>
    <w:rsid w:val="00B62467"/>
    <w:rsid w:val="00B70D29"/>
    <w:rsid w:val="00B76D18"/>
    <w:rsid w:val="00B77951"/>
    <w:rsid w:val="00B80455"/>
    <w:rsid w:val="00B83816"/>
    <w:rsid w:val="00B8638A"/>
    <w:rsid w:val="00B97795"/>
    <w:rsid w:val="00BA0294"/>
    <w:rsid w:val="00BA0BD3"/>
    <w:rsid w:val="00BA7AAC"/>
    <w:rsid w:val="00BB005D"/>
    <w:rsid w:val="00BB135B"/>
    <w:rsid w:val="00BB542E"/>
    <w:rsid w:val="00BC304E"/>
    <w:rsid w:val="00BC378A"/>
    <w:rsid w:val="00BC5FF3"/>
    <w:rsid w:val="00BC6DB6"/>
    <w:rsid w:val="00BD300C"/>
    <w:rsid w:val="00BE2067"/>
    <w:rsid w:val="00BE2ABC"/>
    <w:rsid w:val="00BF06D5"/>
    <w:rsid w:val="00BF4488"/>
    <w:rsid w:val="00BF73AC"/>
    <w:rsid w:val="00C03FA9"/>
    <w:rsid w:val="00C04BED"/>
    <w:rsid w:val="00C05D05"/>
    <w:rsid w:val="00C115B5"/>
    <w:rsid w:val="00C1221D"/>
    <w:rsid w:val="00C21FDF"/>
    <w:rsid w:val="00C27F80"/>
    <w:rsid w:val="00C330B5"/>
    <w:rsid w:val="00C56683"/>
    <w:rsid w:val="00C602BE"/>
    <w:rsid w:val="00C611B3"/>
    <w:rsid w:val="00C64C2B"/>
    <w:rsid w:val="00C67876"/>
    <w:rsid w:val="00C73282"/>
    <w:rsid w:val="00C92D16"/>
    <w:rsid w:val="00CA2333"/>
    <w:rsid w:val="00CA36D1"/>
    <w:rsid w:val="00CA3BDB"/>
    <w:rsid w:val="00CC2E79"/>
    <w:rsid w:val="00CC30D5"/>
    <w:rsid w:val="00CC3C70"/>
    <w:rsid w:val="00CC6DB5"/>
    <w:rsid w:val="00CE3C87"/>
    <w:rsid w:val="00CF0FE8"/>
    <w:rsid w:val="00CF30CB"/>
    <w:rsid w:val="00CF310D"/>
    <w:rsid w:val="00D1200F"/>
    <w:rsid w:val="00D163CF"/>
    <w:rsid w:val="00D20B2A"/>
    <w:rsid w:val="00D2704A"/>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2204"/>
    <w:rsid w:val="00DA3496"/>
    <w:rsid w:val="00DA7386"/>
    <w:rsid w:val="00DB5E67"/>
    <w:rsid w:val="00DC0076"/>
    <w:rsid w:val="00DC6E49"/>
    <w:rsid w:val="00DE0587"/>
    <w:rsid w:val="00DE252E"/>
    <w:rsid w:val="00DE3186"/>
    <w:rsid w:val="00DF7D6D"/>
    <w:rsid w:val="00E02F47"/>
    <w:rsid w:val="00E21EC0"/>
    <w:rsid w:val="00E22DAF"/>
    <w:rsid w:val="00E2616F"/>
    <w:rsid w:val="00E31C61"/>
    <w:rsid w:val="00E378D8"/>
    <w:rsid w:val="00E37D85"/>
    <w:rsid w:val="00E4592A"/>
    <w:rsid w:val="00E460D8"/>
    <w:rsid w:val="00E57C18"/>
    <w:rsid w:val="00E64244"/>
    <w:rsid w:val="00E6583E"/>
    <w:rsid w:val="00E70BFC"/>
    <w:rsid w:val="00E76DCA"/>
    <w:rsid w:val="00E76E03"/>
    <w:rsid w:val="00E828ED"/>
    <w:rsid w:val="00E8665D"/>
    <w:rsid w:val="00E875D4"/>
    <w:rsid w:val="00EA0885"/>
    <w:rsid w:val="00EA2338"/>
    <w:rsid w:val="00EA7EA8"/>
    <w:rsid w:val="00EB30BD"/>
    <w:rsid w:val="00EB42C7"/>
    <w:rsid w:val="00EB5383"/>
    <w:rsid w:val="00EB67D8"/>
    <w:rsid w:val="00EC300B"/>
    <w:rsid w:val="00EC46D8"/>
    <w:rsid w:val="00ED22B7"/>
    <w:rsid w:val="00EE7105"/>
    <w:rsid w:val="00EF071C"/>
    <w:rsid w:val="00F00092"/>
    <w:rsid w:val="00F20BB8"/>
    <w:rsid w:val="00F22DC9"/>
    <w:rsid w:val="00F30FE7"/>
    <w:rsid w:val="00F36427"/>
    <w:rsid w:val="00F43279"/>
    <w:rsid w:val="00F4437B"/>
    <w:rsid w:val="00F47CB0"/>
    <w:rsid w:val="00F530AD"/>
    <w:rsid w:val="00F54191"/>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033E"/>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4DB96"/>
  <w15:docId w15:val="{E8E4099A-5506-4C83-8846-B28D755D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06B1341-9A43-4D56-A22D-27730D8BDC44}">
  <ds:schemaRefs>
    <ds:schemaRef ds:uri="8c0b6b05-eb82-4bda-97e8-cd82d0d6b453"/>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20013-D336-49FC-A79E-27661616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9616</Characters>
  <Application>Microsoft Office Word</Application>
  <DocSecurity>4</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Temp</dc:creator>
  <cp:lastModifiedBy>Ed Jennings</cp:lastModifiedBy>
  <cp:revision>2</cp:revision>
  <cp:lastPrinted>2019-06-25T19:33:00Z</cp:lastPrinted>
  <dcterms:created xsi:type="dcterms:W3CDTF">2021-06-25T10:43:00Z</dcterms:created>
  <dcterms:modified xsi:type="dcterms:W3CDTF">2021-06-25T10:43:00Z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