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3018C" w14:textId="77777777" w:rsidR="00135706" w:rsidRPr="00135706" w:rsidRDefault="0089756E"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Pr>
          <w:rFonts w:cstheme="minorHAnsi"/>
          <w:bCs/>
        </w:rPr>
        <w:t>THE</w:t>
      </w:r>
      <w:r w:rsidR="00135706" w:rsidRPr="00135706">
        <w:rPr>
          <w:rFonts w:cstheme="minorHAnsi"/>
          <w:bCs/>
        </w:rPr>
        <w:t xml:space="preserve"> CONVENTION ON WETLANDS</w:t>
      </w:r>
    </w:p>
    <w:p w14:paraId="155F2BB5" w14:textId="77777777" w:rsidR="00135706" w:rsidRPr="00135706" w:rsidRDefault="00135706"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5</w:t>
      </w:r>
      <w:r w:rsidR="00111E9F">
        <w:rPr>
          <w:rFonts w:cstheme="minorHAnsi"/>
          <w:bCs/>
        </w:rPr>
        <w:t>9</w:t>
      </w:r>
      <w:r w:rsidRPr="00135706">
        <w:rPr>
          <w:rFonts w:cstheme="minorHAnsi"/>
          <w:bCs/>
        </w:rPr>
        <w:t>th Meeting of the Standing Committee</w:t>
      </w:r>
    </w:p>
    <w:p w14:paraId="7F1C7C0B" w14:textId="77777777" w:rsidR="00135706" w:rsidRPr="00135706" w:rsidRDefault="00135706"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Gland, Switzerland, 2</w:t>
      </w:r>
      <w:r w:rsidR="00111E9F">
        <w:rPr>
          <w:rFonts w:cstheme="minorHAnsi"/>
          <w:bCs/>
        </w:rPr>
        <w:t>1</w:t>
      </w:r>
      <w:r w:rsidRPr="00135706">
        <w:rPr>
          <w:rFonts w:cstheme="minorHAnsi"/>
          <w:bCs/>
        </w:rPr>
        <w:t xml:space="preserve"> – 2</w:t>
      </w:r>
      <w:r w:rsidR="00111E9F">
        <w:rPr>
          <w:rFonts w:cstheme="minorHAnsi"/>
          <w:bCs/>
        </w:rPr>
        <w:t>5</w:t>
      </w:r>
      <w:r w:rsidRPr="00135706">
        <w:rPr>
          <w:rFonts w:cstheme="minorHAnsi"/>
          <w:bCs/>
        </w:rPr>
        <w:t xml:space="preserve"> </w:t>
      </w:r>
      <w:r w:rsidR="00D84F77">
        <w:rPr>
          <w:rFonts w:cstheme="minorHAnsi"/>
          <w:bCs/>
        </w:rPr>
        <w:t>June</w:t>
      </w:r>
      <w:r w:rsidRPr="00135706">
        <w:rPr>
          <w:rFonts w:cstheme="minorHAnsi"/>
          <w:bCs/>
        </w:rPr>
        <w:t xml:space="preserve"> </w:t>
      </w:r>
      <w:r w:rsidR="00D84F77">
        <w:rPr>
          <w:rFonts w:cstheme="minorHAnsi"/>
          <w:bCs/>
        </w:rPr>
        <w:t>20</w:t>
      </w:r>
      <w:r w:rsidR="00EB5383">
        <w:rPr>
          <w:rFonts w:cstheme="minorHAnsi"/>
          <w:bCs/>
        </w:rPr>
        <w:t>21</w:t>
      </w:r>
    </w:p>
    <w:p w14:paraId="02CFA22B" w14:textId="77777777" w:rsidR="00135706" w:rsidRPr="00135706" w:rsidRDefault="00135706" w:rsidP="0012586E">
      <w:pPr>
        <w:spacing w:after="0" w:line="240" w:lineRule="auto"/>
        <w:rPr>
          <w:rFonts w:cstheme="minorHAnsi"/>
          <w:b/>
          <w:sz w:val="28"/>
          <w:szCs w:val="28"/>
        </w:rPr>
      </w:pPr>
    </w:p>
    <w:p w14:paraId="728CFBF2" w14:textId="3184ABA9" w:rsidR="00584301" w:rsidRDefault="00584301" w:rsidP="0012586E">
      <w:pPr>
        <w:spacing w:after="0" w:line="240" w:lineRule="auto"/>
        <w:jc w:val="right"/>
        <w:rPr>
          <w:rFonts w:cstheme="minorHAnsi"/>
          <w:b/>
          <w:sz w:val="28"/>
          <w:szCs w:val="28"/>
        </w:rPr>
      </w:pPr>
      <w:r>
        <w:rPr>
          <w:rFonts w:cstheme="minorHAnsi"/>
          <w:b/>
          <w:sz w:val="28"/>
          <w:szCs w:val="28"/>
        </w:rPr>
        <w:t>SC59 Rep.</w:t>
      </w:r>
      <w:r w:rsidR="002F178E">
        <w:rPr>
          <w:rFonts w:cstheme="minorHAnsi"/>
          <w:b/>
          <w:sz w:val="28"/>
          <w:szCs w:val="28"/>
        </w:rPr>
        <w:t>2</w:t>
      </w:r>
      <w:bookmarkStart w:id="0" w:name="_GoBack"/>
      <w:bookmarkEnd w:id="0"/>
      <w:r w:rsidR="005D5F5D">
        <w:rPr>
          <w:rFonts w:cstheme="minorHAnsi"/>
          <w:b/>
          <w:sz w:val="28"/>
          <w:szCs w:val="28"/>
        </w:rPr>
        <w:t xml:space="preserve"> Rev</w:t>
      </w:r>
      <w:r w:rsidR="009B37ED">
        <w:rPr>
          <w:rFonts w:cstheme="minorHAnsi"/>
          <w:b/>
          <w:sz w:val="28"/>
          <w:szCs w:val="28"/>
        </w:rPr>
        <w:t>.</w:t>
      </w:r>
      <w:r w:rsidR="005D5F5D">
        <w:rPr>
          <w:rFonts w:cstheme="minorHAnsi"/>
          <w:b/>
          <w:sz w:val="28"/>
          <w:szCs w:val="28"/>
        </w:rPr>
        <w:t>1</w:t>
      </w:r>
    </w:p>
    <w:p w14:paraId="25AA7931" w14:textId="77777777" w:rsidR="00584301" w:rsidRDefault="00584301" w:rsidP="0012586E">
      <w:pPr>
        <w:spacing w:after="0" w:line="240" w:lineRule="auto"/>
        <w:jc w:val="center"/>
        <w:rPr>
          <w:rFonts w:cstheme="minorHAnsi"/>
          <w:b/>
          <w:sz w:val="28"/>
          <w:szCs w:val="28"/>
        </w:rPr>
      </w:pPr>
    </w:p>
    <w:p w14:paraId="17F8042D" w14:textId="77777777" w:rsidR="00135706" w:rsidRPr="00135706" w:rsidRDefault="00135706" w:rsidP="0012586E">
      <w:pPr>
        <w:spacing w:after="0" w:line="240" w:lineRule="auto"/>
        <w:jc w:val="center"/>
        <w:rPr>
          <w:rFonts w:cstheme="minorHAnsi"/>
          <w:b/>
        </w:rPr>
      </w:pPr>
      <w:r w:rsidRPr="00135706">
        <w:rPr>
          <w:rFonts w:cstheme="minorHAnsi"/>
          <w:b/>
          <w:sz w:val="28"/>
          <w:szCs w:val="28"/>
        </w:rPr>
        <w:t xml:space="preserve">Report and Decisions of the </w:t>
      </w:r>
      <w:r>
        <w:rPr>
          <w:rFonts w:cstheme="minorHAnsi"/>
          <w:b/>
          <w:sz w:val="28"/>
          <w:szCs w:val="28"/>
        </w:rPr>
        <w:t>5</w:t>
      </w:r>
      <w:r w:rsidR="00111E9F">
        <w:rPr>
          <w:rFonts w:cstheme="minorHAnsi"/>
          <w:b/>
          <w:sz w:val="28"/>
          <w:szCs w:val="28"/>
        </w:rPr>
        <w:t>9</w:t>
      </w:r>
      <w:r w:rsidRPr="00135706">
        <w:rPr>
          <w:rFonts w:cstheme="minorHAnsi"/>
          <w:b/>
          <w:sz w:val="28"/>
          <w:szCs w:val="28"/>
        </w:rPr>
        <w:t xml:space="preserve">th Meeting </w:t>
      </w:r>
      <w:r w:rsidR="00FC0D43">
        <w:rPr>
          <w:rFonts w:cstheme="minorHAnsi"/>
          <w:b/>
          <w:sz w:val="28"/>
          <w:szCs w:val="28"/>
        </w:rPr>
        <w:br/>
      </w:r>
      <w:r w:rsidRPr="00135706">
        <w:rPr>
          <w:rFonts w:cstheme="minorHAnsi"/>
          <w:b/>
          <w:sz w:val="28"/>
          <w:szCs w:val="28"/>
        </w:rPr>
        <w:t>of</w:t>
      </w:r>
      <w:r w:rsidR="001436BD">
        <w:rPr>
          <w:rFonts w:cstheme="minorHAnsi"/>
          <w:b/>
          <w:sz w:val="28"/>
          <w:szCs w:val="28"/>
        </w:rPr>
        <w:t xml:space="preserve"> </w:t>
      </w:r>
      <w:r w:rsidRPr="00135706">
        <w:rPr>
          <w:rFonts w:cstheme="minorHAnsi"/>
          <w:b/>
          <w:sz w:val="28"/>
          <w:szCs w:val="28"/>
        </w:rPr>
        <w:t>the Standing Committee</w:t>
      </w:r>
    </w:p>
    <w:p w14:paraId="20C4EEBE" w14:textId="77777777" w:rsidR="00135706" w:rsidRPr="00135706" w:rsidRDefault="00135706" w:rsidP="0012586E">
      <w:pPr>
        <w:spacing w:after="0" w:line="240" w:lineRule="auto"/>
        <w:rPr>
          <w:rFonts w:cstheme="minorHAnsi"/>
          <w:b/>
        </w:rPr>
      </w:pPr>
    </w:p>
    <w:p w14:paraId="3E07B1EF" w14:textId="77777777" w:rsidR="00135706" w:rsidRPr="00135706" w:rsidRDefault="00135706" w:rsidP="0012586E">
      <w:pPr>
        <w:spacing w:after="0" w:line="240" w:lineRule="auto"/>
        <w:outlineLvl w:val="0"/>
        <w:rPr>
          <w:rFonts w:cstheme="minorHAnsi"/>
          <w:b/>
        </w:rPr>
      </w:pPr>
    </w:p>
    <w:p w14:paraId="4841FF88" w14:textId="77777777" w:rsidR="00135706" w:rsidRPr="00135706" w:rsidRDefault="002F178E" w:rsidP="0012586E">
      <w:pPr>
        <w:keepNext/>
        <w:spacing w:after="0" w:line="240" w:lineRule="auto"/>
        <w:outlineLvl w:val="0"/>
        <w:rPr>
          <w:rFonts w:cstheme="minorHAnsi"/>
          <w:b/>
        </w:rPr>
      </w:pPr>
      <w:r>
        <w:rPr>
          <w:rFonts w:cstheme="minorHAnsi"/>
          <w:b/>
        </w:rPr>
        <w:t>Wednesday 23</w:t>
      </w:r>
      <w:r w:rsidR="00135706">
        <w:rPr>
          <w:rFonts w:cstheme="minorHAnsi"/>
          <w:b/>
        </w:rPr>
        <w:t xml:space="preserve"> June 20</w:t>
      </w:r>
      <w:r w:rsidR="00EB5383">
        <w:rPr>
          <w:rFonts w:cstheme="minorHAnsi"/>
          <w:b/>
        </w:rPr>
        <w:t>21</w:t>
      </w:r>
    </w:p>
    <w:p w14:paraId="26F4D8DA" w14:textId="77777777" w:rsidR="00135706" w:rsidRPr="00135706" w:rsidRDefault="00135706" w:rsidP="0012586E">
      <w:pPr>
        <w:keepNext/>
        <w:spacing w:after="0" w:line="240" w:lineRule="auto"/>
        <w:rPr>
          <w:rFonts w:cstheme="minorHAnsi"/>
          <w:b/>
        </w:rPr>
      </w:pPr>
    </w:p>
    <w:p w14:paraId="1A2FF1DF" w14:textId="77777777" w:rsidR="00135706" w:rsidRPr="00135706" w:rsidRDefault="00135706" w:rsidP="0012586E">
      <w:pPr>
        <w:keepNext/>
        <w:spacing w:after="0" w:line="240" w:lineRule="auto"/>
        <w:rPr>
          <w:rFonts w:cstheme="minorHAnsi"/>
          <w:b/>
          <w:bCs/>
        </w:rPr>
      </w:pPr>
      <w:r>
        <w:rPr>
          <w:rFonts w:cstheme="minorHAnsi"/>
          <w:b/>
        </w:rPr>
        <w:t>1</w:t>
      </w:r>
      <w:r w:rsidR="00EB5383">
        <w:rPr>
          <w:rFonts w:cstheme="minorHAnsi"/>
          <w:b/>
        </w:rPr>
        <w:t>3</w:t>
      </w:r>
      <w:r>
        <w:rPr>
          <w:rFonts w:cstheme="minorHAnsi"/>
          <w:b/>
        </w:rPr>
        <w:t>:00</w:t>
      </w:r>
      <w:r w:rsidRPr="00135706">
        <w:rPr>
          <w:rFonts w:cstheme="minorHAnsi"/>
          <w:b/>
        </w:rPr>
        <w:t xml:space="preserve"> – 1</w:t>
      </w:r>
      <w:r w:rsidR="00EB5383">
        <w:rPr>
          <w:rFonts w:cstheme="minorHAnsi"/>
          <w:b/>
        </w:rPr>
        <w:t>6</w:t>
      </w:r>
      <w:r w:rsidRPr="00135706">
        <w:rPr>
          <w:rFonts w:cstheme="minorHAnsi"/>
          <w:b/>
        </w:rPr>
        <w:t xml:space="preserve">:00 </w:t>
      </w:r>
      <w:r w:rsidRPr="00135706">
        <w:rPr>
          <w:rFonts w:cstheme="minorHAnsi"/>
          <w:b/>
        </w:rPr>
        <w:tab/>
        <w:t>Plenary Session</w:t>
      </w:r>
      <w:r w:rsidRPr="00135706">
        <w:rPr>
          <w:rFonts w:cstheme="minorHAnsi"/>
          <w:bCs/>
        </w:rPr>
        <w:t xml:space="preserve"> </w:t>
      </w:r>
      <w:r w:rsidRPr="00135706">
        <w:rPr>
          <w:rFonts w:cstheme="minorHAnsi"/>
          <w:b/>
          <w:bCs/>
        </w:rPr>
        <w:t>of the Standing Committee</w:t>
      </w:r>
    </w:p>
    <w:p w14:paraId="3C5EC736" w14:textId="77777777" w:rsidR="00135706" w:rsidRPr="00135706" w:rsidRDefault="00135706" w:rsidP="0012586E">
      <w:pPr>
        <w:keepNext/>
        <w:spacing w:after="0" w:line="240" w:lineRule="auto"/>
        <w:rPr>
          <w:rFonts w:cstheme="minorHAnsi"/>
        </w:rPr>
      </w:pPr>
    </w:p>
    <w:p w14:paraId="1B0D3C3C" w14:textId="77777777" w:rsidR="002F178E" w:rsidRDefault="002F178E" w:rsidP="001258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F178E">
        <w:rPr>
          <w:rFonts w:cstheme="minorHAnsi"/>
          <w:bCs/>
        </w:rPr>
        <w:t>Follow up from previous day:</w:t>
      </w:r>
      <w:r>
        <w:rPr>
          <w:rFonts w:cstheme="minorHAnsi"/>
          <w:bCs/>
        </w:rPr>
        <w:t xml:space="preserve"> </w:t>
      </w:r>
    </w:p>
    <w:p w14:paraId="65CC8690" w14:textId="77777777" w:rsidR="002F178E" w:rsidRPr="00294A7E" w:rsidRDefault="002F178E" w:rsidP="001258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F178E">
        <w:rPr>
          <w:rFonts w:cstheme="minorHAnsi"/>
          <w:bCs/>
        </w:rPr>
        <w:t>Mandate of working groups and decision on SC59 / SC60</w:t>
      </w:r>
    </w:p>
    <w:p w14:paraId="72532810" w14:textId="77777777" w:rsidR="002F178E" w:rsidRDefault="002F178E" w:rsidP="0012586E">
      <w:pPr>
        <w:spacing w:after="0" w:line="240" w:lineRule="auto"/>
        <w:ind w:left="567" w:hanging="567"/>
        <w:rPr>
          <w:rFonts w:eastAsia="Calibri" w:cstheme="minorHAnsi"/>
          <w:bCs/>
        </w:rPr>
      </w:pPr>
    </w:p>
    <w:p w14:paraId="7B34E146" w14:textId="77777777" w:rsidR="00362114" w:rsidRDefault="00D84F77" w:rsidP="0012586E">
      <w:pPr>
        <w:spacing w:after="0" w:line="240" w:lineRule="auto"/>
        <w:ind w:left="567" w:hanging="567"/>
      </w:pPr>
      <w:r w:rsidRPr="00294A7E">
        <w:rPr>
          <w:rFonts w:eastAsia="Calibri" w:cstheme="minorHAnsi"/>
          <w:bCs/>
        </w:rPr>
        <w:t>1.</w:t>
      </w:r>
      <w:r w:rsidRPr="00294A7E">
        <w:rPr>
          <w:rFonts w:eastAsia="Calibri" w:cstheme="minorHAnsi"/>
          <w:bCs/>
        </w:rPr>
        <w:tab/>
      </w:r>
      <w:r w:rsidR="00362114">
        <w:t xml:space="preserve">The </w:t>
      </w:r>
      <w:r w:rsidR="00216CC1">
        <w:t>Legal Advisor</w:t>
      </w:r>
      <w:r w:rsidR="00362114">
        <w:t xml:space="preserve"> </w:t>
      </w:r>
      <w:r w:rsidR="00F1225F">
        <w:t xml:space="preserve">provided further clarification regarding working groups. She </w:t>
      </w:r>
      <w:r w:rsidR="00216CC1">
        <w:t xml:space="preserve">reported </w:t>
      </w:r>
      <w:r w:rsidR="00362114">
        <w:t xml:space="preserve">that there were effectively two kinds of working groups: those established by the Standing Committee and those established by the COP. At its discretion, the Standing Committee could </w:t>
      </w:r>
      <w:r w:rsidR="008065B7">
        <w:t>adjust</w:t>
      </w:r>
      <w:r w:rsidR="00362114">
        <w:t xml:space="preserve"> the mandates and timelines of its own working groups but, under the existing Rules of Procedure, could not change those established by the COP</w:t>
      </w:r>
      <w:r w:rsidR="00216CC1">
        <w:t xml:space="preserve"> (Rule 25.3.a.)</w:t>
      </w:r>
      <w:r w:rsidR="00362114">
        <w:t xml:space="preserve">. </w:t>
      </w:r>
      <w:r w:rsidR="00216CC1">
        <w:t>She</w:t>
      </w:r>
      <w:r w:rsidR="00362114">
        <w:t xml:space="preserve"> further noted that, as long as </w:t>
      </w:r>
      <w:r w:rsidR="00216CC1">
        <w:t>the</w:t>
      </w:r>
      <w:r w:rsidR="00362114">
        <w:t xml:space="preserve"> procedures in the Rules of Procedure and in Resolution XIII.4 on </w:t>
      </w:r>
      <w:r w:rsidR="00362114">
        <w:rPr>
          <w:i/>
          <w:iCs/>
        </w:rPr>
        <w:t>Responsibilities, roles and composition of the Standing Committee and regional categorization of Countries under the Convention</w:t>
      </w:r>
      <w:r w:rsidR="00216CC1">
        <w:rPr>
          <w:i/>
          <w:iCs/>
        </w:rPr>
        <w:t xml:space="preserve"> </w:t>
      </w:r>
      <w:r w:rsidR="00216CC1" w:rsidRPr="00216CC1">
        <w:rPr>
          <w:iCs/>
        </w:rPr>
        <w:t>were followed</w:t>
      </w:r>
      <w:r w:rsidR="00362114">
        <w:rPr>
          <w:i/>
          <w:iCs/>
        </w:rPr>
        <w:t xml:space="preserve">, </w:t>
      </w:r>
      <w:r w:rsidR="00216CC1">
        <w:t>with</w:t>
      </w:r>
      <w:r w:rsidR="00362114">
        <w:t xml:space="preserve"> </w:t>
      </w:r>
      <w:r w:rsidR="00216CC1">
        <w:t>Contracting Parties being notified at least three months in advance</w:t>
      </w:r>
      <w:r w:rsidR="00362114">
        <w:t xml:space="preserve">, there was nothing to prevent the Standing Committee </w:t>
      </w:r>
      <w:r w:rsidR="00216CC1">
        <w:t xml:space="preserve">from </w:t>
      </w:r>
      <w:r w:rsidR="00362114">
        <w:t>dividing a meeting into two parts, as it saw fit.</w:t>
      </w:r>
      <w:r w:rsidR="001D3415">
        <w:t xml:space="preserve"> This would, for example, allow the Effectiveness Working Group to complete its work without contravening Resolution XIII.3 on </w:t>
      </w:r>
      <w:r w:rsidR="001D3415" w:rsidRPr="001D3415">
        <w:rPr>
          <w:i/>
        </w:rPr>
        <w:t>Governance of the Convention</w:t>
      </w:r>
      <w:r w:rsidR="001D3415">
        <w:t>.</w:t>
      </w:r>
    </w:p>
    <w:p w14:paraId="36B33730" w14:textId="77777777" w:rsidR="00362114" w:rsidRDefault="00362114" w:rsidP="00362114">
      <w:pPr>
        <w:spacing w:after="0" w:line="240" w:lineRule="auto"/>
        <w:ind w:left="567" w:hanging="567"/>
      </w:pPr>
    </w:p>
    <w:p w14:paraId="1458F08D" w14:textId="77777777" w:rsidR="00362114" w:rsidRDefault="00362114" w:rsidP="00362114">
      <w:pPr>
        <w:spacing w:after="0" w:line="240" w:lineRule="auto"/>
        <w:ind w:left="567" w:hanging="567"/>
      </w:pPr>
      <w:r>
        <w:t>2.</w:t>
      </w:r>
      <w:r>
        <w:tab/>
        <w:t xml:space="preserve">Support was expressed for adopting a pragmatic, flexible approach in response to the current extraordinary circumstances </w:t>
      </w:r>
      <w:r w:rsidR="001D3415">
        <w:t>which would enable Working Group</w:t>
      </w:r>
      <w:r w:rsidR="00CC2E79">
        <w:t>s to</w:t>
      </w:r>
      <w:r w:rsidR="001D3415">
        <w:t xml:space="preserve"> complete their tasks for COP14, </w:t>
      </w:r>
      <w:r>
        <w:t>although the view was also expressed that dividing the present meetin</w:t>
      </w:r>
      <w:r w:rsidR="00216CC1">
        <w:t>g into two or more</w:t>
      </w:r>
      <w:r>
        <w:t xml:space="preserve"> parts might set a confusing precedent. </w:t>
      </w:r>
    </w:p>
    <w:p w14:paraId="331108F8" w14:textId="77777777" w:rsidR="00362114" w:rsidRDefault="00362114" w:rsidP="00362114">
      <w:pPr>
        <w:spacing w:after="0" w:line="240" w:lineRule="auto"/>
        <w:ind w:left="567" w:hanging="567"/>
      </w:pPr>
    </w:p>
    <w:p w14:paraId="2F91F154" w14:textId="77777777" w:rsidR="00362114" w:rsidRDefault="00362114" w:rsidP="00362114">
      <w:pPr>
        <w:spacing w:after="0" w:line="240" w:lineRule="auto"/>
        <w:ind w:left="567" w:hanging="567"/>
      </w:pPr>
      <w:r>
        <w:t>3.</w:t>
      </w:r>
      <w:r>
        <w:tab/>
        <w:t xml:space="preserve">Interventions were made by Sweden, Switzerland, the United Kingdom </w:t>
      </w:r>
      <w:r w:rsidR="00BC378A">
        <w:t xml:space="preserve">of Great Britain and Northern Ireland, </w:t>
      </w:r>
      <w:r>
        <w:t xml:space="preserve">and </w:t>
      </w:r>
      <w:r w:rsidR="001D3415">
        <w:t xml:space="preserve">the </w:t>
      </w:r>
      <w:r>
        <w:t>United States</w:t>
      </w:r>
      <w:r w:rsidR="001D3415">
        <w:t xml:space="preserve"> of America</w:t>
      </w:r>
      <w:r>
        <w:t>.</w:t>
      </w:r>
    </w:p>
    <w:p w14:paraId="0CE3F830" w14:textId="77777777" w:rsidR="00362114" w:rsidRDefault="00362114" w:rsidP="00362114">
      <w:pPr>
        <w:spacing w:after="0" w:line="240" w:lineRule="auto"/>
        <w:ind w:left="567" w:hanging="567"/>
        <w:rPr>
          <w:rFonts w:cstheme="minorHAnsi"/>
          <w:b/>
        </w:rPr>
      </w:pPr>
    </w:p>
    <w:p w14:paraId="20B506A8" w14:textId="39ADAB26" w:rsidR="00362114" w:rsidRPr="00362114" w:rsidRDefault="00362114" w:rsidP="001D3415">
      <w:pPr>
        <w:spacing w:after="0" w:line="240" w:lineRule="auto"/>
        <w:rPr>
          <w:rFonts w:cstheme="minorHAnsi"/>
          <w:b/>
        </w:rPr>
      </w:pPr>
      <w:r w:rsidRPr="00362114">
        <w:rPr>
          <w:rFonts w:cstheme="minorHAnsi"/>
          <w:b/>
        </w:rPr>
        <w:t>Decision SC59</w:t>
      </w:r>
      <w:r w:rsidR="001D3415">
        <w:rPr>
          <w:rFonts w:cstheme="minorHAnsi"/>
          <w:b/>
        </w:rPr>
        <w:t>-13</w:t>
      </w:r>
      <w:r>
        <w:rPr>
          <w:rFonts w:cstheme="minorHAnsi"/>
          <w:b/>
        </w:rPr>
        <w:t xml:space="preserve">: </w:t>
      </w:r>
      <w:r w:rsidRPr="00362114">
        <w:rPr>
          <w:rFonts w:cstheme="minorHAnsi"/>
          <w:b/>
        </w:rPr>
        <w:t>The Standing Committee decided that its present meeting (SC59) would be divided into two parts, the second</w:t>
      </w:r>
      <w:r>
        <w:rPr>
          <w:rFonts w:cstheme="minorHAnsi"/>
          <w:b/>
        </w:rPr>
        <w:t xml:space="preserve"> part</w:t>
      </w:r>
      <w:r w:rsidRPr="00362114">
        <w:rPr>
          <w:rFonts w:cstheme="minorHAnsi"/>
          <w:b/>
        </w:rPr>
        <w:t xml:space="preserve"> to be held in 2022 </w:t>
      </w:r>
      <w:r w:rsidR="00802502">
        <w:rPr>
          <w:rFonts w:cstheme="minorHAnsi"/>
          <w:b/>
        </w:rPr>
        <w:t xml:space="preserve">at a proper time </w:t>
      </w:r>
      <w:r w:rsidRPr="00362114">
        <w:rPr>
          <w:rFonts w:cstheme="minorHAnsi"/>
          <w:b/>
        </w:rPr>
        <w:t>before the date established for COP14.</w:t>
      </w:r>
    </w:p>
    <w:p w14:paraId="5BCD1DDE" w14:textId="77777777" w:rsidR="005C3E7C" w:rsidRPr="00294A7E" w:rsidRDefault="005C3E7C" w:rsidP="002F178E">
      <w:pPr>
        <w:spacing w:after="0" w:line="240" w:lineRule="auto"/>
        <w:ind w:left="567" w:hanging="567"/>
        <w:rPr>
          <w:rFonts w:cstheme="minorHAnsi"/>
        </w:rPr>
      </w:pPr>
    </w:p>
    <w:p w14:paraId="66FFA862" w14:textId="77777777" w:rsidR="002F178E" w:rsidRDefault="002F178E"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F178E">
        <w:rPr>
          <w:rFonts w:cstheme="minorHAnsi"/>
          <w:bCs/>
        </w:rPr>
        <w:t>Follow up from previous day:</w:t>
      </w:r>
      <w:r>
        <w:rPr>
          <w:rFonts w:cstheme="minorHAnsi"/>
          <w:bCs/>
        </w:rPr>
        <w:t xml:space="preserve"> </w:t>
      </w:r>
    </w:p>
    <w:p w14:paraId="78EBB687" w14:textId="77777777" w:rsidR="005A4B27" w:rsidRPr="00294A7E" w:rsidRDefault="002F178E"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Participation in virtual meetings</w:t>
      </w:r>
    </w:p>
    <w:p w14:paraId="05C64DB6" w14:textId="77777777" w:rsidR="005A4B27" w:rsidRPr="00294A7E" w:rsidRDefault="005A4B27" w:rsidP="00E64244">
      <w:pPr>
        <w:spacing w:after="0" w:line="240" w:lineRule="auto"/>
        <w:ind w:left="567" w:hanging="567"/>
        <w:rPr>
          <w:rFonts w:cstheme="minorHAnsi"/>
        </w:rPr>
      </w:pPr>
    </w:p>
    <w:p w14:paraId="239FEB8D" w14:textId="77777777" w:rsidR="001D3415" w:rsidRDefault="00714348" w:rsidP="001D3415">
      <w:pPr>
        <w:spacing w:after="0" w:line="240" w:lineRule="auto"/>
        <w:ind w:left="567" w:hanging="567"/>
      </w:pPr>
      <w:r>
        <w:t>4</w:t>
      </w:r>
      <w:r w:rsidR="005A4B27" w:rsidRPr="00362114">
        <w:t>.</w:t>
      </w:r>
      <w:r w:rsidR="005A4B27" w:rsidRPr="00362114">
        <w:tab/>
      </w:r>
      <w:r w:rsidR="00362114">
        <w:t>The Secretariat reported on participation at the most recent Standing Committee meetings as follows:</w:t>
      </w:r>
    </w:p>
    <w:p w14:paraId="491C4F0C" w14:textId="77777777" w:rsidR="001D3415" w:rsidRDefault="001D3415" w:rsidP="0012586E">
      <w:pPr>
        <w:pStyle w:val="ListParagraph"/>
        <w:numPr>
          <w:ilvl w:val="0"/>
          <w:numId w:val="49"/>
        </w:numPr>
        <w:spacing w:after="0" w:line="240" w:lineRule="auto"/>
        <w:ind w:left="993" w:hanging="425"/>
      </w:pPr>
      <w:r>
        <w:t>SC57: 96 Contracting Party representative</w:t>
      </w:r>
      <w:r w:rsidR="0012586E">
        <w:t>s from 48 Parties; 18 observers;</w:t>
      </w:r>
    </w:p>
    <w:p w14:paraId="5E115C7E" w14:textId="77777777" w:rsidR="001D3415" w:rsidRDefault="001D3415" w:rsidP="0012586E">
      <w:pPr>
        <w:pStyle w:val="ListParagraph"/>
        <w:numPr>
          <w:ilvl w:val="0"/>
          <w:numId w:val="49"/>
        </w:numPr>
        <w:spacing w:after="0" w:line="240" w:lineRule="auto"/>
        <w:ind w:left="993" w:hanging="425"/>
      </w:pPr>
      <w:r>
        <w:lastRenderedPageBreak/>
        <w:t xml:space="preserve">SC58: </w:t>
      </w:r>
      <w:r w:rsidR="0035592B">
        <w:t>6</w:t>
      </w:r>
      <w:r w:rsidR="0012586E">
        <w:t xml:space="preserve">6 Contracting Party representatives from </w:t>
      </w:r>
      <w:r w:rsidR="0035592B">
        <w:t>34</w:t>
      </w:r>
      <w:r w:rsidR="0012586E">
        <w:t xml:space="preserve">Parties; </w:t>
      </w:r>
      <w:r w:rsidR="00A07570">
        <w:t xml:space="preserve">closed session, </w:t>
      </w:r>
      <w:r w:rsidR="0012586E">
        <w:t>no observers invited;</w:t>
      </w:r>
    </w:p>
    <w:p w14:paraId="5B164582" w14:textId="77777777" w:rsidR="0012586E" w:rsidRDefault="0012586E" w:rsidP="0012586E">
      <w:pPr>
        <w:pStyle w:val="ListParagraph"/>
        <w:numPr>
          <w:ilvl w:val="0"/>
          <w:numId w:val="49"/>
        </w:numPr>
        <w:spacing w:after="0" w:line="240" w:lineRule="auto"/>
        <w:ind w:left="993" w:hanging="425"/>
      </w:pPr>
      <w:r>
        <w:t>SC58: 97 Contracting Party representatives from 39 Parties; 16 observers; 153 registered participants in total.</w:t>
      </w:r>
    </w:p>
    <w:p w14:paraId="0075701C" w14:textId="77777777" w:rsidR="002F178E" w:rsidRDefault="002F178E" w:rsidP="00E64244">
      <w:pPr>
        <w:spacing w:after="0" w:line="240" w:lineRule="auto"/>
        <w:ind w:left="567" w:hanging="567"/>
      </w:pPr>
    </w:p>
    <w:p w14:paraId="345A9A85" w14:textId="77777777" w:rsidR="002F178E" w:rsidRDefault="002F178E" w:rsidP="002F178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F178E">
        <w:rPr>
          <w:rFonts w:cstheme="minorHAnsi"/>
          <w:bCs/>
        </w:rPr>
        <w:t>Follow up from previous day:</w:t>
      </w:r>
      <w:r>
        <w:rPr>
          <w:rFonts w:cstheme="minorHAnsi"/>
          <w:bCs/>
        </w:rPr>
        <w:t xml:space="preserve"> </w:t>
      </w:r>
    </w:p>
    <w:p w14:paraId="12E6AA93" w14:textId="77777777" w:rsidR="002F178E" w:rsidRDefault="002F178E" w:rsidP="002F178E">
      <w:pPr>
        <w:keepNext/>
        <w:pBdr>
          <w:top w:val="single" w:sz="4" w:space="1" w:color="auto"/>
          <w:left w:val="single" w:sz="4" w:space="4" w:color="auto"/>
          <w:bottom w:val="single" w:sz="4" w:space="1" w:color="auto"/>
          <w:right w:val="single" w:sz="4" w:space="4" w:color="auto"/>
        </w:pBdr>
        <w:spacing w:after="0" w:line="240" w:lineRule="auto"/>
        <w:outlineLvl w:val="0"/>
      </w:pPr>
      <w:r>
        <w:t>Report from the Chair of the Subgroup on COP14 on the Ramsar Conservation Awards</w:t>
      </w:r>
    </w:p>
    <w:p w14:paraId="362A889B" w14:textId="77777777" w:rsidR="00E64244" w:rsidRDefault="00E64244" w:rsidP="00E64244">
      <w:pPr>
        <w:spacing w:after="0" w:line="240" w:lineRule="auto"/>
        <w:ind w:left="567" w:hanging="567"/>
      </w:pPr>
    </w:p>
    <w:p w14:paraId="18C7712C" w14:textId="77777777" w:rsidR="00362114" w:rsidRDefault="00714348" w:rsidP="00362114">
      <w:pPr>
        <w:spacing w:after="0" w:line="240" w:lineRule="auto"/>
        <w:ind w:left="567" w:hanging="567"/>
      </w:pPr>
      <w:r>
        <w:t>5</w:t>
      </w:r>
      <w:r w:rsidR="0079631C">
        <w:t>.</w:t>
      </w:r>
      <w:r w:rsidR="0079631C">
        <w:tab/>
      </w:r>
      <w:r w:rsidR="00362114">
        <w:t>The Chair of the Subgroup on COP14 noted that a consultation by email had been carried out the previous evening and had received a unani</w:t>
      </w:r>
      <w:r w:rsidR="0012586E">
        <w:t>mous response, namely that the S</w:t>
      </w:r>
      <w:r w:rsidR="00362114">
        <w:t>ubgroup members had not had enough time to consider candidates put forward as possible recipients of the Ramsar Conservation Awards, and that the issue, not being time</w:t>
      </w:r>
      <w:r w:rsidR="0012586E">
        <w:t>-</w:t>
      </w:r>
      <w:r w:rsidR="00362114">
        <w:t>sensitive, should be deferred until a later session of the Standing Committee.</w:t>
      </w:r>
      <w:r w:rsidR="001265C8">
        <w:t xml:space="preserve"> The Chair requested that the Secretariat </w:t>
      </w:r>
      <w:r w:rsidR="0035592B">
        <w:t xml:space="preserve">inform those who nominated </w:t>
      </w:r>
      <w:r w:rsidR="002C5040">
        <w:t>candidates for Awards of the new timeline.</w:t>
      </w:r>
    </w:p>
    <w:p w14:paraId="364D7276" w14:textId="77777777" w:rsidR="00E64244" w:rsidRDefault="00E64244" w:rsidP="002F178E">
      <w:pPr>
        <w:spacing w:after="0" w:line="240" w:lineRule="auto"/>
        <w:ind w:left="567" w:hanging="567"/>
      </w:pPr>
    </w:p>
    <w:p w14:paraId="542CEBA9" w14:textId="77777777" w:rsidR="002F178E" w:rsidRDefault="00362114" w:rsidP="002F178E">
      <w:pPr>
        <w:spacing w:after="0" w:line="240" w:lineRule="auto"/>
        <w:rPr>
          <w:rFonts w:cstheme="minorHAnsi"/>
          <w:b/>
        </w:rPr>
      </w:pPr>
      <w:r w:rsidRPr="00362114">
        <w:rPr>
          <w:rFonts w:cstheme="minorHAnsi"/>
          <w:b/>
        </w:rPr>
        <w:t>Decision SC59</w:t>
      </w:r>
      <w:r w:rsidR="0012586E">
        <w:rPr>
          <w:rFonts w:cstheme="minorHAnsi"/>
          <w:b/>
        </w:rPr>
        <w:t>-14</w:t>
      </w:r>
      <w:r w:rsidRPr="00362114">
        <w:rPr>
          <w:rFonts w:cstheme="minorHAnsi"/>
          <w:b/>
        </w:rPr>
        <w:t xml:space="preserve">: The Standing Committee </w:t>
      </w:r>
      <w:r w:rsidR="0012586E">
        <w:rPr>
          <w:rFonts w:cstheme="minorHAnsi"/>
          <w:b/>
        </w:rPr>
        <w:t>decided to defer</w:t>
      </w:r>
      <w:r w:rsidRPr="00362114">
        <w:rPr>
          <w:rFonts w:cstheme="minorHAnsi"/>
          <w:b/>
        </w:rPr>
        <w:t xml:space="preserve"> consideration of the Ramsar Conservation Awards to its next session, to be held in 2022.</w:t>
      </w:r>
    </w:p>
    <w:p w14:paraId="5A59A795" w14:textId="77777777" w:rsidR="00362114" w:rsidRPr="00362114" w:rsidRDefault="00362114" w:rsidP="002F178E">
      <w:pPr>
        <w:spacing w:after="0" w:line="240" w:lineRule="auto"/>
        <w:rPr>
          <w:rFonts w:cstheme="minorHAnsi"/>
          <w:b/>
        </w:rPr>
      </w:pPr>
    </w:p>
    <w:p w14:paraId="3C7EDC44" w14:textId="77777777" w:rsidR="0024341A" w:rsidRPr="00294A7E" w:rsidRDefault="0024341A" w:rsidP="002F178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294A7E">
        <w:rPr>
          <w:rFonts w:cstheme="minorHAnsi"/>
          <w:bCs/>
        </w:rPr>
        <w:t xml:space="preserve">Agenda item </w:t>
      </w:r>
      <w:r w:rsidR="002F178E">
        <w:t>17.3: World Wetlands Day themes for 2022-2024</w:t>
      </w:r>
    </w:p>
    <w:p w14:paraId="69D4EE13" w14:textId="77777777" w:rsidR="002F178E" w:rsidRDefault="002F178E" w:rsidP="005F4C17">
      <w:pPr>
        <w:spacing w:after="0" w:line="240" w:lineRule="auto"/>
        <w:ind w:left="567" w:hanging="567"/>
      </w:pPr>
    </w:p>
    <w:p w14:paraId="28BE32C9" w14:textId="6ABEE235" w:rsidR="00362114" w:rsidRDefault="00714348" w:rsidP="00714348">
      <w:pPr>
        <w:spacing w:after="0" w:line="240" w:lineRule="auto"/>
        <w:ind w:left="567" w:hanging="567"/>
      </w:pPr>
      <w:r>
        <w:t>6</w:t>
      </w:r>
      <w:r w:rsidR="0079631C">
        <w:t>.</w:t>
      </w:r>
      <w:r w:rsidR="0079631C">
        <w:tab/>
      </w:r>
      <w:r w:rsidR="00362114">
        <w:t xml:space="preserve">The Secretariat </w:t>
      </w:r>
      <w:r w:rsidR="00BA0BD3">
        <w:t xml:space="preserve">informed the Committee that, despite the COVID-19 related restrictions, 1,100 World Wetlands Day events in 82 countries had been reported. It </w:t>
      </w:r>
      <w:r w:rsidR="00362114">
        <w:t xml:space="preserve">introduced document SC59 Doc 17.3 </w:t>
      </w:r>
      <w:r w:rsidR="00362114" w:rsidRPr="00BA0BD3">
        <w:rPr>
          <w:i/>
        </w:rPr>
        <w:t>World Wetlands Day themes for 2022-2024</w:t>
      </w:r>
      <w:r w:rsidR="00362114">
        <w:t xml:space="preserve">, proposing as themes: </w:t>
      </w:r>
      <w:r>
        <w:t>“</w:t>
      </w:r>
      <w:r w:rsidR="00362114">
        <w:t>using wetlands wisely</w:t>
      </w:r>
      <w:r>
        <w:t>”</w:t>
      </w:r>
      <w:r w:rsidR="00362114">
        <w:t xml:space="preserve"> (2022); </w:t>
      </w:r>
      <w:r>
        <w:t>“</w:t>
      </w:r>
      <w:r w:rsidR="00362114">
        <w:t>wetland restoration</w:t>
      </w:r>
      <w:r>
        <w:t>”</w:t>
      </w:r>
      <w:r w:rsidR="00362114">
        <w:t xml:space="preserve"> (2023); and </w:t>
      </w:r>
      <w:r>
        <w:t>“</w:t>
      </w:r>
      <w:r w:rsidR="00362114">
        <w:t>wetlands and gender</w:t>
      </w:r>
      <w:r>
        <w:t>”</w:t>
      </w:r>
      <w:r w:rsidR="00362114">
        <w:t xml:space="preserve"> (2024).</w:t>
      </w:r>
      <w:r>
        <w:t xml:space="preserve"> Other suggestions proposed for consideration were “wetlands and human wellbeing” and “nourishing our planet – wetlands and food”.</w:t>
      </w:r>
    </w:p>
    <w:p w14:paraId="23AF015E" w14:textId="77777777" w:rsidR="00362114" w:rsidRDefault="00362114" w:rsidP="00362114">
      <w:pPr>
        <w:spacing w:after="0" w:line="240" w:lineRule="auto"/>
        <w:ind w:left="567" w:hanging="567"/>
      </w:pPr>
    </w:p>
    <w:p w14:paraId="0BD43D68" w14:textId="77777777" w:rsidR="00362114" w:rsidRDefault="00714348" w:rsidP="008077DC">
      <w:pPr>
        <w:spacing w:after="0" w:line="240" w:lineRule="auto"/>
        <w:ind w:left="567" w:hanging="567"/>
      </w:pPr>
      <w:r>
        <w:t>7.</w:t>
      </w:r>
      <w:r>
        <w:tab/>
      </w:r>
      <w:r w:rsidR="00362114">
        <w:t xml:space="preserve">The themes </w:t>
      </w:r>
      <w:r w:rsidR="00940EE2">
        <w:t xml:space="preserve">for each year and the additional suggestions </w:t>
      </w:r>
      <w:r w:rsidR="00362114">
        <w:t>received widespread support. Linking the 2022 theme with that proposed for COP14 (</w:t>
      </w:r>
      <w:r w:rsidR="00BA0BD3">
        <w:t>“</w:t>
      </w:r>
      <w:r w:rsidR="00EF071C">
        <w:t>wetland action</w:t>
      </w:r>
      <w:r w:rsidR="00362114">
        <w:t xml:space="preserve"> for people and nature</w:t>
      </w:r>
      <w:r w:rsidR="00BA0BD3">
        <w:t>”</w:t>
      </w:r>
      <w:r w:rsidR="00362114">
        <w:t>) was advocated</w:t>
      </w:r>
      <w:r w:rsidR="00940EE2">
        <w:t xml:space="preserve">, while the launch of the UN Decade of Ecosystem Restoration was also noted and </w:t>
      </w:r>
      <w:r w:rsidR="00362114">
        <w:t xml:space="preserve">that the forthcoming revision of the </w:t>
      </w:r>
      <w:r w:rsidR="00BA0BD3">
        <w:t>Global Wetland</w:t>
      </w:r>
      <w:r w:rsidR="00362114">
        <w:t xml:space="preserve"> Outlook already had wetland restoration as a major theme. </w:t>
      </w:r>
      <w:r w:rsidR="00940EE2">
        <w:t xml:space="preserve">A number of observations were made along with suggestions for possible </w:t>
      </w:r>
      <w:r w:rsidR="00EF071C" w:rsidRPr="00EF071C">
        <w:t xml:space="preserve">refinements and </w:t>
      </w:r>
      <w:r w:rsidR="00362114" w:rsidRPr="00EF071C">
        <w:t>future themes</w:t>
      </w:r>
      <w:r w:rsidR="00940EE2">
        <w:t>, including</w:t>
      </w:r>
      <w:r w:rsidR="00362114" w:rsidRPr="00EF071C">
        <w:t xml:space="preserve">: </w:t>
      </w:r>
      <w:r w:rsidR="008077DC">
        <w:t>“</w:t>
      </w:r>
      <w:r w:rsidR="00EF071C" w:rsidRPr="00EF071C">
        <w:t>wetlands and carbon</w:t>
      </w:r>
      <w:r w:rsidR="008077DC">
        <w:t>”</w:t>
      </w:r>
      <w:r w:rsidR="00EF071C">
        <w:t>;</w:t>
      </w:r>
      <w:r w:rsidR="00EF071C" w:rsidRPr="00EF071C">
        <w:t xml:space="preserve"> </w:t>
      </w:r>
      <w:r w:rsidR="008077DC">
        <w:t>“</w:t>
      </w:r>
      <w:r w:rsidR="00940EE2">
        <w:t>wetlands and sustainable food</w:t>
      </w:r>
      <w:r w:rsidR="008077DC">
        <w:t>”</w:t>
      </w:r>
      <w:r w:rsidR="00940EE2">
        <w:t>;</w:t>
      </w:r>
      <w:r w:rsidR="00940EE2" w:rsidRPr="00EF071C">
        <w:t xml:space="preserve"> </w:t>
      </w:r>
      <w:r w:rsidR="008077DC">
        <w:t>“</w:t>
      </w:r>
      <w:r w:rsidR="00362114" w:rsidRPr="00EF071C">
        <w:t>wetlands and in</w:t>
      </w:r>
      <w:r w:rsidR="00362114">
        <w:t>digenous communities</w:t>
      </w:r>
      <w:r w:rsidR="008077DC">
        <w:t>”</w:t>
      </w:r>
      <w:r w:rsidR="00362114">
        <w:t xml:space="preserve">; </w:t>
      </w:r>
      <w:r w:rsidR="008077DC">
        <w:t>“</w:t>
      </w:r>
      <w:r w:rsidR="00EF071C">
        <w:t>wetlands and watershed management</w:t>
      </w:r>
      <w:r w:rsidR="008077DC">
        <w:t>”</w:t>
      </w:r>
      <w:r w:rsidR="00EF071C">
        <w:t xml:space="preserve">; </w:t>
      </w:r>
      <w:r w:rsidR="008077DC">
        <w:t>“</w:t>
      </w:r>
      <w:r w:rsidR="00362114" w:rsidRPr="00362114">
        <w:t xml:space="preserve">wetlands and </w:t>
      </w:r>
      <w:r w:rsidR="00EF071C">
        <w:t>regional development</w:t>
      </w:r>
      <w:r w:rsidR="00362114" w:rsidRPr="00362114">
        <w:t xml:space="preserve">; </w:t>
      </w:r>
      <w:r w:rsidR="008077DC">
        <w:t>“</w:t>
      </w:r>
      <w:r w:rsidR="00940EE2">
        <w:t>wetlands for everybody</w:t>
      </w:r>
      <w:r w:rsidR="008077DC">
        <w:t>”</w:t>
      </w:r>
      <w:r w:rsidR="00940EE2">
        <w:t xml:space="preserve"> (incorporating gender and other issues of inclusion); </w:t>
      </w:r>
      <w:r w:rsidR="008077DC">
        <w:t>“citizen power – supporting wetland conservation”; and “youth exploring a new horizon of wetland conservation”</w:t>
      </w:r>
      <w:r w:rsidR="00362114">
        <w:t>.</w:t>
      </w:r>
    </w:p>
    <w:p w14:paraId="6844727B" w14:textId="77777777" w:rsidR="005F4C17" w:rsidRDefault="005F4C17" w:rsidP="002F178E">
      <w:pPr>
        <w:spacing w:after="0" w:line="240" w:lineRule="auto"/>
        <w:ind w:left="567" w:hanging="567"/>
      </w:pPr>
    </w:p>
    <w:p w14:paraId="24E8BF43" w14:textId="77777777" w:rsidR="00C67876" w:rsidRDefault="00714348" w:rsidP="00C67876">
      <w:pPr>
        <w:spacing w:after="0" w:line="240" w:lineRule="auto"/>
        <w:ind w:left="567" w:hanging="567"/>
      </w:pPr>
      <w:r>
        <w:t>8.</w:t>
      </w:r>
      <w:r>
        <w:tab/>
      </w:r>
      <w:r w:rsidR="00C67876">
        <w:t>Following discussion, the Secretariat proposed the following themes for the World Wetlands Days of 2022-2024:</w:t>
      </w:r>
    </w:p>
    <w:p w14:paraId="0FFE3A5F" w14:textId="77777777" w:rsidR="00C67876" w:rsidRDefault="00C67876" w:rsidP="00C67876">
      <w:pPr>
        <w:spacing w:after="0" w:line="240" w:lineRule="auto"/>
        <w:ind w:left="567"/>
      </w:pPr>
      <w:r>
        <w:t>2022: Wetland action for people and nature (linked to the theme for COP14)</w:t>
      </w:r>
    </w:p>
    <w:p w14:paraId="2711F780" w14:textId="77777777" w:rsidR="00C67876" w:rsidRDefault="00C67876" w:rsidP="00C67876">
      <w:pPr>
        <w:spacing w:after="0" w:line="240" w:lineRule="auto"/>
        <w:ind w:left="567"/>
      </w:pPr>
      <w:r>
        <w:t>2023: Wetland restoration (linked to the UN decade for ecosystem restoration)</w:t>
      </w:r>
    </w:p>
    <w:p w14:paraId="7750AAAF" w14:textId="77777777" w:rsidR="00C67876" w:rsidRDefault="00C67876" w:rsidP="00C67876">
      <w:pPr>
        <w:spacing w:after="0" w:line="240" w:lineRule="auto"/>
        <w:ind w:left="567"/>
      </w:pPr>
      <w:r>
        <w:t>2024: Wetlands and human wellbeing.</w:t>
      </w:r>
    </w:p>
    <w:p w14:paraId="6CB0FCD3" w14:textId="77777777" w:rsidR="00C67876" w:rsidRDefault="00C67876" w:rsidP="00BA0BD3">
      <w:pPr>
        <w:spacing w:after="0" w:line="240" w:lineRule="auto"/>
        <w:ind w:left="567" w:hanging="567"/>
      </w:pPr>
    </w:p>
    <w:p w14:paraId="5CE0113A" w14:textId="69BD4EEF" w:rsidR="00BA0BD3" w:rsidRDefault="00C67876" w:rsidP="00BA0BD3">
      <w:pPr>
        <w:spacing w:after="0" w:line="240" w:lineRule="auto"/>
        <w:ind w:left="567" w:hanging="567"/>
      </w:pPr>
      <w:r>
        <w:t>9.</w:t>
      </w:r>
      <w:r>
        <w:tab/>
      </w:r>
      <w:r w:rsidR="00BA0BD3">
        <w:t xml:space="preserve">An update was provided </w:t>
      </w:r>
      <w:r w:rsidR="002C5040">
        <w:t xml:space="preserve">by Costa Rica </w:t>
      </w:r>
      <w:r w:rsidR="00BA0BD3">
        <w:t xml:space="preserve">on the implementation of Resolution XIII.1 on </w:t>
      </w:r>
      <w:r w:rsidR="00BA0BD3" w:rsidRPr="00BA0BD3">
        <w:rPr>
          <w:i/>
        </w:rPr>
        <w:t>World Wetlands Day</w:t>
      </w:r>
      <w:r w:rsidR="00BA0BD3">
        <w:t xml:space="preserve"> concerning progress made in the submission of a draft resolution to the United Nations General Assembly inviting it to recognize 2 February of each year as </w:t>
      </w:r>
      <w:r w:rsidR="002C5040">
        <w:t xml:space="preserve">International </w:t>
      </w:r>
      <w:r w:rsidR="00BA0BD3">
        <w:t>World Wetlands Day</w:t>
      </w:r>
      <w:r w:rsidR="002C5040">
        <w:t xml:space="preserve"> observed by the United Nations</w:t>
      </w:r>
      <w:r w:rsidR="00BA0BD3">
        <w:t xml:space="preserve">. </w:t>
      </w:r>
      <w:r w:rsidR="00BF4488">
        <w:t xml:space="preserve">The </w:t>
      </w:r>
      <w:r w:rsidR="00BF4488" w:rsidRPr="00360A0A">
        <w:rPr>
          <w:rFonts w:cstheme="minorHAnsi"/>
        </w:rPr>
        <w:t xml:space="preserve">group of interested </w:t>
      </w:r>
      <w:r w:rsidR="00BF4488">
        <w:rPr>
          <w:rFonts w:cstheme="minorHAnsi"/>
        </w:rPr>
        <w:t xml:space="preserve">Contracting </w:t>
      </w:r>
      <w:r w:rsidR="00BF4488" w:rsidRPr="00360A0A">
        <w:rPr>
          <w:rFonts w:cstheme="minorHAnsi"/>
        </w:rPr>
        <w:t>Parties</w:t>
      </w:r>
      <w:r w:rsidR="00BF4488">
        <w:t xml:space="preserve"> urged all</w:t>
      </w:r>
      <w:r w:rsidR="00BA0BD3">
        <w:t xml:space="preserve"> Parties to contact their Permanent Missions in New York to invite them to participate in a side event to be held at on 7 July</w:t>
      </w:r>
      <w:r w:rsidR="00BF4488">
        <w:t xml:space="preserve"> at the margins of the </w:t>
      </w:r>
      <w:r w:rsidR="00BF4488" w:rsidRPr="00BF4488">
        <w:t>High-level Political Forum on Sustainable Development</w:t>
      </w:r>
      <w:r w:rsidR="00BA0BD3">
        <w:t xml:space="preserve">, </w:t>
      </w:r>
      <w:r w:rsidR="00A07570">
        <w:t xml:space="preserve">to support </w:t>
      </w:r>
      <w:r w:rsidR="00BA0BD3">
        <w:t xml:space="preserve">the </w:t>
      </w:r>
      <w:r w:rsidR="00A07570">
        <w:t xml:space="preserve">submission of the </w:t>
      </w:r>
      <w:r w:rsidR="00BA0BD3">
        <w:t>resolution</w:t>
      </w:r>
      <w:r w:rsidR="00A07570">
        <w:t xml:space="preserve"> to the </w:t>
      </w:r>
      <w:r w:rsidR="00A07570">
        <w:lastRenderedPageBreak/>
        <w:t>General Assembly</w:t>
      </w:r>
      <w:r w:rsidR="00DF797B">
        <w:t>.</w:t>
      </w:r>
      <w:r w:rsidR="00BA0BD3">
        <w:t xml:space="preserve"> The Secretariat stated that it would </w:t>
      </w:r>
      <w:r w:rsidR="00BF4488">
        <w:t>provide</w:t>
      </w:r>
      <w:r w:rsidR="00BA0BD3">
        <w:t xml:space="preserve"> more information </w:t>
      </w:r>
      <w:r w:rsidR="00BF4488">
        <w:t>to all Contracting Parties once the event is included in the Forum’s agenda.</w:t>
      </w:r>
    </w:p>
    <w:p w14:paraId="1B01D18A" w14:textId="77777777" w:rsidR="00BA0BD3" w:rsidRDefault="00BA0BD3" w:rsidP="00BA0BD3">
      <w:pPr>
        <w:spacing w:after="0" w:line="240" w:lineRule="auto"/>
        <w:ind w:left="567" w:hanging="567"/>
      </w:pPr>
    </w:p>
    <w:p w14:paraId="2FD04B17" w14:textId="77777777" w:rsidR="00BA0BD3" w:rsidRDefault="00C67876" w:rsidP="00BA0BD3">
      <w:pPr>
        <w:spacing w:after="0" w:line="240" w:lineRule="auto"/>
        <w:ind w:left="567" w:hanging="567"/>
      </w:pPr>
      <w:r>
        <w:t>10</w:t>
      </w:r>
      <w:r w:rsidR="00BF4488">
        <w:t>.</w:t>
      </w:r>
      <w:r w:rsidR="00BF4488">
        <w:tab/>
      </w:r>
      <w:r w:rsidR="00BA0BD3">
        <w:t xml:space="preserve">Interventions were made by Argentina, China, Colombia, Costa Rica, Dominican Republic, Islamic Republic of Iran, Iraq, Japan, Oman, Sweden, </w:t>
      </w:r>
      <w:r w:rsidR="00BC378A">
        <w:t>the United Kingdom of Great Britain and Northern Ireland, and the United States of America</w:t>
      </w:r>
      <w:r w:rsidR="00BA0BD3">
        <w:t>.</w:t>
      </w:r>
    </w:p>
    <w:p w14:paraId="64DD6E6C" w14:textId="77777777" w:rsidR="00BA0BD3" w:rsidRDefault="00BA0BD3" w:rsidP="00BA0BD3">
      <w:pPr>
        <w:spacing w:after="0" w:line="240" w:lineRule="auto"/>
        <w:ind w:left="567" w:hanging="567"/>
      </w:pPr>
    </w:p>
    <w:p w14:paraId="1DE20080" w14:textId="77777777" w:rsidR="00C67876" w:rsidRPr="00C67876" w:rsidRDefault="005F4C17" w:rsidP="00C67876">
      <w:pPr>
        <w:spacing w:after="0" w:line="240" w:lineRule="auto"/>
        <w:rPr>
          <w:rFonts w:cstheme="minorHAnsi"/>
          <w:b/>
        </w:rPr>
      </w:pPr>
      <w:r>
        <w:rPr>
          <w:rFonts w:cstheme="minorHAnsi"/>
          <w:b/>
        </w:rPr>
        <w:t>Decision SC59-</w:t>
      </w:r>
      <w:r w:rsidR="00C67876">
        <w:rPr>
          <w:rFonts w:cstheme="minorHAnsi"/>
          <w:b/>
        </w:rPr>
        <w:t>1</w:t>
      </w:r>
      <w:r w:rsidR="00EB30BD">
        <w:rPr>
          <w:rFonts w:cstheme="minorHAnsi"/>
          <w:b/>
        </w:rPr>
        <w:t>5</w:t>
      </w:r>
      <w:r>
        <w:rPr>
          <w:rFonts w:cstheme="minorHAnsi"/>
          <w:b/>
        </w:rPr>
        <w:t>: T</w:t>
      </w:r>
      <w:r w:rsidRPr="005F4C17">
        <w:rPr>
          <w:rFonts w:cstheme="minorHAnsi"/>
          <w:b/>
        </w:rPr>
        <w:t>he Standing Committee</w:t>
      </w:r>
      <w:r w:rsidR="00C67876" w:rsidRPr="00C67876">
        <w:t xml:space="preserve"> </w:t>
      </w:r>
      <w:r w:rsidR="00C67876" w:rsidRPr="00C67876">
        <w:rPr>
          <w:rFonts w:cstheme="minorHAnsi"/>
          <w:b/>
        </w:rPr>
        <w:t>decided that the themes for forthcoming World Wetland</w:t>
      </w:r>
      <w:r w:rsidR="00C67876">
        <w:rPr>
          <w:rFonts w:cstheme="minorHAnsi"/>
          <w:b/>
        </w:rPr>
        <w:t>s</w:t>
      </w:r>
      <w:r w:rsidR="00C67876" w:rsidRPr="00C67876">
        <w:rPr>
          <w:rFonts w:cstheme="minorHAnsi"/>
          <w:b/>
        </w:rPr>
        <w:t xml:space="preserve"> Days would be: </w:t>
      </w:r>
    </w:p>
    <w:p w14:paraId="0239EB1F" w14:textId="6EB55E95" w:rsidR="00C67876" w:rsidRPr="00C67876" w:rsidRDefault="00C67876" w:rsidP="00C67876">
      <w:pPr>
        <w:spacing w:after="0" w:line="240" w:lineRule="auto"/>
        <w:rPr>
          <w:rFonts w:cstheme="minorHAnsi"/>
          <w:b/>
        </w:rPr>
      </w:pPr>
      <w:r w:rsidRPr="00C67876">
        <w:rPr>
          <w:rFonts w:cstheme="minorHAnsi"/>
          <w:b/>
        </w:rPr>
        <w:t>2022: Wetland</w:t>
      </w:r>
      <w:r w:rsidR="005D5F5D">
        <w:rPr>
          <w:rFonts w:cstheme="minorHAnsi"/>
          <w:b/>
        </w:rPr>
        <w:t>s</w:t>
      </w:r>
      <w:r w:rsidRPr="00C67876">
        <w:rPr>
          <w:rFonts w:cstheme="minorHAnsi"/>
          <w:b/>
        </w:rPr>
        <w:t xml:space="preserve"> action for people and nature</w:t>
      </w:r>
    </w:p>
    <w:p w14:paraId="02FDB5B8" w14:textId="77777777" w:rsidR="00C67876" w:rsidRPr="00C67876" w:rsidRDefault="00C67876" w:rsidP="00C67876">
      <w:pPr>
        <w:spacing w:after="0" w:line="240" w:lineRule="auto"/>
        <w:rPr>
          <w:rFonts w:cstheme="minorHAnsi"/>
          <w:b/>
        </w:rPr>
      </w:pPr>
      <w:r w:rsidRPr="00C67876">
        <w:rPr>
          <w:rFonts w:cstheme="minorHAnsi"/>
          <w:b/>
        </w:rPr>
        <w:t>2023: Wetland restoration</w:t>
      </w:r>
    </w:p>
    <w:p w14:paraId="5A3102D3" w14:textId="77777777" w:rsidR="005F4C17" w:rsidRDefault="00C67876" w:rsidP="00C67876">
      <w:pPr>
        <w:spacing w:after="0" w:line="240" w:lineRule="auto"/>
      </w:pPr>
      <w:r w:rsidRPr="00C67876">
        <w:rPr>
          <w:rFonts w:cstheme="minorHAnsi"/>
          <w:b/>
        </w:rPr>
        <w:t>2024: Wetlands and human wellbeing</w:t>
      </w:r>
    </w:p>
    <w:p w14:paraId="25464539" w14:textId="77777777" w:rsidR="0024341A" w:rsidRPr="00294A7E" w:rsidRDefault="0024341A" w:rsidP="00D47231">
      <w:pPr>
        <w:tabs>
          <w:tab w:val="left" w:pos="720"/>
          <w:tab w:val="center" w:pos="4680"/>
        </w:tabs>
        <w:spacing w:after="0" w:line="240" w:lineRule="auto"/>
        <w:rPr>
          <w:rFonts w:cstheme="minorHAnsi"/>
          <w:bCs/>
        </w:rPr>
      </w:pPr>
    </w:p>
    <w:p w14:paraId="13DA4F1C" w14:textId="77777777" w:rsidR="0024341A" w:rsidRPr="00294A7E" w:rsidRDefault="002F178E" w:rsidP="002F178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Pr>
          <w:rFonts w:cstheme="minorHAnsi"/>
          <w:bCs/>
        </w:rPr>
        <w:t xml:space="preserve">Agenda item </w:t>
      </w:r>
      <w:r>
        <w:t xml:space="preserve">10: Report of the Working Group on the Review of the Strategic Plan </w:t>
      </w:r>
      <w:r>
        <w:br/>
        <w:t>of the Ramsar Convention</w:t>
      </w:r>
    </w:p>
    <w:p w14:paraId="3919AFE0" w14:textId="77777777" w:rsidR="002F178E" w:rsidRDefault="002F178E" w:rsidP="00937A42">
      <w:pPr>
        <w:spacing w:after="0" w:line="240" w:lineRule="auto"/>
        <w:ind w:left="567" w:hanging="567"/>
        <w:rPr>
          <w:rFonts w:eastAsia="Calibri" w:cstheme="minorHAnsi"/>
          <w:bCs/>
        </w:rPr>
      </w:pPr>
    </w:p>
    <w:p w14:paraId="297D01E3" w14:textId="77777777" w:rsidR="00BA0BD3" w:rsidRPr="00BA0BD3" w:rsidRDefault="005D055F" w:rsidP="00937A42">
      <w:pPr>
        <w:spacing w:after="0" w:line="240" w:lineRule="auto"/>
        <w:ind w:left="567" w:hanging="567"/>
        <w:rPr>
          <w:rFonts w:eastAsia="Calibri" w:cstheme="minorHAnsi"/>
          <w:bCs/>
        </w:rPr>
      </w:pPr>
      <w:r>
        <w:rPr>
          <w:rFonts w:eastAsia="Calibri" w:cstheme="minorHAnsi"/>
          <w:bCs/>
        </w:rPr>
        <w:t>11.</w:t>
      </w:r>
      <w:r>
        <w:rPr>
          <w:rFonts w:eastAsia="Calibri" w:cstheme="minorHAnsi"/>
          <w:bCs/>
        </w:rPr>
        <w:tab/>
      </w:r>
      <w:r w:rsidR="00BA0BD3" w:rsidRPr="00BA0BD3">
        <w:rPr>
          <w:rFonts w:eastAsia="Calibri" w:cstheme="minorHAnsi"/>
          <w:bCs/>
        </w:rPr>
        <w:t xml:space="preserve">The Chair of the </w:t>
      </w:r>
      <w:r w:rsidR="00040454">
        <w:rPr>
          <w:rFonts w:eastAsia="Calibri" w:cstheme="minorHAnsi"/>
          <w:bCs/>
        </w:rPr>
        <w:t>W</w:t>
      </w:r>
      <w:r w:rsidR="00BA0BD3" w:rsidRPr="00BA0BD3">
        <w:rPr>
          <w:rFonts w:eastAsia="Calibri" w:cstheme="minorHAnsi"/>
          <w:bCs/>
        </w:rPr>
        <w:t xml:space="preserve">orking </w:t>
      </w:r>
      <w:r w:rsidR="00040454">
        <w:rPr>
          <w:rFonts w:eastAsia="Calibri" w:cstheme="minorHAnsi"/>
          <w:bCs/>
        </w:rPr>
        <w:t>Gr</w:t>
      </w:r>
      <w:r w:rsidR="00BA0BD3" w:rsidRPr="00BA0BD3">
        <w:rPr>
          <w:rFonts w:eastAsia="Calibri" w:cstheme="minorHAnsi"/>
          <w:bCs/>
        </w:rPr>
        <w:t>oup</w:t>
      </w:r>
      <w:r w:rsidR="00040454">
        <w:rPr>
          <w:rFonts w:eastAsia="Calibri" w:cstheme="minorHAnsi"/>
          <w:bCs/>
        </w:rPr>
        <w:t xml:space="preserve"> </w:t>
      </w:r>
      <w:r w:rsidR="00BA0BD3" w:rsidRPr="00BA0BD3">
        <w:rPr>
          <w:rFonts w:eastAsia="Calibri" w:cstheme="minorHAnsi"/>
          <w:bCs/>
        </w:rPr>
        <w:t>introduced its report</w:t>
      </w:r>
      <w:r w:rsidR="00714E5E">
        <w:rPr>
          <w:rFonts w:eastAsia="Calibri" w:cstheme="minorHAnsi"/>
          <w:bCs/>
        </w:rPr>
        <w:t xml:space="preserve"> contained</w:t>
      </w:r>
      <w:r w:rsidR="00BA0BD3" w:rsidRPr="00BA0BD3">
        <w:rPr>
          <w:rFonts w:eastAsia="Calibri" w:cstheme="minorHAnsi"/>
          <w:bCs/>
        </w:rPr>
        <w:t xml:space="preserve"> in document SC59 Doc.10, explaining that</w:t>
      </w:r>
      <w:r w:rsidR="00BC378A">
        <w:rPr>
          <w:rFonts w:eastAsia="Calibri" w:cstheme="minorHAnsi"/>
          <w:bCs/>
        </w:rPr>
        <w:t xml:space="preserve"> Australia had taken up the role following</w:t>
      </w:r>
      <w:r w:rsidR="00BA0BD3" w:rsidRPr="00BA0BD3">
        <w:rPr>
          <w:rFonts w:eastAsia="Calibri" w:cstheme="minorHAnsi"/>
          <w:bCs/>
        </w:rPr>
        <w:t xml:space="preserve"> the </w:t>
      </w:r>
      <w:r w:rsidR="00BC378A">
        <w:rPr>
          <w:rFonts w:eastAsia="Calibri" w:cstheme="minorHAnsi"/>
          <w:bCs/>
        </w:rPr>
        <w:t>sad death in September 2020 of the previous C</w:t>
      </w:r>
      <w:r w:rsidR="00BA0BD3" w:rsidRPr="00BA0BD3">
        <w:rPr>
          <w:rFonts w:eastAsia="Calibri" w:cstheme="minorHAnsi"/>
          <w:bCs/>
        </w:rPr>
        <w:t xml:space="preserve">hair, </w:t>
      </w:r>
      <w:r w:rsidR="00BC378A">
        <w:rPr>
          <w:rFonts w:eastAsia="Calibri" w:cstheme="minorHAnsi"/>
          <w:bCs/>
        </w:rPr>
        <w:t xml:space="preserve">Mr. </w:t>
      </w:r>
      <w:r w:rsidR="00BA0BD3" w:rsidRPr="00BA0BD3">
        <w:rPr>
          <w:rFonts w:eastAsia="Calibri" w:cstheme="minorHAnsi"/>
          <w:bCs/>
        </w:rPr>
        <w:t xml:space="preserve">Paul Mafabi of Uganda. A summary of </w:t>
      </w:r>
      <w:r w:rsidR="00937A42">
        <w:rPr>
          <w:rFonts w:eastAsia="Calibri" w:cstheme="minorHAnsi"/>
          <w:bCs/>
        </w:rPr>
        <w:t>the history of the group,</w:t>
      </w:r>
      <w:r w:rsidR="00937A42" w:rsidRPr="00937A42">
        <w:rPr>
          <w:rFonts w:eastAsia="Calibri" w:cstheme="minorHAnsi"/>
          <w:bCs/>
        </w:rPr>
        <w:t xml:space="preserve"> </w:t>
      </w:r>
      <w:r w:rsidR="00BA0BD3" w:rsidRPr="00BA0BD3">
        <w:rPr>
          <w:rFonts w:eastAsia="Calibri" w:cstheme="minorHAnsi"/>
          <w:bCs/>
        </w:rPr>
        <w:t xml:space="preserve">key </w:t>
      </w:r>
      <w:r w:rsidR="00937A42">
        <w:rPr>
          <w:rFonts w:eastAsia="Calibri" w:cstheme="minorHAnsi"/>
          <w:bCs/>
        </w:rPr>
        <w:t>tasks</w:t>
      </w:r>
      <w:r w:rsidR="00BA0BD3" w:rsidRPr="00BA0BD3">
        <w:rPr>
          <w:rFonts w:eastAsia="Calibri" w:cstheme="minorHAnsi"/>
          <w:bCs/>
        </w:rPr>
        <w:t xml:space="preserve"> and processes was presented in two slides, </w:t>
      </w:r>
      <w:r w:rsidR="00937A42">
        <w:rPr>
          <w:rFonts w:eastAsia="Calibri" w:cstheme="minorHAnsi"/>
          <w:bCs/>
        </w:rPr>
        <w:t xml:space="preserve">which are included as Annex X </w:t>
      </w:r>
      <w:r w:rsidR="00BA0BD3" w:rsidRPr="00BA0BD3">
        <w:rPr>
          <w:rFonts w:eastAsia="Calibri" w:cstheme="minorHAnsi"/>
          <w:bCs/>
        </w:rPr>
        <w:t xml:space="preserve">to the present report. The </w:t>
      </w:r>
      <w:r w:rsidR="00937A42" w:rsidRPr="00BA0BD3">
        <w:rPr>
          <w:rFonts w:eastAsia="Calibri" w:cstheme="minorHAnsi"/>
          <w:bCs/>
        </w:rPr>
        <w:t xml:space="preserve">Chair </w:t>
      </w:r>
      <w:r w:rsidR="00937A42">
        <w:rPr>
          <w:rFonts w:eastAsia="Calibri" w:cstheme="minorHAnsi"/>
          <w:bCs/>
        </w:rPr>
        <w:t xml:space="preserve">of the </w:t>
      </w:r>
      <w:r w:rsidR="00937A42" w:rsidRPr="00BA0BD3">
        <w:rPr>
          <w:rFonts w:eastAsia="Calibri" w:cstheme="minorHAnsi"/>
          <w:bCs/>
        </w:rPr>
        <w:t xml:space="preserve">Working Group </w:t>
      </w:r>
      <w:r w:rsidR="00BA0BD3" w:rsidRPr="00BA0BD3">
        <w:rPr>
          <w:rFonts w:eastAsia="Calibri" w:cstheme="minorHAnsi"/>
          <w:bCs/>
        </w:rPr>
        <w:t xml:space="preserve">noted that the current strategic plan (SP4) would only run until 2024 and </w:t>
      </w:r>
      <w:r w:rsidR="00937A42">
        <w:rPr>
          <w:rFonts w:eastAsia="Calibri" w:cstheme="minorHAnsi"/>
          <w:bCs/>
        </w:rPr>
        <w:t xml:space="preserve">that the Group </w:t>
      </w:r>
      <w:r w:rsidR="00BA0BD3" w:rsidRPr="00BA0BD3">
        <w:rPr>
          <w:rFonts w:eastAsia="Calibri" w:cstheme="minorHAnsi"/>
          <w:bCs/>
        </w:rPr>
        <w:t xml:space="preserve">was proposing minimal refinement of the plan, drawing attention instead to a series of </w:t>
      </w:r>
      <w:r w:rsidR="00937A42">
        <w:rPr>
          <w:rFonts w:eastAsia="Calibri" w:cstheme="minorHAnsi"/>
          <w:bCs/>
        </w:rPr>
        <w:t xml:space="preserve">five proposed thematic </w:t>
      </w:r>
      <w:r w:rsidR="00BA0BD3" w:rsidRPr="00BA0BD3">
        <w:rPr>
          <w:rFonts w:eastAsia="Calibri" w:cstheme="minorHAnsi"/>
          <w:bCs/>
        </w:rPr>
        <w:t xml:space="preserve">annexes that the Contracting Parties could, if they wished, add to the plan at COP14. He further proposed the establishment of a new </w:t>
      </w:r>
      <w:r w:rsidR="00937A42" w:rsidRPr="00BA0BD3">
        <w:rPr>
          <w:rFonts w:eastAsia="Calibri" w:cstheme="minorHAnsi"/>
          <w:bCs/>
        </w:rPr>
        <w:t xml:space="preserve">Working Group </w:t>
      </w:r>
      <w:r w:rsidR="00BA0BD3" w:rsidRPr="00BA0BD3">
        <w:rPr>
          <w:rFonts w:eastAsia="Calibri" w:cstheme="minorHAnsi"/>
          <w:bCs/>
        </w:rPr>
        <w:t xml:space="preserve">to begin development of the next strategic plan (SP5) to ensure consistency and continuity. </w:t>
      </w:r>
      <w:r w:rsidR="00DF797B" w:rsidRPr="00BA0BD3">
        <w:rPr>
          <w:rFonts w:eastAsia="Calibri" w:cstheme="minorHAnsi"/>
          <w:bCs/>
        </w:rPr>
        <w:t xml:space="preserve">He further noted that, of the budget allocated for the preparation of SP4, CHF18,000 remained unspent and proposed that this be reallocated for development of SP5. </w:t>
      </w:r>
      <w:r w:rsidR="00BA0BD3" w:rsidRPr="00BA0BD3">
        <w:rPr>
          <w:rFonts w:eastAsia="Calibri" w:cstheme="minorHAnsi"/>
          <w:bCs/>
        </w:rPr>
        <w:t>Advice from the Secretariat</w:t>
      </w:r>
      <w:r w:rsidR="00937A42">
        <w:rPr>
          <w:rFonts w:eastAsia="Calibri" w:cstheme="minorHAnsi"/>
          <w:bCs/>
        </w:rPr>
        <w:t>’</w:t>
      </w:r>
      <w:r w:rsidR="00BA0BD3" w:rsidRPr="00BA0BD3">
        <w:rPr>
          <w:rFonts w:eastAsia="Calibri" w:cstheme="minorHAnsi"/>
          <w:bCs/>
        </w:rPr>
        <w:t xml:space="preserve">s </w:t>
      </w:r>
      <w:r w:rsidR="00937A42" w:rsidRPr="00BA0BD3">
        <w:rPr>
          <w:rFonts w:eastAsia="Calibri" w:cstheme="minorHAnsi"/>
          <w:bCs/>
        </w:rPr>
        <w:t xml:space="preserve">Legal Advisor </w:t>
      </w:r>
      <w:r w:rsidR="00BA0BD3" w:rsidRPr="00BA0BD3">
        <w:rPr>
          <w:rFonts w:eastAsia="Calibri" w:cstheme="minorHAnsi"/>
          <w:bCs/>
        </w:rPr>
        <w:t xml:space="preserve">indicated that there was no impediment to the establishment of such a group, should the Standing Committee decide that this was appropriate. </w:t>
      </w:r>
    </w:p>
    <w:p w14:paraId="3BBE2F51" w14:textId="77777777" w:rsidR="00BA0BD3" w:rsidRPr="00BA0BD3" w:rsidRDefault="00BA0BD3" w:rsidP="00BA0BD3">
      <w:pPr>
        <w:spacing w:after="0" w:line="240" w:lineRule="auto"/>
        <w:ind w:left="567" w:hanging="567"/>
        <w:rPr>
          <w:rFonts w:eastAsia="Calibri" w:cstheme="minorHAnsi"/>
          <w:bCs/>
        </w:rPr>
      </w:pPr>
    </w:p>
    <w:p w14:paraId="0A2A05B4" w14:textId="721FA1DD" w:rsidR="00BA0BD3" w:rsidRPr="00BA0BD3" w:rsidRDefault="00852EBE" w:rsidP="00BA0BD3">
      <w:pPr>
        <w:spacing w:after="0" w:line="240" w:lineRule="auto"/>
        <w:ind w:left="567" w:hanging="567"/>
        <w:rPr>
          <w:rFonts w:eastAsia="Calibri" w:cstheme="minorHAnsi"/>
          <w:bCs/>
        </w:rPr>
      </w:pPr>
      <w:r>
        <w:rPr>
          <w:rFonts w:eastAsia="Calibri" w:cstheme="minorHAnsi"/>
          <w:bCs/>
        </w:rPr>
        <w:t>12.</w:t>
      </w:r>
      <w:r>
        <w:rPr>
          <w:rFonts w:eastAsia="Calibri" w:cstheme="minorHAnsi"/>
          <w:bCs/>
        </w:rPr>
        <w:tab/>
      </w:r>
      <w:r w:rsidR="00BA0BD3" w:rsidRPr="00BA0BD3">
        <w:rPr>
          <w:rFonts w:eastAsia="Calibri" w:cstheme="minorHAnsi"/>
          <w:bCs/>
        </w:rPr>
        <w:t xml:space="preserve">During discussion, </w:t>
      </w:r>
      <w:r w:rsidR="005D055F">
        <w:rPr>
          <w:rFonts w:eastAsia="Calibri" w:cstheme="minorHAnsi"/>
          <w:bCs/>
        </w:rPr>
        <w:t xml:space="preserve">many </w:t>
      </w:r>
      <w:r w:rsidR="00BA0BD3" w:rsidRPr="00BA0BD3">
        <w:rPr>
          <w:rFonts w:eastAsia="Calibri" w:cstheme="minorHAnsi"/>
          <w:bCs/>
        </w:rPr>
        <w:t xml:space="preserve">participants expressed condolences to </w:t>
      </w:r>
      <w:r w:rsidR="005D055F">
        <w:rPr>
          <w:rFonts w:eastAsia="Calibri" w:cstheme="minorHAnsi"/>
          <w:bCs/>
        </w:rPr>
        <w:t>Mr.</w:t>
      </w:r>
      <w:r w:rsidR="00BA0BD3" w:rsidRPr="00BA0BD3">
        <w:rPr>
          <w:rFonts w:eastAsia="Calibri" w:cstheme="minorHAnsi"/>
          <w:bCs/>
        </w:rPr>
        <w:t xml:space="preserve"> Mafabi</w:t>
      </w:r>
      <w:r w:rsidR="005D055F">
        <w:rPr>
          <w:rFonts w:eastAsia="Calibri" w:cstheme="minorHAnsi"/>
          <w:bCs/>
        </w:rPr>
        <w:t>’</w:t>
      </w:r>
      <w:r w:rsidR="00BA0BD3" w:rsidRPr="00BA0BD3">
        <w:rPr>
          <w:rFonts w:eastAsia="Calibri" w:cstheme="minorHAnsi"/>
          <w:bCs/>
        </w:rPr>
        <w:t xml:space="preserve">s family, noting </w:t>
      </w:r>
      <w:r w:rsidR="005D055F">
        <w:rPr>
          <w:rFonts w:eastAsia="Calibri" w:cstheme="minorHAnsi"/>
          <w:bCs/>
        </w:rPr>
        <w:t>his</w:t>
      </w:r>
      <w:r w:rsidR="00BA0BD3" w:rsidRPr="00BA0BD3">
        <w:rPr>
          <w:rFonts w:eastAsia="Calibri" w:cstheme="minorHAnsi"/>
          <w:bCs/>
        </w:rPr>
        <w:t xml:space="preserve"> long association with </w:t>
      </w:r>
      <w:r w:rsidR="005D055F">
        <w:rPr>
          <w:rFonts w:eastAsia="Calibri" w:cstheme="minorHAnsi"/>
          <w:bCs/>
        </w:rPr>
        <w:t>and achievements for the Convention</w:t>
      </w:r>
      <w:r w:rsidR="00BA0BD3" w:rsidRPr="00BA0BD3">
        <w:rPr>
          <w:rFonts w:eastAsia="Calibri" w:cstheme="minorHAnsi"/>
          <w:bCs/>
        </w:rPr>
        <w:t xml:space="preserve">. Some expressed a desire for </w:t>
      </w:r>
      <w:r w:rsidR="005D055F">
        <w:rPr>
          <w:rFonts w:eastAsia="Calibri" w:cstheme="minorHAnsi"/>
          <w:bCs/>
        </w:rPr>
        <w:t>a simpler, action-oriented</w:t>
      </w:r>
      <w:r w:rsidR="00BA0BD3" w:rsidRPr="00BA0BD3">
        <w:rPr>
          <w:rFonts w:eastAsia="Calibri" w:cstheme="minorHAnsi"/>
          <w:bCs/>
        </w:rPr>
        <w:t xml:space="preserve"> </w:t>
      </w:r>
      <w:r w:rsidR="005D055F">
        <w:rPr>
          <w:rFonts w:eastAsia="Calibri" w:cstheme="minorHAnsi"/>
          <w:bCs/>
        </w:rPr>
        <w:t>S</w:t>
      </w:r>
      <w:r w:rsidR="008B7704">
        <w:rPr>
          <w:rFonts w:eastAsia="Calibri" w:cstheme="minorHAnsi"/>
          <w:bCs/>
        </w:rPr>
        <w:t xml:space="preserve">trategic </w:t>
      </w:r>
      <w:r w:rsidR="005D055F">
        <w:rPr>
          <w:rFonts w:eastAsia="Calibri" w:cstheme="minorHAnsi"/>
          <w:bCs/>
        </w:rPr>
        <w:t>P</w:t>
      </w:r>
      <w:r w:rsidR="008B7704">
        <w:rPr>
          <w:rFonts w:eastAsia="Calibri" w:cstheme="minorHAnsi"/>
          <w:bCs/>
        </w:rPr>
        <w:t xml:space="preserve">lan </w:t>
      </w:r>
      <w:r w:rsidR="005D055F">
        <w:rPr>
          <w:rFonts w:eastAsia="Calibri" w:cstheme="minorHAnsi"/>
          <w:bCs/>
        </w:rPr>
        <w:t>5</w:t>
      </w:r>
      <w:r w:rsidR="00116D31">
        <w:rPr>
          <w:rFonts w:eastAsia="Calibri" w:cstheme="minorHAnsi"/>
          <w:bCs/>
        </w:rPr>
        <w:t>. O</w:t>
      </w:r>
      <w:r w:rsidR="00BA0BD3" w:rsidRPr="00BA0BD3">
        <w:rPr>
          <w:rFonts w:eastAsia="Calibri" w:cstheme="minorHAnsi"/>
          <w:bCs/>
        </w:rPr>
        <w:t xml:space="preserve">thers raised concerns as to whether it was appropriate for the Standing Committee to establish a working group on </w:t>
      </w:r>
      <w:r w:rsidR="005D055F">
        <w:rPr>
          <w:rFonts w:eastAsia="Calibri" w:cstheme="minorHAnsi"/>
          <w:bCs/>
        </w:rPr>
        <w:t>S</w:t>
      </w:r>
      <w:r w:rsidR="008B7704">
        <w:rPr>
          <w:rFonts w:eastAsia="Calibri" w:cstheme="minorHAnsi"/>
          <w:bCs/>
        </w:rPr>
        <w:t xml:space="preserve">trategic </w:t>
      </w:r>
      <w:r w:rsidR="005D055F">
        <w:rPr>
          <w:rFonts w:eastAsia="Calibri" w:cstheme="minorHAnsi"/>
          <w:bCs/>
        </w:rPr>
        <w:t>P</w:t>
      </w:r>
      <w:r w:rsidR="008B7704">
        <w:rPr>
          <w:rFonts w:eastAsia="Calibri" w:cstheme="minorHAnsi"/>
          <w:bCs/>
        </w:rPr>
        <w:t xml:space="preserve">lan </w:t>
      </w:r>
      <w:r w:rsidR="005D055F">
        <w:rPr>
          <w:rFonts w:eastAsia="Calibri" w:cstheme="minorHAnsi"/>
          <w:bCs/>
        </w:rPr>
        <w:t>5</w:t>
      </w:r>
      <w:r w:rsidR="00BA0BD3" w:rsidRPr="00BA0BD3">
        <w:rPr>
          <w:rFonts w:eastAsia="Calibri" w:cstheme="minorHAnsi"/>
          <w:bCs/>
        </w:rPr>
        <w:t xml:space="preserve"> without input from the COP</w:t>
      </w:r>
      <w:r w:rsidR="00116D31">
        <w:rPr>
          <w:rFonts w:eastAsia="Calibri" w:cstheme="minorHAnsi"/>
          <w:bCs/>
        </w:rPr>
        <w:t>14</w:t>
      </w:r>
      <w:r w:rsidR="008B7704">
        <w:rPr>
          <w:rFonts w:eastAsia="Calibri" w:cstheme="minorHAnsi"/>
          <w:bCs/>
        </w:rPr>
        <w:t xml:space="preserve"> and </w:t>
      </w:r>
      <w:r w:rsidR="00116D31">
        <w:rPr>
          <w:rFonts w:eastAsia="Calibri" w:cstheme="minorHAnsi"/>
          <w:bCs/>
        </w:rPr>
        <w:t>that the S</w:t>
      </w:r>
      <w:r w:rsidR="00144CFA">
        <w:rPr>
          <w:rFonts w:eastAsia="Calibri" w:cstheme="minorHAnsi"/>
          <w:bCs/>
        </w:rPr>
        <w:t>tanding Committee does not have</w:t>
      </w:r>
      <w:r w:rsidR="00116D31">
        <w:rPr>
          <w:rFonts w:eastAsia="Calibri" w:cstheme="minorHAnsi"/>
          <w:bCs/>
        </w:rPr>
        <w:t xml:space="preserve"> the mandate to </w:t>
      </w:r>
      <w:r w:rsidR="008B7704">
        <w:rPr>
          <w:rFonts w:eastAsia="Calibri" w:cstheme="minorHAnsi"/>
          <w:bCs/>
        </w:rPr>
        <w:t>amend the current Strategic Plan</w:t>
      </w:r>
      <w:r w:rsidR="00116D31">
        <w:rPr>
          <w:rFonts w:eastAsia="Calibri" w:cstheme="minorHAnsi"/>
          <w:bCs/>
        </w:rPr>
        <w:t>, but that work done could be circulated for the C</w:t>
      </w:r>
      <w:r w:rsidR="00144CFA">
        <w:rPr>
          <w:rFonts w:eastAsia="Calibri" w:cstheme="minorHAnsi"/>
          <w:bCs/>
        </w:rPr>
        <w:t>ontracting parties to</w:t>
      </w:r>
      <w:r w:rsidR="00116D31">
        <w:rPr>
          <w:rFonts w:eastAsia="Calibri" w:cstheme="minorHAnsi"/>
          <w:bCs/>
        </w:rPr>
        <w:t xml:space="preserve"> use in an informal way until the COP14 may decide to amend the present plan</w:t>
      </w:r>
      <w:r w:rsidR="00BA0BD3" w:rsidRPr="00BA0BD3">
        <w:rPr>
          <w:rFonts w:eastAsia="Calibri" w:cstheme="minorHAnsi"/>
          <w:bCs/>
        </w:rPr>
        <w:t xml:space="preserve">. </w:t>
      </w:r>
      <w:r w:rsidR="00556D0C">
        <w:rPr>
          <w:rFonts w:eastAsia="Calibri" w:cstheme="minorHAnsi"/>
          <w:bCs/>
        </w:rPr>
        <w:t>Some c</w:t>
      </w:r>
      <w:r w:rsidR="008B7704">
        <w:rPr>
          <w:rFonts w:eastAsia="Calibri" w:cstheme="minorHAnsi"/>
          <w:bCs/>
        </w:rPr>
        <w:t xml:space="preserve">omments were made concerning </w:t>
      </w:r>
      <w:r w:rsidR="00556D0C">
        <w:rPr>
          <w:rFonts w:eastAsia="Calibri" w:cstheme="minorHAnsi"/>
          <w:bCs/>
        </w:rPr>
        <w:t xml:space="preserve">the scope of </w:t>
      </w:r>
      <w:r w:rsidR="008B7704">
        <w:rPr>
          <w:rFonts w:eastAsia="Calibri" w:cstheme="minorHAnsi"/>
          <w:bCs/>
        </w:rPr>
        <w:t>the thematic annexes</w:t>
      </w:r>
      <w:r w:rsidR="00556D0C">
        <w:rPr>
          <w:rFonts w:eastAsia="Calibri" w:cstheme="minorHAnsi"/>
          <w:bCs/>
        </w:rPr>
        <w:t>.</w:t>
      </w:r>
      <w:r w:rsidR="008B7704">
        <w:rPr>
          <w:rFonts w:eastAsia="Calibri" w:cstheme="minorHAnsi"/>
          <w:bCs/>
        </w:rPr>
        <w:t xml:space="preserve"> </w:t>
      </w:r>
    </w:p>
    <w:p w14:paraId="0929849D" w14:textId="77777777" w:rsidR="00BA0BD3" w:rsidRPr="00BA0BD3" w:rsidRDefault="00BA0BD3" w:rsidP="00BA0BD3">
      <w:pPr>
        <w:spacing w:after="0" w:line="240" w:lineRule="auto"/>
        <w:ind w:left="567" w:hanging="567"/>
        <w:rPr>
          <w:rFonts w:eastAsia="Calibri" w:cstheme="minorHAnsi"/>
          <w:bCs/>
        </w:rPr>
      </w:pPr>
    </w:p>
    <w:p w14:paraId="18D133AF" w14:textId="77777777" w:rsidR="00BA0BD3" w:rsidRPr="00BA0BD3" w:rsidRDefault="00852EBE" w:rsidP="00BA0BD3">
      <w:pPr>
        <w:spacing w:after="0" w:line="240" w:lineRule="auto"/>
        <w:ind w:left="567" w:hanging="567"/>
        <w:rPr>
          <w:rFonts w:eastAsia="Calibri" w:cstheme="minorHAnsi"/>
          <w:bCs/>
        </w:rPr>
      </w:pPr>
      <w:r>
        <w:rPr>
          <w:rFonts w:eastAsia="Calibri" w:cstheme="minorHAnsi"/>
          <w:bCs/>
        </w:rPr>
        <w:t>13.</w:t>
      </w:r>
      <w:r>
        <w:rPr>
          <w:rFonts w:eastAsia="Calibri" w:cstheme="minorHAnsi"/>
          <w:bCs/>
        </w:rPr>
        <w:tab/>
      </w:r>
      <w:r w:rsidR="00BA0BD3" w:rsidRPr="00BA0BD3">
        <w:rPr>
          <w:rFonts w:eastAsia="Calibri" w:cstheme="minorHAnsi"/>
          <w:bCs/>
        </w:rPr>
        <w:t xml:space="preserve">The </w:t>
      </w:r>
      <w:r w:rsidR="005D055F" w:rsidRPr="00BA0BD3">
        <w:rPr>
          <w:rFonts w:eastAsia="Calibri" w:cstheme="minorHAnsi"/>
          <w:bCs/>
        </w:rPr>
        <w:t xml:space="preserve">Working Group Chair </w:t>
      </w:r>
      <w:r w:rsidR="00BA0BD3" w:rsidRPr="00BA0BD3">
        <w:rPr>
          <w:rFonts w:eastAsia="Calibri" w:cstheme="minorHAnsi"/>
          <w:bCs/>
        </w:rPr>
        <w:t>further clarified that some of the annexes in the document such as Annex C on the Convention on Biological Diversity (CBD) reflected delays in other processes caused by the pandemic, and were intended to serve as place-holders.</w:t>
      </w:r>
    </w:p>
    <w:p w14:paraId="2CB88057" w14:textId="77777777" w:rsidR="00BA0BD3" w:rsidRPr="00BA0BD3" w:rsidRDefault="00BA0BD3" w:rsidP="00BA0BD3">
      <w:pPr>
        <w:spacing w:after="0" w:line="240" w:lineRule="auto"/>
        <w:ind w:left="567" w:hanging="567"/>
        <w:rPr>
          <w:rFonts w:eastAsia="Calibri" w:cstheme="minorHAnsi"/>
          <w:bCs/>
        </w:rPr>
      </w:pPr>
    </w:p>
    <w:p w14:paraId="3D205330" w14:textId="77777777" w:rsidR="00BA0BD3" w:rsidRDefault="00852EBE" w:rsidP="00BA0BD3">
      <w:pPr>
        <w:spacing w:after="0" w:line="240" w:lineRule="auto"/>
        <w:ind w:left="567" w:hanging="567"/>
        <w:rPr>
          <w:rFonts w:eastAsia="Calibri" w:cstheme="minorHAnsi"/>
          <w:bCs/>
        </w:rPr>
      </w:pPr>
      <w:r>
        <w:rPr>
          <w:rFonts w:eastAsia="Calibri" w:cstheme="minorHAnsi"/>
          <w:bCs/>
        </w:rPr>
        <w:t>14.</w:t>
      </w:r>
      <w:r>
        <w:rPr>
          <w:rFonts w:eastAsia="Calibri" w:cstheme="minorHAnsi"/>
          <w:bCs/>
        </w:rPr>
        <w:tab/>
      </w:r>
      <w:r w:rsidR="00BA0BD3" w:rsidRPr="00BA0BD3">
        <w:rPr>
          <w:rFonts w:eastAsia="Calibri" w:cstheme="minorHAnsi"/>
          <w:bCs/>
        </w:rPr>
        <w:t xml:space="preserve">Interventions were made by Argentina, Australia, Brazil, China, Mexico, Sweden, Switzerland and </w:t>
      </w:r>
      <w:r>
        <w:rPr>
          <w:rFonts w:eastAsia="Calibri" w:cstheme="minorHAnsi"/>
          <w:bCs/>
        </w:rPr>
        <w:t xml:space="preserve">the </w:t>
      </w:r>
      <w:r w:rsidR="00BA0BD3" w:rsidRPr="00BA0BD3">
        <w:rPr>
          <w:rFonts w:eastAsia="Calibri" w:cstheme="minorHAnsi"/>
          <w:bCs/>
        </w:rPr>
        <w:t>United States</w:t>
      </w:r>
      <w:r>
        <w:rPr>
          <w:rFonts w:eastAsia="Calibri" w:cstheme="minorHAnsi"/>
          <w:bCs/>
        </w:rPr>
        <w:t xml:space="preserve"> of America</w:t>
      </w:r>
      <w:r w:rsidR="00BA0BD3" w:rsidRPr="00BA0BD3">
        <w:rPr>
          <w:rFonts w:eastAsia="Calibri" w:cstheme="minorHAnsi"/>
          <w:bCs/>
        </w:rPr>
        <w:t xml:space="preserve">. </w:t>
      </w:r>
    </w:p>
    <w:p w14:paraId="1C241A27" w14:textId="77777777" w:rsidR="00852EBE" w:rsidRPr="00BA0BD3" w:rsidRDefault="00852EBE" w:rsidP="00BA0BD3">
      <w:pPr>
        <w:spacing w:after="0" w:line="240" w:lineRule="auto"/>
        <w:ind w:left="567" w:hanging="567"/>
        <w:rPr>
          <w:rFonts w:eastAsia="Calibri" w:cstheme="minorHAnsi"/>
          <w:bCs/>
        </w:rPr>
      </w:pPr>
    </w:p>
    <w:p w14:paraId="300C091C" w14:textId="7720C84E" w:rsidR="002E5F12" w:rsidRDefault="00852EBE" w:rsidP="00DB13B4">
      <w:pPr>
        <w:pStyle w:val="ColorfulList-Accent11"/>
        <w:ind w:left="0" w:firstLine="0"/>
        <w:rPr>
          <w:rFonts w:cs="Calibri"/>
        </w:rPr>
      </w:pPr>
      <w:r w:rsidRPr="00100CFF">
        <w:rPr>
          <w:rFonts w:cstheme="minorHAnsi"/>
          <w:b/>
        </w:rPr>
        <w:t>Decision SC59-1</w:t>
      </w:r>
      <w:r w:rsidR="00EB30BD" w:rsidRPr="00100CFF">
        <w:rPr>
          <w:rFonts w:cstheme="minorHAnsi"/>
          <w:b/>
        </w:rPr>
        <w:t>6</w:t>
      </w:r>
      <w:r w:rsidRPr="00100CFF">
        <w:rPr>
          <w:rFonts w:cstheme="minorHAnsi"/>
          <w:b/>
        </w:rPr>
        <w:t>: The Standing Committee</w:t>
      </w:r>
      <w:r w:rsidRPr="00100CFF">
        <w:rPr>
          <w:b/>
        </w:rPr>
        <w:t xml:space="preserve"> </w:t>
      </w:r>
      <w:r w:rsidRPr="00100CFF">
        <w:rPr>
          <w:rFonts w:cstheme="minorHAnsi"/>
          <w:b/>
        </w:rPr>
        <w:t xml:space="preserve">took note of the work of the Strategic Plan </w:t>
      </w:r>
      <w:r w:rsidRPr="008B1783">
        <w:rPr>
          <w:rFonts w:cstheme="minorHAnsi"/>
          <w:b/>
        </w:rPr>
        <w:t>Working</w:t>
      </w:r>
      <w:r w:rsidR="00116D31">
        <w:rPr>
          <w:rFonts w:cstheme="minorHAnsi"/>
          <w:b/>
        </w:rPr>
        <w:t xml:space="preserve"> </w:t>
      </w:r>
      <w:r w:rsidRPr="008B1783">
        <w:rPr>
          <w:rFonts w:cstheme="minorHAnsi"/>
          <w:b/>
        </w:rPr>
        <w:t xml:space="preserve">Group; invited it to </w:t>
      </w:r>
      <w:r w:rsidR="00750EF2" w:rsidRPr="008B1783">
        <w:rPr>
          <w:rFonts w:eastAsia="+mn-ea" w:cs="+mn-cs"/>
          <w:b/>
          <w:lang w:val="en-AU"/>
        </w:rPr>
        <w:t xml:space="preserve">recommend to COP14 to amend SP4 </w:t>
      </w:r>
      <w:r w:rsidR="002E5F12" w:rsidRPr="008B1783">
        <w:rPr>
          <w:rFonts w:cs="Calibri"/>
          <w:b/>
        </w:rPr>
        <w:t>by adding thematic Annexes that address emerging and other issues</w:t>
      </w:r>
      <w:r w:rsidR="002E5F12" w:rsidRPr="008B1783">
        <w:rPr>
          <w:b/>
        </w:rPr>
        <w:t xml:space="preserve">, noting that existing Annex 2 </w:t>
      </w:r>
      <w:r w:rsidR="002E5F12" w:rsidRPr="008B1783">
        <w:rPr>
          <w:rFonts w:cs="Calibri"/>
          <w:b/>
        </w:rPr>
        <w:t>will be updated to map the Ramsar Targets with the post</w:t>
      </w:r>
      <w:r w:rsidR="008B3829">
        <w:rPr>
          <w:rFonts w:cs="Calibri"/>
          <w:b/>
        </w:rPr>
        <w:t>-</w:t>
      </w:r>
      <w:r w:rsidR="002E5F12" w:rsidRPr="008B1783">
        <w:rPr>
          <w:rFonts w:cs="Calibri"/>
          <w:b/>
        </w:rPr>
        <w:t>2020 Biodiversity Goals and Indicators when available</w:t>
      </w:r>
      <w:r w:rsidR="009F234A">
        <w:rPr>
          <w:rFonts w:cs="Calibri"/>
          <w:b/>
        </w:rPr>
        <w:t>.</w:t>
      </w:r>
    </w:p>
    <w:p w14:paraId="58C640D3" w14:textId="77777777" w:rsidR="00EB30BD" w:rsidRDefault="00EB30BD" w:rsidP="00852EBE">
      <w:pPr>
        <w:spacing w:after="0" w:line="240" w:lineRule="auto"/>
        <w:rPr>
          <w:rFonts w:cstheme="minorHAnsi"/>
          <w:b/>
        </w:rPr>
      </w:pPr>
    </w:p>
    <w:p w14:paraId="48B1CDB2" w14:textId="77777777" w:rsidR="008B3829" w:rsidRDefault="00EB30BD" w:rsidP="00852EBE">
      <w:pPr>
        <w:spacing w:after="0" w:line="240" w:lineRule="auto"/>
        <w:rPr>
          <w:rFonts w:cstheme="minorHAnsi"/>
          <w:b/>
        </w:rPr>
      </w:pPr>
      <w:r>
        <w:rPr>
          <w:rFonts w:cstheme="minorHAnsi"/>
          <w:b/>
        </w:rPr>
        <w:t>Decision SC59-17: T</w:t>
      </w:r>
      <w:r w:rsidRPr="005F4C17">
        <w:rPr>
          <w:rFonts w:cstheme="minorHAnsi"/>
          <w:b/>
        </w:rPr>
        <w:t>he Standing Committee</w:t>
      </w:r>
      <w:r>
        <w:rPr>
          <w:rFonts w:cstheme="minorHAnsi"/>
          <w:b/>
        </w:rPr>
        <w:t xml:space="preserve"> agreed</w:t>
      </w:r>
      <w:r w:rsidR="00852EBE" w:rsidRPr="00852EBE">
        <w:rPr>
          <w:rFonts w:cstheme="minorHAnsi"/>
          <w:b/>
        </w:rPr>
        <w:t xml:space="preserve"> that existing guidance</w:t>
      </w:r>
      <w:r>
        <w:rPr>
          <w:rFonts w:cstheme="minorHAnsi"/>
          <w:b/>
        </w:rPr>
        <w:t xml:space="preserve"> and </w:t>
      </w:r>
      <w:r w:rsidR="00852EBE" w:rsidRPr="00852EBE">
        <w:rPr>
          <w:rFonts w:cstheme="minorHAnsi"/>
          <w:b/>
        </w:rPr>
        <w:t>tools be communicated to Contracting Parties to support the implementation of SP4 in the gap year to COP14, subject to available c</w:t>
      </w:r>
      <w:r>
        <w:rPr>
          <w:rFonts w:cstheme="minorHAnsi"/>
          <w:b/>
        </w:rPr>
        <w:t>apacity within the Secretariat</w:t>
      </w:r>
      <w:r w:rsidR="00157812">
        <w:rPr>
          <w:rFonts w:cstheme="minorHAnsi"/>
          <w:b/>
        </w:rPr>
        <w:t>.</w:t>
      </w:r>
    </w:p>
    <w:p w14:paraId="682D06D8" w14:textId="77777777" w:rsidR="008B3829" w:rsidRDefault="008B3829" w:rsidP="00852EBE">
      <w:pPr>
        <w:spacing w:after="0" w:line="240" w:lineRule="auto"/>
        <w:rPr>
          <w:rFonts w:cstheme="minorHAnsi"/>
          <w:b/>
        </w:rPr>
      </w:pPr>
    </w:p>
    <w:p w14:paraId="226C7CDD" w14:textId="2D498FB3" w:rsidR="00251A39" w:rsidRDefault="008655C8" w:rsidP="00EA7EA8">
      <w:pPr>
        <w:spacing w:after="0" w:line="240" w:lineRule="auto"/>
        <w:rPr>
          <w:b/>
        </w:rPr>
      </w:pPr>
      <w:r>
        <w:rPr>
          <w:rFonts w:cs="Calibri"/>
          <w:b/>
        </w:rPr>
        <w:t>Decision SC59-1</w:t>
      </w:r>
      <w:r w:rsidR="00CE09FB">
        <w:rPr>
          <w:rFonts w:cs="Calibri"/>
          <w:b/>
        </w:rPr>
        <w:t>8</w:t>
      </w:r>
      <w:r w:rsidR="00157812">
        <w:rPr>
          <w:rFonts w:cs="Calibri"/>
          <w:b/>
        </w:rPr>
        <w:t>: The Standing C</w:t>
      </w:r>
      <w:r w:rsidR="00251A39" w:rsidRPr="00251A39">
        <w:rPr>
          <w:rFonts w:cs="Calibri"/>
          <w:b/>
        </w:rPr>
        <w:t>ommittee note</w:t>
      </w:r>
      <w:r w:rsidR="008B3829">
        <w:rPr>
          <w:rFonts w:cs="Calibri"/>
          <w:b/>
        </w:rPr>
        <w:t>d</w:t>
      </w:r>
      <w:r w:rsidR="00251A39" w:rsidRPr="00251A39">
        <w:rPr>
          <w:rFonts w:cs="Calibri"/>
          <w:b/>
        </w:rPr>
        <w:t xml:space="preserve"> that the </w:t>
      </w:r>
      <w:r w:rsidR="00E166DE">
        <w:rPr>
          <w:rFonts w:cs="Calibri"/>
          <w:b/>
        </w:rPr>
        <w:t>W</w:t>
      </w:r>
      <w:r w:rsidR="00251A39" w:rsidRPr="00251A39">
        <w:rPr>
          <w:rFonts w:cs="Calibri"/>
          <w:b/>
        </w:rPr>
        <w:t xml:space="preserve">orking Group </w:t>
      </w:r>
      <w:r w:rsidR="00897CB9">
        <w:rPr>
          <w:rFonts w:cs="Calibri"/>
          <w:b/>
        </w:rPr>
        <w:t>w</w:t>
      </w:r>
      <w:r w:rsidR="00251A39" w:rsidRPr="00251A39">
        <w:rPr>
          <w:rFonts w:cs="Calibri"/>
          <w:b/>
        </w:rPr>
        <w:t xml:space="preserve">ill prepare a draft Resolution about the review of the </w:t>
      </w:r>
      <w:r w:rsidR="00251A39" w:rsidRPr="008B3829">
        <w:rPr>
          <w:rFonts w:cs="Calibri"/>
          <w:b/>
        </w:rPr>
        <w:t>4th</w:t>
      </w:r>
      <w:r w:rsidR="00251A39" w:rsidRPr="00251A39">
        <w:rPr>
          <w:rFonts w:cs="Calibri"/>
          <w:b/>
        </w:rPr>
        <w:t xml:space="preserve"> Strategic Plan, proposed thematic annexes, and areas where new guidance </w:t>
      </w:r>
      <w:r w:rsidR="00251A39" w:rsidRPr="00251A39">
        <w:rPr>
          <w:b/>
        </w:rPr>
        <w:t xml:space="preserve">could be progressed in the next triennium, and </w:t>
      </w:r>
      <w:r w:rsidR="00251A39" w:rsidRPr="00251A39">
        <w:rPr>
          <w:rFonts w:ascii="Calibri" w:hAnsi="Calibri" w:cs="Calibri"/>
          <w:b/>
        </w:rPr>
        <w:t>basic elements for the preparation of a proposed framework for S</w:t>
      </w:r>
      <w:r w:rsidR="003207B6">
        <w:rPr>
          <w:rFonts w:ascii="Calibri" w:hAnsi="Calibri" w:cs="Calibri"/>
          <w:b/>
        </w:rPr>
        <w:t xml:space="preserve">trategic </w:t>
      </w:r>
      <w:r w:rsidR="00251A39" w:rsidRPr="00251A39">
        <w:rPr>
          <w:rFonts w:ascii="Calibri" w:hAnsi="Calibri" w:cs="Calibri"/>
          <w:b/>
        </w:rPr>
        <w:t>P</w:t>
      </w:r>
      <w:r w:rsidR="003207B6">
        <w:rPr>
          <w:rFonts w:ascii="Calibri" w:hAnsi="Calibri" w:cs="Calibri"/>
          <w:b/>
        </w:rPr>
        <w:t xml:space="preserve">lan </w:t>
      </w:r>
      <w:r w:rsidR="00251A39" w:rsidRPr="00251A39">
        <w:rPr>
          <w:rFonts w:ascii="Calibri" w:hAnsi="Calibri" w:cs="Calibri"/>
          <w:b/>
        </w:rPr>
        <w:t>5, indicating the key elements</w:t>
      </w:r>
      <w:r w:rsidR="003207B6">
        <w:rPr>
          <w:rFonts w:ascii="Calibri" w:hAnsi="Calibri" w:cs="Calibri"/>
          <w:b/>
        </w:rPr>
        <w:t>,</w:t>
      </w:r>
      <w:r w:rsidR="00251A39" w:rsidRPr="00251A39">
        <w:rPr>
          <w:rFonts w:ascii="Calibri" w:hAnsi="Calibri" w:cs="Calibri"/>
          <w:b/>
        </w:rPr>
        <w:t xml:space="preserve"> </w:t>
      </w:r>
      <w:r w:rsidR="00251A39" w:rsidRPr="00251A39">
        <w:rPr>
          <w:b/>
        </w:rPr>
        <w:t>for the S</w:t>
      </w:r>
      <w:r w:rsidR="003207B6">
        <w:rPr>
          <w:b/>
        </w:rPr>
        <w:t xml:space="preserve">tanding </w:t>
      </w:r>
      <w:r w:rsidR="00251A39" w:rsidRPr="00251A39">
        <w:rPr>
          <w:b/>
        </w:rPr>
        <w:t>C</w:t>
      </w:r>
      <w:r w:rsidR="003207B6">
        <w:rPr>
          <w:b/>
        </w:rPr>
        <w:t>ommittee</w:t>
      </w:r>
      <w:r w:rsidR="00251A39" w:rsidRPr="00251A39">
        <w:rPr>
          <w:b/>
        </w:rPr>
        <w:t xml:space="preserve"> meeting in 2022 ahead of COP14.</w:t>
      </w:r>
    </w:p>
    <w:p w14:paraId="36FEEF72" w14:textId="77777777" w:rsidR="00251A39" w:rsidRDefault="00251A39" w:rsidP="00EA7EA8">
      <w:pPr>
        <w:spacing w:after="0" w:line="240" w:lineRule="auto"/>
        <w:rPr>
          <w:b/>
        </w:rPr>
      </w:pPr>
    </w:p>
    <w:p w14:paraId="6D34B4FD" w14:textId="77777777" w:rsidR="00251A39" w:rsidRDefault="00251A39" w:rsidP="00251A39">
      <w:pPr>
        <w:spacing w:after="0" w:line="240" w:lineRule="auto"/>
        <w:rPr>
          <w:rFonts w:cstheme="minorHAnsi"/>
          <w:b/>
        </w:rPr>
      </w:pPr>
      <w:r>
        <w:rPr>
          <w:rFonts w:cstheme="minorHAnsi"/>
          <w:b/>
        </w:rPr>
        <w:t>Decision SC59-</w:t>
      </w:r>
      <w:r w:rsidR="00CE09FB">
        <w:rPr>
          <w:rFonts w:cstheme="minorHAnsi"/>
          <w:b/>
        </w:rPr>
        <w:t>19</w:t>
      </w:r>
      <w:r>
        <w:rPr>
          <w:rFonts w:cstheme="minorHAnsi"/>
          <w:b/>
        </w:rPr>
        <w:t>: The Standing Committee recommended that the Contracting Parties at COP14 extend the term of SP4 from 2024 until such time as COP15 may be held, in order to ensure continuity between successive Plans.</w:t>
      </w:r>
    </w:p>
    <w:p w14:paraId="1A10402E" w14:textId="77777777" w:rsidR="00251A39" w:rsidRPr="00251A39" w:rsidRDefault="00251A39" w:rsidP="00EA7EA8">
      <w:pPr>
        <w:spacing w:after="0" w:line="240" w:lineRule="auto"/>
        <w:rPr>
          <w:rFonts w:cstheme="minorHAnsi"/>
          <w:b/>
        </w:rPr>
      </w:pPr>
    </w:p>
    <w:p w14:paraId="7C7AD855" w14:textId="77777777" w:rsidR="005217DC" w:rsidRDefault="005217DC" w:rsidP="00EA7EA8">
      <w:pPr>
        <w:spacing w:after="0" w:line="240" w:lineRule="auto"/>
        <w:rPr>
          <w:rFonts w:cstheme="minorHAnsi"/>
          <w:b/>
        </w:rPr>
      </w:pPr>
    </w:p>
    <w:p w14:paraId="0FCA3ADB" w14:textId="77777777" w:rsidR="005217DC" w:rsidRDefault="005217DC" w:rsidP="00EA7EA8">
      <w:pPr>
        <w:spacing w:after="0" w:line="240" w:lineRule="auto"/>
        <w:rPr>
          <w:rFonts w:cstheme="minorHAnsi"/>
          <w:b/>
        </w:rPr>
      </w:pPr>
    </w:p>
    <w:p w14:paraId="5C408E57" w14:textId="77777777" w:rsidR="00EA7EA8" w:rsidRDefault="00EA7EA8" w:rsidP="00EA7EA8">
      <w:pPr>
        <w:spacing w:after="0" w:line="240" w:lineRule="auto"/>
        <w:rPr>
          <w:rFonts w:cstheme="minorHAnsi"/>
          <w:b/>
        </w:rPr>
      </w:pPr>
    </w:p>
    <w:p w14:paraId="33A194F2" w14:textId="77777777" w:rsidR="00EA7EA8" w:rsidRPr="00852EBE" w:rsidRDefault="00EA7EA8" w:rsidP="00EA7EA8">
      <w:pPr>
        <w:spacing w:after="0" w:line="240" w:lineRule="auto"/>
        <w:rPr>
          <w:rFonts w:cstheme="minorHAnsi"/>
          <w:b/>
        </w:rPr>
      </w:pPr>
    </w:p>
    <w:p w14:paraId="58DBCC9F" w14:textId="77777777" w:rsidR="00362114" w:rsidRPr="00852EBE" w:rsidRDefault="00362114" w:rsidP="00EA7EA8">
      <w:pPr>
        <w:spacing w:after="0" w:line="240" w:lineRule="auto"/>
        <w:rPr>
          <w:rFonts w:cstheme="minorHAnsi"/>
          <w:b/>
        </w:rPr>
      </w:pPr>
    </w:p>
    <w:p w14:paraId="0345DF42" w14:textId="77777777" w:rsidR="002B1C9D" w:rsidRDefault="002B1C9D" w:rsidP="00E64244">
      <w:pPr>
        <w:spacing w:after="0" w:line="240" w:lineRule="auto"/>
        <w:contextualSpacing/>
        <w:rPr>
          <w:rFonts w:cstheme="minorHAnsi"/>
          <w:b/>
          <w:i/>
        </w:rPr>
      </w:pPr>
    </w:p>
    <w:sectPr w:rsidR="002B1C9D" w:rsidSect="00545238">
      <w:footerReference w:type="default" r:id="rId11"/>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F33C3" w16cex:dateUtc="2021-06-24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5D66FD" w16cid:durableId="247F33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3CDC7" w14:textId="77777777" w:rsidR="00576AD8" w:rsidRDefault="00576AD8" w:rsidP="0021462B">
      <w:pPr>
        <w:spacing w:after="0" w:line="240" w:lineRule="auto"/>
      </w:pPr>
      <w:r>
        <w:separator/>
      </w:r>
    </w:p>
  </w:endnote>
  <w:endnote w:type="continuationSeparator" w:id="0">
    <w:p w14:paraId="2EBFABE5" w14:textId="77777777" w:rsidR="00576AD8" w:rsidRDefault="00576AD8" w:rsidP="0021462B">
      <w:pPr>
        <w:spacing w:after="0" w:line="240" w:lineRule="auto"/>
      </w:pPr>
      <w:r>
        <w:continuationSeparator/>
      </w:r>
    </w:p>
  </w:endnote>
  <w:endnote w:type="continuationNotice" w:id="1">
    <w:p w14:paraId="42F92CFD" w14:textId="77777777" w:rsidR="00576AD8" w:rsidRDefault="00576A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5D3C" w14:textId="724319D4" w:rsidR="00EB5383" w:rsidRPr="0021462B" w:rsidRDefault="00362114">
    <w:pPr>
      <w:pStyle w:val="Footer"/>
      <w:rPr>
        <w:sz w:val="20"/>
        <w:szCs w:val="20"/>
      </w:rPr>
    </w:pPr>
    <w:r>
      <w:rPr>
        <w:sz w:val="20"/>
        <w:szCs w:val="20"/>
      </w:rPr>
      <w:t>SC59 Rep.2</w:t>
    </w:r>
    <w:r w:rsidR="002D2C2D">
      <w:rPr>
        <w:sz w:val="20"/>
        <w:szCs w:val="20"/>
      </w:rPr>
      <w:t xml:space="preserve"> Rev.1</w:t>
    </w:r>
    <w:r w:rsidR="00EB5383" w:rsidRPr="0021462B">
      <w:rPr>
        <w:sz w:val="20"/>
        <w:szCs w:val="20"/>
      </w:rPr>
      <w:tab/>
    </w:r>
    <w:r w:rsidR="00EB5383" w:rsidRPr="0021462B">
      <w:rPr>
        <w:sz w:val="20"/>
        <w:szCs w:val="20"/>
      </w:rPr>
      <w:tab/>
    </w:r>
    <w:r w:rsidR="00EB5383">
      <w:fldChar w:fldCharType="begin"/>
    </w:r>
    <w:r w:rsidR="00EB5383">
      <w:instrText xml:space="preserve"> PAGE   \* MERGEFORMAT </w:instrText>
    </w:r>
    <w:r w:rsidR="00EB5383">
      <w:fldChar w:fldCharType="separate"/>
    </w:r>
    <w:r w:rsidR="004B7C49" w:rsidRPr="004B7C49">
      <w:rPr>
        <w:noProof/>
        <w:sz w:val="20"/>
        <w:szCs w:val="20"/>
      </w:rPr>
      <w:t>3</w:t>
    </w:r>
    <w:r w:rsidR="00EB53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7B271" w14:textId="77777777" w:rsidR="00576AD8" w:rsidRDefault="00576AD8" w:rsidP="0021462B">
      <w:pPr>
        <w:spacing w:after="0" w:line="240" w:lineRule="auto"/>
      </w:pPr>
      <w:r>
        <w:separator/>
      </w:r>
    </w:p>
  </w:footnote>
  <w:footnote w:type="continuationSeparator" w:id="0">
    <w:p w14:paraId="6F77AAC8" w14:textId="77777777" w:rsidR="00576AD8" w:rsidRDefault="00576AD8" w:rsidP="0021462B">
      <w:pPr>
        <w:spacing w:after="0" w:line="240" w:lineRule="auto"/>
      </w:pPr>
      <w:r>
        <w:continuationSeparator/>
      </w:r>
    </w:p>
  </w:footnote>
  <w:footnote w:type="continuationNotice" w:id="1">
    <w:p w14:paraId="0C66EED0" w14:textId="77777777" w:rsidR="00576AD8" w:rsidRDefault="00576A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DE500B"/>
    <w:multiLevelType w:val="hybridMultilevel"/>
    <w:tmpl w:val="E89654BE"/>
    <w:lvl w:ilvl="0" w:tplc="8A209058">
      <w:start w:val="1"/>
      <w:numFmt w:val="bullet"/>
      <w:lvlText w:val="•"/>
      <w:lvlJc w:val="left"/>
      <w:pPr>
        <w:tabs>
          <w:tab w:val="num" w:pos="720"/>
        </w:tabs>
        <w:ind w:left="720" w:hanging="360"/>
      </w:pPr>
      <w:rPr>
        <w:rFonts w:ascii="Times New Roman" w:hAnsi="Times New Roman" w:hint="default"/>
      </w:rPr>
    </w:lvl>
    <w:lvl w:ilvl="1" w:tplc="280A4A18" w:tentative="1">
      <w:start w:val="1"/>
      <w:numFmt w:val="bullet"/>
      <w:lvlText w:val="•"/>
      <w:lvlJc w:val="left"/>
      <w:pPr>
        <w:tabs>
          <w:tab w:val="num" w:pos="1440"/>
        </w:tabs>
        <w:ind w:left="1440" w:hanging="360"/>
      </w:pPr>
      <w:rPr>
        <w:rFonts w:ascii="Times New Roman" w:hAnsi="Times New Roman" w:hint="default"/>
      </w:rPr>
    </w:lvl>
    <w:lvl w:ilvl="2" w:tplc="11E009F4" w:tentative="1">
      <w:start w:val="1"/>
      <w:numFmt w:val="bullet"/>
      <w:lvlText w:val="•"/>
      <w:lvlJc w:val="left"/>
      <w:pPr>
        <w:tabs>
          <w:tab w:val="num" w:pos="2160"/>
        </w:tabs>
        <w:ind w:left="2160" w:hanging="360"/>
      </w:pPr>
      <w:rPr>
        <w:rFonts w:ascii="Times New Roman" w:hAnsi="Times New Roman" w:hint="default"/>
      </w:rPr>
    </w:lvl>
    <w:lvl w:ilvl="3" w:tplc="38FEE7EC" w:tentative="1">
      <w:start w:val="1"/>
      <w:numFmt w:val="bullet"/>
      <w:lvlText w:val="•"/>
      <w:lvlJc w:val="left"/>
      <w:pPr>
        <w:tabs>
          <w:tab w:val="num" w:pos="2880"/>
        </w:tabs>
        <w:ind w:left="2880" w:hanging="360"/>
      </w:pPr>
      <w:rPr>
        <w:rFonts w:ascii="Times New Roman" w:hAnsi="Times New Roman" w:hint="default"/>
      </w:rPr>
    </w:lvl>
    <w:lvl w:ilvl="4" w:tplc="DE38CC3A" w:tentative="1">
      <w:start w:val="1"/>
      <w:numFmt w:val="bullet"/>
      <w:lvlText w:val="•"/>
      <w:lvlJc w:val="left"/>
      <w:pPr>
        <w:tabs>
          <w:tab w:val="num" w:pos="3600"/>
        </w:tabs>
        <w:ind w:left="3600" w:hanging="360"/>
      </w:pPr>
      <w:rPr>
        <w:rFonts w:ascii="Times New Roman" w:hAnsi="Times New Roman" w:hint="default"/>
      </w:rPr>
    </w:lvl>
    <w:lvl w:ilvl="5" w:tplc="8CA08048" w:tentative="1">
      <w:start w:val="1"/>
      <w:numFmt w:val="bullet"/>
      <w:lvlText w:val="•"/>
      <w:lvlJc w:val="left"/>
      <w:pPr>
        <w:tabs>
          <w:tab w:val="num" w:pos="4320"/>
        </w:tabs>
        <w:ind w:left="4320" w:hanging="360"/>
      </w:pPr>
      <w:rPr>
        <w:rFonts w:ascii="Times New Roman" w:hAnsi="Times New Roman" w:hint="default"/>
      </w:rPr>
    </w:lvl>
    <w:lvl w:ilvl="6" w:tplc="C0BC78DA" w:tentative="1">
      <w:start w:val="1"/>
      <w:numFmt w:val="bullet"/>
      <w:lvlText w:val="•"/>
      <w:lvlJc w:val="left"/>
      <w:pPr>
        <w:tabs>
          <w:tab w:val="num" w:pos="5040"/>
        </w:tabs>
        <w:ind w:left="5040" w:hanging="360"/>
      </w:pPr>
      <w:rPr>
        <w:rFonts w:ascii="Times New Roman" w:hAnsi="Times New Roman" w:hint="default"/>
      </w:rPr>
    </w:lvl>
    <w:lvl w:ilvl="7" w:tplc="B50865D6" w:tentative="1">
      <w:start w:val="1"/>
      <w:numFmt w:val="bullet"/>
      <w:lvlText w:val="•"/>
      <w:lvlJc w:val="left"/>
      <w:pPr>
        <w:tabs>
          <w:tab w:val="num" w:pos="5760"/>
        </w:tabs>
        <w:ind w:left="5760" w:hanging="360"/>
      </w:pPr>
      <w:rPr>
        <w:rFonts w:ascii="Times New Roman" w:hAnsi="Times New Roman" w:hint="default"/>
      </w:rPr>
    </w:lvl>
    <w:lvl w:ilvl="8" w:tplc="36BC341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4"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0"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40162C"/>
    <w:multiLevelType w:val="multilevel"/>
    <w:tmpl w:val="8F32EE4A"/>
    <w:numStyleLink w:val="Style1"/>
  </w:abstractNum>
  <w:abstractNum w:abstractNumId="33"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3"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8"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4"/>
  </w:num>
  <w:num w:numId="2">
    <w:abstractNumId w:val="27"/>
  </w:num>
  <w:num w:numId="3">
    <w:abstractNumId w:val="3"/>
  </w:num>
  <w:num w:numId="4">
    <w:abstractNumId w:val="31"/>
  </w:num>
  <w:num w:numId="5">
    <w:abstractNumId w:val="7"/>
  </w:num>
  <w:num w:numId="6">
    <w:abstractNumId w:val="35"/>
  </w:num>
  <w:num w:numId="7">
    <w:abstractNumId w:val="40"/>
  </w:num>
  <w:num w:numId="8">
    <w:abstractNumId w:val="6"/>
  </w:num>
  <w:num w:numId="9">
    <w:abstractNumId w:val="29"/>
  </w:num>
  <w:num w:numId="10">
    <w:abstractNumId w:val="19"/>
  </w:num>
  <w:num w:numId="11">
    <w:abstractNumId w:val="37"/>
  </w:num>
  <w:num w:numId="12">
    <w:abstractNumId w:val="4"/>
  </w:num>
  <w:num w:numId="13">
    <w:abstractNumId w:val="28"/>
  </w:num>
  <w:num w:numId="14">
    <w:abstractNumId w:val="11"/>
  </w:num>
  <w:num w:numId="15">
    <w:abstractNumId w:val="48"/>
  </w:num>
  <w:num w:numId="16">
    <w:abstractNumId w:val="30"/>
  </w:num>
  <w:num w:numId="17">
    <w:abstractNumId w:val="44"/>
  </w:num>
  <w:num w:numId="18">
    <w:abstractNumId w:val="47"/>
  </w:num>
  <w:num w:numId="19">
    <w:abstractNumId w:val="1"/>
  </w:num>
  <w:num w:numId="20">
    <w:abstractNumId w:val="25"/>
  </w:num>
  <w:num w:numId="21">
    <w:abstractNumId w:val="2"/>
  </w:num>
  <w:num w:numId="22">
    <w:abstractNumId w:val="9"/>
  </w:num>
  <w:num w:numId="23">
    <w:abstractNumId w:val="8"/>
  </w:num>
  <w:num w:numId="24">
    <w:abstractNumId w:val="14"/>
  </w:num>
  <w:num w:numId="25">
    <w:abstractNumId w:val="24"/>
  </w:num>
  <w:num w:numId="26">
    <w:abstractNumId w:val="32"/>
  </w:num>
  <w:num w:numId="27">
    <w:abstractNumId w:val="23"/>
  </w:num>
  <w:num w:numId="28">
    <w:abstractNumId w:val="5"/>
  </w:num>
  <w:num w:numId="29">
    <w:abstractNumId w:val="20"/>
  </w:num>
  <w:num w:numId="30">
    <w:abstractNumId w:val="49"/>
  </w:num>
  <w:num w:numId="31">
    <w:abstractNumId w:val="33"/>
  </w:num>
  <w:num w:numId="32">
    <w:abstractNumId w:val="18"/>
  </w:num>
  <w:num w:numId="33">
    <w:abstractNumId w:val="15"/>
  </w:num>
  <w:num w:numId="34">
    <w:abstractNumId w:val="17"/>
  </w:num>
  <w:num w:numId="35">
    <w:abstractNumId w:val="42"/>
  </w:num>
  <w:num w:numId="36">
    <w:abstractNumId w:val="46"/>
  </w:num>
  <w:num w:numId="37">
    <w:abstractNumId w:val="0"/>
  </w:num>
  <w:num w:numId="38">
    <w:abstractNumId w:val="38"/>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5"/>
  </w:num>
  <w:num w:numId="48">
    <w:abstractNumId w:val="26"/>
  </w:num>
  <w:num w:numId="49">
    <w:abstractNumId w:val="41"/>
  </w:num>
  <w:num w:numId="50">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TrackFormatting/>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5DBE"/>
    <w:rsid w:val="00035341"/>
    <w:rsid w:val="00037E1E"/>
    <w:rsid w:val="00040454"/>
    <w:rsid w:val="00040BFC"/>
    <w:rsid w:val="00043DC3"/>
    <w:rsid w:val="00051460"/>
    <w:rsid w:val="00052163"/>
    <w:rsid w:val="00052A2A"/>
    <w:rsid w:val="0006034C"/>
    <w:rsid w:val="00065D01"/>
    <w:rsid w:val="0008003D"/>
    <w:rsid w:val="0008257D"/>
    <w:rsid w:val="00094BD4"/>
    <w:rsid w:val="00096C8C"/>
    <w:rsid w:val="000A5B19"/>
    <w:rsid w:val="000A739B"/>
    <w:rsid w:val="000B5097"/>
    <w:rsid w:val="000C31CF"/>
    <w:rsid w:val="000D6619"/>
    <w:rsid w:val="000E0D43"/>
    <w:rsid w:val="000E1B66"/>
    <w:rsid w:val="000E1F64"/>
    <w:rsid w:val="000E621C"/>
    <w:rsid w:val="000F08CF"/>
    <w:rsid w:val="000F0DA6"/>
    <w:rsid w:val="000F6A3D"/>
    <w:rsid w:val="000F768E"/>
    <w:rsid w:val="000F7CD9"/>
    <w:rsid w:val="00100CFF"/>
    <w:rsid w:val="001048C0"/>
    <w:rsid w:val="00105953"/>
    <w:rsid w:val="00111E9F"/>
    <w:rsid w:val="0011266F"/>
    <w:rsid w:val="00113818"/>
    <w:rsid w:val="00116D31"/>
    <w:rsid w:val="00121C24"/>
    <w:rsid w:val="0012586E"/>
    <w:rsid w:val="001265C8"/>
    <w:rsid w:val="001266DB"/>
    <w:rsid w:val="00130E47"/>
    <w:rsid w:val="00131D19"/>
    <w:rsid w:val="00135706"/>
    <w:rsid w:val="00135C9D"/>
    <w:rsid w:val="00141FBB"/>
    <w:rsid w:val="001436BD"/>
    <w:rsid w:val="00144CFA"/>
    <w:rsid w:val="00152DA6"/>
    <w:rsid w:val="00157812"/>
    <w:rsid w:val="0017223F"/>
    <w:rsid w:val="0017411A"/>
    <w:rsid w:val="001833DC"/>
    <w:rsid w:val="00185088"/>
    <w:rsid w:val="00197D9D"/>
    <w:rsid w:val="001A1A5D"/>
    <w:rsid w:val="001A6E83"/>
    <w:rsid w:val="001B1CCF"/>
    <w:rsid w:val="001C643C"/>
    <w:rsid w:val="001C70EF"/>
    <w:rsid w:val="001D3415"/>
    <w:rsid w:val="001E31B7"/>
    <w:rsid w:val="001E7082"/>
    <w:rsid w:val="001E7F06"/>
    <w:rsid w:val="001F595A"/>
    <w:rsid w:val="002035A8"/>
    <w:rsid w:val="00204321"/>
    <w:rsid w:val="0020647A"/>
    <w:rsid w:val="00211A0E"/>
    <w:rsid w:val="00212BA9"/>
    <w:rsid w:val="00213A8D"/>
    <w:rsid w:val="0021462B"/>
    <w:rsid w:val="00216CC1"/>
    <w:rsid w:val="00226707"/>
    <w:rsid w:val="00234A2B"/>
    <w:rsid w:val="00242978"/>
    <w:rsid w:val="0024341A"/>
    <w:rsid w:val="00250708"/>
    <w:rsid w:val="00251A39"/>
    <w:rsid w:val="002566E0"/>
    <w:rsid w:val="002620FA"/>
    <w:rsid w:val="002676BB"/>
    <w:rsid w:val="00277100"/>
    <w:rsid w:val="00277224"/>
    <w:rsid w:val="00294A7E"/>
    <w:rsid w:val="002B1C9D"/>
    <w:rsid w:val="002B333B"/>
    <w:rsid w:val="002B506E"/>
    <w:rsid w:val="002B5D8A"/>
    <w:rsid w:val="002C18F1"/>
    <w:rsid w:val="002C1D8B"/>
    <w:rsid w:val="002C46E8"/>
    <w:rsid w:val="002C5040"/>
    <w:rsid w:val="002D1A0A"/>
    <w:rsid w:val="002D2C2D"/>
    <w:rsid w:val="002D3C07"/>
    <w:rsid w:val="002D70BA"/>
    <w:rsid w:val="002E3F8A"/>
    <w:rsid w:val="002E5F12"/>
    <w:rsid w:val="002E7E09"/>
    <w:rsid w:val="002F178E"/>
    <w:rsid w:val="00300945"/>
    <w:rsid w:val="00307696"/>
    <w:rsid w:val="00311EA4"/>
    <w:rsid w:val="00316FB0"/>
    <w:rsid w:val="003207B6"/>
    <w:rsid w:val="00322898"/>
    <w:rsid w:val="0032300E"/>
    <w:rsid w:val="00324094"/>
    <w:rsid w:val="003323C2"/>
    <w:rsid w:val="003365A5"/>
    <w:rsid w:val="003370DB"/>
    <w:rsid w:val="0034026E"/>
    <w:rsid w:val="00347B02"/>
    <w:rsid w:val="0035255A"/>
    <w:rsid w:val="0035592B"/>
    <w:rsid w:val="00360D78"/>
    <w:rsid w:val="00362114"/>
    <w:rsid w:val="00367A4B"/>
    <w:rsid w:val="00370B73"/>
    <w:rsid w:val="003713EF"/>
    <w:rsid w:val="0037435C"/>
    <w:rsid w:val="00374368"/>
    <w:rsid w:val="00376AEA"/>
    <w:rsid w:val="0039473C"/>
    <w:rsid w:val="003B2460"/>
    <w:rsid w:val="003B6C18"/>
    <w:rsid w:val="003C0E3F"/>
    <w:rsid w:val="003C32B7"/>
    <w:rsid w:val="003C4862"/>
    <w:rsid w:val="003F6F4D"/>
    <w:rsid w:val="00400D96"/>
    <w:rsid w:val="00403150"/>
    <w:rsid w:val="00403D87"/>
    <w:rsid w:val="0041000E"/>
    <w:rsid w:val="00416BFE"/>
    <w:rsid w:val="00417D80"/>
    <w:rsid w:val="00434D8C"/>
    <w:rsid w:val="00440B38"/>
    <w:rsid w:val="00451EC7"/>
    <w:rsid w:val="0045457C"/>
    <w:rsid w:val="00456B09"/>
    <w:rsid w:val="004608D6"/>
    <w:rsid w:val="0046661F"/>
    <w:rsid w:val="00480A12"/>
    <w:rsid w:val="00486AD0"/>
    <w:rsid w:val="004872A3"/>
    <w:rsid w:val="004A3EEF"/>
    <w:rsid w:val="004A6E99"/>
    <w:rsid w:val="004A701D"/>
    <w:rsid w:val="004B16FF"/>
    <w:rsid w:val="004B7C49"/>
    <w:rsid w:val="004C2E9B"/>
    <w:rsid w:val="004D20C6"/>
    <w:rsid w:val="004E28BD"/>
    <w:rsid w:val="004E7B4B"/>
    <w:rsid w:val="0050092F"/>
    <w:rsid w:val="005217DC"/>
    <w:rsid w:val="0053592E"/>
    <w:rsid w:val="00541DD8"/>
    <w:rsid w:val="00543BF9"/>
    <w:rsid w:val="00545238"/>
    <w:rsid w:val="0054557E"/>
    <w:rsid w:val="0054722F"/>
    <w:rsid w:val="005502D7"/>
    <w:rsid w:val="00550CBA"/>
    <w:rsid w:val="00554312"/>
    <w:rsid w:val="00554838"/>
    <w:rsid w:val="00556D0C"/>
    <w:rsid w:val="00576AD8"/>
    <w:rsid w:val="00583A38"/>
    <w:rsid w:val="00584154"/>
    <w:rsid w:val="00584301"/>
    <w:rsid w:val="005936F1"/>
    <w:rsid w:val="005A3D2D"/>
    <w:rsid w:val="005A4B27"/>
    <w:rsid w:val="005B4766"/>
    <w:rsid w:val="005B514A"/>
    <w:rsid w:val="005C32B7"/>
    <w:rsid w:val="005C3E7C"/>
    <w:rsid w:val="005C4477"/>
    <w:rsid w:val="005D055F"/>
    <w:rsid w:val="005D1FDD"/>
    <w:rsid w:val="005D5335"/>
    <w:rsid w:val="005D5F5D"/>
    <w:rsid w:val="005E33B1"/>
    <w:rsid w:val="005E38DF"/>
    <w:rsid w:val="005E529E"/>
    <w:rsid w:val="005E61C6"/>
    <w:rsid w:val="005F4C17"/>
    <w:rsid w:val="00601B54"/>
    <w:rsid w:val="0061113C"/>
    <w:rsid w:val="006208DD"/>
    <w:rsid w:val="006211E5"/>
    <w:rsid w:val="00624F00"/>
    <w:rsid w:val="0062575B"/>
    <w:rsid w:val="00630910"/>
    <w:rsid w:val="00633E8E"/>
    <w:rsid w:val="0064056B"/>
    <w:rsid w:val="006523E7"/>
    <w:rsid w:val="00655353"/>
    <w:rsid w:val="0065637A"/>
    <w:rsid w:val="0066515D"/>
    <w:rsid w:val="006666D2"/>
    <w:rsid w:val="00666C2B"/>
    <w:rsid w:val="00667D01"/>
    <w:rsid w:val="00675BFB"/>
    <w:rsid w:val="0068291E"/>
    <w:rsid w:val="00683D21"/>
    <w:rsid w:val="00694026"/>
    <w:rsid w:val="00696420"/>
    <w:rsid w:val="006A020D"/>
    <w:rsid w:val="006A157B"/>
    <w:rsid w:val="006A46EA"/>
    <w:rsid w:val="006A7A89"/>
    <w:rsid w:val="006B3DD2"/>
    <w:rsid w:val="006B761D"/>
    <w:rsid w:val="006C022D"/>
    <w:rsid w:val="006F28D9"/>
    <w:rsid w:val="006F5E92"/>
    <w:rsid w:val="00714348"/>
    <w:rsid w:val="00714E5E"/>
    <w:rsid w:val="0072363D"/>
    <w:rsid w:val="00727C91"/>
    <w:rsid w:val="007439FE"/>
    <w:rsid w:val="007460D1"/>
    <w:rsid w:val="00747705"/>
    <w:rsid w:val="00750EF2"/>
    <w:rsid w:val="00753EB2"/>
    <w:rsid w:val="007546F8"/>
    <w:rsid w:val="007564EF"/>
    <w:rsid w:val="0076043D"/>
    <w:rsid w:val="0076130E"/>
    <w:rsid w:val="00764A77"/>
    <w:rsid w:val="00764D6F"/>
    <w:rsid w:val="00781BED"/>
    <w:rsid w:val="00783E5D"/>
    <w:rsid w:val="0078588B"/>
    <w:rsid w:val="0079208E"/>
    <w:rsid w:val="00793277"/>
    <w:rsid w:val="00793C93"/>
    <w:rsid w:val="0079631C"/>
    <w:rsid w:val="007A0A3F"/>
    <w:rsid w:val="007A4532"/>
    <w:rsid w:val="007A6FBF"/>
    <w:rsid w:val="007B277C"/>
    <w:rsid w:val="007C7939"/>
    <w:rsid w:val="007D30A0"/>
    <w:rsid w:val="00802502"/>
    <w:rsid w:val="008065B7"/>
    <w:rsid w:val="008077DC"/>
    <w:rsid w:val="0081547F"/>
    <w:rsid w:val="008156F0"/>
    <w:rsid w:val="008179A1"/>
    <w:rsid w:val="00831663"/>
    <w:rsid w:val="0083600D"/>
    <w:rsid w:val="008410FE"/>
    <w:rsid w:val="00852EBE"/>
    <w:rsid w:val="008615C1"/>
    <w:rsid w:val="008655C8"/>
    <w:rsid w:val="008804A8"/>
    <w:rsid w:val="00881410"/>
    <w:rsid w:val="00882E05"/>
    <w:rsid w:val="00890A37"/>
    <w:rsid w:val="0089482D"/>
    <w:rsid w:val="00895030"/>
    <w:rsid w:val="0089756E"/>
    <w:rsid w:val="00897CB9"/>
    <w:rsid w:val="008A2242"/>
    <w:rsid w:val="008B1783"/>
    <w:rsid w:val="008B3829"/>
    <w:rsid w:val="008B6CF3"/>
    <w:rsid w:val="008B7704"/>
    <w:rsid w:val="008C1127"/>
    <w:rsid w:val="008C2486"/>
    <w:rsid w:val="008D116B"/>
    <w:rsid w:val="008D3025"/>
    <w:rsid w:val="008E2CB2"/>
    <w:rsid w:val="008E35E3"/>
    <w:rsid w:val="00906E1C"/>
    <w:rsid w:val="00921422"/>
    <w:rsid w:val="009253F5"/>
    <w:rsid w:val="00925E93"/>
    <w:rsid w:val="00933D94"/>
    <w:rsid w:val="00937A42"/>
    <w:rsid w:val="00940EE2"/>
    <w:rsid w:val="0094347C"/>
    <w:rsid w:val="00943BFA"/>
    <w:rsid w:val="009549BE"/>
    <w:rsid w:val="00955177"/>
    <w:rsid w:val="00956EFE"/>
    <w:rsid w:val="009643B7"/>
    <w:rsid w:val="00965639"/>
    <w:rsid w:val="00976B31"/>
    <w:rsid w:val="00987BD7"/>
    <w:rsid w:val="009A0A9D"/>
    <w:rsid w:val="009A6EDB"/>
    <w:rsid w:val="009B0705"/>
    <w:rsid w:val="009B37ED"/>
    <w:rsid w:val="009C33E8"/>
    <w:rsid w:val="009C5EC5"/>
    <w:rsid w:val="009C6DA8"/>
    <w:rsid w:val="009D41B6"/>
    <w:rsid w:val="009F234A"/>
    <w:rsid w:val="00A07570"/>
    <w:rsid w:val="00A143F1"/>
    <w:rsid w:val="00A21C0C"/>
    <w:rsid w:val="00A250BF"/>
    <w:rsid w:val="00A304EB"/>
    <w:rsid w:val="00A35D1B"/>
    <w:rsid w:val="00A47A1A"/>
    <w:rsid w:val="00A54897"/>
    <w:rsid w:val="00A56B91"/>
    <w:rsid w:val="00A86EA6"/>
    <w:rsid w:val="00A900FF"/>
    <w:rsid w:val="00A9281C"/>
    <w:rsid w:val="00A93866"/>
    <w:rsid w:val="00A97DC2"/>
    <w:rsid w:val="00AB1DEB"/>
    <w:rsid w:val="00AB525F"/>
    <w:rsid w:val="00AB5C7C"/>
    <w:rsid w:val="00AC363F"/>
    <w:rsid w:val="00AD14BC"/>
    <w:rsid w:val="00AD3D63"/>
    <w:rsid w:val="00AD793E"/>
    <w:rsid w:val="00AE707B"/>
    <w:rsid w:val="00B27D50"/>
    <w:rsid w:val="00B3294C"/>
    <w:rsid w:val="00B3611F"/>
    <w:rsid w:val="00B475AA"/>
    <w:rsid w:val="00B47721"/>
    <w:rsid w:val="00B52919"/>
    <w:rsid w:val="00B60302"/>
    <w:rsid w:val="00B62467"/>
    <w:rsid w:val="00B70D29"/>
    <w:rsid w:val="00B76D18"/>
    <w:rsid w:val="00B77951"/>
    <w:rsid w:val="00B80455"/>
    <w:rsid w:val="00B83816"/>
    <w:rsid w:val="00B97795"/>
    <w:rsid w:val="00BA0294"/>
    <w:rsid w:val="00BA0BD3"/>
    <w:rsid w:val="00BA7AAC"/>
    <w:rsid w:val="00BB135B"/>
    <w:rsid w:val="00BB542E"/>
    <w:rsid w:val="00BC304E"/>
    <w:rsid w:val="00BC378A"/>
    <w:rsid w:val="00BC5FF3"/>
    <w:rsid w:val="00BC6DB6"/>
    <w:rsid w:val="00BD300C"/>
    <w:rsid w:val="00BE2067"/>
    <w:rsid w:val="00BE2ABC"/>
    <w:rsid w:val="00BF06D5"/>
    <w:rsid w:val="00BF4488"/>
    <w:rsid w:val="00BF73AC"/>
    <w:rsid w:val="00C03FA9"/>
    <w:rsid w:val="00C04BED"/>
    <w:rsid w:val="00C05D05"/>
    <w:rsid w:val="00C115B5"/>
    <w:rsid w:val="00C1221D"/>
    <w:rsid w:val="00C21FDF"/>
    <w:rsid w:val="00C22337"/>
    <w:rsid w:val="00C27F80"/>
    <w:rsid w:val="00C56683"/>
    <w:rsid w:val="00C602BE"/>
    <w:rsid w:val="00C611B3"/>
    <w:rsid w:val="00C64C2B"/>
    <w:rsid w:val="00C67876"/>
    <w:rsid w:val="00C73282"/>
    <w:rsid w:val="00C92D16"/>
    <w:rsid w:val="00CA2333"/>
    <w:rsid w:val="00CA36D1"/>
    <w:rsid w:val="00CA3BDB"/>
    <w:rsid w:val="00CC2E79"/>
    <w:rsid w:val="00CC30D5"/>
    <w:rsid w:val="00CC3C70"/>
    <w:rsid w:val="00CC6DB5"/>
    <w:rsid w:val="00CE09FB"/>
    <w:rsid w:val="00CE3C87"/>
    <w:rsid w:val="00CF0FE8"/>
    <w:rsid w:val="00CF30CB"/>
    <w:rsid w:val="00D1200F"/>
    <w:rsid w:val="00D163CF"/>
    <w:rsid w:val="00D20B2A"/>
    <w:rsid w:val="00D315D4"/>
    <w:rsid w:val="00D349A5"/>
    <w:rsid w:val="00D35B8B"/>
    <w:rsid w:val="00D4704A"/>
    <w:rsid w:val="00D47231"/>
    <w:rsid w:val="00D62485"/>
    <w:rsid w:val="00D6398B"/>
    <w:rsid w:val="00D66AE8"/>
    <w:rsid w:val="00D71B9D"/>
    <w:rsid w:val="00D72801"/>
    <w:rsid w:val="00D7656B"/>
    <w:rsid w:val="00D77582"/>
    <w:rsid w:val="00D84F77"/>
    <w:rsid w:val="00D93E9F"/>
    <w:rsid w:val="00DA2204"/>
    <w:rsid w:val="00DA3496"/>
    <w:rsid w:val="00DA7386"/>
    <w:rsid w:val="00DB13B4"/>
    <w:rsid w:val="00DB5E67"/>
    <w:rsid w:val="00DC6E49"/>
    <w:rsid w:val="00DE0587"/>
    <w:rsid w:val="00DE252E"/>
    <w:rsid w:val="00DE3186"/>
    <w:rsid w:val="00DF797B"/>
    <w:rsid w:val="00DF7D6D"/>
    <w:rsid w:val="00E02F47"/>
    <w:rsid w:val="00E166DE"/>
    <w:rsid w:val="00E21EC0"/>
    <w:rsid w:val="00E22DAF"/>
    <w:rsid w:val="00E2616F"/>
    <w:rsid w:val="00E378D8"/>
    <w:rsid w:val="00E37D85"/>
    <w:rsid w:val="00E460D8"/>
    <w:rsid w:val="00E57C18"/>
    <w:rsid w:val="00E64244"/>
    <w:rsid w:val="00E6583E"/>
    <w:rsid w:val="00E70BFC"/>
    <w:rsid w:val="00E76DCA"/>
    <w:rsid w:val="00E828ED"/>
    <w:rsid w:val="00E8665D"/>
    <w:rsid w:val="00E875D4"/>
    <w:rsid w:val="00EA0885"/>
    <w:rsid w:val="00EA7EA8"/>
    <w:rsid w:val="00EB30BD"/>
    <w:rsid w:val="00EB42C7"/>
    <w:rsid w:val="00EB5383"/>
    <w:rsid w:val="00EB67D8"/>
    <w:rsid w:val="00EC300B"/>
    <w:rsid w:val="00EC46D8"/>
    <w:rsid w:val="00ED22B7"/>
    <w:rsid w:val="00EE7105"/>
    <w:rsid w:val="00EF071C"/>
    <w:rsid w:val="00F00092"/>
    <w:rsid w:val="00F1225F"/>
    <w:rsid w:val="00F20BB8"/>
    <w:rsid w:val="00F22DC9"/>
    <w:rsid w:val="00F43279"/>
    <w:rsid w:val="00F4437B"/>
    <w:rsid w:val="00F47CB0"/>
    <w:rsid w:val="00F530AD"/>
    <w:rsid w:val="00F565FC"/>
    <w:rsid w:val="00F708A3"/>
    <w:rsid w:val="00F73806"/>
    <w:rsid w:val="00F822F6"/>
    <w:rsid w:val="00F85AA4"/>
    <w:rsid w:val="00F92602"/>
    <w:rsid w:val="00F945BA"/>
    <w:rsid w:val="00FA6993"/>
    <w:rsid w:val="00FC0A33"/>
    <w:rsid w:val="00FC0D43"/>
    <w:rsid w:val="00FC75A4"/>
    <w:rsid w:val="00FD3CC4"/>
    <w:rsid w:val="00FD6179"/>
    <w:rsid w:val="00FD74FD"/>
    <w:rsid w:val="00FD7646"/>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3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8898665">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81974393">
      <w:bodyDiv w:val="1"/>
      <w:marLeft w:val="0"/>
      <w:marRight w:val="0"/>
      <w:marTop w:val="0"/>
      <w:marBottom w:val="0"/>
      <w:divBdr>
        <w:top w:val="none" w:sz="0" w:space="0" w:color="auto"/>
        <w:left w:val="none" w:sz="0" w:space="0" w:color="auto"/>
        <w:bottom w:val="none" w:sz="0" w:space="0" w:color="auto"/>
        <w:right w:val="none" w:sz="0" w:space="0" w:color="auto"/>
      </w:divBdr>
      <w:divsChild>
        <w:div w:id="2034726896">
          <w:marLeft w:val="547"/>
          <w:marRight w:val="0"/>
          <w:marTop w:val="0"/>
          <w:marBottom w:val="0"/>
          <w:divBdr>
            <w:top w:val="none" w:sz="0" w:space="0" w:color="auto"/>
            <w:left w:val="none" w:sz="0" w:space="0" w:color="auto"/>
            <w:bottom w:val="none" w:sz="0" w:space="0" w:color="auto"/>
            <w:right w:val="none" w:sz="0" w:space="0" w:color="auto"/>
          </w:divBdr>
        </w:div>
      </w:divsChild>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481188467">
      <w:bodyDiv w:val="1"/>
      <w:marLeft w:val="0"/>
      <w:marRight w:val="0"/>
      <w:marTop w:val="0"/>
      <w:marBottom w:val="0"/>
      <w:divBdr>
        <w:top w:val="none" w:sz="0" w:space="0" w:color="auto"/>
        <w:left w:val="none" w:sz="0" w:space="0" w:color="auto"/>
        <w:bottom w:val="none" w:sz="0" w:space="0" w:color="auto"/>
        <w:right w:val="none" w:sz="0" w:space="0" w:color="auto"/>
      </w:divBdr>
    </w:div>
    <w:div w:id="1802069541">
      <w:bodyDiv w:val="1"/>
      <w:marLeft w:val="0"/>
      <w:marRight w:val="0"/>
      <w:marTop w:val="0"/>
      <w:marBottom w:val="0"/>
      <w:divBdr>
        <w:top w:val="none" w:sz="0" w:space="0" w:color="auto"/>
        <w:left w:val="none" w:sz="0" w:space="0" w:color="auto"/>
        <w:bottom w:val="none" w:sz="0" w:space="0" w:color="auto"/>
        <w:right w:val="none" w:sz="0" w:space="0" w:color="auto"/>
      </w:divBdr>
      <w:divsChild>
        <w:div w:id="321854659">
          <w:marLeft w:val="547"/>
          <w:marRight w:val="0"/>
          <w:marTop w:val="0"/>
          <w:marBottom w:val="0"/>
          <w:divBdr>
            <w:top w:val="none" w:sz="0" w:space="0" w:color="auto"/>
            <w:left w:val="none" w:sz="0" w:space="0" w:color="auto"/>
            <w:bottom w:val="none" w:sz="0" w:space="0" w:color="auto"/>
            <w:right w:val="none" w:sz="0" w:space="0" w:color="auto"/>
          </w:divBdr>
        </w:div>
      </w:divsChild>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24132-6732-456F-8571-7EF60BCD89D7}">
  <ds:schemaRefs>
    <ds:schemaRef ds:uri="http://schemas.microsoft.com/sharepoint/v3/contenttype/forms"/>
  </ds:schemaRefs>
</ds:datastoreItem>
</file>

<file path=customXml/itemProps2.xml><?xml version="1.0" encoding="utf-8"?>
<ds:datastoreItem xmlns:ds="http://schemas.openxmlformats.org/officeDocument/2006/customXml" ds:itemID="{82CBD338-9EF7-4580-8409-9450FCF8BBB1}">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 ds:uri="8c0b6b05-eb82-4bda-97e8-cd82d0d6b45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21ACA01-62B1-4385-93EF-0AAA3478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FF224-6297-4F65-B05A-792A43EC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2021-06-25T10:29:00Z</dcterms:created>
  <dcterms:modified xsi:type="dcterms:W3CDTF">2021-06-25T10:45:00Z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