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16717" w14:textId="2F2378C1" w:rsidR="00762398" w:rsidRPr="002E77B8" w:rsidRDefault="00613686" w:rsidP="0076239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0"/>
        <w:jc w:val="both"/>
        <w:rPr>
          <w:rFonts w:cstheme="minorHAnsi"/>
          <w:bCs/>
          <w:lang w:val="es-ES"/>
        </w:rPr>
      </w:pPr>
      <w:r w:rsidRPr="002E77B8">
        <w:rPr>
          <w:rFonts w:cstheme="minorHAnsi"/>
          <w:bCs/>
          <w:lang w:val="es-ES"/>
        </w:rPr>
        <w:t>LA CONVENCIÓN SOBRE LOS HUMEDALES</w:t>
      </w:r>
    </w:p>
    <w:p w14:paraId="52AF4E85" w14:textId="77777777" w:rsidR="00613686" w:rsidRPr="002E77B8" w:rsidRDefault="00762398" w:rsidP="0076239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0"/>
        <w:jc w:val="both"/>
        <w:rPr>
          <w:rFonts w:cstheme="minorHAnsi"/>
          <w:bCs/>
          <w:lang w:val="es-ES"/>
        </w:rPr>
      </w:pPr>
      <w:r w:rsidRPr="002E77B8">
        <w:rPr>
          <w:rFonts w:cstheme="minorHAnsi"/>
          <w:bCs/>
          <w:lang w:val="es-ES"/>
        </w:rPr>
        <w:t>59</w:t>
      </w:r>
      <w:r w:rsidR="00613686" w:rsidRPr="002E77B8">
        <w:rPr>
          <w:rFonts w:cstheme="minorHAnsi"/>
          <w:bCs/>
          <w:lang w:val="es-ES"/>
        </w:rPr>
        <w:t>ª Reunión del Comité Permanente</w:t>
      </w:r>
    </w:p>
    <w:p w14:paraId="4A077B3F" w14:textId="3FDFCACB" w:rsidR="00762398" w:rsidRPr="002E77B8" w:rsidRDefault="00762398" w:rsidP="0076239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0"/>
        <w:jc w:val="both"/>
        <w:rPr>
          <w:rFonts w:cstheme="minorHAnsi"/>
          <w:bCs/>
          <w:lang w:val="es-ES"/>
        </w:rPr>
      </w:pPr>
      <w:r w:rsidRPr="002E77B8">
        <w:rPr>
          <w:rFonts w:cstheme="minorHAnsi"/>
          <w:bCs/>
          <w:lang w:val="es-ES"/>
        </w:rPr>
        <w:t>Gland,</w:t>
      </w:r>
      <w:r w:rsidR="00613686" w:rsidRPr="002E77B8">
        <w:rPr>
          <w:rFonts w:cstheme="minorHAnsi"/>
          <w:bCs/>
          <w:lang w:val="es-ES"/>
        </w:rPr>
        <w:t xml:space="preserve"> Suiza, 21 a 25 de junio de </w:t>
      </w:r>
      <w:r w:rsidRPr="002E77B8">
        <w:rPr>
          <w:rFonts w:cstheme="minorHAnsi"/>
          <w:bCs/>
          <w:lang w:val="es-ES"/>
        </w:rPr>
        <w:t>2021</w:t>
      </w:r>
    </w:p>
    <w:p w14:paraId="1C0FF9A7" w14:textId="77777777" w:rsidR="00762398" w:rsidRPr="002E77B8" w:rsidRDefault="00762398" w:rsidP="00762398">
      <w:pPr>
        <w:rPr>
          <w:rFonts w:cstheme="minorHAnsi"/>
          <w:b/>
          <w:sz w:val="28"/>
          <w:szCs w:val="28"/>
          <w:lang w:val="es-ES"/>
        </w:rPr>
      </w:pPr>
    </w:p>
    <w:p w14:paraId="2BE9465F" w14:textId="3516588A" w:rsidR="00762398" w:rsidRPr="002E77B8" w:rsidRDefault="00762398" w:rsidP="00762398">
      <w:pPr>
        <w:jc w:val="right"/>
        <w:rPr>
          <w:rFonts w:cstheme="minorHAnsi"/>
          <w:b/>
          <w:sz w:val="28"/>
          <w:szCs w:val="28"/>
          <w:lang w:val="es-ES"/>
        </w:rPr>
      </w:pPr>
      <w:r w:rsidRPr="002E77B8">
        <w:rPr>
          <w:rFonts w:cstheme="minorHAnsi"/>
          <w:b/>
          <w:sz w:val="28"/>
          <w:szCs w:val="28"/>
          <w:lang w:val="es-ES"/>
        </w:rPr>
        <w:t>SC59 Com.2</w:t>
      </w:r>
    </w:p>
    <w:p w14:paraId="7F990BBA" w14:textId="77777777" w:rsidR="00762398" w:rsidRPr="002E77B8" w:rsidRDefault="00762398" w:rsidP="003120C7">
      <w:pPr>
        <w:widowControl/>
        <w:rPr>
          <w:rFonts w:asciiTheme="minorHAnsi" w:hAnsiTheme="minorHAnsi" w:cstheme="minorHAnsi"/>
          <w:b/>
          <w:lang w:val="es-ES"/>
        </w:rPr>
      </w:pPr>
    </w:p>
    <w:p w14:paraId="5E025695" w14:textId="72FD6AC2" w:rsidR="00762398" w:rsidRPr="002E77B8" w:rsidRDefault="00613686" w:rsidP="00762398">
      <w:pPr>
        <w:widowControl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2E77B8">
        <w:rPr>
          <w:rFonts w:asciiTheme="minorHAnsi" w:hAnsiTheme="minorHAnsi" w:cstheme="minorHAnsi"/>
          <w:b/>
          <w:sz w:val="28"/>
          <w:szCs w:val="28"/>
          <w:lang w:val="es-ES"/>
        </w:rPr>
        <w:t>Informe de la reunión virtual del Subgrupo de Finanzas, 2ª Parte</w:t>
      </w:r>
    </w:p>
    <w:p w14:paraId="1AC08200" w14:textId="73495613" w:rsidR="00762398" w:rsidRPr="002E77B8" w:rsidRDefault="00762398" w:rsidP="00762398">
      <w:pPr>
        <w:widowControl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2E77B8">
        <w:rPr>
          <w:rFonts w:asciiTheme="minorHAnsi" w:hAnsiTheme="minorHAnsi" w:cstheme="minorHAnsi"/>
          <w:b/>
          <w:sz w:val="28"/>
          <w:szCs w:val="28"/>
          <w:lang w:val="es-ES"/>
        </w:rPr>
        <w:t>24</w:t>
      </w:r>
      <w:r w:rsidR="00613686" w:rsidRPr="002E77B8">
        <w:rPr>
          <w:rFonts w:asciiTheme="minorHAnsi" w:hAnsiTheme="minorHAnsi" w:cstheme="minorHAnsi"/>
          <w:b/>
          <w:sz w:val="28"/>
          <w:szCs w:val="28"/>
          <w:lang w:val="es-ES"/>
        </w:rPr>
        <w:t xml:space="preserve"> de junio de </w:t>
      </w:r>
      <w:r w:rsidRPr="002E77B8">
        <w:rPr>
          <w:rFonts w:asciiTheme="minorHAnsi" w:hAnsiTheme="minorHAnsi" w:cstheme="minorHAnsi"/>
          <w:b/>
          <w:sz w:val="28"/>
          <w:szCs w:val="28"/>
          <w:lang w:val="es-ES"/>
        </w:rPr>
        <w:t>2021</w:t>
      </w:r>
      <w:r w:rsidR="00613686" w:rsidRPr="002E77B8">
        <w:rPr>
          <w:rFonts w:asciiTheme="minorHAnsi" w:hAnsiTheme="minorHAnsi" w:cstheme="minorHAnsi"/>
          <w:b/>
          <w:sz w:val="28"/>
          <w:szCs w:val="28"/>
          <w:lang w:val="es-ES"/>
        </w:rPr>
        <w:t>,</w:t>
      </w:r>
      <w:r w:rsidRPr="002E77B8">
        <w:rPr>
          <w:rFonts w:asciiTheme="minorHAnsi" w:hAnsiTheme="minorHAnsi" w:cstheme="minorHAnsi"/>
          <w:b/>
          <w:sz w:val="28"/>
          <w:szCs w:val="28"/>
          <w:lang w:val="es-ES"/>
        </w:rPr>
        <w:t xml:space="preserve"> 13:00 </w:t>
      </w:r>
      <w:r w:rsidR="00613686" w:rsidRPr="002E77B8">
        <w:rPr>
          <w:rFonts w:asciiTheme="minorHAnsi" w:hAnsiTheme="minorHAnsi" w:cstheme="minorHAnsi"/>
          <w:b/>
          <w:sz w:val="28"/>
          <w:szCs w:val="28"/>
          <w:lang w:val="es-ES"/>
        </w:rPr>
        <w:t xml:space="preserve">a </w:t>
      </w:r>
      <w:r w:rsidRPr="002E77B8">
        <w:rPr>
          <w:rFonts w:asciiTheme="minorHAnsi" w:hAnsiTheme="minorHAnsi" w:cstheme="minorHAnsi"/>
          <w:b/>
          <w:sz w:val="28"/>
          <w:szCs w:val="28"/>
          <w:lang w:val="es-ES"/>
        </w:rPr>
        <w:t>13:30</w:t>
      </w:r>
      <w:r w:rsidR="00613686" w:rsidRPr="002E77B8">
        <w:rPr>
          <w:rFonts w:asciiTheme="minorHAnsi" w:hAnsiTheme="minorHAnsi" w:cstheme="minorHAnsi"/>
          <w:b/>
          <w:sz w:val="28"/>
          <w:szCs w:val="28"/>
          <w:lang w:val="es-ES"/>
        </w:rPr>
        <w:t xml:space="preserve"> horas</w:t>
      </w:r>
    </w:p>
    <w:p w14:paraId="439062DE" w14:textId="6F5AF82B" w:rsidR="001C794F" w:rsidRPr="002E77B8" w:rsidRDefault="001C794F" w:rsidP="002B0987">
      <w:pPr>
        <w:widowControl/>
        <w:rPr>
          <w:rFonts w:asciiTheme="minorHAnsi" w:hAnsiTheme="minorHAnsi" w:cstheme="minorHAnsi"/>
          <w:lang w:val="es-ES"/>
        </w:rPr>
      </w:pPr>
    </w:p>
    <w:p w14:paraId="4DCF4D84" w14:textId="77777777" w:rsidR="003957BA" w:rsidRPr="002E77B8" w:rsidRDefault="003957BA" w:rsidP="002B0987">
      <w:pPr>
        <w:widowControl/>
        <w:rPr>
          <w:rFonts w:asciiTheme="minorHAnsi" w:hAnsiTheme="minorHAnsi" w:cstheme="minorHAnsi"/>
          <w:lang w:val="es-ES"/>
        </w:rPr>
      </w:pPr>
    </w:p>
    <w:p w14:paraId="0FEF8781" w14:textId="12FBAA95" w:rsidR="003120C7" w:rsidRPr="002E77B8" w:rsidRDefault="00613686" w:rsidP="002B0987">
      <w:pPr>
        <w:widowControl/>
        <w:rPr>
          <w:rFonts w:asciiTheme="minorHAnsi" w:hAnsiTheme="minorHAnsi" w:cstheme="minorHAnsi"/>
          <w:lang w:val="es-ES"/>
        </w:rPr>
      </w:pPr>
      <w:r w:rsidRPr="002E77B8">
        <w:rPr>
          <w:rFonts w:asciiTheme="minorHAnsi" w:hAnsiTheme="minorHAnsi" w:cstheme="minorHAnsi"/>
          <w:lang w:val="es-ES"/>
        </w:rPr>
        <w:t>La 2ª Parte del informe refleja las decisiones adoptadas durante la reunión del Subgrupo de Finanzas</w:t>
      </w:r>
      <w:r w:rsidR="0024184A" w:rsidRPr="002E77B8">
        <w:rPr>
          <w:rFonts w:asciiTheme="minorHAnsi" w:hAnsiTheme="minorHAnsi" w:cstheme="minorHAnsi"/>
          <w:lang w:val="es-ES"/>
        </w:rPr>
        <w:t xml:space="preserve"> </w:t>
      </w:r>
      <w:r w:rsidRPr="002E77B8">
        <w:rPr>
          <w:rFonts w:asciiTheme="minorHAnsi" w:hAnsiTheme="minorHAnsi" w:cstheme="minorHAnsi"/>
          <w:lang w:val="es-ES"/>
        </w:rPr>
        <w:t xml:space="preserve">el </w:t>
      </w:r>
      <w:r w:rsidR="0024184A" w:rsidRPr="002E77B8">
        <w:rPr>
          <w:rFonts w:asciiTheme="minorHAnsi" w:hAnsiTheme="minorHAnsi" w:cstheme="minorHAnsi"/>
          <w:lang w:val="es-ES"/>
        </w:rPr>
        <w:t xml:space="preserve">24 </w:t>
      </w:r>
      <w:r w:rsidRPr="002E77B8">
        <w:rPr>
          <w:rFonts w:asciiTheme="minorHAnsi" w:hAnsiTheme="minorHAnsi" w:cstheme="minorHAnsi"/>
          <w:lang w:val="es-ES"/>
        </w:rPr>
        <w:t xml:space="preserve">de junio de </w:t>
      </w:r>
      <w:r w:rsidR="0024184A" w:rsidRPr="002E77B8">
        <w:rPr>
          <w:rFonts w:asciiTheme="minorHAnsi" w:hAnsiTheme="minorHAnsi" w:cstheme="minorHAnsi"/>
          <w:lang w:val="es-ES"/>
        </w:rPr>
        <w:t xml:space="preserve">2021 </w:t>
      </w:r>
      <w:r w:rsidRPr="002E77B8">
        <w:rPr>
          <w:rFonts w:asciiTheme="minorHAnsi" w:hAnsiTheme="minorHAnsi" w:cstheme="minorHAnsi"/>
          <w:lang w:val="es-ES"/>
        </w:rPr>
        <w:t>para completar las recomendaciones del Subgrupo al Comité Permanente</w:t>
      </w:r>
      <w:r w:rsidR="003C0CBD" w:rsidRPr="002E77B8">
        <w:rPr>
          <w:rFonts w:asciiTheme="minorHAnsi" w:hAnsiTheme="minorHAnsi" w:cstheme="minorHAnsi"/>
          <w:lang w:val="es-ES"/>
        </w:rPr>
        <w:t xml:space="preserve"> </w:t>
      </w:r>
      <w:r w:rsidRPr="002E77B8">
        <w:rPr>
          <w:rFonts w:asciiTheme="minorHAnsi" w:hAnsiTheme="minorHAnsi" w:cstheme="minorHAnsi"/>
          <w:lang w:val="es-ES"/>
        </w:rPr>
        <w:t xml:space="preserve">acerca de los puntos sobre los que el Subgrupo deliberó el 21 de junio pero que estaban sujetos a las decisiones </w:t>
      </w:r>
      <w:r w:rsidR="00801493">
        <w:rPr>
          <w:rFonts w:asciiTheme="minorHAnsi" w:hAnsiTheme="minorHAnsi" w:cstheme="minorHAnsi"/>
          <w:lang w:val="es-ES"/>
        </w:rPr>
        <w:t>correspondientes</w:t>
      </w:r>
      <w:r w:rsidRPr="002E77B8">
        <w:rPr>
          <w:rFonts w:asciiTheme="minorHAnsi" w:hAnsiTheme="minorHAnsi" w:cstheme="minorHAnsi"/>
          <w:lang w:val="es-ES"/>
        </w:rPr>
        <w:t xml:space="preserve"> que debía adoptar el Comité Permanente</w:t>
      </w:r>
      <w:r w:rsidR="003C0CBD" w:rsidRPr="002E77B8">
        <w:rPr>
          <w:rFonts w:asciiTheme="minorHAnsi" w:hAnsiTheme="minorHAnsi" w:cstheme="minorHAnsi"/>
          <w:lang w:val="es-ES"/>
        </w:rPr>
        <w:t>.</w:t>
      </w:r>
      <w:r w:rsidR="0024184A" w:rsidRPr="002E77B8">
        <w:rPr>
          <w:rFonts w:asciiTheme="minorHAnsi" w:hAnsiTheme="minorHAnsi" w:cstheme="minorHAnsi"/>
          <w:lang w:val="es-ES"/>
        </w:rPr>
        <w:t xml:space="preserve"> </w:t>
      </w:r>
    </w:p>
    <w:p w14:paraId="71274785" w14:textId="476D9C8C" w:rsidR="003C0CBD" w:rsidRPr="002E77B8" w:rsidRDefault="003C0CBD" w:rsidP="002B0987">
      <w:pPr>
        <w:widowControl/>
        <w:rPr>
          <w:rFonts w:asciiTheme="minorHAnsi" w:hAnsiTheme="minorHAnsi" w:cstheme="minorHAnsi"/>
          <w:lang w:val="es-ES"/>
        </w:rPr>
      </w:pPr>
    </w:p>
    <w:p w14:paraId="167283E5" w14:textId="77777777" w:rsidR="00752104" w:rsidRPr="002E77B8" w:rsidRDefault="00752104" w:rsidP="003C0CBD">
      <w:pPr>
        <w:widowControl/>
        <w:ind w:left="426" w:hanging="426"/>
        <w:rPr>
          <w:rFonts w:asciiTheme="minorHAnsi" w:hAnsiTheme="minorHAnsi" w:cstheme="minorHAnsi"/>
          <w:b/>
          <w:lang w:val="es-ES"/>
        </w:rPr>
      </w:pPr>
    </w:p>
    <w:p w14:paraId="2ECD69C9" w14:textId="16BF395A" w:rsidR="003957BA" w:rsidRPr="002E77B8" w:rsidRDefault="00613686" w:rsidP="003957BA">
      <w:pPr>
        <w:widowControl/>
        <w:ind w:left="426" w:hanging="426"/>
        <w:rPr>
          <w:rFonts w:asciiTheme="minorHAnsi" w:hAnsiTheme="minorHAnsi" w:cstheme="minorHAnsi"/>
          <w:lang w:val="es-ES"/>
        </w:rPr>
      </w:pPr>
      <w:r w:rsidRPr="002E77B8">
        <w:rPr>
          <w:rFonts w:asciiTheme="minorHAnsi" w:hAnsiTheme="minorHAnsi" w:cstheme="minorHAnsi"/>
          <w:b/>
          <w:lang w:val="es-ES"/>
        </w:rPr>
        <w:t>Punto 5 del orden del día</w:t>
      </w:r>
      <w:r w:rsidR="003957BA" w:rsidRPr="002E77B8">
        <w:rPr>
          <w:rFonts w:asciiTheme="minorHAnsi" w:hAnsiTheme="minorHAnsi" w:cstheme="minorHAnsi"/>
          <w:lang w:val="es-ES"/>
        </w:rPr>
        <w:t>:</w:t>
      </w:r>
      <w:r w:rsidRPr="002E77B8">
        <w:rPr>
          <w:rFonts w:asciiTheme="minorHAnsi" w:hAnsiTheme="minorHAnsi" w:cstheme="minorHAnsi"/>
          <w:lang w:val="es-ES"/>
        </w:rPr>
        <w:t xml:space="preserve"> Documento</w:t>
      </w:r>
      <w:r w:rsidR="003957BA" w:rsidRPr="002E77B8">
        <w:rPr>
          <w:rFonts w:asciiTheme="minorHAnsi" w:hAnsiTheme="minorHAnsi" w:cstheme="minorHAnsi"/>
          <w:lang w:val="es-ES"/>
        </w:rPr>
        <w:t xml:space="preserve"> SC59 doc.8.1, </w:t>
      </w:r>
      <w:r w:rsidRPr="002E77B8">
        <w:rPr>
          <w:rFonts w:asciiTheme="minorHAnsi" w:hAnsiTheme="minorHAnsi" w:cstheme="minorHAnsi"/>
          <w:lang w:val="es-ES"/>
        </w:rPr>
        <w:t>acción</w:t>
      </w:r>
      <w:r w:rsidR="003957BA" w:rsidRPr="002E77B8">
        <w:rPr>
          <w:rFonts w:asciiTheme="minorHAnsi" w:hAnsiTheme="minorHAnsi" w:cstheme="minorHAnsi"/>
          <w:lang w:val="es-ES"/>
        </w:rPr>
        <w:t xml:space="preserve"> viii.</w:t>
      </w:r>
      <w:r w:rsidR="00266138" w:rsidRPr="002E77B8">
        <w:rPr>
          <w:rFonts w:asciiTheme="minorHAnsi" w:hAnsiTheme="minorHAnsi" w:cstheme="minorHAnsi"/>
          <w:lang w:val="es-ES"/>
        </w:rPr>
        <w:t xml:space="preserve"> </w:t>
      </w:r>
    </w:p>
    <w:p w14:paraId="195FFDA4" w14:textId="77777777" w:rsidR="003957BA" w:rsidRPr="002E77B8" w:rsidRDefault="003957BA" w:rsidP="003957BA">
      <w:pPr>
        <w:widowControl/>
        <w:ind w:left="426" w:hanging="426"/>
        <w:rPr>
          <w:rFonts w:asciiTheme="minorHAnsi" w:hAnsiTheme="minorHAnsi" w:cstheme="minorHAnsi"/>
          <w:highlight w:val="yellow"/>
          <w:lang w:val="es-ES"/>
        </w:rPr>
      </w:pPr>
    </w:p>
    <w:p w14:paraId="12924A35" w14:textId="6768BA9D" w:rsidR="003957BA" w:rsidRPr="002E77B8" w:rsidRDefault="00613686" w:rsidP="003957BA">
      <w:pPr>
        <w:widowControl/>
        <w:rPr>
          <w:rFonts w:asciiTheme="minorHAnsi" w:hAnsiTheme="minorHAnsi" w:cstheme="minorHAnsi"/>
          <w:lang w:val="es-ES"/>
        </w:rPr>
      </w:pPr>
      <w:r w:rsidRPr="002E77B8">
        <w:rPr>
          <w:rFonts w:asciiTheme="minorHAnsi" w:hAnsiTheme="minorHAnsi" w:cstheme="minorHAnsi"/>
          <w:lang w:val="es-ES"/>
        </w:rPr>
        <w:t xml:space="preserve">El Subgrupo no </w:t>
      </w:r>
      <w:r w:rsidR="0063038A" w:rsidRPr="002E77B8">
        <w:rPr>
          <w:rFonts w:asciiTheme="minorHAnsi" w:hAnsiTheme="minorHAnsi" w:cstheme="minorHAnsi"/>
          <w:lang w:val="es-ES"/>
        </w:rPr>
        <w:t xml:space="preserve">formula ninguna recomendación sobre la asignación para el examen de las resoluciones, ya que este punto del orden del día es aplazado por el </w:t>
      </w:r>
      <w:r w:rsidRPr="002E77B8">
        <w:rPr>
          <w:rFonts w:asciiTheme="minorHAnsi" w:hAnsiTheme="minorHAnsi" w:cstheme="minorHAnsi"/>
          <w:lang w:val="es-ES"/>
        </w:rPr>
        <w:t>Comité Permanente</w:t>
      </w:r>
      <w:r w:rsidR="00762398" w:rsidRPr="002E77B8">
        <w:rPr>
          <w:rFonts w:asciiTheme="minorHAnsi" w:hAnsiTheme="minorHAnsi" w:cstheme="minorHAnsi"/>
          <w:lang w:val="es-ES"/>
        </w:rPr>
        <w:t>.</w:t>
      </w:r>
    </w:p>
    <w:p w14:paraId="11358DA0" w14:textId="77777777" w:rsidR="003957BA" w:rsidRPr="002E77B8" w:rsidRDefault="003957BA" w:rsidP="003957BA">
      <w:pPr>
        <w:widowControl/>
        <w:rPr>
          <w:rFonts w:asciiTheme="minorHAnsi" w:hAnsiTheme="minorHAnsi" w:cstheme="minorHAnsi"/>
          <w:b/>
          <w:i/>
          <w:lang w:val="es-ES"/>
        </w:rPr>
      </w:pPr>
    </w:p>
    <w:p w14:paraId="619AE918" w14:textId="77777777" w:rsidR="003957BA" w:rsidRPr="002E77B8" w:rsidRDefault="003957BA" w:rsidP="003957BA">
      <w:pPr>
        <w:widowControl/>
        <w:ind w:left="426" w:hanging="426"/>
        <w:rPr>
          <w:rFonts w:asciiTheme="minorHAnsi" w:hAnsiTheme="minorHAnsi" w:cstheme="minorHAnsi"/>
          <w:b/>
          <w:lang w:val="es-ES"/>
        </w:rPr>
      </w:pPr>
    </w:p>
    <w:p w14:paraId="0EED2233" w14:textId="130B5AF2" w:rsidR="003957BA" w:rsidRPr="002E77B8" w:rsidRDefault="0063038A" w:rsidP="003957BA">
      <w:pPr>
        <w:widowControl/>
        <w:ind w:left="426" w:hanging="426"/>
        <w:rPr>
          <w:rFonts w:asciiTheme="minorHAnsi" w:hAnsiTheme="minorHAnsi" w:cstheme="minorHAnsi"/>
          <w:lang w:val="es-ES"/>
        </w:rPr>
      </w:pPr>
      <w:r w:rsidRPr="002E77B8">
        <w:rPr>
          <w:rFonts w:asciiTheme="minorHAnsi" w:hAnsiTheme="minorHAnsi" w:cstheme="minorHAnsi"/>
          <w:b/>
          <w:lang w:val="es-ES"/>
        </w:rPr>
        <w:t>Punto 8 del orden del día</w:t>
      </w:r>
      <w:r w:rsidR="003957BA" w:rsidRPr="002E77B8">
        <w:rPr>
          <w:rFonts w:asciiTheme="minorHAnsi" w:hAnsiTheme="minorHAnsi" w:cstheme="minorHAnsi"/>
          <w:lang w:val="es-ES"/>
        </w:rPr>
        <w:t xml:space="preserve">: </w:t>
      </w:r>
      <w:r w:rsidRPr="002E77B8">
        <w:rPr>
          <w:rFonts w:asciiTheme="minorHAnsi" w:hAnsiTheme="minorHAnsi" w:cstheme="minorHAnsi"/>
          <w:lang w:val="es-ES"/>
        </w:rPr>
        <w:t xml:space="preserve">Documento </w:t>
      </w:r>
      <w:r w:rsidR="003957BA" w:rsidRPr="002E77B8">
        <w:rPr>
          <w:rFonts w:asciiTheme="minorHAnsi" w:hAnsiTheme="minorHAnsi" w:cstheme="minorHAnsi"/>
          <w:lang w:val="es-ES"/>
        </w:rPr>
        <w:t xml:space="preserve">SC59 doc.8.1, </w:t>
      </w:r>
      <w:r w:rsidRPr="002E77B8">
        <w:rPr>
          <w:rFonts w:asciiTheme="minorHAnsi" w:hAnsiTheme="minorHAnsi" w:cstheme="minorHAnsi"/>
          <w:lang w:val="es-ES"/>
        </w:rPr>
        <w:t>acción</w:t>
      </w:r>
      <w:r w:rsidR="003957BA" w:rsidRPr="002E77B8">
        <w:rPr>
          <w:rFonts w:asciiTheme="minorHAnsi" w:hAnsiTheme="minorHAnsi" w:cstheme="minorHAnsi"/>
          <w:lang w:val="es-ES"/>
        </w:rPr>
        <w:t xml:space="preserve"> xi, </w:t>
      </w:r>
      <w:r w:rsidRPr="002E77B8">
        <w:rPr>
          <w:rFonts w:asciiTheme="minorHAnsi" w:hAnsiTheme="minorHAnsi" w:cstheme="minorHAnsi"/>
          <w:lang w:val="es-ES"/>
        </w:rPr>
        <w:t>párrafo c)</w:t>
      </w:r>
    </w:p>
    <w:p w14:paraId="3A45C842" w14:textId="77777777" w:rsidR="003957BA" w:rsidRPr="002E77B8" w:rsidRDefault="003957BA" w:rsidP="003957BA">
      <w:pPr>
        <w:widowControl/>
        <w:rPr>
          <w:rFonts w:asciiTheme="minorHAnsi" w:hAnsiTheme="minorHAnsi" w:cstheme="minorHAnsi"/>
          <w:b/>
          <w:i/>
          <w:lang w:val="es-ES"/>
        </w:rPr>
      </w:pPr>
    </w:p>
    <w:p w14:paraId="22205BA1" w14:textId="1B1C1E80" w:rsidR="003957BA" w:rsidRPr="002E77B8" w:rsidRDefault="0063038A" w:rsidP="003957BA">
      <w:pPr>
        <w:widowControl/>
        <w:rPr>
          <w:rFonts w:asciiTheme="minorHAnsi" w:hAnsiTheme="minorHAnsi" w:cstheme="minorHAnsi"/>
          <w:lang w:val="es-ES"/>
        </w:rPr>
      </w:pPr>
      <w:r w:rsidRPr="002E77B8">
        <w:rPr>
          <w:rFonts w:asciiTheme="minorHAnsi" w:hAnsiTheme="minorHAnsi" w:cstheme="minorHAnsi"/>
          <w:lang w:val="es-ES"/>
        </w:rPr>
        <w:t>El historial de las deliberaciones sobre este punto se encuentra en la 1ª Parte del informe. El Subgrupo no formula ninguna recomendación sobre la asignación para comunicaciones sobre los Premios Ramsar a la Conservación de los Humedales, ya que este punto del orden del día es aplazado por el C</w:t>
      </w:r>
      <w:r w:rsidR="00613686" w:rsidRPr="002E77B8">
        <w:rPr>
          <w:rFonts w:asciiTheme="minorHAnsi" w:hAnsiTheme="minorHAnsi" w:cstheme="minorHAnsi"/>
          <w:lang w:val="es-ES"/>
        </w:rPr>
        <w:t>omité Permanente</w:t>
      </w:r>
      <w:r w:rsidR="003957BA" w:rsidRPr="002E77B8">
        <w:rPr>
          <w:rFonts w:asciiTheme="minorHAnsi" w:hAnsiTheme="minorHAnsi" w:cstheme="minorHAnsi"/>
          <w:lang w:val="es-ES"/>
        </w:rPr>
        <w:t>.</w:t>
      </w:r>
    </w:p>
    <w:p w14:paraId="47056B89" w14:textId="3CD6C210" w:rsidR="003957BA" w:rsidRPr="002E77B8" w:rsidRDefault="003957BA" w:rsidP="003C0CBD">
      <w:pPr>
        <w:widowControl/>
        <w:ind w:left="426" w:hanging="426"/>
        <w:rPr>
          <w:rFonts w:asciiTheme="minorHAnsi" w:hAnsiTheme="minorHAnsi" w:cstheme="minorHAnsi"/>
          <w:b/>
          <w:lang w:val="es-ES"/>
        </w:rPr>
      </w:pPr>
    </w:p>
    <w:p w14:paraId="15DFA4AD" w14:textId="45A0AF3B" w:rsidR="00E41BE2" w:rsidRPr="002E77B8" w:rsidRDefault="0063038A" w:rsidP="00E41BE2">
      <w:pPr>
        <w:widowControl/>
        <w:rPr>
          <w:rFonts w:asciiTheme="minorHAnsi" w:hAnsiTheme="minorHAnsi" w:cstheme="minorHAnsi"/>
          <w:lang w:val="es-ES"/>
        </w:rPr>
      </w:pPr>
      <w:r w:rsidRPr="002E77B8">
        <w:rPr>
          <w:rFonts w:asciiTheme="minorHAnsi" w:hAnsiTheme="minorHAnsi" w:cstheme="minorHAnsi"/>
          <w:lang w:val="es-ES"/>
        </w:rPr>
        <w:t xml:space="preserve">Se señala que se </w:t>
      </w:r>
      <w:r w:rsidRPr="00801493">
        <w:rPr>
          <w:rFonts w:asciiTheme="minorHAnsi" w:hAnsiTheme="minorHAnsi" w:cstheme="minorHAnsi"/>
          <w:lang w:val="es-ES"/>
        </w:rPr>
        <w:t>examinarán</w:t>
      </w:r>
      <w:r w:rsidRPr="002E77B8">
        <w:rPr>
          <w:rFonts w:asciiTheme="minorHAnsi" w:hAnsiTheme="minorHAnsi" w:cstheme="minorHAnsi"/>
          <w:lang w:val="es-ES"/>
        </w:rPr>
        <w:t xml:space="preserve"> los puntos 5 y 8 del orden del día si el Comité Permanente </w:t>
      </w:r>
      <w:r w:rsidR="00801493">
        <w:rPr>
          <w:rFonts w:asciiTheme="minorHAnsi" w:hAnsiTheme="minorHAnsi" w:cstheme="minorHAnsi"/>
          <w:lang w:val="es-ES"/>
        </w:rPr>
        <w:t>delibera sobre</w:t>
      </w:r>
      <w:r w:rsidRPr="002E77B8">
        <w:rPr>
          <w:rFonts w:asciiTheme="minorHAnsi" w:hAnsiTheme="minorHAnsi" w:cstheme="minorHAnsi"/>
          <w:lang w:val="es-ES"/>
        </w:rPr>
        <w:t xml:space="preserve"> estas cuestiones en el futuro</w:t>
      </w:r>
      <w:r w:rsidR="00E41BE2" w:rsidRPr="002E77B8">
        <w:rPr>
          <w:rFonts w:asciiTheme="minorHAnsi" w:hAnsiTheme="minorHAnsi" w:cstheme="minorHAnsi"/>
          <w:lang w:val="es-ES"/>
        </w:rPr>
        <w:t>.</w:t>
      </w:r>
    </w:p>
    <w:p w14:paraId="702181B7" w14:textId="77777777" w:rsidR="00E41BE2" w:rsidRPr="002E77B8" w:rsidRDefault="00E41BE2" w:rsidP="003C0CBD">
      <w:pPr>
        <w:widowControl/>
        <w:ind w:left="426" w:hanging="426"/>
        <w:rPr>
          <w:rFonts w:asciiTheme="minorHAnsi" w:hAnsiTheme="minorHAnsi" w:cstheme="minorHAnsi"/>
          <w:b/>
          <w:lang w:val="es-ES"/>
        </w:rPr>
      </w:pPr>
    </w:p>
    <w:p w14:paraId="436709BC" w14:textId="034DF38F" w:rsidR="003C0CBD" w:rsidRPr="002E77B8" w:rsidRDefault="0063038A" w:rsidP="003C0CBD">
      <w:pPr>
        <w:widowControl/>
        <w:ind w:left="426" w:hanging="426"/>
        <w:rPr>
          <w:rFonts w:asciiTheme="minorHAnsi" w:hAnsiTheme="minorHAnsi" w:cstheme="minorHAnsi"/>
          <w:lang w:val="es-ES"/>
        </w:rPr>
      </w:pPr>
      <w:r w:rsidRPr="002E77B8">
        <w:rPr>
          <w:rFonts w:asciiTheme="minorHAnsi" w:hAnsiTheme="minorHAnsi" w:cstheme="minorHAnsi"/>
          <w:b/>
          <w:lang w:val="es-ES"/>
        </w:rPr>
        <w:t>Punto 6 del orden del día</w:t>
      </w:r>
      <w:r w:rsidR="003C0CBD" w:rsidRPr="002E77B8">
        <w:rPr>
          <w:rFonts w:asciiTheme="minorHAnsi" w:hAnsiTheme="minorHAnsi" w:cstheme="minorHAnsi"/>
          <w:lang w:val="es-ES"/>
        </w:rPr>
        <w:t xml:space="preserve">: </w:t>
      </w:r>
      <w:r w:rsidRPr="002E77B8">
        <w:rPr>
          <w:rFonts w:asciiTheme="minorHAnsi" w:hAnsiTheme="minorHAnsi" w:cstheme="minorHAnsi"/>
          <w:lang w:val="es-ES"/>
        </w:rPr>
        <w:t xml:space="preserve">Documento </w:t>
      </w:r>
      <w:r w:rsidR="003C0CBD" w:rsidRPr="002E77B8">
        <w:rPr>
          <w:rFonts w:asciiTheme="minorHAnsi" w:hAnsiTheme="minorHAnsi" w:cstheme="minorHAnsi"/>
          <w:lang w:val="es-ES"/>
        </w:rPr>
        <w:t xml:space="preserve">SC59 doc.8.1, </w:t>
      </w:r>
      <w:r w:rsidRPr="002E77B8">
        <w:rPr>
          <w:rFonts w:asciiTheme="minorHAnsi" w:hAnsiTheme="minorHAnsi" w:cstheme="minorHAnsi"/>
          <w:lang w:val="es-ES"/>
        </w:rPr>
        <w:t>acción</w:t>
      </w:r>
      <w:r w:rsidR="003C0CBD" w:rsidRPr="002E77B8">
        <w:rPr>
          <w:rFonts w:asciiTheme="minorHAnsi" w:hAnsiTheme="minorHAnsi" w:cstheme="minorHAnsi"/>
          <w:lang w:val="es-ES"/>
        </w:rPr>
        <w:t xml:space="preserve"> ix.</w:t>
      </w:r>
    </w:p>
    <w:p w14:paraId="62ED39E7" w14:textId="77777777" w:rsidR="003C0CBD" w:rsidRPr="002E77B8" w:rsidRDefault="003C0CBD" w:rsidP="003C0CBD">
      <w:pPr>
        <w:widowControl/>
        <w:ind w:left="426" w:hanging="426"/>
        <w:rPr>
          <w:rFonts w:asciiTheme="minorHAnsi" w:hAnsiTheme="minorHAnsi" w:cstheme="minorHAnsi"/>
          <w:lang w:val="es-ES"/>
        </w:rPr>
      </w:pPr>
    </w:p>
    <w:p w14:paraId="31860F4F" w14:textId="3C44808B" w:rsidR="00B01CF9" w:rsidRPr="002E77B8" w:rsidRDefault="0063038A" w:rsidP="002B0987">
      <w:pPr>
        <w:widowControl/>
        <w:rPr>
          <w:rFonts w:asciiTheme="minorHAnsi" w:hAnsiTheme="minorHAnsi" w:cstheme="minorHAnsi"/>
          <w:lang w:val="es-ES"/>
        </w:rPr>
      </w:pPr>
      <w:r w:rsidRPr="002E77B8">
        <w:rPr>
          <w:rFonts w:asciiTheme="minorHAnsi" w:hAnsiTheme="minorHAnsi" w:cstheme="minorHAnsi"/>
          <w:lang w:val="es-ES"/>
        </w:rPr>
        <w:t xml:space="preserve">La Secretaria General </w:t>
      </w:r>
      <w:r w:rsidR="00801493">
        <w:rPr>
          <w:rFonts w:asciiTheme="minorHAnsi" w:hAnsiTheme="minorHAnsi" w:cstheme="minorHAnsi"/>
          <w:lang w:val="es-ES"/>
        </w:rPr>
        <w:t>hace referencia a</w:t>
      </w:r>
      <w:r w:rsidRPr="002E77B8">
        <w:rPr>
          <w:rFonts w:asciiTheme="minorHAnsi" w:hAnsiTheme="minorHAnsi" w:cstheme="minorHAnsi"/>
          <w:lang w:val="es-ES"/>
        </w:rPr>
        <w:t xml:space="preserve">l párrafo </w:t>
      </w:r>
      <w:r w:rsidR="003C0CBD" w:rsidRPr="002E77B8">
        <w:rPr>
          <w:rFonts w:asciiTheme="minorHAnsi" w:hAnsiTheme="minorHAnsi" w:cstheme="minorHAnsi"/>
          <w:lang w:val="es-ES"/>
        </w:rPr>
        <w:t>39</w:t>
      </w:r>
      <w:r w:rsidR="00762398" w:rsidRPr="002E77B8">
        <w:rPr>
          <w:rFonts w:asciiTheme="minorHAnsi" w:hAnsiTheme="minorHAnsi" w:cstheme="minorHAnsi"/>
          <w:lang w:val="es-ES"/>
        </w:rPr>
        <w:t xml:space="preserve"> </w:t>
      </w:r>
      <w:r w:rsidRPr="002E77B8">
        <w:rPr>
          <w:rFonts w:asciiTheme="minorHAnsi" w:hAnsiTheme="minorHAnsi" w:cstheme="minorHAnsi"/>
          <w:lang w:val="es-ES"/>
        </w:rPr>
        <w:t xml:space="preserve">del documento </w:t>
      </w:r>
      <w:r w:rsidR="00762398" w:rsidRPr="002E77B8">
        <w:rPr>
          <w:rFonts w:asciiTheme="minorHAnsi" w:hAnsiTheme="minorHAnsi" w:cstheme="minorHAnsi"/>
          <w:lang w:val="es-ES"/>
        </w:rPr>
        <w:t>SC59 Doc.8.1</w:t>
      </w:r>
      <w:r w:rsidR="003C0CBD" w:rsidRPr="002E77B8">
        <w:rPr>
          <w:rFonts w:asciiTheme="minorHAnsi" w:hAnsiTheme="minorHAnsi" w:cstheme="minorHAnsi"/>
          <w:lang w:val="es-ES"/>
        </w:rPr>
        <w:t xml:space="preserve">, </w:t>
      </w:r>
      <w:r w:rsidRPr="002E77B8">
        <w:rPr>
          <w:rFonts w:asciiTheme="minorHAnsi" w:hAnsiTheme="minorHAnsi" w:cstheme="minorHAnsi"/>
          <w:lang w:val="es-ES"/>
        </w:rPr>
        <w:t xml:space="preserve">en el que se propone asignar 90 000 francos suizos de los ahorros en el presupuesto </w:t>
      </w:r>
      <w:r w:rsidRPr="00801493">
        <w:rPr>
          <w:rFonts w:asciiTheme="minorHAnsi" w:hAnsiTheme="minorHAnsi" w:cstheme="minorHAnsi"/>
          <w:lang w:val="es-ES"/>
        </w:rPr>
        <w:t>básico</w:t>
      </w:r>
      <w:r w:rsidRPr="002E77B8">
        <w:rPr>
          <w:rFonts w:asciiTheme="minorHAnsi" w:hAnsiTheme="minorHAnsi" w:cstheme="minorHAnsi"/>
          <w:lang w:val="es-ES"/>
        </w:rPr>
        <w:t xml:space="preserve"> para</w:t>
      </w:r>
      <w:r w:rsidR="00EB4A6B" w:rsidRPr="002E77B8">
        <w:rPr>
          <w:rFonts w:asciiTheme="minorHAnsi" w:hAnsiTheme="minorHAnsi" w:cstheme="minorHAnsi"/>
          <w:lang w:val="es-ES"/>
        </w:rPr>
        <w:t xml:space="preserve"> la</w:t>
      </w:r>
      <w:r w:rsidRPr="002E77B8">
        <w:rPr>
          <w:rFonts w:asciiTheme="minorHAnsi" w:hAnsiTheme="minorHAnsi" w:cstheme="minorHAnsi"/>
          <w:lang w:val="es-ES"/>
        </w:rPr>
        <w:t xml:space="preserve"> labor del Grupo de Trabajo sobre el Plan Estratégico. En el momento de redactar el presente informe, el Comité Permanente aún no ha tomado una decisión al respecto. Para </w:t>
      </w:r>
      <w:r w:rsidR="00801493">
        <w:rPr>
          <w:rFonts w:asciiTheme="minorHAnsi" w:hAnsiTheme="minorHAnsi" w:cstheme="minorHAnsi"/>
          <w:lang w:val="es-ES"/>
        </w:rPr>
        <w:t>facilitar la</w:t>
      </w:r>
      <w:r w:rsidRPr="002E77B8">
        <w:rPr>
          <w:rFonts w:asciiTheme="minorHAnsi" w:hAnsiTheme="minorHAnsi" w:cstheme="minorHAnsi"/>
          <w:lang w:val="es-ES"/>
        </w:rPr>
        <w:t xml:space="preserve"> presentación, en el presupuesto básico para 2021 que figura en el anexo 1 se muestra la asignación </w:t>
      </w:r>
      <w:r w:rsidR="00801493" w:rsidRPr="002E77B8">
        <w:rPr>
          <w:rFonts w:asciiTheme="minorHAnsi" w:hAnsiTheme="minorHAnsi" w:cstheme="minorHAnsi"/>
          <w:lang w:val="es-ES"/>
        </w:rPr>
        <w:t xml:space="preserve">a la partida presupuestaria “Quinto Plan Estratégico (2022 - 2024)” </w:t>
      </w:r>
      <w:r w:rsidRPr="002E77B8">
        <w:rPr>
          <w:rFonts w:asciiTheme="minorHAnsi" w:hAnsiTheme="minorHAnsi" w:cstheme="minorHAnsi"/>
          <w:lang w:val="es-ES"/>
        </w:rPr>
        <w:t xml:space="preserve">de 90 000 francos suizos </w:t>
      </w:r>
      <w:r w:rsidR="00801493" w:rsidRPr="00801493">
        <w:rPr>
          <w:rFonts w:asciiTheme="minorHAnsi" w:hAnsiTheme="minorHAnsi" w:cstheme="minorHAnsi"/>
          <w:lang w:val="es-ES"/>
        </w:rPr>
        <w:t>procedente</w:t>
      </w:r>
      <w:r w:rsidR="00801493">
        <w:rPr>
          <w:rFonts w:asciiTheme="minorHAnsi" w:hAnsiTheme="minorHAnsi" w:cstheme="minorHAnsi"/>
          <w:lang w:val="es-ES"/>
        </w:rPr>
        <w:t>s</w:t>
      </w:r>
      <w:r w:rsidR="00801493" w:rsidRPr="00801493">
        <w:rPr>
          <w:rFonts w:asciiTheme="minorHAnsi" w:hAnsiTheme="minorHAnsi" w:cstheme="minorHAnsi"/>
          <w:lang w:val="es-ES"/>
        </w:rPr>
        <w:t xml:space="preserve"> de </w:t>
      </w:r>
      <w:r w:rsidRPr="00801493">
        <w:rPr>
          <w:rFonts w:asciiTheme="minorHAnsi" w:hAnsiTheme="minorHAnsi" w:cstheme="minorHAnsi"/>
          <w:lang w:val="es-ES"/>
        </w:rPr>
        <w:t>la partida</w:t>
      </w:r>
      <w:r w:rsidRPr="002E77B8">
        <w:rPr>
          <w:rFonts w:asciiTheme="minorHAnsi" w:hAnsiTheme="minorHAnsi" w:cstheme="minorHAnsi"/>
          <w:lang w:val="es-ES"/>
        </w:rPr>
        <w:t xml:space="preserve"> </w:t>
      </w:r>
      <w:r w:rsidR="00B01CF9" w:rsidRPr="002E77B8">
        <w:rPr>
          <w:rFonts w:asciiTheme="minorHAnsi" w:hAnsiTheme="minorHAnsi" w:cstheme="minorHAnsi"/>
          <w:lang w:val="es-ES"/>
        </w:rPr>
        <w:t>“</w:t>
      </w:r>
      <w:r w:rsidR="006A03F3" w:rsidRPr="006A03F3">
        <w:rPr>
          <w:rFonts w:asciiTheme="minorHAnsi" w:hAnsiTheme="minorHAnsi" w:cstheme="minorHAnsi"/>
          <w:lang w:val="es-ES"/>
        </w:rPr>
        <w:t>Ahorros en el presupuesto de la reunión</w:t>
      </w:r>
      <w:r w:rsidRPr="006A03F3">
        <w:rPr>
          <w:rFonts w:asciiTheme="minorHAnsi" w:hAnsiTheme="minorHAnsi" w:cstheme="minorHAnsi"/>
          <w:lang w:val="es-ES"/>
        </w:rPr>
        <w:t xml:space="preserve"> SC58</w:t>
      </w:r>
      <w:r w:rsidRPr="002E77B8">
        <w:rPr>
          <w:rFonts w:asciiTheme="minorHAnsi" w:hAnsiTheme="minorHAnsi" w:cstheme="minorHAnsi"/>
          <w:lang w:val="es-ES"/>
        </w:rPr>
        <w:t xml:space="preserve"> y ahorros no comprometidos traspasados al año siguiente</w:t>
      </w:r>
      <w:r w:rsidR="00B01CF9" w:rsidRPr="002E77B8">
        <w:rPr>
          <w:rFonts w:asciiTheme="minorHAnsi" w:hAnsiTheme="minorHAnsi" w:cstheme="minorHAnsi"/>
          <w:lang w:val="es-ES"/>
        </w:rPr>
        <w:t xml:space="preserve">”. </w:t>
      </w:r>
      <w:r w:rsidRPr="002E77B8">
        <w:rPr>
          <w:rFonts w:asciiTheme="minorHAnsi" w:hAnsiTheme="minorHAnsi" w:cstheme="minorHAnsi"/>
          <w:lang w:val="es-ES"/>
        </w:rPr>
        <w:t>En caso de que</w:t>
      </w:r>
      <w:r w:rsidR="00801493">
        <w:rPr>
          <w:rFonts w:asciiTheme="minorHAnsi" w:hAnsiTheme="minorHAnsi" w:cstheme="minorHAnsi"/>
          <w:lang w:val="es-ES"/>
        </w:rPr>
        <w:t xml:space="preserve"> la asignación</w:t>
      </w:r>
      <w:r w:rsidRPr="002E77B8">
        <w:rPr>
          <w:rFonts w:asciiTheme="minorHAnsi" w:hAnsiTheme="minorHAnsi" w:cstheme="minorHAnsi"/>
          <w:lang w:val="es-ES"/>
        </w:rPr>
        <w:t xml:space="preserve"> no sea necesaria, se ajustará el presupuesto para 2021 </w:t>
      </w:r>
      <w:r w:rsidR="00801493">
        <w:rPr>
          <w:rFonts w:asciiTheme="minorHAnsi" w:hAnsiTheme="minorHAnsi" w:cstheme="minorHAnsi"/>
          <w:lang w:val="es-ES"/>
        </w:rPr>
        <w:t>reintegrando</w:t>
      </w:r>
      <w:r w:rsidR="00EB4A6B" w:rsidRPr="002E77B8">
        <w:rPr>
          <w:rFonts w:asciiTheme="minorHAnsi" w:hAnsiTheme="minorHAnsi" w:cstheme="minorHAnsi"/>
          <w:lang w:val="es-ES"/>
        </w:rPr>
        <w:t xml:space="preserve"> los 90 000 francos suizos </w:t>
      </w:r>
      <w:r w:rsidR="00801493">
        <w:rPr>
          <w:rFonts w:asciiTheme="minorHAnsi" w:hAnsiTheme="minorHAnsi" w:cstheme="minorHAnsi"/>
          <w:lang w:val="es-ES"/>
        </w:rPr>
        <w:t>en</w:t>
      </w:r>
      <w:r w:rsidR="00EB4A6B" w:rsidRPr="002E77B8">
        <w:rPr>
          <w:rFonts w:asciiTheme="minorHAnsi" w:hAnsiTheme="minorHAnsi" w:cstheme="minorHAnsi"/>
          <w:lang w:val="es-ES"/>
        </w:rPr>
        <w:t xml:space="preserve"> la partida presupuestaria </w:t>
      </w:r>
      <w:r w:rsidR="00801493">
        <w:rPr>
          <w:rFonts w:asciiTheme="minorHAnsi" w:hAnsiTheme="minorHAnsi" w:cstheme="minorHAnsi"/>
          <w:lang w:val="es-ES"/>
        </w:rPr>
        <w:t>original</w:t>
      </w:r>
      <w:r w:rsidR="00BD5137" w:rsidRPr="002E77B8">
        <w:rPr>
          <w:rFonts w:asciiTheme="minorHAnsi" w:hAnsiTheme="minorHAnsi" w:cstheme="minorHAnsi"/>
          <w:lang w:val="es-ES"/>
        </w:rPr>
        <w:t>.</w:t>
      </w:r>
    </w:p>
    <w:p w14:paraId="5D773F80" w14:textId="16402808" w:rsidR="003C0CBD" w:rsidRPr="002E77B8" w:rsidRDefault="003C0CBD" w:rsidP="003C0CBD">
      <w:pPr>
        <w:widowControl/>
        <w:rPr>
          <w:rFonts w:asciiTheme="minorHAnsi" w:hAnsiTheme="minorHAnsi" w:cstheme="minorHAnsi"/>
          <w:i/>
          <w:lang w:val="es-ES"/>
        </w:rPr>
      </w:pPr>
    </w:p>
    <w:p w14:paraId="42CBFCA6" w14:textId="32035415" w:rsidR="003C0CBD" w:rsidRPr="002E77B8" w:rsidRDefault="00EB4A6B" w:rsidP="003C0CBD">
      <w:pPr>
        <w:widowControl/>
        <w:rPr>
          <w:rFonts w:asciiTheme="minorHAnsi" w:hAnsiTheme="minorHAnsi" w:cstheme="minorHAnsi"/>
          <w:i/>
          <w:lang w:val="es-ES"/>
        </w:rPr>
      </w:pPr>
      <w:r w:rsidRPr="002E77B8">
        <w:rPr>
          <w:rFonts w:asciiTheme="minorHAnsi" w:hAnsiTheme="minorHAnsi" w:cstheme="minorHAnsi"/>
          <w:i/>
          <w:color w:val="0000FF"/>
          <w:lang w:val="es-ES"/>
        </w:rPr>
        <w:t>Recomendación para que el Comité Permanente adopte una decisión</w:t>
      </w:r>
      <w:r w:rsidR="00A464D1" w:rsidRPr="002E77B8">
        <w:rPr>
          <w:rFonts w:asciiTheme="minorHAnsi" w:hAnsiTheme="minorHAnsi" w:cstheme="minorHAnsi"/>
          <w:i/>
          <w:color w:val="0000FF"/>
          <w:lang w:val="es-ES"/>
        </w:rPr>
        <w:t>:</w:t>
      </w:r>
    </w:p>
    <w:p w14:paraId="26A83C68" w14:textId="77777777" w:rsidR="003C0CBD" w:rsidRPr="002E77B8" w:rsidRDefault="003C0CBD" w:rsidP="003C0CBD">
      <w:pPr>
        <w:widowControl/>
        <w:rPr>
          <w:rFonts w:asciiTheme="minorHAnsi" w:hAnsiTheme="minorHAnsi" w:cstheme="minorHAnsi"/>
          <w:b/>
          <w:i/>
          <w:lang w:val="es-ES"/>
        </w:rPr>
      </w:pPr>
    </w:p>
    <w:p w14:paraId="1F221BEE" w14:textId="10655236" w:rsidR="003C0CBD" w:rsidRPr="002E77B8" w:rsidRDefault="00EB4A6B" w:rsidP="003C0CBD">
      <w:pPr>
        <w:widowControl/>
        <w:rPr>
          <w:rFonts w:asciiTheme="minorHAnsi" w:hAnsiTheme="minorHAnsi" w:cstheme="minorHAnsi"/>
          <w:b/>
          <w:i/>
          <w:lang w:val="es-ES"/>
        </w:rPr>
      </w:pPr>
      <w:r w:rsidRPr="002E77B8">
        <w:rPr>
          <w:rFonts w:asciiTheme="minorHAnsi" w:hAnsiTheme="minorHAnsi" w:cstheme="minorHAnsi"/>
          <w:b/>
          <w:i/>
          <w:lang w:val="es-ES"/>
        </w:rPr>
        <w:t xml:space="preserve">El </w:t>
      </w:r>
      <w:r w:rsidR="00613686" w:rsidRPr="002E77B8">
        <w:rPr>
          <w:rFonts w:asciiTheme="minorHAnsi" w:hAnsiTheme="minorHAnsi" w:cstheme="minorHAnsi"/>
          <w:b/>
          <w:i/>
          <w:lang w:val="es-ES"/>
        </w:rPr>
        <w:t>Subgrupo de Finanzas</w:t>
      </w:r>
      <w:r w:rsidR="003C0CBD" w:rsidRPr="002E77B8">
        <w:rPr>
          <w:rFonts w:asciiTheme="minorHAnsi" w:hAnsiTheme="minorHAnsi" w:cstheme="minorHAnsi"/>
          <w:b/>
          <w:i/>
          <w:lang w:val="es-ES"/>
        </w:rPr>
        <w:t xml:space="preserve"> rec</w:t>
      </w:r>
      <w:r w:rsidRPr="002E77B8">
        <w:rPr>
          <w:rFonts w:asciiTheme="minorHAnsi" w:hAnsiTheme="minorHAnsi" w:cstheme="minorHAnsi"/>
          <w:b/>
          <w:i/>
          <w:lang w:val="es-ES"/>
        </w:rPr>
        <w:t xml:space="preserve">omienda que el </w:t>
      </w:r>
      <w:r w:rsidR="00613686" w:rsidRPr="002E77B8">
        <w:rPr>
          <w:rFonts w:asciiTheme="minorHAnsi" w:hAnsiTheme="minorHAnsi" w:cstheme="minorHAnsi"/>
          <w:b/>
          <w:i/>
          <w:lang w:val="es-ES"/>
        </w:rPr>
        <w:t>Comité Permanente</w:t>
      </w:r>
      <w:r w:rsidR="003C0CBD" w:rsidRPr="002E77B8">
        <w:rPr>
          <w:rFonts w:asciiTheme="minorHAnsi" w:hAnsiTheme="minorHAnsi" w:cstheme="minorHAnsi"/>
          <w:b/>
          <w:i/>
          <w:lang w:val="es-ES"/>
        </w:rPr>
        <w:t xml:space="preserve"> ap</w:t>
      </w:r>
      <w:r w:rsidRPr="002E77B8">
        <w:rPr>
          <w:rFonts w:asciiTheme="minorHAnsi" w:hAnsiTheme="minorHAnsi" w:cstheme="minorHAnsi"/>
          <w:b/>
          <w:i/>
          <w:lang w:val="es-ES"/>
        </w:rPr>
        <w:t>ruebe la asignación de 90 000 francos suizos de los ahorros en el presupuesto básico de 2020 para la labor del Grupo de Trabajo sobre el Plan Estratégico</w:t>
      </w:r>
      <w:r w:rsidR="00D20ABA" w:rsidRPr="002E77B8">
        <w:rPr>
          <w:rFonts w:asciiTheme="minorHAnsi" w:hAnsiTheme="minorHAnsi" w:cstheme="minorHAnsi"/>
          <w:b/>
          <w:i/>
          <w:lang w:val="es-ES"/>
        </w:rPr>
        <w:t>,</w:t>
      </w:r>
      <w:r w:rsidR="004729D2" w:rsidRPr="002E77B8">
        <w:rPr>
          <w:lang w:val="es-ES"/>
        </w:rPr>
        <w:t xml:space="preserve"> </w:t>
      </w:r>
      <w:r w:rsidR="006A03F3" w:rsidRPr="006A03F3">
        <w:rPr>
          <w:rFonts w:asciiTheme="minorHAnsi" w:hAnsiTheme="minorHAnsi" w:cstheme="minorHAnsi"/>
          <w:b/>
          <w:i/>
          <w:lang w:val="es-ES"/>
        </w:rPr>
        <w:t xml:space="preserve">con sujeción </w:t>
      </w:r>
      <w:r w:rsidRPr="006A03F3">
        <w:rPr>
          <w:rFonts w:asciiTheme="minorHAnsi" w:hAnsiTheme="minorHAnsi" w:cstheme="minorHAnsi"/>
          <w:b/>
          <w:i/>
          <w:lang w:val="es-ES"/>
        </w:rPr>
        <w:t>a</w:t>
      </w:r>
      <w:r w:rsidRPr="002E77B8">
        <w:rPr>
          <w:rFonts w:asciiTheme="minorHAnsi" w:hAnsiTheme="minorHAnsi" w:cstheme="minorHAnsi"/>
          <w:b/>
          <w:i/>
          <w:lang w:val="es-ES"/>
        </w:rPr>
        <w:t xml:space="preserve"> la decisión del </w:t>
      </w:r>
      <w:r w:rsidR="00613686" w:rsidRPr="002E77B8">
        <w:rPr>
          <w:rFonts w:asciiTheme="minorHAnsi" w:hAnsiTheme="minorHAnsi" w:cstheme="minorHAnsi"/>
          <w:b/>
          <w:i/>
          <w:lang w:val="es-ES"/>
        </w:rPr>
        <w:t>Comité Permanente</w:t>
      </w:r>
      <w:r w:rsidRPr="002E77B8">
        <w:rPr>
          <w:rFonts w:asciiTheme="minorHAnsi" w:hAnsiTheme="minorHAnsi" w:cstheme="minorHAnsi"/>
          <w:b/>
          <w:i/>
          <w:lang w:val="es-ES"/>
        </w:rPr>
        <w:t xml:space="preserve"> de establecer un nuevo grupo de trabajo o renovar el mandato del grupo de trabajo actual</w:t>
      </w:r>
      <w:r w:rsidR="004729D2" w:rsidRPr="002E77B8">
        <w:rPr>
          <w:rFonts w:asciiTheme="minorHAnsi" w:hAnsiTheme="minorHAnsi" w:cstheme="minorHAnsi"/>
          <w:b/>
          <w:i/>
          <w:lang w:val="es-ES"/>
        </w:rPr>
        <w:t>.</w:t>
      </w:r>
    </w:p>
    <w:p w14:paraId="6D8BF817" w14:textId="57AC2047" w:rsidR="00FF429F" w:rsidRPr="002E77B8" w:rsidRDefault="00EB4A6B" w:rsidP="00D20ABA">
      <w:pPr>
        <w:keepNext/>
        <w:widowControl/>
        <w:ind w:left="425" w:hanging="425"/>
        <w:rPr>
          <w:rFonts w:asciiTheme="minorHAnsi" w:hAnsiTheme="minorHAnsi" w:cstheme="minorHAnsi"/>
          <w:lang w:val="es-ES"/>
        </w:rPr>
      </w:pPr>
      <w:r w:rsidRPr="002E77B8">
        <w:rPr>
          <w:rFonts w:asciiTheme="minorHAnsi" w:hAnsiTheme="minorHAnsi" w:cstheme="minorHAnsi"/>
          <w:b/>
          <w:lang w:val="es-ES"/>
        </w:rPr>
        <w:lastRenderedPageBreak/>
        <w:t>Punto 2 del orden del día</w:t>
      </w:r>
      <w:r w:rsidR="00FF429F" w:rsidRPr="002E77B8">
        <w:rPr>
          <w:rFonts w:asciiTheme="minorHAnsi" w:hAnsiTheme="minorHAnsi" w:cstheme="minorHAnsi"/>
          <w:lang w:val="es-ES"/>
        </w:rPr>
        <w:t xml:space="preserve">: </w:t>
      </w:r>
      <w:r w:rsidRPr="002E77B8">
        <w:rPr>
          <w:rFonts w:asciiTheme="minorHAnsi" w:hAnsiTheme="minorHAnsi" w:cstheme="minorHAnsi"/>
          <w:lang w:val="es-ES"/>
        </w:rPr>
        <w:t xml:space="preserve">Documento </w:t>
      </w:r>
      <w:r w:rsidR="00FF429F" w:rsidRPr="002E77B8">
        <w:rPr>
          <w:rFonts w:asciiTheme="minorHAnsi" w:hAnsiTheme="minorHAnsi" w:cstheme="minorHAnsi"/>
          <w:lang w:val="es-ES"/>
        </w:rPr>
        <w:t xml:space="preserve">SC59 doc.8.1, </w:t>
      </w:r>
      <w:r w:rsidRPr="002E77B8">
        <w:rPr>
          <w:rFonts w:asciiTheme="minorHAnsi" w:hAnsiTheme="minorHAnsi" w:cstheme="minorHAnsi"/>
          <w:lang w:val="es-ES"/>
        </w:rPr>
        <w:t>acción</w:t>
      </w:r>
      <w:r w:rsidR="00FF429F" w:rsidRPr="002E77B8">
        <w:rPr>
          <w:rFonts w:asciiTheme="minorHAnsi" w:hAnsiTheme="minorHAnsi" w:cstheme="minorHAnsi"/>
          <w:lang w:val="es-ES"/>
        </w:rPr>
        <w:t xml:space="preserve"> v.</w:t>
      </w:r>
    </w:p>
    <w:p w14:paraId="2DB970C9" w14:textId="77777777" w:rsidR="00FF429F" w:rsidRPr="002E77B8" w:rsidRDefault="00FF429F" w:rsidP="00D20ABA">
      <w:pPr>
        <w:keepNext/>
        <w:widowControl/>
        <w:ind w:left="425" w:hanging="425"/>
        <w:rPr>
          <w:rFonts w:asciiTheme="minorHAnsi" w:hAnsiTheme="minorHAnsi" w:cstheme="minorHAnsi"/>
          <w:lang w:val="es-ES"/>
        </w:rPr>
      </w:pPr>
    </w:p>
    <w:p w14:paraId="3E288E2F" w14:textId="071AE7CE" w:rsidR="00FF429F" w:rsidRPr="002E77B8" w:rsidRDefault="00EB4A6B" w:rsidP="00FF429F">
      <w:pPr>
        <w:widowControl/>
        <w:rPr>
          <w:lang w:val="es-ES"/>
        </w:rPr>
      </w:pPr>
      <w:r w:rsidRPr="002E77B8">
        <w:rPr>
          <w:rFonts w:asciiTheme="minorHAnsi" w:hAnsiTheme="minorHAnsi" w:cstheme="minorHAnsi"/>
          <w:lang w:val="es-ES"/>
        </w:rPr>
        <w:t xml:space="preserve">Los representantes de la Iniciativa Regional de Ramsar Indo-Birmana (IBRRI), la Iniciativa Regional de Ramsar para Asia Central (RRI-CA) y la Iniciativa Regional de Ramsar para la Cuenca del Río Amazonas resumen sus actividades realizadas en los últimos meses y la utilización prevista de los fondos adicionales. El representante de la Iniciativa Regional de Ramsar para la Cuenca del Río Senegal no está presente durante las </w:t>
      </w:r>
      <w:r w:rsidR="006A03F3">
        <w:rPr>
          <w:rFonts w:asciiTheme="minorHAnsi" w:hAnsiTheme="minorHAnsi" w:cstheme="minorHAnsi"/>
          <w:lang w:val="es-ES"/>
        </w:rPr>
        <w:t>deliberaciones</w:t>
      </w:r>
      <w:r w:rsidRPr="002E77B8">
        <w:rPr>
          <w:rFonts w:asciiTheme="minorHAnsi" w:hAnsiTheme="minorHAnsi" w:cstheme="minorHAnsi"/>
          <w:lang w:val="es-ES"/>
        </w:rPr>
        <w:t xml:space="preserve"> sobre este punto del orden del día</w:t>
      </w:r>
      <w:r w:rsidR="00FF429F" w:rsidRPr="002E77B8">
        <w:rPr>
          <w:lang w:val="es-ES"/>
        </w:rPr>
        <w:t>.</w:t>
      </w:r>
    </w:p>
    <w:p w14:paraId="34E37FA2" w14:textId="77777777" w:rsidR="00FF429F" w:rsidRPr="002E77B8" w:rsidRDefault="00FF429F" w:rsidP="00FF429F">
      <w:pPr>
        <w:widowControl/>
        <w:rPr>
          <w:lang w:val="es-ES"/>
        </w:rPr>
      </w:pPr>
    </w:p>
    <w:p w14:paraId="39EC3B57" w14:textId="25109DC6" w:rsidR="008867E3" w:rsidRPr="002E77B8" w:rsidRDefault="00EB4A6B" w:rsidP="00FF429F">
      <w:pPr>
        <w:widowControl/>
        <w:rPr>
          <w:lang w:val="es-ES"/>
        </w:rPr>
      </w:pPr>
      <w:r w:rsidRPr="002E77B8">
        <w:rPr>
          <w:lang w:val="es-ES"/>
        </w:rPr>
        <w:t xml:space="preserve">El Subgrupo pide aclaraciones sobre los usos permitidos de los fondos para las </w:t>
      </w:r>
      <w:r w:rsidR="006A03F3">
        <w:rPr>
          <w:lang w:val="es-ES"/>
        </w:rPr>
        <w:t>iniciativas regionales de Ramsar (</w:t>
      </w:r>
      <w:r w:rsidRPr="002E77B8">
        <w:rPr>
          <w:lang w:val="es-ES"/>
        </w:rPr>
        <w:t>IRR</w:t>
      </w:r>
      <w:r w:rsidR="006A03F3">
        <w:rPr>
          <w:lang w:val="es-ES"/>
        </w:rPr>
        <w:t>)</w:t>
      </w:r>
      <w:r w:rsidRPr="002E77B8">
        <w:rPr>
          <w:lang w:val="es-ES"/>
        </w:rPr>
        <w:t xml:space="preserve"> con cargo al presupuesto básico, por ejemplo, si esos fondos se han utilizado en el pasado para apoyar la asistencia a la COP (que no corresponde a la finalidad de esos fondos), ya que eso crearía desigualdades en las asignaciones de los fondos para los viajes de los delegados, y expresa su preocupación porque </w:t>
      </w:r>
      <w:r w:rsidR="00BA470A">
        <w:rPr>
          <w:lang w:val="es-ES"/>
        </w:rPr>
        <w:t>esas</w:t>
      </w:r>
      <w:r w:rsidRPr="002E77B8">
        <w:rPr>
          <w:lang w:val="es-ES"/>
        </w:rPr>
        <w:t xml:space="preserve"> asignaciones con cargo al presupuesto básico de la Convención no son auditadas, proponiendo que cualquier recomendación haga referencia al párrafo</w:t>
      </w:r>
      <w:r w:rsidR="00FF429F" w:rsidRPr="002E77B8">
        <w:rPr>
          <w:lang w:val="es-ES"/>
        </w:rPr>
        <w:t xml:space="preserve"> 8.d. </w:t>
      </w:r>
      <w:r w:rsidRPr="002E77B8">
        <w:rPr>
          <w:lang w:val="es-ES"/>
        </w:rPr>
        <w:t xml:space="preserve">de la Resolución </w:t>
      </w:r>
      <w:r w:rsidR="00FF429F" w:rsidRPr="002E77B8">
        <w:rPr>
          <w:lang w:val="es-ES"/>
        </w:rPr>
        <w:t xml:space="preserve">XIII.9 </w:t>
      </w:r>
      <w:r w:rsidR="00EF291D" w:rsidRPr="002E77B8">
        <w:rPr>
          <w:lang w:val="es-ES"/>
        </w:rPr>
        <w:t xml:space="preserve">(“las </w:t>
      </w:r>
      <w:r w:rsidR="00EF291D" w:rsidRPr="006A03F3">
        <w:rPr>
          <w:lang w:val="es-ES"/>
        </w:rPr>
        <w:t>IRR</w:t>
      </w:r>
      <w:r w:rsidR="00EF291D" w:rsidRPr="002E77B8">
        <w:rPr>
          <w:lang w:val="es-ES"/>
        </w:rPr>
        <w:t xml:space="preserve"> deben </w:t>
      </w:r>
      <w:r w:rsidR="00EF291D">
        <w:rPr>
          <w:lang w:val="es-ES"/>
        </w:rPr>
        <w:t>asumir</w:t>
      </w:r>
      <w:r w:rsidR="00EF291D" w:rsidRPr="002E77B8">
        <w:rPr>
          <w:lang w:val="es-ES"/>
        </w:rPr>
        <w:t xml:space="preserve"> responsabilidad financiera”)</w:t>
      </w:r>
      <w:r w:rsidR="00EF291D">
        <w:rPr>
          <w:lang w:val="es-ES"/>
        </w:rPr>
        <w:t xml:space="preserve"> </w:t>
      </w:r>
      <w:r w:rsidRPr="002E77B8">
        <w:rPr>
          <w:lang w:val="es-ES"/>
        </w:rPr>
        <w:t xml:space="preserve">para apoyar la responsabilidad financiera </w:t>
      </w:r>
      <w:r w:rsidR="006A03F3">
        <w:rPr>
          <w:lang w:val="es-ES"/>
        </w:rPr>
        <w:t xml:space="preserve">que se exige a las </w:t>
      </w:r>
      <w:r w:rsidRPr="002E77B8">
        <w:rPr>
          <w:lang w:val="es-ES"/>
        </w:rPr>
        <w:t xml:space="preserve">IRR. El grupo indica que es apropiado auditar </w:t>
      </w:r>
      <w:r w:rsidR="006A03F3">
        <w:rPr>
          <w:lang w:val="es-ES"/>
        </w:rPr>
        <w:t xml:space="preserve">o </w:t>
      </w:r>
      <w:r w:rsidR="006A03F3" w:rsidRPr="002E77B8">
        <w:rPr>
          <w:lang w:val="es-ES"/>
        </w:rPr>
        <w:t xml:space="preserve">exigir informes financieros más detallados y certificados </w:t>
      </w:r>
      <w:r w:rsidRPr="002E77B8">
        <w:rPr>
          <w:lang w:val="es-ES"/>
        </w:rPr>
        <w:t xml:space="preserve">a las IRR que reciban fondos del presupuesto básico, como ocurre </w:t>
      </w:r>
      <w:r w:rsidR="00467F60">
        <w:rPr>
          <w:lang w:val="es-ES"/>
        </w:rPr>
        <w:t xml:space="preserve">normalmente </w:t>
      </w:r>
      <w:r w:rsidRPr="002E77B8">
        <w:rPr>
          <w:lang w:val="es-ES"/>
        </w:rPr>
        <w:t xml:space="preserve">con </w:t>
      </w:r>
      <w:r w:rsidR="00467F60">
        <w:rPr>
          <w:lang w:val="es-ES"/>
        </w:rPr>
        <w:t>la presentación de</w:t>
      </w:r>
      <w:r w:rsidRPr="002E77B8">
        <w:rPr>
          <w:lang w:val="es-ES"/>
        </w:rPr>
        <w:t xml:space="preserve"> informe</w:t>
      </w:r>
      <w:r w:rsidR="00467F60">
        <w:rPr>
          <w:lang w:val="es-ES"/>
        </w:rPr>
        <w:t>s</w:t>
      </w:r>
      <w:r w:rsidRPr="002E77B8">
        <w:rPr>
          <w:lang w:val="es-ES"/>
        </w:rPr>
        <w:t xml:space="preserve"> </w:t>
      </w:r>
      <w:r w:rsidRPr="006A03F3">
        <w:rPr>
          <w:lang w:val="es-ES"/>
        </w:rPr>
        <w:t>financiero</w:t>
      </w:r>
      <w:r w:rsidR="00467F60">
        <w:rPr>
          <w:lang w:val="es-ES"/>
        </w:rPr>
        <w:t>s</w:t>
      </w:r>
      <w:r w:rsidRPr="006A03F3">
        <w:rPr>
          <w:lang w:val="es-ES"/>
        </w:rPr>
        <w:t xml:space="preserve"> incorporado</w:t>
      </w:r>
      <w:r w:rsidR="00467F60">
        <w:rPr>
          <w:lang w:val="es-ES"/>
        </w:rPr>
        <w:t>s</w:t>
      </w:r>
      <w:r w:rsidRPr="006A03F3">
        <w:rPr>
          <w:lang w:val="es-ES"/>
        </w:rPr>
        <w:t xml:space="preserve"> como gasto formal en los estados </w:t>
      </w:r>
      <w:r w:rsidR="00467F60" w:rsidRPr="006A03F3">
        <w:rPr>
          <w:lang w:val="es-ES"/>
        </w:rPr>
        <w:t>financieros</w:t>
      </w:r>
      <w:r w:rsidRPr="006A03F3">
        <w:rPr>
          <w:lang w:val="es-ES"/>
        </w:rPr>
        <w:t xml:space="preserve"> </w:t>
      </w:r>
      <w:r w:rsidR="00467F60">
        <w:rPr>
          <w:lang w:val="es-ES"/>
        </w:rPr>
        <w:t>correspondientes a</w:t>
      </w:r>
      <w:r w:rsidRPr="006A03F3">
        <w:rPr>
          <w:lang w:val="es-ES"/>
        </w:rPr>
        <w:t>l presupuesto básico</w:t>
      </w:r>
      <w:r w:rsidRPr="002E77B8">
        <w:rPr>
          <w:lang w:val="es-ES"/>
        </w:rPr>
        <w:t xml:space="preserve">. La Presidencia invita a los participantes a aportar ideas sobre otras medidas de gestión del riesgo </w:t>
      </w:r>
      <w:r w:rsidR="006571E1" w:rsidRPr="002E77B8">
        <w:rPr>
          <w:lang w:val="es-ES"/>
        </w:rPr>
        <w:t xml:space="preserve">y de gobernanza y presentación de informes </w:t>
      </w:r>
      <w:r w:rsidR="00467F60">
        <w:rPr>
          <w:lang w:val="es-ES"/>
        </w:rPr>
        <w:t xml:space="preserve">adecuadas </w:t>
      </w:r>
      <w:r w:rsidR="006571E1" w:rsidRPr="002E77B8">
        <w:rPr>
          <w:lang w:val="es-ES"/>
        </w:rPr>
        <w:t xml:space="preserve">que se podrían aplicar. La Secretaria General informa al Subgrupo sobre </w:t>
      </w:r>
      <w:r w:rsidR="00467F60">
        <w:rPr>
          <w:lang w:val="es-ES"/>
        </w:rPr>
        <w:t xml:space="preserve">las medidas </w:t>
      </w:r>
      <w:r w:rsidR="006571E1" w:rsidRPr="002E77B8">
        <w:rPr>
          <w:lang w:val="es-ES"/>
        </w:rPr>
        <w:t>adoptad</w:t>
      </w:r>
      <w:r w:rsidR="00467F60">
        <w:rPr>
          <w:lang w:val="es-ES"/>
        </w:rPr>
        <w:t>a</w:t>
      </w:r>
      <w:r w:rsidR="006571E1" w:rsidRPr="002E77B8">
        <w:rPr>
          <w:lang w:val="es-ES"/>
        </w:rPr>
        <w:t xml:space="preserve">s para garantizar la transparencia en los informes al </w:t>
      </w:r>
      <w:r w:rsidR="00613686" w:rsidRPr="002E77B8">
        <w:rPr>
          <w:lang w:val="es-ES"/>
        </w:rPr>
        <w:t>Comité Permanente</w:t>
      </w:r>
      <w:r w:rsidR="00FF429F" w:rsidRPr="002E77B8">
        <w:rPr>
          <w:lang w:val="es-ES"/>
        </w:rPr>
        <w:t xml:space="preserve"> </w:t>
      </w:r>
      <w:r w:rsidR="006571E1" w:rsidRPr="002E77B8">
        <w:rPr>
          <w:lang w:val="es-ES"/>
        </w:rPr>
        <w:t>que resumen la información contenida en los informes anuales de las IRR. Aclara que las IRR presentan su informe basándose en una plantilla y que la Secretaría propuso un</w:t>
      </w:r>
      <w:r w:rsidR="00467F60">
        <w:rPr>
          <w:lang w:val="es-ES"/>
        </w:rPr>
        <w:t xml:space="preserve">a plantilla </w:t>
      </w:r>
      <w:r w:rsidR="006571E1" w:rsidRPr="002E77B8">
        <w:rPr>
          <w:lang w:val="es-ES"/>
        </w:rPr>
        <w:t>revisada a la reunión SC58 para incrementar la rendición de cuentas</w:t>
      </w:r>
      <w:r w:rsidR="00467F60">
        <w:rPr>
          <w:lang w:val="es-ES"/>
        </w:rPr>
        <w:t>,</w:t>
      </w:r>
      <w:r w:rsidR="006571E1" w:rsidRPr="002E77B8">
        <w:rPr>
          <w:lang w:val="es-ES"/>
        </w:rPr>
        <w:t xml:space="preserve"> pero esta cuestión aún no ha sido tratada por el Comité Permanente</w:t>
      </w:r>
      <w:r w:rsidR="006E6B29" w:rsidRPr="002E77B8">
        <w:rPr>
          <w:lang w:val="es-ES"/>
        </w:rPr>
        <w:t xml:space="preserve">. </w:t>
      </w:r>
    </w:p>
    <w:p w14:paraId="0B911D9B" w14:textId="77777777" w:rsidR="008867E3" w:rsidRPr="002E77B8" w:rsidRDefault="008867E3" w:rsidP="00FF429F">
      <w:pPr>
        <w:widowControl/>
        <w:rPr>
          <w:lang w:val="es-ES"/>
        </w:rPr>
      </w:pPr>
    </w:p>
    <w:p w14:paraId="16A44C89" w14:textId="37E02090" w:rsidR="00FF429F" w:rsidRPr="002E77B8" w:rsidRDefault="00467F60" w:rsidP="00FF429F">
      <w:pPr>
        <w:widowControl/>
        <w:rPr>
          <w:rFonts w:asciiTheme="minorHAnsi" w:hAnsiTheme="minorHAnsi" w:cstheme="minorHAnsi"/>
          <w:lang w:val="es-ES"/>
        </w:rPr>
      </w:pPr>
      <w:r>
        <w:rPr>
          <w:lang w:val="es-ES"/>
        </w:rPr>
        <w:t>Además,</w:t>
      </w:r>
      <w:r w:rsidR="008F2BEC" w:rsidRPr="002E77B8">
        <w:rPr>
          <w:lang w:val="es-ES"/>
        </w:rPr>
        <w:t xml:space="preserve"> se señala que la </w:t>
      </w:r>
      <w:r w:rsidRPr="002E77B8">
        <w:rPr>
          <w:lang w:val="es-ES"/>
        </w:rPr>
        <w:t>presentación</w:t>
      </w:r>
      <w:r w:rsidR="008F2BEC" w:rsidRPr="002E77B8">
        <w:rPr>
          <w:lang w:val="es-ES"/>
        </w:rPr>
        <w:t xml:space="preserve"> de los informes existentes en </w:t>
      </w:r>
      <w:r w:rsidRPr="002E77B8">
        <w:rPr>
          <w:lang w:val="es-ES"/>
        </w:rPr>
        <w:t>idiomas</w:t>
      </w:r>
      <w:r w:rsidR="008F2BEC" w:rsidRPr="002E77B8">
        <w:rPr>
          <w:lang w:val="es-ES"/>
        </w:rPr>
        <w:t xml:space="preserve"> de la Convención distintos del inglés hace que sean difíciles de evaluar por el Subgrupo</w:t>
      </w:r>
      <w:r>
        <w:rPr>
          <w:lang w:val="es-ES"/>
        </w:rPr>
        <w:t xml:space="preserve"> y que </w:t>
      </w:r>
      <w:r w:rsidR="008F2BEC" w:rsidRPr="002E77B8">
        <w:rPr>
          <w:lang w:val="es-ES"/>
        </w:rPr>
        <w:t>se podrían incluir requisitos</w:t>
      </w:r>
      <w:r>
        <w:rPr>
          <w:lang w:val="es-ES"/>
        </w:rPr>
        <w:t xml:space="preserve"> adicionales</w:t>
      </w:r>
      <w:r w:rsidR="008F2BEC" w:rsidRPr="002E77B8">
        <w:rPr>
          <w:lang w:val="es-ES"/>
        </w:rPr>
        <w:t xml:space="preserve"> en los nuevos lineamientos operativos</w:t>
      </w:r>
      <w:r w:rsidR="00BA470A">
        <w:rPr>
          <w:lang w:val="es-ES"/>
        </w:rPr>
        <w:t xml:space="preserve"> para las IRR que están en preparación y también en futuras resoluciones de la COP relativas a cuestiones financieras</w:t>
      </w:r>
      <w:r w:rsidR="00FF429F" w:rsidRPr="002E77B8">
        <w:rPr>
          <w:lang w:val="es-ES"/>
        </w:rPr>
        <w:t>.</w:t>
      </w:r>
      <w:r w:rsidR="00860578" w:rsidRPr="002E77B8">
        <w:rPr>
          <w:lang w:val="es-ES"/>
        </w:rPr>
        <w:t xml:space="preserve"> </w:t>
      </w:r>
    </w:p>
    <w:p w14:paraId="3818DFB7" w14:textId="6A27F8AD" w:rsidR="00FF429F" w:rsidRPr="002E77B8" w:rsidRDefault="00CC0330" w:rsidP="00FF429F">
      <w:pPr>
        <w:widowControl/>
        <w:rPr>
          <w:rFonts w:asciiTheme="minorHAnsi" w:hAnsiTheme="minorHAnsi" w:cstheme="minorHAnsi"/>
          <w:i/>
          <w:color w:val="0000FF"/>
          <w:lang w:val="es-ES"/>
        </w:rPr>
      </w:pPr>
      <w:r w:rsidRPr="002E77B8">
        <w:rPr>
          <w:rFonts w:asciiTheme="minorHAnsi" w:hAnsiTheme="minorHAnsi" w:cstheme="minorHAnsi"/>
          <w:i/>
          <w:color w:val="0000FF"/>
          <w:lang w:val="es-ES"/>
        </w:rPr>
        <w:tab/>
      </w:r>
    </w:p>
    <w:p w14:paraId="2D4B2EF2" w14:textId="34DC8A9B" w:rsidR="00FF429F" w:rsidRPr="002E77B8" w:rsidRDefault="00EB4A6B" w:rsidP="00FF429F">
      <w:pPr>
        <w:widowControl/>
        <w:rPr>
          <w:rFonts w:asciiTheme="minorHAnsi" w:hAnsiTheme="minorHAnsi" w:cstheme="minorHAnsi"/>
          <w:i/>
          <w:iCs/>
          <w:color w:val="0000FF"/>
          <w:lang w:val="es-ES" w:eastAsia="ja-JP"/>
        </w:rPr>
      </w:pPr>
      <w:r w:rsidRPr="002E77B8">
        <w:rPr>
          <w:rFonts w:asciiTheme="minorHAnsi" w:hAnsiTheme="minorHAnsi" w:cstheme="minorHAnsi"/>
          <w:i/>
          <w:color w:val="0000FF"/>
          <w:lang w:val="es-ES"/>
        </w:rPr>
        <w:t>Recomendación para que el Comité Permanente adopte una decisión</w:t>
      </w:r>
      <w:r w:rsidR="00FF429F" w:rsidRPr="002E77B8">
        <w:rPr>
          <w:rFonts w:asciiTheme="minorHAnsi" w:hAnsiTheme="minorHAnsi" w:cstheme="minorHAnsi"/>
          <w:i/>
          <w:iCs/>
          <w:color w:val="0000FF"/>
          <w:lang w:val="es-ES" w:eastAsia="ja-JP"/>
        </w:rPr>
        <w:t>:</w:t>
      </w:r>
    </w:p>
    <w:p w14:paraId="3854CDFC" w14:textId="77777777" w:rsidR="00FF429F" w:rsidRPr="002E77B8" w:rsidRDefault="00FF429F" w:rsidP="00FF429F">
      <w:pPr>
        <w:widowControl/>
        <w:ind w:left="426" w:hanging="426"/>
        <w:rPr>
          <w:rFonts w:asciiTheme="minorHAnsi" w:hAnsiTheme="minorHAnsi" w:cstheme="minorHAnsi"/>
          <w:lang w:val="es-ES"/>
        </w:rPr>
      </w:pPr>
    </w:p>
    <w:p w14:paraId="286F0EBF" w14:textId="2EB0088C" w:rsidR="00FF429F" w:rsidRPr="002E77B8" w:rsidRDefault="008F2BEC" w:rsidP="00FF429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</w:pPr>
      <w:r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>El Subgrupo de Finanzas recomienda que el Comité Permanente apruebe la asignación de 25 000 francos suizos a cada una de las cuatro IRR que reúnen los requisitos para sus actividades en 2021 con cargo a la partida D del presupuesto básico “Apoyo a las iniciativas regionales”, con la condición de que las IRR beneficiarias cumplan el subpárrafo 8.d. de la Resolución XIII.</w:t>
      </w:r>
      <w:r w:rsidR="00FF429F"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>9.</w:t>
      </w:r>
    </w:p>
    <w:p w14:paraId="22AB6E8A" w14:textId="56620B37" w:rsidR="006D3A86" w:rsidRPr="002E77B8" w:rsidRDefault="006D3A86" w:rsidP="00FF429F">
      <w:pPr>
        <w:widowControl/>
        <w:rPr>
          <w:rFonts w:asciiTheme="minorHAnsi" w:eastAsiaTheme="minorEastAsia" w:hAnsiTheme="minorHAnsi" w:cstheme="minorHAnsi"/>
          <w:lang w:val="es-ES" w:eastAsia="ja-JP"/>
        </w:rPr>
      </w:pPr>
    </w:p>
    <w:p w14:paraId="1A620E63" w14:textId="79A59F63" w:rsidR="006D3A86" w:rsidRPr="00BA470A" w:rsidRDefault="00061ABD" w:rsidP="00FF429F">
      <w:pPr>
        <w:widowControl/>
        <w:rPr>
          <w:rFonts w:asciiTheme="minorHAnsi" w:eastAsiaTheme="minorEastAsia" w:hAnsiTheme="minorHAnsi" w:cstheme="minorHAnsi"/>
          <w:b/>
          <w:bCs/>
          <w:i/>
          <w:iCs/>
          <w:lang w:val="es-ES" w:eastAsia="ja-JP"/>
        </w:rPr>
      </w:pPr>
      <w:r w:rsidRPr="00BA470A">
        <w:rPr>
          <w:rFonts w:asciiTheme="minorHAnsi" w:eastAsiaTheme="minorEastAsia" w:hAnsiTheme="minorHAnsi" w:cstheme="minorHAnsi"/>
          <w:b/>
          <w:bCs/>
          <w:i/>
          <w:iCs/>
          <w:lang w:val="es-ES" w:eastAsia="ja-JP"/>
        </w:rPr>
        <w:t xml:space="preserve">El Subgrupo de Finanzas recomienda que el </w:t>
      </w:r>
      <w:r w:rsidR="00613686" w:rsidRPr="00BA470A">
        <w:rPr>
          <w:rFonts w:asciiTheme="minorHAnsi" w:eastAsiaTheme="minorEastAsia" w:hAnsiTheme="minorHAnsi" w:cstheme="minorHAnsi"/>
          <w:b/>
          <w:bCs/>
          <w:i/>
          <w:iCs/>
          <w:lang w:val="es-ES" w:eastAsia="ja-JP"/>
        </w:rPr>
        <w:t>Comité Permanente</w:t>
      </w:r>
      <w:r w:rsidR="00860578" w:rsidRPr="00BA470A">
        <w:rPr>
          <w:rFonts w:asciiTheme="minorHAnsi" w:eastAsiaTheme="minorEastAsia" w:hAnsiTheme="minorHAnsi" w:cstheme="minorHAnsi"/>
          <w:b/>
          <w:bCs/>
          <w:i/>
          <w:iCs/>
          <w:lang w:val="es-ES" w:eastAsia="ja-JP"/>
        </w:rPr>
        <w:t xml:space="preserve"> decid</w:t>
      </w:r>
      <w:r w:rsidRPr="00BA470A">
        <w:rPr>
          <w:rFonts w:asciiTheme="minorHAnsi" w:eastAsiaTheme="minorEastAsia" w:hAnsiTheme="minorHAnsi" w:cstheme="minorHAnsi"/>
          <w:b/>
          <w:bCs/>
          <w:i/>
          <w:iCs/>
          <w:lang w:val="es-ES" w:eastAsia="ja-JP"/>
        </w:rPr>
        <w:t xml:space="preserve">a que </w:t>
      </w:r>
      <w:r w:rsidR="00B62E7A" w:rsidRPr="00BA470A">
        <w:rPr>
          <w:rFonts w:asciiTheme="minorHAnsi" w:eastAsiaTheme="minorEastAsia" w:hAnsiTheme="minorHAnsi" w:cstheme="minorHAnsi"/>
          <w:b/>
          <w:bCs/>
          <w:i/>
          <w:iCs/>
          <w:lang w:val="es-ES" w:eastAsia="ja-JP"/>
        </w:rPr>
        <w:t>toda</w:t>
      </w:r>
      <w:r w:rsidRPr="00BA470A">
        <w:rPr>
          <w:rFonts w:asciiTheme="minorHAnsi" w:eastAsiaTheme="minorEastAsia" w:hAnsiTheme="minorHAnsi" w:cstheme="minorHAnsi"/>
          <w:b/>
          <w:bCs/>
          <w:i/>
          <w:iCs/>
          <w:lang w:val="es-ES" w:eastAsia="ja-JP"/>
        </w:rPr>
        <w:t xml:space="preserve"> solicitud por parte de las IRR de fondos del presupuesto básico incluya una justificación de cómo estas </w:t>
      </w:r>
      <w:r w:rsidR="00BA470A">
        <w:rPr>
          <w:rFonts w:asciiTheme="minorHAnsi" w:eastAsiaTheme="minorEastAsia" w:hAnsiTheme="minorHAnsi" w:cstheme="minorHAnsi"/>
          <w:b/>
          <w:bCs/>
          <w:i/>
          <w:iCs/>
          <w:lang w:val="es-ES" w:eastAsia="ja-JP"/>
        </w:rPr>
        <w:t xml:space="preserve">ayudan a las Partes Contratantes a aplicar la Convención y sus </w:t>
      </w:r>
      <w:r w:rsidRPr="00BA470A">
        <w:rPr>
          <w:rFonts w:asciiTheme="minorHAnsi" w:eastAsiaTheme="minorEastAsia" w:hAnsiTheme="minorHAnsi" w:cstheme="minorHAnsi"/>
          <w:b/>
          <w:bCs/>
          <w:i/>
          <w:iCs/>
          <w:lang w:val="es-ES" w:eastAsia="ja-JP"/>
        </w:rPr>
        <w:t xml:space="preserve">resoluciones y </w:t>
      </w:r>
      <w:r w:rsidR="00B62E7A" w:rsidRPr="00BA470A">
        <w:rPr>
          <w:rFonts w:asciiTheme="minorHAnsi" w:eastAsiaTheme="minorEastAsia" w:hAnsiTheme="minorHAnsi" w:cstheme="minorHAnsi"/>
          <w:b/>
          <w:bCs/>
          <w:i/>
          <w:iCs/>
          <w:lang w:val="es-ES" w:eastAsia="ja-JP"/>
        </w:rPr>
        <w:t>lineamientos</w:t>
      </w:r>
      <w:r w:rsidRPr="00BA470A">
        <w:rPr>
          <w:rFonts w:asciiTheme="minorHAnsi" w:eastAsiaTheme="minorEastAsia" w:hAnsiTheme="minorHAnsi" w:cstheme="minorHAnsi"/>
          <w:b/>
          <w:bCs/>
          <w:i/>
          <w:iCs/>
          <w:lang w:val="es-ES" w:eastAsia="ja-JP"/>
        </w:rPr>
        <w:t xml:space="preserve">, y que </w:t>
      </w:r>
      <w:r w:rsidR="00BA470A">
        <w:rPr>
          <w:rFonts w:asciiTheme="minorHAnsi" w:eastAsiaTheme="minorEastAsia" w:hAnsiTheme="minorHAnsi" w:cstheme="minorHAnsi"/>
          <w:b/>
          <w:bCs/>
          <w:i/>
          <w:iCs/>
          <w:lang w:val="es-ES" w:eastAsia="ja-JP"/>
        </w:rPr>
        <w:t>esas solicitudes s</w:t>
      </w:r>
      <w:r w:rsidRPr="00BA470A">
        <w:rPr>
          <w:rFonts w:asciiTheme="minorHAnsi" w:eastAsiaTheme="minorEastAsia" w:hAnsiTheme="minorHAnsi" w:cstheme="minorHAnsi"/>
          <w:b/>
          <w:bCs/>
          <w:i/>
          <w:iCs/>
          <w:lang w:val="es-ES" w:eastAsia="ja-JP"/>
        </w:rPr>
        <w:t>e proporcion</w:t>
      </w:r>
      <w:r w:rsidR="00BA470A">
        <w:rPr>
          <w:rFonts w:asciiTheme="minorHAnsi" w:eastAsiaTheme="minorEastAsia" w:hAnsiTheme="minorHAnsi" w:cstheme="minorHAnsi"/>
          <w:b/>
          <w:bCs/>
          <w:i/>
          <w:iCs/>
          <w:lang w:val="es-ES" w:eastAsia="ja-JP"/>
        </w:rPr>
        <w:t>en</w:t>
      </w:r>
      <w:r w:rsidRPr="00BA470A">
        <w:rPr>
          <w:rFonts w:asciiTheme="minorHAnsi" w:eastAsiaTheme="minorEastAsia" w:hAnsiTheme="minorHAnsi" w:cstheme="minorHAnsi"/>
          <w:b/>
          <w:bCs/>
          <w:i/>
          <w:iCs/>
          <w:lang w:val="es-ES" w:eastAsia="ja-JP"/>
        </w:rPr>
        <w:t xml:space="preserve"> en inglés</w:t>
      </w:r>
      <w:r w:rsidR="00BA470A">
        <w:rPr>
          <w:rFonts w:asciiTheme="minorHAnsi" w:eastAsiaTheme="minorEastAsia" w:hAnsiTheme="minorHAnsi" w:cstheme="minorHAnsi"/>
          <w:b/>
          <w:bCs/>
          <w:i/>
          <w:iCs/>
          <w:lang w:val="es-ES" w:eastAsia="ja-JP"/>
        </w:rPr>
        <w:t xml:space="preserve"> (siendo aceptables traducciones oficiosas de tipo “Google translate” revisadas por el coordinador nacional del país)</w:t>
      </w:r>
      <w:r w:rsidRPr="00BA470A">
        <w:rPr>
          <w:rFonts w:asciiTheme="minorHAnsi" w:eastAsiaTheme="minorEastAsia" w:hAnsiTheme="minorHAnsi" w:cstheme="minorHAnsi"/>
          <w:b/>
          <w:bCs/>
          <w:i/>
          <w:iCs/>
          <w:lang w:val="es-ES" w:eastAsia="ja-JP"/>
        </w:rPr>
        <w:t xml:space="preserve">, de forma que el Subgrupo de Finanzas pueda tomar decisiones </w:t>
      </w:r>
      <w:r w:rsidR="00BA470A">
        <w:rPr>
          <w:rFonts w:asciiTheme="minorHAnsi" w:eastAsiaTheme="minorEastAsia" w:hAnsiTheme="minorHAnsi" w:cstheme="minorHAnsi"/>
          <w:b/>
          <w:bCs/>
          <w:i/>
          <w:iCs/>
          <w:lang w:val="es-ES" w:eastAsia="ja-JP"/>
        </w:rPr>
        <w:t>fundamentadas en tiempo oportuno</w:t>
      </w:r>
      <w:r w:rsidR="00694DC5" w:rsidRPr="00BA470A">
        <w:rPr>
          <w:rFonts w:asciiTheme="minorHAnsi" w:eastAsiaTheme="minorEastAsia" w:hAnsiTheme="minorHAnsi" w:cstheme="minorHAnsi"/>
          <w:b/>
          <w:bCs/>
          <w:i/>
          <w:iCs/>
          <w:lang w:val="es-ES" w:eastAsia="ja-JP"/>
        </w:rPr>
        <w:t>.</w:t>
      </w:r>
    </w:p>
    <w:p w14:paraId="1BA4573D" w14:textId="3A04CF99" w:rsidR="006D3A86" w:rsidRPr="002E77B8" w:rsidRDefault="006D3A86" w:rsidP="00FF429F">
      <w:pPr>
        <w:widowControl/>
        <w:rPr>
          <w:rFonts w:asciiTheme="minorHAnsi" w:hAnsiTheme="minorHAnsi" w:cstheme="minorHAnsi"/>
          <w:lang w:val="es-ES"/>
        </w:rPr>
      </w:pPr>
    </w:p>
    <w:p w14:paraId="659CEAFC" w14:textId="2262CB96" w:rsidR="00113269" w:rsidRDefault="00061ABD" w:rsidP="00FF429F">
      <w:pPr>
        <w:widowControl/>
        <w:rPr>
          <w:rFonts w:asciiTheme="minorHAnsi" w:hAnsiTheme="minorHAnsi" w:cstheme="minorHAnsi"/>
          <w:lang w:val="es-ES"/>
        </w:rPr>
      </w:pPr>
      <w:r w:rsidRPr="002E77B8">
        <w:rPr>
          <w:rFonts w:asciiTheme="minorHAnsi" w:hAnsiTheme="minorHAnsi" w:cstheme="minorHAnsi"/>
          <w:lang w:val="es-ES"/>
        </w:rPr>
        <w:t xml:space="preserve">El Subgrupo también </w:t>
      </w:r>
      <w:r w:rsidR="00BA470A">
        <w:rPr>
          <w:rFonts w:asciiTheme="minorHAnsi" w:hAnsiTheme="minorHAnsi" w:cstheme="minorHAnsi"/>
          <w:lang w:val="es-ES"/>
        </w:rPr>
        <w:t>reitera que se alienta a las IRR a tomar las medidas necesarias para lograr la sostenibilidad financiera a fin de garantizar</w:t>
      </w:r>
      <w:r w:rsidR="00B62E7A">
        <w:rPr>
          <w:rFonts w:asciiTheme="minorHAnsi" w:hAnsiTheme="minorHAnsi" w:cstheme="minorHAnsi"/>
          <w:lang w:val="es-ES"/>
        </w:rPr>
        <w:t xml:space="preserve"> </w:t>
      </w:r>
      <w:r w:rsidRPr="002E77B8">
        <w:rPr>
          <w:rFonts w:asciiTheme="minorHAnsi" w:hAnsiTheme="minorHAnsi" w:cstheme="minorHAnsi"/>
          <w:lang w:val="es-ES"/>
        </w:rPr>
        <w:t>su viabilidad a largo plazo</w:t>
      </w:r>
      <w:r w:rsidR="00BA470A">
        <w:rPr>
          <w:rFonts w:asciiTheme="minorHAnsi" w:hAnsiTheme="minorHAnsi" w:cstheme="minorHAnsi"/>
          <w:lang w:val="es-ES"/>
        </w:rPr>
        <w:t>, de conformidad con el párrafo 25 de la Resolución XIII.9</w:t>
      </w:r>
      <w:r w:rsidRPr="002E77B8">
        <w:rPr>
          <w:rFonts w:asciiTheme="minorHAnsi" w:hAnsiTheme="minorHAnsi" w:cstheme="minorHAnsi"/>
          <w:lang w:val="es-ES"/>
        </w:rPr>
        <w:t>.</w:t>
      </w:r>
    </w:p>
    <w:p w14:paraId="43290312" w14:textId="77777777" w:rsidR="00C15013" w:rsidRPr="002E77B8" w:rsidRDefault="00C15013" w:rsidP="00FF429F">
      <w:pPr>
        <w:widowControl/>
        <w:rPr>
          <w:rFonts w:asciiTheme="minorHAnsi" w:hAnsiTheme="minorHAnsi" w:cstheme="minorHAnsi"/>
          <w:lang w:val="es-ES"/>
        </w:rPr>
      </w:pPr>
      <w:bookmarkStart w:id="0" w:name="_GoBack"/>
      <w:bookmarkEnd w:id="0"/>
    </w:p>
    <w:p w14:paraId="4B6306C2" w14:textId="722D64D7" w:rsidR="00FF429F" w:rsidRPr="002E77B8" w:rsidRDefault="00061ABD" w:rsidP="00877BA1">
      <w:pPr>
        <w:widowControl/>
        <w:rPr>
          <w:rFonts w:asciiTheme="minorHAnsi" w:hAnsiTheme="minorHAnsi" w:cstheme="minorHAnsi"/>
          <w:lang w:val="es-ES"/>
        </w:rPr>
      </w:pPr>
      <w:r w:rsidRPr="002E77B8">
        <w:rPr>
          <w:rFonts w:asciiTheme="minorHAnsi" w:hAnsiTheme="minorHAnsi" w:cstheme="minorHAnsi"/>
          <w:lang w:val="es-ES"/>
        </w:rPr>
        <w:lastRenderedPageBreak/>
        <w:t xml:space="preserve">En cuanto a la asignación adicional de 10 000 francos suizos restantes de las actividades de 2020 solicitada por las IRR de las cuencas de los ríos Amazonas y Senegal, la Presidencia propone solicitar más información a esas IRR por correo electrónico, y </w:t>
      </w:r>
      <w:r w:rsidR="00D4776B">
        <w:rPr>
          <w:rFonts w:asciiTheme="minorHAnsi" w:hAnsiTheme="minorHAnsi" w:cstheme="minorHAnsi"/>
          <w:lang w:val="es-ES"/>
        </w:rPr>
        <w:t>algunos</w:t>
      </w:r>
      <w:r w:rsidRPr="002E77B8">
        <w:rPr>
          <w:rFonts w:asciiTheme="minorHAnsi" w:hAnsiTheme="minorHAnsi" w:cstheme="minorHAnsi"/>
          <w:lang w:val="es-ES"/>
        </w:rPr>
        <w:t xml:space="preserve"> miembros señalan los </w:t>
      </w:r>
      <w:r w:rsidR="007F4A78">
        <w:rPr>
          <w:rFonts w:asciiTheme="minorHAnsi" w:hAnsiTheme="minorHAnsi" w:cstheme="minorHAnsi"/>
          <w:lang w:val="es-ES"/>
        </w:rPr>
        <w:t xml:space="preserve">remanentes elevados de </w:t>
      </w:r>
      <w:r w:rsidRPr="002E77B8">
        <w:rPr>
          <w:rFonts w:asciiTheme="minorHAnsi" w:hAnsiTheme="minorHAnsi" w:cstheme="minorHAnsi"/>
          <w:lang w:val="es-ES"/>
        </w:rPr>
        <w:t>la IRR de</w:t>
      </w:r>
      <w:r w:rsidR="00D4776B">
        <w:rPr>
          <w:rFonts w:asciiTheme="minorHAnsi" w:hAnsiTheme="minorHAnsi" w:cstheme="minorHAnsi"/>
          <w:lang w:val="es-ES"/>
        </w:rPr>
        <w:t xml:space="preserve"> la cuenca del río</w:t>
      </w:r>
      <w:r w:rsidRPr="002E77B8">
        <w:rPr>
          <w:rFonts w:asciiTheme="minorHAnsi" w:hAnsiTheme="minorHAnsi" w:cstheme="minorHAnsi"/>
          <w:lang w:val="es-ES"/>
        </w:rPr>
        <w:t xml:space="preserve"> Amazonas, en particular. </w:t>
      </w:r>
      <w:r w:rsidR="00D4776B">
        <w:rPr>
          <w:rFonts w:asciiTheme="minorHAnsi" w:hAnsiTheme="minorHAnsi" w:cstheme="minorHAnsi"/>
          <w:lang w:val="es-ES"/>
        </w:rPr>
        <w:t xml:space="preserve">Esta última </w:t>
      </w:r>
      <w:r w:rsidRPr="002E77B8">
        <w:rPr>
          <w:rFonts w:asciiTheme="minorHAnsi" w:hAnsiTheme="minorHAnsi" w:cstheme="minorHAnsi"/>
          <w:lang w:val="es-ES"/>
        </w:rPr>
        <w:t xml:space="preserve">proporciona información adicional por correo </w:t>
      </w:r>
      <w:r w:rsidR="002E77B8" w:rsidRPr="002E77B8">
        <w:rPr>
          <w:rFonts w:asciiTheme="minorHAnsi" w:hAnsiTheme="minorHAnsi" w:cstheme="minorHAnsi"/>
          <w:lang w:val="es-ES"/>
        </w:rPr>
        <w:t>electrónico</w:t>
      </w:r>
      <w:r w:rsidRPr="002E77B8">
        <w:rPr>
          <w:rFonts w:asciiTheme="minorHAnsi" w:hAnsiTheme="minorHAnsi" w:cstheme="minorHAnsi"/>
          <w:lang w:val="es-ES"/>
        </w:rPr>
        <w:t xml:space="preserve"> durante la reunión</w:t>
      </w:r>
      <w:r w:rsidR="00113269" w:rsidRPr="002E77B8">
        <w:rPr>
          <w:rFonts w:asciiTheme="minorHAnsi" w:hAnsiTheme="minorHAnsi" w:cstheme="minorHAnsi"/>
          <w:lang w:val="es-ES"/>
        </w:rPr>
        <w:t>.</w:t>
      </w:r>
    </w:p>
    <w:p w14:paraId="3B3AE956" w14:textId="4B249E04" w:rsidR="00694DC5" w:rsidRPr="002E77B8" w:rsidRDefault="00113269" w:rsidP="00FF429F">
      <w:pPr>
        <w:pStyle w:val="BodyText"/>
        <w:widowControl/>
        <w:rPr>
          <w:lang w:val="es-ES"/>
        </w:rPr>
      </w:pPr>
      <w:r w:rsidRPr="002E77B8">
        <w:rPr>
          <w:lang w:val="es-ES"/>
        </w:rPr>
        <w:t xml:space="preserve"> </w:t>
      </w:r>
    </w:p>
    <w:p w14:paraId="0D193F2E" w14:textId="16E33303" w:rsidR="00FF0DA7" w:rsidRPr="002E77B8" w:rsidRDefault="00EB4A6B" w:rsidP="00FF0DA7">
      <w:pPr>
        <w:widowControl/>
        <w:rPr>
          <w:rFonts w:asciiTheme="minorHAnsi" w:hAnsiTheme="minorHAnsi" w:cstheme="minorHAnsi"/>
          <w:i/>
          <w:iCs/>
          <w:color w:val="0000FF"/>
          <w:lang w:val="es-ES" w:eastAsia="ja-JP"/>
        </w:rPr>
      </w:pPr>
      <w:r w:rsidRPr="002E77B8">
        <w:rPr>
          <w:rFonts w:asciiTheme="minorHAnsi" w:hAnsiTheme="minorHAnsi" w:cstheme="minorHAnsi"/>
          <w:i/>
          <w:color w:val="0000FF"/>
          <w:lang w:val="es-ES"/>
        </w:rPr>
        <w:t>Recomendación para que el Comité Permanente adopte una decisión</w:t>
      </w:r>
      <w:r w:rsidR="00FF0DA7" w:rsidRPr="002E77B8">
        <w:rPr>
          <w:rFonts w:asciiTheme="minorHAnsi" w:hAnsiTheme="minorHAnsi" w:cstheme="minorHAnsi"/>
          <w:i/>
          <w:iCs/>
          <w:color w:val="0000FF"/>
          <w:lang w:val="es-ES" w:eastAsia="ja-JP"/>
        </w:rPr>
        <w:t>:</w:t>
      </w:r>
    </w:p>
    <w:p w14:paraId="1C998D9F" w14:textId="77777777" w:rsidR="00FF0DA7" w:rsidRPr="002E77B8" w:rsidRDefault="00FF0DA7" w:rsidP="00FF0DA7">
      <w:pPr>
        <w:widowControl/>
        <w:rPr>
          <w:rFonts w:asciiTheme="minorHAnsi" w:hAnsiTheme="minorHAnsi" w:cstheme="minorHAnsi"/>
          <w:lang w:val="es-ES"/>
        </w:rPr>
      </w:pPr>
    </w:p>
    <w:p w14:paraId="1758BDD7" w14:textId="56C72F22" w:rsidR="00E67203" w:rsidRPr="00937329" w:rsidRDefault="00061ABD" w:rsidP="0093732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sectPr w:rsidR="00E67203" w:rsidRPr="00937329" w:rsidSect="00762398">
          <w:headerReference w:type="even" r:id="rId8"/>
          <w:footerReference w:type="even" r:id="rId9"/>
          <w:footerReference w:type="default" r:id="rId10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r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El </w:t>
      </w:r>
      <w:r w:rsidR="00613686"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>Subgrupo de Finanzas</w:t>
      </w:r>
      <w:r w:rsidR="00266EAD"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 </w:t>
      </w:r>
      <w:r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recomienda que el </w:t>
      </w:r>
      <w:r w:rsidR="00613686"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>Comité Permanente</w:t>
      </w:r>
      <w:r w:rsidR="00FF0DA7"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 </w:t>
      </w:r>
      <w:r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>apruebe, a falta de</w:t>
      </w:r>
      <w:r w:rsidR="00582A34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 confirmación de que los fondos se emplearían con arreglo al</w:t>
      </w:r>
      <w:r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 párrafo 8 de la Resolución </w:t>
      </w:r>
      <w:r w:rsidR="00B80778" w:rsidRPr="002E77B8">
        <w:rPr>
          <w:rFonts w:ascii="Calibri" w:eastAsia="Yu Gothic" w:hAnsi="Calibri" w:cs="MS PGothic"/>
          <w:b/>
          <w:i/>
          <w:sz w:val="22"/>
          <w:szCs w:val="22"/>
          <w:lang w:val="es-ES"/>
        </w:rPr>
        <w:t xml:space="preserve">XIII.9, </w:t>
      </w:r>
      <w:r w:rsidRPr="002E77B8">
        <w:rPr>
          <w:rFonts w:ascii="Calibri" w:eastAsia="Yu Gothic" w:hAnsi="Calibri" w:cs="MS PGothic"/>
          <w:b/>
          <w:i/>
          <w:sz w:val="22"/>
          <w:szCs w:val="22"/>
          <w:lang w:val="es-ES"/>
        </w:rPr>
        <w:t>la asignación presupuestaria</w:t>
      </w:r>
      <w:r w:rsidR="00310C60">
        <w:rPr>
          <w:rFonts w:ascii="Calibri" w:eastAsia="Yu Gothic" w:hAnsi="Calibri" w:cs="MS PGothic"/>
          <w:b/>
          <w:i/>
          <w:sz w:val="22"/>
          <w:szCs w:val="22"/>
          <w:lang w:val="es-ES"/>
        </w:rPr>
        <w:t xml:space="preserve"> restante</w:t>
      </w:r>
      <w:r w:rsidRPr="002E77B8">
        <w:rPr>
          <w:rFonts w:ascii="Calibri" w:eastAsia="Yu Gothic" w:hAnsi="Calibri" w:cs="MS PGothic"/>
          <w:b/>
          <w:i/>
          <w:sz w:val="22"/>
          <w:szCs w:val="22"/>
          <w:lang w:val="es-ES"/>
        </w:rPr>
        <w:t xml:space="preserve"> de 10 000 francos suizos de la </w:t>
      </w:r>
      <w:r w:rsidR="002E77B8" w:rsidRPr="002E77B8">
        <w:rPr>
          <w:rFonts w:ascii="Calibri" w:eastAsia="Yu Gothic" w:hAnsi="Calibri" w:cs="MS PGothic"/>
          <w:b/>
          <w:i/>
          <w:sz w:val="22"/>
          <w:szCs w:val="22"/>
          <w:lang w:val="es-ES"/>
        </w:rPr>
        <w:t>propuesta</w:t>
      </w:r>
      <w:r w:rsidRPr="002E77B8">
        <w:rPr>
          <w:rFonts w:ascii="Calibri" w:eastAsia="Yu Gothic" w:hAnsi="Calibri" w:cs="MS PGothic"/>
          <w:b/>
          <w:i/>
          <w:sz w:val="22"/>
          <w:szCs w:val="22"/>
          <w:lang w:val="es-ES"/>
        </w:rPr>
        <w:t xml:space="preserve"> original en 2020 de 25 000 francos suizos </w:t>
      </w:r>
      <w:r w:rsidR="00937329"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de los ahorros </w:t>
      </w:r>
      <w:r w:rsidR="00937329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>en el</w:t>
      </w:r>
      <w:r w:rsidR="00937329"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 presupuesto básico </w:t>
      </w:r>
      <w:r w:rsidR="00937329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>de</w:t>
      </w:r>
      <w:r w:rsidR="00937329"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 2020</w:t>
      </w:r>
      <w:r w:rsidR="00937329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 </w:t>
      </w:r>
      <w:r w:rsidRPr="002E77B8">
        <w:rPr>
          <w:rFonts w:ascii="Calibri" w:eastAsia="Yu Gothic" w:hAnsi="Calibri" w:cs="MS PGothic"/>
          <w:b/>
          <w:i/>
          <w:sz w:val="22"/>
          <w:szCs w:val="22"/>
          <w:lang w:val="es-ES"/>
        </w:rPr>
        <w:t xml:space="preserve">a dos de las cuatro iniciativas regionales de Ramsar (IRR) candidatas en el contexto de la Decisión </w:t>
      </w:r>
      <w:r w:rsidR="00FF0DA7"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SC58-28 </w:t>
      </w:r>
      <w:r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para sus actividades previstas </w:t>
      </w:r>
      <w:r w:rsidR="00310C60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>en</w:t>
      </w:r>
      <w:r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 2020 pero aplazadas a 2021</w:t>
      </w:r>
      <w:r w:rsidR="00937329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 y que los fondos </w:t>
      </w:r>
      <w:r w:rsidR="00310C60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>se desembolse</w:t>
      </w:r>
      <w:r w:rsidR="00937329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>n</w:t>
      </w:r>
      <w:r w:rsidR="00310C60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 en </w:t>
      </w:r>
      <w:r w:rsidR="00BD5137"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>2021</w:t>
      </w:r>
      <w:r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, teniendo en cuenta las circunstancias excepcionales actuales de la pandemia mundial. Las dos IRR son la Iniciativa Regional de Ramsar para la </w:t>
      </w:r>
      <w:r w:rsidR="002E77B8"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>Cuenca</w:t>
      </w:r>
      <w:r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 del Río </w:t>
      </w:r>
      <w:r w:rsidR="002E77B8"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>Senegal</w:t>
      </w:r>
      <w:r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 (</w:t>
      </w:r>
      <w:r w:rsidR="00FF0DA7"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>SenegalWet)</w:t>
      </w:r>
      <w:r w:rsidR="00FF0DA7" w:rsidRPr="002E77B8">
        <w:rPr>
          <w:sz w:val="22"/>
          <w:szCs w:val="22"/>
          <w:lang w:val="es-ES"/>
        </w:rPr>
        <w:t xml:space="preserve"> </w:t>
      </w:r>
      <w:r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>y la Iniciativa Regional de Ramsar para la Cuenca del Río Amazonas,</w:t>
      </w:r>
      <w:r w:rsidR="00582A34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 y las asignaciones se </w:t>
      </w:r>
      <w:r w:rsidR="00E85C44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realizan a </w:t>
      </w:r>
      <w:r w:rsidR="00937329"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>condición de que las IRR beneficiarias cumplan el subpárrafo 8.d. de la Resolución XIII.9</w:t>
      </w:r>
      <w:r w:rsidR="00937329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 </w:t>
      </w:r>
      <w:r w:rsidR="002E77B8"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>y otras</w:t>
      </w:r>
      <w:r w:rsidR="00937329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 reglas y normas </w:t>
      </w:r>
      <w:r w:rsidR="002E77B8"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pertinentes </w:t>
      </w:r>
      <w:r w:rsidR="00937329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>relativas a la pres</w:t>
      </w:r>
      <w:r w:rsidR="002E77B8"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entación de </w:t>
      </w:r>
      <w:r w:rsid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>informes so</w:t>
      </w:r>
      <w:r w:rsidR="002E77B8"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>bre la utilización de</w:t>
      </w:r>
      <w:r w:rsidR="00937329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 los</w:t>
      </w:r>
      <w:r w:rsidR="002E77B8" w:rsidRPr="002E77B8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 xml:space="preserve"> fondos del presupuesto básico</w:t>
      </w:r>
      <w:r w:rsidR="00937329"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  <w:t>.</w:t>
      </w:r>
    </w:p>
    <w:p w14:paraId="2BE67898" w14:textId="01C9441B" w:rsidR="008B555A" w:rsidRPr="002E77B8" w:rsidRDefault="008B555A" w:rsidP="008B555A">
      <w:pPr>
        <w:tabs>
          <w:tab w:val="left" w:pos="6751"/>
          <w:tab w:val="left" w:pos="8107"/>
          <w:tab w:val="left" w:pos="9502"/>
          <w:tab w:val="left" w:pos="10897"/>
          <w:tab w:val="left" w:pos="12292"/>
        </w:tabs>
        <w:ind w:left="108"/>
        <w:rPr>
          <w:rFonts w:ascii="Times New Roman" w:hAnsi="Times New Roman" w:cs="Times New Roman"/>
          <w:sz w:val="20"/>
          <w:szCs w:val="20"/>
          <w:lang w:val="es-ES" w:eastAsia="en-GB"/>
        </w:rPr>
      </w:pPr>
      <w:r w:rsidRPr="002E77B8">
        <w:rPr>
          <w:b/>
          <w:bCs/>
          <w:color w:val="000000"/>
          <w:sz w:val="24"/>
          <w:szCs w:val="24"/>
          <w:lang w:val="es-ES" w:eastAsia="en-GB"/>
        </w:rPr>
        <w:lastRenderedPageBreak/>
        <w:t>An</w:t>
      </w:r>
      <w:r w:rsidR="00296F5B" w:rsidRPr="002E77B8">
        <w:rPr>
          <w:b/>
          <w:bCs/>
          <w:color w:val="000000"/>
          <w:sz w:val="24"/>
          <w:szCs w:val="24"/>
          <w:lang w:val="es-ES" w:eastAsia="en-GB"/>
        </w:rPr>
        <w:t>exo</w:t>
      </w:r>
      <w:r w:rsidRPr="002E77B8">
        <w:rPr>
          <w:b/>
          <w:bCs/>
          <w:color w:val="000000"/>
          <w:sz w:val="24"/>
          <w:szCs w:val="24"/>
          <w:lang w:val="es-ES" w:eastAsia="en-GB"/>
        </w:rPr>
        <w:t xml:space="preserve"> 1 </w:t>
      </w:r>
      <w:r w:rsidR="00296F5B" w:rsidRPr="002E77B8">
        <w:rPr>
          <w:b/>
          <w:bCs/>
          <w:color w:val="000000"/>
          <w:sz w:val="24"/>
          <w:szCs w:val="24"/>
          <w:lang w:val="es-ES" w:eastAsia="en-GB"/>
        </w:rPr>
        <w:t>del informe del Subgrupo de Finanzas</w:t>
      </w:r>
      <w:r w:rsidRPr="002E77B8">
        <w:rPr>
          <w:b/>
          <w:bCs/>
          <w:color w:val="000000"/>
          <w:sz w:val="24"/>
          <w:szCs w:val="24"/>
          <w:lang w:val="es-ES" w:eastAsia="en-GB"/>
        </w:rPr>
        <w:tab/>
      </w:r>
      <w:r w:rsidRPr="002E77B8">
        <w:rPr>
          <w:b/>
          <w:bCs/>
          <w:color w:val="000000"/>
          <w:sz w:val="24"/>
          <w:szCs w:val="24"/>
          <w:lang w:val="es-ES" w:eastAsia="en-GB"/>
        </w:rPr>
        <w:tab/>
      </w:r>
      <w:r w:rsidRPr="002E77B8">
        <w:rPr>
          <w:rFonts w:ascii="Times New Roman" w:hAnsi="Times New Roman" w:cs="Times New Roman"/>
          <w:sz w:val="20"/>
          <w:szCs w:val="20"/>
          <w:lang w:val="es-ES" w:eastAsia="en-GB"/>
        </w:rPr>
        <w:tab/>
      </w:r>
      <w:r w:rsidRPr="002E77B8">
        <w:rPr>
          <w:rFonts w:ascii="Times New Roman" w:hAnsi="Times New Roman" w:cs="Times New Roman"/>
          <w:sz w:val="20"/>
          <w:szCs w:val="20"/>
          <w:lang w:val="es-ES" w:eastAsia="en-GB"/>
        </w:rPr>
        <w:tab/>
      </w:r>
      <w:r w:rsidRPr="002E77B8">
        <w:rPr>
          <w:rFonts w:ascii="Times New Roman" w:hAnsi="Times New Roman" w:cs="Times New Roman"/>
          <w:sz w:val="20"/>
          <w:szCs w:val="20"/>
          <w:lang w:val="es-ES" w:eastAsia="en-GB"/>
        </w:rPr>
        <w:tab/>
      </w:r>
    </w:p>
    <w:p w14:paraId="43AD1CF6" w14:textId="447C9A0E" w:rsidR="008B555A" w:rsidRPr="002E77B8" w:rsidRDefault="00296F5B" w:rsidP="008B555A">
      <w:pPr>
        <w:tabs>
          <w:tab w:val="left" w:pos="5211"/>
          <w:tab w:val="left" w:pos="6751"/>
          <w:tab w:val="left" w:pos="8107"/>
          <w:tab w:val="left" w:pos="9502"/>
          <w:tab w:val="left" w:pos="10897"/>
          <w:tab w:val="left" w:pos="12292"/>
        </w:tabs>
        <w:ind w:left="108"/>
        <w:rPr>
          <w:rFonts w:ascii="Times New Roman" w:hAnsi="Times New Roman" w:cs="Times New Roman"/>
          <w:sz w:val="20"/>
          <w:szCs w:val="20"/>
          <w:lang w:val="es-ES" w:eastAsia="en-GB"/>
        </w:rPr>
      </w:pPr>
      <w:r w:rsidRPr="002E77B8">
        <w:rPr>
          <w:b/>
          <w:bCs/>
          <w:color w:val="000000"/>
          <w:sz w:val="24"/>
          <w:szCs w:val="24"/>
          <w:lang w:val="es-ES" w:eastAsia="en-GB"/>
        </w:rPr>
        <w:t xml:space="preserve">Presupuesto básico para </w:t>
      </w:r>
      <w:r w:rsidR="008B555A" w:rsidRPr="002E77B8">
        <w:rPr>
          <w:b/>
          <w:bCs/>
          <w:color w:val="000000"/>
          <w:sz w:val="24"/>
          <w:szCs w:val="24"/>
          <w:lang w:val="es-ES" w:eastAsia="en-GB"/>
        </w:rPr>
        <w:t>2021</w:t>
      </w:r>
      <w:r w:rsidR="008B555A" w:rsidRPr="002E77B8">
        <w:rPr>
          <w:b/>
          <w:bCs/>
          <w:color w:val="000000"/>
          <w:sz w:val="24"/>
          <w:szCs w:val="24"/>
          <w:lang w:val="es-ES" w:eastAsia="en-GB"/>
        </w:rPr>
        <w:tab/>
      </w:r>
      <w:r w:rsidR="008B555A" w:rsidRPr="002E77B8">
        <w:rPr>
          <w:b/>
          <w:bCs/>
          <w:color w:val="000000"/>
          <w:sz w:val="24"/>
          <w:szCs w:val="24"/>
          <w:lang w:val="es-ES" w:eastAsia="en-GB"/>
        </w:rPr>
        <w:tab/>
      </w:r>
      <w:r w:rsidR="008B555A" w:rsidRPr="002E77B8">
        <w:rPr>
          <w:rFonts w:ascii="Times New Roman" w:hAnsi="Times New Roman" w:cs="Times New Roman"/>
          <w:sz w:val="20"/>
          <w:szCs w:val="20"/>
          <w:lang w:val="es-ES" w:eastAsia="en-GB"/>
        </w:rPr>
        <w:tab/>
      </w:r>
      <w:r w:rsidR="008B555A" w:rsidRPr="002E77B8">
        <w:rPr>
          <w:rFonts w:ascii="Times New Roman" w:hAnsi="Times New Roman" w:cs="Times New Roman"/>
          <w:sz w:val="20"/>
          <w:szCs w:val="20"/>
          <w:lang w:val="es-ES" w:eastAsia="en-GB"/>
        </w:rPr>
        <w:tab/>
      </w:r>
      <w:r w:rsidR="008B555A" w:rsidRPr="002E77B8">
        <w:rPr>
          <w:rFonts w:ascii="Times New Roman" w:hAnsi="Times New Roman" w:cs="Times New Roman"/>
          <w:sz w:val="20"/>
          <w:szCs w:val="20"/>
          <w:lang w:val="es-ES" w:eastAsia="en-GB"/>
        </w:rPr>
        <w:tab/>
      </w:r>
      <w:r w:rsidR="008B555A" w:rsidRPr="002E77B8">
        <w:rPr>
          <w:rFonts w:ascii="Times New Roman" w:hAnsi="Times New Roman" w:cs="Times New Roman"/>
          <w:sz w:val="20"/>
          <w:szCs w:val="20"/>
          <w:lang w:val="es-ES" w:eastAsia="en-GB"/>
        </w:rPr>
        <w:tab/>
      </w:r>
    </w:p>
    <w:p w14:paraId="633CD69E" w14:textId="77777777" w:rsidR="008B555A" w:rsidRPr="002E77B8" w:rsidRDefault="008B555A" w:rsidP="008B555A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13958" w:type="dxa"/>
        <w:tblInd w:w="-5" w:type="dxa"/>
        <w:tblLook w:val="04A0" w:firstRow="1" w:lastRow="0" w:firstColumn="1" w:lastColumn="0" w:noHBand="0" w:noVBand="1"/>
      </w:tblPr>
      <w:tblGrid>
        <w:gridCol w:w="4962"/>
        <w:gridCol w:w="1681"/>
        <w:gridCol w:w="1356"/>
        <w:gridCol w:w="1395"/>
        <w:gridCol w:w="1395"/>
        <w:gridCol w:w="1395"/>
        <w:gridCol w:w="1774"/>
      </w:tblGrid>
      <w:tr w:rsidR="008B555A" w:rsidRPr="002E77B8" w14:paraId="25CCE2ED" w14:textId="77777777" w:rsidTr="005E4404">
        <w:trPr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3BC"/>
            <w:vAlign w:val="center"/>
            <w:hideMark/>
          </w:tcPr>
          <w:p w14:paraId="30024FA7" w14:textId="59329085" w:rsidR="008B555A" w:rsidRPr="002E77B8" w:rsidRDefault="00296F5B" w:rsidP="0010559E">
            <w:pPr>
              <w:jc w:val="center"/>
              <w:rPr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/>
              </w:rPr>
              <w:t>Presupuesto de Ramsar para 2021</w:t>
            </w:r>
            <w:r w:rsidR="008B555A" w:rsidRPr="002E77B8">
              <w:rPr>
                <w:b/>
                <w:bCs/>
                <w:sz w:val="20"/>
                <w:szCs w:val="20"/>
                <w:lang w:val="es-ES" w:eastAsia="en-GB"/>
              </w:rPr>
              <w:br/>
            </w:r>
            <w:r w:rsidR="008B555A" w:rsidRPr="002E77B8">
              <w:rPr>
                <w:b/>
                <w:bCs/>
                <w:sz w:val="20"/>
                <w:szCs w:val="20"/>
                <w:lang w:val="es-ES" w:eastAsia="en-GB"/>
              </w:rPr>
              <w:br/>
            </w:r>
            <w:r w:rsidRPr="002E77B8">
              <w:rPr>
                <w:b/>
                <w:bCs/>
                <w:sz w:val="20"/>
                <w:szCs w:val="20"/>
                <w:lang w:val="es-ES" w:eastAsia="en-GB"/>
              </w:rPr>
              <w:t xml:space="preserve">aprobado por la reunión </w:t>
            </w:r>
            <w:r w:rsidR="008B555A" w:rsidRPr="002E77B8">
              <w:rPr>
                <w:b/>
                <w:bCs/>
                <w:sz w:val="20"/>
                <w:szCs w:val="20"/>
                <w:lang w:val="es-ES" w:eastAsia="en-GB"/>
              </w:rPr>
              <w:t>SC59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3B694DB" w14:textId="1B32AF1F" w:rsidR="008B555A" w:rsidRPr="002E77B8" w:rsidRDefault="00296F5B" w:rsidP="005E4404">
            <w:pPr>
              <w:jc w:val="center"/>
              <w:rPr>
                <w:b/>
                <w:bCs/>
                <w:color w:val="0000FF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FF"/>
                <w:sz w:val="20"/>
                <w:szCs w:val="20"/>
                <w:lang w:val="es-ES" w:eastAsia="en-GB"/>
              </w:rPr>
              <w:t xml:space="preserve">Presupuesto aprobado (por la </w:t>
            </w:r>
            <w:r w:rsidR="008B555A" w:rsidRPr="002E77B8">
              <w:rPr>
                <w:b/>
                <w:bCs/>
                <w:color w:val="0000FF"/>
                <w:sz w:val="20"/>
                <w:szCs w:val="20"/>
                <w:lang w:val="es-ES" w:eastAsia="en-GB"/>
              </w:rPr>
              <w:t>COP13</w:t>
            </w:r>
            <w:r w:rsidRPr="002E77B8">
              <w:rPr>
                <w:b/>
                <w:bCs/>
                <w:color w:val="0000FF"/>
                <w:sz w:val="20"/>
                <w:szCs w:val="20"/>
                <w:lang w:val="es-ES" w:eastAsia="en-GB"/>
              </w:rPr>
              <w:t xml:space="preserve"> con ajustes autorizados por la reunión S</w:t>
            </w:r>
            <w:r w:rsidR="008B555A" w:rsidRPr="002E77B8">
              <w:rPr>
                <w:b/>
                <w:bCs/>
                <w:color w:val="0000FF"/>
                <w:sz w:val="20"/>
                <w:szCs w:val="20"/>
                <w:lang w:val="es-ES" w:eastAsia="en-GB"/>
              </w:rPr>
              <w:t>C59</w:t>
            </w:r>
            <w:r w:rsidR="005E4404" w:rsidRPr="002E77B8">
              <w:rPr>
                <w:b/>
                <w:bCs/>
                <w:color w:val="0000FF"/>
                <w:sz w:val="20"/>
                <w:szCs w:val="20"/>
                <w:lang w:val="es-ES" w:eastAsia="en-GB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0B91057" w14:textId="77777777" w:rsidR="00296F5B" w:rsidRPr="002E77B8" w:rsidRDefault="00296F5B" w:rsidP="005E4404">
            <w:pPr>
              <w:jc w:val="center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/>
              </w:rPr>
              <w:t xml:space="preserve">Uso del excedente autorizado por la COP13 XIII.2 </w:t>
            </w:r>
          </w:p>
          <w:p w14:paraId="6E797191" w14:textId="0DBB2CF9" w:rsidR="008B555A" w:rsidRPr="002E77B8" w:rsidRDefault="00296F5B" w:rsidP="005E4404">
            <w:pPr>
              <w:jc w:val="center"/>
              <w:rPr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/>
              </w:rPr>
              <w:t>(para 2020)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406C9FA" w14:textId="0F4EA7A2" w:rsidR="008B555A" w:rsidRPr="002E77B8" w:rsidRDefault="00296F5B" w:rsidP="005E4404">
            <w:pPr>
              <w:jc w:val="center"/>
              <w:rPr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sz w:val="20"/>
                <w:szCs w:val="20"/>
                <w:lang w:val="es-ES"/>
              </w:rPr>
              <w:t>Fondos previamente comprome</w:t>
            </w:r>
            <w:r w:rsidRPr="002E77B8">
              <w:rPr>
                <w:b/>
                <w:bCs/>
                <w:sz w:val="20"/>
                <w:szCs w:val="20"/>
                <w:lang w:val="es-ES"/>
              </w:rPr>
              <w:softHyphen/>
              <w:t xml:space="preserve">tidos de 2020 a gastar en </w:t>
            </w:r>
            <w:r w:rsidRPr="002E77B8">
              <w:rPr>
                <w:b/>
                <w:bCs/>
                <w:sz w:val="20"/>
                <w:szCs w:val="20"/>
                <w:lang w:val="es-ES" w:eastAsia="en-GB"/>
              </w:rPr>
              <w:t>2021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37F50DD" w14:textId="2B9A7BDA" w:rsidR="008B555A" w:rsidRPr="002E77B8" w:rsidRDefault="00296F5B" w:rsidP="005E4404">
            <w:pPr>
              <w:jc w:val="center"/>
              <w:rPr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sz w:val="20"/>
                <w:szCs w:val="20"/>
                <w:lang w:val="es-ES" w:eastAsia="en-GB"/>
              </w:rPr>
              <w:t xml:space="preserve">Uso autorizado por la reunión </w:t>
            </w:r>
            <w:r w:rsidR="005E4404" w:rsidRPr="002E77B8">
              <w:rPr>
                <w:b/>
                <w:bCs/>
                <w:sz w:val="20"/>
                <w:szCs w:val="20"/>
                <w:lang w:val="es-ES" w:eastAsia="en-GB"/>
              </w:rPr>
              <w:t xml:space="preserve">SC59 </w:t>
            </w:r>
            <w:r w:rsidRPr="002E77B8">
              <w:rPr>
                <w:b/>
                <w:bCs/>
                <w:sz w:val="20"/>
                <w:szCs w:val="20"/>
                <w:lang w:val="es-ES" w:eastAsia="en-GB"/>
              </w:rPr>
              <w:t>de los ahorros de 2020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64E0E58" w14:textId="3A445646" w:rsidR="008B555A" w:rsidRPr="002E77B8" w:rsidRDefault="00296F5B" w:rsidP="005E4404">
            <w:pPr>
              <w:jc w:val="center"/>
              <w:rPr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/>
              </w:rPr>
              <w:t>Ahorros no comprome</w:t>
            </w:r>
            <w:r w:rsidRPr="002E77B8">
              <w:rPr>
                <w:b/>
                <w:bCs/>
                <w:color w:val="000000"/>
                <w:sz w:val="20"/>
                <w:szCs w:val="20"/>
                <w:lang w:val="es-ES"/>
              </w:rPr>
              <w:softHyphen/>
              <w:t>tidos en 2020 traspasados a 2021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B891A91" w14:textId="308BE95F" w:rsidR="008B555A" w:rsidRPr="002E77B8" w:rsidRDefault="00296F5B" w:rsidP="005E4404">
            <w:pPr>
              <w:jc w:val="center"/>
              <w:rPr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sz w:val="20"/>
                <w:szCs w:val="20"/>
                <w:lang w:val="es-ES" w:eastAsia="en-GB"/>
              </w:rPr>
              <w:t xml:space="preserve">Presupuesto total para 2021 (con los fondos no comprometidos </w:t>
            </w:r>
            <w:r w:rsidRPr="002E77B8">
              <w:rPr>
                <w:b/>
                <w:bCs/>
                <w:color w:val="000000" w:themeColor="text1"/>
                <w:sz w:val="20"/>
                <w:szCs w:val="20"/>
                <w:lang w:val="es-ES" w:eastAsia="en-GB"/>
              </w:rPr>
              <w:t>traspasados</w:t>
            </w:r>
            <w:r w:rsidRPr="002E77B8">
              <w:rPr>
                <w:b/>
                <w:bCs/>
                <w:sz w:val="20"/>
                <w:szCs w:val="20"/>
                <w:lang w:val="es-ES" w:eastAsia="en-GB"/>
              </w:rPr>
              <w:t>)</w:t>
            </w:r>
          </w:p>
        </w:tc>
      </w:tr>
      <w:tr w:rsidR="008B555A" w:rsidRPr="002E77B8" w14:paraId="3D00DB79" w14:textId="77777777" w:rsidTr="0010559E">
        <w:trPr>
          <w:tblHeader/>
        </w:trPr>
        <w:tc>
          <w:tcPr>
            <w:tcW w:w="4962" w:type="dxa"/>
            <w:tcBorders>
              <w:top w:val="nil"/>
              <w:left w:val="single" w:sz="4" w:space="0" w:color="auto"/>
              <w:right w:val="nil"/>
            </w:tcBorders>
            <w:shd w:val="clear" w:color="000000" w:fill="D6E3BC"/>
            <w:vAlign w:val="center"/>
            <w:hideMark/>
          </w:tcPr>
          <w:p w14:paraId="402A650E" w14:textId="77777777" w:rsidR="008B555A" w:rsidRPr="002E77B8" w:rsidRDefault="008B555A" w:rsidP="0010559E">
            <w:pPr>
              <w:jc w:val="center"/>
              <w:rPr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73A473" w14:textId="77777777" w:rsidR="008B555A" w:rsidRPr="002E77B8" w:rsidRDefault="008B555A" w:rsidP="0010559E">
            <w:pPr>
              <w:rPr>
                <w:b/>
                <w:bCs/>
                <w:color w:val="0000FF"/>
                <w:sz w:val="20"/>
                <w:szCs w:val="20"/>
                <w:lang w:val="es-ES"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078ABDE" w14:textId="77777777" w:rsidR="008B555A" w:rsidRPr="002E77B8" w:rsidRDefault="008B555A" w:rsidP="0010559E">
            <w:pPr>
              <w:rPr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0662031" w14:textId="77777777" w:rsidR="008B555A" w:rsidRPr="002E77B8" w:rsidRDefault="008B555A" w:rsidP="0010559E">
            <w:pPr>
              <w:rPr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8EDC8A7" w14:textId="77777777" w:rsidR="008B555A" w:rsidRPr="002E77B8" w:rsidRDefault="008B555A" w:rsidP="0010559E">
            <w:pPr>
              <w:rPr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53761C5" w14:textId="77777777" w:rsidR="008B555A" w:rsidRPr="002E77B8" w:rsidRDefault="008B555A" w:rsidP="0010559E">
            <w:pPr>
              <w:rPr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8AE97C2" w14:textId="77777777" w:rsidR="008B555A" w:rsidRPr="002E77B8" w:rsidRDefault="008B555A" w:rsidP="0010559E">
            <w:pPr>
              <w:rPr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sz w:val="20"/>
                <w:szCs w:val="20"/>
                <w:lang w:val="es-ES" w:eastAsia="en-GB"/>
              </w:rPr>
              <w:t> </w:t>
            </w:r>
          </w:p>
        </w:tc>
      </w:tr>
      <w:tr w:rsidR="008B555A" w:rsidRPr="002E77B8" w14:paraId="2E1BC55A" w14:textId="77777777" w:rsidTr="0010559E">
        <w:trPr>
          <w:tblHeader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3BC"/>
            <w:vAlign w:val="center"/>
            <w:hideMark/>
          </w:tcPr>
          <w:p w14:paraId="64F07D4F" w14:textId="2E3F3E8A" w:rsidR="008B555A" w:rsidRPr="002E77B8" w:rsidRDefault="00296F5B" w:rsidP="0010559E">
            <w:pPr>
              <w:jc w:val="center"/>
              <w:rPr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sz w:val="20"/>
                <w:szCs w:val="20"/>
                <w:lang w:val="es-ES" w:eastAsia="en-GB"/>
              </w:rPr>
              <w:t>en miles de francos suizos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9041D0F" w14:textId="77777777" w:rsidR="008B555A" w:rsidRPr="002E77B8" w:rsidRDefault="008B555A" w:rsidP="0010559E">
            <w:pPr>
              <w:jc w:val="center"/>
              <w:rPr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sz w:val="20"/>
                <w:szCs w:val="20"/>
                <w:lang w:val="es-ES" w:eastAsia="en-GB"/>
              </w:rPr>
              <w:t>(A)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DDBAEBA" w14:textId="77777777" w:rsidR="008B555A" w:rsidRPr="002E77B8" w:rsidRDefault="008B555A" w:rsidP="0010559E">
            <w:pPr>
              <w:jc w:val="center"/>
              <w:rPr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sz w:val="20"/>
                <w:szCs w:val="20"/>
                <w:lang w:val="es-ES" w:eastAsia="en-GB"/>
              </w:rPr>
              <w:t>(B)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FCAED29" w14:textId="77777777" w:rsidR="008B555A" w:rsidRPr="002E77B8" w:rsidRDefault="008B555A" w:rsidP="0010559E">
            <w:pPr>
              <w:jc w:val="center"/>
              <w:rPr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sz w:val="20"/>
                <w:szCs w:val="20"/>
                <w:lang w:val="es-ES" w:eastAsia="en-GB"/>
              </w:rPr>
              <w:t>(C)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6F924B3" w14:textId="77777777" w:rsidR="008B555A" w:rsidRPr="002E77B8" w:rsidRDefault="008B555A" w:rsidP="0010559E">
            <w:pPr>
              <w:jc w:val="center"/>
              <w:rPr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sz w:val="20"/>
                <w:szCs w:val="20"/>
                <w:lang w:val="es-ES" w:eastAsia="en-GB"/>
              </w:rPr>
              <w:t>(D)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F01A299" w14:textId="77777777" w:rsidR="008B555A" w:rsidRPr="002E77B8" w:rsidRDefault="008B555A" w:rsidP="0010559E">
            <w:pPr>
              <w:jc w:val="center"/>
              <w:rPr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sz w:val="20"/>
                <w:szCs w:val="20"/>
                <w:lang w:val="es-ES" w:eastAsia="en-GB"/>
              </w:rPr>
              <w:t>(E)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CC78A92" w14:textId="77777777" w:rsidR="008B555A" w:rsidRPr="002E77B8" w:rsidRDefault="008B555A" w:rsidP="0010559E">
            <w:pPr>
              <w:jc w:val="center"/>
              <w:rPr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sz w:val="20"/>
                <w:szCs w:val="20"/>
                <w:lang w:val="es-ES" w:eastAsia="en-GB"/>
              </w:rPr>
              <w:t>(F=A+B+C+D+E)</w:t>
            </w:r>
          </w:p>
        </w:tc>
      </w:tr>
      <w:tr w:rsidR="00296F5B" w:rsidRPr="002E77B8" w14:paraId="4DE25635" w14:textId="77777777" w:rsidTr="0010559E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EDE04" w14:textId="50BFEEFB" w:rsidR="00296F5B" w:rsidRPr="002E77B8" w:rsidRDefault="00296F5B" w:rsidP="00296F5B">
            <w:pPr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INGRESOS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34DF" w14:textId="77777777" w:rsidR="00296F5B" w:rsidRPr="002E77B8" w:rsidRDefault="00296F5B" w:rsidP="00296F5B">
            <w:pPr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F467" w14:textId="77777777" w:rsidR="00296F5B" w:rsidRPr="002E77B8" w:rsidRDefault="00296F5B" w:rsidP="00296F5B">
            <w:pPr>
              <w:rPr>
                <w:rFonts w:ascii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DF64" w14:textId="77777777" w:rsidR="00296F5B" w:rsidRPr="002E77B8" w:rsidRDefault="00296F5B" w:rsidP="00296F5B">
            <w:pPr>
              <w:rPr>
                <w:rFonts w:ascii="Arial" w:hAnsi="Arial" w:cs="Arial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="Arial" w:hAnsi="Arial" w:cs="Arial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0692" w14:textId="77777777" w:rsidR="00296F5B" w:rsidRPr="002E77B8" w:rsidRDefault="00296F5B" w:rsidP="00296F5B">
            <w:pPr>
              <w:rPr>
                <w:rFonts w:ascii="Arial" w:hAnsi="Arial" w:cs="Arial"/>
                <w:color w:val="000000"/>
                <w:sz w:val="20"/>
                <w:szCs w:val="20"/>
                <w:lang w:val="es-ES" w:eastAsia="en-GB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09FF" w14:textId="77777777" w:rsidR="00296F5B" w:rsidRPr="002E77B8" w:rsidRDefault="00296F5B" w:rsidP="00296F5B">
            <w:pPr>
              <w:rPr>
                <w:rFonts w:ascii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5840" w14:textId="77777777" w:rsidR="00296F5B" w:rsidRPr="002E77B8" w:rsidRDefault="00296F5B" w:rsidP="00296F5B">
            <w:pPr>
              <w:rPr>
                <w:rFonts w:ascii="Arial" w:hAnsi="Arial" w:cs="Arial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="Arial" w:hAnsi="Arial" w:cs="Arial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</w:tr>
      <w:tr w:rsidR="00296F5B" w:rsidRPr="002E77B8" w14:paraId="17AE2944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099D" w14:textId="46158B4B" w:rsidR="00296F5B" w:rsidRPr="002E77B8" w:rsidRDefault="00296F5B" w:rsidP="00296F5B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t>Contribuciones de las Partes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CE7C" w14:textId="59AA0D29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3</w:t>
            </w:r>
            <w:r w:rsidR="00AD767E" w:rsidRPr="002E77B8">
              <w:rPr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r w:rsidRPr="002E77B8">
              <w:rPr>
                <w:color w:val="000000"/>
                <w:sz w:val="20"/>
                <w:szCs w:val="20"/>
                <w:lang w:val="es-ES" w:eastAsia="en-GB"/>
              </w:rPr>
              <w:t>779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4E07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3A70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90A3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8EA9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D43D" w14:textId="734E174F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3</w:t>
            </w:r>
            <w:r w:rsidR="00AD767E" w:rsidRPr="002E77B8">
              <w:rPr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r w:rsidRPr="002E77B8">
              <w:rPr>
                <w:color w:val="000000"/>
                <w:sz w:val="20"/>
                <w:szCs w:val="20"/>
                <w:lang w:val="es-ES" w:eastAsia="en-GB"/>
              </w:rPr>
              <w:t>779</w:t>
            </w:r>
          </w:p>
        </w:tc>
      </w:tr>
      <w:tr w:rsidR="00296F5B" w:rsidRPr="002E77B8" w14:paraId="7F601168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C7FC" w14:textId="13448612" w:rsidR="00296F5B" w:rsidRPr="002E77B8" w:rsidRDefault="00296F5B" w:rsidP="00296F5B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t>Contribuciones voluntarias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BD74" w14:textId="68C0C5E2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1</w:t>
            </w:r>
            <w:r w:rsidR="00AD767E" w:rsidRPr="002E77B8">
              <w:rPr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D9BE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1641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995A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CE17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0B45" w14:textId="7C5B100B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1</w:t>
            </w:r>
            <w:r w:rsidR="00AD767E" w:rsidRPr="002E77B8">
              <w:rPr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065</w:t>
            </w:r>
          </w:p>
        </w:tc>
      </w:tr>
      <w:tr w:rsidR="00296F5B" w:rsidRPr="002E77B8" w14:paraId="31000DC5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BD97" w14:textId="3FBE33CB" w:rsidR="00296F5B" w:rsidRPr="002E77B8" w:rsidRDefault="00296F5B" w:rsidP="00296F5B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t>Impuesto sobre la renta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189B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225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C87B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C5D0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A011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8E68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0AA5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225</w:t>
            </w:r>
          </w:p>
        </w:tc>
      </w:tr>
      <w:tr w:rsidR="00296F5B" w:rsidRPr="002E77B8" w14:paraId="128FADE8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1063" w14:textId="14B3CC46" w:rsidR="00296F5B" w:rsidRPr="002E77B8" w:rsidRDefault="00296F5B" w:rsidP="00296F5B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t>Otros ingresos (incluyendo ingresos por intereses)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8D4A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3C3B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7016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CEDD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CA15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3A48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12</w:t>
            </w:r>
          </w:p>
        </w:tc>
      </w:tr>
      <w:tr w:rsidR="00296F5B" w:rsidRPr="002E77B8" w14:paraId="18012349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D0F5747" w14:textId="2ADB4C3D" w:rsidR="00296F5B" w:rsidRPr="002E77B8" w:rsidRDefault="00296F5B" w:rsidP="00296F5B">
            <w:pPr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TOTAL, INGRESOS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09408E6" w14:textId="7846FE64" w:rsidR="00296F5B" w:rsidRPr="002E77B8" w:rsidRDefault="00296F5B" w:rsidP="00296F5B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5</w:t>
            </w:r>
            <w:r w:rsidR="00AD767E"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081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A262BAF" w14:textId="77777777" w:rsidR="00296F5B" w:rsidRPr="002E77B8" w:rsidRDefault="00296F5B" w:rsidP="00296F5B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566A107" w14:textId="77777777" w:rsidR="00296F5B" w:rsidRPr="002E77B8" w:rsidRDefault="00296F5B" w:rsidP="00296F5B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D3C7C2E" w14:textId="77777777" w:rsidR="00296F5B" w:rsidRPr="002E77B8" w:rsidRDefault="00296F5B" w:rsidP="00296F5B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74ED9F" w14:textId="77777777" w:rsidR="00296F5B" w:rsidRPr="002E77B8" w:rsidRDefault="00296F5B" w:rsidP="00296F5B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CC9871" w14:textId="67DF10EE" w:rsidR="00296F5B" w:rsidRPr="002E77B8" w:rsidRDefault="00296F5B" w:rsidP="00296F5B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5</w:t>
            </w:r>
            <w:r w:rsidR="00AD767E"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081</w:t>
            </w:r>
          </w:p>
        </w:tc>
      </w:tr>
      <w:tr w:rsidR="008B555A" w:rsidRPr="002E77B8" w14:paraId="6E1FC350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6123" w14:textId="77777777" w:rsidR="008B555A" w:rsidRPr="002E77B8" w:rsidRDefault="008B555A" w:rsidP="0010559E">
            <w:pPr>
              <w:rPr>
                <w:rFonts w:ascii="Arial" w:hAnsi="Arial" w:cs="Arial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="Arial" w:hAnsi="Arial" w:cs="Arial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6FB4" w14:textId="77777777" w:rsidR="008B555A" w:rsidRPr="002E77B8" w:rsidRDefault="008B555A" w:rsidP="0010559E">
            <w:pPr>
              <w:rPr>
                <w:rFonts w:ascii="Arial" w:hAnsi="Arial" w:cs="Arial"/>
                <w:color w:val="000000"/>
                <w:sz w:val="20"/>
                <w:szCs w:val="20"/>
                <w:lang w:val="es-ES"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2D1F" w14:textId="77777777" w:rsidR="008B555A" w:rsidRPr="002E77B8" w:rsidRDefault="008B555A" w:rsidP="0010559E">
            <w:pPr>
              <w:rPr>
                <w:rFonts w:ascii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EB34" w14:textId="77777777" w:rsidR="008B555A" w:rsidRPr="002E77B8" w:rsidRDefault="008B555A" w:rsidP="0010559E">
            <w:pPr>
              <w:rPr>
                <w:rFonts w:ascii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2E4B" w14:textId="77777777" w:rsidR="008B555A" w:rsidRPr="002E77B8" w:rsidRDefault="008B555A" w:rsidP="0010559E">
            <w:pPr>
              <w:rPr>
                <w:rFonts w:ascii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A53A" w14:textId="77777777" w:rsidR="008B555A" w:rsidRPr="002E77B8" w:rsidRDefault="008B555A" w:rsidP="0010559E">
            <w:pPr>
              <w:rPr>
                <w:rFonts w:ascii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5B78" w14:textId="77777777" w:rsidR="008B555A" w:rsidRPr="002E77B8" w:rsidRDefault="008B555A" w:rsidP="0010559E">
            <w:pPr>
              <w:rPr>
                <w:rFonts w:ascii="Arial" w:hAnsi="Arial" w:cs="Arial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="Arial" w:hAnsi="Arial" w:cs="Arial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</w:tr>
      <w:tr w:rsidR="00296F5B" w:rsidRPr="002E77B8" w14:paraId="640953BE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4C128" w14:textId="413B766D" w:rsidR="00296F5B" w:rsidRPr="002E77B8" w:rsidRDefault="00296F5B" w:rsidP="00296F5B">
            <w:pPr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GASTOS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075B" w14:textId="77777777" w:rsidR="00296F5B" w:rsidRPr="002E77B8" w:rsidRDefault="00296F5B" w:rsidP="00296F5B">
            <w:pPr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F026" w14:textId="77777777" w:rsidR="00296F5B" w:rsidRPr="002E77B8" w:rsidRDefault="00296F5B" w:rsidP="00296F5B">
            <w:pPr>
              <w:rPr>
                <w:rFonts w:ascii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9D3A" w14:textId="77777777" w:rsidR="00296F5B" w:rsidRPr="002E77B8" w:rsidRDefault="00296F5B" w:rsidP="00296F5B">
            <w:pPr>
              <w:rPr>
                <w:rFonts w:ascii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6F1F" w14:textId="77777777" w:rsidR="00296F5B" w:rsidRPr="002E77B8" w:rsidRDefault="00296F5B" w:rsidP="00296F5B">
            <w:pPr>
              <w:rPr>
                <w:rFonts w:ascii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C2D0" w14:textId="77777777" w:rsidR="00296F5B" w:rsidRPr="002E77B8" w:rsidRDefault="00296F5B" w:rsidP="00296F5B">
            <w:pPr>
              <w:rPr>
                <w:rFonts w:ascii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9B81" w14:textId="77777777" w:rsidR="00296F5B" w:rsidRPr="002E77B8" w:rsidRDefault="00296F5B" w:rsidP="00296F5B">
            <w:pPr>
              <w:rPr>
                <w:rFonts w:ascii="Arial" w:hAnsi="Arial" w:cs="Arial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="Arial" w:hAnsi="Arial" w:cs="Arial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</w:tr>
      <w:tr w:rsidR="00296F5B" w:rsidRPr="002E77B8" w14:paraId="0E7003D9" w14:textId="77777777" w:rsidTr="0010559E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4DE7C7C" w14:textId="3E085D8E" w:rsidR="00296F5B" w:rsidRPr="002E77B8" w:rsidRDefault="00296F5B" w:rsidP="00296F5B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 w:themeColor="text1"/>
                <w:sz w:val="20"/>
                <w:lang w:val="es-ES"/>
              </w:rPr>
              <w:t xml:space="preserve">A. </w:t>
            </w:r>
            <w:r w:rsidRPr="002E77B8">
              <w:rPr>
                <w:color w:val="000000" w:themeColor="text1"/>
                <w:sz w:val="20"/>
                <w:szCs w:val="20"/>
                <w:lang w:val="es-ES" w:eastAsia="en-GB"/>
              </w:rPr>
              <w:t xml:space="preserve"> Personal directivo de la Secretaría y gobernanza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65A806D" w14:textId="5CCAF991" w:rsidR="00296F5B" w:rsidRPr="002E77B8" w:rsidRDefault="00296F5B" w:rsidP="00296F5B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1</w:t>
            </w:r>
            <w:r w:rsidR="00AD767E"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051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8FDDE92" w14:textId="77777777" w:rsidR="00296F5B" w:rsidRPr="002E77B8" w:rsidRDefault="00296F5B" w:rsidP="00296F5B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E503C04" w14:textId="77777777" w:rsidR="00296F5B" w:rsidRPr="002E77B8" w:rsidRDefault="00296F5B" w:rsidP="00296F5B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71B290A" w14:textId="77777777" w:rsidR="00296F5B" w:rsidRPr="002E77B8" w:rsidRDefault="00296F5B" w:rsidP="00296F5B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8023854" w14:textId="77777777" w:rsidR="00296F5B" w:rsidRPr="002E77B8" w:rsidRDefault="00296F5B" w:rsidP="00296F5B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175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837C43B" w14:textId="324EDD04" w:rsidR="00296F5B" w:rsidRPr="002E77B8" w:rsidRDefault="00296F5B" w:rsidP="00296F5B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1</w:t>
            </w:r>
            <w:r w:rsidR="00AD767E"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231</w:t>
            </w:r>
          </w:p>
        </w:tc>
      </w:tr>
      <w:tr w:rsidR="00296F5B" w:rsidRPr="002E77B8" w14:paraId="550A9D45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4B69" w14:textId="3E3CC346" w:rsidR="00296F5B" w:rsidRPr="002E77B8" w:rsidRDefault="00296F5B" w:rsidP="00296F5B">
            <w:pPr>
              <w:rPr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Salarios, gastos sociales y otras prestaciones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E218" w14:textId="1484A282" w:rsidR="00296F5B" w:rsidRPr="002E77B8" w:rsidRDefault="00296F5B" w:rsidP="00296F5B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1</w:t>
            </w:r>
            <w:r w:rsidR="00AD767E" w:rsidRPr="002E77B8">
              <w:rPr>
                <w:sz w:val="20"/>
                <w:szCs w:val="20"/>
                <w:lang w:val="es-ES" w:eastAsia="en-GB"/>
              </w:rPr>
              <w:t xml:space="preserve"> </w:t>
            </w:r>
            <w:r w:rsidRPr="002E77B8">
              <w:rPr>
                <w:sz w:val="20"/>
                <w:szCs w:val="20"/>
                <w:lang w:val="es-ES" w:eastAsia="en-GB"/>
              </w:rPr>
              <w:t>011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A2BC" w14:textId="77777777" w:rsidR="00296F5B" w:rsidRPr="002E77B8" w:rsidRDefault="00296F5B" w:rsidP="00296F5B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F56A" w14:textId="77777777" w:rsidR="00296F5B" w:rsidRPr="002E77B8" w:rsidRDefault="00296F5B" w:rsidP="00296F5B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CBBC" w14:textId="77777777" w:rsidR="00296F5B" w:rsidRPr="002E77B8" w:rsidRDefault="00296F5B" w:rsidP="00296F5B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B82C" w14:textId="77777777" w:rsidR="00296F5B" w:rsidRPr="002E77B8" w:rsidRDefault="00296F5B" w:rsidP="00296F5B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151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57C4" w14:textId="08836D8B" w:rsidR="00296F5B" w:rsidRPr="002E77B8" w:rsidRDefault="00296F5B" w:rsidP="00296F5B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1</w:t>
            </w:r>
            <w:r w:rsidR="00AD767E" w:rsidRPr="002E77B8">
              <w:rPr>
                <w:sz w:val="20"/>
                <w:szCs w:val="20"/>
                <w:lang w:val="es-ES" w:eastAsia="en-GB"/>
              </w:rPr>
              <w:t xml:space="preserve"> </w:t>
            </w:r>
            <w:r w:rsidRPr="002E77B8">
              <w:rPr>
                <w:sz w:val="20"/>
                <w:szCs w:val="20"/>
                <w:lang w:val="es-ES" w:eastAsia="en-GB"/>
              </w:rPr>
              <w:t>162</w:t>
            </w:r>
          </w:p>
        </w:tc>
      </w:tr>
      <w:tr w:rsidR="008B555A" w:rsidRPr="002E77B8" w14:paraId="08523922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3A35" w14:textId="521917DD" w:rsidR="008B555A" w:rsidRPr="002E77B8" w:rsidRDefault="00296F5B" w:rsidP="0010559E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Viajes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CA70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F398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DDF2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4A95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FC69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3086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69</w:t>
            </w:r>
          </w:p>
        </w:tc>
      </w:tr>
      <w:tr w:rsidR="00296F5B" w:rsidRPr="002E77B8" w14:paraId="23C740B2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5668685" w14:textId="2608D880" w:rsidR="00296F5B" w:rsidRPr="002E77B8" w:rsidRDefault="00296F5B" w:rsidP="00296F5B">
            <w:pPr>
              <w:rPr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t>B.</w:t>
            </w:r>
            <w:r w:rsidRPr="002E77B8">
              <w:rPr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r w:rsidRPr="002E77B8">
              <w:rPr>
                <w:color w:val="000000"/>
                <w:sz w:val="20"/>
                <w:lang w:val="es-ES"/>
              </w:rPr>
              <w:t xml:space="preserve"> Movilización de recursos y promoción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9438CDC" w14:textId="77777777" w:rsidR="00296F5B" w:rsidRPr="002E77B8" w:rsidRDefault="00296F5B" w:rsidP="00296F5B">
            <w:pPr>
              <w:jc w:val="right"/>
              <w:rPr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sz w:val="20"/>
                <w:szCs w:val="20"/>
                <w:lang w:val="es-ES" w:eastAsia="en-GB"/>
              </w:rPr>
              <w:t>532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F7FA705" w14:textId="77777777" w:rsidR="00296F5B" w:rsidRPr="002E77B8" w:rsidRDefault="00296F5B" w:rsidP="00296F5B">
            <w:pPr>
              <w:jc w:val="right"/>
              <w:rPr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sz w:val="20"/>
                <w:szCs w:val="20"/>
                <w:lang w:val="es-ES" w:eastAsia="en-GB"/>
              </w:rPr>
              <w:t>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372F27" w14:textId="77777777" w:rsidR="00296F5B" w:rsidRPr="002E77B8" w:rsidRDefault="00296F5B" w:rsidP="00296F5B">
            <w:pPr>
              <w:jc w:val="right"/>
              <w:rPr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sz w:val="20"/>
                <w:szCs w:val="20"/>
                <w:lang w:val="es-ES" w:eastAsia="en-GB"/>
              </w:rPr>
              <w:t>164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318B7D1" w14:textId="77777777" w:rsidR="00296F5B" w:rsidRPr="002E77B8" w:rsidRDefault="00296F5B" w:rsidP="00296F5B">
            <w:pPr>
              <w:jc w:val="right"/>
              <w:rPr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sz w:val="20"/>
                <w:szCs w:val="20"/>
                <w:lang w:val="es-ES" w:eastAsia="en-GB"/>
              </w:rPr>
              <w:t>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650C62A" w14:textId="77777777" w:rsidR="00296F5B" w:rsidRPr="002E77B8" w:rsidRDefault="00296F5B" w:rsidP="00296F5B">
            <w:pPr>
              <w:jc w:val="right"/>
              <w:rPr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sz w:val="20"/>
                <w:szCs w:val="20"/>
                <w:lang w:val="es-ES" w:eastAsia="en-GB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3CEE8D7" w14:textId="77777777" w:rsidR="00296F5B" w:rsidRPr="002E77B8" w:rsidRDefault="00296F5B" w:rsidP="00296F5B">
            <w:pPr>
              <w:jc w:val="right"/>
              <w:rPr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sz w:val="20"/>
                <w:szCs w:val="20"/>
                <w:lang w:val="es-ES" w:eastAsia="en-GB"/>
              </w:rPr>
              <w:t>902</w:t>
            </w:r>
          </w:p>
        </w:tc>
      </w:tr>
      <w:tr w:rsidR="008B555A" w:rsidRPr="002E77B8" w14:paraId="232603C1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B62C" w14:textId="410A85BA" w:rsidR="008B555A" w:rsidRPr="002E77B8" w:rsidRDefault="00296F5B" w:rsidP="0010559E">
            <w:pPr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Salarios, gastos sociales y otras prestaciones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70BA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396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78FE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97EB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DE93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7CD4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45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992C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441</w:t>
            </w:r>
          </w:p>
        </w:tc>
      </w:tr>
      <w:tr w:rsidR="00296F5B" w:rsidRPr="002E77B8" w14:paraId="2431497D" w14:textId="77777777" w:rsidTr="0010559E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C3A1" w14:textId="043BA197" w:rsidR="00296F5B" w:rsidRPr="002E77B8" w:rsidRDefault="00296F5B" w:rsidP="00296F5B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t>Programa de CECoP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BA07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5D69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47D5" w14:textId="77777777" w:rsidR="00296F5B" w:rsidRPr="002E77B8" w:rsidRDefault="00296F5B" w:rsidP="00296F5B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832D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5C84" w14:textId="77777777" w:rsidR="00296F5B" w:rsidRPr="002E77B8" w:rsidRDefault="00296F5B" w:rsidP="00296F5B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27DE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83</w:t>
            </w:r>
          </w:p>
        </w:tc>
      </w:tr>
      <w:tr w:rsidR="00296F5B" w:rsidRPr="002E77B8" w14:paraId="79CCC43D" w14:textId="77777777" w:rsidTr="0010559E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1216" w14:textId="64C5A166" w:rsidR="00296F5B" w:rsidRPr="002E77B8" w:rsidRDefault="00296F5B" w:rsidP="00296F5B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/>
              </w:rPr>
              <w:t>Comunicaciones, traducciones, publicaciones e informes sobre la aplicación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8904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530A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98C0" w14:textId="77777777" w:rsidR="00296F5B" w:rsidRPr="002E77B8" w:rsidRDefault="00296F5B" w:rsidP="00296F5B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C9CD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A554" w14:textId="77777777" w:rsidR="00296F5B" w:rsidRPr="002E77B8" w:rsidRDefault="00296F5B" w:rsidP="00296F5B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318D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179</w:t>
            </w:r>
          </w:p>
        </w:tc>
      </w:tr>
      <w:tr w:rsidR="00296F5B" w:rsidRPr="002E77B8" w14:paraId="6EC50EF3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14615" w14:textId="25A206A5" w:rsidR="00296F5B" w:rsidRPr="002E77B8" w:rsidRDefault="00296F5B" w:rsidP="00296F5B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DMH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5916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8972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95D6" w14:textId="77777777" w:rsidR="00296F5B" w:rsidRPr="002E77B8" w:rsidRDefault="00296F5B" w:rsidP="00296F5B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E7CB" w14:textId="77777777" w:rsidR="00296F5B" w:rsidRPr="002E77B8" w:rsidRDefault="00296F5B" w:rsidP="00296F5B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214D" w14:textId="77777777" w:rsidR="00296F5B" w:rsidRPr="002E77B8" w:rsidRDefault="00296F5B" w:rsidP="00296F5B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568B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45</w:t>
            </w:r>
          </w:p>
        </w:tc>
      </w:tr>
      <w:tr w:rsidR="00296F5B" w:rsidRPr="002E77B8" w14:paraId="6D89EDF7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753E" w14:textId="054A0191" w:rsidR="00296F5B" w:rsidRPr="002E77B8" w:rsidRDefault="00296F5B" w:rsidP="00296F5B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t>50º aniversario en 2021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93D5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10B9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417A" w14:textId="77777777" w:rsidR="00296F5B" w:rsidRPr="002E77B8" w:rsidRDefault="00296F5B" w:rsidP="00296F5B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CEF8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DE6E" w14:textId="77777777" w:rsidR="00296F5B" w:rsidRPr="002E77B8" w:rsidRDefault="00296F5B" w:rsidP="00296F5B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EFBC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8</w:t>
            </w:r>
          </w:p>
        </w:tc>
      </w:tr>
      <w:tr w:rsidR="00296F5B" w:rsidRPr="002E77B8" w14:paraId="4FFE673B" w14:textId="77777777" w:rsidTr="0010559E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016F" w14:textId="423622ED" w:rsidR="00296F5B" w:rsidRPr="002E77B8" w:rsidRDefault="00296F5B" w:rsidP="00296F5B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t>Apoyo y desarrollo del sitio web/servicios informáticos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DDF6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E9A7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89DB" w14:textId="77777777" w:rsidR="00296F5B" w:rsidRPr="002E77B8" w:rsidRDefault="00296F5B" w:rsidP="00296F5B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5666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579A" w14:textId="77777777" w:rsidR="00296F5B" w:rsidRPr="002E77B8" w:rsidRDefault="00296F5B" w:rsidP="00296F5B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92E7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40</w:t>
            </w:r>
          </w:p>
        </w:tc>
      </w:tr>
      <w:tr w:rsidR="008B555A" w:rsidRPr="002E77B8" w14:paraId="1B3EF7CD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2EED" w14:textId="4D418911" w:rsidR="008B555A" w:rsidRPr="002E77B8" w:rsidRDefault="002E77B8" w:rsidP="0010559E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Remodelación del sitio web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3AE7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6CB0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5B53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729F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EDCB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48C8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86</w:t>
            </w:r>
          </w:p>
        </w:tc>
      </w:tr>
      <w:tr w:rsidR="008B555A" w:rsidRPr="002E77B8" w14:paraId="3E182593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3077" w14:textId="7D394C30" w:rsidR="008B555A" w:rsidRPr="002E77B8" w:rsidRDefault="00296F5B" w:rsidP="0010559E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lastRenderedPageBreak/>
              <w:t>Viajes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1987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10C9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A019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B7F3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A917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9998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20</w:t>
            </w:r>
          </w:p>
        </w:tc>
      </w:tr>
      <w:tr w:rsidR="00296F5B" w:rsidRPr="002E77B8" w14:paraId="1545D036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F664B93" w14:textId="42340301" w:rsidR="00296F5B" w:rsidRPr="002E77B8" w:rsidRDefault="00296F5B" w:rsidP="00296F5B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t xml:space="preserve">C. </w:t>
            </w:r>
            <w:r w:rsidRPr="002E77B8">
              <w:rPr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r w:rsidRPr="002E77B8">
              <w:rPr>
                <w:color w:val="000000"/>
                <w:sz w:val="20"/>
                <w:lang w:val="es-ES"/>
              </w:rPr>
              <w:t>Asesoramiento y apoyo regionales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26E11B4" w14:textId="7CB463DD" w:rsidR="00296F5B" w:rsidRPr="002E77B8" w:rsidRDefault="00296F5B" w:rsidP="00296F5B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1</w:t>
            </w:r>
            <w:r w:rsidR="00AD767E"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316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3AA1548" w14:textId="77777777" w:rsidR="00296F5B" w:rsidRPr="002E77B8" w:rsidRDefault="00296F5B" w:rsidP="00296F5B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EFF64C5" w14:textId="77777777" w:rsidR="00296F5B" w:rsidRPr="002E77B8" w:rsidRDefault="00296F5B" w:rsidP="00296F5B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6C98579" w14:textId="77777777" w:rsidR="00296F5B" w:rsidRPr="002E77B8" w:rsidRDefault="00296F5B" w:rsidP="00296F5B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C125DBB" w14:textId="77777777" w:rsidR="00296F5B" w:rsidRPr="002E77B8" w:rsidRDefault="00296F5B" w:rsidP="00296F5B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225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7A2A2A1" w14:textId="19A4E986" w:rsidR="00296F5B" w:rsidRPr="002E77B8" w:rsidRDefault="00296F5B" w:rsidP="00296F5B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1</w:t>
            </w:r>
            <w:r w:rsidR="00AD767E"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647</w:t>
            </w:r>
          </w:p>
        </w:tc>
      </w:tr>
      <w:tr w:rsidR="008B555A" w:rsidRPr="002E77B8" w14:paraId="01FE859E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534D" w14:textId="11AF33E7" w:rsidR="008B555A" w:rsidRPr="002E77B8" w:rsidRDefault="00296F5B" w:rsidP="0010559E">
            <w:pPr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Salarios, gastos sociales y otras prestaciones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86D6" w14:textId="4632B7FC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1</w:t>
            </w:r>
            <w:r w:rsidR="00AD767E" w:rsidRPr="002E77B8">
              <w:rPr>
                <w:sz w:val="20"/>
                <w:szCs w:val="20"/>
                <w:lang w:val="es-ES" w:eastAsia="en-GB"/>
              </w:rPr>
              <w:t xml:space="preserve"> </w:t>
            </w:r>
            <w:r w:rsidRPr="002E77B8">
              <w:rPr>
                <w:sz w:val="20"/>
                <w:szCs w:val="20"/>
                <w:lang w:val="es-ES" w:eastAsia="en-GB"/>
              </w:rPr>
              <w:t>251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C618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2E0E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B6C9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25D8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ADCE" w14:textId="10BAA036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1</w:t>
            </w:r>
            <w:r w:rsidR="00AD767E" w:rsidRPr="002E77B8">
              <w:rPr>
                <w:sz w:val="20"/>
                <w:szCs w:val="20"/>
                <w:lang w:val="es-ES" w:eastAsia="en-GB"/>
              </w:rPr>
              <w:t xml:space="preserve"> </w:t>
            </w:r>
            <w:r w:rsidRPr="002E77B8">
              <w:rPr>
                <w:sz w:val="20"/>
                <w:szCs w:val="20"/>
                <w:lang w:val="es-ES" w:eastAsia="en-GB"/>
              </w:rPr>
              <w:t>451</w:t>
            </w:r>
          </w:p>
        </w:tc>
      </w:tr>
      <w:tr w:rsidR="008B555A" w:rsidRPr="002E77B8" w14:paraId="1269110E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A058" w14:textId="45BFA865" w:rsidR="008B555A" w:rsidRPr="002E77B8" w:rsidRDefault="00296F5B" w:rsidP="0010559E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Viajes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0E51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E256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DDD3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C6A9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2785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0942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100</w:t>
            </w:r>
          </w:p>
        </w:tc>
      </w:tr>
      <w:tr w:rsidR="00296F5B" w:rsidRPr="002E77B8" w14:paraId="7B116F73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0506" w14:textId="78490765" w:rsidR="00296F5B" w:rsidRPr="002E77B8" w:rsidRDefault="00296F5B" w:rsidP="00296F5B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t>Misiones Ramsar de Asesoramiento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A732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1835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8A70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B4B8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BC01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3EF0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96</w:t>
            </w:r>
          </w:p>
        </w:tc>
      </w:tr>
      <w:tr w:rsidR="008B555A" w:rsidRPr="002E77B8" w14:paraId="161C09EC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6ED8F0D" w14:textId="7F23C577" w:rsidR="008B555A" w:rsidRPr="002E77B8" w:rsidRDefault="008B555A" w:rsidP="0010559E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 xml:space="preserve">D.  </w:t>
            </w:r>
            <w:r w:rsidR="002E77B8">
              <w:rPr>
                <w:color w:val="000000"/>
                <w:sz w:val="20"/>
                <w:szCs w:val="20"/>
                <w:lang w:val="es-ES" w:eastAsia="en-GB"/>
              </w:rPr>
              <w:t>Apoyo a las iniciativas regionales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95E4BA" w14:textId="77777777" w:rsidR="008B555A" w:rsidRPr="002E77B8" w:rsidRDefault="008B555A" w:rsidP="0010559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B7488D8" w14:textId="77777777" w:rsidR="008B555A" w:rsidRPr="002E77B8" w:rsidRDefault="008B555A" w:rsidP="0010559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0B26EB5" w14:textId="77777777" w:rsidR="008B555A" w:rsidRPr="002E77B8" w:rsidRDefault="008B555A" w:rsidP="0010559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84DDDFD" w14:textId="77777777" w:rsidR="008B555A" w:rsidRPr="002E77B8" w:rsidRDefault="008B555A" w:rsidP="0010559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E49EA48" w14:textId="77777777" w:rsidR="008B555A" w:rsidRPr="002E77B8" w:rsidRDefault="008B555A" w:rsidP="0010559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4ADAEEA" w14:textId="77777777" w:rsidR="008B555A" w:rsidRPr="002E77B8" w:rsidRDefault="008B555A" w:rsidP="0010559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217</w:t>
            </w:r>
          </w:p>
        </w:tc>
      </w:tr>
      <w:tr w:rsidR="00296F5B" w:rsidRPr="002E77B8" w14:paraId="24D8D6C3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55E14" w14:textId="7E2D6B17" w:rsidR="00296F5B" w:rsidRPr="002E77B8" w:rsidRDefault="00296F5B" w:rsidP="00296F5B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t>GT-IR, Res. XIII.9, párr.</w:t>
            </w:r>
            <w:r w:rsidRPr="002E77B8">
              <w:rPr>
                <w:color w:val="000000"/>
                <w:sz w:val="20"/>
                <w:szCs w:val="20"/>
                <w:lang w:val="es-ES" w:eastAsia="en-GB"/>
              </w:rPr>
              <w:t xml:space="preserve"> 10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F9B5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89CC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FFF1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C087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DE2D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23BD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21</w:t>
            </w:r>
          </w:p>
        </w:tc>
      </w:tr>
      <w:tr w:rsidR="00296F5B" w:rsidRPr="002E77B8" w14:paraId="04353E72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3CD29" w14:textId="50722B61" w:rsidR="00296F5B" w:rsidRPr="002E77B8" w:rsidRDefault="00296F5B" w:rsidP="00296F5B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 w:themeColor="text1"/>
                <w:sz w:val="20"/>
                <w:szCs w:val="20"/>
                <w:lang w:val="es-ES" w:eastAsia="en-GB"/>
              </w:rPr>
              <w:t>Redacción de propuestas para las IRR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5AF6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6AA1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8578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2469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A57C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81FB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</w:tr>
      <w:tr w:rsidR="00296F5B" w:rsidRPr="002E77B8" w14:paraId="1A0D266D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611A" w14:textId="53E0AEBE" w:rsidR="00296F5B" w:rsidRPr="002E77B8" w:rsidRDefault="00296F5B" w:rsidP="00296F5B">
            <w:pPr>
              <w:rPr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t>Actividad 1: Cuenca del río Senegal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D313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5552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0754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E182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F059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620C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35</w:t>
            </w:r>
          </w:p>
        </w:tc>
      </w:tr>
      <w:tr w:rsidR="00296F5B" w:rsidRPr="002E77B8" w14:paraId="4071790C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E2B1" w14:textId="5F49EFC0" w:rsidR="00296F5B" w:rsidRPr="002E77B8" w:rsidRDefault="00296F5B" w:rsidP="00296F5B">
            <w:pPr>
              <w:rPr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t>Actividad 2: Cuenca del río Amazonas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5187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8ED9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D667" w14:textId="77777777" w:rsidR="00296F5B" w:rsidRPr="002E77B8" w:rsidRDefault="00296F5B" w:rsidP="00296F5B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F068" w14:textId="77777777" w:rsidR="00296F5B" w:rsidRPr="002E77B8" w:rsidRDefault="00296F5B" w:rsidP="00296F5B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8818" w14:textId="77777777" w:rsidR="00296F5B" w:rsidRPr="002E77B8" w:rsidRDefault="00296F5B" w:rsidP="00296F5B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D10A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111</w:t>
            </w:r>
          </w:p>
        </w:tc>
      </w:tr>
      <w:tr w:rsidR="00296F5B" w:rsidRPr="002E77B8" w14:paraId="02E071E8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AA7B" w14:textId="3280DED5" w:rsidR="00296F5B" w:rsidRPr="002E77B8" w:rsidRDefault="00296F5B" w:rsidP="00296F5B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t>Actividad 3: Asia Central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2AD1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709C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04F6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279C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6823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BFBD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25</w:t>
            </w:r>
          </w:p>
        </w:tc>
      </w:tr>
      <w:tr w:rsidR="00296F5B" w:rsidRPr="002E77B8" w14:paraId="1D90B0B6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8641" w14:textId="46BB50A1" w:rsidR="00296F5B" w:rsidRPr="002E77B8" w:rsidRDefault="00296F5B" w:rsidP="00296F5B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t>Actividad 4: Indo-Birmana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5590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6017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FF9D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F8C8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0D31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C015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25</w:t>
            </w:r>
          </w:p>
        </w:tc>
      </w:tr>
      <w:tr w:rsidR="00296F5B" w:rsidRPr="002E77B8" w14:paraId="00DB98BA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2D7E9BE" w14:textId="6828A865" w:rsidR="00296F5B" w:rsidRPr="002E77B8" w:rsidRDefault="00296F5B" w:rsidP="00296F5B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t>E.</w:t>
            </w:r>
            <w:r w:rsidRPr="002E77B8">
              <w:rPr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r w:rsidRPr="002E77B8">
              <w:rPr>
                <w:color w:val="000000"/>
                <w:sz w:val="20"/>
                <w:lang w:val="es-ES"/>
              </w:rPr>
              <w:t xml:space="preserve"> Servicios científicos y técnicos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02EFDA2" w14:textId="77777777" w:rsidR="00296F5B" w:rsidRPr="002E77B8" w:rsidRDefault="00296F5B" w:rsidP="00296F5B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774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5C500FF" w14:textId="77777777" w:rsidR="00296F5B" w:rsidRPr="002E77B8" w:rsidRDefault="00296F5B" w:rsidP="00296F5B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1C42BF9" w14:textId="77777777" w:rsidR="00296F5B" w:rsidRPr="002E77B8" w:rsidRDefault="00296F5B" w:rsidP="00296F5B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114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DD7DA87" w14:textId="77777777" w:rsidR="00296F5B" w:rsidRPr="002E77B8" w:rsidRDefault="00296F5B" w:rsidP="00296F5B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CE75C8A" w14:textId="77777777" w:rsidR="00296F5B" w:rsidRPr="002E77B8" w:rsidRDefault="00296F5B" w:rsidP="00296F5B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328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2D5D866" w14:textId="5208EDA8" w:rsidR="00296F5B" w:rsidRPr="002E77B8" w:rsidRDefault="00296F5B" w:rsidP="00296F5B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1</w:t>
            </w:r>
            <w:r w:rsidR="00AD767E"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311</w:t>
            </w:r>
          </w:p>
        </w:tc>
      </w:tr>
      <w:tr w:rsidR="008B555A" w:rsidRPr="002E77B8" w14:paraId="5A22180F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B89E" w14:textId="494C0F14" w:rsidR="008B555A" w:rsidRPr="002E77B8" w:rsidRDefault="00296F5B" w:rsidP="0010559E">
            <w:pPr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Salarios, gastos sociales y otras prestaciones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3CD9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1FB0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8F19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8062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0252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226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F203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854</w:t>
            </w:r>
          </w:p>
        </w:tc>
      </w:tr>
      <w:tr w:rsidR="008B555A" w:rsidRPr="002E77B8" w14:paraId="22B7057E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CF6A" w14:textId="35425212" w:rsidR="008B555A" w:rsidRPr="002E77B8" w:rsidRDefault="00296F5B" w:rsidP="0010559E">
            <w:pPr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Viajes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F8CB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2AB5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4CF9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E9F7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65CC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1E60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24</w:t>
            </w:r>
          </w:p>
        </w:tc>
      </w:tr>
      <w:tr w:rsidR="00296F5B" w:rsidRPr="002E77B8" w14:paraId="659AEC5C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8A96" w14:textId="0962FD33" w:rsidR="00296F5B" w:rsidRPr="002E77B8" w:rsidRDefault="00296F5B" w:rsidP="00296F5B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t>Viajes de la Presidencia del GECT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9833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B218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2D31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8EE9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5FE1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0F69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12</w:t>
            </w:r>
          </w:p>
        </w:tc>
      </w:tr>
      <w:tr w:rsidR="00296F5B" w:rsidRPr="002E77B8" w14:paraId="6D1D2423" w14:textId="77777777" w:rsidTr="0010559E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6EA0" w14:textId="533E0FDF" w:rsidR="00296F5B" w:rsidRPr="002E77B8" w:rsidRDefault="00296F5B" w:rsidP="00296F5B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 w:themeColor="text1"/>
                <w:sz w:val="20"/>
                <w:lang w:val="es-ES"/>
              </w:rPr>
              <w:t xml:space="preserve">Trabajo del </w:t>
            </w:r>
            <w:r w:rsidRPr="002E77B8">
              <w:rPr>
                <w:color w:val="000000"/>
                <w:sz w:val="20"/>
                <w:lang w:val="es-ES"/>
              </w:rPr>
              <w:t>GECT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A480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9B11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A97A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800A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EDDA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A573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99</w:t>
            </w:r>
          </w:p>
        </w:tc>
      </w:tr>
      <w:tr w:rsidR="00296F5B" w:rsidRPr="002E77B8" w14:paraId="78C8EA22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3A1E" w14:textId="11F0DFAD" w:rsidR="00296F5B" w:rsidRPr="002E77B8" w:rsidRDefault="00296F5B" w:rsidP="00296F5B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t>Reuniones del GECT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5DDA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3C94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BF14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166B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CA88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9E11" w14:textId="77777777" w:rsidR="00296F5B" w:rsidRPr="002E77B8" w:rsidRDefault="00296F5B" w:rsidP="00296F5B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94</w:t>
            </w:r>
          </w:p>
        </w:tc>
      </w:tr>
      <w:tr w:rsidR="008B555A" w:rsidRPr="002E77B8" w14:paraId="7BBB4DAA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1323" w14:textId="774DEA1E" w:rsidR="008B555A" w:rsidRPr="002E77B8" w:rsidRDefault="00AD767E" w:rsidP="0010559E">
            <w:pPr>
              <w:rPr>
                <w:color w:val="0000FF"/>
                <w:sz w:val="20"/>
                <w:szCs w:val="20"/>
                <w:lang w:val="es-ES" w:eastAsia="en-GB"/>
              </w:rPr>
            </w:pPr>
            <w:r w:rsidRPr="002E77B8">
              <w:rPr>
                <w:color w:val="0000FF"/>
                <w:sz w:val="20"/>
                <w:szCs w:val="20"/>
                <w:lang w:val="es-ES" w:eastAsia="en-GB"/>
              </w:rPr>
              <w:t xml:space="preserve">Quinto Plan Estratégico </w:t>
            </w:r>
            <w:r w:rsidR="008B555A" w:rsidRPr="002E77B8">
              <w:rPr>
                <w:color w:val="0000FF"/>
                <w:sz w:val="20"/>
                <w:szCs w:val="20"/>
                <w:lang w:val="es-ES" w:eastAsia="en-GB"/>
              </w:rPr>
              <w:t>(2022 - 2024)*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F80F" w14:textId="77777777" w:rsidR="008B555A" w:rsidRPr="002E77B8" w:rsidRDefault="008B555A" w:rsidP="0010559E">
            <w:pPr>
              <w:jc w:val="right"/>
              <w:rPr>
                <w:color w:val="0000FF"/>
                <w:sz w:val="20"/>
                <w:szCs w:val="20"/>
                <w:lang w:val="es-ES" w:eastAsia="en-GB"/>
              </w:rPr>
            </w:pPr>
            <w:r w:rsidRPr="002E77B8">
              <w:rPr>
                <w:color w:val="0000FF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4931" w14:textId="77777777" w:rsidR="008B555A" w:rsidRPr="002E77B8" w:rsidRDefault="008B555A" w:rsidP="0010559E">
            <w:pPr>
              <w:jc w:val="right"/>
              <w:rPr>
                <w:color w:val="0000FF"/>
                <w:sz w:val="20"/>
                <w:szCs w:val="20"/>
                <w:lang w:val="es-ES" w:eastAsia="en-GB"/>
              </w:rPr>
            </w:pPr>
            <w:r w:rsidRPr="002E77B8">
              <w:rPr>
                <w:color w:val="0000FF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AC4D" w14:textId="77777777" w:rsidR="008B555A" w:rsidRPr="002E77B8" w:rsidRDefault="008B555A" w:rsidP="0010559E">
            <w:pPr>
              <w:jc w:val="right"/>
              <w:rPr>
                <w:color w:val="0000FF"/>
                <w:sz w:val="20"/>
                <w:szCs w:val="20"/>
                <w:lang w:val="es-ES" w:eastAsia="en-GB"/>
              </w:rPr>
            </w:pPr>
            <w:r w:rsidRPr="002E77B8">
              <w:rPr>
                <w:color w:val="0000FF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D51A" w14:textId="77777777" w:rsidR="008B555A" w:rsidRPr="002E77B8" w:rsidRDefault="008B555A" w:rsidP="0010559E">
            <w:pPr>
              <w:jc w:val="right"/>
              <w:rPr>
                <w:color w:val="0000FF"/>
                <w:sz w:val="20"/>
                <w:szCs w:val="20"/>
                <w:lang w:val="es-ES" w:eastAsia="en-GB"/>
              </w:rPr>
            </w:pPr>
            <w:r w:rsidRPr="002E77B8">
              <w:rPr>
                <w:color w:val="0000FF"/>
                <w:sz w:val="20"/>
                <w:szCs w:val="20"/>
                <w:lang w:val="es-ES" w:eastAsia="en-GB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F2BB" w14:textId="77777777" w:rsidR="008B555A" w:rsidRPr="002E77B8" w:rsidRDefault="008B555A" w:rsidP="0010559E">
            <w:pPr>
              <w:jc w:val="right"/>
              <w:rPr>
                <w:color w:val="0000FF"/>
                <w:sz w:val="20"/>
                <w:szCs w:val="20"/>
                <w:lang w:val="es-ES" w:eastAsia="en-GB"/>
              </w:rPr>
            </w:pPr>
            <w:r w:rsidRPr="002E77B8">
              <w:rPr>
                <w:color w:val="0000FF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B0D2" w14:textId="77777777" w:rsidR="008B555A" w:rsidRPr="002E77B8" w:rsidRDefault="008B555A" w:rsidP="0010559E">
            <w:pPr>
              <w:jc w:val="right"/>
              <w:rPr>
                <w:color w:val="0000FF"/>
                <w:sz w:val="20"/>
                <w:szCs w:val="20"/>
                <w:lang w:val="es-ES" w:eastAsia="en-GB"/>
              </w:rPr>
            </w:pPr>
            <w:r w:rsidRPr="002E77B8">
              <w:rPr>
                <w:color w:val="0000FF"/>
                <w:sz w:val="20"/>
                <w:szCs w:val="20"/>
                <w:lang w:val="es-ES" w:eastAsia="en-GB"/>
              </w:rPr>
              <w:t>90</w:t>
            </w:r>
          </w:p>
        </w:tc>
      </w:tr>
      <w:tr w:rsidR="00AD767E" w:rsidRPr="002E77B8" w14:paraId="62F6700B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69BE" w14:textId="2B17735B" w:rsidR="00AD767E" w:rsidRPr="002E77B8" w:rsidRDefault="00AD767E" w:rsidP="00AD767E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t>ODS 6.61 (inventarios)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88F3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8D79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2176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A926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E542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CF45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72</w:t>
            </w:r>
          </w:p>
        </w:tc>
      </w:tr>
      <w:tr w:rsidR="00AD767E" w:rsidRPr="002E77B8" w14:paraId="4DBCC494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3801" w14:textId="2D6B39E7" w:rsidR="00AD767E" w:rsidRPr="002E77B8" w:rsidRDefault="00AD767E" w:rsidP="00AD767E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t>Servicio de Información sobre Sitios Ramsar (mantenimiento y desarrollo)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4851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2FFC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80E1" w14:textId="77777777" w:rsidR="00AD767E" w:rsidRPr="002E77B8" w:rsidRDefault="00AD767E" w:rsidP="00AD767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29A2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E2ED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64FB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66</w:t>
            </w:r>
          </w:p>
        </w:tc>
      </w:tr>
      <w:tr w:rsidR="00AD767E" w:rsidRPr="002E77B8" w14:paraId="3CF45096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DCE41F9" w14:textId="5E48B31F" w:rsidR="00AD767E" w:rsidRPr="002E77B8" w:rsidRDefault="00AD767E" w:rsidP="00AD767E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 xml:space="preserve">G.  </w:t>
            </w:r>
            <w:r w:rsidRPr="002E77B8">
              <w:rPr>
                <w:color w:val="000000"/>
                <w:sz w:val="20"/>
                <w:lang w:val="es-ES"/>
              </w:rPr>
              <w:t>Administración/sitio web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CC5CFFD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489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BC8F147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DD1EDD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BF5D79B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15D2E8D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ECF9783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611</w:t>
            </w:r>
          </w:p>
        </w:tc>
      </w:tr>
      <w:tr w:rsidR="008B555A" w:rsidRPr="002E77B8" w14:paraId="620463AB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55B9" w14:textId="303AC951" w:rsidR="008B555A" w:rsidRPr="002E77B8" w:rsidRDefault="00296F5B" w:rsidP="0010559E">
            <w:pPr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Salarios, gastos sociales y otras prestaciones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5BC6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334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6BEF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81BA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5E23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4CF2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9D6E" w14:textId="77777777" w:rsidR="008B555A" w:rsidRPr="002E77B8" w:rsidRDefault="008B555A" w:rsidP="0010559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337</w:t>
            </w:r>
          </w:p>
        </w:tc>
      </w:tr>
      <w:tr w:rsidR="00AD767E" w:rsidRPr="002E77B8" w14:paraId="3AA2B436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87BD" w14:textId="06CE75B4" w:rsidR="00AD767E" w:rsidRPr="002E77B8" w:rsidRDefault="00AD767E" w:rsidP="00AD767E">
            <w:pPr>
              <w:rPr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lastRenderedPageBreak/>
              <w:t>Costos de contratación y separación del personal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37B9" w14:textId="77777777" w:rsidR="00AD767E" w:rsidRPr="002E77B8" w:rsidRDefault="00AD767E" w:rsidP="00AD767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9AC9" w14:textId="77777777" w:rsidR="00AD767E" w:rsidRPr="002E77B8" w:rsidRDefault="00AD767E" w:rsidP="00AD767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DE0D" w14:textId="77777777" w:rsidR="00AD767E" w:rsidRPr="002E77B8" w:rsidRDefault="00AD767E" w:rsidP="00AD767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41B6" w14:textId="77777777" w:rsidR="00AD767E" w:rsidRPr="002E77B8" w:rsidRDefault="00AD767E" w:rsidP="00AD767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A44E" w14:textId="77777777" w:rsidR="00AD767E" w:rsidRPr="002E77B8" w:rsidRDefault="00AD767E" w:rsidP="00AD767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1F3A" w14:textId="77777777" w:rsidR="00AD767E" w:rsidRPr="002E77B8" w:rsidRDefault="00AD767E" w:rsidP="00AD767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70</w:t>
            </w:r>
          </w:p>
        </w:tc>
      </w:tr>
      <w:tr w:rsidR="008B555A" w:rsidRPr="002E77B8" w14:paraId="5B54CEAC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41AE" w14:textId="766BCFDC" w:rsidR="008B555A" w:rsidRPr="002E77B8" w:rsidRDefault="00296F5B" w:rsidP="0010559E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Viajes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5D50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D39A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996F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ECAC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68E9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981A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</w:tr>
      <w:tr w:rsidR="00AD767E" w:rsidRPr="002E77B8" w14:paraId="49D25AE9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8349" w14:textId="4317A2BD" w:rsidR="00AD767E" w:rsidRPr="002E77B8" w:rsidRDefault="00AD767E" w:rsidP="00AD767E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t>Equipo/material de oficina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6974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4A20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964D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D84C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AAA9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E112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108</w:t>
            </w:r>
          </w:p>
        </w:tc>
      </w:tr>
      <w:tr w:rsidR="00AD767E" w:rsidRPr="002E77B8" w14:paraId="2188536A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81BA" w14:textId="1801EDEB" w:rsidR="00AD767E" w:rsidRPr="002E77B8" w:rsidRDefault="00AD767E" w:rsidP="00AD767E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t>Planificación y creación de capacidad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7151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2BD6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6A84" w14:textId="77777777" w:rsidR="00AD767E" w:rsidRPr="002E77B8" w:rsidRDefault="00AD767E" w:rsidP="00AD767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FF27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53A8" w14:textId="77777777" w:rsidR="00AD767E" w:rsidRPr="002E77B8" w:rsidRDefault="00AD767E" w:rsidP="00AD767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41BA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96</w:t>
            </w:r>
          </w:p>
        </w:tc>
      </w:tr>
      <w:tr w:rsidR="00AD767E" w:rsidRPr="002E77B8" w14:paraId="00AECC8D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5F4D0FE" w14:textId="6D28D193" w:rsidR="00AD767E" w:rsidRPr="002E77B8" w:rsidRDefault="00AD767E" w:rsidP="00AD767E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t>H. Servicios para el Comité Permanente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C025EB1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1F76B8B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BE572AA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C6C9BF5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DA7C253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83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7D6A618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250</w:t>
            </w:r>
          </w:p>
        </w:tc>
      </w:tr>
      <w:tr w:rsidR="00AD767E" w:rsidRPr="002E77B8" w14:paraId="5B5ECF9E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EB01" w14:textId="4FEDE68B" w:rsidR="00AD767E" w:rsidRPr="002E77B8" w:rsidRDefault="00AD767E" w:rsidP="00AD767E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/>
              </w:rPr>
              <w:t>Apoyo a los delegados del Comité Permanente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5E87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4C31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C3E6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2F10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50DA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A571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96</w:t>
            </w:r>
          </w:p>
        </w:tc>
      </w:tr>
      <w:tr w:rsidR="00AD767E" w:rsidRPr="002E77B8" w14:paraId="26F65E30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CBFE" w14:textId="233FC6D7" w:rsidR="00AD767E" w:rsidRPr="002E77B8" w:rsidRDefault="00AD767E" w:rsidP="00AD767E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/>
              </w:rPr>
              <w:t>Reuniones del Comité Permanente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C92F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D7DB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C6D8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47F3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1C4E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ACD0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16</w:t>
            </w:r>
          </w:p>
        </w:tc>
      </w:tr>
      <w:tr w:rsidR="00AD767E" w:rsidRPr="002E77B8" w14:paraId="27822939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1ADF" w14:textId="312B49F3" w:rsidR="00AD767E" w:rsidRPr="002E77B8" w:rsidRDefault="00AD767E" w:rsidP="00AD767E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t>Traducción para el CP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C923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FB50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FD5B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8F56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92B6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1A00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64</w:t>
            </w:r>
          </w:p>
        </w:tc>
      </w:tr>
      <w:tr w:rsidR="00AD767E" w:rsidRPr="002E77B8" w14:paraId="3FF49789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4487" w14:textId="159C46BD" w:rsidR="00AD767E" w:rsidRPr="002E77B8" w:rsidRDefault="00AD767E" w:rsidP="00AD767E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/>
              </w:rPr>
              <w:t>Interpretación simultánea en las reuniones del CP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D133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696C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0A2F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7E86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9F29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22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E8DA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57</w:t>
            </w:r>
          </w:p>
        </w:tc>
      </w:tr>
      <w:tr w:rsidR="00AD767E" w:rsidRPr="002E77B8" w14:paraId="20076370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4048" w14:textId="6B5F2BF5" w:rsidR="00AD767E" w:rsidRPr="002E77B8" w:rsidRDefault="00AD767E" w:rsidP="00AD767E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/>
              </w:rPr>
              <w:t>Grupo de trabajo sobre la eficacia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D801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9401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A495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C724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6FD8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7B0C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14</w:t>
            </w:r>
          </w:p>
        </w:tc>
      </w:tr>
      <w:tr w:rsidR="00AD767E" w:rsidRPr="002E77B8" w14:paraId="233ACEF6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7EA0" w14:textId="2E4F3AA7" w:rsidR="00AD767E" w:rsidRPr="002E77B8" w:rsidRDefault="00AD767E" w:rsidP="00AD767E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/>
              </w:rPr>
              <w:t xml:space="preserve">Examen de las resoluciones </w:t>
            </w:r>
            <w:r w:rsidRPr="002E77B8">
              <w:rPr>
                <w:color w:val="000000"/>
                <w:sz w:val="20"/>
                <w:lang w:val="es-ES"/>
              </w:rPr>
              <w:t>(Res. XIII.4)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B024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441F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3A72" w14:textId="77777777" w:rsidR="00AD767E" w:rsidRPr="002E77B8" w:rsidRDefault="00AD767E" w:rsidP="00AD767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F171" w14:textId="77777777" w:rsidR="00AD767E" w:rsidRPr="002E77B8" w:rsidRDefault="00AD767E" w:rsidP="00AD767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6794" w14:textId="77777777" w:rsidR="00AD767E" w:rsidRPr="002E77B8" w:rsidRDefault="00AD767E" w:rsidP="00AD767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3F0E" w14:textId="77777777" w:rsidR="00AD767E" w:rsidRPr="002E77B8" w:rsidRDefault="00AD767E" w:rsidP="00AD767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3</w:t>
            </w:r>
          </w:p>
        </w:tc>
      </w:tr>
      <w:tr w:rsidR="00AD767E" w:rsidRPr="002E77B8" w14:paraId="7A497ADF" w14:textId="77777777" w:rsidTr="0010559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22279CD" w14:textId="06ACF9FA" w:rsidR="00AD767E" w:rsidRPr="002E77B8" w:rsidRDefault="00AD767E" w:rsidP="00AD767E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 xml:space="preserve">J.  </w:t>
            </w:r>
            <w:r w:rsidRPr="002E77B8">
              <w:rPr>
                <w:color w:val="000000"/>
                <w:sz w:val="20"/>
                <w:szCs w:val="20"/>
                <w:lang w:val="es-ES"/>
              </w:rPr>
              <w:t>Gastos por servicios administrativos de la UICN (máximo)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FA77D6C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560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7836ACD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7A5411F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9C00578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69ECA2D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BEE450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560</w:t>
            </w:r>
          </w:p>
        </w:tc>
      </w:tr>
      <w:tr w:rsidR="00AD767E" w:rsidRPr="002E77B8" w14:paraId="24C0C65B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A47C" w14:textId="0E5137AE" w:rsidR="00AD767E" w:rsidRPr="002E77B8" w:rsidRDefault="00AD767E" w:rsidP="00AD767E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/>
              </w:rPr>
              <w:t>Administración, RR.HH., finanzas y servicios informáticos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2368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560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1816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CC85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03ED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6D5F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99EB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560</w:t>
            </w:r>
          </w:p>
        </w:tc>
      </w:tr>
      <w:tr w:rsidR="00AD767E" w:rsidRPr="002E77B8" w14:paraId="3DE3F3BB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2865FD0" w14:textId="46117100" w:rsidR="00AD767E" w:rsidRPr="002E77B8" w:rsidRDefault="00AD767E" w:rsidP="00AD767E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K.  Varios – Fondo de reserva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8165E5E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109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D2F11A5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1C4A416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129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FD79BDC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D8325C7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420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B4D41D8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730</w:t>
            </w:r>
          </w:p>
        </w:tc>
      </w:tr>
      <w:tr w:rsidR="00AD767E" w:rsidRPr="002E77B8" w14:paraId="3B8047EF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14DD" w14:textId="7FD793BD" w:rsidR="00AD767E" w:rsidRPr="002E77B8" w:rsidRDefault="00AD767E" w:rsidP="00AD767E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Provisiones correspondientes al personal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4A83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508A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ACE1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F90C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1BDF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73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240A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123</w:t>
            </w:r>
          </w:p>
        </w:tc>
      </w:tr>
      <w:tr w:rsidR="00AD767E" w:rsidRPr="002E77B8" w14:paraId="3E70FCCF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46D6C" w14:textId="1EE4563D" w:rsidR="00AD767E" w:rsidRPr="002E77B8" w:rsidRDefault="00AD767E" w:rsidP="00AD767E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Provisiones correspondientes a las contribuciones pendientes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9AA9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F161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E19E" w14:textId="77777777" w:rsidR="00AD767E" w:rsidRPr="002E77B8" w:rsidRDefault="00AD767E" w:rsidP="00AD767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39E6" w14:textId="77777777" w:rsidR="00AD767E" w:rsidRPr="002E77B8" w:rsidRDefault="00AD767E" w:rsidP="00AD767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FBAE" w14:textId="77777777" w:rsidR="00AD767E" w:rsidRPr="002E77B8" w:rsidRDefault="00AD767E" w:rsidP="00AD767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14DC" w14:textId="77777777" w:rsidR="00AD767E" w:rsidRPr="002E77B8" w:rsidRDefault="00AD767E" w:rsidP="00AD767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140</w:t>
            </w:r>
          </w:p>
        </w:tc>
      </w:tr>
      <w:tr w:rsidR="008B555A" w:rsidRPr="002E77B8" w14:paraId="211AE8C1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F7695" w14:textId="7850DEAB" w:rsidR="008B555A" w:rsidRPr="002E77B8" w:rsidRDefault="006A03F3" w:rsidP="0010559E">
            <w:pPr>
              <w:rPr>
                <w:color w:val="0000FF"/>
                <w:sz w:val="20"/>
                <w:szCs w:val="20"/>
                <w:lang w:val="es-ES" w:eastAsia="en-GB"/>
              </w:rPr>
            </w:pPr>
            <w:r>
              <w:rPr>
                <w:color w:val="0000FF"/>
                <w:sz w:val="20"/>
                <w:szCs w:val="20"/>
                <w:lang w:val="es-ES" w:eastAsia="en-GB"/>
              </w:rPr>
              <w:t xml:space="preserve">Ahorros en el presupuesto de </w:t>
            </w:r>
            <w:r w:rsidR="00AD767E" w:rsidRPr="002E77B8">
              <w:rPr>
                <w:color w:val="0000FF"/>
                <w:sz w:val="20"/>
                <w:szCs w:val="20"/>
                <w:lang w:val="es-ES" w:eastAsia="en-GB"/>
              </w:rPr>
              <w:t xml:space="preserve">la reunión </w:t>
            </w:r>
            <w:r w:rsidR="008B555A" w:rsidRPr="002E77B8">
              <w:rPr>
                <w:color w:val="0000FF"/>
                <w:sz w:val="20"/>
                <w:szCs w:val="20"/>
                <w:lang w:val="es-ES" w:eastAsia="en-GB"/>
              </w:rPr>
              <w:t xml:space="preserve">SC58 </w:t>
            </w:r>
            <w:r w:rsidR="00AD767E" w:rsidRPr="002E77B8">
              <w:rPr>
                <w:color w:val="0000FF"/>
                <w:sz w:val="20"/>
                <w:szCs w:val="20"/>
                <w:lang w:val="es-ES" w:eastAsia="en-GB"/>
              </w:rPr>
              <w:t>y ahorros no comprometidos traspasados al año siguiente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DC63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ACE4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6218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268F" w14:textId="77777777" w:rsidR="008B555A" w:rsidRPr="002E77B8" w:rsidRDefault="008B555A" w:rsidP="0010559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0EBF" w14:textId="77777777" w:rsidR="008B555A" w:rsidRPr="002E77B8" w:rsidRDefault="008B555A" w:rsidP="0010559E">
            <w:pPr>
              <w:jc w:val="right"/>
              <w:rPr>
                <w:color w:val="0000FF"/>
                <w:sz w:val="20"/>
                <w:szCs w:val="20"/>
                <w:lang w:val="es-ES" w:eastAsia="en-GB"/>
              </w:rPr>
            </w:pPr>
            <w:r w:rsidRPr="002E77B8">
              <w:rPr>
                <w:color w:val="0000FF"/>
                <w:sz w:val="20"/>
                <w:szCs w:val="20"/>
                <w:lang w:val="es-ES" w:eastAsia="en-GB"/>
              </w:rPr>
              <w:t>416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8436" w14:textId="77777777" w:rsidR="008B555A" w:rsidRPr="002E77B8" w:rsidRDefault="008B555A" w:rsidP="0010559E">
            <w:pPr>
              <w:jc w:val="right"/>
              <w:rPr>
                <w:color w:val="0000FF"/>
                <w:sz w:val="20"/>
                <w:szCs w:val="20"/>
                <w:lang w:val="es-ES" w:eastAsia="en-GB"/>
              </w:rPr>
            </w:pPr>
            <w:r w:rsidRPr="002E77B8">
              <w:rPr>
                <w:color w:val="0000FF"/>
                <w:sz w:val="20"/>
                <w:szCs w:val="20"/>
                <w:lang w:val="es-ES" w:eastAsia="en-GB"/>
              </w:rPr>
              <w:t>416</w:t>
            </w:r>
          </w:p>
        </w:tc>
      </w:tr>
      <w:tr w:rsidR="00AD767E" w:rsidRPr="002E77B8" w14:paraId="6EC11DE4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057D" w14:textId="63DB19E5" w:rsidR="00AD767E" w:rsidRPr="002E77B8" w:rsidRDefault="00AD767E" w:rsidP="00AD767E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/>
              </w:rPr>
              <w:t>Ganancias/pérdidas por fluctuaciones del tipo de cambio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49EE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E7CF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BA73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CE34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879E" w14:textId="77777777" w:rsidR="00AD767E" w:rsidRPr="002E77B8" w:rsidRDefault="00AD767E" w:rsidP="00AD767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(94)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935D" w14:textId="77777777" w:rsidR="00AD767E" w:rsidRPr="002E77B8" w:rsidRDefault="00AD767E" w:rsidP="00AD767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(94)</w:t>
            </w:r>
          </w:p>
        </w:tc>
      </w:tr>
      <w:tr w:rsidR="00AD767E" w:rsidRPr="002E77B8" w14:paraId="4E903AD5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9C22" w14:textId="149E2568" w:rsidR="00AD767E" w:rsidRPr="002E77B8" w:rsidRDefault="00AD767E" w:rsidP="00AD767E">
            <w:pPr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lang w:val="es-ES"/>
              </w:rPr>
              <w:t>Servicios jurídicos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71D6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DC09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1A94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5EB5" w14:textId="77777777" w:rsidR="00AD767E" w:rsidRPr="002E77B8" w:rsidRDefault="00AD767E" w:rsidP="00AD767E">
            <w:pPr>
              <w:jc w:val="right"/>
              <w:rPr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0F69" w14:textId="77777777" w:rsidR="00AD767E" w:rsidRPr="002E77B8" w:rsidRDefault="00AD767E" w:rsidP="00AD767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F7D4" w14:textId="77777777" w:rsidR="00AD767E" w:rsidRPr="002E77B8" w:rsidRDefault="00AD767E" w:rsidP="00AD767E">
            <w:pPr>
              <w:jc w:val="right"/>
              <w:rPr>
                <w:sz w:val="20"/>
                <w:szCs w:val="20"/>
                <w:lang w:val="es-ES" w:eastAsia="en-GB"/>
              </w:rPr>
            </w:pPr>
            <w:r w:rsidRPr="002E77B8">
              <w:rPr>
                <w:sz w:val="20"/>
                <w:szCs w:val="20"/>
                <w:lang w:val="es-ES" w:eastAsia="en-GB"/>
              </w:rPr>
              <w:t>145</w:t>
            </w:r>
          </w:p>
        </w:tc>
      </w:tr>
      <w:tr w:rsidR="00AD767E" w:rsidRPr="002E77B8" w14:paraId="7E8B6EDA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E2DEDC6" w14:textId="41215D82" w:rsidR="00AD767E" w:rsidRPr="002E77B8" w:rsidRDefault="00AD767E" w:rsidP="00AD767E">
            <w:pPr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TOTAL, GASTOS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13078A17" w14:textId="72EE3C60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5 081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234960EF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51187CBA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712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3375C57C" w14:textId="77777777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293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4825FEB0" w14:textId="143E9251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1 297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74A87B34" w14:textId="2B142ADD" w:rsidR="00AD767E" w:rsidRPr="002E77B8" w:rsidRDefault="00AD767E" w:rsidP="00AD767E">
            <w:pPr>
              <w:jc w:val="righ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7 459</w:t>
            </w:r>
          </w:p>
        </w:tc>
      </w:tr>
      <w:tr w:rsidR="008B555A" w:rsidRPr="00C15013" w14:paraId="1D23F611" w14:textId="77777777" w:rsidTr="0010559E">
        <w:trPr>
          <w:trHeight w:val="255"/>
        </w:trPr>
        <w:tc>
          <w:tcPr>
            <w:tcW w:w="13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8FDD" w14:textId="64A292AE" w:rsidR="008B555A" w:rsidRPr="002E77B8" w:rsidRDefault="008B555A" w:rsidP="0010559E">
            <w:pPr>
              <w:rPr>
                <w:i/>
                <w:iCs/>
                <w:color w:val="0000FF"/>
                <w:sz w:val="20"/>
                <w:szCs w:val="20"/>
                <w:lang w:val="es-ES" w:eastAsia="en-GB"/>
              </w:rPr>
            </w:pPr>
            <w:r w:rsidRPr="002E77B8">
              <w:rPr>
                <w:i/>
                <w:iCs/>
                <w:color w:val="0000FF"/>
                <w:sz w:val="20"/>
                <w:szCs w:val="20"/>
                <w:lang w:val="es-ES" w:eastAsia="en-GB"/>
              </w:rPr>
              <w:t>*</w:t>
            </w:r>
            <w:r w:rsidR="00AD767E" w:rsidRPr="002E77B8">
              <w:rPr>
                <w:i/>
                <w:iCs/>
                <w:color w:val="0000FF"/>
                <w:sz w:val="20"/>
                <w:szCs w:val="20"/>
                <w:lang w:val="es-ES" w:eastAsia="en-GB"/>
              </w:rPr>
              <w:t>Si el Comité Permanente decide que no es necesaria, la asignación se devolverá a la partida “</w:t>
            </w:r>
            <w:r w:rsidR="006A03F3" w:rsidRPr="006A03F3">
              <w:rPr>
                <w:i/>
                <w:iCs/>
                <w:color w:val="0000FF"/>
                <w:sz w:val="20"/>
                <w:szCs w:val="20"/>
                <w:lang w:val="es-ES" w:eastAsia="en-GB"/>
              </w:rPr>
              <w:t>Ahorros en el presupuesto de la reunión</w:t>
            </w:r>
            <w:r w:rsidR="006A03F3" w:rsidRPr="002E77B8">
              <w:rPr>
                <w:color w:val="0000FF"/>
                <w:sz w:val="20"/>
                <w:szCs w:val="20"/>
                <w:lang w:val="es-ES" w:eastAsia="en-GB"/>
              </w:rPr>
              <w:t xml:space="preserve"> </w:t>
            </w:r>
            <w:r w:rsidR="00AD767E" w:rsidRPr="002E77B8">
              <w:rPr>
                <w:i/>
                <w:iCs/>
                <w:color w:val="0000FF"/>
                <w:sz w:val="20"/>
                <w:szCs w:val="20"/>
                <w:lang w:val="es-ES" w:eastAsia="en-GB"/>
              </w:rPr>
              <w:t>SC58 y ahorros no comprometidos traspasados al año siguiente</w:t>
            </w:r>
            <w:r w:rsidRPr="002E77B8">
              <w:rPr>
                <w:i/>
                <w:iCs/>
                <w:color w:val="0000FF"/>
                <w:sz w:val="20"/>
                <w:szCs w:val="20"/>
                <w:lang w:val="es-ES" w:eastAsia="en-GB"/>
              </w:rPr>
              <w:t>"</w:t>
            </w:r>
            <w:r w:rsidR="00AD767E" w:rsidRPr="002E77B8">
              <w:rPr>
                <w:i/>
                <w:iCs/>
                <w:color w:val="0000FF"/>
                <w:sz w:val="20"/>
                <w:szCs w:val="20"/>
                <w:lang w:val="es-ES" w:eastAsia="en-GB"/>
              </w:rPr>
              <w:t>.</w:t>
            </w:r>
          </w:p>
        </w:tc>
      </w:tr>
    </w:tbl>
    <w:p w14:paraId="26FEC03B" w14:textId="77777777" w:rsidR="001225CC" w:rsidRPr="002E77B8" w:rsidRDefault="001225CC" w:rsidP="008E5200">
      <w:pPr>
        <w:widowControl/>
        <w:rPr>
          <w:rFonts w:asciiTheme="minorHAnsi" w:hAnsiTheme="minorHAnsi" w:cstheme="minorHAnsi"/>
          <w:lang w:val="es-ES"/>
        </w:rPr>
        <w:sectPr w:rsidR="001225CC" w:rsidRPr="002E77B8" w:rsidSect="00E67203">
          <w:footerReference w:type="default" r:id="rId11"/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46AE4BCD" w14:textId="6BCA692D" w:rsidR="00816086" w:rsidRPr="002E77B8" w:rsidRDefault="00570025" w:rsidP="008E5200">
      <w:pPr>
        <w:widowControl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2E77B8">
        <w:rPr>
          <w:rFonts w:asciiTheme="minorHAnsi" w:hAnsiTheme="minorHAnsi" w:cstheme="minorHAnsi"/>
          <w:b/>
          <w:sz w:val="24"/>
          <w:szCs w:val="24"/>
          <w:lang w:val="es-ES"/>
        </w:rPr>
        <w:lastRenderedPageBreak/>
        <w:t>A</w:t>
      </w:r>
      <w:r w:rsidR="00AD767E" w:rsidRPr="002E77B8">
        <w:rPr>
          <w:rFonts w:asciiTheme="minorHAnsi" w:hAnsiTheme="minorHAnsi" w:cstheme="minorHAnsi"/>
          <w:b/>
          <w:sz w:val="24"/>
          <w:szCs w:val="24"/>
          <w:lang w:val="es-ES"/>
        </w:rPr>
        <w:t xml:space="preserve">nexo </w:t>
      </w:r>
      <w:r w:rsidRPr="002E77B8">
        <w:rPr>
          <w:rFonts w:asciiTheme="minorHAnsi" w:hAnsiTheme="minorHAnsi" w:cstheme="minorHAnsi"/>
          <w:b/>
          <w:sz w:val="24"/>
          <w:szCs w:val="24"/>
          <w:lang w:val="es-ES"/>
        </w:rPr>
        <w:t xml:space="preserve">2 </w:t>
      </w:r>
      <w:r w:rsidR="00AD767E" w:rsidRPr="002E77B8">
        <w:rPr>
          <w:rFonts w:asciiTheme="minorHAnsi" w:hAnsiTheme="minorHAnsi" w:cstheme="minorHAnsi"/>
          <w:b/>
          <w:sz w:val="24"/>
          <w:szCs w:val="24"/>
          <w:lang w:val="es-ES"/>
        </w:rPr>
        <w:t>del informe del Subgrupo de Finanzas</w:t>
      </w:r>
    </w:p>
    <w:p w14:paraId="65CDF8C3" w14:textId="5E745EC6" w:rsidR="00570025" w:rsidRPr="002E77B8" w:rsidRDefault="00937329" w:rsidP="00570025">
      <w:pPr>
        <w:widowControl/>
        <w:autoSpaceDE/>
        <w:autoSpaceDN/>
        <w:rPr>
          <w:b/>
          <w:bCs/>
          <w:sz w:val="24"/>
          <w:szCs w:val="24"/>
          <w:lang w:val="es-ES" w:eastAsia="en-GB"/>
        </w:rPr>
      </w:pPr>
      <w:r>
        <w:rPr>
          <w:b/>
          <w:bCs/>
          <w:sz w:val="24"/>
          <w:szCs w:val="24"/>
          <w:lang w:val="es-ES" w:eastAsia="en-GB"/>
        </w:rPr>
        <w:t xml:space="preserve">Presupuesto de </w:t>
      </w:r>
      <w:r w:rsidR="00570025" w:rsidRPr="002E77B8">
        <w:rPr>
          <w:b/>
          <w:bCs/>
          <w:sz w:val="24"/>
          <w:szCs w:val="24"/>
          <w:lang w:val="es-ES" w:eastAsia="en-GB"/>
        </w:rPr>
        <w:t xml:space="preserve">Ramsar </w:t>
      </w:r>
      <w:r>
        <w:rPr>
          <w:b/>
          <w:bCs/>
          <w:sz w:val="24"/>
          <w:szCs w:val="24"/>
          <w:lang w:val="es-ES" w:eastAsia="en-GB"/>
        </w:rPr>
        <w:t xml:space="preserve">propuesto para </w:t>
      </w:r>
      <w:r w:rsidR="00570025" w:rsidRPr="002E77B8">
        <w:rPr>
          <w:b/>
          <w:bCs/>
          <w:sz w:val="24"/>
          <w:szCs w:val="24"/>
          <w:lang w:val="es-ES" w:eastAsia="en-GB"/>
        </w:rPr>
        <w:t>2022</w:t>
      </w:r>
    </w:p>
    <w:p w14:paraId="562E7014" w14:textId="7AFED25A" w:rsidR="00570025" w:rsidRPr="002E77B8" w:rsidRDefault="00570025" w:rsidP="008E5200">
      <w:pPr>
        <w:widowControl/>
        <w:rPr>
          <w:rFonts w:asciiTheme="minorHAnsi" w:hAnsiTheme="minorHAnsi" w:cstheme="minorHAnsi"/>
          <w:lang w:val="es-ES"/>
        </w:rPr>
      </w:pP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1984"/>
        <w:gridCol w:w="1559"/>
        <w:gridCol w:w="1560"/>
      </w:tblGrid>
      <w:tr w:rsidR="00570025" w:rsidRPr="002E77B8" w14:paraId="50B9FEDB" w14:textId="77777777" w:rsidTr="001C18B4">
        <w:trPr>
          <w:trHeight w:val="1248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243956" w14:textId="0BF2D54F" w:rsidR="00570025" w:rsidRPr="002E77B8" w:rsidRDefault="001C18B4" w:rsidP="00570025">
            <w:pPr>
              <w:widowControl/>
              <w:autoSpaceDE/>
              <w:autoSpaceDN/>
              <w:rPr>
                <w:b/>
                <w:bCs/>
                <w:color w:val="44546A"/>
                <w:sz w:val="36"/>
                <w:szCs w:val="36"/>
                <w:lang w:val="es-ES" w:eastAsia="en-GB"/>
              </w:rPr>
            </w:pPr>
            <w:r w:rsidRPr="002E77B8">
              <w:rPr>
                <w:b/>
                <w:bCs/>
                <w:color w:val="44546A"/>
                <w:sz w:val="24"/>
                <w:szCs w:val="24"/>
                <w:lang w:val="es-ES" w:eastAsia="en-GB"/>
              </w:rPr>
              <w:t>Presupuesto de Ramsar propuesto para 2</w:t>
            </w:r>
            <w:r w:rsidR="00570025" w:rsidRPr="002E77B8">
              <w:rPr>
                <w:b/>
                <w:bCs/>
                <w:color w:val="44546A"/>
                <w:sz w:val="24"/>
                <w:szCs w:val="24"/>
                <w:lang w:val="es-ES" w:eastAsia="en-GB"/>
              </w:rPr>
              <w:t>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B84F03" w14:textId="16E07748" w:rsidR="00570025" w:rsidRPr="002E77B8" w:rsidRDefault="001C18B4" w:rsidP="00570025">
            <w:pPr>
              <w:widowControl/>
              <w:autoSpaceDE/>
              <w:autoSpaceDN/>
              <w:jc w:val="center"/>
              <w:rPr>
                <w:b/>
                <w:bCs/>
                <w:color w:val="44546A"/>
                <w:sz w:val="24"/>
                <w:szCs w:val="24"/>
                <w:lang w:val="es-ES" w:eastAsia="en-GB"/>
              </w:rPr>
            </w:pPr>
            <w:r w:rsidRPr="002E77B8">
              <w:rPr>
                <w:b/>
                <w:bCs/>
                <w:color w:val="44546A"/>
                <w:sz w:val="24"/>
                <w:szCs w:val="24"/>
                <w:lang w:val="es-ES" w:eastAsia="en-GB"/>
              </w:rPr>
              <w:t xml:space="preserve">Presupuesto para </w:t>
            </w:r>
            <w:r w:rsidR="00570025" w:rsidRPr="002E77B8">
              <w:rPr>
                <w:b/>
                <w:bCs/>
                <w:color w:val="44546A"/>
                <w:sz w:val="24"/>
                <w:szCs w:val="24"/>
                <w:lang w:val="es-ES" w:eastAsia="en-GB"/>
              </w:rPr>
              <w:t xml:space="preserve">2022 </w:t>
            </w:r>
            <w:r w:rsidRPr="002E77B8">
              <w:rPr>
                <w:b/>
                <w:bCs/>
                <w:color w:val="44546A"/>
                <w:sz w:val="24"/>
                <w:szCs w:val="24"/>
                <w:lang w:val="es-ES" w:eastAsia="en-GB"/>
              </w:rPr>
              <w:t>para su aprobación por la COP extraordinaria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BC1DD4" w14:textId="03404B47" w:rsidR="00570025" w:rsidRPr="002E77B8" w:rsidRDefault="001C18B4" w:rsidP="00570025">
            <w:pPr>
              <w:widowControl/>
              <w:autoSpaceDE/>
              <w:autoSpaceDN/>
              <w:jc w:val="center"/>
              <w:rPr>
                <w:b/>
                <w:bCs/>
                <w:color w:val="44546A"/>
                <w:sz w:val="24"/>
                <w:szCs w:val="24"/>
                <w:lang w:val="es-ES" w:eastAsia="en-GB"/>
              </w:rPr>
            </w:pPr>
            <w:r w:rsidRPr="002E77B8">
              <w:rPr>
                <w:b/>
                <w:bCs/>
                <w:color w:val="44546A"/>
                <w:sz w:val="24"/>
                <w:szCs w:val="24"/>
                <w:lang w:val="es-ES" w:eastAsia="en-GB"/>
              </w:rPr>
              <w:t xml:space="preserve">Uso autorizado por la reunión </w:t>
            </w:r>
            <w:r w:rsidR="00570025" w:rsidRPr="002E77B8">
              <w:rPr>
                <w:b/>
                <w:bCs/>
                <w:color w:val="44546A"/>
                <w:sz w:val="24"/>
                <w:szCs w:val="24"/>
                <w:lang w:val="es-ES" w:eastAsia="en-GB"/>
              </w:rPr>
              <w:t xml:space="preserve">SC59 </w:t>
            </w:r>
            <w:r w:rsidRPr="002E77B8">
              <w:rPr>
                <w:b/>
                <w:bCs/>
                <w:color w:val="44546A"/>
                <w:sz w:val="24"/>
                <w:szCs w:val="24"/>
                <w:lang w:val="es-ES" w:eastAsia="en-GB"/>
              </w:rPr>
              <w:t xml:space="preserve">de los ahorros de </w:t>
            </w:r>
            <w:r w:rsidR="00570025" w:rsidRPr="002E77B8">
              <w:rPr>
                <w:b/>
                <w:bCs/>
                <w:color w:val="44546A"/>
                <w:sz w:val="24"/>
                <w:szCs w:val="24"/>
                <w:lang w:val="es-ES" w:eastAsia="en-GB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D10BAE" w14:textId="61039D74" w:rsidR="00570025" w:rsidRPr="002E77B8" w:rsidRDefault="001C18B4" w:rsidP="00570025">
            <w:pPr>
              <w:widowControl/>
              <w:autoSpaceDE/>
              <w:autoSpaceDN/>
              <w:jc w:val="center"/>
              <w:rPr>
                <w:b/>
                <w:bCs/>
                <w:color w:val="44546A"/>
                <w:sz w:val="24"/>
                <w:szCs w:val="24"/>
                <w:lang w:val="es-ES" w:eastAsia="en-GB"/>
              </w:rPr>
            </w:pPr>
            <w:r w:rsidRPr="002E77B8">
              <w:rPr>
                <w:b/>
                <w:bCs/>
                <w:color w:val="44546A"/>
                <w:sz w:val="24"/>
                <w:szCs w:val="24"/>
                <w:lang w:val="es-ES" w:eastAsia="en-GB"/>
              </w:rPr>
              <w:t xml:space="preserve">Total presupuesto para </w:t>
            </w:r>
            <w:r w:rsidR="00570025" w:rsidRPr="002E77B8">
              <w:rPr>
                <w:b/>
                <w:bCs/>
                <w:color w:val="44546A"/>
                <w:sz w:val="24"/>
                <w:szCs w:val="24"/>
                <w:lang w:val="es-ES" w:eastAsia="en-GB"/>
              </w:rPr>
              <w:t>2022</w:t>
            </w:r>
          </w:p>
        </w:tc>
      </w:tr>
      <w:tr w:rsidR="00570025" w:rsidRPr="00C15013" w14:paraId="5CF1826D" w14:textId="77777777" w:rsidTr="001C18B4">
        <w:trPr>
          <w:trHeight w:val="360"/>
          <w:tblHeader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A72FFF0" w14:textId="7ECDCE59" w:rsidR="00570025" w:rsidRPr="002E77B8" w:rsidRDefault="00937329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es-ES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es-ES" w:eastAsia="en-GB"/>
              </w:rPr>
              <w:t>e</w:t>
            </w:r>
            <w:r w:rsidR="001C18B4" w:rsidRPr="002E77B8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es-ES" w:eastAsia="en-GB"/>
              </w:rPr>
              <w:t>n miles de francos suizos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D14EA2" w14:textId="77777777" w:rsidR="00570025" w:rsidRPr="002E77B8" w:rsidRDefault="00570025" w:rsidP="00570025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44546A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color w:val="44546A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C2A2C0" w14:textId="77777777" w:rsidR="00570025" w:rsidRPr="002E77B8" w:rsidRDefault="00570025" w:rsidP="00570025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44546A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color w:val="44546A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EA6A02" w14:textId="77777777" w:rsidR="00570025" w:rsidRPr="002E77B8" w:rsidRDefault="00570025" w:rsidP="00570025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 </w:t>
            </w:r>
          </w:p>
        </w:tc>
      </w:tr>
      <w:tr w:rsidR="001C18B4" w:rsidRPr="002E77B8" w14:paraId="511A77DD" w14:textId="77777777" w:rsidTr="001C18B4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762D" w14:textId="4E714047" w:rsidR="001C18B4" w:rsidRPr="002E77B8" w:rsidRDefault="001C18B4" w:rsidP="001C18B4">
            <w:pPr>
              <w:widowControl/>
              <w:autoSpaceDE/>
              <w:autoSpaceDN/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="Arial"/>
                <w:b/>
                <w:bCs/>
                <w:color w:val="1F497D"/>
                <w:sz w:val="20"/>
                <w:szCs w:val="20"/>
                <w:lang w:val="es-ES" w:eastAsia="en-GB"/>
              </w:rPr>
              <w:t>INGRESOS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6961" w14:textId="77777777" w:rsidR="001C18B4" w:rsidRPr="002E77B8" w:rsidRDefault="001C18B4" w:rsidP="001C18B4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573A" w14:textId="77777777" w:rsidR="001C18B4" w:rsidRPr="002E77B8" w:rsidRDefault="001C18B4" w:rsidP="001C18B4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0D43" w14:textId="77777777" w:rsidR="001C18B4" w:rsidRPr="002E77B8" w:rsidRDefault="001C18B4" w:rsidP="001C18B4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</w:tr>
      <w:tr w:rsidR="001C18B4" w:rsidRPr="002E77B8" w14:paraId="235F0836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3FC9" w14:textId="0834D518" w:rsidR="001C18B4" w:rsidRPr="002E77B8" w:rsidRDefault="001C18B4" w:rsidP="001C18B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="Arial"/>
                <w:sz w:val="20"/>
                <w:szCs w:val="20"/>
                <w:lang w:val="es-ES" w:eastAsia="en-GB"/>
              </w:rPr>
              <w:t>Contribuciones de las Partes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F9E7" w14:textId="20E4BD42" w:rsidR="001C18B4" w:rsidRPr="002E77B8" w:rsidRDefault="001C18B4" w:rsidP="001C18B4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3 779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04BD" w14:textId="77777777" w:rsidR="001C18B4" w:rsidRPr="002E77B8" w:rsidRDefault="001C18B4" w:rsidP="001C18B4">
            <w:pPr>
              <w:widowControl/>
              <w:autoSpaceDE/>
              <w:autoSpaceDN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76C4" w14:textId="06B3D885" w:rsidR="001C18B4" w:rsidRPr="002E77B8" w:rsidRDefault="001C18B4" w:rsidP="001C18B4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3 779</w:t>
            </w:r>
          </w:p>
        </w:tc>
      </w:tr>
      <w:tr w:rsidR="001C18B4" w:rsidRPr="002E77B8" w14:paraId="5997C4DD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C348" w14:textId="24481B6E" w:rsidR="001C18B4" w:rsidRPr="002E77B8" w:rsidRDefault="001C18B4" w:rsidP="001C18B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="Arial"/>
                <w:sz w:val="20"/>
                <w:szCs w:val="20"/>
                <w:lang w:val="es-ES" w:eastAsia="en-GB"/>
              </w:rPr>
              <w:t>Contribuciones voluntarias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5574" w14:textId="0312317D" w:rsidR="001C18B4" w:rsidRPr="002E77B8" w:rsidRDefault="001C18B4" w:rsidP="001C18B4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1 065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3B1B" w14:textId="77777777" w:rsidR="001C18B4" w:rsidRPr="002E77B8" w:rsidRDefault="001C18B4" w:rsidP="001C18B4">
            <w:pPr>
              <w:widowControl/>
              <w:autoSpaceDE/>
              <w:autoSpaceDN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26F2" w14:textId="7CFD706B" w:rsidR="001C18B4" w:rsidRPr="002E77B8" w:rsidRDefault="001C18B4" w:rsidP="001C18B4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1 065</w:t>
            </w:r>
          </w:p>
        </w:tc>
      </w:tr>
      <w:tr w:rsidR="001C18B4" w:rsidRPr="002E77B8" w14:paraId="57022E2F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3FE8" w14:textId="33D48B0B" w:rsidR="001C18B4" w:rsidRPr="002E77B8" w:rsidRDefault="001C18B4" w:rsidP="001C18B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="Arial"/>
                <w:sz w:val="20"/>
                <w:szCs w:val="20"/>
                <w:lang w:val="es-ES" w:eastAsia="en-GB"/>
              </w:rPr>
              <w:t>Impuesto sobre la renta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7727" w14:textId="77777777" w:rsidR="001C18B4" w:rsidRPr="002E77B8" w:rsidRDefault="001C18B4" w:rsidP="001C18B4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0522" w14:textId="77777777" w:rsidR="001C18B4" w:rsidRPr="002E77B8" w:rsidRDefault="001C18B4" w:rsidP="001C18B4">
            <w:pPr>
              <w:widowControl/>
              <w:autoSpaceDE/>
              <w:autoSpaceDN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CDD4" w14:textId="77777777" w:rsidR="001C18B4" w:rsidRPr="002E77B8" w:rsidRDefault="001C18B4" w:rsidP="001C18B4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225</w:t>
            </w:r>
          </w:p>
        </w:tc>
      </w:tr>
      <w:tr w:rsidR="001C18B4" w:rsidRPr="002E77B8" w14:paraId="0CB4C0F3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97B2" w14:textId="630A4E4F" w:rsidR="001C18B4" w:rsidRPr="002E77B8" w:rsidRDefault="001C18B4" w:rsidP="001C18B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="Arial"/>
                <w:sz w:val="20"/>
                <w:szCs w:val="20"/>
                <w:lang w:val="es-ES" w:eastAsia="en-GB"/>
              </w:rPr>
              <w:t>Ingresos por intereses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3A3E" w14:textId="77777777" w:rsidR="001C18B4" w:rsidRPr="002E77B8" w:rsidRDefault="001C18B4" w:rsidP="001C18B4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274D" w14:textId="77777777" w:rsidR="001C18B4" w:rsidRPr="002E77B8" w:rsidRDefault="001C18B4" w:rsidP="001C18B4">
            <w:pPr>
              <w:widowControl/>
              <w:autoSpaceDE/>
              <w:autoSpaceDN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74" w14:textId="77777777" w:rsidR="001C18B4" w:rsidRPr="002E77B8" w:rsidRDefault="001C18B4" w:rsidP="001C18B4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12</w:t>
            </w:r>
          </w:p>
        </w:tc>
      </w:tr>
      <w:tr w:rsidR="001C18B4" w:rsidRPr="002E77B8" w14:paraId="2A5D9324" w14:textId="77777777" w:rsidTr="001C18B4">
        <w:trPr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D5ADA89" w14:textId="53B3809F" w:rsidR="001C18B4" w:rsidRPr="002E77B8" w:rsidRDefault="001C18B4" w:rsidP="001C18B4">
            <w:pPr>
              <w:widowControl/>
              <w:autoSpaceDE/>
              <w:autoSpaceDN/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es-ES" w:eastAsia="en-GB"/>
              </w:rPr>
            </w:pPr>
            <w:r w:rsidRPr="002E77B8">
              <w:rPr>
                <w:rFonts w:cs="Arial"/>
                <w:b/>
                <w:bCs/>
                <w:color w:val="1F497D"/>
                <w:sz w:val="20"/>
                <w:szCs w:val="20"/>
                <w:lang w:val="es-ES" w:eastAsia="en-GB"/>
              </w:rPr>
              <w:t>TOTAL DE INGRESOS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17E6C58" w14:textId="4506B189" w:rsidR="001C18B4" w:rsidRPr="002E77B8" w:rsidRDefault="001C18B4" w:rsidP="001C18B4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5 081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A0F5D1D" w14:textId="77777777" w:rsidR="001C18B4" w:rsidRPr="002E77B8" w:rsidRDefault="001C18B4" w:rsidP="001C18B4">
            <w:pPr>
              <w:widowControl/>
              <w:autoSpaceDE/>
              <w:autoSpaceDN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A73DFCD" w14:textId="121AA59A" w:rsidR="001C18B4" w:rsidRPr="002E77B8" w:rsidRDefault="001C18B4" w:rsidP="001C18B4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5 081</w:t>
            </w:r>
          </w:p>
        </w:tc>
      </w:tr>
      <w:tr w:rsidR="00C860F4" w:rsidRPr="002E77B8" w14:paraId="68705BC7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937C" w14:textId="77777777" w:rsidR="00570025" w:rsidRPr="002E77B8" w:rsidRDefault="00570025" w:rsidP="00570025">
            <w:pPr>
              <w:widowControl/>
              <w:autoSpaceDE/>
              <w:autoSpaceDN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D9DC" w14:textId="77777777" w:rsidR="00570025" w:rsidRPr="002E77B8" w:rsidRDefault="00570025" w:rsidP="00570025">
            <w:pPr>
              <w:widowControl/>
              <w:autoSpaceDE/>
              <w:autoSpaceDN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9049" w14:textId="77777777" w:rsidR="00570025" w:rsidRPr="002E77B8" w:rsidRDefault="00570025" w:rsidP="00570025">
            <w:pPr>
              <w:widowControl/>
              <w:autoSpaceDE/>
              <w:autoSpaceDN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FF4F" w14:textId="77777777" w:rsidR="00570025" w:rsidRPr="002E77B8" w:rsidRDefault="00570025" w:rsidP="00570025">
            <w:pPr>
              <w:widowControl/>
              <w:autoSpaceDE/>
              <w:autoSpaceDN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</w:tr>
      <w:tr w:rsidR="001C18B4" w:rsidRPr="002E77B8" w14:paraId="7F103AD6" w14:textId="77777777" w:rsidTr="001C18B4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D8A8" w14:textId="551C9878" w:rsidR="001C18B4" w:rsidRPr="002E77B8" w:rsidRDefault="001C18B4" w:rsidP="001C18B4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="Arial"/>
                <w:b/>
                <w:bCs/>
                <w:color w:val="1F497D"/>
                <w:sz w:val="20"/>
                <w:szCs w:val="20"/>
                <w:lang w:val="es-ES" w:eastAsia="en-GB"/>
              </w:rPr>
              <w:t>GASTOS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6612" w14:textId="77777777" w:rsidR="001C18B4" w:rsidRPr="002E77B8" w:rsidRDefault="001C18B4" w:rsidP="001C18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8D7D" w14:textId="77777777" w:rsidR="001C18B4" w:rsidRPr="002E77B8" w:rsidRDefault="001C18B4" w:rsidP="001C18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E328" w14:textId="77777777" w:rsidR="001C18B4" w:rsidRPr="002E77B8" w:rsidRDefault="001C18B4" w:rsidP="001C18B4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 </w:t>
            </w:r>
          </w:p>
        </w:tc>
      </w:tr>
      <w:tr w:rsidR="001C18B4" w:rsidRPr="002E77B8" w14:paraId="0DDD9798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CAE249F" w14:textId="2E0308B0" w:rsidR="001C18B4" w:rsidRPr="002E77B8" w:rsidRDefault="001C18B4" w:rsidP="001C18B4">
            <w:pPr>
              <w:widowControl/>
              <w:autoSpaceDE/>
              <w:autoSpaceDN/>
              <w:ind w:firstLineChars="200" w:firstLine="4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="Arial"/>
                <w:b/>
                <w:bCs/>
                <w:sz w:val="20"/>
                <w:szCs w:val="20"/>
                <w:lang w:val="es-ES" w:eastAsia="en-GB"/>
              </w:rPr>
              <w:t xml:space="preserve">A. Personal directivo de la Secretaría y </w:t>
            </w:r>
            <w:r w:rsidR="00613686" w:rsidRPr="002E77B8">
              <w:rPr>
                <w:rFonts w:asciiTheme="minorHAnsi" w:hAnsiTheme="minorHAnsi" w:cs="Arial"/>
                <w:b/>
                <w:bCs/>
                <w:sz w:val="20"/>
                <w:szCs w:val="20"/>
                <w:lang w:val="es-ES" w:eastAsia="en-GB"/>
              </w:rPr>
              <w:t>go</w:t>
            </w:r>
            <w:r w:rsidRPr="002E77B8">
              <w:rPr>
                <w:rFonts w:asciiTheme="minorHAnsi" w:hAnsiTheme="minorHAnsi" w:cs="Arial"/>
                <w:b/>
                <w:bCs/>
                <w:sz w:val="20"/>
                <w:szCs w:val="20"/>
                <w:lang w:val="es-ES" w:eastAsia="en-GB"/>
              </w:rPr>
              <w:t>bernanza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FBFAB6C" w14:textId="1BD21145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1 030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72028E5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7CDD127" w14:textId="7DC5E6A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1 035</w:t>
            </w:r>
          </w:p>
        </w:tc>
      </w:tr>
      <w:tr w:rsidR="00C860F4" w:rsidRPr="002E77B8" w14:paraId="0A1DC21F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4E35" w14:textId="135DE94F" w:rsidR="00570025" w:rsidRPr="002E77B8" w:rsidRDefault="00296F5B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Salarios, gastos sociales y otras prestaciones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EC44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E291" w14:textId="77777777" w:rsidR="00570025" w:rsidRPr="002E77B8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A3CD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990</w:t>
            </w:r>
          </w:p>
        </w:tc>
      </w:tr>
      <w:tr w:rsidR="00C860F4" w:rsidRPr="002E77B8" w14:paraId="18CCFD0D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E027" w14:textId="513E1A19" w:rsidR="00570025" w:rsidRPr="002E77B8" w:rsidRDefault="00296F5B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Viajes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F72F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96B3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1596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45</w:t>
            </w:r>
          </w:p>
        </w:tc>
      </w:tr>
      <w:tr w:rsidR="001C18B4" w:rsidRPr="002E77B8" w14:paraId="4D306C35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B14A23C" w14:textId="10C4C735" w:rsidR="001C18B4" w:rsidRPr="002E77B8" w:rsidRDefault="001C18B4" w:rsidP="001C18B4">
            <w:pPr>
              <w:widowControl/>
              <w:autoSpaceDE/>
              <w:autoSpaceDN/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rFonts w:cs="Arial"/>
                <w:b/>
                <w:bCs/>
                <w:color w:val="000000"/>
                <w:sz w:val="20"/>
                <w:szCs w:val="20"/>
                <w:lang w:val="es-ES" w:eastAsia="en-GB"/>
              </w:rPr>
              <w:t xml:space="preserve">B. Movilización de recursos y promoción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1A0885A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69BB324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E347319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639</w:t>
            </w:r>
          </w:p>
        </w:tc>
      </w:tr>
      <w:tr w:rsidR="00C860F4" w:rsidRPr="002E77B8" w14:paraId="5980EF25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1D32" w14:textId="79E40FE0" w:rsidR="00570025" w:rsidRPr="002E77B8" w:rsidRDefault="00296F5B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Salarios, gastos sociales y otras prestaciones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EF3C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DC76" w14:textId="77777777" w:rsidR="00570025" w:rsidRPr="002E77B8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8AE2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438</w:t>
            </w:r>
          </w:p>
        </w:tc>
      </w:tr>
      <w:tr w:rsidR="001C18B4" w:rsidRPr="002E77B8" w14:paraId="42D13A40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3FC6" w14:textId="3835FDEC" w:rsidR="001C18B4" w:rsidRPr="002E77B8" w:rsidRDefault="001C18B4" w:rsidP="001C18B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cs="Arial"/>
                <w:sz w:val="20"/>
                <w:szCs w:val="20"/>
                <w:lang w:val="es-ES" w:eastAsia="en-GB"/>
              </w:rPr>
              <w:t>Programa de CECoP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66E5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4279" w14:textId="77777777" w:rsidR="001C18B4" w:rsidRPr="002E77B8" w:rsidRDefault="001C18B4" w:rsidP="001C18B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E95C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30</w:t>
            </w:r>
          </w:p>
        </w:tc>
      </w:tr>
      <w:tr w:rsidR="001C18B4" w:rsidRPr="002E77B8" w14:paraId="0493E342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7C31" w14:textId="24FBD2BA" w:rsidR="001C18B4" w:rsidRPr="002E77B8" w:rsidRDefault="001C18B4" w:rsidP="001C18B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cs="Arial"/>
                <w:sz w:val="20"/>
                <w:szCs w:val="20"/>
                <w:lang w:val="es-ES" w:eastAsia="en-GB"/>
              </w:rPr>
              <w:t>Comunicaciones, traducci</w:t>
            </w:r>
            <w:r w:rsidR="00613686" w:rsidRPr="002E77B8">
              <w:rPr>
                <w:rFonts w:cs="Arial"/>
                <w:sz w:val="20"/>
                <w:szCs w:val="20"/>
                <w:lang w:val="es-ES" w:eastAsia="en-GB"/>
              </w:rPr>
              <w:t>ones</w:t>
            </w:r>
            <w:r w:rsidRPr="002E77B8">
              <w:rPr>
                <w:rFonts w:cs="Arial"/>
                <w:sz w:val="20"/>
                <w:szCs w:val="20"/>
                <w:lang w:val="es-ES" w:eastAsia="en-GB"/>
              </w:rPr>
              <w:t>, publicaciones e informes sobre la aplicación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66EC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6724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B035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100</w:t>
            </w:r>
          </w:p>
        </w:tc>
      </w:tr>
      <w:tr w:rsidR="001C18B4" w:rsidRPr="002E77B8" w14:paraId="76959751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1426" w14:textId="42B5207A" w:rsidR="001C18B4" w:rsidRPr="002E77B8" w:rsidRDefault="001C18B4" w:rsidP="001C18B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cs="Arial"/>
                <w:sz w:val="20"/>
                <w:szCs w:val="20"/>
                <w:lang w:val="es-ES" w:eastAsia="en-GB"/>
              </w:rPr>
              <w:t>Apoyo y desarrollo del sitio web/</w:t>
            </w:r>
            <w:r w:rsidR="00613686" w:rsidRPr="002E77B8">
              <w:rPr>
                <w:rFonts w:cs="Arial"/>
                <w:sz w:val="20"/>
                <w:szCs w:val="20"/>
                <w:lang w:val="es-ES" w:eastAsia="en-GB"/>
              </w:rPr>
              <w:t>servicios informáticos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BFFB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F9A5" w14:textId="77777777" w:rsidR="001C18B4" w:rsidRPr="002E77B8" w:rsidRDefault="001C18B4" w:rsidP="001C18B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F359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56</w:t>
            </w:r>
          </w:p>
        </w:tc>
      </w:tr>
      <w:tr w:rsidR="00C860F4" w:rsidRPr="002E77B8" w14:paraId="62009E5D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E42D" w14:textId="70AA66AB" w:rsidR="00570025" w:rsidRPr="002E77B8" w:rsidRDefault="00296F5B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Viajes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85F6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129E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38F4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15</w:t>
            </w:r>
          </w:p>
        </w:tc>
      </w:tr>
      <w:tr w:rsidR="001C18B4" w:rsidRPr="002E77B8" w14:paraId="40F25BF9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CC838B1" w14:textId="71EA54AC" w:rsidR="001C18B4" w:rsidRPr="002E77B8" w:rsidRDefault="001C18B4" w:rsidP="001C18B4">
            <w:pPr>
              <w:widowControl/>
              <w:autoSpaceDE/>
              <w:autoSpaceDN/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rFonts w:cs="Arial"/>
                <w:b/>
                <w:bCs/>
                <w:sz w:val="20"/>
                <w:szCs w:val="20"/>
                <w:lang w:val="es-ES" w:eastAsia="en-GB"/>
              </w:rPr>
              <w:t xml:space="preserve">C. Asesoramiento y apoyo regionales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833AF26" w14:textId="11E12309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1 237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1D31E45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B3D1243" w14:textId="63ACDC4A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1 247</w:t>
            </w:r>
          </w:p>
        </w:tc>
      </w:tr>
      <w:tr w:rsidR="00C860F4" w:rsidRPr="002E77B8" w14:paraId="5EE83B53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2BCF" w14:textId="293AAD91" w:rsidR="00570025" w:rsidRPr="002E77B8" w:rsidRDefault="00296F5B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Salarios, gastos sociales y otras prestaciones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818F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1,170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313A" w14:textId="77777777" w:rsidR="00570025" w:rsidRPr="002E77B8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5597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1,170</w:t>
            </w:r>
          </w:p>
        </w:tc>
      </w:tr>
      <w:tr w:rsidR="00C860F4" w:rsidRPr="002E77B8" w14:paraId="363AA936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C535" w14:textId="1163D30B" w:rsidR="00570025" w:rsidRPr="002E77B8" w:rsidRDefault="00296F5B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Viajes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44DE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BE7C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599C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77</w:t>
            </w:r>
          </w:p>
        </w:tc>
      </w:tr>
      <w:tr w:rsidR="001C18B4" w:rsidRPr="002E77B8" w14:paraId="6204AA57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37A59E8" w14:textId="62BE1B80" w:rsidR="001C18B4" w:rsidRPr="002E77B8" w:rsidRDefault="001C18B4" w:rsidP="001C18B4">
            <w:pPr>
              <w:widowControl/>
              <w:autoSpaceDE/>
              <w:autoSpaceDN/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rFonts w:cs="Arial"/>
                <w:b/>
                <w:bCs/>
                <w:color w:val="000000"/>
                <w:sz w:val="20"/>
                <w:szCs w:val="20"/>
                <w:lang w:val="es-ES" w:eastAsia="en-GB"/>
              </w:rPr>
              <w:t>D. Apoyo a las iniciativas regionales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7D7D23B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DA8D6B4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141BD36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100</w:t>
            </w:r>
          </w:p>
        </w:tc>
      </w:tr>
      <w:tr w:rsidR="001C18B4" w:rsidRPr="002E77B8" w14:paraId="2242477D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B0C2" w14:textId="1E41E8D8" w:rsidR="001C18B4" w:rsidRPr="002E77B8" w:rsidRDefault="001C18B4" w:rsidP="001C18B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cs="Arial"/>
                <w:sz w:val="20"/>
                <w:szCs w:val="20"/>
                <w:lang w:val="es-ES" w:eastAsia="en-GB"/>
              </w:rPr>
              <w:t xml:space="preserve">Redes y centros regionales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490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12DF" w14:textId="77777777" w:rsidR="001C18B4" w:rsidRPr="002E77B8" w:rsidRDefault="001C18B4" w:rsidP="001C18B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D571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100</w:t>
            </w:r>
          </w:p>
        </w:tc>
      </w:tr>
      <w:tr w:rsidR="001C18B4" w:rsidRPr="002E77B8" w14:paraId="4B65F7BC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3BD4E90" w14:textId="0F5838A5" w:rsidR="001C18B4" w:rsidRPr="002E77B8" w:rsidRDefault="001C18B4" w:rsidP="001C18B4">
            <w:pPr>
              <w:widowControl/>
              <w:autoSpaceDE/>
              <w:autoSpaceDN/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rFonts w:cs="Arial"/>
                <w:b/>
                <w:bCs/>
                <w:color w:val="000000"/>
                <w:sz w:val="20"/>
                <w:szCs w:val="20"/>
                <w:lang w:val="es-ES" w:eastAsia="en-GB"/>
              </w:rPr>
              <w:t xml:space="preserve">E. Ciencia y </w:t>
            </w:r>
            <w:r w:rsidR="00613686" w:rsidRPr="002E77B8">
              <w:rPr>
                <w:rFonts w:cs="Arial"/>
                <w:b/>
                <w:bCs/>
                <w:color w:val="000000"/>
                <w:sz w:val="20"/>
                <w:szCs w:val="20"/>
                <w:lang w:val="es-ES" w:eastAsia="en-GB"/>
              </w:rPr>
              <w:t>p</w:t>
            </w:r>
            <w:r w:rsidRPr="002E77B8">
              <w:rPr>
                <w:rFonts w:cs="Arial"/>
                <w:b/>
                <w:bCs/>
                <w:color w:val="000000"/>
                <w:sz w:val="20"/>
                <w:szCs w:val="20"/>
                <w:lang w:val="es-ES" w:eastAsia="en-GB"/>
              </w:rPr>
              <w:t>olíticas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07BE771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C6AC0ED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6782D13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844</w:t>
            </w:r>
          </w:p>
        </w:tc>
      </w:tr>
      <w:tr w:rsidR="00C860F4" w:rsidRPr="002E77B8" w14:paraId="51F093E2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CC3A" w14:textId="5803C5B5" w:rsidR="00570025" w:rsidRPr="002E77B8" w:rsidRDefault="00296F5B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Salarios, gastos sociales y otras prestaciones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9A3F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402D" w14:textId="77777777" w:rsidR="00570025" w:rsidRPr="002E77B8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B74A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651</w:t>
            </w:r>
          </w:p>
        </w:tc>
      </w:tr>
      <w:tr w:rsidR="00C860F4" w:rsidRPr="002E77B8" w14:paraId="15867880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24A3" w14:textId="62DC6104" w:rsidR="00570025" w:rsidRPr="002E77B8" w:rsidRDefault="001C18B4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Trabajo del GECT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4B66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34CA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EDB7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40</w:t>
            </w:r>
          </w:p>
        </w:tc>
      </w:tr>
      <w:tr w:rsidR="001C18B4" w:rsidRPr="002E77B8" w14:paraId="1AB63C8F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7301" w14:textId="537D4F5A" w:rsidR="001C18B4" w:rsidRPr="002E77B8" w:rsidRDefault="001C18B4" w:rsidP="001C18B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cs="Arial"/>
                <w:sz w:val="20"/>
                <w:szCs w:val="20"/>
                <w:lang w:val="es-ES" w:eastAsia="en-GB"/>
              </w:rPr>
              <w:t>Viajes de la Presidencia del GECT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E984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6C54" w14:textId="77777777" w:rsidR="001C18B4" w:rsidRPr="002E77B8" w:rsidRDefault="001C18B4" w:rsidP="001C18B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CAA0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</w:t>
            </w:r>
          </w:p>
        </w:tc>
      </w:tr>
      <w:tr w:rsidR="001C18B4" w:rsidRPr="002E77B8" w14:paraId="2FB64E71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0B05" w14:textId="7EBDEC36" w:rsidR="001C18B4" w:rsidRPr="002E77B8" w:rsidRDefault="001C18B4" w:rsidP="001C18B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cs="Arial"/>
                <w:sz w:val="20"/>
                <w:szCs w:val="20"/>
                <w:lang w:val="es-ES" w:eastAsia="en-GB"/>
              </w:rPr>
              <w:t>Reuniones del GECT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AD2F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D344" w14:textId="77777777" w:rsidR="001C18B4" w:rsidRPr="002E77B8" w:rsidRDefault="001C18B4" w:rsidP="001C18B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C6D2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50</w:t>
            </w:r>
          </w:p>
        </w:tc>
      </w:tr>
      <w:tr w:rsidR="001C18B4" w:rsidRPr="002E77B8" w14:paraId="5BE77AAF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0AF5" w14:textId="6AA54120" w:rsidR="001C18B4" w:rsidRPr="002E77B8" w:rsidRDefault="001C18B4" w:rsidP="001C18B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cs="Arial"/>
                <w:sz w:val="20"/>
                <w:szCs w:val="20"/>
                <w:lang w:val="es-ES" w:eastAsia="en-GB"/>
              </w:rPr>
              <w:t>Servicio de información sobre sitios Ramsar (mantenimiento y desarrollo)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44E7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1AFA" w14:textId="77777777" w:rsidR="001C18B4" w:rsidRPr="002E77B8" w:rsidRDefault="001C18B4" w:rsidP="001C18B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A01F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80</w:t>
            </w:r>
          </w:p>
        </w:tc>
      </w:tr>
      <w:tr w:rsidR="00C860F4" w:rsidRPr="002E77B8" w14:paraId="572A538B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78F8" w14:textId="5190F762" w:rsidR="00570025" w:rsidRPr="002E77B8" w:rsidRDefault="00296F5B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Viajes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A36D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6491" w14:textId="77777777" w:rsidR="00570025" w:rsidRPr="002E77B8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CB98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18</w:t>
            </w:r>
          </w:p>
        </w:tc>
      </w:tr>
      <w:tr w:rsidR="00C860F4" w:rsidRPr="002E77B8" w14:paraId="0C9E4185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DD3E6B9" w14:textId="3F09EC99" w:rsidR="00570025" w:rsidRPr="002E77B8" w:rsidRDefault="00570025" w:rsidP="00570025">
            <w:pPr>
              <w:widowControl/>
              <w:autoSpaceDE/>
              <w:autoSpaceDN/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G.  Administra</w:t>
            </w:r>
            <w:r w:rsidR="001C18B4" w:rsidRPr="002E77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546F7EA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EA18208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5064552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492</w:t>
            </w:r>
          </w:p>
        </w:tc>
      </w:tr>
      <w:tr w:rsidR="00C860F4" w:rsidRPr="002E77B8" w14:paraId="0C3CB556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3FFE" w14:textId="486FBF16" w:rsidR="00570025" w:rsidRPr="002E77B8" w:rsidRDefault="00296F5B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Salarios, gastos sociales y otras prestaciones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C15A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5783" w14:textId="77777777" w:rsidR="00570025" w:rsidRPr="002E77B8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10D0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337</w:t>
            </w:r>
          </w:p>
        </w:tc>
      </w:tr>
      <w:tr w:rsidR="001C18B4" w:rsidRPr="002E77B8" w14:paraId="066F4D68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5972" w14:textId="74B542B6" w:rsidR="001C18B4" w:rsidRPr="002E77B8" w:rsidRDefault="001C18B4" w:rsidP="001C18B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cs="Arial"/>
                <w:sz w:val="20"/>
                <w:szCs w:val="20"/>
                <w:lang w:val="es-ES" w:eastAsia="en-GB"/>
              </w:rPr>
              <w:t>Costos de contratación y separación del personal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1C8B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C7D4" w14:textId="77777777" w:rsidR="001C18B4" w:rsidRPr="002E77B8" w:rsidRDefault="001C18B4" w:rsidP="001C18B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E6DC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49</w:t>
            </w:r>
          </w:p>
        </w:tc>
      </w:tr>
      <w:tr w:rsidR="00C860F4" w:rsidRPr="002E77B8" w14:paraId="6C76C874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4D32" w14:textId="5B98D0D5" w:rsidR="00570025" w:rsidRPr="002E77B8" w:rsidRDefault="001C18B4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lastRenderedPageBreak/>
              <w:t>Viajes del personal de la Secretaría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5CC4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B0BB" w14:textId="77777777" w:rsidR="00570025" w:rsidRPr="002E77B8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D47D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0</w:t>
            </w:r>
          </w:p>
        </w:tc>
      </w:tr>
      <w:tr w:rsidR="001C18B4" w:rsidRPr="002E77B8" w14:paraId="7EC8A3F5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EC86" w14:textId="7E668F84" w:rsidR="001C18B4" w:rsidRPr="002E77B8" w:rsidRDefault="001C18B4" w:rsidP="001C18B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="Arial"/>
                <w:sz w:val="20"/>
                <w:szCs w:val="20"/>
                <w:lang w:val="es-ES" w:eastAsia="en-GB"/>
              </w:rPr>
              <w:t>Equipo/</w:t>
            </w:r>
            <w:r w:rsidR="00613686" w:rsidRPr="002E77B8">
              <w:rPr>
                <w:rFonts w:asciiTheme="minorHAnsi" w:hAnsiTheme="minorHAnsi" w:cs="Arial"/>
                <w:sz w:val="20"/>
                <w:szCs w:val="20"/>
                <w:lang w:val="es-ES" w:eastAsia="en-GB"/>
              </w:rPr>
              <w:t>material d</w:t>
            </w:r>
            <w:r w:rsidRPr="002E77B8">
              <w:rPr>
                <w:rFonts w:asciiTheme="minorHAnsi" w:hAnsiTheme="minorHAnsi" w:cs="Arial"/>
                <w:sz w:val="20"/>
                <w:szCs w:val="20"/>
                <w:lang w:val="es-ES" w:eastAsia="en-GB"/>
              </w:rPr>
              <w:t>e oficina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9731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E35A" w14:textId="77777777" w:rsidR="001C18B4" w:rsidRPr="002E77B8" w:rsidRDefault="001C18B4" w:rsidP="001C18B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E882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95</w:t>
            </w:r>
          </w:p>
        </w:tc>
      </w:tr>
      <w:tr w:rsidR="001C18B4" w:rsidRPr="002E77B8" w14:paraId="1FEF769A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DB06" w14:textId="52B3F407" w:rsidR="001C18B4" w:rsidRPr="002E77B8" w:rsidRDefault="001C18B4" w:rsidP="001C18B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cs="Arial"/>
                <w:sz w:val="20"/>
                <w:szCs w:val="20"/>
                <w:lang w:val="es-ES" w:eastAsia="en-GB"/>
              </w:rPr>
              <w:t xml:space="preserve">Planificación y </w:t>
            </w:r>
            <w:r w:rsidR="00613686" w:rsidRPr="002E77B8">
              <w:rPr>
                <w:rFonts w:cs="Arial"/>
                <w:sz w:val="20"/>
                <w:szCs w:val="20"/>
                <w:lang w:val="es-ES" w:eastAsia="en-GB"/>
              </w:rPr>
              <w:t>creación de capacidad</w:t>
            </w:r>
            <w:r w:rsidRPr="002E77B8">
              <w:rPr>
                <w:rFonts w:cs="Arial"/>
                <w:sz w:val="20"/>
                <w:szCs w:val="20"/>
                <w:lang w:val="es-ES" w:eastAsia="en-GB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5A1C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B16C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607C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11</w:t>
            </w:r>
          </w:p>
        </w:tc>
      </w:tr>
      <w:tr w:rsidR="001C18B4" w:rsidRPr="002E77B8" w14:paraId="57780CF0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0A5A7AB" w14:textId="1D628C85" w:rsidR="001C18B4" w:rsidRPr="002E77B8" w:rsidRDefault="001C18B4" w:rsidP="001C18B4">
            <w:pPr>
              <w:widowControl/>
              <w:autoSpaceDE/>
              <w:autoSpaceDN/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="Arial"/>
                <w:b/>
                <w:bCs/>
                <w:sz w:val="20"/>
                <w:szCs w:val="20"/>
                <w:lang w:val="es-ES" w:eastAsia="en-GB"/>
              </w:rPr>
              <w:t xml:space="preserve">H. </w:t>
            </w:r>
            <w:r w:rsidRPr="002E77B8">
              <w:rPr>
                <w:rFonts w:cs="Arial"/>
                <w:b/>
                <w:bCs/>
                <w:sz w:val="20"/>
                <w:szCs w:val="20"/>
                <w:lang w:val="es-ES" w:eastAsia="en-GB"/>
              </w:rPr>
              <w:t xml:space="preserve">Servicios </w:t>
            </w:r>
            <w:r w:rsidR="00613686" w:rsidRPr="002E77B8">
              <w:rPr>
                <w:rFonts w:cs="Arial"/>
                <w:b/>
                <w:bCs/>
                <w:sz w:val="20"/>
                <w:szCs w:val="20"/>
                <w:lang w:val="es-ES" w:eastAsia="en-GB"/>
              </w:rPr>
              <w:t>para el</w:t>
            </w:r>
            <w:r w:rsidRPr="002E77B8">
              <w:rPr>
                <w:rFonts w:cs="Arial"/>
                <w:b/>
                <w:bCs/>
                <w:sz w:val="20"/>
                <w:szCs w:val="20"/>
                <w:lang w:val="es-ES" w:eastAsia="en-GB"/>
              </w:rPr>
              <w:t xml:space="preserve"> Comité Permanente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E1E2E07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6D89364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D9B3CCB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150</w:t>
            </w:r>
          </w:p>
        </w:tc>
      </w:tr>
      <w:tr w:rsidR="001C18B4" w:rsidRPr="002E77B8" w14:paraId="05A3F06B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412F" w14:textId="7557B80F" w:rsidR="001C18B4" w:rsidRPr="002E77B8" w:rsidRDefault="001C18B4" w:rsidP="001C18B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cs="Arial"/>
                <w:sz w:val="20"/>
                <w:szCs w:val="20"/>
                <w:lang w:val="es-ES" w:eastAsia="en-GB"/>
              </w:rPr>
              <w:t>Apoyo a los delegados del Comité Permanente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746C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56F6" w14:textId="77777777" w:rsidR="001C18B4" w:rsidRPr="002E77B8" w:rsidRDefault="001C18B4" w:rsidP="001C18B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DB6E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45</w:t>
            </w:r>
          </w:p>
        </w:tc>
      </w:tr>
      <w:tr w:rsidR="001C18B4" w:rsidRPr="002E77B8" w14:paraId="585DD549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EA18" w14:textId="34242EF5" w:rsidR="001C18B4" w:rsidRPr="002E77B8" w:rsidRDefault="001C18B4" w:rsidP="001C18B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cs="Arial"/>
                <w:sz w:val="20"/>
                <w:szCs w:val="20"/>
                <w:lang w:val="es-ES" w:eastAsia="en-GB"/>
              </w:rPr>
              <w:t>Reuniones del Comité Permanente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A7E2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6B09" w14:textId="77777777" w:rsidR="001C18B4" w:rsidRPr="002E77B8" w:rsidRDefault="001C18B4" w:rsidP="001C18B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FB41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</w:t>
            </w:r>
          </w:p>
        </w:tc>
      </w:tr>
      <w:tr w:rsidR="001C18B4" w:rsidRPr="002E77B8" w14:paraId="5FD99DDE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4835" w14:textId="74C27E90" w:rsidR="001C18B4" w:rsidRPr="002E77B8" w:rsidRDefault="001C18B4" w:rsidP="001C18B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cs="Arial"/>
                <w:sz w:val="20"/>
                <w:szCs w:val="20"/>
                <w:lang w:val="es-ES" w:eastAsia="en-GB"/>
              </w:rPr>
              <w:t>Traducción para las reuniones del Comité Permanente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E84E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C403" w14:textId="77777777" w:rsidR="001C18B4" w:rsidRPr="002E77B8" w:rsidRDefault="001C18B4" w:rsidP="001C18B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9277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60</w:t>
            </w:r>
          </w:p>
        </w:tc>
      </w:tr>
      <w:tr w:rsidR="001C18B4" w:rsidRPr="002E77B8" w14:paraId="3110A3A2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4828" w14:textId="154A000F" w:rsidR="001C18B4" w:rsidRPr="002E77B8" w:rsidRDefault="001C18B4" w:rsidP="001C18B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cs="Arial"/>
                <w:sz w:val="20"/>
                <w:szCs w:val="20"/>
                <w:lang w:val="es-ES" w:eastAsia="en-GB"/>
              </w:rPr>
              <w:t>Interpretación simultánea en las reuniones del Comité Permanente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FFB2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2F5A" w14:textId="77777777" w:rsidR="001C18B4" w:rsidRPr="002E77B8" w:rsidRDefault="001C18B4" w:rsidP="001C18B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4172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35</w:t>
            </w:r>
          </w:p>
        </w:tc>
      </w:tr>
      <w:tr w:rsidR="001C18B4" w:rsidRPr="002E77B8" w14:paraId="755F5A45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66259F0" w14:textId="5CDEE89B" w:rsidR="001C18B4" w:rsidRPr="002E77B8" w:rsidRDefault="001C18B4" w:rsidP="001C18B4">
            <w:pPr>
              <w:widowControl/>
              <w:autoSpaceDE/>
              <w:autoSpaceDN/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rFonts w:cs="Arial"/>
                <w:b/>
                <w:bCs/>
                <w:sz w:val="20"/>
                <w:szCs w:val="20"/>
                <w:lang w:val="es-ES" w:eastAsia="en-GB"/>
              </w:rPr>
              <w:t>I. Gastos por servicios administrativos de la UICN (máximo)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6212F17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2187C92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06FA024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541</w:t>
            </w:r>
          </w:p>
        </w:tc>
      </w:tr>
      <w:tr w:rsidR="001C18B4" w:rsidRPr="002E77B8" w14:paraId="3651345D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F70F" w14:textId="62E3F857" w:rsidR="001C18B4" w:rsidRPr="002E77B8" w:rsidRDefault="001C18B4" w:rsidP="001C18B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cs="Arial"/>
                <w:sz w:val="20"/>
                <w:szCs w:val="20"/>
                <w:lang w:val="es-ES" w:eastAsia="en-GB"/>
              </w:rPr>
              <w:t>Administración, RR.HH., finanzas y servicios</w:t>
            </w:r>
            <w:r w:rsidR="00613686" w:rsidRPr="002E77B8">
              <w:rPr>
                <w:rFonts w:cs="Arial"/>
                <w:sz w:val="20"/>
                <w:szCs w:val="20"/>
                <w:lang w:val="es-ES" w:eastAsia="en-GB"/>
              </w:rPr>
              <w:t xml:space="preserve"> informáticos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ED2B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419F" w14:textId="77777777" w:rsidR="001C18B4" w:rsidRPr="002E77B8" w:rsidRDefault="001C18B4" w:rsidP="001C18B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30AE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541</w:t>
            </w:r>
          </w:p>
        </w:tc>
      </w:tr>
      <w:tr w:rsidR="001C18B4" w:rsidRPr="002E77B8" w14:paraId="61F2BBD7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452B39E" w14:textId="150BCB5C" w:rsidR="001C18B4" w:rsidRPr="002E77B8" w:rsidRDefault="001C18B4" w:rsidP="001C18B4">
            <w:pPr>
              <w:widowControl/>
              <w:autoSpaceDE/>
              <w:autoSpaceDN/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2E77B8">
              <w:rPr>
                <w:rFonts w:cs="Arial"/>
                <w:b/>
                <w:bCs/>
                <w:sz w:val="20"/>
                <w:szCs w:val="20"/>
                <w:lang w:val="es-ES" w:eastAsia="en-GB"/>
              </w:rPr>
              <w:t>J. Varios – Fondo de reserva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3C19A73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54F16C0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628AFF3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229</w:t>
            </w:r>
          </w:p>
        </w:tc>
      </w:tr>
      <w:tr w:rsidR="001C18B4" w:rsidRPr="002E77B8" w14:paraId="442401E9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1AA5" w14:textId="59111572" w:rsidR="001C18B4" w:rsidRPr="002E77B8" w:rsidRDefault="001C18B4" w:rsidP="001C18B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cs="Arial"/>
                <w:sz w:val="20"/>
                <w:szCs w:val="20"/>
                <w:lang w:val="es-ES" w:eastAsia="en-GB"/>
              </w:rPr>
              <w:t xml:space="preserve">Provisiones </w:t>
            </w:r>
            <w:r w:rsidR="00613686" w:rsidRPr="002E77B8">
              <w:rPr>
                <w:rFonts w:cs="Arial"/>
                <w:sz w:val="20"/>
                <w:szCs w:val="20"/>
                <w:lang w:val="es-ES" w:eastAsia="en-GB"/>
              </w:rPr>
              <w:t>correspondientes al</w:t>
            </w:r>
            <w:r w:rsidRPr="002E77B8">
              <w:rPr>
                <w:rFonts w:cs="Arial"/>
                <w:sz w:val="20"/>
                <w:szCs w:val="20"/>
                <w:lang w:val="es-ES" w:eastAsia="en-GB"/>
              </w:rPr>
              <w:t xml:space="preserve"> personal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093A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D560" w14:textId="77777777" w:rsidR="001C18B4" w:rsidRPr="002E77B8" w:rsidRDefault="001C18B4" w:rsidP="001C18B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C5E1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20</w:t>
            </w:r>
          </w:p>
        </w:tc>
      </w:tr>
      <w:tr w:rsidR="001C18B4" w:rsidRPr="002E77B8" w14:paraId="42A2B4D0" w14:textId="77777777" w:rsidTr="001C18B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11D3" w14:textId="09F25481" w:rsidR="001C18B4" w:rsidRPr="002E77B8" w:rsidRDefault="001C18B4" w:rsidP="001C18B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cs="Arial"/>
                <w:sz w:val="20"/>
                <w:szCs w:val="20"/>
                <w:lang w:val="es-ES" w:eastAsia="en-GB"/>
              </w:rPr>
              <w:t xml:space="preserve">Provisiones </w:t>
            </w:r>
            <w:r w:rsidR="00613686" w:rsidRPr="002E77B8">
              <w:rPr>
                <w:rFonts w:cs="Arial"/>
                <w:sz w:val="20"/>
                <w:szCs w:val="20"/>
                <w:lang w:val="es-ES" w:eastAsia="en-GB"/>
              </w:rPr>
              <w:t>correspondientes a las</w:t>
            </w:r>
            <w:r w:rsidRPr="002E77B8">
              <w:rPr>
                <w:rFonts w:cs="Arial"/>
                <w:sz w:val="20"/>
                <w:szCs w:val="20"/>
                <w:lang w:val="es-ES" w:eastAsia="en-GB"/>
              </w:rPr>
              <w:t xml:space="preserve"> contribuciones pendientes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9EBF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F016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48A4" w14:textId="77777777" w:rsidR="001C18B4" w:rsidRPr="002E77B8" w:rsidRDefault="001C18B4" w:rsidP="001C18B4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150</w:t>
            </w:r>
          </w:p>
        </w:tc>
      </w:tr>
      <w:tr w:rsidR="00C860F4" w:rsidRPr="002E77B8" w14:paraId="1682E162" w14:textId="77777777" w:rsidTr="001C18B4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6581" w14:textId="3FFB80A7" w:rsidR="00570025" w:rsidRPr="002E77B8" w:rsidRDefault="001C18B4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Servicios jurídicos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ECD1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D795" w14:textId="77777777" w:rsidR="00570025" w:rsidRPr="002E77B8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37CF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59</w:t>
            </w:r>
          </w:p>
        </w:tc>
      </w:tr>
      <w:tr w:rsidR="00570025" w:rsidRPr="002E77B8" w14:paraId="4090C52B" w14:textId="77777777" w:rsidTr="001C18B4">
        <w:trPr>
          <w:trHeight w:val="4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0D36A2" w14:textId="20130E99" w:rsidR="00570025" w:rsidRPr="002E77B8" w:rsidRDefault="00570025" w:rsidP="00570025">
            <w:pPr>
              <w:widowControl/>
              <w:autoSpaceDE/>
              <w:autoSpaceDN/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es-ES" w:eastAsia="en-GB"/>
              </w:rPr>
              <w:t>TOTAL</w:t>
            </w:r>
            <w:r w:rsidR="001C18B4" w:rsidRPr="002E77B8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es-ES" w:eastAsia="en-GB"/>
              </w:rPr>
              <w:t>, GASTOS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F5AA03" w14:textId="06D8C8C9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</w:t>
            </w:r>
            <w:r w:rsidR="001C18B4"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r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081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8801AA" w14:textId="77777777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6B4C905" w14:textId="7A55192F" w:rsidR="00570025" w:rsidRPr="002E77B8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</w:t>
            </w:r>
            <w:r w:rsidR="001C18B4"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r w:rsidRPr="002E77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277</w:t>
            </w:r>
          </w:p>
        </w:tc>
      </w:tr>
    </w:tbl>
    <w:p w14:paraId="1CD8D30A" w14:textId="77777777" w:rsidR="00570025" w:rsidRPr="002E77B8" w:rsidRDefault="00570025" w:rsidP="008E5200">
      <w:pPr>
        <w:widowControl/>
        <w:rPr>
          <w:rFonts w:asciiTheme="minorHAnsi" w:hAnsiTheme="minorHAnsi" w:cstheme="minorHAnsi"/>
          <w:lang w:val="es-ES"/>
        </w:rPr>
      </w:pPr>
    </w:p>
    <w:sectPr w:rsidR="00570025" w:rsidRPr="002E77B8" w:rsidSect="00570025"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E54C4" w14:textId="77777777" w:rsidR="0036588F" w:rsidRDefault="0036588F" w:rsidP="00A50555">
      <w:r>
        <w:separator/>
      </w:r>
    </w:p>
    <w:p w14:paraId="5D86C7E8" w14:textId="77777777" w:rsidR="0036588F" w:rsidRDefault="0036588F"/>
  </w:endnote>
  <w:endnote w:type="continuationSeparator" w:id="0">
    <w:p w14:paraId="764713A7" w14:textId="77777777" w:rsidR="0036588F" w:rsidRDefault="0036588F" w:rsidP="00A50555">
      <w:r>
        <w:continuationSeparator/>
      </w:r>
    </w:p>
    <w:p w14:paraId="1FC9F238" w14:textId="77777777" w:rsidR="0036588F" w:rsidRDefault="003658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9F0E1" w14:textId="77777777" w:rsidR="0010559E" w:rsidRDefault="0010559E">
    <w:pPr>
      <w:pStyle w:val="Footer"/>
    </w:pPr>
  </w:p>
  <w:p w14:paraId="02A05E88" w14:textId="77777777" w:rsidR="0010559E" w:rsidRDefault="001055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550AC" w14:textId="590A28C7" w:rsidR="0010559E" w:rsidRPr="002E77B8" w:rsidRDefault="00EB4A6B" w:rsidP="00716F44">
    <w:pPr>
      <w:pStyle w:val="Footer"/>
      <w:rPr>
        <w:lang w:val="es-ES"/>
      </w:rPr>
    </w:pPr>
    <w:r w:rsidRPr="002E77B8">
      <w:rPr>
        <w:sz w:val="20"/>
        <w:szCs w:val="20"/>
        <w:lang w:val="es-ES"/>
      </w:rPr>
      <w:t xml:space="preserve">2ª Parte – Informe de la reunión del Subgrupo de Finanzas, 24 de junio de </w:t>
    </w:r>
    <w:r w:rsidR="0010559E" w:rsidRPr="002E77B8">
      <w:rPr>
        <w:sz w:val="20"/>
        <w:szCs w:val="20"/>
        <w:lang w:val="es-ES"/>
      </w:rPr>
      <w:t>2021</w:t>
    </w:r>
    <w:r w:rsidR="0010559E" w:rsidRPr="002E77B8">
      <w:rPr>
        <w:sz w:val="20"/>
        <w:szCs w:val="20"/>
        <w:lang w:val="es-ES"/>
      </w:rPr>
      <w:tab/>
    </w:r>
    <w:r w:rsidR="0010559E" w:rsidRPr="002E77B8">
      <w:rPr>
        <w:sz w:val="20"/>
        <w:szCs w:val="20"/>
        <w:lang w:val="es-ES"/>
      </w:rPr>
      <w:fldChar w:fldCharType="begin"/>
    </w:r>
    <w:r w:rsidR="0010559E" w:rsidRPr="002E77B8">
      <w:rPr>
        <w:sz w:val="20"/>
        <w:szCs w:val="20"/>
        <w:lang w:val="es-ES"/>
      </w:rPr>
      <w:instrText xml:space="preserve"> PAGE   \* MERGEFORMAT </w:instrText>
    </w:r>
    <w:r w:rsidR="0010559E" w:rsidRPr="002E77B8">
      <w:rPr>
        <w:sz w:val="20"/>
        <w:szCs w:val="20"/>
        <w:lang w:val="es-ES"/>
      </w:rPr>
      <w:fldChar w:fldCharType="separate"/>
    </w:r>
    <w:r w:rsidR="00C15013">
      <w:rPr>
        <w:noProof/>
        <w:sz w:val="20"/>
        <w:szCs w:val="20"/>
        <w:lang w:val="es-ES"/>
      </w:rPr>
      <w:t>3</w:t>
    </w:r>
    <w:r w:rsidR="0010559E" w:rsidRPr="002E77B8">
      <w:rPr>
        <w:noProof/>
        <w:sz w:val="20"/>
        <w:szCs w:val="20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E6735" w14:textId="59BA7129" w:rsidR="0010559E" w:rsidRPr="00C15013" w:rsidRDefault="002E77B8" w:rsidP="00C860F4">
    <w:pPr>
      <w:pStyle w:val="Footer"/>
      <w:tabs>
        <w:tab w:val="clear" w:pos="9026"/>
        <w:tab w:val="right" w:pos="13892"/>
      </w:tabs>
      <w:rPr>
        <w:lang w:val="fr-FR"/>
      </w:rPr>
    </w:pPr>
    <w:r w:rsidRPr="00C15013">
      <w:rPr>
        <w:sz w:val="20"/>
        <w:szCs w:val="20"/>
        <w:lang w:val="fr-FR"/>
      </w:rPr>
      <w:t>2ª Parte – Informe de la reunión del Subgrupo de Finanzas, 24 de junio de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D8CE6" w14:textId="1B28E11D" w:rsidR="0010559E" w:rsidRPr="00C15013" w:rsidRDefault="002E77B8" w:rsidP="002E77B8">
    <w:pPr>
      <w:pStyle w:val="Footer"/>
      <w:tabs>
        <w:tab w:val="clear" w:pos="9026"/>
        <w:tab w:val="right" w:pos="13892"/>
      </w:tabs>
      <w:rPr>
        <w:lang w:val="fr-FR"/>
      </w:rPr>
    </w:pPr>
    <w:r w:rsidRPr="00C15013">
      <w:rPr>
        <w:sz w:val="20"/>
        <w:szCs w:val="20"/>
        <w:lang w:val="fr-FR"/>
      </w:rPr>
      <w:t>2ª Parte – Informe de la reunión del Subgrupo de Finanzas, 24 de junio de 2021</w:t>
    </w:r>
    <w:r w:rsidR="0010559E" w:rsidRPr="00C15013">
      <w:rPr>
        <w:sz w:val="20"/>
        <w:szCs w:val="20"/>
        <w:lang w:val="fr-FR"/>
      </w:rPr>
      <w:tab/>
    </w:r>
    <w:r w:rsidR="0010559E" w:rsidRPr="00816086">
      <w:rPr>
        <w:sz w:val="20"/>
        <w:szCs w:val="20"/>
        <w:lang w:val="en-GB"/>
      </w:rPr>
      <w:fldChar w:fldCharType="begin"/>
    </w:r>
    <w:r w:rsidR="0010559E" w:rsidRPr="00C15013">
      <w:rPr>
        <w:sz w:val="20"/>
        <w:szCs w:val="20"/>
        <w:lang w:val="fr-FR"/>
      </w:rPr>
      <w:instrText xml:space="preserve"> PAGE   \* MERGEFORMAT </w:instrText>
    </w:r>
    <w:r w:rsidR="0010559E" w:rsidRPr="00816086">
      <w:rPr>
        <w:sz w:val="20"/>
        <w:szCs w:val="20"/>
        <w:lang w:val="en-GB"/>
      </w:rPr>
      <w:fldChar w:fldCharType="separate"/>
    </w:r>
    <w:r w:rsidR="00C15013">
      <w:rPr>
        <w:noProof/>
        <w:sz w:val="20"/>
        <w:szCs w:val="20"/>
        <w:lang w:val="fr-FR"/>
      </w:rPr>
      <w:t>8</w:t>
    </w:r>
    <w:r w:rsidR="0010559E" w:rsidRPr="00816086">
      <w:rPr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A686F" w14:textId="77777777" w:rsidR="0036588F" w:rsidRDefault="0036588F" w:rsidP="00A50555">
      <w:r>
        <w:separator/>
      </w:r>
    </w:p>
    <w:p w14:paraId="4D052105" w14:textId="77777777" w:rsidR="0036588F" w:rsidRDefault="0036588F"/>
  </w:footnote>
  <w:footnote w:type="continuationSeparator" w:id="0">
    <w:p w14:paraId="58A01521" w14:textId="77777777" w:rsidR="0036588F" w:rsidRDefault="0036588F" w:rsidP="00A50555">
      <w:r>
        <w:continuationSeparator/>
      </w:r>
    </w:p>
    <w:p w14:paraId="10577154" w14:textId="77777777" w:rsidR="0036588F" w:rsidRDefault="003658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D9AD6" w14:textId="77777777" w:rsidR="0010559E" w:rsidRDefault="0010559E">
    <w:pPr>
      <w:pStyle w:val="Header"/>
    </w:pPr>
  </w:p>
  <w:p w14:paraId="75D6FB9F" w14:textId="77777777" w:rsidR="0010559E" w:rsidRDefault="001055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2E81"/>
    <w:multiLevelType w:val="hybridMultilevel"/>
    <w:tmpl w:val="A0D0D50C"/>
    <w:lvl w:ilvl="0" w:tplc="089E18B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694522"/>
    <w:multiLevelType w:val="hybridMultilevel"/>
    <w:tmpl w:val="4D86A0D6"/>
    <w:lvl w:ilvl="0" w:tplc="C486D5A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67CF7"/>
    <w:multiLevelType w:val="hybridMultilevel"/>
    <w:tmpl w:val="C93E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s-ES" w:vendorID="64" w:dllVersion="4096" w:nlCheck="1" w:checkStyle="0"/>
  <w:activeWritingStyle w:appName="MSWord" w:lang="en-GB" w:vendorID="64" w:dllVersion="4096" w:nlCheck="1" w:checkStyle="0"/>
  <w:doNotTrackFormatting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A5"/>
    <w:rsid w:val="00004CA5"/>
    <w:rsid w:val="0000538B"/>
    <w:rsid w:val="0002451C"/>
    <w:rsid w:val="0004226A"/>
    <w:rsid w:val="000505A6"/>
    <w:rsid w:val="00061ABD"/>
    <w:rsid w:val="00070AFC"/>
    <w:rsid w:val="0007473E"/>
    <w:rsid w:val="00075BDC"/>
    <w:rsid w:val="00096C16"/>
    <w:rsid w:val="000B2E06"/>
    <w:rsid w:val="000E645B"/>
    <w:rsid w:val="001019BA"/>
    <w:rsid w:val="0010559E"/>
    <w:rsid w:val="001118B5"/>
    <w:rsid w:val="00113269"/>
    <w:rsid w:val="001225CC"/>
    <w:rsid w:val="0014391B"/>
    <w:rsid w:val="00143B34"/>
    <w:rsid w:val="00164FEA"/>
    <w:rsid w:val="00196236"/>
    <w:rsid w:val="001A57B1"/>
    <w:rsid w:val="001A6241"/>
    <w:rsid w:val="001B5313"/>
    <w:rsid w:val="001B7DA8"/>
    <w:rsid w:val="001C042A"/>
    <w:rsid w:val="001C18B4"/>
    <w:rsid w:val="001C794F"/>
    <w:rsid w:val="001D2175"/>
    <w:rsid w:val="001F0201"/>
    <w:rsid w:val="001F1060"/>
    <w:rsid w:val="002050D5"/>
    <w:rsid w:val="00213D29"/>
    <w:rsid w:val="002261FB"/>
    <w:rsid w:val="00226382"/>
    <w:rsid w:val="002275AA"/>
    <w:rsid w:val="00235BED"/>
    <w:rsid w:val="0024184A"/>
    <w:rsid w:val="00250182"/>
    <w:rsid w:val="002502E5"/>
    <w:rsid w:val="00266138"/>
    <w:rsid w:val="00266EAD"/>
    <w:rsid w:val="002965DA"/>
    <w:rsid w:val="00296F5B"/>
    <w:rsid w:val="002B0987"/>
    <w:rsid w:val="002D06D9"/>
    <w:rsid w:val="002E1C17"/>
    <w:rsid w:val="002E77B8"/>
    <w:rsid w:val="00310C60"/>
    <w:rsid w:val="003120C7"/>
    <w:rsid w:val="00312AAB"/>
    <w:rsid w:val="003510FE"/>
    <w:rsid w:val="003621B6"/>
    <w:rsid w:val="003636C0"/>
    <w:rsid w:val="0036588F"/>
    <w:rsid w:val="00370162"/>
    <w:rsid w:val="003857D7"/>
    <w:rsid w:val="003957BA"/>
    <w:rsid w:val="003A79B2"/>
    <w:rsid w:val="003B1DC5"/>
    <w:rsid w:val="003C0CBD"/>
    <w:rsid w:val="003C5B18"/>
    <w:rsid w:val="00401F37"/>
    <w:rsid w:val="00443D01"/>
    <w:rsid w:val="00450D67"/>
    <w:rsid w:val="004576D6"/>
    <w:rsid w:val="00465FCE"/>
    <w:rsid w:val="00467F60"/>
    <w:rsid w:val="004729D2"/>
    <w:rsid w:val="00482E56"/>
    <w:rsid w:val="00497B52"/>
    <w:rsid w:val="004C2818"/>
    <w:rsid w:val="004E6BCE"/>
    <w:rsid w:val="0051680D"/>
    <w:rsid w:val="00516DD3"/>
    <w:rsid w:val="00522262"/>
    <w:rsid w:val="00537C58"/>
    <w:rsid w:val="00543D97"/>
    <w:rsid w:val="00544F74"/>
    <w:rsid w:val="00570025"/>
    <w:rsid w:val="00582A34"/>
    <w:rsid w:val="005B5816"/>
    <w:rsid w:val="005E3F07"/>
    <w:rsid w:val="005E4404"/>
    <w:rsid w:val="005E5094"/>
    <w:rsid w:val="005F3127"/>
    <w:rsid w:val="005F38A9"/>
    <w:rsid w:val="005F39F0"/>
    <w:rsid w:val="00601E6C"/>
    <w:rsid w:val="00613686"/>
    <w:rsid w:val="006302C1"/>
    <w:rsid w:val="0063038A"/>
    <w:rsid w:val="00656511"/>
    <w:rsid w:val="006571E1"/>
    <w:rsid w:val="00662D91"/>
    <w:rsid w:val="00682345"/>
    <w:rsid w:val="00694DC5"/>
    <w:rsid w:val="006A03F3"/>
    <w:rsid w:val="006A43CF"/>
    <w:rsid w:val="006B0D62"/>
    <w:rsid w:val="006B20F5"/>
    <w:rsid w:val="006D3A86"/>
    <w:rsid w:val="006D71F2"/>
    <w:rsid w:val="006E6B29"/>
    <w:rsid w:val="006F417C"/>
    <w:rsid w:val="006F557B"/>
    <w:rsid w:val="006F7F31"/>
    <w:rsid w:val="00716F44"/>
    <w:rsid w:val="0072245B"/>
    <w:rsid w:val="00752104"/>
    <w:rsid w:val="00762398"/>
    <w:rsid w:val="00762CEC"/>
    <w:rsid w:val="00763805"/>
    <w:rsid w:val="00791E82"/>
    <w:rsid w:val="007B6D7B"/>
    <w:rsid w:val="007F4A78"/>
    <w:rsid w:val="00801493"/>
    <w:rsid w:val="00811308"/>
    <w:rsid w:val="00816086"/>
    <w:rsid w:val="008302E7"/>
    <w:rsid w:val="00840681"/>
    <w:rsid w:val="00860578"/>
    <w:rsid w:val="00871B5A"/>
    <w:rsid w:val="008758DC"/>
    <w:rsid w:val="00877BA1"/>
    <w:rsid w:val="008867E3"/>
    <w:rsid w:val="008906E7"/>
    <w:rsid w:val="008A6071"/>
    <w:rsid w:val="008B555A"/>
    <w:rsid w:val="008E1AA5"/>
    <w:rsid w:val="008E3818"/>
    <w:rsid w:val="008E5200"/>
    <w:rsid w:val="008F2BEC"/>
    <w:rsid w:val="00903CFB"/>
    <w:rsid w:val="00913612"/>
    <w:rsid w:val="00937329"/>
    <w:rsid w:val="0094344E"/>
    <w:rsid w:val="00957482"/>
    <w:rsid w:val="00972660"/>
    <w:rsid w:val="0098108D"/>
    <w:rsid w:val="00986D94"/>
    <w:rsid w:val="009945CF"/>
    <w:rsid w:val="00997B19"/>
    <w:rsid w:val="009B1B94"/>
    <w:rsid w:val="009B30CB"/>
    <w:rsid w:val="009B7E58"/>
    <w:rsid w:val="009C4830"/>
    <w:rsid w:val="009D2CB4"/>
    <w:rsid w:val="009D60D2"/>
    <w:rsid w:val="00A0399C"/>
    <w:rsid w:val="00A464D1"/>
    <w:rsid w:val="00A46DCE"/>
    <w:rsid w:val="00A50555"/>
    <w:rsid w:val="00AD5DE9"/>
    <w:rsid w:val="00AD767E"/>
    <w:rsid w:val="00B01CF9"/>
    <w:rsid w:val="00B023A1"/>
    <w:rsid w:val="00B05AC9"/>
    <w:rsid w:val="00B15073"/>
    <w:rsid w:val="00B47F4D"/>
    <w:rsid w:val="00B62E7A"/>
    <w:rsid w:val="00B633CD"/>
    <w:rsid w:val="00B80778"/>
    <w:rsid w:val="00B93A4E"/>
    <w:rsid w:val="00B94F63"/>
    <w:rsid w:val="00BA470A"/>
    <w:rsid w:val="00BB5461"/>
    <w:rsid w:val="00BD381C"/>
    <w:rsid w:val="00BD3891"/>
    <w:rsid w:val="00BD5137"/>
    <w:rsid w:val="00C15013"/>
    <w:rsid w:val="00C50F60"/>
    <w:rsid w:val="00C51D37"/>
    <w:rsid w:val="00C74D06"/>
    <w:rsid w:val="00C77693"/>
    <w:rsid w:val="00C860F4"/>
    <w:rsid w:val="00C910A1"/>
    <w:rsid w:val="00CC0330"/>
    <w:rsid w:val="00CC7060"/>
    <w:rsid w:val="00CD1507"/>
    <w:rsid w:val="00CE5A38"/>
    <w:rsid w:val="00D20ABA"/>
    <w:rsid w:val="00D21AB0"/>
    <w:rsid w:val="00D335A2"/>
    <w:rsid w:val="00D45871"/>
    <w:rsid w:val="00D4776B"/>
    <w:rsid w:val="00D55468"/>
    <w:rsid w:val="00D67F85"/>
    <w:rsid w:val="00DA7A62"/>
    <w:rsid w:val="00DB0BED"/>
    <w:rsid w:val="00DB76E9"/>
    <w:rsid w:val="00DD3DEE"/>
    <w:rsid w:val="00E04963"/>
    <w:rsid w:val="00E41BE2"/>
    <w:rsid w:val="00E41F24"/>
    <w:rsid w:val="00E56E08"/>
    <w:rsid w:val="00E67203"/>
    <w:rsid w:val="00E85C44"/>
    <w:rsid w:val="00E9401C"/>
    <w:rsid w:val="00E96FBF"/>
    <w:rsid w:val="00EB4A6B"/>
    <w:rsid w:val="00EB4C55"/>
    <w:rsid w:val="00EC1418"/>
    <w:rsid w:val="00EC34F8"/>
    <w:rsid w:val="00EC44E1"/>
    <w:rsid w:val="00EC5FE9"/>
    <w:rsid w:val="00ED15B4"/>
    <w:rsid w:val="00ED4BF2"/>
    <w:rsid w:val="00EF291D"/>
    <w:rsid w:val="00F10FCB"/>
    <w:rsid w:val="00F156CA"/>
    <w:rsid w:val="00F517A5"/>
    <w:rsid w:val="00F63469"/>
    <w:rsid w:val="00F91FE6"/>
    <w:rsid w:val="00FA0892"/>
    <w:rsid w:val="00FF0A65"/>
    <w:rsid w:val="00FF0DA7"/>
    <w:rsid w:val="00FF19B1"/>
    <w:rsid w:val="00FF25A0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7871BA"/>
  <w15:chartTrackingRefBased/>
  <w15:docId w15:val="{078A3970-D28C-4D77-9744-9C197CE6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E1AA5"/>
    <w:pPr>
      <w:ind w:left="240"/>
      <w:jc w:val="both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AA5"/>
    <w:rPr>
      <w:rFonts w:ascii="Calibri" w:eastAsia="Times New Roman" w:hAnsi="Calibri" w:cs="Calibri"/>
      <w:b/>
      <w:bCs/>
      <w:i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8E1AA5"/>
  </w:style>
  <w:style w:type="character" w:customStyle="1" w:styleId="BodyTextChar">
    <w:name w:val="Body Text Char"/>
    <w:basedOn w:val="DefaultParagraphFont"/>
    <w:link w:val="BodyText"/>
    <w:uiPriority w:val="1"/>
    <w:rsid w:val="008E1AA5"/>
    <w:rPr>
      <w:rFonts w:ascii="Calibri" w:eastAsia="Times New Roman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3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9F0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9F0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F0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6302C1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30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555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0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555"/>
    <w:rPr>
      <w:rFonts w:ascii="Calibri" w:eastAsia="Times New Roman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004C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3319-F60E-4855-9716-912F404B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2160</Words>
  <Characters>12316</Characters>
  <Application>Microsoft Office Word</Application>
  <DocSecurity>4</DocSecurity>
  <Lines>102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IUCN</Company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Jennings</dc:creator>
  <cp:keywords/>
  <dc:description/>
  <cp:lastModifiedBy>Ed Jennings</cp:lastModifiedBy>
  <cp:revision>2</cp:revision>
  <cp:lastPrinted>2021-06-24T08:56:00Z</cp:lastPrinted>
  <dcterms:created xsi:type="dcterms:W3CDTF">2021-06-25T09:35:00Z</dcterms:created>
  <dcterms:modified xsi:type="dcterms:W3CDTF">2021-06-25T09:35:00Z</dcterms:modified>
  <cp:contentStatus/>
</cp:coreProperties>
</file>