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7409C" w14:textId="77777777" w:rsidR="00781EA5" w:rsidRPr="0076277E" w:rsidRDefault="00781EA5" w:rsidP="00781EA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4" w:space="1" w:color="auto"/>
        </w:pBdr>
        <w:ind w:right="2790"/>
        <w:rPr>
          <w:bCs/>
          <w:lang w:val="fr-FR"/>
        </w:rPr>
      </w:pPr>
      <w:r w:rsidRPr="0076277E">
        <w:rPr>
          <w:bCs/>
          <w:lang w:val="fr-FR"/>
        </w:rPr>
        <w:t xml:space="preserve">CONVENTION SUR LES ZONES HUMIDES </w:t>
      </w:r>
    </w:p>
    <w:p w14:paraId="0AF680A9" w14:textId="77777777" w:rsidR="00781EA5" w:rsidRPr="0076277E" w:rsidRDefault="00781EA5" w:rsidP="00781EA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4" w:space="1" w:color="auto"/>
        </w:pBdr>
        <w:ind w:right="2790"/>
        <w:rPr>
          <w:bCs/>
          <w:lang w:val="fr-FR"/>
        </w:rPr>
      </w:pPr>
      <w:r w:rsidRPr="0076277E">
        <w:rPr>
          <w:bCs/>
          <w:lang w:val="fr-FR"/>
        </w:rPr>
        <w:t>59</w:t>
      </w:r>
      <w:r w:rsidRPr="0076277E">
        <w:rPr>
          <w:bCs/>
          <w:vertAlign w:val="superscript"/>
          <w:lang w:val="fr-FR"/>
        </w:rPr>
        <w:t>e</w:t>
      </w:r>
      <w:r w:rsidRPr="0076277E">
        <w:rPr>
          <w:bCs/>
          <w:lang w:val="fr-FR"/>
        </w:rPr>
        <w:t> Réunion du Comité permanent</w:t>
      </w:r>
    </w:p>
    <w:p w14:paraId="2DB27AA9" w14:textId="77777777" w:rsidR="00781EA5" w:rsidRPr="0076277E" w:rsidRDefault="00781EA5" w:rsidP="00781EA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4" w:space="1" w:color="auto"/>
        </w:pBdr>
        <w:ind w:right="2790"/>
        <w:rPr>
          <w:bCs/>
          <w:lang w:val="fr-FR"/>
        </w:rPr>
      </w:pPr>
      <w:r w:rsidRPr="0076277E">
        <w:rPr>
          <w:bCs/>
          <w:lang w:val="fr-FR"/>
        </w:rPr>
        <w:t>Gland, Suisse, 21 – 25 juin 2021</w:t>
      </w:r>
    </w:p>
    <w:p w14:paraId="1C0FF9A7" w14:textId="77777777" w:rsidR="00762398" w:rsidRPr="0076277E" w:rsidRDefault="00762398" w:rsidP="00762398">
      <w:pPr>
        <w:rPr>
          <w:rFonts w:cstheme="minorHAnsi"/>
          <w:b/>
          <w:sz w:val="28"/>
          <w:szCs w:val="28"/>
          <w:lang w:val="fr-FR"/>
        </w:rPr>
      </w:pPr>
    </w:p>
    <w:p w14:paraId="2BE9465F" w14:textId="3516588A" w:rsidR="00762398" w:rsidRPr="0076277E" w:rsidRDefault="00762398" w:rsidP="00762398">
      <w:pPr>
        <w:jc w:val="right"/>
        <w:rPr>
          <w:rFonts w:cstheme="minorHAnsi"/>
          <w:b/>
          <w:sz w:val="28"/>
          <w:szCs w:val="28"/>
          <w:lang w:val="fr-FR"/>
        </w:rPr>
      </w:pPr>
      <w:bookmarkStart w:id="0" w:name="_GoBack"/>
      <w:r w:rsidRPr="0076277E">
        <w:rPr>
          <w:rFonts w:cstheme="minorHAnsi"/>
          <w:b/>
          <w:sz w:val="28"/>
          <w:szCs w:val="28"/>
          <w:lang w:val="fr-FR"/>
        </w:rPr>
        <w:t>SC59 Com.2</w:t>
      </w:r>
    </w:p>
    <w:p w14:paraId="7F990BBA" w14:textId="77777777" w:rsidR="00762398" w:rsidRPr="0076277E" w:rsidRDefault="00762398" w:rsidP="003120C7">
      <w:pPr>
        <w:widowControl/>
        <w:rPr>
          <w:rFonts w:asciiTheme="minorHAnsi" w:hAnsiTheme="minorHAnsi" w:cstheme="minorHAnsi"/>
          <w:b/>
          <w:lang w:val="fr-FR"/>
        </w:rPr>
      </w:pPr>
    </w:p>
    <w:p w14:paraId="5E025695" w14:textId="7EC371A7" w:rsidR="00762398" w:rsidRPr="0076277E" w:rsidRDefault="00781EA5" w:rsidP="00781EA5">
      <w:pPr>
        <w:widowControl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781EA5">
        <w:rPr>
          <w:rFonts w:asciiTheme="minorHAnsi" w:hAnsiTheme="minorHAnsi" w:cstheme="minorHAnsi"/>
          <w:b/>
          <w:sz w:val="28"/>
          <w:szCs w:val="28"/>
          <w:lang w:val="fr-FR"/>
        </w:rPr>
        <w:t>Rapport de la réunion virtuelle du Sous-groupe sur les finances</w:t>
      </w:r>
      <w:r w:rsidR="00762398" w:rsidRPr="0076277E">
        <w:rPr>
          <w:rFonts w:asciiTheme="minorHAnsi" w:hAnsiTheme="minorHAnsi" w:cstheme="minorHAnsi"/>
          <w:b/>
          <w:sz w:val="28"/>
          <w:szCs w:val="28"/>
          <w:lang w:val="fr-FR"/>
        </w:rPr>
        <w:t>, Part</w:t>
      </w:r>
      <w:r w:rsidRPr="0076277E">
        <w:rPr>
          <w:rFonts w:asciiTheme="minorHAnsi" w:hAnsiTheme="minorHAnsi" w:cstheme="minorHAnsi"/>
          <w:b/>
          <w:sz w:val="28"/>
          <w:szCs w:val="28"/>
          <w:lang w:val="fr-FR"/>
        </w:rPr>
        <w:t>ie</w:t>
      </w:r>
      <w:r w:rsidR="00762398" w:rsidRPr="0076277E">
        <w:rPr>
          <w:rFonts w:asciiTheme="minorHAnsi" w:hAnsiTheme="minorHAnsi" w:cstheme="minorHAnsi"/>
          <w:b/>
          <w:sz w:val="28"/>
          <w:szCs w:val="28"/>
          <w:lang w:val="fr-FR"/>
        </w:rPr>
        <w:t xml:space="preserve"> II</w:t>
      </w:r>
    </w:p>
    <w:p w14:paraId="1AC08200" w14:textId="4166E36A" w:rsidR="00762398" w:rsidRPr="0076277E" w:rsidRDefault="00762398" w:rsidP="00762398">
      <w:pPr>
        <w:widowControl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76277E">
        <w:rPr>
          <w:rFonts w:asciiTheme="minorHAnsi" w:hAnsiTheme="minorHAnsi" w:cstheme="minorHAnsi"/>
          <w:b/>
          <w:sz w:val="28"/>
          <w:szCs w:val="28"/>
          <w:lang w:val="fr-FR"/>
        </w:rPr>
        <w:t xml:space="preserve">24 </w:t>
      </w:r>
      <w:r w:rsidR="00781EA5" w:rsidRPr="0076277E">
        <w:rPr>
          <w:rFonts w:asciiTheme="minorHAnsi" w:hAnsiTheme="minorHAnsi" w:cstheme="minorHAnsi"/>
          <w:b/>
          <w:sz w:val="28"/>
          <w:szCs w:val="28"/>
          <w:lang w:val="fr-FR"/>
        </w:rPr>
        <w:t>juin</w:t>
      </w:r>
      <w:r w:rsidRPr="0076277E">
        <w:rPr>
          <w:rFonts w:asciiTheme="minorHAnsi" w:hAnsiTheme="minorHAnsi" w:cstheme="minorHAnsi"/>
          <w:b/>
          <w:sz w:val="28"/>
          <w:szCs w:val="28"/>
          <w:lang w:val="fr-FR"/>
        </w:rPr>
        <w:t xml:space="preserve"> 2021</w:t>
      </w:r>
      <w:r w:rsidR="00781EA5" w:rsidRPr="0076277E">
        <w:rPr>
          <w:rFonts w:asciiTheme="minorHAnsi" w:hAnsiTheme="minorHAnsi" w:cstheme="minorHAnsi"/>
          <w:b/>
          <w:sz w:val="28"/>
          <w:szCs w:val="28"/>
          <w:lang w:val="fr-FR"/>
        </w:rPr>
        <w:t>,</w:t>
      </w:r>
      <w:r w:rsidRPr="0076277E">
        <w:rPr>
          <w:rFonts w:asciiTheme="minorHAnsi" w:hAnsiTheme="minorHAnsi" w:cstheme="minorHAnsi"/>
          <w:b/>
          <w:sz w:val="28"/>
          <w:szCs w:val="28"/>
          <w:lang w:val="fr-FR"/>
        </w:rPr>
        <w:t xml:space="preserve"> 13</w:t>
      </w:r>
      <w:r w:rsidR="00781EA5" w:rsidRPr="0076277E">
        <w:rPr>
          <w:rFonts w:asciiTheme="minorHAnsi" w:hAnsiTheme="minorHAnsi" w:cstheme="minorHAnsi"/>
          <w:b/>
          <w:sz w:val="28"/>
          <w:szCs w:val="28"/>
          <w:lang w:val="fr-FR"/>
        </w:rPr>
        <w:t>h</w:t>
      </w:r>
      <w:r w:rsidRPr="0076277E">
        <w:rPr>
          <w:rFonts w:asciiTheme="minorHAnsi" w:hAnsiTheme="minorHAnsi" w:cstheme="minorHAnsi"/>
          <w:b/>
          <w:sz w:val="28"/>
          <w:szCs w:val="28"/>
          <w:lang w:val="fr-FR"/>
        </w:rPr>
        <w:t>00 – 1</w:t>
      </w:r>
      <w:r w:rsidR="005B5CA6" w:rsidRPr="0076277E">
        <w:rPr>
          <w:rFonts w:asciiTheme="minorHAnsi" w:hAnsiTheme="minorHAnsi" w:cstheme="minorHAnsi"/>
          <w:b/>
          <w:sz w:val="28"/>
          <w:szCs w:val="28"/>
          <w:lang w:val="fr-FR"/>
        </w:rPr>
        <w:t>3</w:t>
      </w:r>
      <w:r w:rsidR="00781EA5" w:rsidRPr="0076277E">
        <w:rPr>
          <w:rFonts w:asciiTheme="minorHAnsi" w:hAnsiTheme="minorHAnsi" w:cstheme="minorHAnsi"/>
          <w:b/>
          <w:sz w:val="28"/>
          <w:szCs w:val="28"/>
          <w:lang w:val="fr-FR"/>
        </w:rPr>
        <w:t>h</w:t>
      </w:r>
      <w:r w:rsidRPr="0076277E">
        <w:rPr>
          <w:rFonts w:asciiTheme="minorHAnsi" w:hAnsiTheme="minorHAnsi" w:cstheme="minorHAnsi"/>
          <w:b/>
          <w:sz w:val="28"/>
          <w:szCs w:val="28"/>
          <w:lang w:val="fr-FR"/>
        </w:rPr>
        <w:t>30</w:t>
      </w:r>
    </w:p>
    <w:bookmarkEnd w:id="0"/>
    <w:p w14:paraId="439062DE" w14:textId="6F5AF82B" w:rsidR="001C794F" w:rsidRPr="0076277E" w:rsidRDefault="001C794F" w:rsidP="002B0987">
      <w:pPr>
        <w:widowControl/>
        <w:rPr>
          <w:rFonts w:asciiTheme="minorHAnsi" w:hAnsiTheme="minorHAnsi" w:cstheme="minorHAnsi"/>
          <w:lang w:val="fr-FR"/>
        </w:rPr>
      </w:pPr>
    </w:p>
    <w:p w14:paraId="4DCF4D84" w14:textId="77777777" w:rsidR="003957BA" w:rsidRPr="0076277E" w:rsidRDefault="003957BA" w:rsidP="002B0987">
      <w:pPr>
        <w:widowControl/>
        <w:rPr>
          <w:rFonts w:asciiTheme="minorHAnsi" w:hAnsiTheme="minorHAnsi" w:cstheme="minorHAnsi"/>
          <w:lang w:val="fr-FR"/>
        </w:rPr>
      </w:pPr>
    </w:p>
    <w:p w14:paraId="49E98AE6" w14:textId="34A70B87" w:rsidR="00781EA5" w:rsidRPr="00781EA5" w:rsidRDefault="00781EA5" w:rsidP="00781EA5">
      <w:pPr>
        <w:widowControl/>
        <w:rPr>
          <w:rFonts w:asciiTheme="minorHAnsi" w:hAnsiTheme="minorHAnsi" w:cstheme="minorHAnsi"/>
          <w:lang w:val="fr-FR"/>
        </w:rPr>
      </w:pPr>
      <w:r w:rsidRPr="00781EA5">
        <w:rPr>
          <w:rFonts w:asciiTheme="minorHAnsi" w:hAnsiTheme="minorHAnsi" w:cstheme="minorHAnsi"/>
          <w:lang w:val="fr-FR"/>
        </w:rPr>
        <w:t xml:space="preserve">La présente Partie II </w:t>
      </w:r>
      <w:r w:rsidRPr="0076277E">
        <w:rPr>
          <w:rFonts w:asciiTheme="minorHAnsi" w:hAnsiTheme="minorHAnsi" w:cstheme="minorHAnsi"/>
          <w:lang w:val="fr-FR"/>
        </w:rPr>
        <w:t xml:space="preserve">rend compte des décisions prises pendant la réunion du Sous-groupe sur les finances le 24 juin 2021 et </w:t>
      </w:r>
      <w:r w:rsidRPr="00781EA5">
        <w:rPr>
          <w:rFonts w:asciiTheme="minorHAnsi" w:hAnsiTheme="minorHAnsi" w:cstheme="minorHAnsi"/>
          <w:lang w:val="fr-FR"/>
        </w:rPr>
        <w:t xml:space="preserve">vient compléter les recommandations soumises au Comité permanent au sujet des points abordés par le Sous-groupe </w:t>
      </w:r>
      <w:r w:rsidR="00FC26F9" w:rsidRPr="0076277E">
        <w:rPr>
          <w:rFonts w:asciiTheme="minorHAnsi" w:hAnsiTheme="minorHAnsi" w:cstheme="minorHAnsi"/>
          <w:lang w:val="fr-FR"/>
        </w:rPr>
        <w:t>le</w:t>
      </w:r>
      <w:r w:rsidRPr="00781EA5">
        <w:rPr>
          <w:rFonts w:asciiTheme="minorHAnsi" w:hAnsiTheme="minorHAnsi" w:cstheme="minorHAnsi"/>
          <w:lang w:val="fr-FR"/>
        </w:rPr>
        <w:t xml:space="preserve"> 21 juin 2021 mais qui étaient tributaires des décisions pertinentes du Comité permanent.</w:t>
      </w:r>
    </w:p>
    <w:p w14:paraId="2EC8FA0B" w14:textId="77777777" w:rsidR="00781EA5" w:rsidRPr="0076277E" w:rsidRDefault="00781EA5" w:rsidP="002B0987">
      <w:pPr>
        <w:widowControl/>
        <w:rPr>
          <w:rFonts w:asciiTheme="minorHAnsi" w:hAnsiTheme="minorHAnsi" w:cstheme="minorHAnsi"/>
          <w:lang w:val="fr-FR"/>
        </w:rPr>
      </w:pPr>
    </w:p>
    <w:p w14:paraId="167283E5" w14:textId="77777777" w:rsidR="00752104" w:rsidRPr="0076277E" w:rsidRDefault="00752104" w:rsidP="003C0CBD">
      <w:pPr>
        <w:widowControl/>
        <w:ind w:left="426" w:hanging="426"/>
        <w:rPr>
          <w:rFonts w:asciiTheme="minorHAnsi" w:hAnsiTheme="minorHAnsi" w:cstheme="minorHAnsi"/>
          <w:b/>
          <w:lang w:val="fr-FR"/>
        </w:rPr>
      </w:pPr>
    </w:p>
    <w:p w14:paraId="2ECD69C9" w14:textId="60F0B54F" w:rsidR="003957BA" w:rsidRPr="0076277E" w:rsidRDefault="00FC26F9" w:rsidP="003957BA">
      <w:pPr>
        <w:widowControl/>
        <w:ind w:left="426" w:hanging="426"/>
        <w:rPr>
          <w:rFonts w:asciiTheme="minorHAnsi" w:hAnsiTheme="minorHAnsi" w:cstheme="minorHAnsi"/>
          <w:lang w:val="fr-FR"/>
        </w:rPr>
      </w:pPr>
      <w:r w:rsidRPr="0076277E">
        <w:rPr>
          <w:rFonts w:asciiTheme="minorHAnsi" w:hAnsiTheme="minorHAnsi" w:cstheme="minorHAnsi"/>
          <w:b/>
          <w:lang w:val="fr-FR"/>
        </w:rPr>
        <w:t>Point 5 de l</w:t>
      </w:r>
      <w:r w:rsidR="00893AD0">
        <w:rPr>
          <w:rFonts w:asciiTheme="minorHAnsi" w:hAnsiTheme="minorHAnsi" w:cstheme="minorHAnsi"/>
          <w:b/>
          <w:lang w:val="fr-FR"/>
        </w:rPr>
        <w:t>’</w:t>
      </w:r>
      <w:r w:rsidRPr="0076277E">
        <w:rPr>
          <w:rFonts w:asciiTheme="minorHAnsi" w:hAnsiTheme="minorHAnsi" w:cstheme="minorHAnsi"/>
          <w:b/>
          <w:lang w:val="fr-FR"/>
        </w:rPr>
        <w:t>ordre du jour </w:t>
      </w:r>
      <w:r w:rsidR="003957BA" w:rsidRPr="0076277E">
        <w:rPr>
          <w:rFonts w:asciiTheme="minorHAnsi" w:hAnsiTheme="minorHAnsi" w:cstheme="minorHAnsi"/>
          <w:lang w:val="fr-FR"/>
        </w:rPr>
        <w:t xml:space="preserve">: SC59 doc.8.1, </w:t>
      </w:r>
      <w:r w:rsidRPr="0076277E">
        <w:rPr>
          <w:rFonts w:asciiTheme="minorHAnsi" w:hAnsiTheme="minorHAnsi" w:cstheme="minorHAnsi"/>
          <w:lang w:val="fr-FR"/>
        </w:rPr>
        <w:t>mesure</w:t>
      </w:r>
      <w:r w:rsidR="003957BA" w:rsidRPr="0076277E">
        <w:rPr>
          <w:rFonts w:asciiTheme="minorHAnsi" w:hAnsiTheme="minorHAnsi" w:cstheme="minorHAnsi"/>
          <w:lang w:val="fr-FR"/>
        </w:rPr>
        <w:t xml:space="preserve"> viii.</w:t>
      </w:r>
      <w:r w:rsidR="00266138" w:rsidRPr="0076277E">
        <w:rPr>
          <w:rFonts w:asciiTheme="minorHAnsi" w:hAnsiTheme="minorHAnsi" w:cstheme="minorHAnsi"/>
          <w:lang w:val="fr-FR"/>
        </w:rPr>
        <w:t xml:space="preserve"> </w:t>
      </w:r>
    </w:p>
    <w:p w14:paraId="195FFDA4" w14:textId="77777777" w:rsidR="003957BA" w:rsidRPr="0076277E" w:rsidRDefault="003957BA" w:rsidP="003957BA">
      <w:pPr>
        <w:widowControl/>
        <w:ind w:left="426" w:hanging="426"/>
        <w:rPr>
          <w:rFonts w:asciiTheme="minorHAnsi" w:hAnsiTheme="minorHAnsi" w:cstheme="minorHAnsi"/>
          <w:highlight w:val="yellow"/>
          <w:lang w:val="fr-FR"/>
        </w:rPr>
      </w:pPr>
    </w:p>
    <w:p w14:paraId="12924A35" w14:textId="10D03620" w:rsidR="003957BA" w:rsidRPr="0076277E" w:rsidRDefault="0072435D" w:rsidP="003957BA">
      <w:pPr>
        <w:widowControl/>
        <w:rPr>
          <w:rFonts w:asciiTheme="minorHAnsi" w:hAnsiTheme="minorHAnsi" w:cstheme="minorHAnsi"/>
          <w:lang w:val="fr-FR"/>
        </w:rPr>
      </w:pPr>
      <w:r w:rsidRPr="0076277E">
        <w:rPr>
          <w:rFonts w:asciiTheme="minorHAnsi" w:hAnsiTheme="minorHAnsi" w:cstheme="minorHAnsi"/>
          <w:lang w:val="fr-FR"/>
        </w:rPr>
        <w:t>Le Sous-groupe ne fait pas de recommandation sur l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allocation pour l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examen des résolutions, ce point de l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ordre du jour ayant été reporté par le Comité permanent.</w:t>
      </w:r>
    </w:p>
    <w:p w14:paraId="11358DA0" w14:textId="77777777" w:rsidR="003957BA" w:rsidRPr="0076277E" w:rsidRDefault="003957BA" w:rsidP="003957BA">
      <w:pPr>
        <w:widowControl/>
        <w:rPr>
          <w:rFonts w:asciiTheme="minorHAnsi" w:hAnsiTheme="minorHAnsi" w:cstheme="minorHAnsi"/>
          <w:b/>
          <w:i/>
          <w:lang w:val="fr-FR"/>
        </w:rPr>
      </w:pPr>
    </w:p>
    <w:p w14:paraId="619AE918" w14:textId="77777777" w:rsidR="003957BA" w:rsidRPr="0076277E" w:rsidRDefault="003957BA" w:rsidP="003957BA">
      <w:pPr>
        <w:widowControl/>
        <w:ind w:left="426" w:hanging="426"/>
        <w:rPr>
          <w:rFonts w:asciiTheme="minorHAnsi" w:hAnsiTheme="minorHAnsi" w:cstheme="minorHAnsi"/>
          <w:b/>
          <w:lang w:val="fr-FR"/>
        </w:rPr>
      </w:pPr>
    </w:p>
    <w:p w14:paraId="0EED2233" w14:textId="40560C55" w:rsidR="003957BA" w:rsidRPr="0076277E" w:rsidRDefault="00FC26F9" w:rsidP="003957BA">
      <w:pPr>
        <w:widowControl/>
        <w:ind w:left="426" w:hanging="426"/>
        <w:rPr>
          <w:rFonts w:asciiTheme="minorHAnsi" w:hAnsiTheme="minorHAnsi" w:cstheme="minorHAnsi"/>
          <w:lang w:val="fr-FR"/>
        </w:rPr>
      </w:pPr>
      <w:r w:rsidRPr="0076277E">
        <w:rPr>
          <w:rFonts w:asciiTheme="minorHAnsi" w:hAnsiTheme="minorHAnsi" w:cstheme="minorHAnsi"/>
          <w:b/>
          <w:lang w:val="fr-FR"/>
        </w:rPr>
        <w:t>Point 8 de l</w:t>
      </w:r>
      <w:r w:rsidR="00893AD0">
        <w:rPr>
          <w:rFonts w:asciiTheme="minorHAnsi" w:hAnsiTheme="minorHAnsi" w:cstheme="minorHAnsi"/>
          <w:b/>
          <w:lang w:val="fr-FR"/>
        </w:rPr>
        <w:t>’</w:t>
      </w:r>
      <w:r w:rsidRPr="0076277E">
        <w:rPr>
          <w:rFonts w:asciiTheme="minorHAnsi" w:hAnsiTheme="minorHAnsi" w:cstheme="minorHAnsi"/>
          <w:b/>
          <w:lang w:val="fr-FR"/>
        </w:rPr>
        <w:t>ordre du jour </w:t>
      </w:r>
      <w:r w:rsidR="003957BA" w:rsidRPr="0076277E">
        <w:rPr>
          <w:rFonts w:asciiTheme="minorHAnsi" w:hAnsiTheme="minorHAnsi" w:cstheme="minorHAnsi"/>
          <w:lang w:val="fr-FR"/>
        </w:rPr>
        <w:t xml:space="preserve">: SC59 doc.8.1, </w:t>
      </w:r>
      <w:r w:rsidR="00D57F4A" w:rsidRPr="0076277E">
        <w:rPr>
          <w:rFonts w:asciiTheme="minorHAnsi" w:hAnsiTheme="minorHAnsi" w:cstheme="minorHAnsi"/>
          <w:lang w:val="fr-FR"/>
        </w:rPr>
        <w:t>mesure</w:t>
      </w:r>
      <w:r w:rsidR="003957BA" w:rsidRPr="0076277E">
        <w:rPr>
          <w:rFonts w:asciiTheme="minorHAnsi" w:hAnsiTheme="minorHAnsi" w:cstheme="minorHAnsi"/>
          <w:lang w:val="fr-FR"/>
        </w:rPr>
        <w:t xml:space="preserve"> xi, </w:t>
      </w:r>
      <w:r w:rsidR="00D57F4A" w:rsidRPr="0076277E">
        <w:rPr>
          <w:rFonts w:asciiTheme="minorHAnsi" w:hAnsiTheme="minorHAnsi" w:cstheme="minorHAnsi"/>
          <w:lang w:val="fr-FR"/>
        </w:rPr>
        <w:t>point</w:t>
      </w:r>
      <w:r w:rsidR="003957BA" w:rsidRPr="0076277E">
        <w:rPr>
          <w:rFonts w:asciiTheme="minorHAnsi" w:hAnsiTheme="minorHAnsi" w:cstheme="minorHAnsi"/>
          <w:lang w:val="fr-FR"/>
        </w:rPr>
        <w:t xml:space="preserve"> c)</w:t>
      </w:r>
    </w:p>
    <w:p w14:paraId="3A45C842" w14:textId="77777777" w:rsidR="003957BA" w:rsidRPr="0076277E" w:rsidRDefault="003957BA" w:rsidP="003957BA">
      <w:pPr>
        <w:widowControl/>
        <w:rPr>
          <w:rFonts w:asciiTheme="minorHAnsi" w:hAnsiTheme="minorHAnsi" w:cstheme="minorHAnsi"/>
          <w:b/>
          <w:i/>
          <w:lang w:val="fr-FR"/>
        </w:rPr>
      </w:pPr>
    </w:p>
    <w:p w14:paraId="191553D7" w14:textId="66E4FAC2" w:rsidR="0072435D" w:rsidRPr="0072435D" w:rsidRDefault="0072435D" w:rsidP="0072435D">
      <w:pPr>
        <w:widowControl/>
        <w:rPr>
          <w:rFonts w:asciiTheme="minorHAnsi" w:hAnsiTheme="minorHAnsi" w:cstheme="minorHAnsi"/>
          <w:lang w:val="fr-FR"/>
        </w:rPr>
      </w:pPr>
      <w:r w:rsidRPr="0072435D">
        <w:rPr>
          <w:rFonts w:asciiTheme="minorHAnsi" w:hAnsiTheme="minorHAnsi" w:cstheme="minorHAnsi"/>
          <w:lang w:val="fr-FR"/>
        </w:rPr>
        <w:t>Le compte rendu de la discussion sur ce point figure dans la Partie I du rapport.</w:t>
      </w:r>
      <w:r w:rsidRPr="0076277E">
        <w:rPr>
          <w:rFonts w:asciiTheme="minorHAnsi" w:hAnsiTheme="minorHAnsi" w:cstheme="minorHAnsi"/>
          <w:lang w:val="fr-FR"/>
        </w:rPr>
        <w:t xml:space="preserve"> Le Sous-groupe ne fait pas de recommandation sur l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 xml:space="preserve">allocation pour </w:t>
      </w:r>
      <w:r w:rsidR="00913EC5" w:rsidRPr="0076277E">
        <w:rPr>
          <w:rFonts w:asciiTheme="minorHAnsi" w:hAnsiTheme="minorHAnsi" w:cstheme="minorHAnsi"/>
          <w:lang w:val="fr-FR"/>
        </w:rPr>
        <w:t>les activités de communication liées aux Prix Ramsar pour la conservation des zones humides</w:t>
      </w:r>
      <w:r w:rsidRPr="0076277E">
        <w:rPr>
          <w:rFonts w:asciiTheme="minorHAnsi" w:hAnsiTheme="minorHAnsi" w:cstheme="minorHAnsi"/>
          <w:lang w:val="fr-FR"/>
        </w:rPr>
        <w:t>, ce point de l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ordre du jour ayant été reporté par le Comité permanent</w:t>
      </w:r>
      <w:r w:rsidR="00E8371E">
        <w:rPr>
          <w:rFonts w:asciiTheme="minorHAnsi" w:hAnsiTheme="minorHAnsi" w:cstheme="minorHAnsi"/>
          <w:lang w:val="fr-FR"/>
        </w:rPr>
        <w:t>.</w:t>
      </w:r>
    </w:p>
    <w:p w14:paraId="47056B89" w14:textId="3CD6C210" w:rsidR="003957BA" w:rsidRPr="0076277E" w:rsidRDefault="003957BA" w:rsidP="00913EC5">
      <w:pPr>
        <w:widowControl/>
        <w:rPr>
          <w:rFonts w:asciiTheme="minorHAnsi" w:hAnsiTheme="minorHAnsi" w:cstheme="minorHAnsi"/>
          <w:b/>
          <w:lang w:val="fr-FR"/>
        </w:rPr>
      </w:pPr>
    </w:p>
    <w:p w14:paraId="15DFA4AD" w14:textId="63C70EFA" w:rsidR="00E41BE2" w:rsidRPr="0076277E" w:rsidRDefault="00913EC5" w:rsidP="00E41BE2">
      <w:pPr>
        <w:widowControl/>
        <w:rPr>
          <w:rFonts w:asciiTheme="minorHAnsi" w:hAnsiTheme="minorHAnsi" w:cstheme="minorHAnsi"/>
          <w:lang w:val="fr-FR"/>
        </w:rPr>
      </w:pPr>
      <w:r w:rsidRPr="0076277E">
        <w:rPr>
          <w:rFonts w:asciiTheme="minorHAnsi" w:hAnsiTheme="minorHAnsi" w:cstheme="minorHAnsi"/>
          <w:lang w:val="fr-FR"/>
        </w:rPr>
        <w:t xml:space="preserve">Il est précisé que </w:t>
      </w:r>
      <w:r w:rsidR="00720F96" w:rsidRPr="0076277E">
        <w:rPr>
          <w:rFonts w:asciiTheme="minorHAnsi" w:hAnsiTheme="minorHAnsi" w:cstheme="minorHAnsi"/>
          <w:lang w:val="fr-FR"/>
        </w:rPr>
        <w:t>s</w:t>
      </w:r>
      <w:r w:rsidR="00893AD0">
        <w:rPr>
          <w:rFonts w:asciiTheme="minorHAnsi" w:hAnsiTheme="minorHAnsi" w:cstheme="minorHAnsi"/>
          <w:lang w:val="fr-FR"/>
        </w:rPr>
        <w:t>’</w:t>
      </w:r>
      <w:r w:rsidR="00720F96" w:rsidRPr="0076277E">
        <w:rPr>
          <w:rFonts w:asciiTheme="minorHAnsi" w:hAnsiTheme="minorHAnsi" w:cstheme="minorHAnsi"/>
          <w:lang w:val="fr-FR"/>
        </w:rPr>
        <w:t xml:space="preserve">ils devaient être examinés dans le futur par le Comité permanent, </w:t>
      </w:r>
      <w:r w:rsidRPr="0076277E">
        <w:rPr>
          <w:rFonts w:asciiTheme="minorHAnsi" w:hAnsiTheme="minorHAnsi" w:cstheme="minorHAnsi"/>
          <w:lang w:val="fr-FR"/>
        </w:rPr>
        <w:t>les points 5 et 8 de l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ordre du jour ser</w:t>
      </w:r>
      <w:r w:rsidR="00720F96" w:rsidRPr="0076277E">
        <w:rPr>
          <w:rFonts w:asciiTheme="minorHAnsi" w:hAnsiTheme="minorHAnsi" w:cstheme="minorHAnsi"/>
          <w:lang w:val="fr-FR"/>
        </w:rPr>
        <w:t>aie</w:t>
      </w:r>
      <w:r w:rsidRPr="0076277E">
        <w:rPr>
          <w:rFonts w:asciiTheme="minorHAnsi" w:hAnsiTheme="minorHAnsi" w:cstheme="minorHAnsi"/>
          <w:lang w:val="fr-FR"/>
        </w:rPr>
        <w:t xml:space="preserve">nt </w:t>
      </w:r>
      <w:r w:rsidR="00E8371E">
        <w:rPr>
          <w:rFonts w:asciiTheme="minorHAnsi" w:hAnsiTheme="minorHAnsi" w:cstheme="minorHAnsi"/>
          <w:lang w:val="fr-FR"/>
        </w:rPr>
        <w:t>pris en considération</w:t>
      </w:r>
      <w:r w:rsidR="00720F96" w:rsidRPr="0076277E">
        <w:rPr>
          <w:rFonts w:asciiTheme="minorHAnsi" w:hAnsiTheme="minorHAnsi" w:cstheme="minorHAnsi"/>
          <w:lang w:val="fr-FR"/>
        </w:rPr>
        <w:t>.</w:t>
      </w:r>
    </w:p>
    <w:p w14:paraId="702181B7" w14:textId="277AAC6D" w:rsidR="00E41BE2" w:rsidRDefault="00E41BE2" w:rsidP="003C0CBD">
      <w:pPr>
        <w:widowControl/>
        <w:ind w:left="426" w:hanging="426"/>
        <w:rPr>
          <w:rFonts w:asciiTheme="minorHAnsi" w:hAnsiTheme="minorHAnsi" w:cstheme="minorHAnsi"/>
          <w:b/>
          <w:lang w:val="fr-FR"/>
        </w:rPr>
      </w:pPr>
    </w:p>
    <w:p w14:paraId="283598B5" w14:textId="77777777" w:rsidR="00322DDA" w:rsidRPr="0076277E" w:rsidRDefault="00322DDA" w:rsidP="003C0CBD">
      <w:pPr>
        <w:widowControl/>
        <w:ind w:left="426" w:hanging="426"/>
        <w:rPr>
          <w:rFonts w:asciiTheme="minorHAnsi" w:hAnsiTheme="minorHAnsi" w:cstheme="minorHAnsi"/>
          <w:b/>
          <w:lang w:val="fr-FR"/>
        </w:rPr>
      </w:pPr>
    </w:p>
    <w:p w14:paraId="436709BC" w14:textId="375F7FDB" w:rsidR="003C0CBD" w:rsidRPr="0076277E" w:rsidRDefault="00FC26F9" w:rsidP="003C0CBD">
      <w:pPr>
        <w:widowControl/>
        <w:ind w:left="426" w:hanging="426"/>
        <w:rPr>
          <w:rFonts w:asciiTheme="minorHAnsi" w:hAnsiTheme="minorHAnsi" w:cstheme="minorHAnsi"/>
          <w:lang w:val="fr-FR"/>
        </w:rPr>
      </w:pPr>
      <w:r w:rsidRPr="0076277E">
        <w:rPr>
          <w:rFonts w:asciiTheme="minorHAnsi" w:hAnsiTheme="minorHAnsi" w:cstheme="minorHAnsi"/>
          <w:b/>
          <w:lang w:val="fr-FR"/>
        </w:rPr>
        <w:t>Point 6 de l</w:t>
      </w:r>
      <w:r w:rsidR="00893AD0">
        <w:rPr>
          <w:rFonts w:asciiTheme="minorHAnsi" w:hAnsiTheme="minorHAnsi" w:cstheme="minorHAnsi"/>
          <w:b/>
          <w:lang w:val="fr-FR"/>
        </w:rPr>
        <w:t>’</w:t>
      </w:r>
      <w:r w:rsidRPr="0076277E">
        <w:rPr>
          <w:rFonts w:asciiTheme="minorHAnsi" w:hAnsiTheme="minorHAnsi" w:cstheme="minorHAnsi"/>
          <w:b/>
          <w:lang w:val="fr-FR"/>
        </w:rPr>
        <w:t>ordre du jour </w:t>
      </w:r>
      <w:r w:rsidR="003C0CBD" w:rsidRPr="0076277E">
        <w:rPr>
          <w:rFonts w:asciiTheme="minorHAnsi" w:hAnsiTheme="minorHAnsi" w:cstheme="minorHAnsi"/>
          <w:lang w:val="fr-FR"/>
        </w:rPr>
        <w:t xml:space="preserve">: SC59 doc.8.1, </w:t>
      </w:r>
      <w:r w:rsidR="00D57F4A" w:rsidRPr="0076277E">
        <w:rPr>
          <w:rFonts w:asciiTheme="minorHAnsi" w:hAnsiTheme="minorHAnsi" w:cstheme="minorHAnsi"/>
          <w:lang w:val="fr-FR"/>
        </w:rPr>
        <w:t>mesure</w:t>
      </w:r>
      <w:r w:rsidR="003C0CBD" w:rsidRPr="0076277E">
        <w:rPr>
          <w:rFonts w:asciiTheme="minorHAnsi" w:hAnsiTheme="minorHAnsi" w:cstheme="minorHAnsi"/>
          <w:lang w:val="fr-FR"/>
        </w:rPr>
        <w:t xml:space="preserve"> ix.</w:t>
      </w:r>
    </w:p>
    <w:p w14:paraId="62ED39E7" w14:textId="77777777" w:rsidR="003C0CBD" w:rsidRPr="0076277E" w:rsidRDefault="003C0CBD" w:rsidP="003C0CBD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1F721321" w14:textId="46FC2CE1" w:rsidR="00720F96" w:rsidRPr="0076277E" w:rsidRDefault="00720F96" w:rsidP="00720F96">
      <w:pPr>
        <w:widowControl/>
        <w:rPr>
          <w:rFonts w:asciiTheme="minorHAnsi" w:hAnsiTheme="minorHAnsi" w:cstheme="minorHAnsi"/>
          <w:lang w:val="fr-FR"/>
        </w:rPr>
      </w:pPr>
      <w:r w:rsidRPr="0076277E">
        <w:rPr>
          <w:rFonts w:asciiTheme="minorHAnsi" w:hAnsiTheme="minorHAnsi" w:cstheme="minorHAnsi"/>
          <w:lang w:val="fr-FR"/>
        </w:rPr>
        <w:t>La Secrétaire générale met en avant le paragraphe 39 du document SC59 Doc.8.1, lequel propose l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affectation d</w:t>
      </w:r>
      <w:r w:rsidR="00893AD0">
        <w:rPr>
          <w:rFonts w:asciiTheme="minorHAnsi" w:hAnsiTheme="minorHAnsi" w:cstheme="minorHAnsi"/>
          <w:lang w:val="fr-FR"/>
        </w:rPr>
        <w:t>’</w:t>
      </w:r>
      <w:r w:rsidR="009257C1" w:rsidRPr="0076277E">
        <w:rPr>
          <w:rFonts w:asciiTheme="minorHAnsi" w:hAnsiTheme="minorHAnsi" w:cstheme="minorHAnsi"/>
          <w:lang w:val="fr-FR"/>
        </w:rPr>
        <w:t>une partie d</w:t>
      </w:r>
      <w:r w:rsidRPr="0076277E">
        <w:rPr>
          <w:rFonts w:asciiTheme="minorHAnsi" w:hAnsiTheme="minorHAnsi" w:cstheme="minorHAnsi"/>
          <w:lang w:val="fr-FR"/>
        </w:rPr>
        <w:t>es économies réalisées dans le budget administratif, d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un montant de 90</w:t>
      </w:r>
      <w:r w:rsidR="009257C1" w:rsidRPr="0076277E">
        <w:rPr>
          <w:rFonts w:asciiTheme="minorHAnsi" w:hAnsiTheme="minorHAnsi" w:cstheme="minorHAnsi"/>
          <w:lang w:val="fr-FR"/>
        </w:rPr>
        <w:t> </w:t>
      </w:r>
      <w:r w:rsidRPr="0076277E">
        <w:rPr>
          <w:rFonts w:asciiTheme="minorHAnsi" w:hAnsiTheme="minorHAnsi" w:cstheme="minorHAnsi"/>
          <w:lang w:val="fr-FR"/>
        </w:rPr>
        <w:t>000 CHF, aux travaux du Groupe de travail sur l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examen du Plan stratégique. Au moment de la rédaction du présent rapport, aucune décision n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avait encore été prise par le Comité permanent. À des fins de présentation</w:t>
      </w:r>
      <w:r w:rsidR="003667BD" w:rsidRPr="0076277E">
        <w:rPr>
          <w:rFonts w:asciiTheme="minorHAnsi" w:hAnsiTheme="minorHAnsi" w:cstheme="minorHAnsi"/>
          <w:lang w:val="fr-FR"/>
        </w:rPr>
        <w:t>, le Budget administratif pour 2021 qui figure à l</w:t>
      </w:r>
      <w:r w:rsidR="00893AD0">
        <w:rPr>
          <w:rFonts w:asciiTheme="minorHAnsi" w:hAnsiTheme="minorHAnsi" w:cstheme="minorHAnsi"/>
          <w:lang w:val="fr-FR"/>
        </w:rPr>
        <w:t>’</w:t>
      </w:r>
      <w:r w:rsidR="003667BD" w:rsidRPr="0076277E">
        <w:rPr>
          <w:rFonts w:asciiTheme="minorHAnsi" w:hAnsiTheme="minorHAnsi" w:cstheme="minorHAnsi"/>
          <w:lang w:val="fr-FR"/>
        </w:rPr>
        <w:t>annexe 1 du présent rapport fait apparaître une affectation de 90 000 CHF sous la ligne budgétaire « 5</w:t>
      </w:r>
      <w:r w:rsidR="003667BD" w:rsidRPr="0076277E">
        <w:rPr>
          <w:rFonts w:asciiTheme="minorHAnsi" w:hAnsiTheme="minorHAnsi" w:cstheme="minorHAnsi"/>
          <w:vertAlign w:val="superscript"/>
          <w:lang w:val="fr-FR"/>
        </w:rPr>
        <w:t>e</w:t>
      </w:r>
      <w:r w:rsidR="003667BD" w:rsidRPr="0076277E">
        <w:rPr>
          <w:rFonts w:asciiTheme="minorHAnsi" w:hAnsiTheme="minorHAnsi" w:cstheme="minorHAnsi"/>
          <w:lang w:val="fr-FR"/>
        </w:rPr>
        <w:t xml:space="preserve"> Plan stratégique</w:t>
      </w:r>
      <w:r w:rsidR="00BD0580" w:rsidRPr="0076277E">
        <w:rPr>
          <w:rFonts w:asciiTheme="minorHAnsi" w:hAnsiTheme="minorHAnsi" w:cstheme="minorHAnsi"/>
          <w:lang w:val="fr-FR"/>
        </w:rPr>
        <w:t xml:space="preserve"> (2022-2024) » de la rubrique « Budget de la 58</w:t>
      </w:r>
      <w:r w:rsidR="00B242BD" w:rsidRPr="0076277E">
        <w:rPr>
          <w:rFonts w:asciiTheme="minorHAnsi" w:hAnsiTheme="minorHAnsi" w:cstheme="minorHAnsi"/>
          <w:vertAlign w:val="superscript"/>
          <w:lang w:val="fr-FR"/>
        </w:rPr>
        <w:t>e</w:t>
      </w:r>
      <w:r w:rsidR="00B242BD" w:rsidRPr="0076277E">
        <w:rPr>
          <w:rFonts w:asciiTheme="minorHAnsi" w:hAnsiTheme="minorHAnsi" w:cstheme="minorHAnsi"/>
          <w:lang w:val="fr-FR"/>
        </w:rPr>
        <w:t xml:space="preserve"> Réunion du Comité permanent</w:t>
      </w:r>
      <w:r w:rsidR="00BD0580" w:rsidRPr="0076277E">
        <w:rPr>
          <w:rFonts w:asciiTheme="minorHAnsi" w:hAnsiTheme="minorHAnsi" w:cstheme="minorHAnsi"/>
          <w:lang w:val="fr-FR"/>
        </w:rPr>
        <w:t xml:space="preserve"> et </w:t>
      </w:r>
      <w:r w:rsidR="00D0305D" w:rsidRPr="0076277E">
        <w:rPr>
          <w:rFonts w:asciiTheme="minorHAnsi" w:hAnsiTheme="minorHAnsi" w:cstheme="minorHAnsi"/>
          <w:lang w:val="fr-FR"/>
        </w:rPr>
        <w:t>économies</w:t>
      </w:r>
      <w:r w:rsidR="00BD0580" w:rsidRPr="0076277E">
        <w:rPr>
          <w:rFonts w:asciiTheme="minorHAnsi" w:hAnsiTheme="minorHAnsi" w:cstheme="minorHAnsi"/>
          <w:lang w:val="fr-FR"/>
        </w:rPr>
        <w:t xml:space="preserve"> reporté</w:t>
      </w:r>
      <w:r w:rsidR="00D0305D" w:rsidRPr="0076277E">
        <w:rPr>
          <w:rFonts w:asciiTheme="minorHAnsi" w:hAnsiTheme="minorHAnsi" w:cstheme="minorHAnsi"/>
          <w:lang w:val="fr-FR"/>
        </w:rPr>
        <w:t>e</w:t>
      </w:r>
      <w:r w:rsidR="00BD0580" w:rsidRPr="0076277E">
        <w:rPr>
          <w:rFonts w:asciiTheme="minorHAnsi" w:hAnsiTheme="minorHAnsi" w:cstheme="minorHAnsi"/>
          <w:lang w:val="fr-FR"/>
        </w:rPr>
        <w:t>s non engagé</w:t>
      </w:r>
      <w:r w:rsidR="00D0305D" w:rsidRPr="0076277E">
        <w:rPr>
          <w:rFonts w:asciiTheme="minorHAnsi" w:hAnsiTheme="minorHAnsi" w:cstheme="minorHAnsi"/>
          <w:lang w:val="fr-FR"/>
        </w:rPr>
        <w:t>e</w:t>
      </w:r>
      <w:r w:rsidR="00BD0580" w:rsidRPr="0076277E">
        <w:rPr>
          <w:rFonts w:asciiTheme="minorHAnsi" w:hAnsiTheme="minorHAnsi" w:cstheme="minorHAnsi"/>
          <w:lang w:val="fr-FR"/>
        </w:rPr>
        <w:t xml:space="preserve">s ». En cas de besoin, le </w:t>
      </w:r>
      <w:r w:rsidR="002670B4">
        <w:rPr>
          <w:rFonts w:asciiTheme="minorHAnsi" w:hAnsiTheme="minorHAnsi" w:cstheme="minorHAnsi"/>
          <w:lang w:val="fr-FR"/>
        </w:rPr>
        <w:t>b</w:t>
      </w:r>
      <w:r w:rsidR="00BD0580" w:rsidRPr="0076277E">
        <w:rPr>
          <w:rFonts w:asciiTheme="minorHAnsi" w:hAnsiTheme="minorHAnsi" w:cstheme="minorHAnsi"/>
          <w:lang w:val="fr-FR"/>
        </w:rPr>
        <w:t xml:space="preserve">udget 2021 sera ajusté et </w:t>
      </w:r>
      <w:r w:rsidR="00B242BD" w:rsidRPr="0076277E">
        <w:rPr>
          <w:rFonts w:asciiTheme="minorHAnsi" w:hAnsiTheme="minorHAnsi" w:cstheme="minorHAnsi"/>
          <w:lang w:val="fr-FR"/>
        </w:rPr>
        <w:t xml:space="preserve">cette somme de 90 000 CHF rétablie sous la ligne budgétaire </w:t>
      </w:r>
      <w:r w:rsidR="002670B4">
        <w:rPr>
          <w:rFonts w:asciiTheme="minorHAnsi" w:hAnsiTheme="minorHAnsi" w:cstheme="minorHAnsi"/>
          <w:lang w:val="fr-FR"/>
        </w:rPr>
        <w:t>correspondant aux é</w:t>
      </w:r>
      <w:r w:rsidR="00B242BD" w:rsidRPr="0076277E">
        <w:rPr>
          <w:rFonts w:asciiTheme="minorHAnsi" w:hAnsiTheme="minorHAnsi" w:cstheme="minorHAnsi"/>
          <w:lang w:val="fr-FR"/>
        </w:rPr>
        <w:t>conomies</w:t>
      </w:r>
      <w:r w:rsidR="002670B4">
        <w:rPr>
          <w:rFonts w:asciiTheme="minorHAnsi" w:hAnsiTheme="minorHAnsi" w:cstheme="minorHAnsi"/>
          <w:lang w:val="fr-FR"/>
        </w:rPr>
        <w:t>.</w:t>
      </w:r>
    </w:p>
    <w:p w14:paraId="5D773F80" w14:textId="16402808" w:rsidR="003C0CBD" w:rsidRPr="0076277E" w:rsidRDefault="003C0CBD" w:rsidP="003C0CBD">
      <w:pPr>
        <w:widowControl/>
        <w:rPr>
          <w:rFonts w:asciiTheme="minorHAnsi" w:hAnsiTheme="minorHAnsi" w:cstheme="minorHAnsi"/>
          <w:i/>
          <w:lang w:val="fr-FR"/>
        </w:rPr>
      </w:pPr>
    </w:p>
    <w:p w14:paraId="26A83C68" w14:textId="155539A1" w:rsidR="003C0CBD" w:rsidRPr="0076277E" w:rsidRDefault="00FC26F9" w:rsidP="003C0CBD">
      <w:pPr>
        <w:widowControl/>
        <w:rPr>
          <w:rFonts w:asciiTheme="minorHAnsi" w:hAnsiTheme="minorHAnsi" w:cstheme="minorHAnsi"/>
          <w:i/>
          <w:color w:val="0000FF"/>
          <w:lang w:val="fr-FR"/>
        </w:rPr>
      </w:pPr>
      <w:r w:rsidRPr="0076277E">
        <w:rPr>
          <w:rFonts w:asciiTheme="minorHAnsi" w:hAnsiTheme="minorHAnsi" w:cstheme="minorHAnsi"/>
          <w:i/>
          <w:color w:val="0000FF"/>
          <w:lang w:val="fr-FR"/>
        </w:rPr>
        <w:t>Recommandation pour décision par le Comité permanent :</w:t>
      </w:r>
    </w:p>
    <w:p w14:paraId="01907FAD" w14:textId="77777777" w:rsidR="00FC26F9" w:rsidRPr="0076277E" w:rsidRDefault="00FC26F9" w:rsidP="003C0CBD">
      <w:pPr>
        <w:widowControl/>
        <w:rPr>
          <w:rFonts w:asciiTheme="minorHAnsi" w:hAnsiTheme="minorHAnsi" w:cstheme="minorHAnsi"/>
          <w:b/>
          <w:i/>
          <w:lang w:val="fr-FR"/>
        </w:rPr>
      </w:pPr>
    </w:p>
    <w:p w14:paraId="1F221BEE" w14:textId="3596309D" w:rsidR="003C0CBD" w:rsidRPr="0076277E" w:rsidRDefault="00B242BD" w:rsidP="003C0CBD">
      <w:pPr>
        <w:widowControl/>
        <w:rPr>
          <w:rFonts w:asciiTheme="minorHAnsi" w:hAnsiTheme="minorHAnsi" w:cstheme="minorHAnsi"/>
          <w:b/>
          <w:i/>
          <w:lang w:val="fr-FR"/>
        </w:rPr>
      </w:pPr>
      <w:r w:rsidRPr="0076277E">
        <w:rPr>
          <w:rFonts w:asciiTheme="minorHAnsi" w:hAnsiTheme="minorHAnsi" w:cstheme="minorHAnsi"/>
          <w:b/>
          <w:i/>
          <w:lang w:val="fr-FR"/>
        </w:rPr>
        <w:t>Le Sous-groupe sur les finances recommande au Comité permanent d</w:t>
      </w:r>
      <w:r w:rsidR="00893AD0">
        <w:rPr>
          <w:rFonts w:asciiTheme="minorHAnsi" w:hAnsiTheme="minorHAnsi" w:cstheme="minorHAnsi"/>
          <w:b/>
          <w:i/>
          <w:lang w:val="fr-FR"/>
        </w:rPr>
        <w:t>’</w:t>
      </w:r>
      <w:r w:rsidRPr="0076277E">
        <w:rPr>
          <w:rFonts w:asciiTheme="minorHAnsi" w:hAnsiTheme="minorHAnsi" w:cstheme="minorHAnsi"/>
          <w:b/>
          <w:i/>
          <w:lang w:val="fr-FR"/>
        </w:rPr>
        <w:t>approuver l</w:t>
      </w:r>
      <w:r w:rsidR="00893AD0">
        <w:rPr>
          <w:rFonts w:asciiTheme="minorHAnsi" w:hAnsiTheme="minorHAnsi" w:cstheme="minorHAnsi"/>
          <w:b/>
          <w:i/>
          <w:lang w:val="fr-FR"/>
        </w:rPr>
        <w:t>’</w:t>
      </w:r>
      <w:r w:rsidRPr="0076277E">
        <w:rPr>
          <w:rFonts w:asciiTheme="minorHAnsi" w:hAnsiTheme="minorHAnsi" w:cstheme="minorHAnsi"/>
          <w:b/>
          <w:i/>
          <w:lang w:val="fr-FR"/>
        </w:rPr>
        <w:t>affectation d</w:t>
      </w:r>
      <w:r w:rsidR="00893AD0">
        <w:rPr>
          <w:rFonts w:asciiTheme="minorHAnsi" w:hAnsiTheme="minorHAnsi" w:cstheme="minorHAnsi"/>
          <w:b/>
          <w:i/>
          <w:lang w:val="fr-FR"/>
        </w:rPr>
        <w:t>’</w:t>
      </w:r>
      <w:r w:rsidRPr="0076277E">
        <w:rPr>
          <w:rFonts w:asciiTheme="minorHAnsi" w:hAnsiTheme="minorHAnsi" w:cstheme="minorHAnsi"/>
          <w:b/>
          <w:i/>
          <w:lang w:val="fr-FR"/>
        </w:rPr>
        <w:t>une partie des économies réalisées dans le budget administratif 2020, d</w:t>
      </w:r>
      <w:r w:rsidR="00893AD0">
        <w:rPr>
          <w:rFonts w:asciiTheme="minorHAnsi" w:hAnsiTheme="minorHAnsi" w:cstheme="minorHAnsi"/>
          <w:b/>
          <w:i/>
          <w:lang w:val="fr-FR"/>
        </w:rPr>
        <w:t>’</w:t>
      </w:r>
      <w:r w:rsidRPr="0076277E">
        <w:rPr>
          <w:rFonts w:asciiTheme="minorHAnsi" w:hAnsiTheme="minorHAnsi" w:cstheme="minorHAnsi"/>
          <w:b/>
          <w:i/>
          <w:lang w:val="fr-FR"/>
        </w:rPr>
        <w:t>un montant de 90 000 CHF, aux travaux du Groupe de travail sur l</w:t>
      </w:r>
      <w:r w:rsidR="00893AD0">
        <w:rPr>
          <w:rFonts w:asciiTheme="minorHAnsi" w:hAnsiTheme="minorHAnsi" w:cstheme="minorHAnsi"/>
          <w:b/>
          <w:i/>
          <w:lang w:val="fr-FR"/>
        </w:rPr>
        <w:t>’</w:t>
      </w:r>
      <w:r w:rsidRPr="0076277E">
        <w:rPr>
          <w:rFonts w:asciiTheme="minorHAnsi" w:hAnsiTheme="minorHAnsi" w:cstheme="minorHAnsi"/>
          <w:b/>
          <w:i/>
          <w:lang w:val="fr-FR"/>
        </w:rPr>
        <w:t>examen du Plan stratégique</w:t>
      </w:r>
      <w:r w:rsidR="00D20ABA" w:rsidRPr="0076277E">
        <w:rPr>
          <w:rFonts w:asciiTheme="minorHAnsi" w:hAnsiTheme="minorHAnsi" w:cstheme="minorHAnsi"/>
          <w:b/>
          <w:i/>
          <w:lang w:val="fr-FR"/>
        </w:rPr>
        <w:t>,</w:t>
      </w:r>
      <w:r w:rsidR="004729D2" w:rsidRPr="0076277E">
        <w:rPr>
          <w:lang w:val="fr-FR"/>
        </w:rPr>
        <w:t xml:space="preserve"> </w:t>
      </w:r>
      <w:r w:rsidR="009257C1" w:rsidRPr="0076277E">
        <w:rPr>
          <w:rFonts w:asciiTheme="minorHAnsi" w:hAnsiTheme="minorHAnsi" w:cstheme="minorHAnsi"/>
          <w:b/>
          <w:i/>
          <w:lang w:val="fr-FR"/>
        </w:rPr>
        <w:t xml:space="preserve">sous réserve de la décision du </w:t>
      </w:r>
      <w:r w:rsidR="009257C1" w:rsidRPr="0076277E">
        <w:rPr>
          <w:rFonts w:asciiTheme="minorHAnsi" w:hAnsiTheme="minorHAnsi" w:cstheme="minorHAnsi"/>
          <w:b/>
          <w:i/>
          <w:lang w:val="fr-FR"/>
        </w:rPr>
        <w:lastRenderedPageBreak/>
        <w:t>Comité permanent de créer un nouveau groupe de travail ou de renouveler le mandat du groupe de travail actuel</w:t>
      </w:r>
      <w:r w:rsidR="004729D2" w:rsidRPr="0076277E">
        <w:rPr>
          <w:rFonts w:asciiTheme="minorHAnsi" w:hAnsiTheme="minorHAnsi" w:cstheme="minorHAnsi"/>
          <w:b/>
          <w:i/>
          <w:lang w:val="fr-FR"/>
        </w:rPr>
        <w:t>.</w:t>
      </w:r>
    </w:p>
    <w:p w14:paraId="05220DC3" w14:textId="7199862C" w:rsidR="003C0CBD" w:rsidRPr="0076277E" w:rsidRDefault="003C0CBD" w:rsidP="002B0987">
      <w:pPr>
        <w:widowControl/>
        <w:rPr>
          <w:rFonts w:asciiTheme="minorHAnsi" w:hAnsiTheme="minorHAnsi" w:cstheme="minorHAnsi"/>
          <w:lang w:val="fr-FR"/>
        </w:rPr>
      </w:pPr>
    </w:p>
    <w:p w14:paraId="446B4CF5" w14:textId="3ABCF125" w:rsidR="00075BDC" w:rsidRPr="0076277E" w:rsidRDefault="00075BDC" w:rsidP="002B0987">
      <w:pPr>
        <w:widowControl/>
        <w:rPr>
          <w:rFonts w:asciiTheme="minorHAnsi" w:hAnsiTheme="minorHAnsi" w:cstheme="minorHAnsi"/>
          <w:lang w:val="fr-FR"/>
        </w:rPr>
      </w:pPr>
    </w:p>
    <w:p w14:paraId="6D8BF817" w14:textId="22824D3B" w:rsidR="00FF429F" w:rsidRPr="0076277E" w:rsidRDefault="00FC26F9" w:rsidP="00D20ABA">
      <w:pPr>
        <w:keepNext/>
        <w:widowControl/>
        <w:ind w:left="425" w:hanging="425"/>
        <w:rPr>
          <w:rFonts w:asciiTheme="minorHAnsi" w:hAnsiTheme="minorHAnsi" w:cstheme="minorHAnsi"/>
          <w:lang w:val="fr-FR"/>
        </w:rPr>
      </w:pPr>
      <w:r w:rsidRPr="0076277E">
        <w:rPr>
          <w:rFonts w:asciiTheme="minorHAnsi" w:hAnsiTheme="minorHAnsi" w:cstheme="minorHAnsi"/>
          <w:b/>
          <w:lang w:val="fr-FR"/>
        </w:rPr>
        <w:t>Point 2 de l</w:t>
      </w:r>
      <w:r w:rsidR="00893AD0">
        <w:rPr>
          <w:rFonts w:asciiTheme="minorHAnsi" w:hAnsiTheme="minorHAnsi" w:cstheme="minorHAnsi"/>
          <w:b/>
          <w:lang w:val="fr-FR"/>
        </w:rPr>
        <w:t>’</w:t>
      </w:r>
      <w:r w:rsidRPr="0076277E">
        <w:rPr>
          <w:rFonts w:asciiTheme="minorHAnsi" w:hAnsiTheme="minorHAnsi" w:cstheme="minorHAnsi"/>
          <w:b/>
          <w:lang w:val="fr-FR"/>
        </w:rPr>
        <w:t>ordre du jour </w:t>
      </w:r>
      <w:r w:rsidR="00FF429F" w:rsidRPr="0076277E">
        <w:rPr>
          <w:rFonts w:asciiTheme="minorHAnsi" w:hAnsiTheme="minorHAnsi" w:cstheme="minorHAnsi"/>
          <w:lang w:val="fr-FR"/>
        </w:rPr>
        <w:t xml:space="preserve">: SC59 doc.8.1, </w:t>
      </w:r>
      <w:r w:rsidR="00D57F4A" w:rsidRPr="0076277E">
        <w:rPr>
          <w:rFonts w:asciiTheme="minorHAnsi" w:hAnsiTheme="minorHAnsi" w:cstheme="minorHAnsi"/>
          <w:lang w:val="fr-FR"/>
        </w:rPr>
        <w:t>mesure</w:t>
      </w:r>
      <w:r w:rsidR="00FF429F" w:rsidRPr="0076277E">
        <w:rPr>
          <w:rFonts w:asciiTheme="minorHAnsi" w:hAnsiTheme="minorHAnsi" w:cstheme="minorHAnsi"/>
          <w:lang w:val="fr-FR"/>
        </w:rPr>
        <w:t xml:space="preserve"> v.</w:t>
      </w:r>
    </w:p>
    <w:p w14:paraId="2DB970C9" w14:textId="77777777" w:rsidR="00FF429F" w:rsidRPr="0076277E" w:rsidRDefault="00FF429F" w:rsidP="00D20ABA">
      <w:pPr>
        <w:keepNext/>
        <w:widowControl/>
        <w:ind w:left="425" w:hanging="425"/>
        <w:rPr>
          <w:rFonts w:asciiTheme="minorHAnsi" w:hAnsiTheme="minorHAnsi" w:cstheme="minorHAnsi"/>
          <w:lang w:val="fr-FR"/>
        </w:rPr>
      </w:pPr>
    </w:p>
    <w:p w14:paraId="0B550CC5" w14:textId="507254F6" w:rsidR="009257C1" w:rsidRPr="0076277E" w:rsidRDefault="009257C1" w:rsidP="00FF429F">
      <w:pPr>
        <w:widowControl/>
        <w:rPr>
          <w:rFonts w:asciiTheme="minorHAnsi" w:hAnsiTheme="minorHAnsi" w:cstheme="minorHAnsi"/>
          <w:lang w:val="fr-FR"/>
        </w:rPr>
      </w:pPr>
      <w:r w:rsidRPr="0076277E">
        <w:rPr>
          <w:rFonts w:asciiTheme="minorHAnsi" w:hAnsiTheme="minorHAnsi" w:cstheme="minorHAnsi"/>
          <w:lang w:val="fr-FR"/>
        </w:rPr>
        <w:t>Les représentants de l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Initiative régionale Ramsar indo-birmane (IBRRI), de l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Initiative régionale Ramsar pour l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Asie centrale (RRI-CA) et de l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Initiative régionale Ramsar pour le bassin de l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Amazone</w:t>
      </w:r>
      <w:r w:rsidR="004D15E0" w:rsidRPr="0076277E">
        <w:rPr>
          <w:rFonts w:asciiTheme="minorHAnsi" w:hAnsiTheme="minorHAnsi" w:cstheme="minorHAnsi"/>
          <w:lang w:val="fr-FR"/>
        </w:rPr>
        <w:t xml:space="preserve"> </w:t>
      </w:r>
      <w:r w:rsidR="005B5CA6" w:rsidRPr="0076277E">
        <w:rPr>
          <w:rFonts w:asciiTheme="minorHAnsi" w:hAnsiTheme="minorHAnsi" w:cstheme="minorHAnsi"/>
          <w:lang w:val="fr-FR"/>
        </w:rPr>
        <w:t>présentent</w:t>
      </w:r>
      <w:r w:rsidRPr="0076277E">
        <w:rPr>
          <w:rFonts w:asciiTheme="minorHAnsi" w:hAnsiTheme="minorHAnsi" w:cstheme="minorHAnsi"/>
          <w:lang w:val="fr-FR"/>
        </w:rPr>
        <w:t xml:space="preserve"> un résumé des activités menées à bien des derniers mois et décrivent </w:t>
      </w:r>
      <w:r w:rsidR="004D15E0" w:rsidRPr="0076277E">
        <w:rPr>
          <w:rFonts w:asciiTheme="minorHAnsi" w:hAnsiTheme="minorHAnsi" w:cstheme="minorHAnsi"/>
          <w:lang w:val="fr-FR"/>
        </w:rPr>
        <w:t>à quelles fins ils pourraient utiliser</w:t>
      </w:r>
      <w:r w:rsidRPr="0076277E">
        <w:rPr>
          <w:rFonts w:asciiTheme="minorHAnsi" w:hAnsiTheme="minorHAnsi" w:cstheme="minorHAnsi"/>
          <w:lang w:val="fr-FR"/>
        </w:rPr>
        <w:t xml:space="preserve"> </w:t>
      </w:r>
      <w:r w:rsidR="004D15E0" w:rsidRPr="0076277E">
        <w:rPr>
          <w:rFonts w:asciiTheme="minorHAnsi" w:hAnsiTheme="minorHAnsi" w:cstheme="minorHAnsi"/>
          <w:lang w:val="fr-FR"/>
        </w:rPr>
        <w:t>les</w:t>
      </w:r>
      <w:r w:rsidRPr="0076277E">
        <w:rPr>
          <w:rFonts w:asciiTheme="minorHAnsi" w:hAnsiTheme="minorHAnsi" w:cstheme="minorHAnsi"/>
          <w:lang w:val="fr-FR"/>
        </w:rPr>
        <w:t xml:space="preserve"> fonds supplémentaires. Le représentant de l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Initiative régionale Ramsar pour le bassin du fleuve Sénégal n</w:t>
      </w:r>
      <w:r w:rsidR="00893AD0">
        <w:rPr>
          <w:rFonts w:asciiTheme="minorHAnsi" w:hAnsiTheme="minorHAnsi" w:cstheme="minorHAnsi"/>
          <w:lang w:val="fr-FR"/>
        </w:rPr>
        <w:t>’</w:t>
      </w:r>
      <w:r w:rsidR="004D15E0" w:rsidRPr="0076277E">
        <w:rPr>
          <w:rFonts w:asciiTheme="minorHAnsi" w:hAnsiTheme="minorHAnsi" w:cstheme="minorHAnsi"/>
          <w:lang w:val="fr-FR"/>
        </w:rPr>
        <w:t xml:space="preserve">est pas présent lors des </w:t>
      </w:r>
      <w:r w:rsidRPr="0076277E">
        <w:rPr>
          <w:rFonts w:asciiTheme="minorHAnsi" w:hAnsiTheme="minorHAnsi" w:cstheme="minorHAnsi"/>
          <w:lang w:val="fr-FR"/>
        </w:rPr>
        <w:t>discussions sur ce point de l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ordre du jour.</w:t>
      </w:r>
    </w:p>
    <w:p w14:paraId="76F0BA40" w14:textId="77777777" w:rsidR="009138A3" w:rsidRPr="0076277E" w:rsidRDefault="009138A3" w:rsidP="009138A3">
      <w:pPr>
        <w:widowControl/>
        <w:rPr>
          <w:lang w:val="fr-FR"/>
        </w:rPr>
      </w:pPr>
    </w:p>
    <w:p w14:paraId="71B47E02" w14:textId="322DAE04" w:rsidR="009138A3" w:rsidRPr="0076277E" w:rsidRDefault="009138A3" w:rsidP="009138A3">
      <w:pPr>
        <w:widowControl/>
        <w:rPr>
          <w:lang w:val="fr-FR"/>
        </w:rPr>
      </w:pPr>
      <w:r w:rsidRPr="0076277E">
        <w:rPr>
          <w:lang w:val="fr-FR"/>
        </w:rPr>
        <w:t xml:space="preserve">Le Sous-groupe demande des éclaircissements sur les fins auxquelles les fonds du budget administratif </w:t>
      </w:r>
      <w:r w:rsidR="0019001B" w:rsidRPr="0076277E">
        <w:rPr>
          <w:lang w:val="fr-FR"/>
        </w:rPr>
        <w:t>affectés</w:t>
      </w:r>
      <w:r w:rsidRPr="0076277E">
        <w:rPr>
          <w:lang w:val="fr-FR"/>
        </w:rPr>
        <w:t xml:space="preserve"> </w:t>
      </w:r>
      <w:r w:rsidR="0019001B" w:rsidRPr="0076277E">
        <w:rPr>
          <w:lang w:val="fr-FR"/>
        </w:rPr>
        <w:t>aux</w:t>
      </w:r>
      <w:r w:rsidRPr="0076277E">
        <w:rPr>
          <w:lang w:val="fr-FR"/>
        </w:rPr>
        <w:t xml:space="preserve"> I</w:t>
      </w:r>
      <w:r w:rsidR="0019001B" w:rsidRPr="0076277E">
        <w:rPr>
          <w:lang w:val="fr-FR"/>
        </w:rPr>
        <w:t>RR peuvent servir,</w:t>
      </w:r>
      <w:r w:rsidRPr="0076277E">
        <w:rPr>
          <w:lang w:val="fr-FR"/>
        </w:rPr>
        <w:t xml:space="preserve"> y compris </w:t>
      </w:r>
      <w:r w:rsidR="0019001B" w:rsidRPr="0076277E">
        <w:rPr>
          <w:lang w:val="fr-FR"/>
        </w:rPr>
        <w:t xml:space="preserve">sur la question de savoir </w:t>
      </w:r>
      <w:r w:rsidRPr="0076277E">
        <w:rPr>
          <w:lang w:val="fr-FR"/>
        </w:rPr>
        <w:t xml:space="preserve">si ces fonds ont été utilisés dans le passé pour financer </w:t>
      </w:r>
      <w:r w:rsidR="002670B4">
        <w:rPr>
          <w:lang w:val="fr-FR"/>
        </w:rPr>
        <w:t>la</w:t>
      </w:r>
      <w:r w:rsidRPr="0076277E">
        <w:rPr>
          <w:lang w:val="fr-FR"/>
        </w:rPr>
        <w:t xml:space="preserve"> participation </w:t>
      </w:r>
      <w:r w:rsidR="002670B4">
        <w:rPr>
          <w:lang w:val="fr-FR"/>
        </w:rPr>
        <w:t xml:space="preserve">de délégués </w:t>
      </w:r>
      <w:r w:rsidRPr="0076277E">
        <w:rPr>
          <w:lang w:val="fr-FR"/>
        </w:rPr>
        <w:t xml:space="preserve">à la COP (ce </w:t>
      </w:r>
      <w:r w:rsidR="00F93C0B" w:rsidRPr="0076277E">
        <w:rPr>
          <w:lang w:val="fr-FR"/>
        </w:rPr>
        <w:t>à quoi ils ne sont pas destinés)</w:t>
      </w:r>
      <w:r w:rsidRPr="0076277E">
        <w:rPr>
          <w:lang w:val="fr-FR"/>
        </w:rPr>
        <w:t xml:space="preserve">, </w:t>
      </w:r>
      <w:r w:rsidR="002670B4">
        <w:rPr>
          <w:lang w:val="fr-FR"/>
        </w:rPr>
        <w:t>car</w:t>
      </w:r>
      <w:r w:rsidRPr="0076277E">
        <w:rPr>
          <w:lang w:val="fr-FR"/>
        </w:rPr>
        <w:t xml:space="preserve"> cela créerait des inégalités </w:t>
      </w:r>
      <w:r w:rsidR="00F93C0B" w:rsidRPr="0076277E">
        <w:rPr>
          <w:lang w:val="fr-FR"/>
        </w:rPr>
        <w:t>s</w:t>
      </w:r>
      <w:r w:rsidR="00893AD0">
        <w:rPr>
          <w:lang w:val="fr-FR"/>
        </w:rPr>
        <w:t>’</w:t>
      </w:r>
      <w:r w:rsidR="00F93C0B" w:rsidRPr="0076277E">
        <w:rPr>
          <w:lang w:val="fr-FR"/>
        </w:rPr>
        <w:t>agissant de</w:t>
      </w:r>
      <w:r w:rsidRPr="0076277E">
        <w:rPr>
          <w:lang w:val="fr-FR"/>
        </w:rPr>
        <w:t xml:space="preserve"> l</w:t>
      </w:r>
      <w:r w:rsidR="00893AD0">
        <w:rPr>
          <w:lang w:val="fr-FR"/>
        </w:rPr>
        <w:t>’</w:t>
      </w:r>
      <w:r w:rsidRPr="0076277E">
        <w:rPr>
          <w:lang w:val="fr-FR"/>
        </w:rPr>
        <w:t xml:space="preserve">allocation de fonds pour les </w:t>
      </w:r>
      <w:r w:rsidR="002670B4">
        <w:rPr>
          <w:lang w:val="fr-FR"/>
        </w:rPr>
        <w:t>déplacements</w:t>
      </w:r>
      <w:r w:rsidRPr="0076277E">
        <w:rPr>
          <w:lang w:val="fr-FR"/>
        </w:rPr>
        <w:t xml:space="preserve"> des délégués</w:t>
      </w:r>
      <w:r w:rsidR="00F93C0B" w:rsidRPr="0076277E">
        <w:rPr>
          <w:lang w:val="fr-FR"/>
        </w:rPr>
        <w:t> ; il s</w:t>
      </w:r>
      <w:r w:rsidR="00893AD0">
        <w:rPr>
          <w:lang w:val="fr-FR"/>
        </w:rPr>
        <w:t>’</w:t>
      </w:r>
      <w:r w:rsidR="00F93C0B" w:rsidRPr="0076277E">
        <w:rPr>
          <w:lang w:val="fr-FR"/>
        </w:rPr>
        <w:t xml:space="preserve">inquiète également </w:t>
      </w:r>
      <w:r w:rsidR="00714BAF" w:rsidRPr="0076277E">
        <w:rPr>
          <w:lang w:val="fr-FR"/>
        </w:rPr>
        <w:t>d</w:t>
      </w:r>
      <w:r w:rsidRPr="0076277E">
        <w:rPr>
          <w:lang w:val="fr-FR"/>
        </w:rPr>
        <w:t xml:space="preserve">u fait que </w:t>
      </w:r>
      <w:r w:rsidR="002670B4">
        <w:rPr>
          <w:lang w:val="fr-FR"/>
        </w:rPr>
        <w:t>c</w:t>
      </w:r>
      <w:r w:rsidRPr="0076277E">
        <w:rPr>
          <w:lang w:val="fr-FR"/>
        </w:rPr>
        <w:t xml:space="preserve">es allocations </w:t>
      </w:r>
      <w:r w:rsidR="00714BAF" w:rsidRPr="0076277E">
        <w:rPr>
          <w:lang w:val="fr-FR"/>
        </w:rPr>
        <w:t xml:space="preserve">à partir </w:t>
      </w:r>
      <w:r w:rsidRPr="0076277E">
        <w:rPr>
          <w:lang w:val="fr-FR"/>
        </w:rPr>
        <w:t xml:space="preserve">du budget </w:t>
      </w:r>
      <w:r w:rsidR="00714BAF" w:rsidRPr="0076277E">
        <w:rPr>
          <w:lang w:val="fr-FR"/>
        </w:rPr>
        <w:t>administratif</w:t>
      </w:r>
      <w:r w:rsidRPr="0076277E">
        <w:rPr>
          <w:lang w:val="fr-FR"/>
        </w:rPr>
        <w:t xml:space="preserve"> de la Convention ne so</w:t>
      </w:r>
      <w:r w:rsidR="00714BAF" w:rsidRPr="0076277E">
        <w:rPr>
          <w:lang w:val="fr-FR"/>
        </w:rPr>
        <w:t>ie</w:t>
      </w:r>
      <w:r w:rsidRPr="0076277E">
        <w:rPr>
          <w:lang w:val="fr-FR"/>
        </w:rPr>
        <w:t xml:space="preserve">nt pas auditées, </w:t>
      </w:r>
      <w:r w:rsidR="00714BAF" w:rsidRPr="0076277E">
        <w:rPr>
          <w:lang w:val="fr-FR"/>
        </w:rPr>
        <w:t>et propose</w:t>
      </w:r>
      <w:r w:rsidRPr="0076277E">
        <w:rPr>
          <w:lang w:val="fr-FR"/>
        </w:rPr>
        <w:t xml:space="preserve"> que toute recommandation </w:t>
      </w:r>
      <w:r w:rsidR="00714BAF" w:rsidRPr="0076277E">
        <w:rPr>
          <w:lang w:val="fr-FR"/>
        </w:rPr>
        <w:t>fasse référence</w:t>
      </w:r>
      <w:r w:rsidRPr="0076277E">
        <w:rPr>
          <w:lang w:val="fr-FR"/>
        </w:rPr>
        <w:t xml:space="preserve"> </w:t>
      </w:r>
      <w:r w:rsidR="00714BAF" w:rsidRPr="0076277E">
        <w:rPr>
          <w:lang w:val="fr-FR"/>
        </w:rPr>
        <w:t xml:space="preserve">au </w:t>
      </w:r>
      <w:r w:rsidRPr="0076277E">
        <w:rPr>
          <w:lang w:val="fr-FR"/>
        </w:rPr>
        <w:t>paragraphe 8.d. de la Résolution</w:t>
      </w:r>
      <w:r w:rsidR="00714BAF" w:rsidRPr="0076277E">
        <w:rPr>
          <w:lang w:val="fr-FR"/>
        </w:rPr>
        <w:t> </w:t>
      </w:r>
      <w:r w:rsidRPr="0076277E">
        <w:rPr>
          <w:lang w:val="fr-FR"/>
        </w:rPr>
        <w:t xml:space="preserve">XIII.9 </w:t>
      </w:r>
      <w:r w:rsidR="00570276" w:rsidRPr="0076277E">
        <w:rPr>
          <w:lang w:val="fr-FR"/>
        </w:rPr>
        <w:t xml:space="preserve">(« Les IRR sont financièrement responsables ») </w:t>
      </w:r>
      <w:r w:rsidR="00D83848">
        <w:rPr>
          <w:lang w:val="fr-FR"/>
        </w:rPr>
        <w:t>pour</w:t>
      </w:r>
      <w:r w:rsidR="00714BAF" w:rsidRPr="0076277E">
        <w:rPr>
          <w:lang w:val="fr-FR"/>
        </w:rPr>
        <w:t xml:space="preserve"> garantir la</w:t>
      </w:r>
      <w:r w:rsidRPr="0076277E">
        <w:rPr>
          <w:lang w:val="fr-FR"/>
        </w:rPr>
        <w:t xml:space="preserve"> responsabilité financière des </w:t>
      </w:r>
      <w:r w:rsidR="00714BAF" w:rsidRPr="0076277E">
        <w:rPr>
          <w:lang w:val="fr-FR"/>
        </w:rPr>
        <w:t>I</w:t>
      </w:r>
      <w:r w:rsidRPr="0076277E">
        <w:rPr>
          <w:lang w:val="fr-FR"/>
        </w:rPr>
        <w:t xml:space="preserve">RR. Le groupe </w:t>
      </w:r>
      <w:r w:rsidR="00021153" w:rsidRPr="0076277E">
        <w:rPr>
          <w:lang w:val="fr-FR"/>
        </w:rPr>
        <w:t>jug</w:t>
      </w:r>
      <w:r w:rsidRPr="0076277E">
        <w:rPr>
          <w:lang w:val="fr-FR"/>
        </w:rPr>
        <w:t xml:space="preserve">e </w:t>
      </w:r>
      <w:r w:rsidR="00021153" w:rsidRPr="0076277E">
        <w:rPr>
          <w:lang w:val="fr-FR"/>
        </w:rPr>
        <w:t xml:space="preserve">approprié de réaliser un </w:t>
      </w:r>
      <w:r w:rsidRPr="0076277E">
        <w:rPr>
          <w:lang w:val="fr-FR"/>
        </w:rPr>
        <w:t xml:space="preserve">audit ou </w:t>
      </w:r>
      <w:r w:rsidR="00021153" w:rsidRPr="0076277E">
        <w:rPr>
          <w:lang w:val="fr-FR"/>
        </w:rPr>
        <w:t>d</w:t>
      </w:r>
      <w:r w:rsidR="00893AD0">
        <w:rPr>
          <w:lang w:val="fr-FR"/>
        </w:rPr>
        <w:t>’</w:t>
      </w:r>
      <w:r w:rsidRPr="0076277E">
        <w:rPr>
          <w:lang w:val="fr-FR"/>
        </w:rPr>
        <w:t>exige</w:t>
      </w:r>
      <w:r w:rsidR="00021153" w:rsidRPr="0076277E">
        <w:rPr>
          <w:lang w:val="fr-FR"/>
        </w:rPr>
        <w:t>r</w:t>
      </w:r>
      <w:r w:rsidRPr="0076277E">
        <w:rPr>
          <w:lang w:val="fr-FR"/>
        </w:rPr>
        <w:t xml:space="preserve"> de</w:t>
      </w:r>
      <w:r w:rsidR="00021153" w:rsidRPr="0076277E">
        <w:rPr>
          <w:lang w:val="fr-FR"/>
        </w:rPr>
        <w:t>s</w:t>
      </w:r>
      <w:r w:rsidRPr="0076277E">
        <w:rPr>
          <w:lang w:val="fr-FR"/>
        </w:rPr>
        <w:t xml:space="preserve"> rapports financiers plus détaillés et certifiés de la part des </w:t>
      </w:r>
      <w:r w:rsidR="00021153" w:rsidRPr="0076277E">
        <w:rPr>
          <w:lang w:val="fr-FR"/>
        </w:rPr>
        <w:t>I</w:t>
      </w:r>
      <w:r w:rsidRPr="0076277E">
        <w:rPr>
          <w:lang w:val="fr-FR"/>
        </w:rPr>
        <w:t xml:space="preserve">RR </w:t>
      </w:r>
      <w:r w:rsidR="00021153" w:rsidRPr="0076277E">
        <w:rPr>
          <w:lang w:val="fr-FR"/>
        </w:rPr>
        <w:t xml:space="preserve">qui </w:t>
      </w:r>
      <w:r w:rsidRPr="0076277E">
        <w:rPr>
          <w:lang w:val="fr-FR"/>
        </w:rPr>
        <w:t>re</w:t>
      </w:r>
      <w:r w:rsidR="00021153" w:rsidRPr="0076277E">
        <w:rPr>
          <w:lang w:val="fr-FR"/>
        </w:rPr>
        <w:t>çoiven</w:t>
      </w:r>
      <w:r w:rsidRPr="0076277E">
        <w:rPr>
          <w:lang w:val="fr-FR"/>
        </w:rPr>
        <w:t>t des fonds</w:t>
      </w:r>
      <w:r w:rsidR="00021153" w:rsidRPr="0076277E">
        <w:rPr>
          <w:lang w:val="fr-FR"/>
        </w:rPr>
        <w:t xml:space="preserve"> du budget administratif</w:t>
      </w:r>
      <w:r w:rsidRPr="0076277E">
        <w:rPr>
          <w:lang w:val="fr-FR"/>
        </w:rPr>
        <w:t xml:space="preserve">, comme </w:t>
      </w:r>
      <w:r w:rsidR="00021153" w:rsidRPr="0076277E">
        <w:rPr>
          <w:lang w:val="fr-FR"/>
        </w:rPr>
        <w:t>c</w:t>
      </w:r>
      <w:r w:rsidR="00893AD0">
        <w:rPr>
          <w:lang w:val="fr-FR"/>
        </w:rPr>
        <w:t>’</w:t>
      </w:r>
      <w:r w:rsidR="00021153" w:rsidRPr="0076277E">
        <w:rPr>
          <w:lang w:val="fr-FR"/>
        </w:rPr>
        <w:t xml:space="preserve">est le cas </w:t>
      </w:r>
      <w:r w:rsidRPr="0076277E">
        <w:rPr>
          <w:lang w:val="fr-FR"/>
        </w:rPr>
        <w:t xml:space="preserve">pour tout rapport financier standard </w:t>
      </w:r>
      <w:r w:rsidR="00675CB2" w:rsidRPr="0076277E">
        <w:rPr>
          <w:lang w:val="fr-FR"/>
        </w:rPr>
        <w:t>intégré sous forme de dépense officielle</w:t>
      </w:r>
      <w:r w:rsidRPr="0076277E">
        <w:rPr>
          <w:lang w:val="fr-FR"/>
        </w:rPr>
        <w:t xml:space="preserve"> dans l</w:t>
      </w:r>
      <w:r w:rsidR="00675CB2" w:rsidRPr="0076277E">
        <w:rPr>
          <w:lang w:val="fr-FR"/>
        </w:rPr>
        <w:t xml:space="preserve">es </w:t>
      </w:r>
      <w:r w:rsidRPr="0076277E">
        <w:rPr>
          <w:lang w:val="fr-FR"/>
        </w:rPr>
        <w:t>état</w:t>
      </w:r>
      <w:r w:rsidR="00675CB2" w:rsidRPr="0076277E">
        <w:rPr>
          <w:lang w:val="fr-FR"/>
        </w:rPr>
        <w:t>s</w:t>
      </w:r>
      <w:r w:rsidRPr="0076277E">
        <w:rPr>
          <w:lang w:val="fr-FR"/>
        </w:rPr>
        <w:t xml:space="preserve"> financier</w:t>
      </w:r>
      <w:r w:rsidR="00675CB2" w:rsidRPr="0076277E">
        <w:rPr>
          <w:lang w:val="fr-FR"/>
        </w:rPr>
        <w:t>s</w:t>
      </w:r>
      <w:r w:rsidRPr="0076277E">
        <w:rPr>
          <w:lang w:val="fr-FR"/>
        </w:rPr>
        <w:t xml:space="preserve"> du budget </w:t>
      </w:r>
      <w:r w:rsidR="00675CB2" w:rsidRPr="0076277E">
        <w:rPr>
          <w:lang w:val="fr-FR"/>
        </w:rPr>
        <w:t>administratif</w:t>
      </w:r>
      <w:r w:rsidRPr="0076277E">
        <w:rPr>
          <w:lang w:val="fr-FR"/>
        </w:rPr>
        <w:t>. Le Président invit</w:t>
      </w:r>
      <w:r w:rsidR="004873A1" w:rsidRPr="0076277E">
        <w:rPr>
          <w:lang w:val="fr-FR"/>
        </w:rPr>
        <w:t>e</w:t>
      </w:r>
      <w:r w:rsidRPr="0076277E">
        <w:rPr>
          <w:lang w:val="fr-FR"/>
        </w:rPr>
        <w:t xml:space="preserve"> les </w:t>
      </w:r>
      <w:r w:rsidR="00D83848">
        <w:rPr>
          <w:lang w:val="fr-FR"/>
        </w:rPr>
        <w:t>membres</w:t>
      </w:r>
      <w:r w:rsidRPr="0076277E">
        <w:rPr>
          <w:lang w:val="fr-FR"/>
        </w:rPr>
        <w:t xml:space="preserve"> à </w:t>
      </w:r>
      <w:r w:rsidR="004873A1" w:rsidRPr="0076277E">
        <w:rPr>
          <w:lang w:val="fr-FR"/>
        </w:rPr>
        <w:t>proposer d</w:t>
      </w:r>
      <w:r w:rsidR="00893AD0">
        <w:rPr>
          <w:lang w:val="fr-FR"/>
        </w:rPr>
        <w:t>’</w:t>
      </w:r>
      <w:r w:rsidR="004873A1" w:rsidRPr="0076277E">
        <w:rPr>
          <w:lang w:val="fr-FR"/>
        </w:rPr>
        <w:t xml:space="preserve">autres </w:t>
      </w:r>
      <w:r w:rsidRPr="0076277E">
        <w:rPr>
          <w:lang w:val="fr-FR"/>
        </w:rPr>
        <w:t xml:space="preserve">mesures </w:t>
      </w:r>
      <w:r w:rsidR="00D83848">
        <w:rPr>
          <w:lang w:val="fr-FR"/>
        </w:rPr>
        <w:t xml:space="preserve">appropriées </w:t>
      </w:r>
      <w:r w:rsidR="004873A1" w:rsidRPr="0076277E">
        <w:rPr>
          <w:lang w:val="fr-FR"/>
        </w:rPr>
        <w:t>concernant la</w:t>
      </w:r>
      <w:r w:rsidRPr="0076277E">
        <w:rPr>
          <w:lang w:val="fr-FR"/>
        </w:rPr>
        <w:t xml:space="preserve"> gestion des risques, </w:t>
      </w:r>
      <w:r w:rsidR="004873A1" w:rsidRPr="0076277E">
        <w:rPr>
          <w:lang w:val="fr-FR"/>
        </w:rPr>
        <w:t>la</w:t>
      </w:r>
      <w:r w:rsidRPr="0076277E">
        <w:rPr>
          <w:lang w:val="fr-FR"/>
        </w:rPr>
        <w:t xml:space="preserve"> gouvernance et </w:t>
      </w:r>
      <w:r w:rsidR="004873A1" w:rsidRPr="0076277E">
        <w:rPr>
          <w:lang w:val="fr-FR"/>
        </w:rPr>
        <w:t>la présentation de rapports</w:t>
      </w:r>
      <w:r w:rsidRPr="0076277E">
        <w:rPr>
          <w:lang w:val="fr-FR"/>
        </w:rPr>
        <w:t xml:space="preserve"> </w:t>
      </w:r>
      <w:r w:rsidR="00D83848">
        <w:rPr>
          <w:lang w:val="fr-FR"/>
        </w:rPr>
        <w:t xml:space="preserve">appropriée </w:t>
      </w:r>
      <w:r w:rsidR="009511D0" w:rsidRPr="0076277E">
        <w:rPr>
          <w:lang w:val="fr-FR"/>
        </w:rPr>
        <w:t xml:space="preserve">qui pourraient </w:t>
      </w:r>
      <w:r w:rsidRPr="0076277E">
        <w:rPr>
          <w:lang w:val="fr-FR"/>
        </w:rPr>
        <w:t>être appliquées. La Secrétaire générale inform</w:t>
      </w:r>
      <w:r w:rsidR="009511D0" w:rsidRPr="0076277E">
        <w:rPr>
          <w:lang w:val="fr-FR"/>
        </w:rPr>
        <w:t>e</w:t>
      </w:r>
      <w:r w:rsidRPr="0076277E">
        <w:rPr>
          <w:lang w:val="fr-FR"/>
        </w:rPr>
        <w:t xml:space="preserve"> le Sous-groupe des mesures prises pour </w:t>
      </w:r>
      <w:r w:rsidR="009511D0" w:rsidRPr="0076277E">
        <w:rPr>
          <w:lang w:val="fr-FR"/>
        </w:rPr>
        <w:t>garantir</w:t>
      </w:r>
      <w:r w:rsidRPr="0076277E">
        <w:rPr>
          <w:lang w:val="fr-FR"/>
        </w:rPr>
        <w:t xml:space="preserve"> la transparence des rapports au Comité permanent résumant les informations contenues dans les rapports annuels des </w:t>
      </w:r>
      <w:r w:rsidR="009511D0" w:rsidRPr="0076277E">
        <w:rPr>
          <w:lang w:val="fr-FR"/>
        </w:rPr>
        <w:t>I</w:t>
      </w:r>
      <w:r w:rsidRPr="0076277E">
        <w:rPr>
          <w:lang w:val="fr-FR"/>
        </w:rPr>
        <w:t xml:space="preserve">RR. Elle précise que les </w:t>
      </w:r>
      <w:r w:rsidR="009511D0" w:rsidRPr="0076277E">
        <w:rPr>
          <w:lang w:val="fr-FR"/>
        </w:rPr>
        <w:t>I</w:t>
      </w:r>
      <w:r w:rsidRPr="0076277E">
        <w:rPr>
          <w:lang w:val="fr-FR"/>
        </w:rPr>
        <w:t xml:space="preserve">RR </w:t>
      </w:r>
      <w:r w:rsidR="009511D0" w:rsidRPr="0076277E">
        <w:rPr>
          <w:lang w:val="fr-FR"/>
        </w:rPr>
        <w:t>s</w:t>
      </w:r>
      <w:r w:rsidR="00893AD0">
        <w:rPr>
          <w:lang w:val="fr-FR"/>
        </w:rPr>
        <w:t>’</w:t>
      </w:r>
      <w:r w:rsidR="009511D0" w:rsidRPr="0076277E">
        <w:rPr>
          <w:lang w:val="fr-FR"/>
        </w:rPr>
        <w:t xml:space="preserve">appuient sur un </w:t>
      </w:r>
      <w:r w:rsidRPr="0076277E">
        <w:rPr>
          <w:lang w:val="fr-FR"/>
        </w:rPr>
        <w:t>modèle</w:t>
      </w:r>
      <w:r w:rsidR="009511D0" w:rsidRPr="0076277E">
        <w:rPr>
          <w:lang w:val="fr-FR"/>
        </w:rPr>
        <w:t xml:space="preserve"> pour établir leurs rapports</w:t>
      </w:r>
      <w:r w:rsidR="00D83848">
        <w:rPr>
          <w:lang w:val="fr-FR"/>
        </w:rPr>
        <w:t xml:space="preserve"> et</w:t>
      </w:r>
      <w:r w:rsidR="009511D0" w:rsidRPr="0076277E">
        <w:rPr>
          <w:lang w:val="fr-FR"/>
        </w:rPr>
        <w:t xml:space="preserve"> que</w:t>
      </w:r>
      <w:r w:rsidRPr="0076277E">
        <w:rPr>
          <w:lang w:val="fr-FR"/>
        </w:rPr>
        <w:t xml:space="preserve"> le Secrétariat </w:t>
      </w:r>
      <w:r w:rsidR="009511D0" w:rsidRPr="0076277E">
        <w:rPr>
          <w:lang w:val="fr-FR"/>
        </w:rPr>
        <w:t xml:space="preserve">avait </w:t>
      </w:r>
      <w:r w:rsidRPr="0076277E">
        <w:rPr>
          <w:lang w:val="fr-FR"/>
        </w:rPr>
        <w:t>initialement</w:t>
      </w:r>
      <w:r w:rsidR="009511D0" w:rsidRPr="0076277E">
        <w:rPr>
          <w:lang w:val="fr-FR"/>
        </w:rPr>
        <w:t xml:space="preserve"> soumis une proposition de m</w:t>
      </w:r>
      <w:r w:rsidRPr="0076277E">
        <w:rPr>
          <w:lang w:val="fr-FR"/>
        </w:rPr>
        <w:t xml:space="preserve">odèle révisé </w:t>
      </w:r>
      <w:r w:rsidR="009511D0" w:rsidRPr="0076277E">
        <w:rPr>
          <w:lang w:val="fr-FR"/>
        </w:rPr>
        <w:t>à la 58</w:t>
      </w:r>
      <w:r w:rsidR="009511D0" w:rsidRPr="0076277E">
        <w:rPr>
          <w:vertAlign w:val="superscript"/>
          <w:lang w:val="fr-FR"/>
        </w:rPr>
        <w:t>e</w:t>
      </w:r>
      <w:r w:rsidR="009511D0" w:rsidRPr="0076277E">
        <w:rPr>
          <w:lang w:val="fr-FR"/>
        </w:rPr>
        <w:t xml:space="preserve"> Réunion du Comité permanent en vue de renforcer la responsabilité redditionnelle</w:t>
      </w:r>
      <w:r w:rsidRPr="0076277E">
        <w:rPr>
          <w:lang w:val="fr-FR"/>
        </w:rPr>
        <w:t>, et note que ce point n</w:t>
      </w:r>
      <w:r w:rsidR="00893AD0">
        <w:rPr>
          <w:lang w:val="fr-FR"/>
        </w:rPr>
        <w:t>’</w:t>
      </w:r>
      <w:r w:rsidRPr="0076277E">
        <w:rPr>
          <w:lang w:val="fr-FR"/>
        </w:rPr>
        <w:t xml:space="preserve">a pas encore été abordé par le Comité permanent. </w:t>
      </w:r>
    </w:p>
    <w:p w14:paraId="0B911D9B" w14:textId="77777777" w:rsidR="008867E3" w:rsidRPr="0076277E" w:rsidRDefault="008867E3" w:rsidP="00FF429F">
      <w:pPr>
        <w:widowControl/>
        <w:rPr>
          <w:lang w:val="fr-FR"/>
        </w:rPr>
      </w:pPr>
    </w:p>
    <w:p w14:paraId="16A44C89" w14:textId="7401ACEF" w:rsidR="00FF429F" w:rsidRPr="0076277E" w:rsidRDefault="009229A6" w:rsidP="00FF429F">
      <w:pPr>
        <w:widowControl/>
        <w:rPr>
          <w:lang w:val="fr-FR"/>
        </w:rPr>
      </w:pPr>
      <w:r w:rsidRPr="0076277E">
        <w:rPr>
          <w:lang w:val="fr-FR"/>
        </w:rPr>
        <w:t>Il est également relevé que la présentation des rapports existants dans les langues de la Convention autres que l</w:t>
      </w:r>
      <w:r w:rsidR="00893AD0">
        <w:rPr>
          <w:lang w:val="fr-FR"/>
        </w:rPr>
        <w:t>’</w:t>
      </w:r>
      <w:r w:rsidRPr="0076277E">
        <w:rPr>
          <w:lang w:val="fr-FR"/>
        </w:rPr>
        <w:t>anglais rend difficile leur évaluation par le Sous-groupe. D</w:t>
      </w:r>
      <w:r w:rsidR="00893AD0">
        <w:rPr>
          <w:lang w:val="fr-FR"/>
        </w:rPr>
        <w:t>’</w:t>
      </w:r>
      <w:r w:rsidRPr="0076277E">
        <w:rPr>
          <w:lang w:val="fr-FR"/>
        </w:rPr>
        <w:t xml:space="preserve">autres exigences pourraient également figurer dans les nouvelles </w:t>
      </w:r>
      <w:r w:rsidR="00C92149">
        <w:rPr>
          <w:lang w:val="fr-FR"/>
        </w:rPr>
        <w:t>directives à l</w:t>
      </w:r>
      <w:r w:rsidR="00893AD0">
        <w:rPr>
          <w:lang w:val="fr-FR"/>
        </w:rPr>
        <w:t>’</w:t>
      </w:r>
      <w:r w:rsidR="00C92149">
        <w:rPr>
          <w:lang w:val="fr-FR"/>
        </w:rPr>
        <w:t>intention des IRR en cours d</w:t>
      </w:r>
      <w:r w:rsidR="00893AD0">
        <w:rPr>
          <w:lang w:val="fr-FR"/>
        </w:rPr>
        <w:t>’</w:t>
      </w:r>
      <w:r w:rsidR="00C92149">
        <w:rPr>
          <w:lang w:val="fr-FR"/>
        </w:rPr>
        <w:t>élaboration, ainsi que dans de futures résolutions de la COP relatives aux finances.</w:t>
      </w:r>
    </w:p>
    <w:p w14:paraId="3818DFB7" w14:textId="71AC9767" w:rsidR="00FF429F" w:rsidRPr="0076277E" w:rsidRDefault="00CC0330" w:rsidP="00C92149">
      <w:pPr>
        <w:widowControl/>
        <w:tabs>
          <w:tab w:val="left" w:pos="720"/>
          <w:tab w:val="left" w:pos="8676"/>
        </w:tabs>
        <w:rPr>
          <w:rFonts w:asciiTheme="minorHAnsi" w:hAnsiTheme="minorHAnsi" w:cstheme="minorHAnsi"/>
          <w:i/>
          <w:color w:val="0000FF"/>
          <w:lang w:val="fr-FR"/>
        </w:rPr>
      </w:pPr>
      <w:r w:rsidRPr="0076277E">
        <w:rPr>
          <w:rFonts w:asciiTheme="minorHAnsi" w:hAnsiTheme="minorHAnsi" w:cstheme="minorHAnsi"/>
          <w:i/>
          <w:color w:val="0000FF"/>
          <w:lang w:val="fr-FR"/>
        </w:rPr>
        <w:tab/>
      </w:r>
    </w:p>
    <w:p w14:paraId="2D4B2EF2" w14:textId="4F021DFC" w:rsidR="00FF429F" w:rsidRPr="0076277E" w:rsidRDefault="00FC26F9" w:rsidP="00FF429F">
      <w:pPr>
        <w:widowControl/>
        <w:rPr>
          <w:rFonts w:asciiTheme="minorHAnsi" w:hAnsiTheme="minorHAnsi" w:cstheme="minorHAnsi"/>
          <w:i/>
          <w:iCs/>
          <w:color w:val="0000FF"/>
          <w:lang w:val="fr-FR" w:eastAsia="ja-JP"/>
        </w:rPr>
      </w:pPr>
      <w:r w:rsidRPr="0076277E">
        <w:rPr>
          <w:rFonts w:asciiTheme="minorHAnsi" w:hAnsiTheme="minorHAnsi" w:cstheme="minorHAnsi"/>
          <w:i/>
          <w:color w:val="0000FF"/>
          <w:lang w:val="fr-FR"/>
        </w:rPr>
        <w:t>Recommandation pour décision par le Comité permanent </w:t>
      </w:r>
      <w:r w:rsidR="00FF429F" w:rsidRPr="0076277E">
        <w:rPr>
          <w:rFonts w:asciiTheme="minorHAnsi" w:hAnsiTheme="minorHAnsi" w:cstheme="minorHAnsi"/>
          <w:i/>
          <w:iCs/>
          <w:color w:val="0000FF"/>
          <w:lang w:val="fr-FR" w:eastAsia="ja-JP"/>
        </w:rPr>
        <w:t>:</w:t>
      </w:r>
    </w:p>
    <w:p w14:paraId="3854CDFC" w14:textId="77777777" w:rsidR="00FF429F" w:rsidRPr="0076277E" w:rsidRDefault="00FF429F" w:rsidP="00FF429F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286F0EBF" w14:textId="2F3CCFF8" w:rsidR="00FF429F" w:rsidRPr="0076277E" w:rsidRDefault="009229A6" w:rsidP="002B1B19">
      <w:pPr>
        <w:widowControl/>
        <w:rPr>
          <w:rFonts w:asciiTheme="minorHAnsi" w:hAnsiTheme="minorHAnsi" w:cstheme="minorHAnsi"/>
          <w:b/>
          <w:i/>
          <w:lang w:val="fr-FR"/>
        </w:rPr>
      </w:pPr>
      <w:r w:rsidRPr="0076277E">
        <w:rPr>
          <w:rFonts w:asciiTheme="minorHAnsi" w:hAnsiTheme="minorHAnsi" w:cstheme="minorHAnsi"/>
          <w:b/>
          <w:i/>
          <w:lang w:val="fr-FR"/>
        </w:rPr>
        <w:t>Le Sous-groupe sur les finances recommande au Comité permanent d</w:t>
      </w:r>
      <w:r w:rsidR="00893AD0">
        <w:rPr>
          <w:rFonts w:asciiTheme="minorHAnsi" w:hAnsiTheme="minorHAnsi" w:cstheme="minorHAnsi"/>
          <w:b/>
          <w:i/>
          <w:lang w:val="fr-FR"/>
        </w:rPr>
        <w:t>’</w:t>
      </w:r>
      <w:r w:rsidRPr="0076277E">
        <w:rPr>
          <w:rFonts w:asciiTheme="minorHAnsi" w:hAnsiTheme="minorHAnsi" w:cstheme="minorHAnsi"/>
          <w:b/>
          <w:i/>
          <w:lang w:val="fr-FR"/>
        </w:rPr>
        <w:t>approuver</w:t>
      </w:r>
      <w:r w:rsidR="002B1B19" w:rsidRPr="0076277E">
        <w:rPr>
          <w:rFonts w:eastAsia="Calibri" w:cs="Times New Roman"/>
          <w:lang w:val="fr-FR"/>
        </w:rPr>
        <w:t xml:space="preserve"> </w:t>
      </w:r>
      <w:r w:rsidR="002B1B19" w:rsidRPr="0076277E">
        <w:rPr>
          <w:rFonts w:asciiTheme="minorHAnsi" w:hAnsiTheme="minorHAnsi" w:cstheme="minorHAnsi"/>
          <w:b/>
          <w:i/>
          <w:lang w:val="fr-FR"/>
        </w:rPr>
        <w:t>l</w:t>
      </w:r>
      <w:r w:rsidR="00893AD0">
        <w:rPr>
          <w:rFonts w:asciiTheme="minorHAnsi" w:hAnsiTheme="minorHAnsi" w:cstheme="minorHAnsi"/>
          <w:b/>
          <w:i/>
          <w:lang w:val="fr-FR"/>
        </w:rPr>
        <w:t>’</w:t>
      </w:r>
      <w:r w:rsidR="002B1B19" w:rsidRPr="0076277E">
        <w:rPr>
          <w:rFonts w:asciiTheme="minorHAnsi" w:hAnsiTheme="minorHAnsi" w:cstheme="minorHAnsi"/>
          <w:b/>
          <w:i/>
          <w:lang w:val="fr-FR"/>
        </w:rPr>
        <w:t>allocation de la ligne budgétaire D « Appui aux initiatives régionales » du budget administratif, d</w:t>
      </w:r>
      <w:r w:rsidR="00893AD0">
        <w:rPr>
          <w:rFonts w:asciiTheme="minorHAnsi" w:hAnsiTheme="minorHAnsi" w:cstheme="minorHAnsi"/>
          <w:b/>
          <w:i/>
          <w:lang w:val="fr-FR"/>
        </w:rPr>
        <w:t>’</w:t>
      </w:r>
      <w:r w:rsidR="002B1B19" w:rsidRPr="0076277E">
        <w:rPr>
          <w:rFonts w:asciiTheme="minorHAnsi" w:hAnsiTheme="minorHAnsi" w:cstheme="minorHAnsi"/>
          <w:b/>
          <w:i/>
          <w:lang w:val="fr-FR"/>
        </w:rPr>
        <w:t>un montant de 25 000 CHF, à chacune des quatre IRR éligibles pour la réalisation de leurs activités en 2021, sous réserve que les IRR bénéficiaires se conforment à l</w:t>
      </w:r>
      <w:r w:rsidR="00893AD0">
        <w:rPr>
          <w:rFonts w:asciiTheme="minorHAnsi" w:hAnsiTheme="minorHAnsi" w:cstheme="minorHAnsi"/>
          <w:b/>
          <w:i/>
          <w:lang w:val="fr-FR"/>
        </w:rPr>
        <w:t>’</w:t>
      </w:r>
      <w:r w:rsidR="002B1B19" w:rsidRPr="0076277E">
        <w:rPr>
          <w:rFonts w:asciiTheme="minorHAnsi" w:hAnsiTheme="minorHAnsi" w:cstheme="minorHAnsi"/>
          <w:b/>
          <w:i/>
          <w:lang w:val="fr-FR"/>
        </w:rPr>
        <w:t>alinéa </w:t>
      </w:r>
      <w:r w:rsidR="00FF429F" w:rsidRPr="0076277E">
        <w:rPr>
          <w:rFonts w:asciiTheme="minorHAnsi" w:hAnsiTheme="minorHAnsi" w:cstheme="minorHAnsi"/>
          <w:b/>
          <w:i/>
          <w:lang w:val="fr-FR"/>
        </w:rPr>
        <w:t xml:space="preserve">8.d. </w:t>
      </w:r>
      <w:r w:rsidR="002B1B19" w:rsidRPr="0076277E">
        <w:rPr>
          <w:rFonts w:asciiTheme="minorHAnsi" w:hAnsiTheme="minorHAnsi" w:cstheme="minorHAnsi"/>
          <w:b/>
          <w:i/>
          <w:lang w:val="fr-FR"/>
        </w:rPr>
        <w:t>de la</w:t>
      </w:r>
      <w:r w:rsidR="00FF429F" w:rsidRPr="0076277E">
        <w:rPr>
          <w:rFonts w:asciiTheme="minorHAnsi" w:hAnsiTheme="minorHAnsi" w:cstheme="minorHAnsi"/>
          <w:b/>
          <w:i/>
          <w:lang w:val="fr-FR"/>
        </w:rPr>
        <w:t xml:space="preserve"> R</w:t>
      </w:r>
      <w:r w:rsidR="002B1B19" w:rsidRPr="0076277E">
        <w:rPr>
          <w:rFonts w:asciiTheme="minorHAnsi" w:hAnsiTheme="minorHAnsi" w:cstheme="minorHAnsi"/>
          <w:b/>
          <w:i/>
          <w:lang w:val="fr-FR"/>
        </w:rPr>
        <w:t>é</w:t>
      </w:r>
      <w:r w:rsidR="00FF429F" w:rsidRPr="0076277E">
        <w:rPr>
          <w:rFonts w:asciiTheme="minorHAnsi" w:hAnsiTheme="minorHAnsi" w:cstheme="minorHAnsi"/>
          <w:b/>
          <w:i/>
          <w:lang w:val="fr-FR"/>
        </w:rPr>
        <w:t>solution</w:t>
      </w:r>
      <w:r w:rsidR="002B1B19" w:rsidRPr="0076277E">
        <w:rPr>
          <w:rFonts w:asciiTheme="minorHAnsi" w:hAnsiTheme="minorHAnsi" w:cstheme="minorHAnsi"/>
          <w:b/>
          <w:i/>
          <w:lang w:val="fr-FR"/>
        </w:rPr>
        <w:t> </w:t>
      </w:r>
      <w:r w:rsidR="00FF429F" w:rsidRPr="0076277E">
        <w:rPr>
          <w:rFonts w:asciiTheme="minorHAnsi" w:hAnsiTheme="minorHAnsi" w:cstheme="minorHAnsi"/>
          <w:b/>
          <w:i/>
          <w:lang w:val="fr-FR"/>
        </w:rPr>
        <w:t>XIII.9.</w:t>
      </w:r>
    </w:p>
    <w:p w14:paraId="22AB6E8A" w14:textId="56620B37" w:rsidR="006D3A86" w:rsidRPr="0076277E" w:rsidRDefault="006D3A86" w:rsidP="00FF429F">
      <w:pPr>
        <w:widowControl/>
        <w:rPr>
          <w:rFonts w:asciiTheme="minorHAnsi" w:eastAsiaTheme="minorEastAsia" w:hAnsiTheme="minorHAnsi" w:cstheme="minorHAnsi"/>
          <w:lang w:val="fr-FR" w:eastAsia="ja-JP"/>
        </w:rPr>
      </w:pPr>
    </w:p>
    <w:p w14:paraId="4FA91A43" w14:textId="487C6685" w:rsidR="002B1B19" w:rsidRPr="00C92149" w:rsidRDefault="002B1B19" w:rsidP="00FF429F">
      <w:pPr>
        <w:widowControl/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</w:pPr>
      <w:r w:rsidRP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>Le Sous-groupe sur les finances recommande au Comité permanent de décider que toute demande de fonds à partir du budget administratif émanant des IRR s</w:t>
      </w:r>
      <w:r w:rsidR="00893AD0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>’</w:t>
      </w:r>
      <w:r w:rsidRP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>accompagne d</w:t>
      </w:r>
      <w:r w:rsidR="00893AD0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>’</w:t>
      </w:r>
      <w:r w:rsidRP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 xml:space="preserve">un exposé </w:t>
      </w:r>
      <w:r w:rsid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>sur</w:t>
      </w:r>
      <w:r w:rsidRP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 xml:space="preserve"> la manière dont elles </w:t>
      </w:r>
      <w:r w:rsid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 xml:space="preserve">soutiennent les Parties contractantes dans la mise en œuvre de la Convention et de ses directives et que ces demandes </w:t>
      </w:r>
      <w:r w:rsidR="009551C9" w:rsidRP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>soi</w:t>
      </w:r>
      <w:r w:rsidR="00611A30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>en</w:t>
      </w:r>
      <w:r w:rsidR="009551C9" w:rsidRP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>t rédigée</w:t>
      </w:r>
      <w:r w:rsidR="00611A30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>s</w:t>
      </w:r>
      <w:r w:rsidR="009551C9" w:rsidRP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 xml:space="preserve"> en</w:t>
      </w:r>
      <w:r w:rsidRP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 xml:space="preserve"> anglais </w:t>
      </w:r>
      <w:r w:rsidR="00611A30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>ou accompagnées d</w:t>
      </w:r>
      <w:r w:rsidR="00893AD0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>’</w:t>
      </w:r>
      <w:r w:rsidR="00611A30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>une traduction en anglais (les traductions de type « Google Translate » revues par le correspondant national pourront être acceptées)</w:t>
      </w:r>
      <w:r w:rsidR="009551C9" w:rsidRP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>de façon à</w:t>
      </w:r>
      <w:r w:rsidRP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 xml:space="preserve"> permettre au Sous-groupe </w:t>
      </w:r>
      <w:r w:rsidR="009551C9" w:rsidRP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>sur l</w:t>
      </w:r>
      <w:r w:rsidRP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 xml:space="preserve">es finances de prendre des décisions </w:t>
      </w:r>
      <w:r w:rsidR="00611A30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 xml:space="preserve">éclairées </w:t>
      </w:r>
      <w:r w:rsidRP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 xml:space="preserve">en temps </w:t>
      </w:r>
      <w:r w:rsidR="009551C9" w:rsidRP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>opportun</w:t>
      </w:r>
      <w:r w:rsidRPr="00C92149">
        <w:rPr>
          <w:rFonts w:asciiTheme="minorHAnsi" w:eastAsiaTheme="minorEastAsia" w:hAnsiTheme="minorHAnsi" w:cstheme="minorHAnsi"/>
          <w:b/>
          <w:bCs/>
          <w:i/>
          <w:iCs/>
          <w:lang w:val="fr-FR" w:eastAsia="ja-JP"/>
        </w:rPr>
        <w:t>.</w:t>
      </w:r>
    </w:p>
    <w:p w14:paraId="1BA4573D" w14:textId="3A04CF99" w:rsidR="006D3A86" w:rsidRPr="0076277E" w:rsidRDefault="006D3A86" w:rsidP="00FF429F">
      <w:pPr>
        <w:widowControl/>
        <w:rPr>
          <w:rFonts w:asciiTheme="minorHAnsi" w:hAnsiTheme="minorHAnsi" w:cstheme="minorHAnsi"/>
          <w:lang w:val="fr-FR"/>
        </w:rPr>
      </w:pPr>
    </w:p>
    <w:p w14:paraId="7B9A3CC7" w14:textId="77777777" w:rsidR="009A26E7" w:rsidRDefault="009551C9" w:rsidP="009551C9">
      <w:pPr>
        <w:widowControl/>
        <w:rPr>
          <w:rFonts w:asciiTheme="minorHAnsi" w:hAnsiTheme="minorHAnsi" w:cstheme="minorHAnsi"/>
          <w:lang w:val="fr-FR"/>
        </w:rPr>
      </w:pPr>
      <w:r w:rsidRPr="0076277E">
        <w:rPr>
          <w:rFonts w:asciiTheme="minorHAnsi" w:hAnsiTheme="minorHAnsi" w:cstheme="minorHAnsi"/>
          <w:lang w:val="fr-FR"/>
        </w:rPr>
        <w:t xml:space="preserve">Le Sous-groupe </w:t>
      </w:r>
      <w:r w:rsidR="00611A30">
        <w:rPr>
          <w:rFonts w:asciiTheme="minorHAnsi" w:hAnsiTheme="minorHAnsi" w:cstheme="minorHAnsi"/>
          <w:lang w:val="fr-FR"/>
        </w:rPr>
        <w:t xml:space="preserve">rappelle </w:t>
      </w:r>
      <w:r w:rsidRPr="0076277E">
        <w:rPr>
          <w:rFonts w:asciiTheme="minorHAnsi" w:hAnsiTheme="minorHAnsi" w:cstheme="minorHAnsi"/>
          <w:lang w:val="fr-FR"/>
        </w:rPr>
        <w:t xml:space="preserve">par ailleurs </w:t>
      </w:r>
      <w:r w:rsidR="00611A30">
        <w:rPr>
          <w:rFonts w:asciiTheme="minorHAnsi" w:hAnsiTheme="minorHAnsi" w:cstheme="minorHAnsi"/>
          <w:lang w:val="fr-FR"/>
        </w:rPr>
        <w:t>que les</w:t>
      </w:r>
      <w:r w:rsidRPr="0076277E">
        <w:rPr>
          <w:rFonts w:asciiTheme="minorHAnsi" w:hAnsiTheme="minorHAnsi" w:cstheme="minorHAnsi"/>
          <w:lang w:val="fr-FR"/>
        </w:rPr>
        <w:t xml:space="preserve"> IRR </w:t>
      </w:r>
      <w:r w:rsidR="00611A30">
        <w:rPr>
          <w:rFonts w:asciiTheme="minorHAnsi" w:hAnsiTheme="minorHAnsi" w:cstheme="minorHAnsi"/>
          <w:lang w:val="fr-FR"/>
        </w:rPr>
        <w:t>sont encouragées à</w:t>
      </w:r>
      <w:r w:rsidRPr="0076277E">
        <w:rPr>
          <w:rFonts w:asciiTheme="minorHAnsi" w:hAnsiTheme="minorHAnsi" w:cstheme="minorHAnsi"/>
          <w:lang w:val="fr-FR"/>
        </w:rPr>
        <w:t xml:space="preserve"> </w:t>
      </w:r>
      <w:r w:rsidR="00611A30">
        <w:rPr>
          <w:rFonts w:asciiTheme="minorHAnsi" w:hAnsiTheme="minorHAnsi" w:cstheme="minorHAnsi"/>
          <w:lang w:val="fr-FR"/>
        </w:rPr>
        <w:t>prendre les mesures nécessaires</w:t>
      </w:r>
      <w:r w:rsidRPr="0076277E">
        <w:rPr>
          <w:rFonts w:asciiTheme="minorHAnsi" w:hAnsiTheme="minorHAnsi" w:cstheme="minorHAnsi"/>
          <w:lang w:val="fr-FR"/>
        </w:rPr>
        <w:t xml:space="preserve"> pour </w:t>
      </w:r>
      <w:r w:rsidR="009A26E7">
        <w:rPr>
          <w:rFonts w:asciiTheme="minorHAnsi" w:hAnsiTheme="minorHAnsi" w:cstheme="minorHAnsi"/>
          <w:lang w:val="fr-FR"/>
        </w:rPr>
        <w:t>parvenir à la viabilité</w:t>
      </w:r>
      <w:r w:rsidRPr="0076277E">
        <w:rPr>
          <w:rFonts w:asciiTheme="minorHAnsi" w:hAnsiTheme="minorHAnsi" w:cstheme="minorHAnsi"/>
          <w:lang w:val="fr-FR"/>
        </w:rPr>
        <w:t xml:space="preserve"> </w:t>
      </w:r>
      <w:r w:rsidR="009A26E7">
        <w:rPr>
          <w:rFonts w:asciiTheme="minorHAnsi" w:hAnsiTheme="minorHAnsi" w:cstheme="minorHAnsi"/>
          <w:lang w:val="fr-FR"/>
        </w:rPr>
        <w:t>financière et garantir leur pérennité, conformément au paragraphe 25 de la Résolution XIII.9</w:t>
      </w:r>
      <w:r w:rsidRPr="0076277E">
        <w:rPr>
          <w:rFonts w:asciiTheme="minorHAnsi" w:hAnsiTheme="minorHAnsi" w:cstheme="minorHAnsi"/>
          <w:lang w:val="fr-FR"/>
        </w:rPr>
        <w:t>.</w:t>
      </w:r>
    </w:p>
    <w:p w14:paraId="0425358B" w14:textId="77777777" w:rsidR="009A26E7" w:rsidRDefault="009A26E7" w:rsidP="009551C9">
      <w:pPr>
        <w:widowControl/>
        <w:rPr>
          <w:rFonts w:asciiTheme="minorHAnsi" w:hAnsiTheme="minorHAnsi" w:cstheme="minorHAnsi"/>
          <w:lang w:val="fr-FR"/>
        </w:rPr>
      </w:pPr>
    </w:p>
    <w:p w14:paraId="3080CFAC" w14:textId="43DA90B3" w:rsidR="009551C9" w:rsidRPr="0076277E" w:rsidRDefault="009551C9" w:rsidP="009551C9">
      <w:pPr>
        <w:widowControl/>
        <w:rPr>
          <w:rFonts w:asciiTheme="minorHAnsi" w:hAnsiTheme="minorHAnsi" w:cstheme="minorHAnsi"/>
          <w:lang w:val="fr-FR"/>
        </w:rPr>
      </w:pPr>
      <w:r w:rsidRPr="0076277E">
        <w:rPr>
          <w:rFonts w:asciiTheme="minorHAnsi" w:hAnsiTheme="minorHAnsi" w:cstheme="minorHAnsi"/>
          <w:lang w:val="fr-FR"/>
        </w:rPr>
        <w:t>S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agissant de l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>allocation supplémentaire du solde de 10 000 CHF des activités de 2020 demandée par les IRR pour les bassins des fleuves Amazone et Sénégal, le Président propos</w:t>
      </w:r>
      <w:r w:rsidR="00DC52FD" w:rsidRPr="0076277E">
        <w:rPr>
          <w:rFonts w:asciiTheme="minorHAnsi" w:hAnsiTheme="minorHAnsi" w:cstheme="minorHAnsi"/>
          <w:lang w:val="fr-FR"/>
        </w:rPr>
        <w:t>e</w:t>
      </w:r>
      <w:r w:rsidRPr="0076277E">
        <w:rPr>
          <w:rFonts w:asciiTheme="minorHAnsi" w:hAnsiTheme="minorHAnsi" w:cstheme="minorHAnsi"/>
          <w:lang w:val="fr-FR"/>
        </w:rPr>
        <w:t xml:space="preserve"> de demander un complément d</w:t>
      </w:r>
      <w:r w:rsidR="00893AD0">
        <w:rPr>
          <w:rFonts w:asciiTheme="minorHAnsi" w:hAnsiTheme="minorHAnsi" w:cstheme="minorHAnsi"/>
          <w:lang w:val="fr-FR"/>
        </w:rPr>
        <w:t>’</w:t>
      </w:r>
      <w:r w:rsidRPr="0076277E">
        <w:rPr>
          <w:rFonts w:asciiTheme="minorHAnsi" w:hAnsiTheme="minorHAnsi" w:cstheme="minorHAnsi"/>
          <w:lang w:val="fr-FR"/>
        </w:rPr>
        <w:t xml:space="preserve">informations par courriel aux </w:t>
      </w:r>
      <w:r w:rsidR="00DC52FD" w:rsidRPr="0076277E">
        <w:rPr>
          <w:rFonts w:asciiTheme="minorHAnsi" w:hAnsiTheme="minorHAnsi" w:cstheme="minorHAnsi"/>
          <w:lang w:val="fr-FR"/>
        </w:rPr>
        <w:t>I</w:t>
      </w:r>
      <w:r w:rsidRPr="0076277E">
        <w:rPr>
          <w:rFonts w:asciiTheme="minorHAnsi" w:hAnsiTheme="minorHAnsi" w:cstheme="minorHAnsi"/>
          <w:lang w:val="fr-FR"/>
        </w:rPr>
        <w:t>RR</w:t>
      </w:r>
      <w:r w:rsidR="00DC52FD" w:rsidRPr="0076277E">
        <w:rPr>
          <w:rFonts w:asciiTheme="minorHAnsi" w:hAnsiTheme="minorHAnsi" w:cstheme="minorHAnsi"/>
          <w:lang w:val="fr-FR"/>
        </w:rPr>
        <w:t>,</w:t>
      </w:r>
      <w:r w:rsidRPr="0076277E">
        <w:rPr>
          <w:rFonts w:asciiTheme="minorHAnsi" w:hAnsiTheme="minorHAnsi" w:cstheme="minorHAnsi"/>
          <w:lang w:val="fr-FR"/>
        </w:rPr>
        <w:t xml:space="preserve"> les membres </w:t>
      </w:r>
      <w:r w:rsidR="00DC52FD" w:rsidRPr="0076277E">
        <w:rPr>
          <w:rFonts w:asciiTheme="minorHAnsi" w:hAnsiTheme="minorHAnsi" w:cstheme="minorHAnsi"/>
          <w:lang w:val="fr-FR"/>
        </w:rPr>
        <w:t xml:space="preserve">rappelant </w:t>
      </w:r>
      <w:r w:rsidR="00B60DA7" w:rsidRPr="0076277E">
        <w:rPr>
          <w:rFonts w:asciiTheme="minorHAnsi" w:hAnsiTheme="minorHAnsi" w:cstheme="minorHAnsi"/>
          <w:lang w:val="fr-FR"/>
        </w:rPr>
        <w:t>en particulier le montant important</w:t>
      </w:r>
      <w:r w:rsidR="00DC52FD" w:rsidRPr="0076277E">
        <w:rPr>
          <w:rFonts w:asciiTheme="minorHAnsi" w:hAnsiTheme="minorHAnsi" w:cstheme="minorHAnsi"/>
          <w:lang w:val="fr-FR"/>
        </w:rPr>
        <w:t xml:space="preserve"> non dépensé </w:t>
      </w:r>
      <w:r w:rsidR="00B60DA7" w:rsidRPr="0076277E">
        <w:rPr>
          <w:rFonts w:asciiTheme="minorHAnsi" w:hAnsiTheme="minorHAnsi" w:cstheme="minorHAnsi"/>
          <w:lang w:val="fr-FR"/>
        </w:rPr>
        <w:t>dans le cadre des activités de</w:t>
      </w:r>
      <w:r w:rsidRPr="0076277E">
        <w:rPr>
          <w:rFonts w:asciiTheme="minorHAnsi" w:hAnsiTheme="minorHAnsi" w:cstheme="minorHAnsi"/>
          <w:lang w:val="fr-FR"/>
        </w:rPr>
        <w:t xml:space="preserve"> l</w:t>
      </w:r>
      <w:r w:rsidR="00893AD0">
        <w:rPr>
          <w:rFonts w:asciiTheme="minorHAnsi" w:hAnsiTheme="minorHAnsi" w:cstheme="minorHAnsi"/>
          <w:lang w:val="fr-FR"/>
        </w:rPr>
        <w:t>’</w:t>
      </w:r>
      <w:r w:rsidR="00DC52FD" w:rsidRPr="0076277E">
        <w:rPr>
          <w:rFonts w:asciiTheme="minorHAnsi" w:hAnsiTheme="minorHAnsi" w:cstheme="minorHAnsi"/>
          <w:lang w:val="fr-FR"/>
        </w:rPr>
        <w:t xml:space="preserve">IRR sur le fleuve </w:t>
      </w:r>
      <w:r w:rsidRPr="0076277E">
        <w:rPr>
          <w:rFonts w:asciiTheme="minorHAnsi" w:hAnsiTheme="minorHAnsi" w:cstheme="minorHAnsi"/>
          <w:lang w:val="fr-FR"/>
        </w:rPr>
        <w:t>Amazone. L</w:t>
      </w:r>
      <w:r w:rsidR="00893AD0">
        <w:rPr>
          <w:rFonts w:asciiTheme="minorHAnsi" w:hAnsiTheme="minorHAnsi" w:cstheme="minorHAnsi"/>
          <w:lang w:val="fr-FR"/>
        </w:rPr>
        <w:t>’</w:t>
      </w:r>
      <w:r w:rsidR="00B60DA7" w:rsidRPr="0076277E">
        <w:rPr>
          <w:rFonts w:asciiTheme="minorHAnsi" w:hAnsiTheme="minorHAnsi" w:cstheme="minorHAnsi"/>
          <w:lang w:val="fr-FR"/>
        </w:rPr>
        <w:t>I</w:t>
      </w:r>
      <w:r w:rsidRPr="0076277E">
        <w:rPr>
          <w:rFonts w:asciiTheme="minorHAnsi" w:hAnsiTheme="minorHAnsi" w:cstheme="minorHAnsi"/>
          <w:lang w:val="fr-FR"/>
        </w:rPr>
        <w:t>R</w:t>
      </w:r>
      <w:r w:rsidR="009A26E7">
        <w:rPr>
          <w:rFonts w:asciiTheme="minorHAnsi" w:hAnsiTheme="minorHAnsi" w:cstheme="minorHAnsi"/>
          <w:lang w:val="fr-FR"/>
        </w:rPr>
        <w:t>R</w:t>
      </w:r>
      <w:r w:rsidRPr="0076277E">
        <w:rPr>
          <w:rFonts w:asciiTheme="minorHAnsi" w:hAnsiTheme="minorHAnsi" w:cstheme="minorHAnsi"/>
          <w:lang w:val="fr-FR"/>
        </w:rPr>
        <w:t xml:space="preserve"> </w:t>
      </w:r>
      <w:r w:rsidR="00B60DA7" w:rsidRPr="0076277E">
        <w:rPr>
          <w:rFonts w:asciiTheme="minorHAnsi" w:hAnsiTheme="minorHAnsi" w:cstheme="minorHAnsi"/>
          <w:lang w:val="fr-FR"/>
        </w:rPr>
        <w:t xml:space="preserve">sur le fleuve </w:t>
      </w:r>
      <w:r w:rsidRPr="0076277E">
        <w:rPr>
          <w:rFonts w:asciiTheme="minorHAnsi" w:hAnsiTheme="minorHAnsi" w:cstheme="minorHAnsi"/>
          <w:lang w:val="fr-FR"/>
        </w:rPr>
        <w:t>Amazone</w:t>
      </w:r>
      <w:r w:rsidR="00B60DA7" w:rsidRPr="0076277E">
        <w:rPr>
          <w:rFonts w:asciiTheme="minorHAnsi" w:hAnsiTheme="minorHAnsi" w:cstheme="minorHAnsi"/>
          <w:lang w:val="fr-FR"/>
        </w:rPr>
        <w:t xml:space="preserve"> </w:t>
      </w:r>
      <w:r w:rsidRPr="0076277E">
        <w:rPr>
          <w:rFonts w:asciiTheme="minorHAnsi" w:hAnsiTheme="minorHAnsi" w:cstheme="minorHAnsi"/>
          <w:lang w:val="fr-FR"/>
        </w:rPr>
        <w:t>fourni</w:t>
      </w:r>
      <w:r w:rsidR="00B60DA7" w:rsidRPr="0076277E">
        <w:rPr>
          <w:rFonts w:asciiTheme="minorHAnsi" w:hAnsiTheme="minorHAnsi" w:cstheme="minorHAnsi"/>
          <w:lang w:val="fr-FR"/>
        </w:rPr>
        <w:t>t</w:t>
      </w:r>
      <w:r w:rsidRPr="0076277E">
        <w:rPr>
          <w:rFonts w:asciiTheme="minorHAnsi" w:hAnsiTheme="minorHAnsi" w:cstheme="minorHAnsi"/>
          <w:lang w:val="fr-FR"/>
        </w:rPr>
        <w:t xml:space="preserve"> de</w:t>
      </w:r>
      <w:r w:rsidR="00B60DA7" w:rsidRPr="0076277E">
        <w:rPr>
          <w:rFonts w:asciiTheme="minorHAnsi" w:hAnsiTheme="minorHAnsi" w:cstheme="minorHAnsi"/>
          <w:lang w:val="fr-FR"/>
        </w:rPr>
        <w:t xml:space="preserve"> plus ample</w:t>
      </w:r>
      <w:r w:rsidRPr="0076277E">
        <w:rPr>
          <w:rFonts w:asciiTheme="minorHAnsi" w:hAnsiTheme="minorHAnsi" w:cstheme="minorHAnsi"/>
          <w:lang w:val="fr-FR"/>
        </w:rPr>
        <w:t>s informations par courriel et pendant la réunion.</w:t>
      </w:r>
    </w:p>
    <w:p w14:paraId="3B3AE956" w14:textId="2A862CF2" w:rsidR="00694DC5" w:rsidRPr="0076277E" w:rsidRDefault="009551C9" w:rsidP="00592240">
      <w:pPr>
        <w:widowControl/>
        <w:rPr>
          <w:rFonts w:asciiTheme="minorHAnsi" w:hAnsiTheme="minorHAnsi" w:cstheme="minorHAnsi"/>
          <w:lang w:val="fr-FR"/>
        </w:rPr>
      </w:pPr>
      <w:r w:rsidRPr="0076277E">
        <w:rPr>
          <w:rFonts w:asciiTheme="minorHAnsi" w:hAnsiTheme="minorHAnsi" w:cstheme="minorHAnsi"/>
          <w:lang w:val="fr-FR"/>
        </w:rPr>
        <w:t xml:space="preserve"> </w:t>
      </w:r>
    </w:p>
    <w:p w14:paraId="0D193F2E" w14:textId="64C86F21" w:rsidR="00FF0DA7" w:rsidRPr="0076277E" w:rsidRDefault="00FC26F9" w:rsidP="00FF0DA7">
      <w:pPr>
        <w:widowControl/>
        <w:rPr>
          <w:rFonts w:asciiTheme="minorHAnsi" w:hAnsiTheme="minorHAnsi" w:cstheme="minorHAnsi"/>
          <w:i/>
          <w:iCs/>
          <w:color w:val="0000FF"/>
          <w:lang w:val="fr-FR" w:eastAsia="ja-JP"/>
        </w:rPr>
      </w:pPr>
      <w:r w:rsidRPr="0076277E">
        <w:rPr>
          <w:rFonts w:asciiTheme="minorHAnsi" w:hAnsiTheme="minorHAnsi" w:cstheme="minorHAnsi"/>
          <w:i/>
          <w:color w:val="0000FF"/>
          <w:lang w:val="fr-FR"/>
        </w:rPr>
        <w:t>Recommandation pour décision par le Comité permanent </w:t>
      </w:r>
      <w:r w:rsidR="00FF0DA7" w:rsidRPr="0076277E">
        <w:rPr>
          <w:rFonts w:asciiTheme="minorHAnsi" w:hAnsiTheme="minorHAnsi" w:cstheme="minorHAnsi"/>
          <w:i/>
          <w:iCs/>
          <w:color w:val="0000FF"/>
          <w:lang w:val="fr-FR" w:eastAsia="ja-JP"/>
        </w:rPr>
        <w:t>:</w:t>
      </w:r>
    </w:p>
    <w:p w14:paraId="3050602D" w14:textId="6CC262FF" w:rsidR="00592240" w:rsidRPr="0076277E" w:rsidRDefault="00592240" w:rsidP="00FF2D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</w:pPr>
      <w:r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Le Sous-groupe sur les finances recommande au Comité permanent d</w:t>
      </w:r>
      <w:r w:rsidR="00893AD0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’</w:t>
      </w:r>
      <w:r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approuver, dans l</w:t>
      </w:r>
      <w:r w:rsidR="00893AD0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’</w:t>
      </w:r>
      <w:r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attente d</w:t>
      </w:r>
      <w:r w:rsidR="00893AD0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’</w:t>
      </w:r>
      <w:r w:rsidR="009A26E7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une confirmation selon laquelle les fonds seront dépensés conformément au </w:t>
      </w:r>
      <w:r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paragraphe 8 de la Résolution XIII.9, l</w:t>
      </w:r>
      <w:r w:rsidR="00893AD0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’</w:t>
      </w:r>
      <w:r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affectation du solde de 10 000 CHF inscrit au budget </w:t>
      </w:r>
      <w:r w:rsidR="00FF2D19"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de</w:t>
      </w:r>
      <w:r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 la proposition initiale de 25 000 francs suisses en 2020</w:t>
      </w:r>
      <w:r w:rsidR="00FF2D19"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,</w:t>
      </w:r>
      <w:r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 à deux des quatre Initiatives régionales Ramsar (RRI) </w:t>
      </w:r>
      <w:r w:rsidR="00FF2D19"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admissibles</w:t>
      </w:r>
      <w:r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 dans le </w:t>
      </w:r>
      <w:r w:rsidR="00FF2D19"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cadre</w:t>
      </w:r>
      <w:r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 de la Décision SC58-28, pour leurs activités prévues en 2020 mais reportées à 2021 et pour un décaissement en 2021, à partir des économies du budget </w:t>
      </w:r>
      <w:r w:rsidR="00FF2D19"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administratif</w:t>
      </w:r>
      <w:r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 de 2020, en tenant compte </w:t>
      </w:r>
      <w:r w:rsidR="00FF2D19"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de la conjoncture</w:t>
      </w:r>
      <w:r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 exceptionnelle</w:t>
      </w:r>
      <w:r w:rsidR="00FF2D19"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 liée à </w:t>
      </w:r>
      <w:r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la pandémie mondiale. </w:t>
      </w:r>
      <w:r w:rsidR="00FF2D19"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Ces deux IRR sont l</w:t>
      </w:r>
      <w:r w:rsidR="00893AD0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’</w:t>
      </w:r>
      <w:r w:rsidR="00FF2D19"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Initiative régionale Ramsar pour le bassin du fleuve Sénégal (SenegalWet) et l</w:t>
      </w:r>
      <w:r w:rsidR="00893AD0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’</w:t>
      </w:r>
      <w:r w:rsidR="00FF2D19"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Initiative régionale Ramsar pour le bassin de l</w:t>
      </w:r>
      <w:r w:rsidR="00893AD0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’</w:t>
      </w:r>
      <w:r w:rsidR="00FF2D19"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Amazone, </w:t>
      </w:r>
      <w:r w:rsidR="00376AEF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et les sommes sont accordées </w:t>
      </w:r>
      <w:r w:rsidR="00FF2D19"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sous réserve que les IRR bénéficiaires se conforment à l</w:t>
      </w:r>
      <w:r w:rsidR="00893AD0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’</w:t>
      </w:r>
      <w:r w:rsidR="00FF2D19"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alinéa 8.d. de la Résolution XIII.9</w:t>
      </w:r>
      <w:r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 et à d</w:t>
      </w:r>
      <w:r w:rsidR="00893AD0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’</w:t>
      </w:r>
      <w:r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autres règles et règlements pertinents relatifs aux rapports sur l</w:t>
      </w:r>
      <w:r w:rsidR="00893AD0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’</w:t>
      </w:r>
      <w:r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utilisation des fonds </w:t>
      </w:r>
      <w:r w:rsidR="00FF2D19" w:rsidRPr="0076277E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du budget administratif.</w:t>
      </w:r>
    </w:p>
    <w:p w14:paraId="6FED4223" w14:textId="0B74BEFD" w:rsidR="00592240" w:rsidRPr="0076277E" w:rsidRDefault="00592240" w:rsidP="005922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</w:pPr>
    </w:p>
    <w:p w14:paraId="6F3463BC" w14:textId="3440A379" w:rsidR="00322DDA" w:rsidRDefault="00322DDA">
      <w:pPr>
        <w:widowControl/>
        <w:autoSpaceDE/>
        <w:autoSpaceDN/>
        <w:spacing w:after="160" w:line="259" w:lineRule="auto"/>
        <w:rPr>
          <w:b/>
          <w:bCs/>
          <w:color w:val="000000"/>
          <w:sz w:val="24"/>
          <w:szCs w:val="24"/>
          <w:lang w:val="fr-FR" w:eastAsia="en-GB"/>
        </w:rPr>
        <w:sectPr w:rsidR="00322DDA" w:rsidSect="00322DDA">
          <w:footerReference w:type="default" r:id="rId8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A0E1B6A" w14:textId="3BE22F11" w:rsidR="00FF2D19" w:rsidRPr="0076277E" w:rsidRDefault="00FF2D19">
      <w:pPr>
        <w:widowControl/>
        <w:autoSpaceDE/>
        <w:autoSpaceDN/>
        <w:spacing w:after="160" w:line="259" w:lineRule="auto"/>
        <w:rPr>
          <w:b/>
          <w:bCs/>
          <w:color w:val="000000"/>
          <w:sz w:val="24"/>
          <w:szCs w:val="24"/>
          <w:lang w:val="fr-FR" w:eastAsia="en-GB"/>
        </w:rPr>
      </w:pPr>
    </w:p>
    <w:p w14:paraId="2BE67898" w14:textId="7DA5843E" w:rsidR="008B555A" w:rsidRPr="0076277E" w:rsidRDefault="008B555A" w:rsidP="008B555A">
      <w:pPr>
        <w:tabs>
          <w:tab w:val="left" w:pos="6751"/>
          <w:tab w:val="left" w:pos="8107"/>
          <w:tab w:val="left" w:pos="9502"/>
          <w:tab w:val="left" w:pos="10897"/>
          <w:tab w:val="left" w:pos="12292"/>
        </w:tabs>
        <w:ind w:left="108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76277E">
        <w:rPr>
          <w:b/>
          <w:bCs/>
          <w:color w:val="000000"/>
          <w:sz w:val="24"/>
          <w:szCs w:val="24"/>
          <w:lang w:val="fr-FR" w:eastAsia="en-GB"/>
        </w:rPr>
        <w:t>Annex</w:t>
      </w:r>
      <w:r w:rsidR="005B5CA6" w:rsidRPr="0076277E">
        <w:rPr>
          <w:b/>
          <w:bCs/>
          <w:color w:val="000000"/>
          <w:sz w:val="24"/>
          <w:szCs w:val="24"/>
          <w:lang w:val="fr-FR" w:eastAsia="en-GB"/>
        </w:rPr>
        <w:t>e</w:t>
      </w:r>
      <w:r w:rsidRPr="0076277E">
        <w:rPr>
          <w:b/>
          <w:bCs/>
          <w:color w:val="000000"/>
          <w:sz w:val="24"/>
          <w:szCs w:val="24"/>
          <w:lang w:val="fr-FR" w:eastAsia="en-GB"/>
        </w:rPr>
        <w:t xml:space="preserve"> 1 </w:t>
      </w:r>
      <w:r w:rsidR="005B5CA6" w:rsidRPr="0076277E">
        <w:rPr>
          <w:b/>
          <w:bCs/>
          <w:color w:val="000000"/>
          <w:sz w:val="24"/>
          <w:szCs w:val="24"/>
          <w:lang w:val="fr-FR" w:eastAsia="en-GB"/>
        </w:rPr>
        <w:t>au Rapport du Sous-groupe sur les finances</w:t>
      </w:r>
      <w:r w:rsidRPr="0076277E">
        <w:rPr>
          <w:b/>
          <w:bCs/>
          <w:color w:val="000000"/>
          <w:sz w:val="24"/>
          <w:szCs w:val="24"/>
          <w:lang w:val="fr-FR" w:eastAsia="en-GB"/>
        </w:rPr>
        <w:tab/>
      </w:r>
      <w:r w:rsidRPr="0076277E">
        <w:rPr>
          <w:b/>
          <w:bCs/>
          <w:color w:val="000000"/>
          <w:sz w:val="24"/>
          <w:szCs w:val="24"/>
          <w:lang w:val="fr-FR" w:eastAsia="en-GB"/>
        </w:rPr>
        <w:tab/>
      </w:r>
      <w:r w:rsidRPr="0076277E">
        <w:rPr>
          <w:rFonts w:ascii="Times New Roman" w:hAnsi="Times New Roman" w:cs="Times New Roman"/>
          <w:sz w:val="20"/>
          <w:szCs w:val="20"/>
          <w:lang w:val="fr-FR" w:eastAsia="en-GB"/>
        </w:rPr>
        <w:tab/>
      </w:r>
      <w:r w:rsidRPr="0076277E">
        <w:rPr>
          <w:rFonts w:ascii="Times New Roman" w:hAnsi="Times New Roman" w:cs="Times New Roman"/>
          <w:sz w:val="20"/>
          <w:szCs w:val="20"/>
          <w:lang w:val="fr-FR" w:eastAsia="en-GB"/>
        </w:rPr>
        <w:tab/>
      </w:r>
      <w:r w:rsidRPr="0076277E">
        <w:rPr>
          <w:rFonts w:ascii="Times New Roman" w:hAnsi="Times New Roman" w:cs="Times New Roman"/>
          <w:sz w:val="20"/>
          <w:szCs w:val="20"/>
          <w:lang w:val="fr-FR" w:eastAsia="en-GB"/>
        </w:rPr>
        <w:tab/>
      </w:r>
    </w:p>
    <w:p w14:paraId="43AD1CF6" w14:textId="26467EC6" w:rsidR="008B555A" w:rsidRPr="0076277E" w:rsidRDefault="005B5CA6" w:rsidP="008B555A">
      <w:pPr>
        <w:tabs>
          <w:tab w:val="left" w:pos="5211"/>
          <w:tab w:val="left" w:pos="6751"/>
          <w:tab w:val="left" w:pos="8107"/>
          <w:tab w:val="left" w:pos="9502"/>
          <w:tab w:val="left" w:pos="10897"/>
          <w:tab w:val="left" w:pos="12292"/>
        </w:tabs>
        <w:ind w:left="108"/>
        <w:rPr>
          <w:rFonts w:ascii="Times New Roman" w:hAnsi="Times New Roman" w:cs="Times New Roman"/>
          <w:sz w:val="20"/>
          <w:szCs w:val="20"/>
          <w:lang w:val="fr-FR" w:eastAsia="en-GB"/>
        </w:rPr>
      </w:pPr>
      <w:r w:rsidRPr="0076277E">
        <w:rPr>
          <w:b/>
          <w:bCs/>
          <w:color w:val="000000"/>
          <w:sz w:val="24"/>
          <w:szCs w:val="24"/>
          <w:lang w:val="fr-FR" w:eastAsia="en-GB"/>
        </w:rPr>
        <w:t>Budget administratif</w:t>
      </w:r>
      <w:r w:rsidR="008B555A" w:rsidRPr="0076277E">
        <w:rPr>
          <w:b/>
          <w:bCs/>
          <w:color w:val="000000"/>
          <w:sz w:val="24"/>
          <w:szCs w:val="24"/>
          <w:lang w:val="fr-FR" w:eastAsia="en-GB"/>
        </w:rPr>
        <w:t xml:space="preserve"> 2021</w:t>
      </w:r>
      <w:r w:rsidR="008B555A" w:rsidRPr="0076277E">
        <w:rPr>
          <w:b/>
          <w:bCs/>
          <w:color w:val="000000"/>
          <w:sz w:val="24"/>
          <w:szCs w:val="24"/>
          <w:lang w:val="fr-FR" w:eastAsia="en-GB"/>
        </w:rPr>
        <w:tab/>
      </w:r>
      <w:r w:rsidR="008B555A" w:rsidRPr="0076277E">
        <w:rPr>
          <w:b/>
          <w:bCs/>
          <w:color w:val="000000"/>
          <w:sz w:val="24"/>
          <w:szCs w:val="24"/>
          <w:lang w:val="fr-FR" w:eastAsia="en-GB"/>
        </w:rPr>
        <w:tab/>
      </w:r>
      <w:r w:rsidR="008B555A" w:rsidRPr="0076277E">
        <w:rPr>
          <w:rFonts w:ascii="Times New Roman" w:hAnsi="Times New Roman" w:cs="Times New Roman"/>
          <w:sz w:val="20"/>
          <w:szCs w:val="20"/>
          <w:lang w:val="fr-FR" w:eastAsia="en-GB"/>
        </w:rPr>
        <w:tab/>
      </w:r>
      <w:r w:rsidR="008B555A" w:rsidRPr="0076277E">
        <w:rPr>
          <w:rFonts w:ascii="Times New Roman" w:hAnsi="Times New Roman" w:cs="Times New Roman"/>
          <w:sz w:val="20"/>
          <w:szCs w:val="20"/>
          <w:lang w:val="fr-FR" w:eastAsia="en-GB"/>
        </w:rPr>
        <w:tab/>
      </w:r>
      <w:r w:rsidR="008B555A" w:rsidRPr="0076277E">
        <w:rPr>
          <w:rFonts w:ascii="Times New Roman" w:hAnsi="Times New Roman" w:cs="Times New Roman"/>
          <w:sz w:val="20"/>
          <w:szCs w:val="20"/>
          <w:lang w:val="fr-FR" w:eastAsia="en-GB"/>
        </w:rPr>
        <w:tab/>
      </w:r>
      <w:r w:rsidR="008B555A" w:rsidRPr="0076277E">
        <w:rPr>
          <w:rFonts w:ascii="Times New Roman" w:hAnsi="Times New Roman" w:cs="Times New Roman"/>
          <w:sz w:val="20"/>
          <w:szCs w:val="20"/>
          <w:lang w:val="fr-FR" w:eastAsia="en-GB"/>
        </w:rPr>
        <w:tab/>
      </w:r>
    </w:p>
    <w:p w14:paraId="633CD69E" w14:textId="77777777" w:rsidR="008B555A" w:rsidRPr="0076277E" w:rsidRDefault="008B555A" w:rsidP="008B555A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13958" w:type="dxa"/>
        <w:tblInd w:w="-5" w:type="dxa"/>
        <w:tblLook w:val="04A0" w:firstRow="1" w:lastRow="0" w:firstColumn="1" w:lastColumn="0" w:noHBand="0" w:noVBand="1"/>
      </w:tblPr>
      <w:tblGrid>
        <w:gridCol w:w="4962"/>
        <w:gridCol w:w="1681"/>
        <w:gridCol w:w="1356"/>
        <w:gridCol w:w="1395"/>
        <w:gridCol w:w="1395"/>
        <w:gridCol w:w="1395"/>
        <w:gridCol w:w="1774"/>
      </w:tblGrid>
      <w:tr w:rsidR="008B555A" w:rsidRPr="00322DDA" w14:paraId="25CCE2ED" w14:textId="77777777" w:rsidTr="005E4404">
        <w:trPr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3BC"/>
            <w:vAlign w:val="center"/>
            <w:hideMark/>
          </w:tcPr>
          <w:p w14:paraId="30024FA7" w14:textId="26E920FA" w:rsidR="008B555A" w:rsidRPr="0076277E" w:rsidRDefault="005B5CA6" w:rsidP="0010559E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 xml:space="preserve">Budget </w:t>
            </w:r>
            <w:r w:rsidR="008B555A" w:rsidRPr="0076277E">
              <w:rPr>
                <w:b/>
                <w:bCs/>
                <w:sz w:val="20"/>
                <w:szCs w:val="20"/>
                <w:lang w:val="fr-FR" w:eastAsia="en-GB"/>
              </w:rPr>
              <w:t xml:space="preserve">Ramsar </w:t>
            </w: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2021</w:t>
            </w:r>
            <w:r w:rsidR="008B555A" w:rsidRPr="0076277E">
              <w:rPr>
                <w:b/>
                <w:bCs/>
                <w:sz w:val="20"/>
                <w:szCs w:val="20"/>
                <w:lang w:val="fr-FR" w:eastAsia="en-GB"/>
              </w:rPr>
              <w:br/>
            </w:r>
            <w:r w:rsidR="008B555A" w:rsidRPr="0076277E">
              <w:rPr>
                <w:b/>
                <w:bCs/>
                <w:sz w:val="20"/>
                <w:szCs w:val="20"/>
                <w:lang w:val="fr-FR" w:eastAsia="en-GB"/>
              </w:rPr>
              <w:br/>
            </w: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Approuvé par la 59</w:t>
            </w:r>
            <w:r w:rsidRPr="0076277E">
              <w:rPr>
                <w:b/>
                <w:bCs/>
                <w:sz w:val="20"/>
                <w:szCs w:val="20"/>
                <w:vertAlign w:val="superscript"/>
                <w:lang w:val="fr-FR" w:eastAsia="en-GB"/>
              </w:rPr>
              <w:t>e</w:t>
            </w: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 xml:space="preserve"> Réunion du Comité permanent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3B694DB" w14:textId="7E1C3C08" w:rsidR="008B555A" w:rsidRPr="0076277E" w:rsidRDefault="005B5CA6" w:rsidP="005E4404">
            <w:pPr>
              <w:jc w:val="center"/>
              <w:rPr>
                <w:b/>
                <w:bCs/>
                <w:color w:val="0000FF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FF"/>
                <w:sz w:val="20"/>
                <w:szCs w:val="20"/>
                <w:lang w:val="fr-FR" w:eastAsia="en-GB"/>
              </w:rPr>
              <w:t>Budget a</w:t>
            </w:r>
            <w:r w:rsidR="008B555A" w:rsidRPr="0076277E">
              <w:rPr>
                <w:b/>
                <w:bCs/>
                <w:color w:val="0000FF"/>
                <w:sz w:val="20"/>
                <w:szCs w:val="20"/>
                <w:lang w:val="fr-FR" w:eastAsia="en-GB"/>
              </w:rPr>
              <w:t>ppro</w:t>
            </w:r>
            <w:r w:rsidRPr="0076277E">
              <w:rPr>
                <w:b/>
                <w:bCs/>
                <w:color w:val="0000FF"/>
                <w:sz w:val="20"/>
                <w:szCs w:val="20"/>
                <w:lang w:val="fr-FR" w:eastAsia="en-GB"/>
              </w:rPr>
              <w:t>uvé</w:t>
            </w:r>
            <w:r w:rsidR="008B555A" w:rsidRPr="0076277E">
              <w:rPr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(</w:t>
            </w:r>
            <w:r w:rsidRPr="0076277E">
              <w:rPr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approuvé par la </w:t>
            </w:r>
            <w:r w:rsidR="008B555A" w:rsidRPr="0076277E">
              <w:rPr>
                <w:b/>
                <w:bCs/>
                <w:color w:val="0000FF"/>
                <w:sz w:val="20"/>
                <w:szCs w:val="20"/>
                <w:lang w:val="fr-FR" w:eastAsia="en-GB"/>
              </w:rPr>
              <w:t>COP13</w:t>
            </w:r>
            <w:r w:rsidRPr="0076277E">
              <w:rPr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assorti des ajustements </w:t>
            </w:r>
            <w:r w:rsidR="00293420" w:rsidRPr="0076277E">
              <w:rPr>
                <w:b/>
                <w:bCs/>
                <w:color w:val="0000FF"/>
                <w:sz w:val="20"/>
                <w:szCs w:val="20"/>
                <w:lang w:val="fr-FR" w:eastAsia="en-GB"/>
              </w:rPr>
              <w:t>autorisés par la 59</w:t>
            </w:r>
            <w:r w:rsidR="00293420" w:rsidRPr="0076277E">
              <w:rPr>
                <w:b/>
                <w:bCs/>
                <w:color w:val="0000FF"/>
                <w:sz w:val="20"/>
                <w:szCs w:val="20"/>
                <w:vertAlign w:val="superscript"/>
                <w:lang w:val="fr-FR" w:eastAsia="en-GB"/>
              </w:rPr>
              <w:t>e</w:t>
            </w:r>
            <w:r w:rsidR="00293420" w:rsidRPr="0076277E">
              <w:rPr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Réunion du Comité permanent</w:t>
            </w:r>
            <w:r w:rsidR="005E4404" w:rsidRPr="0076277E">
              <w:rPr>
                <w:b/>
                <w:bCs/>
                <w:color w:val="0000FF"/>
                <w:sz w:val="20"/>
                <w:szCs w:val="20"/>
                <w:lang w:val="fr-FR" w:eastAsia="en-GB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E797191" w14:textId="187D3F9E" w:rsidR="008B555A" w:rsidRPr="0076277E" w:rsidRDefault="00293420" w:rsidP="005E4404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Utilisation autorisée de l</w:t>
            </w:r>
            <w:r w:rsidR="00893AD0">
              <w:rPr>
                <w:b/>
                <w:bCs/>
                <w:sz w:val="20"/>
                <w:szCs w:val="20"/>
                <w:lang w:val="fr-FR" w:eastAsia="en-GB"/>
              </w:rPr>
              <w:t>’</w:t>
            </w: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excédent COP13 XIII.2 (pour 2020</w:t>
            </w:r>
            <w:r w:rsidR="008B555A" w:rsidRPr="0076277E">
              <w:rPr>
                <w:b/>
                <w:bCs/>
                <w:sz w:val="20"/>
                <w:szCs w:val="20"/>
                <w:lang w:val="fr-FR" w:eastAsia="en-GB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406C9FA" w14:textId="3474863C" w:rsidR="008B555A" w:rsidRPr="0076277E" w:rsidRDefault="00293420" w:rsidP="005E4404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Fonds pré</w:t>
            </w:r>
            <w:r w:rsidR="00893AD0">
              <w:rPr>
                <w:b/>
                <w:bCs/>
                <w:sz w:val="20"/>
                <w:szCs w:val="20"/>
                <w:lang w:val="fr-FR" w:eastAsia="en-GB"/>
              </w:rPr>
              <w:t>-</w:t>
            </w: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engagés de 2020 à dépenser en 2021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37F50DD" w14:textId="0D3AD9BC" w:rsidR="008B555A" w:rsidRPr="0076277E" w:rsidRDefault="00293420" w:rsidP="005E4404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Utilisation autorisée des par la 59</w:t>
            </w:r>
            <w:r w:rsidRPr="0076277E">
              <w:rPr>
                <w:b/>
                <w:bCs/>
                <w:sz w:val="20"/>
                <w:szCs w:val="20"/>
                <w:vertAlign w:val="superscript"/>
                <w:lang w:val="fr-FR" w:eastAsia="en-GB"/>
              </w:rPr>
              <w:t>e</w:t>
            </w: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 xml:space="preserve"> Réunion du Comité permanent des économies sur le budget administratif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64E0E58" w14:textId="27DEDA9F" w:rsidR="00293420" w:rsidRPr="0076277E" w:rsidRDefault="00293420" w:rsidP="00293420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 xml:space="preserve">Économies non engagées de 2020 reportées sur 2021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B891A91" w14:textId="52C92B9B" w:rsidR="008B555A" w:rsidRPr="0076277E" w:rsidRDefault="00293420" w:rsidP="005E4404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Budget total 2021 (avec fonds non engagés reportés)</w:t>
            </w:r>
          </w:p>
        </w:tc>
      </w:tr>
      <w:tr w:rsidR="008B555A" w:rsidRPr="00322DDA" w14:paraId="3D00DB79" w14:textId="77777777" w:rsidTr="0010559E">
        <w:trPr>
          <w:tblHeader/>
        </w:trPr>
        <w:tc>
          <w:tcPr>
            <w:tcW w:w="4962" w:type="dxa"/>
            <w:tcBorders>
              <w:top w:val="nil"/>
              <w:left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14:paraId="402A650E" w14:textId="77777777" w:rsidR="008B555A" w:rsidRPr="0076277E" w:rsidRDefault="008B555A" w:rsidP="0010559E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3A473" w14:textId="77777777" w:rsidR="008B555A" w:rsidRPr="0076277E" w:rsidRDefault="008B555A" w:rsidP="0010559E">
            <w:pPr>
              <w:rPr>
                <w:b/>
                <w:bCs/>
                <w:color w:val="0000FF"/>
                <w:sz w:val="20"/>
                <w:szCs w:val="20"/>
                <w:lang w:val="fr-FR"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078ABDE" w14:textId="77777777" w:rsidR="008B555A" w:rsidRPr="0076277E" w:rsidRDefault="008B555A" w:rsidP="0010559E">
            <w:pPr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0662031" w14:textId="77777777" w:rsidR="008B555A" w:rsidRPr="0076277E" w:rsidRDefault="008B555A" w:rsidP="0010559E">
            <w:pPr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8EDC8A7" w14:textId="77777777" w:rsidR="008B555A" w:rsidRPr="0076277E" w:rsidRDefault="008B555A" w:rsidP="0010559E">
            <w:pPr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53761C5" w14:textId="77777777" w:rsidR="008B555A" w:rsidRPr="0076277E" w:rsidRDefault="008B555A" w:rsidP="0010559E">
            <w:pPr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8AE97C2" w14:textId="77777777" w:rsidR="008B555A" w:rsidRPr="0076277E" w:rsidRDefault="008B555A" w:rsidP="0010559E">
            <w:pPr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</w:tr>
      <w:tr w:rsidR="008B555A" w:rsidRPr="0076277E" w14:paraId="2E1BC55A" w14:textId="77777777" w:rsidTr="0010559E">
        <w:trPr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14:paraId="64F07D4F" w14:textId="7A8AD6D1" w:rsidR="008B555A" w:rsidRPr="0076277E" w:rsidRDefault="005B5CA6" w:rsidP="0010559E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en milliers de francs suisses (CHF)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9041D0F" w14:textId="77777777" w:rsidR="008B555A" w:rsidRPr="0076277E" w:rsidRDefault="008B555A" w:rsidP="0010559E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(A)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DDBAEBA" w14:textId="77777777" w:rsidR="008B555A" w:rsidRPr="0076277E" w:rsidRDefault="008B555A" w:rsidP="0010559E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(B)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FCAED29" w14:textId="77777777" w:rsidR="008B555A" w:rsidRPr="0076277E" w:rsidRDefault="008B555A" w:rsidP="0010559E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(C)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6F924B3" w14:textId="77777777" w:rsidR="008B555A" w:rsidRPr="0076277E" w:rsidRDefault="008B555A" w:rsidP="0010559E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(D)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F01A299" w14:textId="77777777" w:rsidR="008B555A" w:rsidRPr="0076277E" w:rsidRDefault="008B555A" w:rsidP="0010559E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(E)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CC78A92" w14:textId="77777777" w:rsidR="008B555A" w:rsidRPr="0076277E" w:rsidRDefault="008B555A" w:rsidP="0010559E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(F=A+B+C+D+E)</w:t>
            </w:r>
          </w:p>
        </w:tc>
      </w:tr>
      <w:tr w:rsidR="00F356AC" w:rsidRPr="0076277E" w14:paraId="4DE25635" w14:textId="77777777" w:rsidTr="0010559E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DE04" w14:textId="02883C13" w:rsidR="00F356AC" w:rsidRPr="0076277E" w:rsidRDefault="00F356AC" w:rsidP="00F356AC">
            <w:pPr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RECETTES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34DF" w14:textId="77777777" w:rsidR="00F356AC" w:rsidRPr="0076277E" w:rsidRDefault="00F356AC" w:rsidP="00F356AC">
            <w:pPr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F467" w14:textId="77777777" w:rsidR="00F356AC" w:rsidRPr="0076277E" w:rsidRDefault="00F356AC" w:rsidP="00F356AC">
            <w:pPr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DF64" w14:textId="77777777" w:rsidR="00F356AC" w:rsidRPr="0076277E" w:rsidRDefault="00F356AC" w:rsidP="00F356AC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="Arial" w:hAnsi="Arial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0692" w14:textId="77777777" w:rsidR="00F356AC" w:rsidRPr="0076277E" w:rsidRDefault="00F356AC" w:rsidP="00F356AC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09FF" w14:textId="77777777" w:rsidR="00F356AC" w:rsidRPr="0076277E" w:rsidRDefault="00F356AC" w:rsidP="00F356AC">
            <w:pPr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5840" w14:textId="77777777" w:rsidR="00F356AC" w:rsidRPr="0076277E" w:rsidRDefault="00F356AC" w:rsidP="00F356AC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="Arial" w:hAnsi="Arial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</w:tr>
      <w:tr w:rsidR="00F356AC" w:rsidRPr="0076277E" w14:paraId="17AE2944" w14:textId="77777777" w:rsidTr="00B37D20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099D" w14:textId="12176693" w:rsidR="00F356AC" w:rsidRPr="0076277E" w:rsidRDefault="00F356AC" w:rsidP="00F356AC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lang w:val="fr-FR"/>
              </w:rPr>
              <w:t>Contributions des Parties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CE7C" w14:textId="47E2B1F4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3 779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4E07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3A70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90A3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8EA9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D43D" w14:textId="2C907E1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3 779</w:t>
            </w:r>
          </w:p>
        </w:tc>
      </w:tr>
      <w:tr w:rsidR="00F356AC" w:rsidRPr="0076277E" w14:paraId="7F601168" w14:textId="77777777" w:rsidTr="00B37D20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C7FC" w14:textId="329996F9" w:rsidR="00F356AC" w:rsidRPr="0076277E" w:rsidRDefault="00F356AC" w:rsidP="00F356AC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lang w:val="fr-FR"/>
              </w:rPr>
              <w:t>Contributions volontaires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BD74" w14:textId="2E6A5C01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1 065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D9BE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1641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995A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CE17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0B45" w14:textId="0345ED71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1 065</w:t>
            </w:r>
          </w:p>
        </w:tc>
      </w:tr>
      <w:tr w:rsidR="00F356AC" w:rsidRPr="0076277E" w14:paraId="31000DC5" w14:textId="77777777" w:rsidTr="00B37D20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BD97" w14:textId="74A07746" w:rsidR="00F356AC" w:rsidRPr="0076277E" w:rsidRDefault="00F356AC" w:rsidP="00F356AC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lang w:val="fr-FR"/>
              </w:rPr>
              <w:t>Impôts sur le revenu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189B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225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C87B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C5D0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A011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8E68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0AA5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225</w:t>
            </w:r>
          </w:p>
        </w:tc>
      </w:tr>
      <w:tr w:rsidR="00F356AC" w:rsidRPr="0076277E" w14:paraId="128FADE8" w14:textId="77777777" w:rsidTr="00B37D20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1063" w14:textId="1398165B" w:rsidR="00F356AC" w:rsidRPr="0076277E" w:rsidRDefault="00F356AC" w:rsidP="00F356AC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lang w:val="fr-FR"/>
              </w:rPr>
              <w:t>Autres revenus (y compris revenu d</w:t>
            </w:r>
            <w:r w:rsidR="00893AD0">
              <w:rPr>
                <w:lang w:val="fr-FR"/>
              </w:rPr>
              <w:t>’</w:t>
            </w:r>
            <w:r w:rsidRPr="0076277E">
              <w:rPr>
                <w:lang w:val="fr-FR"/>
              </w:rPr>
              <w:t>intérêt)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8D4A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3C3B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7016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CEDD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CA15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3A48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12</w:t>
            </w:r>
          </w:p>
        </w:tc>
      </w:tr>
      <w:tr w:rsidR="00F356AC" w:rsidRPr="0076277E" w14:paraId="18012349" w14:textId="77777777" w:rsidTr="00B37D20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2D0F5747" w14:textId="3E1A0B2B" w:rsidR="00F356AC" w:rsidRPr="0076277E" w:rsidRDefault="00F356AC" w:rsidP="00F356AC">
            <w:pPr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lang w:val="fr-FR"/>
              </w:rPr>
              <w:t>TOTAL RECETTES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09408E6" w14:textId="415859FF" w:rsidR="00F356AC" w:rsidRPr="0076277E" w:rsidRDefault="00F356AC" w:rsidP="00F356AC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lang w:val="fr-FR"/>
              </w:rPr>
              <w:t>5081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A262BAF" w14:textId="77777777" w:rsidR="00F356AC" w:rsidRPr="0076277E" w:rsidRDefault="00F356AC" w:rsidP="00F356AC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566A107" w14:textId="77777777" w:rsidR="00F356AC" w:rsidRPr="0076277E" w:rsidRDefault="00F356AC" w:rsidP="00F356AC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D3C7C2E" w14:textId="77777777" w:rsidR="00F356AC" w:rsidRPr="0076277E" w:rsidRDefault="00F356AC" w:rsidP="00F356AC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74ED9F" w14:textId="77777777" w:rsidR="00F356AC" w:rsidRPr="0076277E" w:rsidRDefault="00F356AC" w:rsidP="00F356AC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CC9871" w14:textId="5EF3A5AC" w:rsidR="00F356AC" w:rsidRPr="0076277E" w:rsidRDefault="00F356AC" w:rsidP="00F356AC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5 081</w:t>
            </w:r>
          </w:p>
        </w:tc>
      </w:tr>
      <w:tr w:rsidR="008B555A" w:rsidRPr="0076277E" w14:paraId="6E1FC350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6123" w14:textId="77777777" w:rsidR="008B555A" w:rsidRPr="0076277E" w:rsidRDefault="008B555A" w:rsidP="0010559E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="Arial" w:hAnsi="Arial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FB4" w14:textId="77777777" w:rsidR="008B555A" w:rsidRPr="0076277E" w:rsidRDefault="008B555A" w:rsidP="0010559E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2D1F" w14:textId="77777777" w:rsidR="008B555A" w:rsidRPr="0076277E" w:rsidRDefault="008B555A" w:rsidP="0010559E">
            <w:pPr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EB34" w14:textId="77777777" w:rsidR="008B555A" w:rsidRPr="0076277E" w:rsidRDefault="008B555A" w:rsidP="0010559E">
            <w:pPr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2E4B" w14:textId="77777777" w:rsidR="008B555A" w:rsidRPr="0076277E" w:rsidRDefault="008B555A" w:rsidP="0010559E">
            <w:pPr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A53A" w14:textId="77777777" w:rsidR="008B555A" w:rsidRPr="0076277E" w:rsidRDefault="008B555A" w:rsidP="0010559E">
            <w:pPr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5B78" w14:textId="77777777" w:rsidR="008B555A" w:rsidRPr="0076277E" w:rsidRDefault="008B555A" w:rsidP="0010559E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="Arial" w:hAnsi="Arial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</w:tr>
      <w:tr w:rsidR="00F356AC" w:rsidRPr="0076277E" w14:paraId="640953BE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C128" w14:textId="19491437" w:rsidR="00F356AC" w:rsidRPr="0076277E" w:rsidRDefault="00F356AC" w:rsidP="00F356AC">
            <w:pPr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DÉPENSES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075B" w14:textId="77777777" w:rsidR="00F356AC" w:rsidRPr="0076277E" w:rsidRDefault="00F356AC" w:rsidP="00F356AC">
            <w:pPr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F026" w14:textId="77777777" w:rsidR="00F356AC" w:rsidRPr="0076277E" w:rsidRDefault="00F356AC" w:rsidP="00F356AC">
            <w:pPr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9D3A" w14:textId="77777777" w:rsidR="00F356AC" w:rsidRPr="0076277E" w:rsidRDefault="00F356AC" w:rsidP="00F356AC">
            <w:pPr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6F1F" w14:textId="77777777" w:rsidR="00F356AC" w:rsidRPr="0076277E" w:rsidRDefault="00F356AC" w:rsidP="00F356AC">
            <w:pPr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C2D0" w14:textId="77777777" w:rsidR="00F356AC" w:rsidRPr="0076277E" w:rsidRDefault="00F356AC" w:rsidP="00F356AC">
            <w:pPr>
              <w:rPr>
                <w:rFonts w:ascii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9B81" w14:textId="77777777" w:rsidR="00F356AC" w:rsidRPr="0076277E" w:rsidRDefault="00F356AC" w:rsidP="00F356AC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="Arial" w:hAnsi="Arial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</w:tr>
      <w:tr w:rsidR="00F356AC" w:rsidRPr="0076277E" w14:paraId="0E7003D9" w14:textId="77777777" w:rsidTr="003145BC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54DE7C7C" w14:textId="49CC8258" w:rsidR="00F356AC" w:rsidRPr="0076277E" w:rsidRDefault="00F356AC" w:rsidP="00F356AC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lang w:val="fr-FR"/>
              </w:rPr>
              <w:t>A. Cadres supérieurs du Secrétariat et gouvernance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65A806D" w14:textId="7E196244" w:rsidR="00F356AC" w:rsidRPr="0076277E" w:rsidRDefault="00F356AC" w:rsidP="00F356AC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1 051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8FDDE92" w14:textId="77777777" w:rsidR="00F356AC" w:rsidRPr="0076277E" w:rsidRDefault="00F356AC" w:rsidP="00F356AC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E503C04" w14:textId="77777777" w:rsidR="00F356AC" w:rsidRPr="0076277E" w:rsidRDefault="00F356AC" w:rsidP="00F356AC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71B290A" w14:textId="77777777" w:rsidR="00F356AC" w:rsidRPr="0076277E" w:rsidRDefault="00F356AC" w:rsidP="00F356AC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023854" w14:textId="77777777" w:rsidR="00F356AC" w:rsidRPr="0076277E" w:rsidRDefault="00F356AC" w:rsidP="00F356AC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175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37C43B" w14:textId="41EFB5EC" w:rsidR="00F356AC" w:rsidRPr="0076277E" w:rsidRDefault="00F356AC" w:rsidP="00F356AC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1 231</w:t>
            </w:r>
          </w:p>
        </w:tc>
      </w:tr>
      <w:tr w:rsidR="00F356AC" w:rsidRPr="0076277E" w14:paraId="550A9D45" w14:textId="77777777" w:rsidTr="003145BC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4B69" w14:textId="38FA0147" w:rsidR="00F356AC" w:rsidRPr="0076277E" w:rsidRDefault="00F356AC" w:rsidP="00F356AC">
            <w:pPr>
              <w:rPr>
                <w:sz w:val="20"/>
                <w:szCs w:val="20"/>
                <w:lang w:val="fr-FR" w:eastAsia="en-GB"/>
              </w:rPr>
            </w:pPr>
            <w:r w:rsidRPr="0076277E">
              <w:rPr>
                <w:lang w:val="fr-FR"/>
              </w:rPr>
              <w:t>Salaires</w:t>
            </w:r>
            <w:r w:rsidR="00376AEF">
              <w:rPr>
                <w:lang w:val="fr-FR"/>
              </w:rPr>
              <w:t xml:space="preserve">, </w:t>
            </w:r>
            <w:r w:rsidRPr="0076277E">
              <w:rPr>
                <w:lang w:val="fr-FR"/>
              </w:rPr>
              <w:t>charges sociales</w:t>
            </w:r>
            <w:r w:rsidR="00376AEF">
              <w:rPr>
                <w:lang w:val="fr-FR"/>
              </w:rPr>
              <w:t xml:space="preserve"> et autres prestations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E218" w14:textId="42E6E24D" w:rsidR="00F356AC" w:rsidRPr="0076277E" w:rsidRDefault="00F356AC" w:rsidP="00F356AC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1 011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A2BC" w14:textId="77777777" w:rsidR="00F356AC" w:rsidRPr="0076277E" w:rsidRDefault="00F356AC" w:rsidP="00F356AC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F56A" w14:textId="77777777" w:rsidR="00F356AC" w:rsidRPr="0076277E" w:rsidRDefault="00F356AC" w:rsidP="00F356AC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CBBC" w14:textId="77777777" w:rsidR="00F356AC" w:rsidRPr="0076277E" w:rsidRDefault="00F356AC" w:rsidP="00F356AC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B82C" w14:textId="77777777" w:rsidR="00F356AC" w:rsidRPr="0076277E" w:rsidRDefault="00F356AC" w:rsidP="00F356AC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151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57C4" w14:textId="6B0EC370" w:rsidR="00F356AC" w:rsidRPr="0076277E" w:rsidRDefault="00F356AC" w:rsidP="00F356AC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1 162</w:t>
            </w:r>
          </w:p>
        </w:tc>
      </w:tr>
      <w:tr w:rsidR="008B555A" w:rsidRPr="0076277E" w14:paraId="08523922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3A35" w14:textId="51A6DE63" w:rsidR="008B555A" w:rsidRPr="0076277E" w:rsidRDefault="00F356AC" w:rsidP="0010559E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CA70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F398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DDF2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4A95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FC69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3086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69</w:t>
            </w:r>
          </w:p>
        </w:tc>
      </w:tr>
      <w:tr w:rsidR="008B555A" w:rsidRPr="0076277E" w14:paraId="23C740B2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5668685" w14:textId="262F2874" w:rsidR="008B555A" w:rsidRPr="0076277E" w:rsidRDefault="00F356AC" w:rsidP="0010559E">
            <w:pPr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B. Mobilisation des ressources et sensibilisation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9438CDC" w14:textId="77777777" w:rsidR="008B555A" w:rsidRPr="0076277E" w:rsidRDefault="008B555A" w:rsidP="0010559E">
            <w:pPr>
              <w:jc w:val="right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532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F7FA705" w14:textId="77777777" w:rsidR="008B555A" w:rsidRPr="0076277E" w:rsidRDefault="008B555A" w:rsidP="0010559E">
            <w:pPr>
              <w:jc w:val="right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372F27" w14:textId="77777777" w:rsidR="008B555A" w:rsidRPr="0076277E" w:rsidRDefault="008B555A" w:rsidP="0010559E">
            <w:pPr>
              <w:jc w:val="right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164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318B7D1" w14:textId="77777777" w:rsidR="008B555A" w:rsidRPr="0076277E" w:rsidRDefault="008B555A" w:rsidP="0010559E">
            <w:pPr>
              <w:jc w:val="right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650C62A" w14:textId="77777777" w:rsidR="008B555A" w:rsidRPr="0076277E" w:rsidRDefault="008B555A" w:rsidP="0010559E">
            <w:pPr>
              <w:jc w:val="right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3CEE8D7" w14:textId="77777777" w:rsidR="008B555A" w:rsidRPr="0076277E" w:rsidRDefault="008B555A" w:rsidP="0010559E">
            <w:pPr>
              <w:jc w:val="right"/>
              <w:rPr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sz w:val="20"/>
                <w:szCs w:val="20"/>
                <w:lang w:val="fr-FR" w:eastAsia="en-GB"/>
              </w:rPr>
              <w:t>902</w:t>
            </w:r>
          </w:p>
        </w:tc>
      </w:tr>
      <w:tr w:rsidR="008B555A" w:rsidRPr="0076277E" w14:paraId="232603C1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B62C" w14:textId="778846C8" w:rsidR="008B555A" w:rsidRPr="0076277E" w:rsidRDefault="00F356AC" w:rsidP="0010559E">
            <w:pPr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Salaires</w:t>
            </w:r>
            <w:r w:rsidR="009752AB" w:rsidRPr="0076277E">
              <w:rPr>
                <w:sz w:val="20"/>
                <w:szCs w:val="20"/>
                <w:lang w:val="fr-FR" w:eastAsia="en-GB"/>
              </w:rPr>
              <w:t xml:space="preserve">, </w:t>
            </w:r>
            <w:r w:rsidRPr="0076277E">
              <w:rPr>
                <w:sz w:val="20"/>
                <w:szCs w:val="20"/>
                <w:lang w:val="fr-FR" w:eastAsia="en-GB"/>
              </w:rPr>
              <w:t>charges sociales et autres prestations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70BA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396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78FE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97EB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DE93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7CD4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992C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441</w:t>
            </w:r>
          </w:p>
        </w:tc>
      </w:tr>
      <w:tr w:rsidR="00F356AC" w:rsidRPr="0076277E" w14:paraId="2431497D" w14:textId="77777777" w:rsidTr="002A1831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C3A1" w14:textId="2A24BD1A" w:rsidR="00F356AC" w:rsidRPr="0076277E" w:rsidRDefault="00F356AC" w:rsidP="00F356AC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lang w:val="fr-FR"/>
              </w:rPr>
              <w:t>Programme de CESP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BA07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5D69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47D5" w14:textId="77777777" w:rsidR="00F356AC" w:rsidRPr="0076277E" w:rsidRDefault="00F356AC" w:rsidP="00F356AC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832D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5C84" w14:textId="77777777" w:rsidR="00F356AC" w:rsidRPr="0076277E" w:rsidRDefault="00F356AC" w:rsidP="00F356AC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27DE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83</w:t>
            </w:r>
          </w:p>
        </w:tc>
      </w:tr>
      <w:tr w:rsidR="00F356AC" w:rsidRPr="0076277E" w14:paraId="79CCC43D" w14:textId="77777777" w:rsidTr="002A1831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1216" w14:textId="25085448" w:rsidR="00F356AC" w:rsidRPr="0076277E" w:rsidRDefault="00F356AC" w:rsidP="00F356AC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lang w:val="fr-FR"/>
              </w:rPr>
              <w:lastRenderedPageBreak/>
              <w:t>Communications, traductions, publications et rapports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8904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30A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98C0" w14:textId="77777777" w:rsidR="00F356AC" w:rsidRPr="0076277E" w:rsidRDefault="00F356AC" w:rsidP="00F356AC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C9CD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A554" w14:textId="77777777" w:rsidR="00F356AC" w:rsidRPr="0076277E" w:rsidRDefault="00F356AC" w:rsidP="00F356AC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318D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179</w:t>
            </w:r>
          </w:p>
        </w:tc>
      </w:tr>
      <w:tr w:rsidR="00F356AC" w:rsidRPr="0076277E" w14:paraId="6EC50EF3" w14:textId="77777777" w:rsidTr="002A1831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914615" w14:textId="56E5DD36" w:rsidR="00F356AC" w:rsidRPr="0076277E" w:rsidRDefault="00F356AC" w:rsidP="00F356AC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lang w:val="fr-FR"/>
              </w:rPr>
              <w:t xml:space="preserve">Journée mondiale des zones humides 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5916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8972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95D6" w14:textId="77777777" w:rsidR="00F356AC" w:rsidRPr="0076277E" w:rsidRDefault="00F356AC" w:rsidP="00F356AC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E7CB" w14:textId="77777777" w:rsidR="00F356AC" w:rsidRPr="0076277E" w:rsidRDefault="00F356AC" w:rsidP="00F356AC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214D" w14:textId="77777777" w:rsidR="00F356AC" w:rsidRPr="0076277E" w:rsidRDefault="00F356AC" w:rsidP="00F356AC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568B" w14:textId="77777777" w:rsidR="00F356AC" w:rsidRPr="0076277E" w:rsidRDefault="00F356AC" w:rsidP="00F356AC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45</w:t>
            </w:r>
          </w:p>
        </w:tc>
      </w:tr>
      <w:tr w:rsidR="009752AB" w:rsidRPr="0076277E" w14:paraId="6D89EDF7" w14:textId="77777777" w:rsidTr="00913CA7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DB753E" w14:textId="1B1E9857" w:rsidR="009752AB" w:rsidRPr="0076277E" w:rsidRDefault="009752AB" w:rsidP="009752AB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lang w:val="fr-FR"/>
              </w:rPr>
              <w:t>50</w:t>
            </w:r>
            <w:r w:rsidRPr="0076277E">
              <w:rPr>
                <w:vertAlign w:val="superscript"/>
                <w:lang w:val="fr-FR"/>
              </w:rPr>
              <w:t>e</w:t>
            </w:r>
            <w:r w:rsidRPr="0076277E">
              <w:rPr>
                <w:lang w:val="fr-FR"/>
              </w:rPr>
              <w:t xml:space="preserve"> anniversaire en 2021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93D5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10B9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417A" w14:textId="77777777" w:rsidR="009752AB" w:rsidRPr="0076277E" w:rsidRDefault="009752AB" w:rsidP="009752AB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CEF8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DE6E" w14:textId="77777777" w:rsidR="009752AB" w:rsidRPr="0076277E" w:rsidRDefault="009752AB" w:rsidP="009752AB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EFBC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8</w:t>
            </w:r>
          </w:p>
        </w:tc>
      </w:tr>
      <w:tr w:rsidR="009752AB" w:rsidRPr="0076277E" w14:paraId="4FFE673B" w14:textId="77777777" w:rsidTr="00913CA7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016F" w14:textId="0E111FAD" w:rsidR="009752AB" w:rsidRPr="0076277E" w:rsidRDefault="009752AB" w:rsidP="009752AB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lang w:val="fr-FR"/>
              </w:rPr>
              <w:t>Appui et développement Web/TI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DDF6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E9A7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89DB" w14:textId="77777777" w:rsidR="009752AB" w:rsidRPr="0076277E" w:rsidRDefault="009752AB" w:rsidP="009752AB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5666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579A" w14:textId="77777777" w:rsidR="009752AB" w:rsidRPr="0076277E" w:rsidRDefault="009752AB" w:rsidP="009752AB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92E7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40</w:t>
            </w:r>
          </w:p>
        </w:tc>
      </w:tr>
      <w:tr w:rsidR="008B555A" w:rsidRPr="0076277E" w14:paraId="1B3EF7CD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2EED" w14:textId="78FF79B4" w:rsidR="008B555A" w:rsidRPr="0076277E" w:rsidRDefault="009752AB" w:rsidP="0010559E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 xml:space="preserve">Refonte du site </w:t>
            </w:r>
            <w:r w:rsidR="008B555A" w:rsidRPr="0076277E">
              <w:rPr>
                <w:color w:val="000000"/>
                <w:sz w:val="20"/>
                <w:szCs w:val="20"/>
                <w:lang w:val="fr-FR" w:eastAsia="en-GB"/>
              </w:rPr>
              <w:t>Web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3AE7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6CB0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5B53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729F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EDCB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48C8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86</w:t>
            </w:r>
          </w:p>
        </w:tc>
      </w:tr>
      <w:tr w:rsidR="008B555A" w:rsidRPr="0076277E" w14:paraId="3E182593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3077" w14:textId="4D28E7E1" w:rsidR="008B555A" w:rsidRPr="0076277E" w:rsidRDefault="009752AB" w:rsidP="0010559E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1987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10C9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A019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B7F3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A917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9998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20</w:t>
            </w:r>
          </w:p>
        </w:tc>
      </w:tr>
      <w:tr w:rsidR="008B555A" w:rsidRPr="0076277E" w14:paraId="1545D036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F664B93" w14:textId="10871D8B" w:rsidR="008B555A" w:rsidRPr="0076277E" w:rsidRDefault="008B555A" w:rsidP="0010559E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 xml:space="preserve">C.  </w:t>
            </w:r>
            <w:r w:rsidR="009752AB" w:rsidRPr="0076277E">
              <w:rPr>
                <w:color w:val="000000"/>
                <w:sz w:val="20"/>
                <w:szCs w:val="20"/>
                <w:lang w:val="fr-FR" w:eastAsia="en-GB"/>
              </w:rPr>
              <w:t>Appui et conseils aux Régions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26E11B4" w14:textId="77777777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1,316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3AA1548" w14:textId="77777777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EFF64C5" w14:textId="77777777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6C98579" w14:textId="77777777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C125DBB" w14:textId="77777777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225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7A2A2A1" w14:textId="341D8BF2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1</w:t>
            </w:r>
            <w:r w:rsidR="00AF25C1"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647</w:t>
            </w:r>
          </w:p>
        </w:tc>
      </w:tr>
      <w:tr w:rsidR="008B555A" w:rsidRPr="0076277E" w14:paraId="01FE859E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534D" w14:textId="7302D82D" w:rsidR="008B555A" w:rsidRPr="0076277E" w:rsidRDefault="009752AB" w:rsidP="0010559E">
            <w:pPr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Salaires, charges sociales et autres prestations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86D6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1,251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C618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2E0E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B6C9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25D8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ADCE" w14:textId="33436AC4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1</w:t>
            </w:r>
            <w:r w:rsidR="00AF25C1" w:rsidRPr="0076277E">
              <w:rPr>
                <w:sz w:val="20"/>
                <w:szCs w:val="20"/>
                <w:lang w:val="fr-FR" w:eastAsia="en-GB"/>
              </w:rPr>
              <w:t> </w:t>
            </w:r>
            <w:r w:rsidRPr="0076277E">
              <w:rPr>
                <w:sz w:val="20"/>
                <w:szCs w:val="20"/>
                <w:lang w:val="fr-FR" w:eastAsia="en-GB"/>
              </w:rPr>
              <w:t>451</w:t>
            </w:r>
          </w:p>
        </w:tc>
      </w:tr>
      <w:tr w:rsidR="009752AB" w:rsidRPr="0076277E" w14:paraId="1269110E" w14:textId="77777777" w:rsidTr="00945D2F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A058" w14:textId="5C5D18B4" w:rsidR="009752AB" w:rsidRPr="0076277E" w:rsidRDefault="009752AB" w:rsidP="009752AB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Déplacements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0E51" w14:textId="77777777" w:rsidR="009752AB" w:rsidRPr="0076277E" w:rsidRDefault="009752AB" w:rsidP="009752AB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E256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DDD3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C6A9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2785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0942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100</w:t>
            </w:r>
          </w:p>
        </w:tc>
      </w:tr>
      <w:tr w:rsidR="009752AB" w:rsidRPr="0076277E" w14:paraId="7B116F73" w14:textId="77777777" w:rsidTr="00945D2F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0506" w14:textId="0E974F98" w:rsidR="009752AB" w:rsidRPr="0076277E" w:rsidRDefault="009752AB" w:rsidP="009752AB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 xml:space="preserve">Missions consultatives Ramsar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A732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1835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8A70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B4B8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BC01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3EF0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96</w:t>
            </w:r>
          </w:p>
        </w:tc>
      </w:tr>
      <w:tr w:rsidR="009752AB" w:rsidRPr="0076277E" w14:paraId="161C09EC" w14:textId="77777777" w:rsidTr="00335724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66ED8F0D" w14:textId="2FDC4524" w:rsidR="009752AB" w:rsidRPr="0076277E" w:rsidRDefault="009752AB" w:rsidP="009752AB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D.  Appui aux Initiatives régionales (IR)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95E4BA" w14:textId="77777777" w:rsidR="009752AB" w:rsidRPr="0076277E" w:rsidRDefault="009752AB" w:rsidP="009752AB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B7488D8" w14:textId="77777777" w:rsidR="009752AB" w:rsidRPr="0076277E" w:rsidRDefault="009752AB" w:rsidP="009752AB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0B26EB5" w14:textId="77777777" w:rsidR="009752AB" w:rsidRPr="0076277E" w:rsidRDefault="009752AB" w:rsidP="009752AB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4DDDFD" w14:textId="77777777" w:rsidR="009752AB" w:rsidRPr="0076277E" w:rsidRDefault="009752AB" w:rsidP="009752AB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E49EA48" w14:textId="77777777" w:rsidR="009752AB" w:rsidRPr="0076277E" w:rsidRDefault="009752AB" w:rsidP="009752AB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4ADAEEA" w14:textId="77777777" w:rsidR="009752AB" w:rsidRPr="0076277E" w:rsidRDefault="009752AB" w:rsidP="009752AB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217</w:t>
            </w:r>
          </w:p>
        </w:tc>
      </w:tr>
      <w:tr w:rsidR="009752AB" w:rsidRPr="0076277E" w14:paraId="24D8D6C3" w14:textId="77777777" w:rsidTr="00335724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55E14" w14:textId="42DA685E" w:rsidR="009752AB" w:rsidRPr="0076277E" w:rsidRDefault="009752AB" w:rsidP="009752AB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Groupe de travail sur les IR, Rés.XIII.9, paragraphe 10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F9B5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89CC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FFF1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C087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DE2D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23BD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21</w:t>
            </w:r>
          </w:p>
        </w:tc>
      </w:tr>
      <w:tr w:rsidR="009752AB" w:rsidRPr="0076277E" w14:paraId="04353E72" w14:textId="77777777" w:rsidTr="00335724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B3CD29" w14:textId="5F954C7B" w:rsidR="009752AB" w:rsidRPr="0076277E" w:rsidRDefault="009752AB" w:rsidP="009752AB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Rédaction de propositions pour les IRR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5AF6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6AA1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8578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2469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A57C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1FB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9752AB" w:rsidRPr="0076277E" w14:paraId="1A0D266D" w14:textId="77777777" w:rsidTr="00335724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611A" w14:textId="1304400C" w:rsidR="009752AB" w:rsidRPr="0076277E" w:rsidRDefault="009752AB" w:rsidP="009752AB">
            <w:pPr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Activité 1 : Bassin du fleuve Sénégal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D313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5552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0754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E182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F059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620C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35</w:t>
            </w:r>
          </w:p>
        </w:tc>
      </w:tr>
      <w:tr w:rsidR="009752AB" w:rsidRPr="0076277E" w14:paraId="4071790C" w14:textId="77777777" w:rsidTr="00335724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E2B1" w14:textId="731206F0" w:rsidR="009752AB" w:rsidRPr="0076277E" w:rsidRDefault="009752AB" w:rsidP="009752AB">
            <w:pPr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Activité 2 : Bassin de l</w:t>
            </w:r>
            <w:r w:rsidR="00893AD0">
              <w:rPr>
                <w:sz w:val="20"/>
                <w:szCs w:val="20"/>
                <w:lang w:val="fr-FR"/>
              </w:rPr>
              <w:t>’</w:t>
            </w:r>
            <w:r w:rsidRPr="0076277E">
              <w:rPr>
                <w:sz w:val="20"/>
                <w:szCs w:val="20"/>
                <w:lang w:val="fr-FR"/>
              </w:rPr>
              <w:t>Amazone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5187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8ED9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D667" w14:textId="77777777" w:rsidR="009752AB" w:rsidRPr="0076277E" w:rsidRDefault="009752AB" w:rsidP="009752AB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F068" w14:textId="77777777" w:rsidR="009752AB" w:rsidRPr="0076277E" w:rsidRDefault="009752AB" w:rsidP="009752AB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818" w14:textId="77777777" w:rsidR="009752AB" w:rsidRPr="0076277E" w:rsidRDefault="009752AB" w:rsidP="009752AB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D10A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111</w:t>
            </w:r>
          </w:p>
        </w:tc>
      </w:tr>
      <w:tr w:rsidR="009752AB" w:rsidRPr="0076277E" w14:paraId="02E071E8" w14:textId="77777777" w:rsidTr="00335724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AA7B" w14:textId="78020D94" w:rsidR="009752AB" w:rsidRPr="0076277E" w:rsidRDefault="009752AB" w:rsidP="009752AB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Activité 3 : Asie centrale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2AD1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709C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04F6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279C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6823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BFBD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25</w:t>
            </w:r>
          </w:p>
        </w:tc>
      </w:tr>
      <w:tr w:rsidR="009752AB" w:rsidRPr="0076277E" w14:paraId="1D90B0B6" w14:textId="77777777" w:rsidTr="00335724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8641" w14:textId="1F0213AC" w:rsidR="009752AB" w:rsidRPr="0076277E" w:rsidRDefault="009752AB" w:rsidP="009752AB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Activité 4 : Indo-Birmanie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5590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6017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FF9D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F8C8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0D31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C015" w14:textId="77777777" w:rsidR="009752AB" w:rsidRPr="0076277E" w:rsidRDefault="009752AB" w:rsidP="009752AB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25</w:t>
            </w:r>
          </w:p>
        </w:tc>
      </w:tr>
      <w:tr w:rsidR="008B555A" w:rsidRPr="0076277E" w14:paraId="00DB98BA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2D7E9BE" w14:textId="0DF7BC86" w:rsidR="008B555A" w:rsidRPr="0076277E" w:rsidRDefault="00AF25C1" w:rsidP="0010559E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E.  Services scientifiques et techniques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02EFDA2" w14:textId="77777777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774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5C500FF" w14:textId="77777777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1C42BF9" w14:textId="77777777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114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DD7DA87" w14:textId="77777777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CE75C8A" w14:textId="77777777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328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2D5D866" w14:textId="557F0F89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1</w:t>
            </w:r>
            <w:r w:rsidR="00AF25C1"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311</w:t>
            </w:r>
          </w:p>
        </w:tc>
      </w:tr>
      <w:tr w:rsidR="008B555A" w:rsidRPr="0076277E" w14:paraId="5A22180F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B89E" w14:textId="24B9715B" w:rsidR="008B555A" w:rsidRPr="0076277E" w:rsidRDefault="00AF25C1" w:rsidP="0010559E">
            <w:pPr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Salaires, charges sociales et autres prestations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3CD9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1FB0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8F19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8062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0252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226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F203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854</w:t>
            </w:r>
          </w:p>
        </w:tc>
      </w:tr>
      <w:tr w:rsidR="00AF25C1" w:rsidRPr="0076277E" w14:paraId="22B7057E" w14:textId="77777777" w:rsidTr="00585E58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CF6A" w14:textId="49CB2697" w:rsidR="00AF25C1" w:rsidRPr="0076277E" w:rsidRDefault="00AF25C1" w:rsidP="00AF25C1">
            <w:pPr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Déplacements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F8CB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2AB5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4CF9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E9F7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65CC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1E60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24</w:t>
            </w:r>
          </w:p>
        </w:tc>
      </w:tr>
      <w:tr w:rsidR="00AF25C1" w:rsidRPr="0076277E" w14:paraId="659AEC5C" w14:textId="77777777" w:rsidTr="00585E58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8A96" w14:textId="7F11F937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lastRenderedPageBreak/>
              <w:t>Déplacements Président du GEST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9833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B218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2D31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8EE9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5FE1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0F69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12</w:t>
            </w:r>
          </w:p>
        </w:tc>
      </w:tr>
      <w:tr w:rsidR="00AF25C1" w:rsidRPr="0076277E" w14:paraId="6D1D2423" w14:textId="77777777" w:rsidTr="00585E58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6EA0" w14:textId="680DF98C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Mise en œuvre du GEST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A480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9B11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A97A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800A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EDDA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A573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99</w:t>
            </w:r>
          </w:p>
        </w:tc>
      </w:tr>
      <w:tr w:rsidR="00AF25C1" w:rsidRPr="0076277E" w14:paraId="78C8EA22" w14:textId="77777777" w:rsidTr="00585E58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3A1E" w14:textId="47F91B37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Réunions du GEST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5DDA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3C94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BF14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166B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CA88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9E11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94</w:t>
            </w:r>
          </w:p>
        </w:tc>
      </w:tr>
      <w:tr w:rsidR="008B555A" w:rsidRPr="0076277E" w14:paraId="7BBB4DAA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1323" w14:textId="0C6C2C79" w:rsidR="008B555A" w:rsidRPr="0076277E" w:rsidRDefault="00AF25C1" w:rsidP="0010559E">
            <w:pPr>
              <w:rPr>
                <w:color w:val="0000FF"/>
                <w:sz w:val="20"/>
                <w:szCs w:val="20"/>
                <w:lang w:val="fr-FR" w:eastAsia="en-GB"/>
              </w:rPr>
            </w:pPr>
            <w:r w:rsidRPr="0076277E">
              <w:rPr>
                <w:color w:val="0000FF"/>
                <w:sz w:val="20"/>
                <w:szCs w:val="20"/>
                <w:lang w:val="fr-FR" w:eastAsia="en-GB"/>
              </w:rPr>
              <w:t>5</w:t>
            </w:r>
            <w:r w:rsidRPr="0076277E">
              <w:rPr>
                <w:color w:val="0000FF"/>
                <w:sz w:val="20"/>
                <w:szCs w:val="20"/>
                <w:vertAlign w:val="superscript"/>
                <w:lang w:val="fr-FR" w:eastAsia="en-GB"/>
              </w:rPr>
              <w:t>e</w:t>
            </w:r>
            <w:r w:rsidRPr="0076277E">
              <w:rPr>
                <w:color w:val="0000FF"/>
                <w:sz w:val="20"/>
                <w:szCs w:val="20"/>
                <w:lang w:val="fr-FR" w:eastAsia="en-GB"/>
              </w:rPr>
              <w:t xml:space="preserve"> Plan s</w:t>
            </w:r>
            <w:r w:rsidR="008B555A" w:rsidRPr="0076277E">
              <w:rPr>
                <w:color w:val="0000FF"/>
                <w:sz w:val="20"/>
                <w:szCs w:val="20"/>
                <w:lang w:val="fr-FR" w:eastAsia="en-GB"/>
              </w:rPr>
              <w:t>trat</w:t>
            </w:r>
            <w:r w:rsidRPr="0076277E">
              <w:rPr>
                <w:color w:val="0000FF"/>
                <w:sz w:val="20"/>
                <w:szCs w:val="20"/>
                <w:lang w:val="fr-FR" w:eastAsia="en-GB"/>
              </w:rPr>
              <w:t>é</w:t>
            </w:r>
            <w:r w:rsidR="008B555A" w:rsidRPr="0076277E">
              <w:rPr>
                <w:color w:val="0000FF"/>
                <w:sz w:val="20"/>
                <w:szCs w:val="20"/>
                <w:lang w:val="fr-FR" w:eastAsia="en-GB"/>
              </w:rPr>
              <w:t>gi</w:t>
            </w:r>
            <w:r w:rsidRPr="0076277E">
              <w:rPr>
                <w:color w:val="0000FF"/>
                <w:sz w:val="20"/>
                <w:szCs w:val="20"/>
                <w:lang w:val="fr-FR" w:eastAsia="en-GB"/>
              </w:rPr>
              <w:t>que</w:t>
            </w:r>
            <w:r w:rsidR="008B555A" w:rsidRPr="0076277E">
              <w:rPr>
                <w:color w:val="0000FF"/>
                <w:sz w:val="20"/>
                <w:szCs w:val="20"/>
                <w:lang w:val="fr-FR" w:eastAsia="en-GB"/>
              </w:rPr>
              <w:t xml:space="preserve"> (2022-2024)*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F80F" w14:textId="77777777" w:rsidR="008B555A" w:rsidRPr="0076277E" w:rsidRDefault="008B555A" w:rsidP="0010559E">
            <w:pPr>
              <w:jc w:val="right"/>
              <w:rPr>
                <w:color w:val="0000FF"/>
                <w:sz w:val="20"/>
                <w:szCs w:val="20"/>
                <w:lang w:val="fr-FR" w:eastAsia="en-GB"/>
              </w:rPr>
            </w:pPr>
            <w:r w:rsidRPr="0076277E">
              <w:rPr>
                <w:color w:val="0000FF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4931" w14:textId="77777777" w:rsidR="008B555A" w:rsidRPr="0076277E" w:rsidRDefault="008B555A" w:rsidP="0010559E">
            <w:pPr>
              <w:jc w:val="right"/>
              <w:rPr>
                <w:color w:val="0000FF"/>
                <w:sz w:val="20"/>
                <w:szCs w:val="20"/>
                <w:lang w:val="fr-FR" w:eastAsia="en-GB"/>
              </w:rPr>
            </w:pPr>
            <w:r w:rsidRPr="0076277E">
              <w:rPr>
                <w:color w:val="0000FF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AC4D" w14:textId="77777777" w:rsidR="008B555A" w:rsidRPr="0076277E" w:rsidRDefault="008B555A" w:rsidP="0010559E">
            <w:pPr>
              <w:jc w:val="right"/>
              <w:rPr>
                <w:color w:val="0000FF"/>
                <w:sz w:val="20"/>
                <w:szCs w:val="20"/>
                <w:lang w:val="fr-FR" w:eastAsia="en-GB"/>
              </w:rPr>
            </w:pPr>
            <w:r w:rsidRPr="0076277E">
              <w:rPr>
                <w:color w:val="0000FF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D51A" w14:textId="77777777" w:rsidR="008B555A" w:rsidRPr="0076277E" w:rsidRDefault="008B555A" w:rsidP="0010559E">
            <w:pPr>
              <w:jc w:val="right"/>
              <w:rPr>
                <w:color w:val="0000FF"/>
                <w:sz w:val="20"/>
                <w:szCs w:val="20"/>
                <w:lang w:val="fr-FR" w:eastAsia="en-GB"/>
              </w:rPr>
            </w:pPr>
            <w:r w:rsidRPr="0076277E">
              <w:rPr>
                <w:color w:val="0000FF"/>
                <w:sz w:val="20"/>
                <w:szCs w:val="20"/>
                <w:lang w:val="fr-FR" w:eastAsia="en-GB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F2BB" w14:textId="77777777" w:rsidR="008B555A" w:rsidRPr="0076277E" w:rsidRDefault="008B555A" w:rsidP="0010559E">
            <w:pPr>
              <w:jc w:val="right"/>
              <w:rPr>
                <w:color w:val="0000FF"/>
                <w:sz w:val="20"/>
                <w:szCs w:val="20"/>
                <w:lang w:val="fr-FR" w:eastAsia="en-GB"/>
              </w:rPr>
            </w:pPr>
            <w:r w:rsidRPr="0076277E">
              <w:rPr>
                <w:color w:val="0000FF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B0D2" w14:textId="77777777" w:rsidR="008B555A" w:rsidRPr="0076277E" w:rsidRDefault="008B555A" w:rsidP="0010559E">
            <w:pPr>
              <w:jc w:val="right"/>
              <w:rPr>
                <w:color w:val="0000FF"/>
                <w:sz w:val="20"/>
                <w:szCs w:val="20"/>
                <w:lang w:val="fr-FR" w:eastAsia="en-GB"/>
              </w:rPr>
            </w:pPr>
            <w:r w:rsidRPr="0076277E">
              <w:rPr>
                <w:color w:val="0000FF"/>
                <w:sz w:val="20"/>
                <w:szCs w:val="20"/>
                <w:lang w:val="fr-FR" w:eastAsia="en-GB"/>
              </w:rPr>
              <w:t>90</w:t>
            </w:r>
          </w:p>
        </w:tc>
      </w:tr>
      <w:tr w:rsidR="00AF25C1" w:rsidRPr="0076277E" w14:paraId="62F6700B" w14:textId="77777777" w:rsidTr="00CB7C11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69BE" w14:textId="7E901913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ODD 6.61 (Inventaires)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88F3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8D79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2176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A926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E542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CF45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72</w:t>
            </w:r>
          </w:p>
        </w:tc>
      </w:tr>
      <w:tr w:rsidR="00AF25C1" w:rsidRPr="0076277E" w14:paraId="4DBCC494" w14:textId="77777777" w:rsidTr="00CB7C11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3801" w14:textId="5E196DA1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Service d</w:t>
            </w:r>
            <w:r w:rsidR="00893AD0">
              <w:rPr>
                <w:sz w:val="20"/>
                <w:szCs w:val="20"/>
                <w:lang w:val="fr-FR"/>
              </w:rPr>
              <w:t>’</w:t>
            </w:r>
            <w:r w:rsidRPr="0076277E">
              <w:rPr>
                <w:sz w:val="20"/>
                <w:szCs w:val="20"/>
                <w:lang w:val="fr-FR"/>
              </w:rPr>
              <w:t>information sur les Sites Ramsar (entretien et développement)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4851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2FFC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80E1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29A2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E2ED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64FB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66</w:t>
            </w:r>
          </w:p>
        </w:tc>
      </w:tr>
      <w:tr w:rsidR="008B555A" w:rsidRPr="0076277E" w14:paraId="3CF45096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DCE41F9" w14:textId="77777777" w:rsidR="008B555A" w:rsidRPr="0076277E" w:rsidRDefault="008B555A" w:rsidP="0010559E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G.  Administration/Web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CC5CFFD" w14:textId="77777777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489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BC8F147" w14:textId="77777777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DD1EDD" w14:textId="77777777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BF5D79B" w14:textId="77777777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15D2E8D" w14:textId="77777777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ECF9783" w14:textId="77777777" w:rsidR="008B555A" w:rsidRPr="0076277E" w:rsidRDefault="008B555A" w:rsidP="0010559E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611</w:t>
            </w:r>
          </w:p>
        </w:tc>
      </w:tr>
      <w:tr w:rsidR="008B555A" w:rsidRPr="0076277E" w14:paraId="620463AB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55B9" w14:textId="4343FBC0" w:rsidR="008B555A" w:rsidRPr="0076277E" w:rsidRDefault="008B555A" w:rsidP="0010559E">
            <w:pPr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Salai</w:t>
            </w:r>
            <w:r w:rsidR="00AF25C1" w:rsidRPr="0076277E">
              <w:rPr>
                <w:sz w:val="20"/>
                <w:szCs w:val="20"/>
                <w:lang w:val="fr-FR" w:eastAsia="en-GB"/>
              </w:rPr>
              <w:t>r</w:t>
            </w:r>
            <w:r w:rsidRPr="0076277E">
              <w:rPr>
                <w:sz w:val="20"/>
                <w:szCs w:val="20"/>
                <w:lang w:val="fr-FR" w:eastAsia="en-GB"/>
              </w:rPr>
              <w:t xml:space="preserve">es, </w:t>
            </w:r>
            <w:r w:rsidR="00AF25C1" w:rsidRPr="0076277E">
              <w:rPr>
                <w:sz w:val="20"/>
                <w:szCs w:val="20"/>
                <w:lang w:val="fr-FR" w:eastAsia="en-GB"/>
              </w:rPr>
              <w:t xml:space="preserve">charges </w:t>
            </w:r>
            <w:r w:rsidRPr="0076277E">
              <w:rPr>
                <w:sz w:val="20"/>
                <w:szCs w:val="20"/>
                <w:lang w:val="fr-FR" w:eastAsia="en-GB"/>
              </w:rPr>
              <w:t>social</w:t>
            </w:r>
            <w:r w:rsidR="00AF25C1" w:rsidRPr="0076277E">
              <w:rPr>
                <w:sz w:val="20"/>
                <w:szCs w:val="20"/>
                <w:lang w:val="fr-FR" w:eastAsia="en-GB"/>
              </w:rPr>
              <w:t>es et autres prestations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5BC6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334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6BEF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81BA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5E23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4CF2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9D6E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337</w:t>
            </w:r>
          </w:p>
        </w:tc>
      </w:tr>
      <w:tr w:rsidR="00AF25C1" w:rsidRPr="0076277E" w14:paraId="3AA2B436" w14:textId="77777777" w:rsidTr="00EF08F0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87BD" w14:textId="4FCD07D7" w:rsidR="00AF25C1" w:rsidRPr="0076277E" w:rsidRDefault="00AF25C1" w:rsidP="00AF25C1">
            <w:pPr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Recrutement et indemnités de départ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37B9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9AC9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DE0D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41B6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A44E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1F3A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70</w:t>
            </w:r>
          </w:p>
        </w:tc>
      </w:tr>
      <w:tr w:rsidR="00AF25C1" w:rsidRPr="0076277E" w14:paraId="5B54CEAC" w14:textId="77777777" w:rsidTr="00EF08F0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41AE" w14:textId="6DE4D76C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Déplacements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5D50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D39A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996F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ECAC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68E9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981A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AF25C1" w:rsidRPr="0076277E" w14:paraId="49D25AE9" w14:textId="77777777" w:rsidTr="00EF08F0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8349" w14:textId="6DEB7E80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Équipements/fournitures de bureau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6974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4A20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964D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D84C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AAA9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E112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108</w:t>
            </w:r>
          </w:p>
        </w:tc>
      </w:tr>
      <w:tr w:rsidR="00AF25C1" w:rsidRPr="0076277E" w14:paraId="2188536A" w14:textId="77777777" w:rsidTr="00EF08F0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81BA" w14:textId="67F77661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Planification et renforcement des capacités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7151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2BD6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6A84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FF27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53A8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41BA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96</w:t>
            </w:r>
          </w:p>
        </w:tc>
      </w:tr>
      <w:tr w:rsidR="00AF25C1" w:rsidRPr="0076277E" w14:paraId="00AECC8D" w14:textId="77777777" w:rsidTr="00BA214F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05F4D0FE" w14:textId="04A42996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H. Services au Comité permanent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C025EB1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1F76B8B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BE572AA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C6C9BF5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DA7C253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83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7D6A618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250</w:t>
            </w:r>
          </w:p>
        </w:tc>
      </w:tr>
      <w:tr w:rsidR="00AF25C1" w:rsidRPr="0076277E" w14:paraId="5B5ECF9E" w14:textId="77777777" w:rsidTr="00BA214F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EB01" w14:textId="1B219BAC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Appui aux délégués du CP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5E87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4C31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C3E6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2F10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50DA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A571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96</w:t>
            </w:r>
          </w:p>
        </w:tc>
      </w:tr>
      <w:tr w:rsidR="00AF25C1" w:rsidRPr="0076277E" w14:paraId="26F65E30" w14:textId="77777777" w:rsidTr="00BA214F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CBFE" w14:textId="701D0529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Réunions du CP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C92F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D7DB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C6D8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47F3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1C4E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ACD0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16</w:t>
            </w:r>
          </w:p>
        </w:tc>
      </w:tr>
      <w:tr w:rsidR="00AF25C1" w:rsidRPr="0076277E" w14:paraId="27822939" w14:textId="77777777" w:rsidTr="00BA214F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1ADF" w14:textId="769B3339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Services de traduction pour le CP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C923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FB50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FD5B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8F56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92B6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1A00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64</w:t>
            </w:r>
          </w:p>
        </w:tc>
      </w:tr>
      <w:tr w:rsidR="00AF25C1" w:rsidRPr="0076277E" w14:paraId="3FF49789" w14:textId="77777777" w:rsidTr="00BA214F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4487" w14:textId="64FB5515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Interprétation simultanée aux réunions du CP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D133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696C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0A2F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7E86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9F29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22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E8DA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57</w:t>
            </w:r>
          </w:p>
        </w:tc>
      </w:tr>
      <w:tr w:rsidR="00AF25C1" w:rsidRPr="0076277E" w14:paraId="20076370" w14:textId="77777777" w:rsidTr="00BA214F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4048" w14:textId="73EAB772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Groupe de travail sur l</w:t>
            </w:r>
            <w:r w:rsidR="00893AD0">
              <w:rPr>
                <w:sz w:val="20"/>
                <w:szCs w:val="20"/>
                <w:lang w:val="fr-FR"/>
              </w:rPr>
              <w:t>’</w:t>
            </w:r>
            <w:r w:rsidRPr="0076277E">
              <w:rPr>
                <w:sz w:val="20"/>
                <w:szCs w:val="20"/>
                <w:lang w:val="fr-FR"/>
              </w:rPr>
              <w:t>efficacité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D801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9401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A495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C724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6FD8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7B0C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14</w:t>
            </w:r>
          </w:p>
        </w:tc>
      </w:tr>
      <w:tr w:rsidR="00AF25C1" w:rsidRPr="0076277E" w14:paraId="233ACEF6" w14:textId="77777777" w:rsidTr="00BA214F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7EA0" w14:textId="15231485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Examen des résolutions (Rés. XIII.4)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B024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441F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3A72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F171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6794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3F0E" w14:textId="77777777" w:rsidR="00AF25C1" w:rsidRPr="0076277E" w:rsidRDefault="00AF25C1" w:rsidP="00AF25C1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3</w:t>
            </w:r>
          </w:p>
        </w:tc>
      </w:tr>
      <w:tr w:rsidR="00AF25C1" w:rsidRPr="0076277E" w14:paraId="7A497ADF" w14:textId="77777777" w:rsidTr="00657DE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14:paraId="222279CD" w14:textId="3FCBC3A2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J. Coûts des services administratifs de l</w:t>
            </w:r>
            <w:r w:rsidR="00893AD0">
              <w:rPr>
                <w:sz w:val="20"/>
                <w:szCs w:val="20"/>
                <w:lang w:val="fr-FR"/>
              </w:rPr>
              <w:t>’</w:t>
            </w:r>
            <w:r w:rsidRPr="0076277E">
              <w:rPr>
                <w:sz w:val="20"/>
                <w:szCs w:val="20"/>
                <w:lang w:val="fr-FR"/>
              </w:rPr>
              <w:t>UICN (maximum)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FA77D6C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560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7836ACD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7A5411F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9C00578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69ECA2D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BEE450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560</w:t>
            </w:r>
          </w:p>
        </w:tc>
      </w:tr>
      <w:tr w:rsidR="00AF25C1" w:rsidRPr="0076277E" w14:paraId="24C0C65B" w14:textId="77777777" w:rsidTr="00657DED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A47C" w14:textId="2ECC99A3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lastRenderedPageBreak/>
              <w:t>Administration, ressources humaines, services financiers et services informatiques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2368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560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1816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C85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03ED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6D5F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99EB" w14:textId="77777777" w:rsidR="00AF25C1" w:rsidRPr="0076277E" w:rsidRDefault="00AF25C1" w:rsidP="00AF25C1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560</w:t>
            </w:r>
          </w:p>
        </w:tc>
      </w:tr>
      <w:tr w:rsidR="00AF25C1" w:rsidRPr="0076277E" w14:paraId="3DE3F3BB" w14:textId="77777777" w:rsidTr="00657DED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14:paraId="12865FD0" w14:textId="6F056190" w:rsidR="00AF25C1" w:rsidRPr="0076277E" w:rsidRDefault="00AF25C1" w:rsidP="00AF25C1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Divers - Fonds de réserve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8165E5E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109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D2F11A5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1C4A416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129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FD79BDC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D8325C7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420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B4D41D8" w14:textId="77777777" w:rsidR="00AF25C1" w:rsidRPr="0076277E" w:rsidRDefault="00AF25C1" w:rsidP="00AF25C1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730</w:t>
            </w:r>
          </w:p>
        </w:tc>
      </w:tr>
      <w:tr w:rsidR="008B555A" w:rsidRPr="0076277E" w14:paraId="3B8047EF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14DD" w14:textId="43E5197D" w:rsidR="008B555A" w:rsidRPr="0076277E" w:rsidRDefault="008B555A" w:rsidP="0010559E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Provisions</w:t>
            </w:r>
            <w:r w:rsidR="00905C75" w:rsidRPr="0076277E">
              <w:rPr>
                <w:color w:val="000000"/>
                <w:sz w:val="20"/>
                <w:szCs w:val="20"/>
                <w:lang w:val="fr-FR" w:eastAsia="en-GB"/>
              </w:rPr>
              <w:t xml:space="preserve"> pour frais de personnel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4A83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508A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ACE1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F90C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1BDF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240A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123</w:t>
            </w:r>
          </w:p>
        </w:tc>
      </w:tr>
      <w:tr w:rsidR="008B555A" w:rsidRPr="0076277E" w14:paraId="3E70FCCF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6D6C" w14:textId="0CFCCA69" w:rsidR="008B555A" w:rsidRPr="0076277E" w:rsidRDefault="008B555A" w:rsidP="0010559E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Provision</w:t>
            </w:r>
            <w:r w:rsidR="00905C75" w:rsidRPr="0076277E">
              <w:rPr>
                <w:color w:val="000000"/>
                <w:sz w:val="20"/>
                <w:szCs w:val="20"/>
                <w:lang w:val="fr-FR" w:eastAsia="en-GB"/>
              </w:rPr>
              <w:t xml:space="preserve">s pour arriérés de </w:t>
            </w:r>
            <w:r w:rsidRPr="0076277E">
              <w:rPr>
                <w:color w:val="000000"/>
                <w:sz w:val="20"/>
                <w:szCs w:val="20"/>
                <w:lang w:val="fr-FR" w:eastAsia="en-GB"/>
              </w:rPr>
              <w:t>contributions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9AA9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F161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E19E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39E6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FBAE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14DC" w14:textId="77777777" w:rsidR="008B555A" w:rsidRPr="0076277E" w:rsidRDefault="008B555A" w:rsidP="0010559E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140</w:t>
            </w:r>
          </w:p>
        </w:tc>
      </w:tr>
      <w:tr w:rsidR="008B555A" w:rsidRPr="0076277E" w14:paraId="211AE8C1" w14:textId="77777777" w:rsidTr="0010559E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7695" w14:textId="14D7A267" w:rsidR="008B555A" w:rsidRPr="0076277E" w:rsidRDefault="00905C75" w:rsidP="0010559E">
            <w:pPr>
              <w:rPr>
                <w:color w:val="0000FF"/>
                <w:sz w:val="20"/>
                <w:szCs w:val="20"/>
                <w:lang w:val="fr-FR" w:eastAsia="en-GB"/>
              </w:rPr>
            </w:pPr>
            <w:r w:rsidRPr="0076277E">
              <w:rPr>
                <w:color w:val="0000FF"/>
                <w:sz w:val="20"/>
                <w:szCs w:val="20"/>
                <w:lang w:val="fr-FR" w:eastAsia="en-GB"/>
              </w:rPr>
              <w:t>Budget de la 58</w:t>
            </w:r>
            <w:r w:rsidRPr="0076277E">
              <w:rPr>
                <w:color w:val="0000FF"/>
                <w:sz w:val="20"/>
                <w:szCs w:val="20"/>
                <w:vertAlign w:val="superscript"/>
                <w:lang w:val="fr-FR" w:eastAsia="en-GB"/>
              </w:rPr>
              <w:t>e</w:t>
            </w:r>
            <w:r w:rsidRPr="0076277E">
              <w:rPr>
                <w:color w:val="0000FF"/>
                <w:sz w:val="20"/>
                <w:szCs w:val="20"/>
                <w:lang w:val="fr-FR" w:eastAsia="en-GB"/>
              </w:rPr>
              <w:t xml:space="preserve"> Réunion du Comité permanent et </w:t>
            </w:r>
            <w:r w:rsidR="003929AF" w:rsidRPr="0076277E">
              <w:rPr>
                <w:color w:val="0000FF"/>
                <w:sz w:val="20"/>
                <w:szCs w:val="20"/>
                <w:lang w:val="fr-FR" w:eastAsia="en-GB"/>
              </w:rPr>
              <w:t>économies</w:t>
            </w:r>
            <w:r w:rsidRPr="0076277E">
              <w:rPr>
                <w:color w:val="0000FF"/>
                <w:sz w:val="20"/>
                <w:szCs w:val="20"/>
                <w:lang w:val="fr-FR" w:eastAsia="en-GB"/>
              </w:rPr>
              <w:t xml:space="preserve"> reporté</w:t>
            </w:r>
            <w:r w:rsidR="003929AF" w:rsidRPr="0076277E">
              <w:rPr>
                <w:color w:val="0000FF"/>
                <w:sz w:val="20"/>
                <w:szCs w:val="20"/>
                <w:lang w:val="fr-FR" w:eastAsia="en-GB"/>
              </w:rPr>
              <w:t>e</w:t>
            </w:r>
            <w:r w:rsidRPr="0076277E">
              <w:rPr>
                <w:color w:val="0000FF"/>
                <w:sz w:val="20"/>
                <w:szCs w:val="20"/>
                <w:lang w:val="fr-FR" w:eastAsia="en-GB"/>
              </w:rPr>
              <w:t>s non engagés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DC63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ACE4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6218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268F" w14:textId="77777777" w:rsidR="008B555A" w:rsidRPr="0076277E" w:rsidRDefault="008B555A" w:rsidP="0010559E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0EBF" w14:textId="77777777" w:rsidR="008B555A" w:rsidRPr="0076277E" w:rsidRDefault="008B555A" w:rsidP="0010559E">
            <w:pPr>
              <w:jc w:val="right"/>
              <w:rPr>
                <w:color w:val="0000FF"/>
                <w:sz w:val="20"/>
                <w:szCs w:val="20"/>
                <w:lang w:val="fr-FR" w:eastAsia="en-GB"/>
              </w:rPr>
            </w:pPr>
            <w:r w:rsidRPr="0076277E">
              <w:rPr>
                <w:color w:val="0000FF"/>
                <w:sz w:val="20"/>
                <w:szCs w:val="20"/>
                <w:lang w:val="fr-FR" w:eastAsia="en-GB"/>
              </w:rPr>
              <w:t>416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8436" w14:textId="77777777" w:rsidR="008B555A" w:rsidRPr="0076277E" w:rsidRDefault="008B555A" w:rsidP="0010559E">
            <w:pPr>
              <w:jc w:val="right"/>
              <w:rPr>
                <w:color w:val="0000FF"/>
                <w:sz w:val="20"/>
                <w:szCs w:val="20"/>
                <w:lang w:val="fr-FR" w:eastAsia="en-GB"/>
              </w:rPr>
            </w:pPr>
            <w:r w:rsidRPr="0076277E">
              <w:rPr>
                <w:color w:val="0000FF"/>
                <w:sz w:val="20"/>
                <w:szCs w:val="20"/>
                <w:lang w:val="fr-FR" w:eastAsia="en-GB"/>
              </w:rPr>
              <w:t>416</w:t>
            </w:r>
          </w:p>
        </w:tc>
      </w:tr>
      <w:tr w:rsidR="00905C75" w:rsidRPr="0076277E" w14:paraId="6EC11DE4" w14:textId="77777777" w:rsidTr="0056751C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057D" w14:textId="69D3E9F1" w:rsidR="00905C75" w:rsidRPr="0076277E" w:rsidRDefault="00905C75" w:rsidP="00905C75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 xml:space="preserve">Gains/pertes </w:t>
            </w:r>
            <w:r w:rsidR="00893AD0">
              <w:rPr>
                <w:sz w:val="20"/>
                <w:szCs w:val="20"/>
                <w:lang w:val="fr-FR"/>
              </w:rPr>
              <w:t>de</w:t>
            </w:r>
            <w:r w:rsidRPr="0076277E">
              <w:rPr>
                <w:sz w:val="20"/>
                <w:szCs w:val="20"/>
                <w:lang w:val="fr-FR"/>
              </w:rPr>
              <w:t xml:space="preserve"> change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49EE" w14:textId="77777777" w:rsidR="00905C75" w:rsidRPr="0076277E" w:rsidRDefault="00905C75" w:rsidP="00905C75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E7CF" w14:textId="77777777" w:rsidR="00905C75" w:rsidRPr="0076277E" w:rsidRDefault="00905C75" w:rsidP="00905C75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BA73" w14:textId="77777777" w:rsidR="00905C75" w:rsidRPr="0076277E" w:rsidRDefault="00905C75" w:rsidP="00905C75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CE34" w14:textId="77777777" w:rsidR="00905C75" w:rsidRPr="0076277E" w:rsidRDefault="00905C75" w:rsidP="00905C75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879E" w14:textId="77777777" w:rsidR="00905C75" w:rsidRPr="0076277E" w:rsidRDefault="00905C75" w:rsidP="00905C75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(94)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935D" w14:textId="77777777" w:rsidR="00905C75" w:rsidRPr="0076277E" w:rsidRDefault="00905C75" w:rsidP="00905C75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(94)</w:t>
            </w:r>
          </w:p>
        </w:tc>
      </w:tr>
      <w:tr w:rsidR="00905C75" w:rsidRPr="0076277E" w14:paraId="4E903AD5" w14:textId="77777777" w:rsidTr="0056751C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9C22" w14:textId="0A9E32CE" w:rsidR="00905C75" w:rsidRPr="0076277E" w:rsidRDefault="00905C75" w:rsidP="00905C75">
            <w:pPr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/>
              </w:rPr>
              <w:t>Services juridiques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71D6" w14:textId="77777777" w:rsidR="00905C75" w:rsidRPr="0076277E" w:rsidRDefault="00905C75" w:rsidP="00905C75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DC09" w14:textId="77777777" w:rsidR="00905C75" w:rsidRPr="0076277E" w:rsidRDefault="00905C75" w:rsidP="00905C75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1A94" w14:textId="77777777" w:rsidR="00905C75" w:rsidRPr="0076277E" w:rsidRDefault="00905C75" w:rsidP="00905C75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5EB5" w14:textId="77777777" w:rsidR="00905C75" w:rsidRPr="0076277E" w:rsidRDefault="00905C75" w:rsidP="00905C75">
            <w:pPr>
              <w:jc w:val="right"/>
              <w:rPr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0F69" w14:textId="77777777" w:rsidR="00905C75" w:rsidRPr="0076277E" w:rsidRDefault="00905C75" w:rsidP="00905C75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F7D4" w14:textId="77777777" w:rsidR="00905C75" w:rsidRPr="0076277E" w:rsidRDefault="00905C75" w:rsidP="00905C75">
            <w:pPr>
              <w:jc w:val="right"/>
              <w:rPr>
                <w:sz w:val="20"/>
                <w:szCs w:val="20"/>
                <w:lang w:val="fr-FR" w:eastAsia="en-GB"/>
              </w:rPr>
            </w:pPr>
            <w:r w:rsidRPr="0076277E">
              <w:rPr>
                <w:sz w:val="20"/>
                <w:szCs w:val="20"/>
                <w:lang w:val="fr-FR" w:eastAsia="en-GB"/>
              </w:rPr>
              <w:t>145</w:t>
            </w:r>
          </w:p>
        </w:tc>
      </w:tr>
      <w:tr w:rsidR="00905C75" w:rsidRPr="0076277E" w14:paraId="7E8B6EDA" w14:textId="77777777" w:rsidTr="0056751C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hideMark/>
          </w:tcPr>
          <w:p w14:paraId="0E2DEDC6" w14:textId="6172F254" w:rsidR="00905C75" w:rsidRPr="0076277E" w:rsidRDefault="00905C75" w:rsidP="00905C75">
            <w:pPr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TOTAL DÉPENSES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3078A17" w14:textId="27EDA637" w:rsidR="00905C75" w:rsidRPr="0076277E" w:rsidRDefault="00905C75" w:rsidP="00905C75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5 081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34960EF" w14:textId="77777777" w:rsidR="00905C75" w:rsidRPr="0076277E" w:rsidRDefault="00905C75" w:rsidP="00905C75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51187CBA" w14:textId="77777777" w:rsidR="00905C75" w:rsidRPr="0076277E" w:rsidRDefault="00905C75" w:rsidP="00905C75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712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375C57C" w14:textId="77777777" w:rsidR="00905C75" w:rsidRPr="0076277E" w:rsidRDefault="00905C75" w:rsidP="00905C75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293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825FEB0" w14:textId="37DB5830" w:rsidR="00905C75" w:rsidRPr="0076277E" w:rsidRDefault="00905C75" w:rsidP="00905C75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1 297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4A87B34" w14:textId="5FB87AE0" w:rsidR="00905C75" w:rsidRPr="0076277E" w:rsidRDefault="00905C75" w:rsidP="00905C75">
            <w:pPr>
              <w:jc w:val="right"/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b/>
                <w:bCs/>
                <w:color w:val="000000"/>
                <w:sz w:val="20"/>
                <w:szCs w:val="20"/>
                <w:lang w:val="fr-FR" w:eastAsia="en-GB"/>
              </w:rPr>
              <w:t>7 459</w:t>
            </w:r>
          </w:p>
        </w:tc>
      </w:tr>
      <w:tr w:rsidR="008B555A" w:rsidRPr="00322DDA" w14:paraId="1D23F611" w14:textId="77777777" w:rsidTr="0010559E">
        <w:trPr>
          <w:trHeight w:val="255"/>
        </w:trPr>
        <w:tc>
          <w:tcPr>
            <w:tcW w:w="13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8FDD" w14:textId="01925128" w:rsidR="008B555A" w:rsidRPr="0076277E" w:rsidRDefault="008B555A" w:rsidP="0010559E">
            <w:pPr>
              <w:rPr>
                <w:i/>
                <w:iCs/>
                <w:color w:val="0000FF"/>
                <w:sz w:val="20"/>
                <w:szCs w:val="20"/>
                <w:lang w:val="fr-FR" w:eastAsia="en-GB"/>
              </w:rPr>
            </w:pPr>
            <w:r w:rsidRPr="0076277E">
              <w:rPr>
                <w:i/>
                <w:iCs/>
                <w:color w:val="0000FF"/>
                <w:sz w:val="20"/>
                <w:szCs w:val="20"/>
                <w:lang w:val="fr-FR" w:eastAsia="en-GB"/>
              </w:rPr>
              <w:t>*</w:t>
            </w:r>
            <w:r w:rsidR="00905C75" w:rsidRPr="0076277E">
              <w:rPr>
                <w:i/>
                <w:iCs/>
                <w:color w:val="0000FF"/>
                <w:sz w:val="20"/>
                <w:szCs w:val="20"/>
                <w:lang w:val="fr-FR" w:eastAsia="en-GB"/>
              </w:rPr>
              <w:t>Si le Comité permanent décide qu</w:t>
            </w:r>
            <w:r w:rsidR="00893AD0">
              <w:rPr>
                <w:i/>
                <w:iCs/>
                <w:color w:val="0000FF"/>
                <w:sz w:val="20"/>
                <w:szCs w:val="20"/>
                <w:lang w:val="fr-FR" w:eastAsia="en-GB"/>
              </w:rPr>
              <w:t>’</w:t>
            </w:r>
            <w:r w:rsidR="00905C75" w:rsidRPr="0076277E">
              <w:rPr>
                <w:i/>
                <w:iCs/>
                <w:color w:val="0000FF"/>
                <w:sz w:val="20"/>
                <w:szCs w:val="20"/>
                <w:lang w:val="fr-FR" w:eastAsia="en-GB"/>
              </w:rPr>
              <w:t>elle n</w:t>
            </w:r>
            <w:r w:rsidR="00893AD0">
              <w:rPr>
                <w:i/>
                <w:iCs/>
                <w:color w:val="0000FF"/>
                <w:sz w:val="20"/>
                <w:szCs w:val="20"/>
                <w:lang w:val="fr-FR" w:eastAsia="en-GB"/>
              </w:rPr>
              <w:t>’</w:t>
            </w:r>
            <w:r w:rsidR="00905C75" w:rsidRPr="0076277E">
              <w:rPr>
                <w:i/>
                <w:iCs/>
                <w:color w:val="0000FF"/>
                <w:sz w:val="20"/>
                <w:szCs w:val="20"/>
                <w:lang w:val="fr-FR" w:eastAsia="en-GB"/>
              </w:rPr>
              <w:t>est pas nécessaire, cette</w:t>
            </w:r>
            <w:r w:rsidRPr="0076277E">
              <w:rPr>
                <w:i/>
                <w:iCs/>
                <w:color w:val="0000FF"/>
                <w:sz w:val="20"/>
                <w:szCs w:val="20"/>
                <w:lang w:val="fr-FR" w:eastAsia="en-GB"/>
              </w:rPr>
              <w:t xml:space="preserve"> allocation </w:t>
            </w:r>
            <w:r w:rsidR="00905C75" w:rsidRPr="0076277E">
              <w:rPr>
                <w:i/>
                <w:iCs/>
                <w:color w:val="0000FF"/>
                <w:sz w:val="20"/>
                <w:szCs w:val="20"/>
                <w:lang w:val="fr-FR" w:eastAsia="en-GB"/>
              </w:rPr>
              <w:t>sera rétablie sous la ligne budgétaire « Budget de la 58</w:t>
            </w:r>
            <w:r w:rsidR="00905C75" w:rsidRPr="0076277E">
              <w:rPr>
                <w:i/>
                <w:iCs/>
                <w:color w:val="0000FF"/>
                <w:sz w:val="20"/>
                <w:szCs w:val="20"/>
                <w:vertAlign w:val="superscript"/>
                <w:lang w:val="fr-FR" w:eastAsia="en-GB"/>
              </w:rPr>
              <w:t>e</w:t>
            </w:r>
            <w:r w:rsidR="00905C75" w:rsidRPr="0076277E">
              <w:rPr>
                <w:i/>
                <w:iCs/>
                <w:color w:val="0000FF"/>
                <w:sz w:val="20"/>
                <w:szCs w:val="20"/>
                <w:lang w:val="fr-FR" w:eastAsia="en-GB"/>
              </w:rPr>
              <w:t xml:space="preserve"> Réunion du Comité permanent et économies reportées non engagées »</w:t>
            </w:r>
          </w:p>
        </w:tc>
      </w:tr>
    </w:tbl>
    <w:p w14:paraId="07A3A96B" w14:textId="77777777" w:rsidR="008B555A" w:rsidRPr="0076277E" w:rsidRDefault="008B555A" w:rsidP="008B555A">
      <w:pPr>
        <w:rPr>
          <w:rFonts w:ascii="Arial" w:hAnsi="Arial" w:cs="Arial"/>
          <w:sz w:val="20"/>
          <w:szCs w:val="20"/>
          <w:lang w:val="fr-FR"/>
        </w:rPr>
      </w:pPr>
    </w:p>
    <w:p w14:paraId="26FEC03B" w14:textId="77777777" w:rsidR="001225CC" w:rsidRPr="0076277E" w:rsidRDefault="001225CC" w:rsidP="008E5200">
      <w:pPr>
        <w:widowControl/>
        <w:rPr>
          <w:rFonts w:asciiTheme="minorHAnsi" w:hAnsiTheme="minorHAnsi" w:cstheme="minorHAnsi"/>
          <w:lang w:val="fr-FR"/>
        </w:rPr>
        <w:sectPr w:rsidR="001225CC" w:rsidRPr="0076277E" w:rsidSect="00E67203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6AE4BCD" w14:textId="48771B01" w:rsidR="00816086" w:rsidRPr="0076277E" w:rsidRDefault="00570025" w:rsidP="008E5200">
      <w:pPr>
        <w:widowControl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76277E">
        <w:rPr>
          <w:rFonts w:asciiTheme="minorHAnsi" w:hAnsiTheme="minorHAnsi" w:cstheme="minorHAnsi"/>
          <w:b/>
          <w:sz w:val="24"/>
          <w:szCs w:val="24"/>
          <w:lang w:val="fr-FR"/>
        </w:rPr>
        <w:lastRenderedPageBreak/>
        <w:t>Annex</w:t>
      </w:r>
      <w:r w:rsidR="001F377F" w:rsidRPr="0076277E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76277E">
        <w:rPr>
          <w:rFonts w:asciiTheme="minorHAnsi" w:hAnsiTheme="minorHAnsi" w:cstheme="minorHAnsi"/>
          <w:b/>
          <w:sz w:val="24"/>
          <w:szCs w:val="24"/>
          <w:lang w:val="fr-FR"/>
        </w:rPr>
        <w:t xml:space="preserve"> 2 </w:t>
      </w:r>
      <w:r w:rsidR="001F377F" w:rsidRPr="0076277E">
        <w:rPr>
          <w:b/>
          <w:bCs/>
          <w:sz w:val="24"/>
          <w:szCs w:val="24"/>
          <w:lang w:val="fr-FR" w:eastAsia="en-GB"/>
        </w:rPr>
        <w:t>au Rapport du Sous-groupe sur les finances</w:t>
      </w:r>
    </w:p>
    <w:p w14:paraId="65CDF8C3" w14:textId="6283CD9C" w:rsidR="00570025" w:rsidRPr="0076277E" w:rsidRDefault="001F377F" w:rsidP="00570025">
      <w:pPr>
        <w:widowControl/>
        <w:autoSpaceDE/>
        <w:autoSpaceDN/>
        <w:rPr>
          <w:b/>
          <w:bCs/>
          <w:sz w:val="24"/>
          <w:szCs w:val="24"/>
          <w:lang w:val="fr-FR" w:eastAsia="en-GB"/>
        </w:rPr>
      </w:pPr>
      <w:r w:rsidRPr="0076277E">
        <w:rPr>
          <w:b/>
          <w:bCs/>
          <w:sz w:val="24"/>
          <w:szCs w:val="24"/>
          <w:lang w:val="fr-FR" w:eastAsia="en-GB"/>
        </w:rPr>
        <w:t xml:space="preserve">Budget </w:t>
      </w:r>
      <w:r w:rsidR="00570025" w:rsidRPr="0076277E">
        <w:rPr>
          <w:b/>
          <w:bCs/>
          <w:sz w:val="24"/>
          <w:szCs w:val="24"/>
          <w:lang w:val="fr-FR" w:eastAsia="en-GB"/>
        </w:rPr>
        <w:t xml:space="preserve">Ramsar </w:t>
      </w:r>
      <w:r w:rsidRPr="0076277E">
        <w:rPr>
          <w:b/>
          <w:bCs/>
          <w:sz w:val="24"/>
          <w:szCs w:val="24"/>
          <w:lang w:val="fr-FR" w:eastAsia="en-GB"/>
        </w:rPr>
        <w:t>p</w:t>
      </w:r>
      <w:r w:rsidR="00570025" w:rsidRPr="0076277E">
        <w:rPr>
          <w:b/>
          <w:bCs/>
          <w:sz w:val="24"/>
          <w:szCs w:val="24"/>
          <w:lang w:val="fr-FR" w:eastAsia="en-GB"/>
        </w:rPr>
        <w:t>ropos</w:t>
      </w:r>
      <w:r w:rsidRPr="0076277E">
        <w:rPr>
          <w:b/>
          <w:bCs/>
          <w:sz w:val="24"/>
          <w:szCs w:val="24"/>
          <w:lang w:val="fr-FR" w:eastAsia="en-GB"/>
        </w:rPr>
        <w:t>é pour</w:t>
      </w:r>
      <w:r w:rsidR="00570025" w:rsidRPr="0076277E">
        <w:rPr>
          <w:b/>
          <w:bCs/>
          <w:sz w:val="24"/>
          <w:szCs w:val="24"/>
          <w:lang w:val="fr-FR" w:eastAsia="en-GB"/>
        </w:rPr>
        <w:t xml:space="preserve"> 2022</w:t>
      </w:r>
    </w:p>
    <w:p w14:paraId="562E7014" w14:textId="7AFED25A" w:rsidR="00570025" w:rsidRPr="0076277E" w:rsidRDefault="00570025" w:rsidP="008E5200">
      <w:pPr>
        <w:widowControl/>
        <w:rPr>
          <w:rFonts w:asciiTheme="minorHAnsi" w:hAnsiTheme="minorHAnsi" w:cstheme="minorHAnsi"/>
          <w:lang w:val="fr-FR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559"/>
        <w:gridCol w:w="1418"/>
      </w:tblGrid>
      <w:tr w:rsidR="00570025" w:rsidRPr="0076277E" w14:paraId="50B9FEDB" w14:textId="77777777" w:rsidTr="00C860F4">
        <w:trPr>
          <w:trHeight w:val="1248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243956" w14:textId="4E6F6238" w:rsidR="00570025" w:rsidRPr="0076277E" w:rsidRDefault="001F377F" w:rsidP="00570025">
            <w:pPr>
              <w:widowControl/>
              <w:autoSpaceDE/>
              <w:autoSpaceDN/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</w:pPr>
            <w:r w:rsidRPr="0076277E"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  <w:t xml:space="preserve">Budget </w:t>
            </w:r>
            <w:r w:rsidR="00570025" w:rsidRPr="0076277E"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  <w:t xml:space="preserve">Ramsar </w:t>
            </w:r>
            <w:r w:rsidRPr="0076277E"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  <w:t>p</w:t>
            </w:r>
            <w:r w:rsidR="00570025" w:rsidRPr="0076277E"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  <w:t>ropos</w:t>
            </w:r>
            <w:r w:rsidRPr="0076277E"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  <w:t>é pour</w:t>
            </w:r>
            <w:r w:rsidR="00570025" w:rsidRPr="0076277E"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  <w:t xml:space="preserve"> 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B84F03" w14:textId="5359267A" w:rsidR="00570025" w:rsidRPr="0076277E" w:rsidRDefault="00570025" w:rsidP="00570025">
            <w:pPr>
              <w:widowControl/>
              <w:autoSpaceDE/>
              <w:autoSpaceDN/>
              <w:jc w:val="center"/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</w:pPr>
            <w:r w:rsidRPr="0076277E"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  <w:t xml:space="preserve">Budget 2022 </w:t>
            </w:r>
            <w:r w:rsidR="001F377F" w:rsidRPr="0076277E"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  <w:t xml:space="preserve">pour approbation par la COP extraordinaire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BC1DD4" w14:textId="5921AABD" w:rsidR="00570025" w:rsidRPr="0076277E" w:rsidRDefault="00996D34" w:rsidP="00570025">
            <w:pPr>
              <w:widowControl/>
              <w:autoSpaceDE/>
              <w:autoSpaceDN/>
              <w:jc w:val="center"/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</w:pPr>
            <w:r w:rsidRPr="0076277E"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  <w:t>Utilisation autorisée des par la 59</w:t>
            </w:r>
            <w:r w:rsidRPr="0076277E">
              <w:rPr>
                <w:b/>
                <w:bCs/>
                <w:color w:val="44546A"/>
                <w:sz w:val="24"/>
                <w:szCs w:val="24"/>
                <w:vertAlign w:val="superscript"/>
                <w:lang w:val="fr-FR" w:eastAsia="en-GB"/>
              </w:rPr>
              <w:t>e</w:t>
            </w:r>
            <w:r w:rsidRPr="0076277E"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  <w:t xml:space="preserve"> Réunion du Comité permanent des économies sur le budget administratif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D10BAE" w14:textId="42D8074D" w:rsidR="00570025" w:rsidRPr="0076277E" w:rsidRDefault="00570025" w:rsidP="00570025">
            <w:pPr>
              <w:widowControl/>
              <w:autoSpaceDE/>
              <w:autoSpaceDN/>
              <w:jc w:val="center"/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</w:pPr>
            <w:r w:rsidRPr="0076277E"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  <w:t xml:space="preserve">Total </w:t>
            </w:r>
            <w:r w:rsidR="00996D34" w:rsidRPr="0076277E"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  <w:t>b</w:t>
            </w:r>
            <w:r w:rsidRPr="0076277E">
              <w:rPr>
                <w:b/>
                <w:bCs/>
                <w:color w:val="44546A"/>
                <w:sz w:val="24"/>
                <w:szCs w:val="24"/>
                <w:lang w:val="fr-FR" w:eastAsia="en-GB"/>
              </w:rPr>
              <w:t>udget 2022</w:t>
            </w:r>
          </w:p>
        </w:tc>
      </w:tr>
      <w:tr w:rsidR="00570025" w:rsidRPr="0076277E" w14:paraId="5CF1826D" w14:textId="77777777" w:rsidTr="00C860F4">
        <w:trPr>
          <w:trHeight w:val="360"/>
          <w:tblHeader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72FFF0" w14:textId="385697B0" w:rsidR="00570025" w:rsidRPr="0076277E" w:rsidRDefault="00996D34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fr-FR" w:eastAsia="en-GB"/>
              </w:rPr>
              <w:t>en milliers de CHF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D14EA2" w14:textId="77777777" w:rsidR="00570025" w:rsidRPr="0076277E" w:rsidRDefault="00570025" w:rsidP="00570025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44546A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44546A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C2A2C0" w14:textId="77777777" w:rsidR="00570025" w:rsidRPr="0076277E" w:rsidRDefault="00570025" w:rsidP="00570025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44546A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44546A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EA6A02" w14:textId="77777777" w:rsidR="00570025" w:rsidRPr="0076277E" w:rsidRDefault="00570025" w:rsidP="00570025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</w:tr>
      <w:tr w:rsidR="00C860F4" w:rsidRPr="0076277E" w14:paraId="511A77DD" w14:textId="77777777" w:rsidTr="00C860F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762D" w14:textId="1D7E6A44" w:rsidR="00570025" w:rsidRPr="0076277E" w:rsidRDefault="00996D34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fr-FR" w:eastAsia="en-GB"/>
              </w:rPr>
              <w:t>REVENU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6961" w14:textId="77777777" w:rsidR="00570025" w:rsidRPr="0076277E" w:rsidRDefault="00570025" w:rsidP="00570025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573A" w14:textId="77777777" w:rsidR="00570025" w:rsidRPr="0076277E" w:rsidRDefault="00570025" w:rsidP="00570025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0D43" w14:textId="77777777" w:rsidR="00570025" w:rsidRPr="0076277E" w:rsidRDefault="00570025" w:rsidP="00570025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</w:tr>
      <w:tr w:rsidR="00C860F4" w:rsidRPr="0076277E" w14:paraId="235F0836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3FC9" w14:textId="66C38D18" w:rsidR="00570025" w:rsidRPr="0076277E" w:rsidRDefault="00570025" w:rsidP="00570025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Contributions</w:t>
            </w:r>
            <w:r w:rsidR="00996D34"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 des Parties contractantes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F9E7" w14:textId="6F732978" w:rsidR="00570025" w:rsidRPr="0076277E" w:rsidRDefault="00570025" w:rsidP="00570025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3</w:t>
            </w:r>
            <w:r w:rsidR="0076277E"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04BD" w14:textId="77777777" w:rsidR="00570025" w:rsidRPr="0076277E" w:rsidRDefault="00570025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76C4" w14:textId="4AAE85E5" w:rsidR="00570025" w:rsidRPr="0076277E" w:rsidRDefault="00570025" w:rsidP="00570025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3</w:t>
            </w:r>
            <w:r w:rsidR="0076277E"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779</w:t>
            </w:r>
          </w:p>
        </w:tc>
      </w:tr>
      <w:tr w:rsidR="00C860F4" w:rsidRPr="0076277E" w14:paraId="5997C4DD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C348" w14:textId="344D6703" w:rsidR="00570025" w:rsidRPr="0076277E" w:rsidRDefault="00996D34" w:rsidP="00570025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C</w:t>
            </w:r>
            <w:r w:rsidR="00570025"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ontributions</w:t>
            </w: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 volontaires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5574" w14:textId="300ADBED" w:rsidR="00570025" w:rsidRPr="0076277E" w:rsidRDefault="00570025" w:rsidP="00570025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lang w:val="fr-FR"/>
              </w:rPr>
              <w:t>1065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3B1B" w14:textId="77777777" w:rsidR="00570025" w:rsidRPr="0076277E" w:rsidRDefault="00570025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26F2" w14:textId="30E9DAAB" w:rsidR="00570025" w:rsidRPr="0076277E" w:rsidRDefault="00570025" w:rsidP="00570025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</w:t>
            </w:r>
            <w:r w:rsidR="0076277E"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065</w:t>
            </w:r>
          </w:p>
        </w:tc>
      </w:tr>
      <w:tr w:rsidR="00C860F4" w:rsidRPr="0076277E" w14:paraId="57022E2F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FE8" w14:textId="5963A9AA" w:rsidR="00570025" w:rsidRPr="0076277E" w:rsidRDefault="00996D34" w:rsidP="00570025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Impôts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7727" w14:textId="77777777" w:rsidR="00570025" w:rsidRPr="0076277E" w:rsidRDefault="00570025" w:rsidP="00570025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0522" w14:textId="77777777" w:rsidR="00570025" w:rsidRPr="0076277E" w:rsidRDefault="00570025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CDD4" w14:textId="77777777" w:rsidR="00570025" w:rsidRPr="0076277E" w:rsidRDefault="00570025" w:rsidP="00570025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225</w:t>
            </w:r>
          </w:p>
        </w:tc>
      </w:tr>
      <w:tr w:rsidR="00C860F4" w:rsidRPr="0076277E" w14:paraId="0CB4C0F3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97B2" w14:textId="75B25966" w:rsidR="00570025" w:rsidRPr="0076277E" w:rsidRDefault="00996D34" w:rsidP="00570025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Revenus d</w:t>
            </w:r>
            <w:r w:rsidR="00893AD0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’</w:t>
            </w: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intérêts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3A3E" w14:textId="77777777" w:rsidR="00570025" w:rsidRPr="0076277E" w:rsidRDefault="00570025" w:rsidP="00570025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274D" w14:textId="77777777" w:rsidR="00570025" w:rsidRPr="0076277E" w:rsidRDefault="00570025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74" w14:textId="77777777" w:rsidR="00570025" w:rsidRPr="0076277E" w:rsidRDefault="00570025" w:rsidP="00570025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12</w:t>
            </w:r>
          </w:p>
        </w:tc>
      </w:tr>
      <w:tr w:rsidR="00C860F4" w:rsidRPr="0076277E" w14:paraId="2A5D9324" w14:textId="77777777" w:rsidTr="00C860F4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D5ADA89" w14:textId="504AC025" w:rsidR="00570025" w:rsidRPr="0076277E" w:rsidRDefault="00570025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fr-FR" w:eastAsia="en-GB"/>
              </w:rPr>
              <w:t xml:space="preserve">TOTAL </w:t>
            </w:r>
            <w:r w:rsidR="00996D34" w:rsidRPr="0076277E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fr-FR" w:eastAsia="en-GB"/>
              </w:rPr>
              <w:t>DES REVENUS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17E6C58" w14:textId="243B1FE1" w:rsidR="00570025" w:rsidRPr="0076277E" w:rsidRDefault="00570025" w:rsidP="00570025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5</w:t>
            </w:r>
            <w:r w:rsidR="00893A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A0F5D1D" w14:textId="77777777" w:rsidR="00570025" w:rsidRPr="0076277E" w:rsidRDefault="00570025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A73DFCD" w14:textId="19CBC985" w:rsidR="00570025" w:rsidRPr="0076277E" w:rsidRDefault="00570025" w:rsidP="00570025">
            <w:pPr>
              <w:widowControl/>
              <w:autoSpaceDE/>
              <w:autoSpaceDN/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5</w:t>
            </w:r>
            <w:r w:rsidR="00893A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081</w:t>
            </w:r>
          </w:p>
        </w:tc>
      </w:tr>
      <w:tr w:rsidR="00C860F4" w:rsidRPr="0076277E" w14:paraId="68705BC7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937C" w14:textId="77777777" w:rsidR="00570025" w:rsidRPr="0076277E" w:rsidRDefault="00570025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D9DC" w14:textId="77777777" w:rsidR="00570025" w:rsidRPr="0076277E" w:rsidRDefault="00570025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9049" w14:textId="77777777" w:rsidR="00570025" w:rsidRPr="0076277E" w:rsidRDefault="00570025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FF4F" w14:textId="77777777" w:rsidR="00570025" w:rsidRPr="0076277E" w:rsidRDefault="00570025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</w:tr>
      <w:tr w:rsidR="00C860F4" w:rsidRPr="0076277E" w14:paraId="7F103AD6" w14:textId="77777777" w:rsidTr="00C860F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D8A8" w14:textId="16118C6F" w:rsidR="00570025" w:rsidRPr="0076277E" w:rsidRDefault="00996D34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fr-FR" w:eastAsia="en-GB"/>
              </w:rPr>
              <w:t>DÉPENSES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6612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8D7D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E328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</w:tr>
      <w:tr w:rsidR="00C860F4" w:rsidRPr="0076277E" w14:paraId="0DDD9798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CAE249F" w14:textId="4A04957D" w:rsidR="00570025" w:rsidRPr="0076277E" w:rsidRDefault="00570025" w:rsidP="00570025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A.  </w:t>
            </w:r>
            <w:r w:rsidR="00996D34"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Cadres supérieurs du Secrétariat &amp; Gouvernance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FBFAB6C" w14:textId="6FA33CE5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1</w:t>
            </w:r>
            <w:r w:rsidR="0076277E"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72028E5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7CDD127" w14:textId="778AEA03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1</w:t>
            </w:r>
            <w:r w:rsidR="0076277E"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035</w:t>
            </w:r>
          </w:p>
        </w:tc>
      </w:tr>
      <w:tr w:rsidR="00C860F4" w:rsidRPr="0076277E" w14:paraId="0A1DC21F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4E35" w14:textId="63BC8EFE" w:rsidR="00570025" w:rsidRPr="0076277E" w:rsidRDefault="00570025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Salai</w:t>
            </w:r>
            <w:r w:rsidR="00996D34"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res, charges</w:t>
            </w: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 social</w:t>
            </w:r>
            <w:r w:rsidR="00996D34"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es et autres prestations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EC44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E291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A3CD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990</w:t>
            </w:r>
          </w:p>
        </w:tc>
      </w:tr>
      <w:tr w:rsidR="00C860F4" w:rsidRPr="0076277E" w14:paraId="18CCFD0D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E027" w14:textId="28C7F594" w:rsidR="00570025" w:rsidRPr="0076277E" w:rsidRDefault="00996D34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F72F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96B3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1596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45</w:t>
            </w:r>
          </w:p>
        </w:tc>
      </w:tr>
      <w:tr w:rsidR="00C860F4" w:rsidRPr="0076277E" w14:paraId="4D306C35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B14A23C" w14:textId="5C47EE75" w:rsidR="00570025" w:rsidRPr="0076277E" w:rsidRDefault="00570025" w:rsidP="00893AD0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 xml:space="preserve">B.  </w:t>
            </w:r>
            <w:r w:rsidR="00893A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Mobilisation des r</w:t>
            </w: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e</w:t>
            </w:r>
            <w:r w:rsidR="00893A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ss</w:t>
            </w: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ource</w:t>
            </w:r>
            <w:r w:rsidR="00893A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s et sensibilisation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1A0885A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69BB324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E347319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639</w:t>
            </w:r>
          </w:p>
        </w:tc>
      </w:tr>
      <w:tr w:rsidR="00C860F4" w:rsidRPr="0076277E" w14:paraId="5980EF25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1D32" w14:textId="4BE854E3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Salaires, charges sociales et autres prestations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EF3C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DC76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8AE2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438</w:t>
            </w:r>
          </w:p>
        </w:tc>
      </w:tr>
      <w:tr w:rsidR="00C860F4" w:rsidRPr="0076277E" w14:paraId="42D13A40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3FC6" w14:textId="05598E66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Programme de CESP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66E5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4279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E95C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30</w:t>
            </w:r>
          </w:p>
        </w:tc>
      </w:tr>
      <w:tr w:rsidR="00C860F4" w:rsidRPr="0076277E" w14:paraId="0493E342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7C31" w14:textId="3CC2B96E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Communications, traductions, publications et rapports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66EC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6724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B035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100</w:t>
            </w:r>
          </w:p>
        </w:tc>
      </w:tr>
      <w:tr w:rsidR="00C860F4" w:rsidRPr="0076277E" w14:paraId="76959751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1426" w14:textId="596826D5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Appui et développement du Web/TI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BFFB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F9A5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F359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56</w:t>
            </w:r>
          </w:p>
        </w:tc>
      </w:tr>
      <w:tr w:rsidR="00C860F4" w:rsidRPr="0076277E" w14:paraId="62009E5D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E42D" w14:textId="1AF06D81" w:rsidR="00570025" w:rsidRPr="0076277E" w:rsidRDefault="00996D34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85F6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129E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38F4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15</w:t>
            </w:r>
          </w:p>
        </w:tc>
      </w:tr>
      <w:tr w:rsidR="00C860F4" w:rsidRPr="0076277E" w14:paraId="40F25BF9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CC838B1" w14:textId="6B3BFBBB" w:rsidR="00570025" w:rsidRPr="0076277E" w:rsidRDefault="00570025" w:rsidP="00570025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 xml:space="preserve">C.  </w:t>
            </w:r>
            <w:r w:rsidR="00BA57B3"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Appui et conseils aux régions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833AF26" w14:textId="6B7B8EE5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1</w:t>
            </w:r>
            <w:r w:rsidR="0076277E"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 </w:t>
            </w: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1D31E45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B3D1243" w14:textId="1ED30B29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1</w:t>
            </w:r>
            <w:r w:rsidR="0076277E"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247</w:t>
            </w:r>
          </w:p>
        </w:tc>
      </w:tr>
      <w:tr w:rsidR="00C860F4" w:rsidRPr="0076277E" w14:paraId="5EE83B53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2BCF" w14:textId="5296BC7A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Salaires, charges sociales et autres prestations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818F" w14:textId="0A2BB911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</w:t>
            </w:r>
            <w:r w:rsidR="0076277E"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313A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5597" w14:textId="7ED8F1FD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</w:t>
            </w:r>
            <w:r w:rsidR="0076277E"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170</w:t>
            </w:r>
          </w:p>
        </w:tc>
      </w:tr>
      <w:tr w:rsidR="00C860F4" w:rsidRPr="0076277E" w14:paraId="363AA936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C535" w14:textId="6A42FC9E" w:rsidR="00570025" w:rsidRPr="0076277E" w:rsidRDefault="00996D34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44DE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BE7C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599C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77</w:t>
            </w:r>
          </w:p>
        </w:tc>
      </w:tr>
      <w:tr w:rsidR="00C860F4" w:rsidRPr="0076277E" w14:paraId="6204AA57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37A59E8" w14:textId="3A854EC8" w:rsidR="00570025" w:rsidRPr="0076277E" w:rsidRDefault="00570025" w:rsidP="00570025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 xml:space="preserve">D.  </w:t>
            </w:r>
            <w:r w:rsidR="00BA57B3"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Appui aux Initiatives régionale</w:t>
            </w: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7D7D23B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DA8D6B4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141BD36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100</w:t>
            </w:r>
          </w:p>
        </w:tc>
      </w:tr>
      <w:tr w:rsidR="00C860F4" w:rsidRPr="0076277E" w14:paraId="2242477D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B0C2" w14:textId="0B981D09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Réseaux et centres régionaux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490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12DF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D571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100</w:t>
            </w:r>
          </w:p>
        </w:tc>
      </w:tr>
      <w:tr w:rsidR="00C860F4" w:rsidRPr="0076277E" w14:paraId="4B65F7BC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3BD4E90" w14:textId="4E93D4F8" w:rsidR="00570025" w:rsidRPr="0076277E" w:rsidRDefault="00570025" w:rsidP="00570025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 xml:space="preserve">E.  </w:t>
            </w:r>
            <w:r w:rsidR="00BA57B3"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Sciences</w:t>
            </w:r>
            <w:r w:rsidR="00893A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  <w:r w:rsidR="00BA57B3"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et Politiques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07BE771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C6AC0ED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6782D13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844</w:t>
            </w:r>
          </w:p>
        </w:tc>
      </w:tr>
      <w:tr w:rsidR="00C860F4" w:rsidRPr="0076277E" w14:paraId="51F093E2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CC3A" w14:textId="1DAAC154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Salaires, charges sociales et autres prestations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9A3F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402D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B74A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651</w:t>
            </w:r>
          </w:p>
        </w:tc>
      </w:tr>
      <w:tr w:rsidR="00C860F4" w:rsidRPr="0076277E" w14:paraId="15867880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24A3" w14:textId="3F62BF9F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Mise en œuvre du programme du GEST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4B66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34CA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EDB7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40</w:t>
            </w:r>
          </w:p>
        </w:tc>
      </w:tr>
      <w:tr w:rsidR="00C860F4" w:rsidRPr="0076277E" w14:paraId="1AB63C8F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7301" w14:textId="64FEB7B1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Déplacement du Président du GEST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E984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6C54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CAA0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5</w:t>
            </w:r>
          </w:p>
        </w:tc>
      </w:tr>
      <w:tr w:rsidR="00C860F4" w:rsidRPr="0076277E" w14:paraId="2FB64E71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0B05" w14:textId="30BEA0E5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Réunions duGEST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AD2F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D344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C6D2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50</w:t>
            </w:r>
          </w:p>
        </w:tc>
      </w:tr>
      <w:tr w:rsidR="00C860F4" w:rsidRPr="0076277E" w14:paraId="5BE77AAF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0AF5" w14:textId="209196F0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Service d</w:t>
            </w:r>
            <w:r w:rsidR="00893AD0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’</w:t>
            </w: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information sur les Sites Ramsar (entretien et développement)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44E7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1AFA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A01F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80</w:t>
            </w:r>
          </w:p>
        </w:tc>
      </w:tr>
      <w:tr w:rsidR="00C860F4" w:rsidRPr="0076277E" w14:paraId="572A538B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78F8" w14:textId="6B00A38D" w:rsidR="00570025" w:rsidRPr="0076277E" w:rsidRDefault="00996D34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A36D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6491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CB98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18</w:t>
            </w:r>
          </w:p>
        </w:tc>
      </w:tr>
      <w:tr w:rsidR="00C860F4" w:rsidRPr="0076277E" w14:paraId="0C9E4185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DD3E6B9" w14:textId="77777777" w:rsidR="00570025" w:rsidRPr="0076277E" w:rsidRDefault="00570025" w:rsidP="00570025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G.  Administration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546F7EA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EA18208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5064552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492</w:t>
            </w:r>
          </w:p>
        </w:tc>
      </w:tr>
      <w:tr w:rsidR="00C860F4" w:rsidRPr="0076277E" w14:paraId="0C3CB556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3FFE" w14:textId="4944564D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lastRenderedPageBreak/>
              <w:t>Salaires, charges sociales et autres prestations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C15A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783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10D0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337</w:t>
            </w:r>
          </w:p>
        </w:tc>
      </w:tr>
      <w:tr w:rsidR="00C860F4" w:rsidRPr="0076277E" w14:paraId="066F4D68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5972" w14:textId="60A3F899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Frais de recrutement et indemnités de départ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1C8B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C7D4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E6DC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49</w:t>
            </w:r>
          </w:p>
        </w:tc>
      </w:tr>
      <w:tr w:rsidR="00C860F4" w:rsidRPr="0076277E" w14:paraId="6C76C874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4D32" w14:textId="6D5A1976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Déplacements du personnel du </w:t>
            </w:r>
            <w:r w:rsidR="00570025"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Secr</w:t>
            </w: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é</w:t>
            </w:r>
            <w:r w:rsidR="00570025"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tariat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5CC4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B0BB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D47D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0</w:t>
            </w:r>
          </w:p>
        </w:tc>
      </w:tr>
      <w:tr w:rsidR="00C860F4" w:rsidRPr="0076277E" w14:paraId="7EC8A3F5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EC86" w14:textId="7B28C430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Équipements/Fournitures de bureau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9731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E35A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E882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95</w:t>
            </w:r>
          </w:p>
        </w:tc>
      </w:tr>
      <w:tr w:rsidR="00C860F4" w:rsidRPr="0076277E" w14:paraId="1FEF769A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DB06" w14:textId="37850269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Planification et renforcement des capacités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5A1C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B16C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607C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11</w:t>
            </w:r>
          </w:p>
        </w:tc>
      </w:tr>
      <w:tr w:rsidR="00C860F4" w:rsidRPr="0076277E" w14:paraId="57780CF0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0A5A7AB" w14:textId="6184678C" w:rsidR="00570025" w:rsidRPr="0076277E" w:rsidRDefault="00570025" w:rsidP="00570025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 xml:space="preserve">H. </w:t>
            </w:r>
            <w:r w:rsidR="00BA57B3"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Services au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E1E2E07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6D89364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D9B3CCB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150</w:t>
            </w:r>
          </w:p>
        </w:tc>
      </w:tr>
      <w:tr w:rsidR="00C860F4" w:rsidRPr="0076277E" w14:paraId="05A3F06B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412F" w14:textId="4B091ACA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Appui aux délégués du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746C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56F6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DB6E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45</w:t>
            </w:r>
          </w:p>
        </w:tc>
      </w:tr>
      <w:tr w:rsidR="00C860F4" w:rsidRPr="0076277E" w14:paraId="585DD549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EA18" w14:textId="1DB5E875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Réunions du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7E2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6B09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FB41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10</w:t>
            </w:r>
          </w:p>
        </w:tc>
      </w:tr>
      <w:tr w:rsidR="00C860F4" w:rsidRPr="0076277E" w14:paraId="5FD99DDE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4835" w14:textId="2105919C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Services de traduction pour le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E84E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C403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9277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60</w:t>
            </w:r>
          </w:p>
        </w:tc>
      </w:tr>
      <w:tr w:rsidR="00C860F4" w:rsidRPr="0076277E" w14:paraId="3110A3A2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4828" w14:textId="30DFC81B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Services d</w:t>
            </w:r>
            <w:r w:rsidR="00893AD0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’</w:t>
            </w:r>
            <w:r w:rsidR="00893AD0"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interprétation</w:t>
            </w: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="00893AD0"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simultanée</w:t>
            </w: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 lors des </w:t>
            </w:r>
            <w:r w:rsidR="00893AD0"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réunions</w:t>
            </w: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 du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FFB2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2F5A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4172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35</w:t>
            </w:r>
          </w:p>
        </w:tc>
      </w:tr>
      <w:tr w:rsidR="00C860F4" w:rsidRPr="0076277E" w14:paraId="755F5A45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66259F0" w14:textId="40A5CAD9" w:rsidR="00570025" w:rsidRPr="0076277E" w:rsidRDefault="00570025" w:rsidP="00570025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 xml:space="preserve">I.  </w:t>
            </w:r>
            <w:r w:rsidR="00BA57B3"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Coûts des services administratifs de l</w:t>
            </w:r>
            <w:r w:rsidR="00893A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’</w:t>
            </w:r>
            <w:r w:rsidR="00BA57B3"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UICN (maximum)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6212F17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2187C92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06FA024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541</w:t>
            </w:r>
          </w:p>
        </w:tc>
      </w:tr>
      <w:tr w:rsidR="00C860F4" w:rsidRPr="0076277E" w14:paraId="3651345D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F70F" w14:textId="52090741" w:rsidR="00570025" w:rsidRPr="0076277E" w:rsidRDefault="00BA57B3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Administration, ressources humaines, services financiers </w:t>
            </w:r>
            <w:r w:rsidR="0076277E"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et</w:t>
            </w: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 informatiques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ED2B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419F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30AE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541</w:t>
            </w:r>
          </w:p>
        </w:tc>
      </w:tr>
      <w:tr w:rsidR="00C860F4" w:rsidRPr="0076277E" w14:paraId="61F2BBD7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452B39E" w14:textId="015EFF4B" w:rsidR="00570025" w:rsidRPr="0076277E" w:rsidRDefault="00570025" w:rsidP="00570025">
            <w:pPr>
              <w:widowControl/>
              <w:autoSpaceDE/>
              <w:autoSpaceDN/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 xml:space="preserve">J.  </w:t>
            </w:r>
            <w:r w:rsidR="0076277E"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Divers –</w:t>
            </w:r>
            <w:r w:rsidR="00893A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  <w:r w:rsidR="0076277E" w:rsidRPr="007627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  <w:t>Fonds de réserve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3C19A73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54F16C0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628AFF3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229</w:t>
            </w:r>
          </w:p>
        </w:tc>
      </w:tr>
      <w:tr w:rsidR="00C860F4" w:rsidRPr="0076277E" w14:paraId="442401E9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1AA5" w14:textId="3A245CF8" w:rsidR="00570025" w:rsidRPr="0076277E" w:rsidRDefault="00570025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Provisions</w:t>
            </w:r>
            <w:r w:rsidR="0076277E"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 pour frais de personnel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093A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D560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C5E1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20</w:t>
            </w:r>
          </w:p>
        </w:tc>
      </w:tr>
      <w:tr w:rsidR="00C860F4" w:rsidRPr="0076277E" w14:paraId="42A2B4D0" w14:textId="77777777" w:rsidTr="00C860F4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11D3" w14:textId="35F29329" w:rsidR="00570025" w:rsidRPr="0076277E" w:rsidRDefault="00570025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Provision </w:t>
            </w:r>
            <w:r w:rsidR="0076277E"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pour</w:t>
            </w: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="0076277E"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arriérés de </w:t>
            </w: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contributions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9EBF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F016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48A4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150</w:t>
            </w:r>
          </w:p>
        </w:tc>
      </w:tr>
      <w:tr w:rsidR="00C860F4" w:rsidRPr="0076277E" w14:paraId="1682E162" w14:textId="77777777" w:rsidTr="00C860F4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6581" w14:textId="3D39D878" w:rsidR="00570025" w:rsidRPr="0076277E" w:rsidRDefault="00570025" w:rsidP="00C860F4">
            <w:pPr>
              <w:widowControl/>
              <w:autoSpaceDE/>
              <w:autoSpaceDN/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>Services</w:t>
            </w:r>
            <w:r w:rsidR="0076277E" w:rsidRPr="0076277E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 juridiques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ECD1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D795" w14:textId="77777777" w:rsidR="00570025" w:rsidRPr="0076277E" w:rsidRDefault="00570025" w:rsidP="00570025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37CF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  <w:t>59</w:t>
            </w:r>
          </w:p>
        </w:tc>
      </w:tr>
      <w:tr w:rsidR="00570025" w:rsidRPr="0076277E" w14:paraId="4090C52B" w14:textId="77777777" w:rsidTr="00C860F4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0D36A2" w14:textId="2A0A812D" w:rsidR="00570025" w:rsidRPr="0076277E" w:rsidRDefault="00570025" w:rsidP="00570025">
            <w:pPr>
              <w:widowControl/>
              <w:autoSpaceDE/>
              <w:autoSpaceDN/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fr-FR" w:eastAsia="en-GB"/>
              </w:rPr>
              <w:t xml:space="preserve">TOTAL </w:t>
            </w:r>
            <w:r w:rsidR="0076277E" w:rsidRPr="0076277E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fr-FR" w:eastAsia="en-GB"/>
              </w:rPr>
              <w:t>DÉPENSES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F5AA03" w14:textId="5A221C6C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5</w:t>
            </w:r>
            <w:r w:rsidR="0076277E"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8801AA" w14:textId="77777777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B4C905" w14:textId="1C79DF29" w:rsidR="00570025" w:rsidRPr="0076277E" w:rsidRDefault="00570025" w:rsidP="00570025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5</w:t>
            </w:r>
            <w:r w:rsidR="0076277E"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  <w:r w:rsidRPr="007627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277</w:t>
            </w:r>
          </w:p>
        </w:tc>
      </w:tr>
    </w:tbl>
    <w:p w14:paraId="1CD8D30A" w14:textId="77777777" w:rsidR="00570025" w:rsidRPr="0076277E" w:rsidRDefault="00570025" w:rsidP="008E5200">
      <w:pPr>
        <w:widowControl/>
        <w:rPr>
          <w:rFonts w:asciiTheme="minorHAnsi" w:hAnsiTheme="minorHAnsi" w:cstheme="minorHAnsi"/>
          <w:lang w:val="fr-FR"/>
        </w:rPr>
      </w:pPr>
    </w:p>
    <w:sectPr w:rsidR="00570025" w:rsidRPr="0076277E" w:rsidSect="00570025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9433" w14:textId="77777777" w:rsidR="007612BD" w:rsidRDefault="007612BD" w:rsidP="00A50555">
      <w:r>
        <w:separator/>
      </w:r>
    </w:p>
    <w:p w14:paraId="0CDD5C72" w14:textId="77777777" w:rsidR="007612BD" w:rsidRDefault="007612BD"/>
  </w:endnote>
  <w:endnote w:type="continuationSeparator" w:id="0">
    <w:p w14:paraId="0B69E081" w14:textId="77777777" w:rsidR="007612BD" w:rsidRDefault="007612BD" w:rsidP="00A50555">
      <w:r>
        <w:continuationSeparator/>
      </w:r>
    </w:p>
    <w:p w14:paraId="77D667E3" w14:textId="77777777" w:rsidR="007612BD" w:rsidRDefault="00761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6735" w14:textId="00617D25" w:rsidR="0010559E" w:rsidRPr="005B5CA6" w:rsidRDefault="0010559E" w:rsidP="00C860F4">
    <w:pPr>
      <w:pStyle w:val="Footer"/>
      <w:tabs>
        <w:tab w:val="clear" w:pos="9026"/>
        <w:tab w:val="right" w:pos="13892"/>
      </w:tabs>
      <w:rPr>
        <w:lang w:val="fr-FR"/>
      </w:rPr>
    </w:pPr>
    <w:r w:rsidRPr="005B5CA6">
      <w:rPr>
        <w:sz w:val="20"/>
        <w:szCs w:val="20"/>
        <w:lang w:val="fr-FR"/>
      </w:rPr>
      <w:t>Part</w:t>
    </w:r>
    <w:r w:rsidR="0076277E">
      <w:rPr>
        <w:sz w:val="20"/>
        <w:szCs w:val="20"/>
        <w:lang w:val="fr-FR"/>
      </w:rPr>
      <w:t>ie</w:t>
    </w:r>
    <w:r w:rsidRPr="005B5CA6">
      <w:rPr>
        <w:sz w:val="20"/>
        <w:szCs w:val="20"/>
        <w:lang w:val="fr-FR"/>
      </w:rPr>
      <w:t xml:space="preserve"> II - R</w:t>
    </w:r>
    <w:r w:rsidR="005B5CA6" w:rsidRPr="005B5CA6">
      <w:rPr>
        <w:sz w:val="20"/>
        <w:szCs w:val="20"/>
        <w:lang w:val="fr-FR"/>
      </w:rPr>
      <w:t>a</w:t>
    </w:r>
    <w:r w:rsidRPr="005B5CA6">
      <w:rPr>
        <w:sz w:val="20"/>
        <w:szCs w:val="20"/>
        <w:lang w:val="fr-FR"/>
      </w:rPr>
      <w:t>p</w:t>
    </w:r>
    <w:r w:rsidR="005B5CA6" w:rsidRPr="005B5CA6">
      <w:rPr>
        <w:sz w:val="20"/>
        <w:szCs w:val="20"/>
        <w:lang w:val="fr-FR"/>
      </w:rPr>
      <w:t>p</w:t>
    </w:r>
    <w:r w:rsidRPr="005B5CA6">
      <w:rPr>
        <w:sz w:val="20"/>
        <w:szCs w:val="20"/>
        <w:lang w:val="fr-FR"/>
      </w:rPr>
      <w:t xml:space="preserve">ort </w:t>
    </w:r>
    <w:r w:rsidR="005B5CA6" w:rsidRPr="005B5CA6">
      <w:rPr>
        <w:sz w:val="20"/>
        <w:szCs w:val="20"/>
        <w:lang w:val="fr-FR"/>
      </w:rPr>
      <w:t>de la r</w:t>
    </w:r>
    <w:r w:rsidR="005B5CA6">
      <w:rPr>
        <w:sz w:val="20"/>
        <w:szCs w:val="20"/>
        <w:lang w:val="fr-FR"/>
      </w:rPr>
      <w:t>é</w:t>
    </w:r>
    <w:r w:rsidR="005B5CA6" w:rsidRPr="005B5CA6">
      <w:rPr>
        <w:sz w:val="20"/>
        <w:szCs w:val="20"/>
        <w:lang w:val="fr-FR"/>
      </w:rPr>
      <w:t>union du Sous-groupe sur les finances, 24 juin 2021</w:t>
    </w:r>
    <w:r w:rsidRPr="005B5CA6">
      <w:rPr>
        <w:sz w:val="20"/>
        <w:szCs w:val="20"/>
        <w:lang w:val="fr-FR"/>
      </w:rPr>
      <w:tab/>
    </w:r>
    <w:r w:rsidRPr="005B5CA6">
      <w:rPr>
        <w:sz w:val="20"/>
        <w:szCs w:val="20"/>
        <w:lang w:val="fr-FR"/>
      </w:rPr>
      <w:fldChar w:fldCharType="begin"/>
    </w:r>
    <w:r w:rsidRPr="005B5CA6">
      <w:rPr>
        <w:sz w:val="20"/>
        <w:szCs w:val="20"/>
        <w:lang w:val="fr-FR"/>
      </w:rPr>
      <w:instrText xml:space="preserve"> PAGE   \* MERGEFORMAT </w:instrText>
    </w:r>
    <w:r w:rsidRPr="005B5CA6">
      <w:rPr>
        <w:sz w:val="20"/>
        <w:szCs w:val="20"/>
        <w:lang w:val="fr-FR"/>
      </w:rPr>
      <w:fldChar w:fldCharType="separate"/>
    </w:r>
    <w:r w:rsidR="00322DDA">
      <w:rPr>
        <w:noProof/>
        <w:sz w:val="20"/>
        <w:szCs w:val="20"/>
        <w:lang w:val="fr-FR"/>
      </w:rPr>
      <w:t>2</w:t>
    </w:r>
    <w:r w:rsidRPr="005B5CA6">
      <w:rPr>
        <w:sz w:val="20"/>
        <w:szCs w:val="20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8CE6" w14:textId="020165D2" w:rsidR="0010559E" w:rsidRPr="00322DDA" w:rsidRDefault="0076277E" w:rsidP="00716F44">
    <w:pPr>
      <w:pStyle w:val="Footer"/>
      <w:rPr>
        <w:lang w:val="fr-FR"/>
      </w:rPr>
    </w:pPr>
    <w:r w:rsidRPr="0076277E">
      <w:rPr>
        <w:sz w:val="20"/>
        <w:szCs w:val="20"/>
        <w:lang w:val="fr-FR"/>
      </w:rPr>
      <w:t>Partie II - Rapport de la réunion du Sous-groupe sur les finances, 24 juin 2021</w:t>
    </w:r>
    <w:r w:rsidR="0010559E" w:rsidRPr="00322DDA">
      <w:rPr>
        <w:sz w:val="20"/>
        <w:szCs w:val="20"/>
        <w:lang w:val="fr-FR"/>
      </w:rPr>
      <w:tab/>
    </w:r>
    <w:r w:rsidR="0010559E" w:rsidRPr="00816086">
      <w:rPr>
        <w:sz w:val="20"/>
        <w:szCs w:val="20"/>
        <w:lang w:val="en-GB"/>
      </w:rPr>
      <w:fldChar w:fldCharType="begin"/>
    </w:r>
    <w:r w:rsidR="0010559E" w:rsidRPr="00322DDA">
      <w:rPr>
        <w:sz w:val="20"/>
        <w:szCs w:val="20"/>
        <w:lang w:val="fr-FR"/>
      </w:rPr>
      <w:instrText xml:space="preserve"> PAGE   \* MERGEFORMAT </w:instrText>
    </w:r>
    <w:r w:rsidR="0010559E" w:rsidRPr="00816086">
      <w:rPr>
        <w:sz w:val="20"/>
        <w:szCs w:val="20"/>
        <w:lang w:val="en-GB"/>
      </w:rPr>
      <w:fldChar w:fldCharType="separate"/>
    </w:r>
    <w:r w:rsidR="00322DDA">
      <w:rPr>
        <w:noProof/>
        <w:sz w:val="20"/>
        <w:szCs w:val="20"/>
        <w:lang w:val="fr-FR"/>
      </w:rPr>
      <w:t>9</w:t>
    </w:r>
    <w:r w:rsidR="0010559E" w:rsidRPr="00816086">
      <w:rPr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6CFA0" w14:textId="77777777" w:rsidR="007612BD" w:rsidRDefault="007612BD" w:rsidP="00A50555">
      <w:r>
        <w:separator/>
      </w:r>
    </w:p>
    <w:p w14:paraId="58D7DB34" w14:textId="77777777" w:rsidR="007612BD" w:rsidRDefault="007612BD"/>
  </w:footnote>
  <w:footnote w:type="continuationSeparator" w:id="0">
    <w:p w14:paraId="093DCFAA" w14:textId="77777777" w:rsidR="007612BD" w:rsidRDefault="007612BD" w:rsidP="00A50555">
      <w:r>
        <w:continuationSeparator/>
      </w:r>
    </w:p>
    <w:p w14:paraId="23546016" w14:textId="77777777" w:rsidR="007612BD" w:rsidRDefault="007612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2E81"/>
    <w:multiLevelType w:val="hybridMultilevel"/>
    <w:tmpl w:val="A0D0D50C"/>
    <w:lvl w:ilvl="0" w:tplc="089E18B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94522"/>
    <w:multiLevelType w:val="hybridMultilevel"/>
    <w:tmpl w:val="4D86A0D6"/>
    <w:lvl w:ilvl="0" w:tplc="C486D5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67CF7"/>
    <w:multiLevelType w:val="hybridMultilevel"/>
    <w:tmpl w:val="C93E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oNotTrackFormatting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A5"/>
    <w:rsid w:val="00004CA5"/>
    <w:rsid w:val="0000538B"/>
    <w:rsid w:val="00021153"/>
    <w:rsid w:val="0002451C"/>
    <w:rsid w:val="0004226A"/>
    <w:rsid w:val="000505A6"/>
    <w:rsid w:val="0007473E"/>
    <w:rsid w:val="00075BDC"/>
    <w:rsid w:val="00096C16"/>
    <w:rsid w:val="000B2E06"/>
    <w:rsid w:val="000E645B"/>
    <w:rsid w:val="001019BA"/>
    <w:rsid w:val="0010559E"/>
    <w:rsid w:val="001118B5"/>
    <w:rsid w:val="00113269"/>
    <w:rsid w:val="001225CC"/>
    <w:rsid w:val="0014391B"/>
    <w:rsid w:val="00143B34"/>
    <w:rsid w:val="00164FEA"/>
    <w:rsid w:val="0019001B"/>
    <w:rsid w:val="00196236"/>
    <w:rsid w:val="001A6241"/>
    <w:rsid w:val="001B5313"/>
    <w:rsid w:val="001B7DA8"/>
    <w:rsid w:val="001C042A"/>
    <w:rsid w:val="001C794F"/>
    <w:rsid w:val="001D2175"/>
    <w:rsid w:val="001F0201"/>
    <w:rsid w:val="001F1060"/>
    <w:rsid w:val="001F377F"/>
    <w:rsid w:val="002050D5"/>
    <w:rsid w:val="00213D29"/>
    <w:rsid w:val="002261FB"/>
    <w:rsid w:val="00226382"/>
    <w:rsid w:val="002275AA"/>
    <w:rsid w:val="00235BED"/>
    <w:rsid w:val="0024184A"/>
    <w:rsid w:val="00250182"/>
    <w:rsid w:val="002502E5"/>
    <w:rsid w:val="00266138"/>
    <w:rsid w:val="00266EAD"/>
    <w:rsid w:val="002670B4"/>
    <w:rsid w:val="00293420"/>
    <w:rsid w:val="002965DA"/>
    <w:rsid w:val="002B0987"/>
    <w:rsid w:val="002B1B19"/>
    <w:rsid w:val="002D06D9"/>
    <w:rsid w:val="002E1C17"/>
    <w:rsid w:val="003120C7"/>
    <w:rsid w:val="00312AAB"/>
    <w:rsid w:val="00322DDA"/>
    <w:rsid w:val="003510FE"/>
    <w:rsid w:val="003621B6"/>
    <w:rsid w:val="003636C0"/>
    <w:rsid w:val="003667BD"/>
    <w:rsid w:val="00370162"/>
    <w:rsid w:val="00376AEF"/>
    <w:rsid w:val="003857D7"/>
    <w:rsid w:val="003929AF"/>
    <w:rsid w:val="003957BA"/>
    <w:rsid w:val="003A79B2"/>
    <w:rsid w:val="003B1DC5"/>
    <w:rsid w:val="003C0CBD"/>
    <w:rsid w:val="003C5B18"/>
    <w:rsid w:val="00401F37"/>
    <w:rsid w:val="00443D01"/>
    <w:rsid w:val="00450D67"/>
    <w:rsid w:val="004576D6"/>
    <w:rsid w:val="00465FCE"/>
    <w:rsid w:val="004729D2"/>
    <w:rsid w:val="00482E56"/>
    <w:rsid w:val="004873A1"/>
    <w:rsid w:val="00497B52"/>
    <w:rsid w:val="004C2818"/>
    <w:rsid w:val="004D15E0"/>
    <w:rsid w:val="004E6BCE"/>
    <w:rsid w:val="0051680D"/>
    <w:rsid w:val="00516DD3"/>
    <w:rsid w:val="00522262"/>
    <w:rsid w:val="00537C58"/>
    <w:rsid w:val="00543D97"/>
    <w:rsid w:val="00544F74"/>
    <w:rsid w:val="00570025"/>
    <w:rsid w:val="00570276"/>
    <w:rsid w:val="00592240"/>
    <w:rsid w:val="005B5816"/>
    <w:rsid w:val="005B5CA6"/>
    <w:rsid w:val="005E3F07"/>
    <w:rsid w:val="005E4404"/>
    <w:rsid w:val="005E5094"/>
    <w:rsid w:val="005F3127"/>
    <w:rsid w:val="005F38A9"/>
    <w:rsid w:val="005F39F0"/>
    <w:rsid w:val="00601E6C"/>
    <w:rsid w:val="00611A30"/>
    <w:rsid w:val="006302C1"/>
    <w:rsid w:val="00656511"/>
    <w:rsid w:val="00662D91"/>
    <w:rsid w:val="00675CB2"/>
    <w:rsid w:val="00682345"/>
    <w:rsid w:val="00694DC5"/>
    <w:rsid w:val="006A43CF"/>
    <w:rsid w:val="006B0D62"/>
    <w:rsid w:val="006B20F5"/>
    <w:rsid w:val="006D3A86"/>
    <w:rsid w:val="006D71F2"/>
    <w:rsid w:val="006E6B29"/>
    <w:rsid w:val="006F417C"/>
    <w:rsid w:val="006F557B"/>
    <w:rsid w:val="006F7F31"/>
    <w:rsid w:val="00714BAF"/>
    <w:rsid w:val="00716F44"/>
    <w:rsid w:val="00720F96"/>
    <w:rsid w:val="0072435D"/>
    <w:rsid w:val="00752104"/>
    <w:rsid w:val="007612BD"/>
    <w:rsid w:val="00762398"/>
    <w:rsid w:val="0076277E"/>
    <w:rsid w:val="00762CEC"/>
    <w:rsid w:val="00763805"/>
    <w:rsid w:val="00781EA5"/>
    <w:rsid w:val="00791E82"/>
    <w:rsid w:val="00811308"/>
    <w:rsid w:val="00816086"/>
    <w:rsid w:val="008302E7"/>
    <w:rsid w:val="00840681"/>
    <w:rsid w:val="00860578"/>
    <w:rsid w:val="00871B5A"/>
    <w:rsid w:val="008758DC"/>
    <w:rsid w:val="00877BA1"/>
    <w:rsid w:val="008867E3"/>
    <w:rsid w:val="008906E7"/>
    <w:rsid w:val="00893AD0"/>
    <w:rsid w:val="008A6071"/>
    <w:rsid w:val="008B555A"/>
    <w:rsid w:val="008E1AA5"/>
    <w:rsid w:val="008E3818"/>
    <w:rsid w:val="008E5200"/>
    <w:rsid w:val="00903CFB"/>
    <w:rsid w:val="00905C75"/>
    <w:rsid w:val="00913612"/>
    <w:rsid w:val="009138A3"/>
    <w:rsid w:val="00913EC5"/>
    <w:rsid w:val="009229A6"/>
    <w:rsid w:val="009257C1"/>
    <w:rsid w:val="0094344E"/>
    <w:rsid w:val="009511D0"/>
    <w:rsid w:val="009551C9"/>
    <w:rsid w:val="00957482"/>
    <w:rsid w:val="00972660"/>
    <w:rsid w:val="009752AB"/>
    <w:rsid w:val="0098108D"/>
    <w:rsid w:val="00986D94"/>
    <w:rsid w:val="009945CF"/>
    <w:rsid w:val="00996D34"/>
    <w:rsid w:val="00997B19"/>
    <w:rsid w:val="009A26E7"/>
    <w:rsid w:val="009B1B94"/>
    <w:rsid w:val="009B30CB"/>
    <w:rsid w:val="009B7E58"/>
    <w:rsid w:val="009C4830"/>
    <w:rsid w:val="009D2CB4"/>
    <w:rsid w:val="009D60D2"/>
    <w:rsid w:val="00A0399C"/>
    <w:rsid w:val="00A464D1"/>
    <w:rsid w:val="00A46DCE"/>
    <w:rsid w:val="00A50555"/>
    <w:rsid w:val="00AD5DE9"/>
    <w:rsid w:val="00AF25C1"/>
    <w:rsid w:val="00B01CF9"/>
    <w:rsid w:val="00B023A1"/>
    <w:rsid w:val="00B05AC9"/>
    <w:rsid w:val="00B15073"/>
    <w:rsid w:val="00B242BD"/>
    <w:rsid w:val="00B47F4D"/>
    <w:rsid w:val="00B60DA7"/>
    <w:rsid w:val="00B633CD"/>
    <w:rsid w:val="00B80778"/>
    <w:rsid w:val="00B93A4E"/>
    <w:rsid w:val="00B94F63"/>
    <w:rsid w:val="00BA57B3"/>
    <w:rsid w:val="00BB5461"/>
    <w:rsid w:val="00BD0580"/>
    <w:rsid w:val="00BD381C"/>
    <w:rsid w:val="00BD3891"/>
    <w:rsid w:val="00BD5137"/>
    <w:rsid w:val="00C50F60"/>
    <w:rsid w:val="00C51D37"/>
    <w:rsid w:val="00C74D06"/>
    <w:rsid w:val="00C860F4"/>
    <w:rsid w:val="00C910A1"/>
    <w:rsid w:val="00C92149"/>
    <w:rsid w:val="00CC0330"/>
    <w:rsid w:val="00CC7060"/>
    <w:rsid w:val="00CD1507"/>
    <w:rsid w:val="00CE5A38"/>
    <w:rsid w:val="00D0305D"/>
    <w:rsid w:val="00D20ABA"/>
    <w:rsid w:val="00D21AB0"/>
    <w:rsid w:val="00D335A2"/>
    <w:rsid w:val="00D45871"/>
    <w:rsid w:val="00D55468"/>
    <w:rsid w:val="00D57F4A"/>
    <w:rsid w:val="00D67F85"/>
    <w:rsid w:val="00D83848"/>
    <w:rsid w:val="00DA7A62"/>
    <w:rsid w:val="00DB0BED"/>
    <w:rsid w:val="00DB76E9"/>
    <w:rsid w:val="00DC52FD"/>
    <w:rsid w:val="00DD3DEE"/>
    <w:rsid w:val="00E04963"/>
    <w:rsid w:val="00E20C5A"/>
    <w:rsid w:val="00E41BE2"/>
    <w:rsid w:val="00E41F24"/>
    <w:rsid w:val="00E56E08"/>
    <w:rsid w:val="00E67203"/>
    <w:rsid w:val="00E8371E"/>
    <w:rsid w:val="00E9401C"/>
    <w:rsid w:val="00E96FBF"/>
    <w:rsid w:val="00EB4C55"/>
    <w:rsid w:val="00EC1418"/>
    <w:rsid w:val="00EC34F8"/>
    <w:rsid w:val="00EC44E1"/>
    <w:rsid w:val="00EC5FE9"/>
    <w:rsid w:val="00ED15B4"/>
    <w:rsid w:val="00ED4BF2"/>
    <w:rsid w:val="00F10FCB"/>
    <w:rsid w:val="00F156CA"/>
    <w:rsid w:val="00F2033A"/>
    <w:rsid w:val="00F356AC"/>
    <w:rsid w:val="00F517A5"/>
    <w:rsid w:val="00F63469"/>
    <w:rsid w:val="00F84A9A"/>
    <w:rsid w:val="00F91FE6"/>
    <w:rsid w:val="00F93C0B"/>
    <w:rsid w:val="00FA0892"/>
    <w:rsid w:val="00FC26F9"/>
    <w:rsid w:val="00FF0A65"/>
    <w:rsid w:val="00FF0DA7"/>
    <w:rsid w:val="00FF19B1"/>
    <w:rsid w:val="00FF25A0"/>
    <w:rsid w:val="00FF2D19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7871BA"/>
  <w15:chartTrackingRefBased/>
  <w15:docId w15:val="{078A3970-D28C-4D77-9744-9C197CE6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E1AA5"/>
    <w:pPr>
      <w:ind w:left="240"/>
      <w:jc w:val="both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AA5"/>
    <w:rPr>
      <w:rFonts w:ascii="Calibri" w:eastAsia="Times New Roman" w:hAnsi="Calibri" w:cs="Calibri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E1AA5"/>
  </w:style>
  <w:style w:type="character" w:customStyle="1" w:styleId="BodyTextChar">
    <w:name w:val="Body Text Char"/>
    <w:basedOn w:val="DefaultParagraphFont"/>
    <w:link w:val="BodyText"/>
    <w:uiPriority w:val="1"/>
    <w:rsid w:val="008E1AA5"/>
    <w:rPr>
      <w:rFonts w:ascii="Calibri" w:eastAsia="Times New Roman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9F0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F0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F0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6302C1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30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555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0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555"/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04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4EA7-5F8F-4D41-820F-573F0784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2179</Words>
  <Characters>12426</Characters>
  <Application>Microsoft Office Word</Application>
  <DocSecurity>4</DocSecurity>
  <Lines>103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IUCN</Company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Jennings</dc:creator>
  <cp:keywords/>
  <dc:description/>
  <cp:lastModifiedBy>Ed Jennings</cp:lastModifiedBy>
  <cp:revision>2</cp:revision>
  <cp:lastPrinted>2021-06-24T08:56:00Z</cp:lastPrinted>
  <dcterms:created xsi:type="dcterms:W3CDTF">2021-06-25T10:25:00Z</dcterms:created>
  <dcterms:modified xsi:type="dcterms:W3CDTF">2021-06-25T10:25:00Z</dcterms:modified>
  <cp:contentStatus/>
</cp:coreProperties>
</file>