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CD13" w14:textId="69C5C8DD" w:rsidR="00275F13" w:rsidRPr="00F53E25" w:rsidRDefault="00C93379" w:rsidP="003439AE">
      <w:pPr>
        <w:pBdr>
          <w:top w:val="single" w:sz="12" w:space="0" w:color="auto" w:shadow="1"/>
          <w:left w:val="single" w:sz="12" w:space="4" w:color="auto" w:shadow="1"/>
          <w:bottom w:val="single" w:sz="12" w:space="1" w:color="auto" w:shadow="1"/>
          <w:right w:val="single" w:sz="4" w:space="1" w:color="auto"/>
        </w:pBdr>
        <w:ind w:right="2790"/>
        <w:rPr>
          <w:bCs/>
        </w:rPr>
      </w:pPr>
      <w:r w:rsidRPr="00F53E25">
        <w:t xml:space="preserve">LA CONVENCIÓN SOBRE LOS HUMEDALES </w:t>
      </w:r>
    </w:p>
    <w:p w14:paraId="00EA38A3" w14:textId="210047E0" w:rsidR="00DF2386" w:rsidRPr="00F53E25" w:rsidRDefault="00DF2386" w:rsidP="003439AE">
      <w:pPr>
        <w:pBdr>
          <w:top w:val="single" w:sz="12" w:space="0" w:color="auto" w:shadow="1"/>
          <w:left w:val="single" w:sz="12" w:space="4" w:color="auto" w:shadow="1"/>
          <w:bottom w:val="single" w:sz="12" w:space="1" w:color="auto" w:shadow="1"/>
          <w:right w:val="single" w:sz="4" w:space="1" w:color="auto"/>
        </w:pBdr>
        <w:ind w:right="2790"/>
        <w:rPr>
          <w:bCs/>
        </w:rPr>
      </w:pPr>
      <w:r w:rsidRPr="00F53E25">
        <w:t>5</w:t>
      </w:r>
      <w:r w:rsidR="00207D6C" w:rsidRPr="00F53E25">
        <w:t>9</w:t>
      </w:r>
      <w:r w:rsidRPr="00F53E25">
        <w:t>ª Reunión del Comité Permanente</w:t>
      </w:r>
    </w:p>
    <w:p w14:paraId="348B6A75" w14:textId="166C8B7A" w:rsidR="00DF2386" w:rsidRPr="00F53E25" w:rsidRDefault="00DF2386" w:rsidP="003439AE">
      <w:pPr>
        <w:pBdr>
          <w:top w:val="single" w:sz="12" w:space="0" w:color="auto" w:shadow="1"/>
          <w:left w:val="single" w:sz="12" w:space="4" w:color="auto" w:shadow="1"/>
          <w:bottom w:val="single" w:sz="12" w:space="1" w:color="auto" w:shadow="1"/>
          <w:right w:val="single" w:sz="4" w:space="1" w:color="auto"/>
        </w:pBdr>
        <w:ind w:right="2790"/>
        <w:rPr>
          <w:bCs/>
        </w:rPr>
      </w:pPr>
      <w:r w:rsidRPr="00F53E25">
        <w:t xml:space="preserve">Gland (Suiza), </w:t>
      </w:r>
      <w:r w:rsidR="00207D6C" w:rsidRPr="00F53E25">
        <w:t xml:space="preserve">21 a 25 de junio de </w:t>
      </w:r>
      <w:r w:rsidRPr="00F53E25">
        <w:t>202</w:t>
      </w:r>
      <w:r w:rsidR="00207D6C" w:rsidRPr="00F53E25">
        <w:t>1</w:t>
      </w:r>
    </w:p>
    <w:p w14:paraId="637FC88B" w14:textId="77777777" w:rsidR="00DF2386" w:rsidRPr="00F53E25" w:rsidRDefault="00DF2386" w:rsidP="00633DD5">
      <w:pPr>
        <w:outlineLvl w:val="0"/>
        <w:rPr>
          <w:b/>
        </w:rPr>
      </w:pPr>
    </w:p>
    <w:p w14:paraId="383D711F" w14:textId="5E43CDD3" w:rsidR="00DF2386" w:rsidRPr="00F53E25" w:rsidRDefault="00DF2386" w:rsidP="00633DD5">
      <w:pPr>
        <w:jc w:val="right"/>
        <w:rPr>
          <w:rFonts w:cs="Arial"/>
          <w:sz w:val="28"/>
          <w:szCs w:val="28"/>
        </w:rPr>
      </w:pPr>
      <w:r w:rsidRPr="00F53E25">
        <w:rPr>
          <w:b/>
          <w:sz w:val="28"/>
          <w:szCs w:val="28"/>
        </w:rPr>
        <w:t>SC5</w:t>
      </w:r>
      <w:r w:rsidR="00207D6C" w:rsidRPr="00F53E25">
        <w:rPr>
          <w:b/>
          <w:sz w:val="28"/>
          <w:szCs w:val="28"/>
        </w:rPr>
        <w:t>9</w:t>
      </w:r>
      <w:r w:rsidRPr="00F53E25">
        <w:rPr>
          <w:b/>
          <w:sz w:val="28"/>
          <w:szCs w:val="28"/>
        </w:rPr>
        <w:t xml:space="preserve"> Doc.8.</w:t>
      </w:r>
      <w:r w:rsidR="00207D6C" w:rsidRPr="00F53E25">
        <w:rPr>
          <w:b/>
          <w:sz w:val="28"/>
          <w:szCs w:val="28"/>
        </w:rPr>
        <w:t>1</w:t>
      </w:r>
    </w:p>
    <w:p w14:paraId="282994B8" w14:textId="77777777" w:rsidR="00DF2386" w:rsidRPr="00F53E25" w:rsidRDefault="00DF2386" w:rsidP="00633DD5">
      <w:pPr>
        <w:rPr>
          <w:rFonts w:cs="Arial"/>
          <w:b/>
          <w:sz w:val="28"/>
          <w:szCs w:val="28"/>
        </w:rPr>
      </w:pPr>
    </w:p>
    <w:p w14:paraId="1DEA50B7" w14:textId="1E58ACC9" w:rsidR="00DF2386" w:rsidRPr="00F53E25" w:rsidRDefault="00A31490" w:rsidP="00633DD5">
      <w:pPr>
        <w:ind w:left="0" w:firstLine="0"/>
        <w:jc w:val="center"/>
        <w:rPr>
          <w:rFonts w:cs="Arial"/>
          <w:b/>
          <w:sz w:val="28"/>
          <w:szCs w:val="28"/>
        </w:rPr>
      </w:pPr>
      <w:r w:rsidRPr="00F53E25">
        <w:rPr>
          <w:b/>
          <w:sz w:val="28"/>
          <w:szCs w:val="28"/>
        </w:rPr>
        <w:t xml:space="preserve">Informe sobre cuestiones financieras, </w:t>
      </w:r>
      <w:r w:rsidR="00ED25F1" w:rsidRPr="00F53E25">
        <w:rPr>
          <w:b/>
          <w:sz w:val="28"/>
          <w:szCs w:val="28"/>
        </w:rPr>
        <w:t xml:space="preserve">2019, </w:t>
      </w:r>
      <w:r w:rsidRPr="00F53E25">
        <w:rPr>
          <w:b/>
          <w:sz w:val="28"/>
          <w:szCs w:val="28"/>
        </w:rPr>
        <w:t>2020</w:t>
      </w:r>
      <w:r w:rsidR="00207D6C" w:rsidRPr="00F53E25">
        <w:rPr>
          <w:b/>
          <w:sz w:val="28"/>
          <w:szCs w:val="28"/>
        </w:rPr>
        <w:t xml:space="preserve"> y 2021</w:t>
      </w:r>
    </w:p>
    <w:p w14:paraId="41274F6D" w14:textId="79329CCA" w:rsidR="00DF2386" w:rsidRPr="00F53E25" w:rsidRDefault="00DF2386" w:rsidP="00633DD5">
      <w:pPr>
        <w:rPr>
          <w:rFonts w:ascii="Garamond" w:hAnsi="Garamond" w:cs="Arial"/>
        </w:rPr>
      </w:pPr>
    </w:p>
    <w:p w14:paraId="1C1EE55D" w14:textId="3B1B288A" w:rsidR="000C2489" w:rsidRPr="00F53E25" w:rsidRDefault="000C2489" w:rsidP="00633DD5">
      <w:pPr>
        <w:autoSpaceDE w:val="0"/>
        <w:autoSpaceDN w:val="0"/>
        <w:adjustRightInd w:val="0"/>
        <w:rPr>
          <w:rFonts w:asciiTheme="minorHAnsi" w:eastAsiaTheme="minorHAnsi" w:hAnsiTheme="minorHAnsi" w:cs="Calibri-Bold"/>
          <w:b/>
          <w:bCs/>
        </w:rPr>
      </w:pPr>
      <w:r w:rsidRPr="00F53E25">
        <w:rPr>
          <w:noProof/>
          <w:lang w:val="en-GB" w:eastAsia="en-GB"/>
        </w:rPr>
        <mc:AlternateContent>
          <mc:Choice Requires="wps">
            <w:drawing>
              <wp:inline distT="0" distB="0" distL="0" distR="0" wp14:anchorId="0606A690" wp14:editId="3BCE7A9F">
                <wp:extent cx="5888567" cy="6306889"/>
                <wp:effectExtent l="0" t="0" r="17145" b="1778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567" cy="6306889"/>
                        </a:xfrm>
                        <a:prstGeom prst="rect">
                          <a:avLst/>
                        </a:prstGeom>
                        <a:solidFill>
                          <a:srgbClr val="FFFFFF"/>
                        </a:solidFill>
                        <a:ln w="9525">
                          <a:solidFill>
                            <a:srgbClr val="000000"/>
                          </a:solidFill>
                          <a:miter lim="800000"/>
                          <a:headEnd/>
                          <a:tailEnd/>
                        </a:ln>
                      </wps:spPr>
                      <wps:txbx>
                        <w:txbxContent>
                          <w:p w14:paraId="042A6F62" w14:textId="77777777" w:rsidR="0076398C" w:rsidRDefault="0076398C" w:rsidP="000C2489">
                            <w:pPr>
                              <w:rPr>
                                <w:b/>
                                <w:bCs/>
                              </w:rPr>
                            </w:pPr>
                            <w:r>
                              <w:rPr>
                                <w:b/>
                                <w:bCs/>
                              </w:rPr>
                              <w:t xml:space="preserve">Acciones solicitadas: </w:t>
                            </w:r>
                          </w:p>
                          <w:p w14:paraId="6AFFC31D" w14:textId="77777777" w:rsidR="0076398C" w:rsidRDefault="0076398C" w:rsidP="000C2489">
                            <w:pPr>
                              <w:pStyle w:val="ColorfulList-Accent11"/>
                              <w:ind w:left="0"/>
                            </w:pPr>
                          </w:p>
                          <w:p w14:paraId="70ED186F" w14:textId="05412EB3" w:rsidR="0076398C" w:rsidRDefault="0076398C" w:rsidP="00275F13">
                            <w:pPr>
                              <w:pStyle w:val="ColorfulList-Accent11"/>
                              <w:ind w:left="0" w:firstLine="0"/>
                              <w:rPr>
                                <w:rFonts w:cs="Calibri"/>
                              </w:rPr>
                            </w:pPr>
                            <w:r>
                              <w:t>Se invita al Comité Permanente a:</w:t>
                            </w:r>
                          </w:p>
                          <w:p w14:paraId="52CF3F8D" w14:textId="77777777" w:rsidR="0076398C" w:rsidRDefault="0076398C" w:rsidP="000C2489">
                            <w:pPr>
                              <w:pStyle w:val="ColorfulList-Accent11"/>
                              <w:ind w:left="0"/>
                              <w:rPr>
                                <w:rFonts w:cs="Calibri"/>
                              </w:rPr>
                            </w:pPr>
                          </w:p>
                          <w:p w14:paraId="73C5ED58" w14:textId="2F6F5B59" w:rsidR="0076398C" w:rsidRDefault="0076398C" w:rsidP="009C55B1">
                            <w:pPr>
                              <w:pStyle w:val="ColorfulList-Accent11"/>
                              <w:ind w:left="425"/>
                              <w:rPr>
                                <w:rFonts w:cs="Calibri"/>
                              </w:rPr>
                            </w:pPr>
                            <w:r>
                              <w:t>i.</w:t>
                            </w:r>
                            <w:r>
                              <w:tab/>
                              <w:t>examinar y aprobar los estados financieros auditados de 2020 al 31 de diciembre de 2020;</w:t>
                            </w:r>
                          </w:p>
                          <w:p w14:paraId="4FA92D9D" w14:textId="77777777" w:rsidR="0076398C" w:rsidRPr="004142A8" w:rsidRDefault="0076398C" w:rsidP="009C55B1">
                            <w:pPr>
                              <w:pStyle w:val="ColorfulList-Accent11"/>
                              <w:ind w:left="425"/>
                              <w:rPr>
                                <w:rFonts w:cs="Calibri"/>
                              </w:rPr>
                            </w:pPr>
                          </w:p>
                          <w:p w14:paraId="2F2E1948" w14:textId="2404819A" w:rsidR="0076398C" w:rsidRPr="00E27D44" w:rsidRDefault="0076398C" w:rsidP="00AE43C7">
                            <w:pPr>
                              <w:pStyle w:val="ColorfulList-Accent11"/>
                              <w:ind w:left="425"/>
                              <w:rPr>
                                <w:rFonts w:cs="Calibri"/>
                              </w:rPr>
                            </w:pPr>
                            <w:r>
                              <w:t>ii.</w:t>
                            </w:r>
                            <w:r>
                              <w:tab/>
                              <w:t xml:space="preserve">tomar nota de los resultados del presupuesto </w:t>
                            </w:r>
                            <w:r w:rsidRPr="00757143">
                              <w:t>básico para 2020</w:t>
                            </w:r>
                            <w:r>
                              <w:t>;</w:t>
                            </w:r>
                          </w:p>
                          <w:p w14:paraId="79859B48" w14:textId="77777777" w:rsidR="0076398C" w:rsidRPr="00E27D44" w:rsidRDefault="0076398C" w:rsidP="009C55B1">
                            <w:pPr>
                              <w:pStyle w:val="ColorfulList-Accent11"/>
                              <w:ind w:left="425"/>
                              <w:rPr>
                                <w:rFonts w:cs="Calibri"/>
                              </w:rPr>
                            </w:pPr>
                          </w:p>
                          <w:p w14:paraId="168CBB05" w14:textId="5FD3B62B" w:rsidR="0076398C" w:rsidRPr="00E27D44" w:rsidRDefault="0076398C" w:rsidP="009C55B1">
                            <w:pPr>
                              <w:pStyle w:val="ColorfulList-Accent11"/>
                              <w:ind w:left="425"/>
                              <w:rPr>
                                <w:rFonts w:cs="Calibri"/>
                              </w:rPr>
                            </w:pPr>
                            <w:r>
                              <w:t>iii.</w:t>
                            </w:r>
                            <w:r>
                              <w:tab/>
                              <w:t xml:space="preserve">tomar nota del saldo del presupuesto no básico y las contribuciones voluntarias para 2020; </w:t>
                            </w:r>
                          </w:p>
                          <w:p w14:paraId="6FEB9E62" w14:textId="77777777" w:rsidR="0076398C" w:rsidRPr="00E27D44" w:rsidRDefault="0076398C" w:rsidP="009C55B1">
                            <w:pPr>
                              <w:pStyle w:val="ColorfulList-Accent11"/>
                              <w:ind w:left="425"/>
                              <w:rPr>
                                <w:rFonts w:cs="Calibri"/>
                              </w:rPr>
                            </w:pPr>
                          </w:p>
                          <w:p w14:paraId="2FEF7CD1" w14:textId="77B69ECA" w:rsidR="0076398C" w:rsidRPr="00E27D44" w:rsidRDefault="0076398C" w:rsidP="008B2ABF">
                            <w:pPr>
                              <w:pStyle w:val="ColorfulList-Accent11"/>
                              <w:ind w:left="425"/>
                              <w:rPr>
                                <w:rFonts w:cs="Calibri"/>
                              </w:rPr>
                            </w:pPr>
                            <w:r>
                              <w:t>iv.</w:t>
                            </w:r>
                            <w:r>
                              <w:tab/>
                              <w:t xml:space="preserve">tomar nota de los saldos no gastados o no comprometidos que se </w:t>
                            </w:r>
                            <w:r w:rsidRPr="00ED25F1">
                              <w:t xml:space="preserve">traspasan </w:t>
                            </w:r>
                            <w:r>
                              <w:t>de 2020 a 2021, como se describe en el párrafo 21;</w:t>
                            </w:r>
                          </w:p>
                          <w:p w14:paraId="1CDC3321" w14:textId="1AAD0C6A" w:rsidR="0076398C" w:rsidRDefault="0076398C" w:rsidP="009C55B1">
                            <w:pPr>
                              <w:pStyle w:val="ColorfulList-Accent11"/>
                              <w:ind w:left="425"/>
                              <w:rPr>
                                <w:rFonts w:cs="Calibri"/>
                              </w:rPr>
                            </w:pPr>
                          </w:p>
                          <w:p w14:paraId="1AD11932" w14:textId="2B2E92F0" w:rsidR="0076398C" w:rsidRDefault="0076398C" w:rsidP="009C55B1">
                            <w:pPr>
                              <w:pStyle w:val="ColorfulList-Accent11"/>
                              <w:ind w:left="425"/>
                              <w:rPr>
                                <w:rFonts w:cs="Calibri"/>
                              </w:rPr>
                            </w:pPr>
                            <w:r>
                              <w:t>v.</w:t>
                            </w:r>
                            <w:r>
                              <w:tab/>
                              <w:t xml:space="preserve">aprobar la asignación </w:t>
                            </w:r>
                            <w:r w:rsidRPr="00ED25F1">
                              <w:t xml:space="preserve">en </w:t>
                            </w:r>
                            <w:r>
                              <w:t xml:space="preserve">la partida D del presupuesto básico “Apoyo a las iniciativas regionales” de 25 000 francos suizos a cada una de las cuatro iniciativas regionales de Ramsar (IRR) que reúnen los requisitos, así como 10 000 francos </w:t>
                            </w:r>
                            <w:r w:rsidRPr="00ED25F1">
                              <w:t xml:space="preserve">suizos adicionales a dos IRR, </w:t>
                            </w:r>
                            <w:r>
                              <w:t>respectivamente, como se describe en el párrafo 34</w:t>
                            </w:r>
                            <w:r>
                              <w:rPr>
                                <w:rFonts w:cs="Calibri"/>
                              </w:rPr>
                              <w:t>;</w:t>
                            </w:r>
                          </w:p>
                          <w:p w14:paraId="43A8C4DA" w14:textId="3C94C759" w:rsidR="0076398C" w:rsidRDefault="0076398C" w:rsidP="009C55B1">
                            <w:pPr>
                              <w:pStyle w:val="ColorfulList-Accent11"/>
                              <w:ind w:left="425"/>
                            </w:pPr>
                          </w:p>
                          <w:p w14:paraId="7BC1F6ED" w14:textId="7EFDFD4C" w:rsidR="0076398C" w:rsidRDefault="0076398C" w:rsidP="009C55B1">
                            <w:pPr>
                              <w:pStyle w:val="ColorfulList-Accent11"/>
                              <w:ind w:left="425"/>
                              <w:rPr>
                                <w:rFonts w:cs="Calibri"/>
                              </w:rPr>
                            </w:pPr>
                            <w:r>
                              <w:t>vi.</w:t>
                            </w:r>
                            <w:r>
                              <w:tab/>
                              <w:t xml:space="preserve">tomar nota de los ajustes propuestos por la Secretaría al presupuesto básico aprobado por la COP13 para 2021, que se describe en los párrafos 35 y 36 y se presenta en la columna E del Cuadro del </w:t>
                            </w:r>
                            <w:r>
                              <w:rPr>
                                <w:color w:val="000000" w:themeColor="text1"/>
                              </w:rPr>
                              <w:t xml:space="preserve">Anexo </w:t>
                            </w:r>
                            <w:r w:rsidRPr="00954029">
                              <w:rPr>
                                <w:color w:val="000000" w:themeColor="text1"/>
                              </w:rPr>
                              <w:t xml:space="preserve">4, </w:t>
                            </w:r>
                            <w:r>
                              <w:t>y aprobarlos;</w:t>
                            </w:r>
                          </w:p>
                          <w:p w14:paraId="4B7B762D" w14:textId="58A8B9E4" w:rsidR="0076398C" w:rsidRDefault="0076398C" w:rsidP="009C55B1">
                            <w:pPr>
                              <w:pStyle w:val="ColorfulList-Accent11"/>
                              <w:ind w:left="425"/>
                              <w:rPr>
                                <w:rFonts w:cs="Calibri"/>
                              </w:rPr>
                            </w:pPr>
                          </w:p>
                          <w:p w14:paraId="5BF04D5F" w14:textId="7F7E6A7D" w:rsidR="0076398C" w:rsidRDefault="0076398C" w:rsidP="009C55B1">
                            <w:pPr>
                              <w:pStyle w:val="ColorfulList-Accent11"/>
                              <w:ind w:left="425"/>
                              <w:rPr>
                                <w:rFonts w:cs="Calibri"/>
                              </w:rPr>
                            </w:pPr>
                            <w:r>
                              <w:t>vii.</w:t>
                            </w:r>
                            <w:r>
                              <w:tab/>
                              <w:t>aprobar la presentación de las “</w:t>
                            </w:r>
                            <w:r w:rsidRPr="00ED25F1">
                              <w:t>otras prestaciones</w:t>
                            </w:r>
                            <w:r>
                              <w:t xml:space="preserve">” en una única partida en el presupuesto </w:t>
                            </w:r>
                            <w:r w:rsidRPr="00ED25F1">
                              <w:t xml:space="preserve">para </w:t>
                            </w:r>
                            <w:r>
                              <w:t>el próximo trienio, como se describe en el párrafo 37;</w:t>
                            </w:r>
                          </w:p>
                          <w:p w14:paraId="61C61C95" w14:textId="77777777" w:rsidR="0076398C" w:rsidRDefault="0076398C" w:rsidP="009C55B1">
                            <w:pPr>
                              <w:pStyle w:val="ColorfulList-Accent11"/>
                              <w:ind w:left="425"/>
                              <w:rPr>
                                <w:rFonts w:cs="Calibri"/>
                              </w:rPr>
                            </w:pPr>
                          </w:p>
                          <w:p w14:paraId="76942774" w14:textId="2E1916FE" w:rsidR="0076398C" w:rsidRDefault="0076398C" w:rsidP="00495842">
                            <w:pPr>
                              <w:pStyle w:val="ColorfulList-Accent11"/>
                              <w:ind w:left="425"/>
                            </w:pPr>
                            <w:r>
                              <w:t>viii.</w:t>
                            </w:r>
                            <w:r>
                              <w:tab/>
                              <w:t>aprobar la asignación de 12 000 francos suizos de los ahorros en el presupuesto básico al examen de las resoluciones, como se describe en el párrafo 38;</w:t>
                            </w:r>
                          </w:p>
                          <w:p w14:paraId="525C4BAE" w14:textId="39D0418E" w:rsidR="0076398C" w:rsidRDefault="0076398C" w:rsidP="00495842">
                            <w:pPr>
                              <w:pStyle w:val="ColorfulList-Accent11"/>
                              <w:ind w:left="425"/>
                            </w:pPr>
                          </w:p>
                          <w:p w14:paraId="36ED2A0D" w14:textId="09D04612" w:rsidR="0076398C" w:rsidRPr="00ED25F1" w:rsidRDefault="0076398C" w:rsidP="00432D03">
                            <w:pPr>
                              <w:pStyle w:val="ColorfulList-Accent11"/>
                              <w:ind w:left="426" w:hanging="426"/>
                            </w:pPr>
                            <w:r>
                              <w:t xml:space="preserve">ix.  </w:t>
                            </w:r>
                            <w:r>
                              <w:tab/>
                              <w:t xml:space="preserve">aprobar la asignación de 90 000 francos suizos de los ahorros en el presupuesto </w:t>
                            </w:r>
                            <w:r w:rsidRPr="00ED25F1">
                              <w:t xml:space="preserve">básico al Grupo de Trabajo sobre el Plan Estratégico, como se describe en el párrafo </w:t>
                            </w:r>
                            <w:r>
                              <w:t>39</w:t>
                            </w:r>
                            <w:r w:rsidRPr="00ED25F1">
                              <w:t>;</w:t>
                            </w:r>
                          </w:p>
                          <w:p w14:paraId="4F68B643" w14:textId="7F251A4D" w:rsidR="0076398C" w:rsidRDefault="0076398C" w:rsidP="00207D6C">
                            <w:pPr>
                              <w:pStyle w:val="ColorfulList-Accent11"/>
                              <w:ind w:left="0" w:firstLine="0"/>
                            </w:pPr>
                          </w:p>
                          <w:p w14:paraId="4D6F06BD" w14:textId="68EAA70C" w:rsidR="0076398C" w:rsidRDefault="0076398C" w:rsidP="00432D03">
                            <w:pPr>
                              <w:pStyle w:val="ColorfulList-Accent11"/>
                              <w:ind w:left="426" w:hanging="426"/>
                            </w:pPr>
                            <w:r>
                              <w:t xml:space="preserve">x. </w:t>
                            </w:r>
                            <w:r>
                              <w:tab/>
                            </w:r>
                            <w:r w:rsidRPr="001B7279">
                              <w:rPr>
                                <w:rFonts w:cs="Calibri"/>
                              </w:rPr>
                              <w:t>ap</w:t>
                            </w:r>
                            <w:r>
                              <w:rPr>
                                <w:rFonts w:cs="Calibri"/>
                              </w:rPr>
                              <w:t>robar un incremento de hasta 72 000 francos suizos en</w:t>
                            </w:r>
                            <w:r w:rsidRPr="00ED25F1">
                              <w:rPr>
                                <w:rFonts w:cs="Calibri"/>
                              </w:rPr>
                              <w:t xml:space="preserve"> la </w:t>
                            </w:r>
                            <w:r>
                              <w:rPr>
                                <w:rFonts w:cs="Calibri"/>
                              </w:rPr>
                              <w:t xml:space="preserve">provisión para las contribuciones pendientes, como se describe en el párrafo </w:t>
                            </w:r>
                            <w:r w:rsidRPr="001B7279">
                              <w:rPr>
                                <w:rFonts w:cs="Calibri"/>
                              </w:rPr>
                              <w:t>4</w:t>
                            </w:r>
                            <w:r>
                              <w:rPr>
                                <w:rFonts w:cs="Calibri"/>
                              </w:rPr>
                              <w:t>0</w:t>
                            </w:r>
                            <w:r w:rsidRPr="001B7279">
                              <w:rPr>
                                <w:rFonts w:cs="Calibri"/>
                              </w:rPr>
                              <w:t xml:space="preserve">; </w:t>
                            </w:r>
                            <w:r>
                              <w:rPr>
                                <w:rFonts w:cs="Calibri"/>
                              </w:rPr>
                              <w:t>y</w:t>
                            </w:r>
                          </w:p>
                          <w:p w14:paraId="0CABBC3A" w14:textId="3360BA70" w:rsidR="0076398C" w:rsidRDefault="0076398C" w:rsidP="00207D6C">
                            <w:pPr>
                              <w:pStyle w:val="ColorfulList-Accent11"/>
                              <w:ind w:left="0" w:firstLine="0"/>
                            </w:pPr>
                          </w:p>
                          <w:p w14:paraId="06DCBDC2" w14:textId="57868A2A" w:rsidR="0076398C" w:rsidRPr="001730E3" w:rsidRDefault="0076398C" w:rsidP="000D3FBF">
                            <w:pPr>
                              <w:pStyle w:val="ColorfulList-Accent11"/>
                              <w:ind w:left="425"/>
                              <w:rPr>
                                <w:rFonts w:cs="Calibri"/>
                              </w:rPr>
                            </w:pPr>
                            <w:r>
                              <w:t>xi.</w:t>
                            </w:r>
                            <w:r>
                              <w:tab/>
                              <w:t xml:space="preserve">estudiar las opciones propuestas por la Secretaría sobre el posible uso de los ahorros de </w:t>
                            </w:r>
                            <w:r w:rsidRPr="001B7279">
                              <w:rPr>
                                <w:rFonts w:cs="Calibri"/>
                              </w:rPr>
                              <w:t>2020</w:t>
                            </w:r>
                            <w:r>
                              <w:rPr>
                                <w:rFonts w:cs="Calibri"/>
                              </w:rPr>
                              <w:t xml:space="preserve">, como se describe en el párrafo </w:t>
                            </w:r>
                            <w:r w:rsidRPr="001B7279">
                              <w:rPr>
                                <w:rFonts w:cs="Calibri"/>
                              </w:rPr>
                              <w:t>4</w:t>
                            </w:r>
                            <w:r>
                              <w:rPr>
                                <w:rFonts w:cs="Calibri"/>
                              </w:rPr>
                              <w:t>2</w:t>
                            </w:r>
                            <w:r>
                              <w:t>.</w:t>
                            </w:r>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63.65pt;height:4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">
                <v:textbox>
                  <w:txbxContent>
                    <w:p w14:paraId="042A6F62" w14:textId="77777777" w:rsidR="0076398C" w:rsidRDefault="0076398C" w:rsidP="000C2489">
                      <w:pPr>
                        <w:rPr>
                          <w:b/>
                          <w:bCs/>
                        </w:rPr>
                      </w:pPr>
                      <w:r>
                        <w:rPr>
                          <w:b/>
                          <w:bCs/>
                        </w:rPr>
                        <w:t xml:space="preserve">Acciones solicitadas: </w:t>
                      </w:r>
                    </w:p>
                    <w:p w14:paraId="6AFFC31D" w14:textId="77777777" w:rsidR="0076398C" w:rsidRDefault="0076398C" w:rsidP="000C2489">
                      <w:pPr>
                        <w:pStyle w:val="ColorfulList-Accent11"/>
                        <w:ind w:left="0"/>
                      </w:pPr>
                    </w:p>
                    <w:p w14:paraId="70ED186F" w14:textId="05412EB3" w:rsidR="0076398C" w:rsidRDefault="0076398C" w:rsidP="00275F13">
                      <w:pPr>
                        <w:pStyle w:val="ColorfulList-Accent11"/>
                        <w:ind w:left="0" w:firstLine="0"/>
                        <w:rPr>
                          <w:rFonts w:cs="Calibri"/>
                        </w:rPr>
                      </w:pPr>
                      <w:r>
                        <w:t>Se invita al Comité Permanente a:</w:t>
                      </w:r>
                    </w:p>
                    <w:p w14:paraId="52CF3F8D" w14:textId="77777777" w:rsidR="0076398C" w:rsidRDefault="0076398C" w:rsidP="000C2489">
                      <w:pPr>
                        <w:pStyle w:val="ColorfulList-Accent11"/>
                        <w:ind w:left="0"/>
                        <w:rPr>
                          <w:rFonts w:cs="Calibri"/>
                        </w:rPr>
                      </w:pPr>
                    </w:p>
                    <w:p w14:paraId="73C5ED58" w14:textId="2F6F5B59" w:rsidR="0076398C" w:rsidRDefault="0076398C" w:rsidP="009C55B1">
                      <w:pPr>
                        <w:pStyle w:val="ColorfulList-Accent11"/>
                        <w:ind w:left="425"/>
                        <w:rPr>
                          <w:rFonts w:cs="Calibri"/>
                        </w:rPr>
                      </w:pPr>
                      <w:r>
                        <w:t>i.</w:t>
                      </w:r>
                      <w:r>
                        <w:tab/>
                        <w:t>examinar y aprobar los estados financieros auditados de 2020 al 31 de diciembre de 2020;</w:t>
                      </w:r>
                    </w:p>
                    <w:p w14:paraId="4FA92D9D" w14:textId="77777777" w:rsidR="0076398C" w:rsidRPr="004142A8" w:rsidRDefault="0076398C" w:rsidP="009C55B1">
                      <w:pPr>
                        <w:pStyle w:val="ColorfulList-Accent11"/>
                        <w:ind w:left="425"/>
                        <w:rPr>
                          <w:rFonts w:cs="Calibri"/>
                        </w:rPr>
                      </w:pPr>
                    </w:p>
                    <w:p w14:paraId="2F2E1948" w14:textId="2404819A" w:rsidR="0076398C" w:rsidRPr="00E27D44" w:rsidRDefault="0076398C" w:rsidP="00AE43C7">
                      <w:pPr>
                        <w:pStyle w:val="ColorfulList-Accent11"/>
                        <w:ind w:left="425"/>
                        <w:rPr>
                          <w:rFonts w:cs="Calibri"/>
                        </w:rPr>
                      </w:pPr>
                      <w:r>
                        <w:t>ii.</w:t>
                      </w:r>
                      <w:r>
                        <w:tab/>
                        <w:t xml:space="preserve">tomar nota de los resultados del presupuesto </w:t>
                      </w:r>
                      <w:r w:rsidRPr="00757143">
                        <w:t>básico para 2020</w:t>
                      </w:r>
                      <w:r>
                        <w:t>;</w:t>
                      </w:r>
                    </w:p>
                    <w:p w14:paraId="79859B48" w14:textId="77777777" w:rsidR="0076398C" w:rsidRPr="00E27D44" w:rsidRDefault="0076398C" w:rsidP="009C55B1">
                      <w:pPr>
                        <w:pStyle w:val="ColorfulList-Accent11"/>
                        <w:ind w:left="425"/>
                        <w:rPr>
                          <w:rFonts w:cs="Calibri"/>
                        </w:rPr>
                      </w:pPr>
                    </w:p>
                    <w:p w14:paraId="168CBB05" w14:textId="5FD3B62B" w:rsidR="0076398C" w:rsidRPr="00E27D44" w:rsidRDefault="0076398C" w:rsidP="009C55B1">
                      <w:pPr>
                        <w:pStyle w:val="ColorfulList-Accent11"/>
                        <w:ind w:left="425"/>
                        <w:rPr>
                          <w:rFonts w:cs="Calibri"/>
                        </w:rPr>
                      </w:pPr>
                      <w:r>
                        <w:t>iii.</w:t>
                      </w:r>
                      <w:r>
                        <w:tab/>
                        <w:t xml:space="preserve">tomar nota del saldo del presupuesto no básico y las contribuciones voluntarias para 2020; </w:t>
                      </w:r>
                    </w:p>
                    <w:p w14:paraId="6FEB9E62" w14:textId="77777777" w:rsidR="0076398C" w:rsidRPr="00E27D44" w:rsidRDefault="0076398C" w:rsidP="009C55B1">
                      <w:pPr>
                        <w:pStyle w:val="ColorfulList-Accent11"/>
                        <w:ind w:left="425"/>
                        <w:rPr>
                          <w:rFonts w:cs="Calibri"/>
                        </w:rPr>
                      </w:pPr>
                    </w:p>
                    <w:p w14:paraId="2FEF7CD1" w14:textId="77B69ECA" w:rsidR="0076398C" w:rsidRPr="00E27D44" w:rsidRDefault="0076398C" w:rsidP="008B2ABF">
                      <w:pPr>
                        <w:pStyle w:val="ColorfulList-Accent11"/>
                        <w:ind w:left="425"/>
                        <w:rPr>
                          <w:rFonts w:cs="Calibri"/>
                        </w:rPr>
                      </w:pPr>
                      <w:r>
                        <w:t>iv.</w:t>
                      </w:r>
                      <w:r>
                        <w:tab/>
                        <w:t xml:space="preserve">tomar nota de los saldos no gastados o no comprometidos que se </w:t>
                      </w:r>
                      <w:r w:rsidRPr="00ED25F1">
                        <w:t xml:space="preserve">traspasan </w:t>
                      </w:r>
                      <w:r>
                        <w:t>de 2020 a 2021, como se describe en el párrafo 21;</w:t>
                      </w:r>
                    </w:p>
                    <w:p w14:paraId="1CDC3321" w14:textId="1AAD0C6A" w:rsidR="0076398C" w:rsidRDefault="0076398C" w:rsidP="009C55B1">
                      <w:pPr>
                        <w:pStyle w:val="ColorfulList-Accent11"/>
                        <w:ind w:left="425"/>
                        <w:rPr>
                          <w:rFonts w:cs="Calibri"/>
                        </w:rPr>
                      </w:pPr>
                    </w:p>
                    <w:p w14:paraId="1AD11932" w14:textId="2B2E92F0" w:rsidR="0076398C" w:rsidRDefault="0076398C" w:rsidP="009C55B1">
                      <w:pPr>
                        <w:pStyle w:val="ColorfulList-Accent11"/>
                        <w:ind w:left="425"/>
                        <w:rPr>
                          <w:rFonts w:cs="Calibri"/>
                        </w:rPr>
                      </w:pPr>
                      <w:r>
                        <w:t>v.</w:t>
                      </w:r>
                      <w:r>
                        <w:tab/>
                        <w:t xml:space="preserve">aprobar la asignación </w:t>
                      </w:r>
                      <w:r w:rsidRPr="00ED25F1">
                        <w:t xml:space="preserve">en </w:t>
                      </w:r>
                      <w:r>
                        <w:t xml:space="preserve">la partida D del presupuesto básico “Apoyo a las iniciativas regionales” de 25 000 francos suizos a cada una de las cuatro iniciativas regionales de Ramsar (IRR) que reúnen los requisitos, así como 10 000 francos </w:t>
                      </w:r>
                      <w:r w:rsidRPr="00ED25F1">
                        <w:t xml:space="preserve">suizos adicionales a dos IRR, </w:t>
                      </w:r>
                      <w:r>
                        <w:t>respectivamente, como se describe en el párrafo 34</w:t>
                      </w:r>
                      <w:r>
                        <w:rPr>
                          <w:rFonts w:cs="Calibri"/>
                        </w:rPr>
                        <w:t>;</w:t>
                      </w:r>
                    </w:p>
                    <w:p w14:paraId="43A8C4DA" w14:textId="3C94C759" w:rsidR="0076398C" w:rsidRDefault="0076398C" w:rsidP="009C55B1">
                      <w:pPr>
                        <w:pStyle w:val="ColorfulList-Accent11"/>
                        <w:ind w:left="425"/>
                      </w:pPr>
                    </w:p>
                    <w:p w14:paraId="7BC1F6ED" w14:textId="7EFDFD4C" w:rsidR="0076398C" w:rsidRDefault="0076398C" w:rsidP="009C55B1">
                      <w:pPr>
                        <w:pStyle w:val="ColorfulList-Accent11"/>
                        <w:ind w:left="425"/>
                        <w:rPr>
                          <w:rFonts w:cs="Calibri"/>
                        </w:rPr>
                      </w:pPr>
                      <w:r>
                        <w:t>vi.</w:t>
                      </w:r>
                      <w:r>
                        <w:tab/>
                        <w:t xml:space="preserve">tomar nota de los ajustes propuestos por la Secretaría al presupuesto básico aprobado por la COP13 para 2021, que se describe en los párrafos 35 y 36 y se presenta en la columna E del Cuadro del </w:t>
                      </w:r>
                      <w:r>
                        <w:rPr>
                          <w:color w:val="000000" w:themeColor="text1"/>
                        </w:rPr>
                        <w:t xml:space="preserve">Anexo </w:t>
                      </w:r>
                      <w:r w:rsidRPr="00954029">
                        <w:rPr>
                          <w:color w:val="000000" w:themeColor="text1"/>
                        </w:rPr>
                        <w:t xml:space="preserve">4, </w:t>
                      </w:r>
                      <w:r>
                        <w:t>y aprobarlos;</w:t>
                      </w:r>
                    </w:p>
                    <w:p w14:paraId="4B7B762D" w14:textId="58A8B9E4" w:rsidR="0076398C" w:rsidRDefault="0076398C" w:rsidP="009C55B1">
                      <w:pPr>
                        <w:pStyle w:val="ColorfulList-Accent11"/>
                        <w:ind w:left="425"/>
                        <w:rPr>
                          <w:rFonts w:cs="Calibri"/>
                        </w:rPr>
                      </w:pPr>
                    </w:p>
                    <w:p w14:paraId="5BF04D5F" w14:textId="7F7E6A7D" w:rsidR="0076398C" w:rsidRDefault="0076398C" w:rsidP="009C55B1">
                      <w:pPr>
                        <w:pStyle w:val="ColorfulList-Accent11"/>
                        <w:ind w:left="425"/>
                        <w:rPr>
                          <w:rFonts w:cs="Calibri"/>
                        </w:rPr>
                      </w:pPr>
                      <w:r>
                        <w:t>vii.</w:t>
                      </w:r>
                      <w:r>
                        <w:tab/>
                        <w:t>aprobar la presentación de las “</w:t>
                      </w:r>
                      <w:r w:rsidRPr="00ED25F1">
                        <w:t>otras prestaciones</w:t>
                      </w:r>
                      <w:r>
                        <w:t xml:space="preserve">” en una única partida en el presupuesto </w:t>
                      </w:r>
                      <w:r w:rsidRPr="00ED25F1">
                        <w:t xml:space="preserve">para </w:t>
                      </w:r>
                      <w:r>
                        <w:t>el próximo trienio, como se describe en el párrafo 37;</w:t>
                      </w:r>
                    </w:p>
                    <w:p w14:paraId="61C61C95" w14:textId="77777777" w:rsidR="0076398C" w:rsidRDefault="0076398C" w:rsidP="009C55B1">
                      <w:pPr>
                        <w:pStyle w:val="ColorfulList-Accent11"/>
                        <w:ind w:left="425"/>
                        <w:rPr>
                          <w:rFonts w:cs="Calibri"/>
                        </w:rPr>
                      </w:pPr>
                    </w:p>
                    <w:p w14:paraId="76942774" w14:textId="2E1916FE" w:rsidR="0076398C" w:rsidRDefault="0076398C" w:rsidP="00495842">
                      <w:pPr>
                        <w:pStyle w:val="ColorfulList-Accent11"/>
                        <w:ind w:left="425"/>
                      </w:pPr>
                      <w:r>
                        <w:t>viii.</w:t>
                      </w:r>
                      <w:r>
                        <w:tab/>
                        <w:t>aprobar la asignación de 12 000 francos suizos de los ahorros en el presupuesto básico al examen de las resoluciones, como se describe en el párrafo 38;</w:t>
                      </w:r>
                    </w:p>
                    <w:p w14:paraId="525C4BAE" w14:textId="39D0418E" w:rsidR="0076398C" w:rsidRDefault="0076398C" w:rsidP="00495842">
                      <w:pPr>
                        <w:pStyle w:val="ColorfulList-Accent11"/>
                        <w:ind w:left="425"/>
                      </w:pPr>
                    </w:p>
                    <w:p w14:paraId="36ED2A0D" w14:textId="09D04612" w:rsidR="0076398C" w:rsidRPr="00ED25F1" w:rsidRDefault="0076398C" w:rsidP="00432D03">
                      <w:pPr>
                        <w:pStyle w:val="ColorfulList-Accent11"/>
                        <w:ind w:left="426" w:hanging="426"/>
                      </w:pPr>
                      <w:r>
                        <w:t xml:space="preserve">ix.  </w:t>
                      </w:r>
                      <w:r>
                        <w:tab/>
                        <w:t xml:space="preserve">aprobar la asignación de 90 000 francos suizos de los ahorros en el presupuesto </w:t>
                      </w:r>
                      <w:r w:rsidRPr="00ED25F1">
                        <w:t xml:space="preserve">básico al Grupo de Trabajo sobre el Plan Estratégico, como se describe en el párrafo </w:t>
                      </w:r>
                      <w:r>
                        <w:t>39</w:t>
                      </w:r>
                      <w:r w:rsidRPr="00ED25F1">
                        <w:t>;</w:t>
                      </w:r>
                    </w:p>
                    <w:p w14:paraId="4F68B643" w14:textId="7F251A4D" w:rsidR="0076398C" w:rsidRDefault="0076398C" w:rsidP="00207D6C">
                      <w:pPr>
                        <w:pStyle w:val="ColorfulList-Accent11"/>
                        <w:ind w:left="0" w:firstLine="0"/>
                      </w:pPr>
                    </w:p>
                    <w:p w14:paraId="4D6F06BD" w14:textId="68EAA70C" w:rsidR="0076398C" w:rsidRDefault="0076398C" w:rsidP="00432D03">
                      <w:pPr>
                        <w:pStyle w:val="ColorfulList-Accent11"/>
                        <w:ind w:left="426" w:hanging="426"/>
                      </w:pPr>
                      <w:r>
                        <w:t xml:space="preserve">x. </w:t>
                      </w:r>
                      <w:r>
                        <w:tab/>
                      </w:r>
                      <w:r w:rsidRPr="001B7279">
                        <w:rPr>
                          <w:rFonts w:cs="Calibri"/>
                        </w:rPr>
                        <w:t>ap</w:t>
                      </w:r>
                      <w:r>
                        <w:rPr>
                          <w:rFonts w:cs="Calibri"/>
                        </w:rPr>
                        <w:t>robar un incremento de hasta 72 000 francos suizos en</w:t>
                      </w:r>
                      <w:r w:rsidRPr="00ED25F1">
                        <w:rPr>
                          <w:rFonts w:cs="Calibri"/>
                        </w:rPr>
                        <w:t xml:space="preserve"> la </w:t>
                      </w:r>
                      <w:r>
                        <w:rPr>
                          <w:rFonts w:cs="Calibri"/>
                        </w:rPr>
                        <w:t xml:space="preserve">provisión para las contribuciones pendientes, como se describe en el párrafo </w:t>
                      </w:r>
                      <w:r w:rsidRPr="001B7279">
                        <w:rPr>
                          <w:rFonts w:cs="Calibri"/>
                        </w:rPr>
                        <w:t>4</w:t>
                      </w:r>
                      <w:r>
                        <w:rPr>
                          <w:rFonts w:cs="Calibri"/>
                        </w:rPr>
                        <w:t>0</w:t>
                      </w:r>
                      <w:r w:rsidRPr="001B7279">
                        <w:rPr>
                          <w:rFonts w:cs="Calibri"/>
                        </w:rPr>
                        <w:t xml:space="preserve">; </w:t>
                      </w:r>
                      <w:r>
                        <w:rPr>
                          <w:rFonts w:cs="Calibri"/>
                        </w:rPr>
                        <w:t>y</w:t>
                      </w:r>
                    </w:p>
                    <w:p w14:paraId="0CABBC3A" w14:textId="3360BA70" w:rsidR="0076398C" w:rsidRDefault="0076398C" w:rsidP="00207D6C">
                      <w:pPr>
                        <w:pStyle w:val="ColorfulList-Accent11"/>
                        <w:ind w:left="0" w:firstLine="0"/>
                      </w:pPr>
                    </w:p>
                    <w:p w14:paraId="06DCBDC2" w14:textId="57868A2A" w:rsidR="0076398C" w:rsidRPr="001730E3" w:rsidRDefault="0076398C" w:rsidP="000D3FBF">
                      <w:pPr>
                        <w:pStyle w:val="ColorfulList-Accent11"/>
                        <w:ind w:left="425"/>
                        <w:rPr>
                          <w:rFonts w:cs="Calibri"/>
                        </w:rPr>
                      </w:pPr>
                      <w:r>
                        <w:t>xi.</w:t>
                      </w:r>
                      <w:r>
                        <w:tab/>
                        <w:t xml:space="preserve">estudiar las opciones propuestas por la Secretaría sobre el posible uso de los ahorros de </w:t>
                      </w:r>
                      <w:r w:rsidRPr="001B7279">
                        <w:rPr>
                          <w:rFonts w:cs="Calibri"/>
                        </w:rPr>
                        <w:t>2020</w:t>
                      </w:r>
                      <w:r>
                        <w:rPr>
                          <w:rFonts w:cs="Calibri"/>
                        </w:rPr>
                        <w:t xml:space="preserve">, como se describe en el párrafo </w:t>
                      </w:r>
                      <w:r w:rsidRPr="001B7279">
                        <w:rPr>
                          <w:rFonts w:cs="Calibri"/>
                        </w:rPr>
                        <w:t>4</w:t>
                      </w:r>
                      <w:r>
                        <w:rPr>
                          <w:rFonts w:cs="Calibri"/>
                        </w:rPr>
                        <w:t>2</w:t>
                      </w:r>
                      <w:r>
                        <w:t>.</w:t>
                      </w:r>
                    </w:p>
                  </w:txbxContent>
                </v:textbox>
                <w10:anchorlock/>
              </v:shape>
            </w:pict>
          </mc:Fallback>
        </mc:AlternateContent>
      </w:r>
    </w:p>
    <w:p w14:paraId="258B288D" w14:textId="11B2D74F" w:rsidR="00A31490" w:rsidRPr="00F53E25" w:rsidRDefault="00A31490" w:rsidP="00162710">
      <w:pPr>
        <w:rPr>
          <w:rFonts w:cs="Arial"/>
          <w:b/>
        </w:rPr>
      </w:pPr>
    </w:p>
    <w:p w14:paraId="14FAA421" w14:textId="6E7742D4" w:rsidR="00ED25F1" w:rsidRPr="00F53E25" w:rsidRDefault="00ED25F1">
      <w:pPr>
        <w:rPr>
          <w:rFonts w:cs="Arial"/>
          <w:b/>
        </w:rPr>
      </w:pPr>
      <w:r w:rsidRPr="00F53E25">
        <w:rPr>
          <w:rFonts w:cs="Arial"/>
          <w:b/>
        </w:rPr>
        <w:br w:type="page"/>
      </w:r>
    </w:p>
    <w:p w14:paraId="669F5FB2" w14:textId="77777777" w:rsidR="00EE484E" w:rsidRPr="00F53E25" w:rsidRDefault="00EE484E" w:rsidP="00162710">
      <w:pPr>
        <w:rPr>
          <w:rFonts w:cs="Arial"/>
          <w:b/>
        </w:rPr>
      </w:pPr>
      <w:r w:rsidRPr="00F53E25">
        <w:rPr>
          <w:b/>
        </w:rPr>
        <w:lastRenderedPageBreak/>
        <w:t>Antecedentes</w:t>
      </w:r>
    </w:p>
    <w:p w14:paraId="0B270B88" w14:textId="77777777" w:rsidR="00A31490" w:rsidRPr="00F53E25" w:rsidRDefault="00A31490" w:rsidP="00162710">
      <w:pPr>
        <w:rPr>
          <w:rFonts w:cs="Arial"/>
        </w:rPr>
      </w:pPr>
    </w:p>
    <w:p w14:paraId="22FB80B8" w14:textId="77777777" w:rsidR="00F25C8E" w:rsidRPr="00F53E25" w:rsidRDefault="00112F62" w:rsidP="00F25C8E">
      <w:pPr>
        <w:pStyle w:val="ListParagraph"/>
        <w:numPr>
          <w:ilvl w:val="0"/>
          <w:numId w:val="11"/>
        </w:numPr>
        <w:ind w:left="426" w:hanging="426"/>
        <w:rPr>
          <w:rFonts w:cs="Arial"/>
        </w:rPr>
      </w:pPr>
      <w:r w:rsidRPr="00F53E25">
        <w:t xml:space="preserve">El presente informe trata sobre cuestiones financieras </w:t>
      </w:r>
      <w:r w:rsidR="00F25C8E" w:rsidRPr="00F53E25">
        <w:t xml:space="preserve">de la Convención sobre los Humedales </w:t>
      </w:r>
      <w:r w:rsidRPr="00F53E25">
        <w:t xml:space="preserve">relativas a </w:t>
      </w:r>
      <w:r w:rsidR="00F25C8E" w:rsidRPr="00F53E25">
        <w:t>los resultados del presupuesto de</w:t>
      </w:r>
      <w:r w:rsidR="009A2EFB" w:rsidRPr="00F53E25">
        <w:t xml:space="preserve"> 2020,</w:t>
      </w:r>
      <w:r w:rsidR="00F25C8E" w:rsidRPr="00F53E25">
        <w:t xml:space="preserve"> el saldo traspasado de 2020 a 2021 </w:t>
      </w:r>
      <w:r w:rsidR="00994DA5" w:rsidRPr="00F53E25">
        <w:t>y el presupuesto para 2021</w:t>
      </w:r>
      <w:r w:rsidRPr="00F53E25">
        <w:t>.</w:t>
      </w:r>
    </w:p>
    <w:p w14:paraId="17E24BCB" w14:textId="77777777" w:rsidR="00F25C8E" w:rsidRPr="00F53E25" w:rsidRDefault="00F25C8E" w:rsidP="00F25C8E">
      <w:pPr>
        <w:pStyle w:val="ListParagraph"/>
        <w:ind w:left="426" w:firstLine="0"/>
        <w:rPr>
          <w:rFonts w:cs="Arial"/>
        </w:rPr>
      </w:pPr>
    </w:p>
    <w:p w14:paraId="28863066" w14:textId="1D16B701" w:rsidR="00F25C8E" w:rsidRPr="00F53E25" w:rsidRDefault="00112F62" w:rsidP="00F25C8E">
      <w:pPr>
        <w:pStyle w:val="ListParagraph"/>
        <w:numPr>
          <w:ilvl w:val="0"/>
          <w:numId w:val="11"/>
        </w:numPr>
        <w:ind w:left="426" w:hanging="426"/>
        <w:rPr>
          <w:rFonts w:cs="Arial"/>
        </w:rPr>
      </w:pPr>
      <w:r w:rsidRPr="00F53E25">
        <w:t>Los auditores externos han validado nuevas mejoras en la gestión financiera de la Secretaría</w:t>
      </w:r>
      <w:r w:rsidR="00F25C8E" w:rsidRPr="00F53E25">
        <w:t>. Además,</w:t>
      </w:r>
      <w:r w:rsidRPr="00F53E25">
        <w:t xml:space="preserve"> </w:t>
      </w:r>
      <w:r w:rsidR="00994DA5" w:rsidRPr="00F53E25">
        <w:t xml:space="preserve">se cerraron </w:t>
      </w:r>
      <w:r w:rsidRPr="00F53E25">
        <w:t>todas las cuestiones que estaban pendientes antes de que la Secretaria</w:t>
      </w:r>
      <w:r w:rsidR="007124BD" w:rsidRPr="00F53E25">
        <w:t xml:space="preserve"> </w:t>
      </w:r>
      <w:r w:rsidRPr="00F53E25">
        <w:t>General tomara posesión de su cargo en 2016</w:t>
      </w:r>
      <w:r w:rsidR="00994DA5" w:rsidRPr="00F53E25">
        <w:t xml:space="preserve"> en la auditoría de 2019, sin que los auditores señalaran nuev</w:t>
      </w:r>
      <w:r w:rsidR="00F25C8E" w:rsidRPr="00F53E25">
        <w:t>as cuestiones</w:t>
      </w:r>
      <w:r w:rsidRPr="00F53E25">
        <w:t xml:space="preserve">. También se </w:t>
      </w:r>
      <w:r w:rsidR="00F25C8E" w:rsidRPr="00F53E25">
        <w:t xml:space="preserve">han aplicado </w:t>
      </w:r>
      <w:r w:rsidRPr="00F53E25">
        <w:t xml:space="preserve">los resultados positivos del </w:t>
      </w:r>
      <w:r w:rsidRPr="00F53E25">
        <w:rPr>
          <w:i/>
          <w:iCs/>
        </w:rPr>
        <w:t>Examen de la Gestión Financiera de los Fondos Complementarios (de uso restringido)</w:t>
      </w:r>
      <w:r w:rsidRPr="00F53E25">
        <w:t xml:space="preserve"> realizad</w:t>
      </w:r>
      <w:r w:rsidR="00F25C8E" w:rsidRPr="00F53E25">
        <w:t>o</w:t>
      </w:r>
      <w:r w:rsidRPr="00F53E25">
        <w:t xml:space="preserve"> por la Unidad de Supervisión de la UICN y presentado</w:t>
      </w:r>
      <w:r w:rsidR="00F25C8E" w:rsidRPr="00F53E25">
        <w:t>s</w:t>
      </w:r>
      <w:r w:rsidRPr="00F53E25">
        <w:t xml:space="preserve"> al Comité Permanente en su 55</w:t>
      </w:r>
      <w:r w:rsidRPr="00F53E25">
        <w:rPr>
          <w:vertAlign w:val="superscript"/>
        </w:rPr>
        <w:t>a</w:t>
      </w:r>
      <w:r w:rsidRPr="00F53E25">
        <w:t xml:space="preserve"> reunión (SC55) </w:t>
      </w:r>
      <w:r w:rsidR="00994DA5" w:rsidRPr="00F53E25">
        <w:t xml:space="preserve">y </w:t>
      </w:r>
      <w:r w:rsidR="00F25C8E" w:rsidRPr="00F53E25">
        <w:t>queda una cuestión pendiente sobre la evolución de las actividades en la UICN (véase el párrafo 45)</w:t>
      </w:r>
      <w:r w:rsidRPr="00F53E25">
        <w:t xml:space="preserve">. Se han actualizado las responsabilidades internas y la atribución de controles entre la UICN y la Secretaría. Se han seguido mejorando los procesos </w:t>
      </w:r>
      <w:r w:rsidR="00994DA5" w:rsidRPr="00F53E25">
        <w:t xml:space="preserve">de gestión financiera en la Secretaría </w:t>
      </w:r>
      <w:r w:rsidRPr="00F53E25">
        <w:t>y se han elaborado orientaciones, de conformidad con las políticas y procedimientos de la UICN</w:t>
      </w:r>
      <w:r w:rsidR="00F25C8E" w:rsidRPr="00F53E25">
        <w:t xml:space="preserve"> en los casos pertinentes</w:t>
      </w:r>
      <w:r w:rsidRPr="00F53E25">
        <w:t>.</w:t>
      </w:r>
    </w:p>
    <w:p w14:paraId="3EFB7A05" w14:textId="77777777" w:rsidR="00F25C8E" w:rsidRPr="00F53E25" w:rsidRDefault="00F25C8E" w:rsidP="00F25C8E">
      <w:pPr>
        <w:pStyle w:val="ListParagraph"/>
        <w:rPr>
          <w:rFonts w:cs="Arial"/>
        </w:rPr>
      </w:pPr>
    </w:p>
    <w:p w14:paraId="6FB6FE37" w14:textId="39FBB701" w:rsidR="00994DA5" w:rsidRPr="00F53E25" w:rsidRDefault="00994DA5" w:rsidP="00F25C8E">
      <w:pPr>
        <w:pStyle w:val="ListParagraph"/>
        <w:numPr>
          <w:ilvl w:val="0"/>
          <w:numId w:val="11"/>
        </w:numPr>
        <w:ind w:left="426" w:hanging="426"/>
        <w:rPr>
          <w:rFonts w:cs="Arial"/>
        </w:rPr>
      </w:pPr>
      <w:r w:rsidRPr="00F53E25">
        <w:rPr>
          <w:rFonts w:cs="Arial"/>
        </w:rPr>
        <w:t xml:space="preserve">2020 </w:t>
      </w:r>
      <w:r w:rsidR="00F25C8E" w:rsidRPr="00F53E25">
        <w:rPr>
          <w:rFonts w:cs="Arial"/>
        </w:rPr>
        <w:t xml:space="preserve">fue un año particular marcado por la pandemia de </w:t>
      </w:r>
      <w:r w:rsidRPr="00F53E25">
        <w:rPr>
          <w:rFonts w:cs="Arial"/>
        </w:rPr>
        <w:t xml:space="preserve">COVID-19, </w:t>
      </w:r>
      <w:r w:rsidR="00F25C8E" w:rsidRPr="00F53E25">
        <w:rPr>
          <w:rFonts w:cs="Arial"/>
        </w:rPr>
        <w:t xml:space="preserve">que tuvo un impacto sobre la aplicación del plan de trabajo de la Secretaría y el presupuesto de la Convención, </w:t>
      </w:r>
      <w:r w:rsidR="00AB4C0D" w:rsidRPr="00F53E25">
        <w:rPr>
          <w:rFonts w:cs="Arial"/>
        </w:rPr>
        <w:t xml:space="preserve">reduciendo la ejecución </w:t>
      </w:r>
      <w:r w:rsidR="00F25C8E" w:rsidRPr="00F53E25">
        <w:rPr>
          <w:rFonts w:cs="Arial"/>
        </w:rPr>
        <w:t xml:space="preserve">de las partidas presupuestarias, particularmente las que requerían desplazamientos, tales como las reuniones de los órganos de gobierno y subsidiarios y los viajes de la Secretaría, lo cual dio lugar a un ahorro en el presupuesto. El Subgrupo de Finanzas </w:t>
      </w:r>
      <w:r w:rsidR="009C5461" w:rsidRPr="00F53E25">
        <w:rPr>
          <w:rFonts w:cs="Arial"/>
        </w:rPr>
        <w:t>evaluó el presupuesto de</w:t>
      </w:r>
      <w:r w:rsidRPr="00F53E25">
        <w:rPr>
          <w:rFonts w:cs="Arial"/>
        </w:rPr>
        <w:t xml:space="preserve"> 2020</w:t>
      </w:r>
      <w:r w:rsidR="00AB4C0D" w:rsidRPr="00F53E25">
        <w:rPr>
          <w:rFonts w:cs="Arial"/>
        </w:rPr>
        <w:t>,</w:t>
      </w:r>
      <w:r w:rsidR="009C5461" w:rsidRPr="00F53E25">
        <w:rPr>
          <w:rFonts w:cs="Arial"/>
        </w:rPr>
        <w:t xml:space="preserve"> realizó </w:t>
      </w:r>
      <w:r w:rsidR="007F3AAE" w:rsidRPr="00F53E25">
        <w:rPr>
          <w:rFonts w:cs="Arial"/>
        </w:rPr>
        <w:t>cambios</w:t>
      </w:r>
      <w:r w:rsidR="009C5461" w:rsidRPr="00F53E25">
        <w:rPr>
          <w:rFonts w:cs="Arial"/>
        </w:rPr>
        <w:t xml:space="preserve"> durante sus reuniones celebradas el 15 de junio de 2020 y el 13 de enero de </w:t>
      </w:r>
      <w:r w:rsidRPr="00F53E25">
        <w:rPr>
          <w:rFonts w:cs="Arial"/>
        </w:rPr>
        <w:t>2021</w:t>
      </w:r>
      <w:r w:rsidR="009C5461" w:rsidRPr="00F53E25">
        <w:rPr>
          <w:rFonts w:cs="Arial"/>
        </w:rPr>
        <w:t xml:space="preserve"> y sigue supervisando la ejecución del presupuesto por parte de la Secretaría (con arreglo a la Decisión </w:t>
      </w:r>
      <w:r w:rsidRPr="00F53E25">
        <w:rPr>
          <w:rFonts w:cs="Arial"/>
        </w:rPr>
        <w:t>SC58-30).</w:t>
      </w:r>
    </w:p>
    <w:p w14:paraId="42319817" w14:textId="77777777" w:rsidR="00FC40CB" w:rsidRPr="00F53E25" w:rsidRDefault="00FC40CB" w:rsidP="00FC40CB">
      <w:pPr>
        <w:keepNext/>
        <w:ind w:left="0" w:firstLine="0"/>
        <w:rPr>
          <w:rFonts w:cs="Arial"/>
          <w:b/>
        </w:rPr>
      </w:pPr>
    </w:p>
    <w:p w14:paraId="34F18BE8" w14:textId="1C2A3E9C" w:rsidR="006656E1" w:rsidRPr="00F53E25" w:rsidRDefault="00BB5CF1" w:rsidP="00FC40CB">
      <w:pPr>
        <w:keepNext/>
        <w:ind w:left="0" w:firstLine="0"/>
        <w:rPr>
          <w:rFonts w:cs="Arial"/>
          <w:b/>
        </w:rPr>
      </w:pPr>
      <w:r w:rsidRPr="00F53E25">
        <w:rPr>
          <w:b/>
        </w:rPr>
        <w:t>Resultados de 20</w:t>
      </w:r>
      <w:r w:rsidR="00994DA5" w:rsidRPr="00F53E25">
        <w:rPr>
          <w:b/>
        </w:rPr>
        <w:t>20</w:t>
      </w:r>
      <w:r w:rsidRPr="00F53E25">
        <w:rPr>
          <w:b/>
        </w:rPr>
        <w:t>: presupuesto básico</w:t>
      </w:r>
    </w:p>
    <w:p w14:paraId="31910A04" w14:textId="26441FE7" w:rsidR="002F2543" w:rsidRPr="00F53E25" w:rsidRDefault="002F2543" w:rsidP="00162710">
      <w:pPr>
        <w:pStyle w:val="NoSpacing"/>
        <w:rPr>
          <w:b/>
        </w:rPr>
      </w:pPr>
    </w:p>
    <w:p w14:paraId="769CFAA7" w14:textId="31D405E4" w:rsidR="007C58CE" w:rsidRPr="00F53E25" w:rsidRDefault="007C58CE" w:rsidP="007C58CE">
      <w:pPr>
        <w:pStyle w:val="ListParagraph"/>
        <w:numPr>
          <w:ilvl w:val="0"/>
          <w:numId w:val="11"/>
        </w:numPr>
        <w:ind w:left="426" w:hanging="426"/>
        <w:rPr>
          <w:color w:val="000000" w:themeColor="text1"/>
        </w:rPr>
      </w:pPr>
      <w:r w:rsidRPr="00F53E25">
        <w:t xml:space="preserve">Los estados </w:t>
      </w:r>
      <w:r w:rsidR="00C42F6F" w:rsidRPr="00F53E25">
        <w:t>financieros auditados de 20</w:t>
      </w:r>
      <w:r w:rsidR="00994DA5" w:rsidRPr="00F53E25">
        <w:t>20</w:t>
      </w:r>
      <w:r w:rsidR="00C42F6F" w:rsidRPr="00F53E25">
        <w:t xml:space="preserve"> se incluyen en </w:t>
      </w:r>
      <w:r w:rsidR="00C42F6F" w:rsidRPr="00F53E25">
        <w:rPr>
          <w:color w:val="000000" w:themeColor="text1"/>
        </w:rPr>
        <w:t xml:space="preserve">el </w:t>
      </w:r>
      <w:r w:rsidR="00AB4C0D" w:rsidRPr="00F53E25">
        <w:rPr>
          <w:color w:val="000000" w:themeColor="text1"/>
        </w:rPr>
        <w:t xml:space="preserve">Anexo </w:t>
      </w:r>
      <w:r w:rsidR="00C42F6F" w:rsidRPr="00F53E25">
        <w:rPr>
          <w:color w:val="000000" w:themeColor="text1"/>
        </w:rPr>
        <w:t>1.</w:t>
      </w:r>
    </w:p>
    <w:p w14:paraId="26A3CC8E" w14:textId="77777777" w:rsidR="007C58CE" w:rsidRPr="00F53E25" w:rsidRDefault="007C58CE" w:rsidP="007C58CE">
      <w:pPr>
        <w:ind w:left="0" w:firstLine="0"/>
      </w:pPr>
    </w:p>
    <w:p w14:paraId="58CF9B77" w14:textId="2FA331C9" w:rsidR="007C58CE" w:rsidRPr="00F53E25" w:rsidRDefault="00C42F6F" w:rsidP="007C58CE">
      <w:pPr>
        <w:pStyle w:val="ListParagraph"/>
        <w:numPr>
          <w:ilvl w:val="0"/>
          <w:numId w:val="11"/>
        </w:numPr>
        <w:ind w:left="426" w:hanging="426"/>
      </w:pPr>
      <w:r w:rsidRPr="00F53E25">
        <w:t>El resumen de los resultados del presupuesto básico de 20</w:t>
      </w:r>
      <w:r w:rsidR="00994DA5" w:rsidRPr="00F53E25">
        <w:t>20</w:t>
      </w:r>
      <w:r w:rsidRPr="00F53E25">
        <w:t xml:space="preserve"> se adjunta en el </w:t>
      </w:r>
      <w:r w:rsidR="00AB4C0D" w:rsidRPr="00F53E25">
        <w:t xml:space="preserve">Anexo </w:t>
      </w:r>
      <w:r w:rsidRPr="00F53E25">
        <w:t>2. En la columna A figura el presupuesto para 20</w:t>
      </w:r>
      <w:r w:rsidR="00994DA5" w:rsidRPr="00F53E25">
        <w:t>20</w:t>
      </w:r>
      <w:r w:rsidRPr="00F53E25">
        <w:t xml:space="preserve"> de 5 081 000 francos suizos aprobado mediante la Resolución XIII.2</w:t>
      </w:r>
      <w:r w:rsidR="007C58CE" w:rsidRPr="00F53E25">
        <w:t xml:space="preserve">, </w:t>
      </w:r>
      <w:r w:rsidRPr="00F53E25">
        <w:rPr>
          <w:i/>
          <w:iCs/>
        </w:rPr>
        <w:t>Cuestiones financieras y presupuestarias</w:t>
      </w:r>
      <w:r w:rsidRPr="00F53E25">
        <w:t>.</w:t>
      </w:r>
      <w:r w:rsidR="00994DA5" w:rsidRPr="00F53E25">
        <w:t xml:space="preserve"> </w:t>
      </w:r>
      <w:r w:rsidR="00FC40CB" w:rsidRPr="00F53E25">
        <w:t>En la columna B del</w:t>
      </w:r>
      <w:r w:rsidR="00994DA5" w:rsidRPr="00F53E25">
        <w:t xml:space="preserve"> mismo </w:t>
      </w:r>
      <w:r w:rsidR="00465EA7" w:rsidRPr="00F53E25">
        <w:t>c</w:t>
      </w:r>
      <w:r w:rsidR="00AB4C0D" w:rsidRPr="00F53E25">
        <w:t>uadro</w:t>
      </w:r>
      <w:r w:rsidR="00FC40CB" w:rsidRPr="00F53E25">
        <w:t xml:space="preserve"> se </w:t>
      </w:r>
      <w:r w:rsidR="00465EA7" w:rsidRPr="00F53E25">
        <w:t>muestra</w:t>
      </w:r>
      <w:r w:rsidR="00FC40CB" w:rsidRPr="00F53E25">
        <w:t xml:space="preserve"> la utilización autorizada del excedente de 76 000 francos suizos durante el año</w:t>
      </w:r>
      <w:r w:rsidR="00994DA5" w:rsidRPr="00F53E25">
        <w:t xml:space="preserve"> </w:t>
      </w:r>
      <w:r w:rsidR="007C58CE" w:rsidRPr="00F53E25">
        <w:t xml:space="preserve">para cubrir el déficit creado en el presupuesto con la contratación de un auxiliar contable y financiero, </w:t>
      </w:r>
      <w:r w:rsidR="00FC40CB" w:rsidRPr="00F53E25">
        <w:t xml:space="preserve">de conformidad con el párrafo 15 de la </w:t>
      </w:r>
      <w:r w:rsidR="007C58CE" w:rsidRPr="00F53E25">
        <w:t>R</w:t>
      </w:r>
      <w:r w:rsidR="00FC40CB" w:rsidRPr="00F53E25">
        <w:t>esolución XIII.2, mientras que en la columna C se indican los saldos comprometidos para 201</w:t>
      </w:r>
      <w:r w:rsidR="00994DA5" w:rsidRPr="00F53E25">
        <w:t>9</w:t>
      </w:r>
      <w:r w:rsidR="00FC40CB" w:rsidRPr="00F53E25">
        <w:t xml:space="preserve"> y la utilización autorizada de los excedentes por un total de </w:t>
      </w:r>
      <w:r w:rsidR="00994DA5" w:rsidRPr="00F53E25">
        <w:t>588</w:t>
      </w:r>
      <w:r w:rsidR="00FC40CB" w:rsidRPr="00F53E25">
        <w:t xml:space="preserve"> 000 francos suizos. Este total incluye el empleo de los fondos aprobados en años anteriores en las siguientes </w:t>
      </w:r>
      <w:r w:rsidR="007C58CE" w:rsidRPr="00F53E25">
        <w:t>partidas</w:t>
      </w:r>
      <w:r w:rsidR="00FC40CB" w:rsidRPr="00F53E25">
        <w:t xml:space="preserve">: Grupo de </w:t>
      </w:r>
      <w:r w:rsidR="0099736D" w:rsidRPr="00F53E25">
        <w:t>t</w:t>
      </w:r>
      <w:r w:rsidR="00FC40CB" w:rsidRPr="00F53E25">
        <w:t xml:space="preserve">rabajo sobre la </w:t>
      </w:r>
      <w:r w:rsidR="0099736D" w:rsidRPr="00F53E25">
        <w:t>e</w:t>
      </w:r>
      <w:r w:rsidR="00FC40CB" w:rsidRPr="00F53E25">
        <w:t>ficacia (párrafo 16 de la Resolución XIII.2)</w:t>
      </w:r>
      <w:r w:rsidR="0034053B" w:rsidRPr="00F53E25">
        <w:t>,</w:t>
      </w:r>
      <w:r w:rsidR="00FC40CB" w:rsidRPr="00F53E25">
        <w:t xml:space="preserve"> compromisos del presupuesto de 2018 (traspasados a 2019)</w:t>
      </w:r>
      <w:r w:rsidR="0034053B" w:rsidRPr="00F53E25">
        <w:t>,</w:t>
      </w:r>
      <w:r w:rsidR="00FC40CB" w:rsidRPr="00F53E25">
        <w:t xml:space="preserve"> </w:t>
      </w:r>
      <w:r w:rsidR="00DA7BE0" w:rsidRPr="00F53E25">
        <w:t xml:space="preserve">y uso autorizado del excedente en la reunión SC57 (véase el Anexo 9.2 del Informe de la reunión SC57, aprobado mediante la Decisión </w:t>
      </w:r>
      <w:r w:rsidR="00994DA5" w:rsidRPr="00F53E25">
        <w:t>SC</w:t>
      </w:r>
      <w:r w:rsidR="00DA7BE0" w:rsidRPr="00F53E25">
        <w:t>57-47).</w:t>
      </w:r>
      <w:r w:rsidR="00994DA5" w:rsidRPr="00F53E25">
        <w:t xml:space="preserve"> </w:t>
      </w:r>
      <w:r w:rsidR="007C58CE" w:rsidRPr="00F53E25">
        <w:t xml:space="preserve">La columna </w:t>
      </w:r>
      <w:r w:rsidR="00994DA5" w:rsidRPr="00F53E25">
        <w:t xml:space="preserve">D </w:t>
      </w:r>
      <w:r w:rsidR="007C58CE" w:rsidRPr="00F53E25">
        <w:t xml:space="preserve">muestra los fondos no comprometidos </w:t>
      </w:r>
      <w:r w:rsidR="00404FE5" w:rsidRPr="00F53E25">
        <w:t>traspasados</w:t>
      </w:r>
      <w:r w:rsidR="007C58CE" w:rsidRPr="00F53E25">
        <w:t xml:space="preserve"> de </w:t>
      </w:r>
      <w:r w:rsidR="00994DA5" w:rsidRPr="00F53E25">
        <w:t>2019</w:t>
      </w:r>
      <w:r w:rsidR="007C58CE" w:rsidRPr="00F53E25">
        <w:t xml:space="preserve"> a</w:t>
      </w:r>
      <w:r w:rsidR="00994DA5" w:rsidRPr="00F53E25">
        <w:t xml:space="preserve"> 2020 </w:t>
      </w:r>
      <w:r w:rsidR="007C58CE" w:rsidRPr="00F53E25">
        <w:t xml:space="preserve">que se aprobaron en la reunión virtual </w:t>
      </w:r>
      <w:r w:rsidR="00994DA5" w:rsidRPr="00F53E25">
        <w:t xml:space="preserve">SC58 </w:t>
      </w:r>
      <w:r w:rsidR="007C58CE" w:rsidRPr="00F53E25">
        <w:t>celebrada en junio de</w:t>
      </w:r>
      <w:r w:rsidR="00994DA5" w:rsidRPr="00F53E25">
        <w:t xml:space="preserve"> 2020, </w:t>
      </w:r>
      <w:r w:rsidR="007C58CE" w:rsidRPr="00F53E25">
        <w:t xml:space="preserve">y la columna </w:t>
      </w:r>
      <w:r w:rsidR="00994DA5" w:rsidRPr="00F53E25">
        <w:t xml:space="preserve">E </w:t>
      </w:r>
      <w:r w:rsidR="007C58CE" w:rsidRPr="00F53E25">
        <w:t xml:space="preserve">muestra las asignaciones aprobadas por el Comité Permanente entre períodos de sesiones en febrero de </w:t>
      </w:r>
      <w:r w:rsidR="00994DA5" w:rsidRPr="00F53E25">
        <w:t>2021.</w:t>
      </w:r>
    </w:p>
    <w:p w14:paraId="2A033A2D" w14:textId="77777777" w:rsidR="007C58CE" w:rsidRPr="00F53E25" w:rsidRDefault="007C58CE" w:rsidP="007C58CE">
      <w:pPr>
        <w:pStyle w:val="ListParagraph"/>
        <w:ind w:left="426" w:firstLine="0"/>
      </w:pPr>
    </w:p>
    <w:p w14:paraId="2A3671EA" w14:textId="487583FE" w:rsidR="00AA0A72" w:rsidRPr="00F53E25" w:rsidRDefault="007C58CE" w:rsidP="00AA0A72">
      <w:pPr>
        <w:pStyle w:val="ListParagraph"/>
        <w:numPr>
          <w:ilvl w:val="0"/>
          <w:numId w:val="11"/>
        </w:numPr>
        <w:ind w:left="426" w:hanging="426"/>
      </w:pPr>
      <w:r w:rsidRPr="00F53E25">
        <w:t>De conformidad con las instrucciones del Comité Permanente en su reunión virtual SC58 (</w:t>
      </w:r>
      <w:r w:rsidR="00AB4C0D" w:rsidRPr="00F53E25">
        <w:t xml:space="preserve">Anexo </w:t>
      </w:r>
      <w:r w:rsidRPr="00F53E25">
        <w:t xml:space="preserve">4 del </w:t>
      </w:r>
      <w:r w:rsidR="00ED25F1" w:rsidRPr="00F53E25">
        <w:t>i</w:t>
      </w:r>
      <w:r w:rsidRPr="00F53E25">
        <w:t xml:space="preserve">nforme de la reunión </w:t>
      </w:r>
      <w:r w:rsidR="00994DA5" w:rsidRPr="00F53E25">
        <w:t>SC58, ap</w:t>
      </w:r>
      <w:r w:rsidRPr="00F53E25">
        <w:t xml:space="preserve">robado mediante la Decisión </w:t>
      </w:r>
      <w:r w:rsidR="00994DA5" w:rsidRPr="00F53E25">
        <w:t xml:space="preserve">SC58-30), </w:t>
      </w:r>
      <w:r w:rsidR="002B7803" w:rsidRPr="00F53E25">
        <w:t xml:space="preserve">se revisó el presupuesto básico para 2020 para reconocer los ahorros realizados en diversas partidas presupuestarias </w:t>
      </w:r>
      <w:r w:rsidR="00AA0A72" w:rsidRPr="00F53E25">
        <w:t xml:space="preserve">por las repercusiones de la pandemia de </w:t>
      </w:r>
      <w:r w:rsidR="00994DA5" w:rsidRPr="00F53E25">
        <w:t xml:space="preserve">COVID-19 </w:t>
      </w:r>
      <w:r w:rsidR="00AA0A72" w:rsidRPr="00F53E25">
        <w:t xml:space="preserve">sobre las actividades </w:t>
      </w:r>
      <w:r w:rsidR="00AA0A72" w:rsidRPr="00F53E25">
        <w:lastRenderedPageBreak/>
        <w:t>previstas, como los viajes, las reuniones y la ejecución de las actividades de las iniciativas regionales de Ramsar (IRR). El ahorro de 240 000 francos suizos respecto del presupuesto original aprobado por la COP13 y 489 000 francos suizos, que no se gastaron en 2019 y se traspasaron a 2020, dio lugar a un ahorro total aprobado de 729 000 francos suizos en el presupuesto básico de 2020</w:t>
      </w:r>
      <w:r w:rsidR="00994DA5" w:rsidRPr="00F53E25">
        <w:t>.</w:t>
      </w:r>
    </w:p>
    <w:p w14:paraId="05BCF5C1" w14:textId="77777777" w:rsidR="00AA0A72" w:rsidRPr="00F53E25" w:rsidRDefault="00AA0A72" w:rsidP="00AA0A72">
      <w:pPr>
        <w:pStyle w:val="ListParagraph"/>
      </w:pPr>
    </w:p>
    <w:p w14:paraId="175CA8C9" w14:textId="70190649" w:rsidR="00AA0A72" w:rsidRPr="00F53E25" w:rsidRDefault="00AA0A72" w:rsidP="00AA0A72">
      <w:pPr>
        <w:pStyle w:val="ListParagraph"/>
        <w:numPr>
          <w:ilvl w:val="0"/>
          <w:numId w:val="11"/>
        </w:numPr>
        <w:ind w:left="426" w:hanging="426"/>
      </w:pPr>
      <w:r w:rsidRPr="00F53E25">
        <w:t xml:space="preserve">En febrero de </w:t>
      </w:r>
      <w:r w:rsidR="00994DA5" w:rsidRPr="00F53E25">
        <w:t xml:space="preserve">2021, </w:t>
      </w:r>
      <w:r w:rsidRPr="00F53E25">
        <w:t>el Comité Permanente aprobó entre períodos de sesiones una asignación adicional de 10 000 francos suizos</w:t>
      </w:r>
      <w:r w:rsidR="00ED25F1" w:rsidRPr="00F53E25">
        <w:t xml:space="preserve"> a</w:t>
      </w:r>
      <w:r w:rsidRPr="00F53E25">
        <w:t xml:space="preserve"> dos iniciativas regionales de Ramsar,</w:t>
      </w:r>
      <w:r w:rsidR="00ED25F1" w:rsidRPr="00F53E25">
        <w:t xml:space="preserve"> respectivamente,</w:t>
      </w:r>
      <w:r w:rsidRPr="00F53E25">
        <w:t xml:space="preserve"> sumando un total de 20 000 francos suizos. En consecuencia, el ahorro en el presupuesto en 2020 se redujo a 220 000 francos suizos, por lo que el ahorro total en el presupuesto básico de 2020 fue de 709 000 francos suizos.</w:t>
      </w:r>
    </w:p>
    <w:p w14:paraId="58C3E7AE" w14:textId="77777777" w:rsidR="00AA0A72" w:rsidRPr="00F53E25" w:rsidRDefault="00AA0A72" w:rsidP="00AA0A72">
      <w:pPr>
        <w:pStyle w:val="ListParagraph"/>
      </w:pPr>
    </w:p>
    <w:p w14:paraId="7297F984" w14:textId="1999BF79" w:rsidR="00AA0A72" w:rsidRPr="00F53E25" w:rsidRDefault="00FC40CB" w:rsidP="00AA0A72">
      <w:pPr>
        <w:pStyle w:val="ListParagraph"/>
        <w:numPr>
          <w:ilvl w:val="0"/>
          <w:numId w:val="11"/>
        </w:numPr>
        <w:ind w:left="426" w:hanging="426"/>
      </w:pPr>
      <w:r w:rsidRPr="00F53E25">
        <w:t>El presupuesto total disponible para 20</w:t>
      </w:r>
      <w:r w:rsidR="00D76256" w:rsidRPr="00F53E25">
        <w:t>20</w:t>
      </w:r>
      <w:r w:rsidRPr="00F53E25">
        <w:t xml:space="preserve"> era, por tanto, de 6 </w:t>
      </w:r>
      <w:r w:rsidR="00D76256" w:rsidRPr="00F53E25">
        <w:t>664</w:t>
      </w:r>
      <w:r w:rsidRPr="00F53E25">
        <w:t xml:space="preserve"> 000 francos suizos. En el </w:t>
      </w:r>
      <w:r w:rsidR="00AB4C0D" w:rsidRPr="00F53E25">
        <w:t xml:space="preserve">Anexo </w:t>
      </w:r>
      <w:r w:rsidRPr="00F53E25">
        <w:t>2 se muestran también los ingresos y gastos definitivos en 20</w:t>
      </w:r>
      <w:r w:rsidR="00D76256" w:rsidRPr="00F53E25">
        <w:t>20</w:t>
      </w:r>
      <w:r w:rsidRPr="00F53E25">
        <w:t xml:space="preserve"> confirmados por los estados financieros (</w:t>
      </w:r>
      <w:r w:rsidR="00AB4C0D" w:rsidRPr="00F53E25">
        <w:t xml:space="preserve">Anexo </w:t>
      </w:r>
      <w:r w:rsidRPr="00F53E25">
        <w:t>1) y el saldo al 31 de diciembre de 20</w:t>
      </w:r>
      <w:r w:rsidR="00D76256" w:rsidRPr="00F53E25">
        <w:t>20</w:t>
      </w:r>
      <w:r w:rsidRPr="00F53E25">
        <w:t xml:space="preserve"> para cada partida y categoría presupuestaria.</w:t>
      </w:r>
    </w:p>
    <w:p w14:paraId="4B4C34FD" w14:textId="77777777" w:rsidR="00AA0A72" w:rsidRPr="00F53E25" w:rsidRDefault="00AA0A72" w:rsidP="00AA0A72">
      <w:pPr>
        <w:pStyle w:val="ListParagraph"/>
      </w:pPr>
    </w:p>
    <w:p w14:paraId="60D76D2B" w14:textId="01B7DE4D" w:rsidR="00AA0A72" w:rsidRPr="00F53E25" w:rsidRDefault="00FC40CB" w:rsidP="00AA0A72">
      <w:pPr>
        <w:pStyle w:val="ListParagraph"/>
        <w:numPr>
          <w:ilvl w:val="0"/>
          <w:numId w:val="11"/>
        </w:numPr>
        <w:ind w:left="426" w:hanging="426"/>
      </w:pPr>
      <w:r w:rsidRPr="00F53E25">
        <w:t>Se invita al Comité Permanente a examin</w:t>
      </w:r>
      <w:r w:rsidR="00FC306F" w:rsidRPr="00F53E25">
        <w:t>ar</w:t>
      </w:r>
      <w:r w:rsidRPr="00F53E25">
        <w:t xml:space="preserve"> y acept</w:t>
      </w:r>
      <w:r w:rsidR="00FC306F" w:rsidRPr="00F53E25">
        <w:t>ar</w:t>
      </w:r>
      <w:r w:rsidRPr="00F53E25">
        <w:t xml:space="preserve"> los estados financieros auditados de 20</w:t>
      </w:r>
      <w:r w:rsidR="00D76256" w:rsidRPr="00F53E25">
        <w:t>20</w:t>
      </w:r>
      <w:r w:rsidRPr="00F53E25">
        <w:t xml:space="preserve"> (</w:t>
      </w:r>
      <w:r w:rsidR="00AB4C0D" w:rsidRPr="00F53E25">
        <w:t xml:space="preserve">Anexo </w:t>
      </w:r>
      <w:r w:rsidRPr="00F53E25">
        <w:t>1). Los estados financieros auditados completos de 20</w:t>
      </w:r>
      <w:r w:rsidR="00D76256" w:rsidRPr="00F53E25">
        <w:t>20</w:t>
      </w:r>
      <w:r w:rsidRPr="00F53E25">
        <w:t>, incluidas las notas y el dictamen de los auditores, han sido publicados en el sitio web de la Convención</w:t>
      </w:r>
      <w:r w:rsidR="00CB6134" w:rsidRPr="00F53E25">
        <w:rPr>
          <w:rStyle w:val="FootnoteReference"/>
        </w:rPr>
        <w:footnoteReference w:id="1"/>
      </w:r>
      <w:r w:rsidRPr="00F53E25">
        <w:t>.</w:t>
      </w:r>
    </w:p>
    <w:p w14:paraId="4383F04D" w14:textId="77777777" w:rsidR="00AA0A72" w:rsidRPr="00F53E25" w:rsidRDefault="00AA0A72" w:rsidP="00AA0A72">
      <w:pPr>
        <w:pStyle w:val="ListParagraph"/>
      </w:pPr>
    </w:p>
    <w:p w14:paraId="27D2F51D" w14:textId="4BD15BA1" w:rsidR="00AA0A72" w:rsidRPr="00F53E25" w:rsidRDefault="00FC40CB" w:rsidP="00AA0A72">
      <w:pPr>
        <w:pStyle w:val="ListParagraph"/>
        <w:numPr>
          <w:ilvl w:val="0"/>
          <w:numId w:val="11"/>
        </w:numPr>
        <w:ind w:left="426" w:hanging="426"/>
      </w:pPr>
      <w:r w:rsidRPr="00F53E25">
        <w:t>Al final de 20</w:t>
      </w:r>
      <w:r w:rsidR="00D76256" w:rsidRPr="00F53E25">
        <w:t>20</w:t>
      </w:r>
      <w:r w:rsidRPr="00F53E25">
        <w:t xml:space="preserve">, el presupuesto básico arrojaba un </w:t>
      </w:r>
      <w:r w:rsidR="00AA0A72" w:rsidRPr="00F53E25">
        <w:t>saldo de 2 2</w:t>
      </w:r>
      <w:r w:rsidR="007F3AAE" w:rsidRPr="00F53E25">
        <w:t>53</w:t>
      </w:r>
      <w:r w:rsidR="00AA0A72" w:rsidRPr="00F53E25">
        <w:t xml:space="preserve"> </w:t>
      </w:r>
      <w:r w:rsidRPr="00F53E25">
        <w:t xml:space="preserve">000 francos suizos. Esto incluía </w:t>
      </w:r>
      <w:r w:rsidR="00D76256" w:rsidRPr="00F53E25">
        <w:t>712</w:t>
      </w:r>
      <w:r w:rsidRPr="00F53E25">
        <w:t> 000 francos suizos de fondos previamente comprometidos</w:t>
      </w:r>
      <w:r w:rsidR="00D76256" w:rsidRPr="00F53E25">
        <w:t xml:space="preserve"> o </w:t>
      </w:r>
      <w:r w:rsidR="00AA0A72" w:rsidRPr="00F53E25">
        <w:t>previstos</w:t>
      </w:r>
      <w:r w:rsidRPr="00F53E25">
        <w:t xml:space="preserve"> </w:t>
      </w:r>
      <w:r w:rsidR="00AA0A72" w:rsidRPr="00F53E25">
        <w:t>en</w:t>
      </w:r>
      <w:r w:rsidRPr="00F53E25">
        <w:t xml:space="preserve"> 20</w:t>
      </w:r>
      <w:r w:rsidR="00D76256" w:rsidRPr="00F53E25">
        <w:t>20</w:t>
      </w:r>
      <w:r w:rsidRPr="00F53E25">
        <w:t xml:space="preserve"> a gastar en 2020</w:t>
      </w:r>
      <w:r w:rsidR="00AA0A72" w:rsidRPr="00F53E25">
        <w:t xml:space="preserve"> </w:t>
      </w:r>
      <w:r w:rsidR="00D76256" w:rsidRPr="00F53E25">
        <w:t xml:space="preserve">y 1 590 000 francos suizos de fondos </w:t>
      </w:r>
      <w:r w:rsidR="00AA0A72" w:rsidRPr="00F53E25">
        <w:t>no comprometidos y no gastados</w:t>
      </w:r>
      <w:r w:rsidR="00D76256" w:rsidRPr="00F53E25">
        <w:t xml:space="preserve">, menos </w:t>
      </w:r>
      <w:r w:rsidRPr="00F53E25">
        <w:t xml:space="preserve">una reducción por el déficit neto de ingresos de </w:t>
      </w:r>
      <w:r w:rsidR="00D76256" w:rsidRPr="00F53E25">
        <w:t>47</w:t>
      </w:r>
      <w:r w:rsidRPr="00F53E25">
        <w:t xml:space="preserve"> 000 francos suizos. En el </w:t>
      </w:r>
      <w:r w:rsidR="00AB4C0D" w:rsidRPr="00F53E25">
        <w:t>Cuadro</w:t>
      </w:r>
      <w:r w:rsidRPr="00F53E25">
        <w:t xml:space="preserve"> 1 se presenta un resumen de los fondos previamente comprometidos</w:t>
      </w:r>
      <w:r w:rsidR="00AA0A72" w:rsidRPr="00F53E25">
        <w:t xml:space="preserve"> o previstos </w:t>
      </w:r>
      <w:r w:rsidRPr="00F53E25">
        <w:t>y</w:t>
      </w:r>
      <w:r w:rsidR="00C51F45" w:rsidRPr="00F53E25">
        <w:t xml:space="preserve"> los fondos</w:t>
      </w:r>
      <w:r w:rsidRPr="00F53E25">
        <w:t xml:space="preserve"> no comprometidos </w:t>
      </w:r>
      <w:r w:rsidR="00404FE5" w:rsidRPr="00F53E25">
        <w:t>traspasados</w:t>
      </w:r>
      <w:r w:rsidRPr="00F53E25">
        <w:t xml:space="preserve"> del presupuesto básico de 20</w:t>
      </w:r>
      <w:r w:rsidR="00D76256" w:rsidRPr="00F53E25">
        <w:t>20</w:t>
      </w:r>
      <w:r w:rsidRPr="00F53E25">
        <w:t>.</w:t>
      </w:r>
    </w:p>
    <w:p w14:paraId="631226B6" w14:textId="77777777" w:rsidR="00AA0A72" w:rsidRPr="00F53E25" w:rsidRDefault="00AA0A72" w:rsidP="00AA0A72">
      <w:pPr>
        <w:pStyle w:val="ListParagraph"/>
      </w:pPr>
    </w:p>
    <w:p w14:paraId="552CF735" w14:textId="031FF2A7" w:rsidR="00030DC9" w:rsidRPr="00F53E25" w:rsidRDefault="00FC40CB" w:rsidP="00AA0A72">
      <w:pPr>
        <w:pStyle w:val="ListParagraph"/>
        <w:numPr>
          <w:ilvl w:val="0"/>
          <w:numId w:val="11"/>
        </w:numPr>
        <w:ind w:left="426" w:hanging="426"/>
      </w:pPr>
      <w:r w:rsidRPr="00F53E25">
        <w:t xml:space="preserve">El </w:t>
      </w:r>
      <w:r w:rsidRPr="00F53E25">
        <w:rPr>
          <w:color w:val="000000" w:themeColor="text1"/>
        </w:rPr>
        <w:t>Comité Permanente, en su decisión SC57-50</w:t>
      </w:r>
      <w:r w:rsidR="00D76256" w:rsidRPr="00F53E25">
        <w:rPr>
          <w:rStyle w:val="FootnoteReference"/>
          <w:color w:val="000000" w:themeColor="text1"/>
        </w:rPr>
        <w:footnoteReference w:id="2"/>
      </w:r>
      <w:r w:rsidRPr="00F53E25">
        <w:rPr>
          <w:color w:val="000000" w:themeColor="text1"/>
        </w:rPr>
        <w:t xml:space="preserve">, decidió que los saldos no comprometidos o no gastados de </w:t>
      </w:r>
      <w:r w:rsidRPr="00F53E25">
        <w:t>las partidas presupuestarias se podrían transferir al año siguiente dentro del trienio y presentar a la siguiente reunión del Subgrupo de Finanzas. Por consiguiente, el total de los saldos no comprometidos o no gastados se</w:t>
      </w:r>
      <w:r w:rsidR="00AA0A72" w:rsidRPr="00F53E25">
        <w:t xml:space="preserve"> ha </w:t>
      </w:r>
      <w:r w:rsidR="00404FE5" w:rsidRPr="00F53E25">
        <w:t>traspasado</w:t>
      </w:r>
      <w:r w:rsidRPr="00F53E25">
        <w:t xml:space="preserve"> a 20</w:t>
      </w:r>
      <w:r w:rsidR="00D76256" w:rsidRPr="00F53E25">
        <w:t>21</w:t>
      </w:r>
      <w:r w:rsidRPr="00F53E25">
        <w:t xml:space="preserve">. </w:t>
      </w:r>
    </w:p>
    <w:p w14:paraId="4E6C1B11" w14:textId="40E278BA" w:rsidR="00C730BF" w:rsidRPr="00F53E25" w:rsidRDefault="00C730BF" w:rsidP="00162710"/>
    <w:p w14:paraId="679F885E" w14:textId="77777777" w:rsidR="00163F72" w:rsidRPr="00F53E25" w:rsidRDefault="00163F72">
      <w:pPr>
        <w:rPr>
          <w:i/>
        </w:rPr>
      </w:pPr>
      <w:r w:rsidRPr="00F53E25">
        <w:br w:type="page"/>
      </w:r>
    </w:p>
    <w:p w14:paraId="0324CA37" w14:textId="70537746" w:rsidR="00E74FC5" w:rsidRPr="00F53E25" w:rsidRDefault="00C946CD" w:rsidP="00162710">
      <w:pPr>
        <w:ind w:left="0" w:firstLine="0"/>
        <w:rPr>
          <w:rFonts w:eastAsia="Times New Roman" w:cs="Calibri"/>
          <w:color w:val="000000"/>
          <w:sz w:val="20"/>
          <w:szCs w:val="20"/>
        </w:rPr>
      </w:pPr>
      <w:r w:rsidRPr="00F53E25">
        <w:rPr>
          <w:i/>
        </w:rPr>
        <w:lastRenderedPageBreak/>
        <w:t xml:space="preserve">Cuadro 1: Resumen de los fondos previamente comprometidos y no comprometidos </w:t>
      </w:r>
      <w:r w:rsidR="00404FE5" w:rsidRPr="00F53E25">
        <w:rPr>
          <w:i/>
          <w:color w:val="000000" w:themeColor="text1"/>
        </w:rPr>
        <w:t>traspasados</w:t>
      </w:r>
      <w:r w:rsidRPr="00F53E25">
        <w:rPr>
          <w:i/>
          <w:color w:val="000000" w:themeColor="text1"/>
        </w:rPr>
        <w:t xml:space="preserve"> </w:t>
      </w:r>
      <w:r w:rsidRPr="00F53E25">
        <w:rPr>
          <w:i/>
        </w:rPr>
        <w:t>del presupuesto básico de 20</w:t>
      </w:r>
      <w:r w:rsidR="00D76256" w:rsidRPr="00F53E25">
        <w:rPr>
          <w:i/>
        </w:rPr>
        <w:t>20</w:t>
      </w:r>
      <w:r w:rsidRPr="00F53E25">
        <w:rPr>
          <w:i/>
        </w:rPr>
        <w:t xml:space="preserve"> (</w:t>
      </w:r>
      <w:r w:rsidR="007F3AAE" w:rsidRPr="00F53E25">
        <w:rPr>
          <w:i/>
        </w:rPr>
        <w:t xml:space="preserve">excepto en la columna de la derecha, </w:t>
      </w:r>
      <w:r w:rsidRPr="00F53E25">
        <w:rPr>
          <w:i/>
        </w:rPr>
        <w:t>e</w:t>
      </w:r>
      <w:r w:rsidR="007F3AAE" w:rsidRPr="00F53E25">
        <w:rPr>
          <w:i/>
        </w:rPr>
        <w:t>xpresados en</w:t>
      </w:r>
      <w:r w:rsidRPr="00F53E25">
        <w:rPr>
          <w:i/>
        </w:rPr>
        <w:t xml:space="preserve"> miles de francos suizos, con posibles diferencias de redondeo)</w:t>
      </w:r>
    </w:p>
    <w:tbl>
      <w:tblPr>
        <w:tblW w:w="9356" w:type="dxa"/>
        <w:tblInd w:w="-147" w:type="dxa"/>
        <w:tblLayout w:type="fixed"/>
        <w:tblCellMar>
          <w:top w:w="28" w:type="dxa"/>
          <w:left w:w="28" w:type="dxa"/>
          <w:bottom w:w="28" w:type="dxa"/>
          <w:right w:w="28" w:type="dxa"/>
        </w:tblCellMar>
        <w:tblLook w:val="04A0" w:firstRow="1" w:lastRow="0" w:firstColumn="1" w:lastColumn="0" w:noHBand="0" w:noVBand="1"/>
      </w:tblPr>
      <w:tblGrid>
        <w:gridCol w:w="1554"/>
        <w:gridCol w:w="1418"/>
        <w:gridCol w:w="1417"/>
        <w:gridCol w:w="1276"/>
        <w:gridCol w:w="3691"/>
      </w:tblGrid>
      <w:tr w:rsidR="00FC40CB" w:rsidRPr="00F53E25" w14:paraId="3EA61A0A" w14:textId="77777777" w:rsidTr="00C02579">
        <w:trPr>
          <w:cantSplit/>
          <w:tblHeader/>
        </w:trPr>
        <w:tc>
          <w:tcPr>
            <w:tcW w:w="1554"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2ED3D6FB" w14:textId="6475E173" w:rsidR="00FC40CB" w:rsidRPr="00F53E25" w:rsidRDefault="00FC40CB" w:rsidP="00D67522">
            <w:pPr>
              <w:ind w:left="0" w:firstLine="0"/>
              <w:jc w:val="center"/>
              <w:rPr>
                <w:rFonts w:asciiTheme="minorHAnsi" w:eastAsia="Times New Roman" w:hAnsiTheme="minorHAnsi" w:cstheme="minorHAnsi"/>
                <w:b/>
                <w:bCs/>
                <w:color w:val="000000"/>
                <w:spacing w:val="-4"/>
                <w:sz w:val="20"/>
                <w:szCs w:val="20"/>
              </w:rPr>
            </w:pPr>
            <w:r w:rsidRPr="00F53E25">
              <w:rPr>
                <w:rFonts w:asciiTheme="minorHAnsi" w:hAnsiTheme="minorHAnsi"/>
                <w:b/>
                <w:bCs/>
                <w:color w:val="000000"/>
                <w:spacing w:val="-4"/>
                <w:sz w:val="20"/>
                <w:szCs w:val="20"/>
              </w:rPr>
              <w:t xml:space="preserve">Categoría </w:t>
            </w:r>
            <w:r w:rsidR="00BD4287" w:rsidRPr="00F53E25">
              <w:rPr>
                <w:rFonts w:asciiTheme="minorHAnsi" w:hAnsiTheme="minorHAnsi"/>
                <w:b/>
                <w:bCs/>
                <w:color w:val="000000"/>
                <w:spacing w:val="-4"/>
                <w:sz w:val="20"/>
                <w:szCs w:val="20"/>
              </w:rPr>
              <w:t>o d</w:t>
            </w:r>
            <w:r w:rsidRPr="00F53E25">
              <w:rPr>
                <w:rFonts w:asciiTheme="minorHAnsi" w:hAnsiTheme="minorHAnsi"/>
                <w:b/>
                <w:bCs/>
                <w:color w:val="000000"/>
                <w:spacing w:val="-4"/>
                <w:sz w:val="20"/>
                <w:szCs w:val="20"/>
              </w:rPr>
              <w:t>epartamento</w:t>
            </w:r>
          </w:p>
        </w:tc>
        <w:tc>
          <w:tcPr>
            <w:tcW w:w="1418" w:type="dxa"/>
            <w:tcBorders>
              <w:top w:val="single" w:sz="4" w:space="0" w:color="auto"/>
              <w:left w:val="nil"/>
              <w:bottom w:val="single" w:sz="4" w:space="0" w:color="auto"/>
              <w:right w:val="single" w:sz="4" w:space="0" w:color="auto"/>
            </w:tcBorders>
            <w:shd w:val="clear" w:color="000000" w:fill="DBE5F1"/>
            <w:vAlign w:val="center"/>
            <w:hideMark/>
          </w:tcPr>
          <w:p w14:paraId="0FEB230B" w14:textId="06C839D0" w:rsidR="00FC40CB" w:rsidRPr="00F53E25" w:rsidRDefault="00FC40CB" w:rsidP="0068105F">
            <w:pPr>
              <w:ind w:left="0" w:firstLine="0"/>
              <w:jc w:val="center"/>
              <w:rPr>
                <w:rFonts w:asciiTheme="minorHAnsi" w:eastAsia="Times New Roman" w:hAnsiTheme="minorHAnsi" w:cstheme="minorHAnsi"/>
                <w:b/>
                <w:bCs/>
                <w:spacing w:val="-4"/>
                <w:sz w:val="20"/>
                <w:szCs w:val="20"/>
              </w:rPr>
            </w:pPr>
            <w:r w:rsidRPr="00F53E25">
              <w:rPr>
                <w:rFonts w:asciiTheme="minorHAnsi" w:hAnsiTheme="minorHAnsi"/>
                <w:b/>
                <w:bCs/>
                <w:color w:val="000000" w:themeColor="text1"/>
                <w:spacing w:val="-4"/>
                <w:sz w:val="20"/>
                <w:szCs w:val="20"/>
              </w:rPr>
              <w:t>Fondos previamente comprometidos</w:t>
            </w:r>
            <w:r w:rsidR="00BD4287" w:rsidRPr="00F53E25">
              <w:rPr>
                <w:rFonts w:asciiTheme="minorHAnsi" w:hAnsiTheme="minorHAnsi"/>
                <w:b/>
                <w:bCs/>
                <w:color w:val="000000" w:themeColor="text1"/>
                <w:spacing w:val="-4"/>
                <w:sz w:val="20"/>
                <w:szCs w:val="20"/>
              </w:rPr>
              <w:t xml:space="preserve"> o previstos</w:t>
            </w:r>
            <w:r w:rsidRPr="00F53E25">
              <w:rPr>
                <w:rFonts w:asciiTheme="minorHAnsi" w:hAnsiTheme="minorHAnsi"/>
                <w:b/>
                <w:bCs/>
                <w:color w:val="000000" w:themeColor="text1"/>
                <w:spacing w:val="-4"/>
                <w:sz w:val="20"/>
                <w:szCs w:val="20"/>
              </w:rPr>
              <w:t xml:space="preserve"> de 20</w:t>
            </w:r>
            <w:r w:rsidR="00D76256" w:rsidRPr="00F53E25">
              <w:rPr>
                <w:rFonts w:asciiTheme="minorHAnsi" w:hAnsiTheme="minorHAnsi"/>
                <w:b/>
                <w:bCs/>
                <w:color w:val="000000" w:themeColor="text1"/>
                <w:spacing w:val="-4"/>
                <w:sz w:val="20"/>
                <w:szCs w:val="20"/>
              </w:rPr>
              <w:t>20</w:t>
            </w:r>
            <w:r w:rsidRPr="00F53E25">
              <w:rPr>
                <w:rFonts w:asciiTheme="minorHAnsi" w:hAnsiTheme="minorHAnsi"/>
                <w:b/>
                <w:bCs/>
                <w:color w:val="000000" w:themeColor="text1"/>
                <w:spacing w:val="-4"/>
                <w:sz w:val="20"/>
                <w:szCs w:val="20"/>
              </w:rPr>
              <w:t xml:space="preserve"> a gastar </w:t>
            </w:r>
            <w:r w:rsidRPr="00F53E25">
              <w:rPr>
                <w:rFonts w:asciiTheme="minorHAnsi" w:hAnsiTheme="minorHAnsi"/>
                <w:b/>
                <w:bCs/>
                <w:spacing w:val="-4"/>
                <w:sz w:val="20"/>
                <w:szCs w:val="20"/>
              </w:rPr>
              <w:t>en 202</w:t>
            </w:r>
            <w:r w:rsidR="00D76256" w:rsidRPr="00F53E25">
              <w:rPr>
                <w:rFonts w:asciiTheme="minorHAnsi" w:hAnsiTheme="minorHAnsi"/>
                <w:b/>
                <w:bCs/>
                <w:spacing w:val="-4"/>
                <w:sz w:val="20"/>
                <w:szCs w:val="20"/>
              </w:rPr>
              <w:t>1</w:t>
            </w:r>
            <w:r w:rsidRPr="00F53E25">
              <w:rPr>
                <w:rFonts w:asciiTheme="minorHAnsi" w:hAnsiTheme="minorHAnsi"/>
                <w:b/>
                <w:bCs/>
                <w:spacing w:val="-4"/>
                <w:sz w:val="20"/>
                <w:szCs w:val="20"/>
              </w:rPr>
              <w:br/>
              <w:t xml:space="preserve"> (A)</w:t>
            </w:r>
          </w:p>
        </w:tc>
        <w:tc>
          <w:tcPr>
            <w:tcW w:w="1417" w:type="dxa"/>
            <w:tcBorders>
              <w:top w:val="single" w:sz="4" w:space="0" w:color="auto"/>
              <w:left w:val="nil"/>
              <w:bottom w:val="single" w:sz="4" w:space="0" w:color="auto"/>
              <w:right w:val="single" w:sz="4" w:space="0" w:color="auto"/>
            </w:tcBorders>
            <w:shd w:val="clear" w:color="000000" w:fill="DBE5F1"/>
            <w:vAlign w:val="center"/>
            <w:hideMark/>
          </w:tcPr>
          <w:p w14:paraId="4AAC17E4" w14:textId="04FB9A81" w:rsidR="00FC40CB" w:rsidRPr="00F53E25" w:rsidRDefault="00FC40CB" w:rsidP="00D67522">
            <w:pPr>
              <w:ind w:left="0" w:firstLine="0"/>
              <w:jc w:val="center"/>
              <w:rPr>
                <w:rFonts w:asciiTheme="minorHAnsi" w:eastAsia="Times New Roman" w:hAnsiTheme="minorHAnsi" w:cstheme="minorHAnsi"/>
                <w:b/>
                <w:bCs/>
                <w:spacing w:val="-4"/>
                <w:sz w:val="20"/>
                <w:szCs w:val="20"/>
              </w:rPr>
            </w:pPr>
            <w:r w:rsidRPr="00F53E25">
              <w:rPr>
                <w:rFonts w:asciiTheme="minorHAnsi" w:hAnsiTheme="minorHAnsi"/>
                <w:b/>
                <w:bCs/>
                <w:spacing w:val="-4"/>
                <w:sz w:val="20"/>
                <w:szCs w:val="20"/>
              </w:rPr>
              <w:t>Fondos no comprometidos de 20</w:t>
            </w:r>
            <w:r w:rsidR="00D76256" w:rsidRPr="00F53E25">
              <w:rPr>
                <w:rFonts w:asciiTheme="minorHAnsi" w:hAnsiTheme="minorHAnsi"/>
                <w:b/>
                <w:bCs/>
                <w:spacing w:val="-4"/>
                <w:sz w:val="20"/>
                <w:szCs w:val="20"/>
              </w:rPr>
              <w:t>20</w:t>
            </w:r>
            <w:r w:rsidRPr="00F53E25">
              <w:rPr>
                <w:rFonts w:asciiTheme="minorHAnsi" w:hAnsiTheme="minorHAnsi"/>
                <w:b/>
                <w:bCs/>
                <w:spacing w:val="-4"/>
                <w:sz w:val="20"/>
                <w:szCs w:val="20"/>
              </w:rPr>
              <w:t xml:space="preserve"> </w:t>
            </w:r>
            <w:r w:rsidR="00404FE5" w:rsidRPr="00F53E25">
              <w:rPr>
                <w:rFonts w:asciiTheme="minorHAnsi" w:hAnsiTheme="minorHAnsi"/>
                <w:b/>
                <w:bCs/>
                <w:spacing w:val="-4"/>
                <w:sz w:val="20"/>
                <w:szCs w:val="20"/>
              </w:rPr>
              <w:t>traspasados</w:t>
            </w:r>
            <w:r w:rsidRPr="00F53E25">
              <w:rPr>
                <w:rFonts w:asciiTheme="minorHAnsi" w:hAnsiTheme="minorHAnsi"/>
                <w:b/>
                <w:bCs/>
                <w:spacing w:val="-4"/>
                <w:sz w:val="20"/>
                <w:szCs w:val="20"/>
              </w:rPr>
              <w:t xml:space="preserve"> a 202</w:t>
            </w:r>
            <w:r w:rsidR="00D76256" w:rsidRPr="00F53E25">
              <w:rPr>
                <w:rFonts w:asciiTheme="minorHAnsi" w:hAnsiTheme="minorHAnsi"/>
                <w:b/>
                <w:bCs/>
                <w:spacing w:val="-4"/>
                <w:sz w:val="20"/>
                <w:szCs w:val="20"/>
              </w:rPr>
              <w:t>1</w:t>
            </w:r>
            <w:r w:rsidRPr="00F53E25">
              <w:rPr>
                <w:rFonts w:asciiTheme="minorHAnsi" w:hAnsiTheme="minorHAnsi"/>
                <w:b/>
                <w:bCs/>
                <w:spacing w:val="-4"/>
                <w:sz w:val="20"/>
                <w:szCs w:val="20"/>
              </w:rPr>
              <w:br/>
              <w:t xml:space="preserve"> (B)</w:t>
            </w:r>
          </w:p>
        </w:tc>
        <w:tc>
          <w:tcPr>
            <w:tcW w:w="1276" w:type="dxa"/>
            <w:tcBorders>
              <w:top w:val="single" w:sz="4" w:space="0" w:color="auto"/>
              <w:left w:val="nil"/>
              <w:bottom w:val="single" w:sz="4" w:space="0" w:color="auto"/>
              <w:right w:val="single" w:sz="4" w:space="0" w:color="auto"/>
            </w:tcBorders>
            <w:shd w:val="clear" w:color="000000" w:fill="DBE5F1"/>
            <w:vAlign w:val="center"/>
            <w:hideMark/>
          </w:tcPr>
          <w:p w14:paraId="471D56D3" w14:textId="47054EF5" w:rsidR="00FC40CB" w:rsidRPr="00F53E25" w:rsidRDefault="00FC40CB" w:rsidP="0068105F">
            <w:pPr>
              <w:ind w:left="0" w:firstLine="0"/>
              <w:jc w:val="center"/>
              <w:rPr>
                <w:rFonts w:asciiTheme="minorHAnsi" w:eastAsia="Times New Roman" w:hAnsiTheme="minorHAnsi" w:cstheme="minorHAnsi"/>
                <w:b/>
                <w:bCs/>
                <w:spacing w:val="-4"/>
                <w:sz w:val="20"/>
                <w:szCs w:val="20"/>
              </w:rPr>
            </w:pPr>
            <w:r w:rsidRPr="00F53E25">
              <w:rPr>
                <w:rFonts w:asciiTheme="minorHAnsi" w:hAnsiTheme="minorHAnsi"/>
                <w:b/>
                <w:bCs/>
                <w:spacing w:val="-4"/>
                <w:sz w:val="20"/>
                <w:szCs w:val="20"/>
              </w:rPr>
              <w:t xml:space="preserve">Fondos </w:t>
            </w:r>
            <w:r w:rsidR="00404FE5" w:rsidRPr="00F53E25">
              <w:rPr>
                <w:rFonts w:asciiTheme="minorHAnsi" w:hAnsiTheme="minorHAnsi"/>
                <w:b/>
                <w:bCs/>
                <w:spacing w:val="-4"/>
                <w:sz w:val="20"/>
                <w:szCs w:val="20"/>
              </w:rPr>
              <w:t>traspasados</w:t>
            </w:r>
            <w:r w:rsidRPr="00F53E25">
              <w:rPr>
                <w:rFonts w:asciiTheme="minorHAnsi" w:hAnsiTheme="minorHAnsi"/>
                <w:b/>
                <w:bCs/>
                <w:spacing w:val="-4"/>
                <w:sz w:val="20"/>
                <w:szCs w:val="20"/>
              </w:rPr>
              <w:t xml:space="preserve"> de 2020</w:t>
            </w:r>
            <w:r w:rsidR="00D76256" w:rsidRPr="00F53E25">
              <w:rPr>
                <w:rFonts w:asciiTheme="minorHAnsi" w:hAnsiTheme="minorHAnsi"/>
                <w:b/>
                <w:bCs/>
                <w:spacing w:val="-4"/>
                <w:sz w:val="20"/>
                <w:szCs w:val="20"/>
              </w:rPr>
              <w:t xml:space="preserve"> a 2021</w:t>
            </w:r>
            <w:r w:rsidRPr="00F53E25">
              <w:rPr>
                <w:rFonts w:asciiTheme="minorHAnsi" w:hAnsiTheme="minorHAnsi"/>
                <w:b/>
                <w:bCs/>
                <w:spacing w:val="-4"/>
                <w:sz w:val="20"/>
                <w:szCs w:val="20"/>
              </w:rPr>
              <w:br/>
              <w:t>(C=A+B)</w:t>
            </w:r>
          </w:p>
        </w:tc>
        <w:tc>
          <w:tcPr>
            <w:tcW w:w="3691" w:type="dxa"/>
            <w:tcBorders>
              <w:top w:val="single" w:sz="4" w:space="0" w:color="auto"/>
              <w:left w:val="nil"/>
              <w:bottom w:val="single" w:sz="4" w:space="0" w:color="auto"/>
              <w:right w:val="single" w:sz="4" w:space="0" w:color="auto"/>
            </w:tcBorders>
            <w:shd w:val="clear" w:color="000000" w:fill="DBE5F1"/>
            <w:noWrap/>
            <w:vAlign w:val="center"/>
            <w:hideMark/>
          </w:tcPr>
          <w:p w14:paraId="4B98C40E" w14:textId="0F195B13" w:rsidR="00FC40CB" w:rsidRPr="00F53E25" w:rsidRDefault="00FC40CB" w:rsidP="00573F8B">
            <w:pPr>
              <w:ind w:left="0" w:firstLine="0"/>
              <w:jc w:val="center"/>
              <w:rPr>
                <w:rFonts w:asciiTheme="minorHAnsi" w:eastAsia="Times New Roman" w:hAnsiTheme="minorHAnsi" w:cstheme="minorHAnsi"/>
                <w:b/>
                <w:bCs/>
                <w:spacing w:val="-4"/>
                <w:sz w:val="20"/>
                <w:szCs w:val="20"/>
              </w:rPr>
            </w:pPr>
            <w:r w:rsidRPr="00F53E25">
              <w:rPr>
                <w:rFonts w:asciiTheme="minorHAnsi" w:hAnsiTheme="minorHAnsi"/>
                <w:b/>
                <w:bCs/>
                <w:color w:val="000000" w:themeColor="text1"/>
                <w:spacing w:val="-4"/>
                <w:sz w:val="20"/>
                <w:szCs w:val="20"/>
              </w:rPr>
              <w:t>Comentarios sobre los fondos previamente comprometidos</w:t>
            </w:r>
            <w:r w:rsidR="00BD4287" w:rsidRPr="00F53E25">
              <w:rPr>
                <w:rFonts w:asciiTheme="minorHAnsi" w:hAnsiTheme="minorHAnsi"/>
                <w:b/>
                <w:bCs/>
                <w:color w:val="000000" w:themeColor="text1"/>
                <w:spacing w:val="-4"/>
                <w:sz w:val="20"/>
                <w:szCs w:val="20"/>
              </w:rPr>
              <w:t xml:space="preserve"> o previstos</w:t>
            </w:r>
            <w:r w:rsidRPr="00F53E25">
              <w:rPr>
                <w:rFonts w:asciiTheme="minorHAnsi" w:hAnsiTheme="minorHAnsi"/>
                <w:b/>
                <w:bCs/>
                <w:color w:val="000000" w:themeColor="text1"/>
                <w:spacing w:val="-4"/>
                <w:sz w:val="20"/>
                <w:szCs w:val="20"/>
              </w:rPr>
              <w:t xml:space="preserve"> </w:t>
            </w:r>
            <w:r w:rsidRPr="00F53E25">
              <w:rPr>
                <w:rFonts w:asciiTheme="minorHAnsi" w:hAnsiTheme="minorHAnsi"/>
                <w:b/>
                <w:bCs/>
                <w:spacing w:val="-4"/>
                <w:sz w:val="20"/>
                <w:szCs w:val="20"/>
              </w:rPr>
              <w:t>y los ahorros</w:t>
            </w:r>
          </w:p>
        </w:tc>
      </w:tr>
      <w:tr w:rsidR="00FC40CB" w:rsidRPr="00F53E25" w14:paraId="2CDD4AD3" w14:textId="77777777" w:rsidTr="00C02579">
        <w:trPr>
          <w:trHeight w:val="990"/>
        </w:trPr>
        <w:tc>
          <w:tcPr>
            <w:tcW w:w="1554" w:type="dxa"/>
            <w:tcBorders>
              <w:top w:val="nil"/>
              <w:left w:val="single" w:sz="4" w:space="0" w:color="auto"/>
              <w:bottom w:val="single" w:sz="4" w:space="0" w:color="auto"/>
              <w:right w:val="single" w:sz="4" w:space="0" w:color="auto"/>
            </w:tcBorders>
            <w:shd w:val="clear" w:color="auto" w:fill="auto"/>
            <w:noWrap/>
            <w:hideMark/>
          </w:tcPr>
          <w:p w14:paraId="0541BA04" w14:textId="0DB5B82D"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themeColor="text1"/>
                <w:sz w:val="20"/>
                <w:szCs w:val="20"/>
              </w:rPr>
              <w:t>Personal directivo</w:t>
            </w:r>
            <w:r w:rsidR="00D76256" w:rsidRPr="00F53E25">
              <w:rPr>
                <w:rFonts w:asciiTheme="minorHAnsi" w:hAnsiTheme="minorHAnsi"/>
                <w:color w:val="000000" w:themeColor="text1"/>
                <w:sz w:val="20"/>
                <w:szCs w:val="20"/>
              </w:rPr>
              <w:t xml:space="preserve"> y gobernanza</w:t>
            </w:r>
          </w:p>
        </w:tc>
        <w:tc>
          <w:tcPr>
            <w:tcW w:w="1418" w:type="dxa"/>
            <w:tcBorders>
              <w:top w:val="nil"/>
              <w:left w:val="nil"/>
              <w:bottom w:val="single" w:sz="4" w:space="0" w:color="auto"/>
              <w:right w:val="single" w:sz="4" w:space="0" w:color="auto"/>
            </w:tcBorders>
            <w:shd w:val="clear" w:color="auto" w:fill="auto"/>
            <w:hideMark/>
          </w:tcPr>
          <w:p w14:paraId="4589F0C3" w14:textId="77777777" w:rsidR="00FC40CB" w:rsidRPr="00F53E25" w:rsidRDefault="00FC40CB"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0</w:t>
            </w:r>
          </w:p>
        </w:tc>
        <w:tc>
          <w:tcPr>
            <w:tcW w:w="1417" w:type="dxa"/>
            <w:tcBorders>
              <w:top w:val="nil"/>
              <w:left w:val="nil"/>
              <w:bottom w:val="single" w:sz="4" w:space="0" w:color="auto"/>
              <w:right w:val="single" w:sz="4" w:space="0" w:color="auto"/>
            </w:tcBorders>
            <w:shd w:val="clear" w:color="auto" w:fill="auto"/>
            <w:hideMark/>
          </w:tcPr>
          <w:p w14:paraId="57E6435A" w14:textId="4C80159B" w:rsidR="00FC40CB" w:rsidRPr="00F53E25" w:rsidRDefault="00FC40CB"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1</w:t>
            </w:r>
            <w:r w:rsidR="00D76256" w:rsidRPr="00F53E25">
              <w:rPr>
                <w:rFonts w:asciiTheme="minorHAnsi" w:hAnsiTheme="minorHAnsi"/>
                <w:color w:val="000000"/>
                <w:sz w:val="20"/>
                <w:szCs w:val="20"/>
              </w:rPr>
              <w:t>75</w:t>
            </w:r>
          </w:p>
        </w:tc>
        <w:tc>
          <w:tcPr>
            <w:tcW w:w="1276" w:type="dxa"/>
            <w:tcBorders>
              <w:top w:val="nil"/>
              <w:left w:val="nil"/>
              <w:bottom w:val="single" w:sz="4" w:space="0" w:color="auto"/>
              <w:right w:val="single" w:sz="4" w:space="0" w:color="auto"/>
            </w:tcBorders>
            <w:shd w:val="clear" w:color="auto" w:fill="auto"/>
            <w:noWrap/>
            <w:hideMark/>
          </w:tcPr>
          <w:p w14:paraId="37B2BDB8" w14:textId="17DA65F4" w:rsidR="00FC40CB" w:rsidRPr="00F53E25" w:rsidRDefault="00FC40CB"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1</w:t>
            </w:r>
            <w:r w:rsidR="00D76256" w:rsidRPr="00F53E25">
              <w:rPr>
                <w:rFonts w:asciiTheme="minorHAnsi" w:hAnsiTheme="minorHAnsi"/>
                <w:color w:val="000000"/>
                <w:sz w:val="20"/>
                <w:szCs w:val="20"/>
              </w:rPr>
              <w:t>75</w:t>
            </w:r>
          </w:p>
        </w:tc>
        <w:tc>
          <w:tcPr>
            <w:tcW w:w="3691" w:type="dxa"/>
            <w:tcBorders>
              <w:top w:val="nil"/>
              <w:left w:val="nil"/>
              <w:bottom w:val="single" w:sz="4" w:space="0" w:color="auto"/>
              <w:right w:val="single" w:sz="4" w:space="0" w:color="auto"/>
            </w:tcBorders>
            <w:shd w:val="clear" w:color="auto" w:fill="auto"/>
            <w:hideMark/>
          </w:tcPr>
          <w:p w14:paraId="5F251681" w14:textId="587F4420" w:rsidR="00FC40CB" w:rsidRPr="00F53E25" w:rsidRDefault="00573F8B" w:rsidP="00D67522">
            <w:pPr>
              <w:ind w:left="0" w:firstLine="0"/>
              <w:rPr>
                <w:rFonts w:asciiTheme="minorHAnsi" w:eastAsia="Times New Roman" w:hAnsiTheme="minorHAnsi" w:cstheme="minorHAnsi"/>
                <w:color w:val="000000"/>
                <w:sz w:val="20"/>
                <w:szCs w:val="20"/>
              </w:rPr>
            </w:pPr>
            <w:r w:rsidRPr="00F53E25">
              <w:rPr>
                <w:rFonts w:asciiTheme="minorHAnsi" w:hAnsiTheme="minorHAnsi"/>
                <w:b/>
                <w:bCs/>
                <w:color w:val="000000"/>
                <w:sz w:val="20"/>
                <w:szCs w:val="20"/>
              </w:rPr>
              <w:t>Ahorros:</w:t>
            </w:r>
            <w:r w:rsidRPr="00F53E25">
              <w:rPr>
                <w:rFonts w:asciiTheme="minorHAnsi" w:hAnsiTheme="minorHAnsi"/>
                <w:color w:val="000000"/>
                <w:sz w:val="20"/>
                <w:szCs w:val="20"/>
              </w:rPr>
              <w:t xml:space="preserve"> </w:t>
            </w:r>
            <w:r w:rsidR="00BD4287" w:rsidRPr="00F53E25">
              <w:rPr>
                <w:rFonts w:asciiTheme="minorHAnsi" w:hAnsiTheme="minorHAnsi"/>
                <w:color w:val="000000"/>
                <w:sz w:val="20"/>
                <w:szCs w:val="20"/>
              </w:rPr>
              <w:t>(</w:t>
            </w:r>
            <w:r w:rsidRPr="00F53E25">
              <w:rPr>
                <w:rFonts w:asciiTheme="minorHAnsi" w:hAnsiTheme="minorHAnsi"/>
                <w:color w:val="000000"/>
                <w:sz w:val="20"/>
                <w:szCs w:val="20"/>
              </w:rPr>
              <w:t>i) vacante de un puesto de</w:t>
            </w:r>
            <w:r w:rsidR="00D76256" w:rsidRPr="00F53E25">
              <w:rPr>
                <w:rFonts w:asciiTheme="minorHAnsi" w:hAnsiTheme="minorHAnsi"/>
                <w:color w:val="000000"/>
                <w:sz w:val="20"/>
                <w:szCs w:val="20"/>
              </w:rPr>
              <w:t xml:space="preserve"> </w:t>
            </w:r>
            <w:r w:rsidR="00BD4287" w:rsidRPr="00F53E25">
              <w:rPr>
                <w:rFonts w:asciiTheme="minorHAnsi" w:hAnsiTheme="minorHAnsi"/>
                <w:color w:val="000000"/>
                <w:sz w:val="20"/>
                <w:szCs w:val="20"/>
              </w:rPr>
              <w:t xml:space="preserve">auxiliar de conferencias </w:t>
            </w:r>
            <w:r w:rsidR="00D76256" w:rsidRPr="00F53E25">
              <w:rPr>
                <w:rFonts w:asciiTheme="minorHAnsi" w:hAnsiTheme="minorHAnsi"/>
                <w:color w:val="000000"/>
                <w:sz w:val="20"/>
                <w:szCs w:val="20"/>
              </w:rPr>
              <w:t>durante la primera</w:t>
            </w:r>
            <w:r w:rsidR="00BD4287" w:rsidRPr="00F53E25">
              <w:rPr>
                <w:rFonts w:asciiTheme="minorHAnsi" w:hAnsiTheme="minorHAnsi"/>
                <w:color w:val="000000"/>
                <w:sz w:val="20"/>
                <w:szCs w:val="20"/>
              </w:rPr>
              <w:t xml:space="preserve"> </w:t>
            </w:r>
            <w:r w:rsidR="00D76256" w:rsidRPr="00F53E25">
              <w:rPr>
                <w:rFonts w:asciiTheme="minorHAnsi" w:hAnsiTheme="minorHAnsi"/>
                <w:color w:val="000000"/>
                <w:sz w:val="20"/>
                <w:szCs w:val="20"/>
              </w:rPr>
              <w:t xml:space="preserve">mitad de 2020, (ii) ajustes en </w:t>
            </w:r>
            <w:r w:rsidR="00BD4287" w:rsidRPr="00F53E25">
              <w:rPr>
                <w:rFonts w:asciiTheme="minorHAnsi" w:hAnsiTheme="minorHAnsi"/>
                <w:color w:val="000000"/>
                <w:sz w:val="20"/>
                <w:szCs w:val="20"/>
              </w:rPr>
              <w:t xml:space="preserve">salarios y prestaciones laborales </w:t>
            </w:r>
            <w:r w:rsidR="00D76256" w:rsidRPr="00F53E25">
              <w:rPr>
                <w:rFonts w:asciiTheme="minorHAnsi" w:hAnsiTheme="minorHAnsi"/>
                <w:color w:val="000000"/>
                <w:sz w:val="20"/>
                <w:szCs w:val="20"/>
              </w:rPr>
              <w:t xml:space="preserve">y (iii) </w:t>
            </w:r>
            <w:r w:rsidR="00BD4287" w:rsidRPr="00F53E25">
              <w:rPr>
                <w:rFonts w:asciiTheme="minorHAnsi" w:hAnsiTheme="minorHAnsi"/>
                <w:color w:val="000000"/>
                <w:sz w:val="20"/>
                <w:szCs w:val="20"/>
              </w:rPr>
              <w:t xml:space="preserve">reducción considerable de los viajes </w:t>
            </w:r>
            <w:r w:rsidR="00D76256" w:rsidRPr="00F53E25">
              <w:rPr>
                <w:rFonts w:asciiTheme="minorHAnsi" w:hAnsiTheme="minorHAnsi"/>
                <w:color w:val="000000"/>
                <w:sz w:val="20"/>
                <w:szCs w:val="20"/>
              </w:rPr>
              <w:t>debido a la pandemia.</w:t>
            </w:r>
          </w:p>
        </w:tc>
      </w:tr>
      <w:tr w:rsidR="00FC40CB" w:rsidRPr="00F53E25" w14:paraId="31DB43DD" w14:textId="77777777" w:rsidTr="00C02579">
        <w:trPr>
          <w:trHeight w:val="225"/>
        </w:trPr>
        <w:tc>
          <w:tcPr>
            <w:tcW w:w="1554" w:type="dxa"/>
            <w:tcBorders>
              <w:top w:val="nil"/>
              <w:left w:val="single" w:sz="4" w:space="0" w:color="auto"/>
              <w:bottom w:val="single" w:sz="4" w:space="0" w:color="auto"/>
              <w:right w:val="single" w:sz="4" w:space="0" w:color="auto"/>
            </w:tcBorders>
            <w:shd w:val="clear" w:color="auto" w:fill="auto"/>
            <w:noWrap/>
            <w:hideMark/>
          </w:tcPr>
          <w:p w14:paraId="408C5313" w14:textId="53CB870B"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 xml:space="preserve">Movilización de </w:t>
            </w:r>
            <w:r w:rsidR="00FA44F9" w:rsidRPr="00F53E25">
              <w:rPr>
                <w:rFonts w:asciiTheme="minorHAnsi" w:hAnsiTheme="minorHAnsi"/>
                <w:color w:val="000000"/>
                <w:sz w:val="20"/>
                <w:szCs w:val="20"/>
              </w:rPr>
              <w:t>r</w:t>
            </w:r>
            <w:r w:rsidRPr="00F53E25">
              <w:rPr>
                <w:rFonts w:asciiTheme="minorHAnsi" w:hAnsiTheme="minorHAnsi"/>
                <w:color w:val="000000"/>
                <w:sz w:val="20"/>
                <w:szCs w:val="20"/>
              </w:rPr>
              <w:t xml:space="preserve">ecursos y </w:t>
            </w:r>
            <w:r w:rsidR="00FA44F9" w:rsidRPr="00F53E25">
              <w:rPr>
                <w:rFonts w:asciiTheme="minorHAnsi" w:hAnsiTheme="minorHAnsi"/>
                <w:color w:val="000000"/>
                <w:sz w:val="20"/>
                <w:szCs w:val="20"/>
              </w:rPr>
              <w:t>p</w:t>
            </w:r>
            <w:r w:rsidRPr="00F53E25">
              <w:rPr>
                <w:rFonts w:asciiTheme="minorHAnsi" w:hAnsiTheme="minorHAnsi"/>
                <w:color w:val="000000"/>
                <w:sz w:val="20"/>
                <w:szCs w:val="20"/>
              </w:rPr>
              <w:t>romoción</w:t>
            </w:r>
          </w:p>
        </w:tc>
        <w:tc>
          <w:tcPr>
            <w:tcW w:w="1418" w:type="dxa"/>
            <w:tcBorders>
              <w:top w:val="nil"/>
              <w:left w:val="nil"/>
              <w:bottom w:val="single" w:sz="4" w:space="0" w:color="auto"/>
              <w:right w:val="single" w:sz="4" w:space="0" w:color="auto"/>
            </w:tcBorders>
            <w:shd w:val="clear" w:color="auto" w:fill="auto"/>
            <w:noWrap/>
            <w:hideMark/>
          </w:tcPr>
          <w:p w14:paraId="625BD23F" w14:textId="2FA7FFB6" w:rsidR="00FC40CB" w:rsidRPr="00F53E25" w:rsidRDefault="00D76256"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164</w:t>
            </w:r>
          </w:p>
        </w:tc>
        <w:tc>
          <w:tcPr>
            <w:tcW w:w="1417" w:type="dxa"/>
            <w:tcBorders>
              <w:top w:val="nil"/>
              <w:left w:val="nil"/>
              <w:bottom w:val="single" w:sz="4" w:space="0" w:color="auto"/>
              <w:right w:val="single" w:sz="4" w:space="0" w:color="auto"/>
            </w:tcBorders>
            <w:shd w:val="clear" w:color="auto" w:fill="auto"/>
            <w:hideMark/>
          </w:tcPr>
          <w:p w14:paraId="779DACA0" w14:textId="5F3D637A" w:rsidR="00FC40CB" w:rsidRPr="00F53E25" w:rsidRDefault="00D76256"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50</w:t>
            </w:r>
          </w:p>
        </w:tc>
        <w:tc>
          <w:tcPr>
            <w:tcW w:w="1276" w:type="dxa"/>
            <w:tcBorders>
              <w:top w:val="nil"/>
              <w:left w:val="nil"/>
              <w:bottom w:val="single" w:sz="4" w:space="0" w:color="auto"/>
              <w:right w:val="single" w:sz="4" w:space="0" w:color="auto"/>
            </w:tcBorders>
            <w:shd w:val="clear" w:color="auto" w:fill="auto"/>
            <w:noWrap/>
            <w:hideMark/>
          </w:tcPr>
          <w:p w14:paraId="76F46BFC" w14:textId="5A565BA1" w:rsidR="00FC40CB" w:rsidRPr="00F53E25" w:rsidRDefault="00D76256"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214</w:t>
            </w:r>
          </w:p>
        </w:tc>
        <w:tc>
          <w:tcPr>
            <w:tcW w:w="3691" w:type="dxa"/>
            <w:tcBorders>
              <w:top w:val="nil"/>
              <w:left w:val="nil"/>
              <w:bottom w:val="single" w:sz="4" w:space="0" w:color="auto"/>
              <w:right w:val="single" w:sz="4" w:space="0" w:color="auto"/>
            </w:tcBorders>
            <w:shd w:val="clear" w:color="auto" w:fill="auto"/>
            <w:hideMark/>
          </w:tcPr>
          <w:p w14:paraId="19DF981D" w14:textId="223A81FB" w:rsidR="00FC40CB" w:rsidRPr="00F53E25" w:rsidRDefault="00573F8B" w:rsidP="009401C8">
            <w:pPr>
              <w:ind w:left="0" w:firstLine="0"/>
              <w:rPr>
                <w:rFonts w:asciiTheme="minorHAnsi" w:eastAsia="Times New Roman" w:hAnsiTheme="minorHAnsi" w:cstheme="minorHAnsi"/>
                <w:color w:val="000000"/>
                <w:spacing w:val="-2"/>
                <w:sz w:val="20"/>
                <w:szCs w:val="20"/>
              </w:rPr>
            </w:pPr>
            <w:r w:rsidRPr="00F53E25">
              <w:rPr>
                <w:rFonts w:asciiTheme="minorHAnsi" w:hAnsiTheme="minorHAnsi"/>
                <w:b/>
                <w:bCs/>
                <w:color w:val="000000"/>
                <w:sz w:val="20"/>
                <w:szCs w:val="20"/>
              </w:rPr>
              <w:t xml:space="preserve">Fondos previamente </w:t>
            </w:r>
            <w:r w:rsidRPr="00F53E25">
              <w:rPr>
                <w:rFonts w:asciiTheme="minorHAnsi" w:hAnsiTheme="minorHAnsi"/>
                <w:b/>
                <w:bCs/>
                <w:color w:val="000000" w:themeColor="text1"/>
                <w:sz w:val="20"/>
                <w:szCs w:val="20"/>
              </w:rPr>
              <w:t>comprometidos</w:t>
            </w:r>
            <w:r w:rsidR="00796EB4" w:rsidRPr="00F53E25">
              <w:rPr>
                <w:rFonts w:asciiTheme="minorHAnsi" w:hAnsiTheme="minorHAnsi"/>
                <w:b/>
                <w:bCs/>
                <w:color w:val="000000" w:themeColor="text1"/>
                <w:sz w:val="20"/>
                <w:szCs w:val="20"/>
              </w:rPr>
              <w:t xml:space="preserve"> o previstos</w:t>
            </w:r>
            <w:r w:rsidRPr="00F53E25">
              <w:rPr>
                <w:rFonts w:asciiTheme="minorHAnsi" w:hAnsiTheme="minorHAnsi"/>
                <w:b/>
                <w:bCs/>
                <w:color w:val="000000" w:themeColor="text1"/>
                <w:sz w:val="20"/>
                <w:szCs w:val="20"/>
              </w:rPr>
              <w:t>:</w:t>
            </w:r>
            <w:r w:rsidRPr="00F53E25">
              <w:rPr>
                <w:rFonts w:asciiTheme="minorHAnsi" w:hAnsiTheme="minorHAnsi"/>
                <w:color w:val="000000" w:themeColor="text1"/>
                <w:sz w:val="20"/>
                <w:szCs w:val="20"/>
              </w:rPr>
              <w:t xml:space="preserve"> </w:t>
            </w:r>
            <w:r w:rsidR="00D76256" w:rsidRPr="00F53E25">
              <w:rPr>
                <w:rFonts w:asciiTheme="minorHAnsi" w:hAnsiTheme="minorHAnsi"/>
                <w:color w:val="000000" w:themeColor="text1"/>
                <w:sz w:val="20"/>
                <w:szCs w:val="20"/>
              </w:rPr>
              <w:t>(</w:t>
            </w:r>
            <w:r w:rsidRPr="00F53E25">
              <w:rPr>
                <w:rFonts w:asciiTheme="minorHAnsi" w:hAnsiTheme="minorHAnsi"/>
                <w:color w:val="000000" w:themeColor="text1"/>
                <w:sz w:val="20"/>
                <w:szCs w:val="20"/>
              </w:rPr>
              <w:t xml:space="preserve">i) servicios </w:t>
            </w:r>
            <w:r w:rsidR="00796EB4" w:rsidRPr="00F53E25">
              <w:rPr>
                <w:rFonts w:asciiTheme="minorHAnsi" w:hAnsiTheme="minorHAnsi"/>
                <w:color w:val="000000" w:themeColor="text1"/>
                <w:sz w:val="20"/>
                <w:szCs w:val="20"/>
              </w:rPr>
              <w:t>informáticos</w:t>
            </w:r>
            <w:r w:rsidR="00FA44F9" w:rsidRPr="00F53E25">
              <w:rPr>
                <w:rFonts w:asciiTheme="minorHAnsi" w:hAnsiTheme="minorHAnsi"/>
                <w:color w:val="000000" w:themeColor="text1"/>
                <w:sz w:val="20"/>
                <w:szCs w:val="20"/>
              </w:rPr>
              <w:t>: 4 000</w:t>
            </w:r>
            <w:r w:rsidRPr="00F53E25">
              <w:rPr>
                <w:rFonts w:asciiTheme="minorHAnsi" w:hAnsiTheme="minorHAnsi"/>
                <w:color w:val="000000"/>
                <w:sz w:val="20"/>
                <w:szCs w:val="20"/>
              </w:rPr>
              <w:t xml:space="preserve">; </w:t>
            </w:r>
            <w:r w:rsidR="00FA44F9" w:rsidRPr="00F53E25">
              <w:rPr>
                <w:rFonts w:asciiTheme="minorHAnsi" w:hAnsiTheme="minorHAnsi"/>
                <w:color w:val="000000"/>
                <w:sz w:val="20"/>
                <w:szCs w:val="20"/>
              </w:rPr>
              <w:t>(</w:t>
            </w:r>
            <w:r w:rsidRPr="00F53E25">
              <w:rPr>
                <w:rFonts w:asciiTheme="minorHAnsi" w:hAnsiTheme="minorHAnsi"/>
                <w:color w:val="000000"/>
                <w:sz w:val="20"/>
                <w:szCs w:val="20"/>
              </w:rPr>
              <w:t>ii)</w:t>
            </w:r>
            <w:r w:rsidR="00D76256" w:rsidRPr="00F53E25">
              <w:rPr>
                <w:rFonts w:asciiTheme="minorHAnsi" w:hAnsiTheme="minorHAnsi"/>
                <w:color w:val="000000"/>
                <w:sz w:val="20"/>
                <w:szCs w:val="20"/>
              </w:rPr>
              <w:t xml:space="preserve"> </w:t>
            </w:r>
            <w:r w:rsidRPr="00F53E25">
              <w:rPr>
                <w:rFonts w:asciiTheme="minorHAnsi" w:hAnsiTheme="minorHAnsi"/>
                <w:color w:val="000000"/>
                <w:sz w:val="20"/>
                <w:szCs w:val="20"/>
              </w:rPr>
              <w:t>DMH y 50° aniversario en 2021</w:t>
            </w:r>
            <w:r w:rsidR="00FA44F9" w:rsidRPr="00F53E25">
              <w:rPr>
                <w:rFonts w:asciiTheme="minorHAnsi" w:hAnsiTheme="minorHAnsi"/>
                <w:color w:val="000000"/>
                <w:sz w:val="20"/>
                <w:szCs w:val="20"/>
              </w:rPr>
              <w:t>: 28 000</w:t>
            </w:r>
            <w:r w:rsidRPr="00F53E25">
              <w:rPr>
                <w:rFonts w:asciiTheme="minorHAnsi" w:hAnsiTheme="minorHAnsi"/>
                <w:color w:val="000000"/>
                <w:sz w:val="20"/>
                <w:szCs w:val="20"/>
              </w:rPr>
              <w:t>,</w:t>
            </w:r>
            <w:r w:rsidR="00D76256" w:rsidRPr="00F53E25">
              <w:rPr>
                <w:rFonts w:asciiTheme="minorHAnsi" w:hAnsiTheme="minorHAnsi"/>
                <w:color w:val="000000"/>
                <w:sz w:val="20"/>
                <w:szCs w:val="20"/>
              </w:rPr>
              <w:t xml:space="preserve"> (iii) Programa de CECoP</w:t>
            </w:r>
            <w:r w:rsidR="00FA44F9" w:rsidRPr="00F53E25">
              <w:rPr>
                <w:rFonts w:asciiTheme="minorHAnsi" w:hAnsiTheme="minorHAnsi"/>
                <w:color w:val="000000"/>
                <w:sz w:val="20"/>
                <w:szCs w:val="20"/>
              </w:rPr>
              <w:t>:</w:t>
            </w:r>
            <w:r w:rsidR="00D76256" w:rsidRPr="00F53E25">
              <w:rPr>
                <w:rFonts w:asciiTheme="minorHAnsi" w:hAnsiTheme="minorHAnsi"/>
                <w:color w:val="000000"/>
                <w:sz w:val="20"/>
                <w:szCs w:val="20"/>
              </w:rPr>
              <w:t xml:space="preserve"> </w:t>
            </w:r>
            <w:r w:rsidR="00FA44F9" w:rsidRPr="00F53E25">
              <w:rPr>
                <w:rFonts w:asciiTheme="minorHAnsi" w:hAnsiTheme="minorHAnsi"/>
                <w:color w:val="000000"/>
                <w:sz w:val="20"/>
                <w:szCs w:val="20"/>
              </w:rPr>
              <w:t xml:space="preserve">53 000 </w:t>
            </w:r>
            <w:r w:rsidR="00D76256" w:rsidRPr="00F53E25">
              <w:rPr>
                <w:rFonts w:asciiTheme="minorHAnsi" w:hAnsiTheme="minorHAnsi"/>
                <w:color w:val="000000"/>
                <w:sz w:val="20"/>
                <w:szCs w:val="20"/>
              </w:rPr>
              <w:t xml:space="preserve">y (vi) comunicaciones, traducciones, publicaciones e informes sobre la aplicación </w:t>
            </w:r>
            <w:r w:rsidR="00796EB4" w:rsidRPr="00F53E25">
              <w:rPr>
                <w:rFonts w:asciiTheme="minorHAnsi" w:hAnsiTheme="minorHAnsi"/>
                <w:color w:val="000000"/>
                <w:sz w:val="20"/>
                <w:szCs w:val="20"/>
              </w:rPr>
              <w:t xml:space="preserve">para utilizarlos en preparación de la </w:t>
            </w:r>
            <w:r w:rsidR="00D76256" w:rsidRPr="00F53E25">
              <w:rPr>
                <w:rFonts w:asciiTheme="minorHAnsi" w:hAnsiTheme="minorHAnsi"/>
                <w:color w:val="000000"/>
                <w:sz w:val="20"/>
                <w:szCs w:val="20"/>
              </w:rPr>
              <w:t>COP14</w:t>
            </w:r>
            <w:r w:rsidR="00FA44F9" w:rsidRPr="00F53E25">
              <w:rPr>
                <w:rFonts w:asciiTheme="minorHAnsi" w:hAnsiTheme="minorHAnsi"/>
                <w:color w:val="000000"/>
                <w:sz w:val="20"/>
                <w:szCs w:val="20"/>
              </w:rPr>
              <w:t>: 79 000</w:t>
            </w:r>
            <w:r w:rsidR="00D76256" w:rsidRPr="00F53E25">
              <w:rPr>
                <w:rFonts w:asciiTheme="minorHAnsi" w:hAnsiTheme="minorHAnsi"/>
                <w:color w:val="000000"/>
                <w:sz w:val="20"/>
                <w:szCs w:val="20"/>
              </w:rPr>
              <w:t>.</w:t>
            </w:r>
            <w:r w:rsidRPr="00F53E25">
              <w:rPr>
                <w:rFonts w:asciiTheme="minorHAnsi" w:hAnsiTheme="minorHAnsi"/>
                <w:color w:val="000000"/>
                <w:sz w:val="20"/>
                <w:szCs w:val="20"/>
              </w:rPr>
              <w:br/>
            </w:r>
            <w:r w:rsidRPr="00F53E25">
              <w:rPr>
                <w:rFonts w:asciiTheme="minorHAnsi" w:hAnsiTheme="minorHAnsi"/>
                <w:b/>
                <w:bCs/>
                <w:sz w:val="20"/>
                <w:szCs w:val="20"/>
              </w:rPr>
              <w:t>Ahorros</w:t>
            </w:r>
            <w:r w:rsidRPr="00F53E25">
              <w:rPr>
                <w:rFonts w:asciiTheme="minorHAnsi" w:hAnsiTheme="minorHAnsi"/>
                <w:sz w:val="20"/>
                <w:szCs w:val="20"/>
              </w:rPr>
              <w:t>:</w:t>
            </w:r>
            <w:r w:rsidRPr="00F53E25">
              <w:rPr>
                <w:rFonts w:asciiTheme="minorHAnsi" w:hAnsiTheme="minorHAnsi"/>
                <w:b/>
                <w:bCs/>
                <w:sz w:val="20"/>
                <w:szCs w:val="20"/>
              </w:rPr>
              <w:t xml:space="preserve"> </w:t>
            </w:r>
            <w:r w:rsidR="00D76256" w:rsidRPr="00F53E25">
              <w:rPr>
                <w:rFonts w:asciiTheme="minorHAnsi" w:hAnsiTheme="minorHAnsi"/>
                <w:sz w:val="20"/>
                <w:szCs w:val="20"/>
              </w:rPr>
              <w:t>(</w:t>
            </w:r>
            <w:r w:rsidRPr="00F53E25">
              <w:rPr>
                <w:rFonts w:asciiTheme="minorHAnsi" w:hAnsiTheme="minorHAnsi"/>
                <w:sz w:val="20"/>
                <w:szCs w:val="20"/>
              </w:rPr>
              <w:t xml:space="preserve">i) </w:t>
            </w:r>
            <w:r w:rsidR="00796EB4" w:rsidRPr="00F53E25">
              <w:rPr>
                <w:rFonts w:asciiTheme="minorHAnsi" w:hAnsiTheme="minorHAnsi"/>
                <w:sz w:val="20"/>
                <w:szCs w:val="20"/>
              </w:rPr>
              <w:t xml:space="preserve">reclasificación del puesto de </w:t>
            </w:r>
            <w:r w:rsidR="00ED25F1" w:rsidRPr="00F53E25">
              <w:rPr>
                <w:rFonts w:asciiTheme="minorHAnsi" w:hAnsiTheme="minorHAnsi"/>
                <w:sz w:val="20"/>
                <w:szCs w:val="20"/>
              </w:rPr>
              <w:t>d</w:t>
            </w:r>
            <w:r w:rsidRPr="00F53E25">
              <w:rPr>
                <w:rFonts w:asciiTheme="minorHAnsi" w:hAnsiTheme="minorHAnsi"/>
                <w:sz w:val="20"/>
                <w:szCs w:val="20"/>
              </w:rPr>
              <w:t xml:space="preserve">irector </w:t>
            </w:r>
            <w:r w:rsidR="00796EB4" w:rsidRPr="00F53E25">
              <w:rPr>
                <w:rFonts w:asciiTheme="minorHAnsi" w:hAnsiTheme="minorHAnsi"/>
                <w:sz w:val="20"/>
                <w:szCs w:val="20"/>
              </w:rPr>
              <w:t>y contratación de un oficial de movilización de recursos en 2020, (ii) otras prestaciones laborales y (iii) reducción de los viajes</w:t>
            </w:r>
            <w:r w:rsidR="00D76256" w:rsidRPr="00F53E25">
              <w:rPr>
                <w:rFonts w:asciiTheme="minorHAnsi" w:hAnsiTheme="minorHAnsi"/>
                <w:sz w:val="20"/>
                <w:szCs w:val="20"/>
              </w:rPr>
              <w:t>.</w:t>
            </w:r>
          </w:p>
        </w:tc>
      </w:tr>
      <w:tr w:rsidR="00FC40CB" w:rsidRPr="00F53E25" w14:paraId="74E49C3A" w14:textId="77777777" w:rsidTr="00C02579">
        <w:trPr>
          <w:trHeight w:val="1170"/>
        </w:trPr>
        <w:tc>
          <w:tcPr>
            <w:tcW w:w="1554" w:type="dxa"/>
            <w:tcBorders>
              <w:top w:val="nil"/>
              <w:left w:val="single" w:sz="4" w:space="0" w:color="auto"/>
              <w:bottom w:val="single" w:sz="4" w:space="0" w:color="auto"/>
              <w:right w:val="single" w:sz="4" w:space="0" w:color="auto"/>
            </w:tcBorders>
            <w:shd w:val="clear" w:color="auto" w:fill="auto"/>
            <w:noWrap/>
            <w:hideMark/>
          </w:tcPr>
          <w:p w14:paraId="43C73905" w14:textId="77777777"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Asesoramiento y apoyo regionales</w:t>
            </w:r>
          </w:p>
        </w:tc>
        <w:tc>
          <w:tcPr>
            <w:tcW w:w="1418" w:type="dxa"/>
            <w:tcBorders>
              <w:top w:val="nil"/>
              <w:left w:val="nil"/>
              <w:bottom w:val="single" w:sz="4" w:space="0" w:color="auto"/>
              <w:right w:val="single" w:sz="4" w:space="0" w:color="auto"/>
            </w:tcBorders>
            <w:shd w:val="clear" w:color="auto" w:fill="auto"/>
            <w:noWrap/>
            <w:hideMark/>
          </w:tcPr>
          <w:p w14:paraId="4CE35673" w14:textId="77777777" w:rsidR="00FC40CB" w:rsidRPr="00F53E25" w:rsidRDefault="00FC40CB"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96</w:t>
            </w:r>
          </w:p>
        </w:tc>
        <w:tc>
          <w:tcPr>
            <w:tcW w:w="1417" w:type="dxa"/>
            <w:tcBorders>
              <w:top w:val="nil"/>
              <w:left w:val="nil"/>
              <w:bottom w:val="single" w:sz="4" w:space="0" w:color="auto"/>
              <w:right w:val="single" w:sz="4" w:space="0" w:color="auto"/>
            </w:tcBorders>
            <w:shd w:val="clear" w:color="auto" w:fill="auto"/>
            <w:hideMark/>
          </w:tcPr>
          <w:p w14:paraId="48784741" w14:textId="3AD76300" w:rsidR="00FC40CB" w:rsidRPr="00F53E25" w:rsidRDefault="00D76256"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225</w:t>
            </w:r>
          </w:p>
        </w:tc>
        <w:tc>
          <w:tcPr>
            <w:tcW w:w="1276" w:type="dxa"/>
            <w:tcBorders>
              <w:top w:val="nil"/>
              <w:left w:val="nil"/>
              <w:bottom w:val="single" w:sz="4" w:space="0" w:color="auto"/>
              <w:right w:val="single" w:sz="4" w:space="0" w:color="auto"/>
            </w:tcBorders>
            <w:shd w:val="clear" w:color="auto" w:fill="auto"/>
            <w:noWrap/>
            <w:hideMark/>
          </w:tcPr>
          <w:p w14:paraId="49525B69" w14:textId="07833D18" w:rsidR="00FC40CB" w:rsidRPr="00F53E25" w:rsidRDefault="00D76256"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321</w:t>
            </w:r>
          </w:p>
        </w:tc>
        <w:tc>
          <w:tcPr>
            <w:tcW w:w="3691" w:type="dxa"/>
            <w:tcBorders>
              <w:top w:val="nil"/>
              <w:left w:val="nil"/>
              <w:bottom w:val="single" w:sz="4" w:space="0" w:color="auto"/>
              <w:right w:val="single" w:sz="4" w:space="0" w:color="auto"/>
            </w:tcBorders>
            <w:shd w:val="clear" w:color="auto" w:fill="auto"/>
            <w:hideMark/>
          </w:tcPr>
          <w:p w14:paraId="778999F7" w14:textId="3609501A" w:rsidR="00FC40CB" w:rsidRPr="00F53E25" w:rsidRDefault="00573F8B" w:rsidP="00D67522">
            <w:pPr>
              <w:ind w:left="0" w:firstLine="0"/>
              <w:rPr>
                <w:rFonts w:asciiTheme="minorHAnsi" w:eastAsia="Times New Roman" w:hAnsiTheme="minorHAnsi" w:cstheme="minorHAnsi"/>
                <w:sz w:val="20"/>
                <w:szCs w:val="20"/>
              </w:rPr>
            </w:pPr>
            <w:r w:rsidRPr="00F53E25">
              <w:rPr>
                <w:rFonts w:asciiTheme="minorHAnsi" w:hAnsiTheme="minorHAnsi"/>
                <w:b/>
                <w:bCs/>
                <w:sz w:val="20"/>
                <w:szCs w:val="20"/>
              </w:rPr>
              <w:t>Fondos previamente comprometidos</w:t>
            </w:r>
            <w:r w:rsidR="00796EB4" w:rsidRPr="00F53E25">
              <w:rPr>
                <w:rFonts w:asciiTheme="minorHAnsi" w:hAnsiTheme="minorHAnsi"/>
                <w:b/>
                <w:bCs/>
                <w:sz w:val="20"/>
                <w:szCs w:val="20"/>
              </w:rPr>
              <w:t xml:space="preserve"> o previstos</w:t>
            </w:r>
            <w:r w:rsidRPr="00F53E25">
              <w:rPr>
                <w:rFonts w:asciiTheme="minorHAnsi" w:hAnsiTheme="minorHAnsi"/>
                <w:b/>
                <w:bCs/>
                <w:sz w:val="20"/>
                <w:szCs w:val="20"/>
              </w:rPr>
              <w:t>:</w:t>
            </w:r>
            <w:r w:rsidRPr="00F53E25">
              <w:rPr>
                <w:rFonts w:asciiTheme="minorHAnsi" w:hAnsiTheme="minorHAnsi"/>
                <w:sz w:val="20"/>
                <w:szCs w:val="20"/>
              </w:rPr>
              <w:t xml:space="preserve"> (i) realización de las Misiones Ramsar de Asesoramiento aplazada</w:t>
            </w:r>
            <w:r w:rsidR="00796EB4" w:rsidRPr="00F53E25">
              <w:rPr>
                <w:rFonts w:asciiTheme="minorHAnsi" w:hAnsiTheme="minorHAnsi"/>
                <w:sz w:val="20"/>
                <w:szCs w:val="20"/>
              </w:rPr>
              <w:t>s a</w:t>
            </w:r>
            <w:r w:rsidRPr="00F53E25">
              <w:rPr>
                <w:rFonts w:asciiTheme="minorHAnsi" w:hAnsiTheme="minorHAnsi"/>
                <w:sz w:val="20"/>
                <w:szCs w:val="20"/>
              </w:rPr>
              <w:t xml:space="preserve"> 202</w:t>
            </w:r>
            <w:r w:rsidR="00D76256" w:rsidRPr="00F53E25">
              <w:rPr>
                <w:rFonts w:asciiTheme="minorHAnsi" w:hAnsiTheme="minorHAnsi"/>
                <w:sz w:val="20"/>
                <w:szCs w:val="20"/>
              </w:rPr>
              <w:t>1</w:t>
            </w:r>
            <w:r w:rsidR="00FA44F9" w:rsidRPr="00F53E25">
              <w:rPr>
                <w:rFonts w:asciiTheme="minorHAnsi" w:hAnsiTheme="minorHAnsi"/>
                <w:sz w:val="20"/>
                <w:szCs w:val="20"/>
              </w:rPr>
              <w:t>: 96 000.</w:t>
            </w:r>
            <w:r w:rsidRPr="00F53E25">
              <w:rPr>
                <w:rFonts w:asciiTheme="minorHAnsi" w:hAnsiTheme="minorHAnsi"/>
                <w:sz w:val="20"/>
                <w:szCs w:val="20"/>
              </w:rPr>
              <w:br/>
            </w:r>
            <w:r w:rsidRPr="00F53E25">
              <w:rPr>
                <w:rFonts w:asciiTheme="minorHAnsi" w:hAnsiTheme="minorHAnsi"/>
                <w:b/>
                <w:bCs/>
                <w:sz w:val="20"/>
                <w:szCs w:val="20"/>
              </w:rPr>
              <w:t>Ahorros:</w:t>
            </w:r>
            <w:r w:rsidR="00796EB4" w:rsidRPr="00F53E25">
              <w:rPr>
                <w:rFonts w:asciiTheme="minorHAnsi" w:hAnsiTheme="minorHAnsi"/>
                <w:b/>
                <w:bCs/>
                <w:sz w:val="20"/>
                <w:szCs w:val="20"/>
              </w:rPr>
              <w:t xml:space="preserve"> </w:t>
            </w:r>
            <w:r w:rsidR="00796EB4" w:rsidRPr="00F53E25">
              <w:rPr>
                <w:rFonts w:asciiTheme="minorHAnsi" w:hAnsiTheme="minorHAnsi"/>
                <w:sz w:val="20"/>
                <w:szCs w:val="20"/>
              </w:rPr>
              <w:t>(i</w:t>
            </w:r>
            <w:r w:rsidRPr="00F53E25">
              <w:rPr>
                <w:rFonts w:asciiTheme="minorHAnsi" w:hAnsiTheme="minorHAnsi"/>
                <w:sz w:val="20"/>
                <w:szCs w:val="20"/>
              </w:rPr>
              <w:t>) vacante</w:t>
            </w:r>
            <w:r w:rsidR="00D76256" w:rsidRPr="00F53E25">
              <w:rPr>
                <w:rFonts w:asciiTheme="minorHAnsi" w:hAnsiTheme="minorHAnsi"/>
                <w:sz w:val="20"/>
                <w:szCs w:val="20"/>
              </w:rPr>
              <w:t xml:space="preserve">s y ajustes; </w:t>
            </w:r>
            <w:r w:rsidRPr="00F53E25">
              <w:rPr>
                <w:rFonts w:asciiTheme="minorHAnsi" w:hAnsiTheme="minorHAnsi"/>
                <w:sz w:val="20"/>
                <w:szCs w:val="20"/>
              </w:rPr>
              <w:t xml:space="preserve">el puesto de asesor regional superior </w:t>
            </w:r>
            <w:r w:rsidR="00D76256" w:rsidRPr="00F53E25">
              <w:rPr>
                <w:rFonts w:asciiTheme="minorHAnsi" w:hAnsiTheme="minorHAnsi"/>
                <w:sz w:val="20"/>
                <w:szCs w:val="20"/>
              </w:rPr>
              <w:t xml:space="preserve">se cubrió a mediados de </w:t>
            </w:r>
            <w:r w:rsidRPr="00F53E25">
              <w:rPr>
                <w:rFonts w:asciiTheme="minorHAnsi" w:hAnsiTheme="minorHAnsi"/>
                <w:sz w:val="20"/>
                <w:szCs w:val="20"/>
              </w:rPr>
              <w:t xml:space="preserve">2020; y </w:t>
            </w:r>
            <w:r w:rsidR="00D76256" w:rsidRPr="00F53E25">
              <w:rPr>
                <w:rFonts w:asciiTheme="minorHAnsi" w:hAnsiTheme="minorHAnsi"/>
                <w:sz w:val="20"/>
                <w:szCs w:val="20"/>
              </w:rPr>
              <w:t>(</w:t>
            </w:r>
            <w:r w:rsidRPr="00F53E25">
              <w:rPr>
                <w:rFonts w:asciiTheme="minorHAnsi" w:hAnsiTheme="minorHAnsi"/>
                <w:sz w:val="20"/>
                <w:szCs w:val="20"/>
              </w:rPr>
              <w:t>ii)</w:t>
            </w:r>
            <w:r w:rsidR="00D76256" w:rsidRPr="00F53E25">
              <w:rPr>
                <w:rFonts w:asciiTheme="minorHAnsi" w:hAnsiTheme="minorHAnsi"/>
                <w:sz w:val="20"/>
                <w:szCs w:val="20"/>
              </w:rPr>
              <w:t xml:space="preserve"> reducción de los</w:t>
            </w:r>
            <w:r w:rsidRPr="00F53E25">
              <w:rPr>
                <w:rFonts w:asciiTheme="minorHAnsi" w:hAnsiTheme="minorHAnsi"/>
                <w:sz w:val="20"/>
                <w:szCs w:val="20"/>
              </w:rPr>
              <w:t xml:space="preserve"> viajes</w:t>
            </w:r>
            <w:r w:rsidR="00D76256" w:rsidRPr="00F53E25">
              <w:rPr>
                <w:rFonts w:asciiTheme="minorHAnsi" w:hAnsiTheme="minorHAnsi"/>
                <w:sz w:val="20"/>
                <w:szCs w:val="20"/>
              </w:rPr>
              <w:t>.</w:t>
            </w:r>
          </w:p>
        </w:tc>
      </w:tr>
      <w:tr w:rsidR="00FC40CB" w:rsidRPr="00F53E25" w14:paraId="506816AE" w14:textId="77777777" w:rsidTr="00C02579">
        <w:trPr>
          <w:trHeight w:val="864"/>
        </w:trPr>
        <w:tc>
          <w:tcPr>
            <w:tcW w:w="1554" w:type="dxa"/>
            <w:tcBorders>
              <w:top w:val="nil"/>
              <w:left w:val="single" w:sz="4" w:space="0" w:color="auto"/>
              <w:bottom w:val="single" w:sz="4" w:space="0" w:color="auto"/>
              <w:right w:val="single" w:sz="4" w:space="0" w:color="auto"/>
            </w:tcBorders>
            <w:shd w:val="clear" w:color="auto" w:fill="auto"/>
            <w:noWrap/>
            <w:hideMark/>
          </w:tcPr>
          <w:p w14:paraId="014A54E3" w14:textId="0AC49F5B"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 xml:space="preserve">Apoyo a las </w:t>
            </w:r>
            <w:r w:rsidR="00796EB4" w:rsidRPr="00F53E25">
              <w:rPr>
                <w:rFonts w:asciiTheme="minorHAnsi" w:hAnsiTheme="minorHAnsi"/>
                <w:color w:val="000000"/>
                <w:sz w:val="20"/>
                <w:szCs w:val="20"/>
              </w:rPr>
              <w:t>i</w:t>
            </w:r>
            <w:r w:rsidRPr="00F53E25">
              <w:rPr>
                <w:rFonts w:asciiTheme="minorHAnsi" w:hAnsiTheme="minorHAnsi"/>
                <w:color w:val="000000"/>
                <w:sz w:val="20"/>
                <w:szCs w:val="20"/>
              </w:rPr>
              <w:t xml:space="preserve">niciativas </w:t>
            </w:r>
            <w:r w:rsidR="00796EB4" w:rsidRPr="00F53E25">
              <w:rPr>
                <w:rFonts w:asciiTheme="minorHAnsi" w:hAnsiTheme="minorHAnsi"/>
                <w:color w:val="000000"/>
                <w:sz w:val="20"/>
                <w:szCs w:val="20"/>
              </w:rPr>
              <w:t>r</w:t>
            </w:r>
            <w:r w:rsidRPr="00F53E25">
              <w:rPr>
                <w:rFonts w:asciiTheme="minorHAnsi" w:hAnsiTheme="minorHAnsi"/>
                <w:color w:val="000000"/>
                <w:sz w:val="20"/>
                <w:szCs w:val="20"/>
              </w:rPr>
              <w:t>egionales de Ramsar</w:t>
            </w:r>
          </w:p>
        </w:tc>
        <w:tc>
          <w:tcPr>
            <w:tcW w:w="1418" w:type="dxa"/>
            <w:tcBorders>
              <w:top w:val="nil"/>
              <w:left w:val="nil"/>
              <w:bottom w:val="single" w:sz="4" w:space="0" w:color="auto"/>
              <w:right w:val="single" w:sz="4" w:space="0" w:color="auto"/>
            </w:tcBorders>
            <w:shd w:val="clear" w:color="auto" w:fill="auto"/>
            <w:hideMark/>
          </w:tcPr>
          <w:p w14:paraId="1BA726AA" w14:textId="3F5222B9" w:rsidR="00FC40CB" w:rsidRPr="00F53E25" w:rsidRDefault="00D76256"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9</w:t>
            </w:r>
            <w:r w:rsidR="00FC40CB" w:rsidRPr="00F53E25">
              <w:rPr>
                <w:rFonts w:asciiTheme="minorHAnsi" w:hAnsiTheme="minorHAnsi"/>
                <w:sz w:val="20"/>
                <w:szCs w:val="20"/>
              </w:rPr>
              <w:t>7</w:t>
            </w:r>
          </w:p>
        </w:tc>
        <w:tc>
          <w:tcPr>
            <w:tcW w:w="1417" w:type="dxa"/>
            <w:tcBorders>
              <w:top w:val="nil"/>
              <w:left w:val="nil"/>
              <w:bottom w:val="single" w:sz="4" w:space="0" w:color="auto"/>
              <w:right w:val="single" w:sz="4" w:space="0" w:color="auto"/>
            </w:tcBorders>
            <w:shd w:val="clear" w:color="auto" w:fill="auto"/>
            <w:hideMark/>
          </w:tcPr>
          <w:p w14:paraId="768302F3" w14:textId="77777777" w:rsidR="00FC40CB" w:rsidRPr="00F53E25" w:rsidRDefault="00FC40CB"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0</w:t>
            </w:r>
          </w:p>
        </w:tc>
        <w:tc>
          <w:tcPr>
            <w:tcW w:w="1276" w:type="dxa"/>
            <w:tcBorders>
              <w:top w:val="nil"/>
              <w:left w:val="nil"/>
              <w:bottom w:val="single" w:sz="4" w:space="0" w:color="auto"/>
              <w:right w:val="single" w:sz="4" w:space="0" w:color="auto"/>
            </w:tcBorders>
            <w:shd w:val="clear" w:color="auto" w:fill="auto"/>
            <w:noWrap/>
            <w:hideMark/>
          </w:tcPr>
          <w:p w14:paraId="1B151CA7" w14:textId="74F747C8" w:rsidR="00FC40CB" w:rsidRPr="00F53E25" w:rsidRDefault="00D76256"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97</w:t>
            </w:r>
          </w:p>
        </w:tc>
        <w:tc>
          <w:tcPr>
            <w:tcW w:w="3691" w:type="dxa"/>
            <w:tcBorders>
              <w:top w:val="nil"/>
              <w:left w:val="nil"/>
              <w:bottom w:val="single" w:sz="4" w:space="0" w:color="auto"/>
              <w:right w:val="single" w:sz="4" w:space="0" w:color="auto"/>
            </w:tcBorders>
            <w:shd w:val="clear" w:color="auto" w:fill="auto"/>
            <w:hideMark/>
          </w:tcPr>
          <w:p w14:paraId="13F8F1FC" w14:textId="2E6D190D" w:rsidR="00FC40CB" w:rsidRPr="00F53E25" w:rsidRDefault="00573F8B" w:rsidP="009401C8">
            <w:pPr>
              <w:ind w:left="0" w:firstLine="0"/>
              <w:rPr>
                <w:rFonts w:asciiTheme="minorHAnsi" w:eastAsia="Times New Roman" w:hAnsiTheme="minorHAnsi" w:cstheme="minorHAnsi"/>
                <w:sz w:val="20"/>
                <w:szCs w:val="20"/>
              </w:rPr>
            </w:pPr>
            <w:r w:rsidRPr="00F53E25">
              <w:rPr>
                <w:rFonts w:asciiTheme="minorHAnsi" w:hAnsiTheme="minorHAnsi"/>
                <w:b/>
                <w:bCs/>
                <w:sz w:val="20"/>
                <w:szCs w:val="20"/>
              </w:rPr>
              <w:t>Fondos previamente comprometidos</w:t>
            </w:r>
            <w:r w:rsidR="00796EB4" w:rsidRPr="00F53E25">
              <w:rPr>
                <w:rFonts w:asciiTheme="minorHAnsi" w:hAnsiTheme="minorHAnsi"/>
                <w:b/>
                <w:bCs/>
                <w:sz w:val="20"/>
                <w:szCs w:val="20"/>
              </w:rPr>
              <w:t xml:space="preserve"> o previstos</w:t>
            </w:r>
            <w:r w:rsidRPr="00F53E25">
              <w:rPr>
                <w:rFonts w:asciiTheme="minorHAnsi" w:hAnsiTheme="minorHAnsi"/>
                <w:b/>
                <w:bCs/>
                <w:sz w:val="20"/>
                <w:szCs w:val="20"/>
              </w:rPr>
              <w:t>:</w:t>
            </w:r>
            <w:r w:rsidRPr="00F53E25">
              <w:rPr>
                <w:rFonts w:asciiTheme="minorHAnsi" w:hAnsiTheme="minorHAnsi"/>
                <w:sz w:val="20"/>
                <w:szCs w:val="20"/>
              </w:rPr>
              <w:t xml:space="preserve"> continúa la ejecución en 202</w:t>
            </w:r>
            <w:r w:rsidR="00D76256" w:rsidRPr="00F53E25">
              <w:rPr>
                <w:rFonts w:asciiTheme="minorHAnsi" w:hAnsiTheme="minorHAnsi"/>
                <w:sz w:val="20"/>
                <w:szCs w:val="20"/>
              </w:rPr>
              <w:t>1</w:t>
            </w:r>
            <w:r w:rsidR="00663780" w:rsidRPr="00F53E25">
              <w:rPr>
                <w:rFonts w:asciiTheme="minorHAnsi" w:hAnsiTheme="minorHAnsi"/>
                <w:sz w:val="20"/>
                <w:szCs w:val="20"/>
              </w:rPr>
              <w:t xml:space="preserve"> de</w:t>
            </w:r>
            <w:r w:rsidRPr="00F53E25">
              <w:rPr>
                <w:rFonts w:asciiTheme="minorHAnsi" w:hAnsiTheme="minorHAnsi"/>
                <w:sz w:val="20"/>
                <w:szCs w:val="20"/>
              </w:rPr>
              <w:t xml:space="preserve"> (i) Grupo de </w:t>
            </w:r>
            <w:r w:rsidR="00B96DF7" w:rsidRPr="00F53E25">
              <w:rPr>
                <w:rFonts w:asciiTheme="minorHAnsi" w:hAnsiTheme="minorHAnsi"/>
                <w:sz w:val="20"/>
                <w:szCs w:val="20"/>
              </w:rPr>
              <w:t>t</w:t>
            </w:r>
            <w:r w:rsidRPr="00F53E25">
              <w:rPr>
                <w:rFonts w:asciiTheme="minorHAnsi" w:hAnsiTheme="minorHAnsi"/>
                <w:sz w:val="20"/>
                <w:szCs w:val="20"/>
              </w:rPr>
              <w:t>rabajo sobre las IRR</w:t>
            </w:r>
            <w:r w:rsidR="00CF5595" w:rsidRPr="00F53E25">
              <w:rPr>
                <w:rFonts w:asciiTheme="minorHAnsi" w:hAnsiTheme="minorHAnsi"/>
                <w:sz w:val="20"/>
                <w:szCs w:val="20"/>
              </w:rPr>
              <w:t xml:space="preserve"> (</w:t>
            </w:r>
            <w:r w:rsidRPr="00F53E25">
              <w:rPr>
                <w:rFonts w:asciiTheme="minorHAnsi" w:hAnsiTheme="minorHAnsi"/>
                <w:sz w:val="20"/>
                <w:szCs w:val="20"/>
              </w:rPr>
              <w:t>Res</w:t>
            </w:r>
            <w:r w:rsidR="00CF5595" w:rsidRPr="00F53E25">
              <w:rPr>
                <w:rFonts w:asciiTheme="minorHAnsi" w:hAnsiTheme="minorHAnsi"/>
                <w:sz w:val="20"/>
                <w:szCs w:val="20"/>
              </w:rPr>
              <w:t>olución</w:t>
            </w:r>
            <w:r w:rsidRPr="00F53E25">
              <w:rPr>
                <w:rFonts w:asciiTheme="minorHAnsi" w:hAnsiTheme="minorHAnsi"/>
                <w:sz w:val="20"/>
                <w:szCs w:val="20"/>
              </w:rPr>
              <w:t xml:space="preserve"> XIII.9</w:t>
            </w:r>
            <w:r w:rsidR="00CF5595" w:rsidRPr="00F53E25">
              <w:rPr>
                <w:rFonts w:asciiTheme="minorHAnsi" w:hAnsiTheme="minorHAnsi"/>
                <w:sz w:val="20"/>
                <w:szCs w:val="20"/>
              </w:rPr>
              <w:t>,</w:t>
            </w:r>
            <w:r w:rsidRPr="00F53E25">
              <w:rPr>
                <w:rFonts w:asciiTheme="minorHAnsi" w:hAnsiTheme="minorHAnsi"/>
                <w:sz w:val="20"/>
                <w:szCs w:val="20"/>
              </w:rPr>
              <w:t xml:space="preserve"> párrafo</w:t>
            </w:r>
            <w:r w:rsidR="00CF5595" w:rsidRPr="00F53E25">
              <w:rPr>
                <w:rFonts w:asciiTheme="minorHAnsi" w:hAnsiTheme="minorHAnsi"/>
                <w:sz w:val="20"/>
                <w:szCs w:val="20"/>
              </w:rPr>
              <w:t>s</w:t>
            </w:r>
            <w:r w:rsidRPr="00F53E25">
              <w:rPr>
                <w:rFonts w:asciiTheme="minorHAnsi" w:hAnsiTheme="minorHAnsi"/>
                <w:sz w:val="20"/>
                <w:szCs w:val="20"/>
              </w:rPr>
              <w:t xml:space="preserve"> 9</w:t>
            </w:r>
            <w:r w:rsidR="00CF5595" w:rsidRPr="00F53E25">
              <w:rPr>
                <w:rFonts w:asciiTheme="minorHAnsi" w:hAnsiTheme="minorHAnsi"/>
                <w:sz w:val="20"/>
                <w:szCs w:val="20"/>
              </w:rPr>
              <w:t xml:space="preserve"> y 10</w:t>
            </w:r>
            <w:r w:rsidR="00FA44F9" w:rsidRPr="00F53E25">
              <w:rPr>
                <w:rFonts w:asciiTheme="minorHAnsi" w:hAnsiTheme="minorHAnsi"/>
                <w:sz w:val="20"/>
                <w:szCs w:val="20"/>
              </w:rPr>
              <w:t>): 21 000</w:t>
            </w:r>
            <w:r w:rsidRPr="00F53E25">
              <w:rPr>
                <w:rFonts w:asciiTheme="minorHAnsi" w:hAnsiTheme="minorHAnsi"/>
                <w:sz w:val="20"/>
                <w:szCs w:val="20"/>
              </w:rPr>
              <w:t>; y (ii) IRR de la cuenca del Amazonas</w:t>
            </w:r>
            <w:r w:rsidR="00FA44F9" w:rsidRPr="00F53E25">
              <w:rPr>
                <w:rFonts w:asciiTheme="minorHAnsi" w:hAnsiTheme="minorHAnsi"/>
                <w:sz w:val="20"/>
                <w:szCs w:val="20"/>
              </w:rPr>
              <w:t>: 76 000.</w:t>
            </w:r>
          </w:p>
        </w:tc>
      </w:tr>
      <w:tr w:rsidR="00FC40CB" w:rsidRPr="00F53E25" w14:paraId="1F8D334B" w14:textId="77777777" w:rsidTr="00C02579">
        <w:trPr>
          <w:trHeight w:val="864"/>
        </w:trPr>
        <w:tc>
          <w:tcPr>
            <w:tcW w:w="1554" w:type="dxa"/>
            <w:tcBorders>
              <w:top w:val="nil"/>
              <w:left w:val="single" w:sz="4" w:space="0" w:color="auto"/>
              <w:bottom w:val="single" w:sz="4" w:space="0" w:color="auto"/>
              <w:right w:val="single" w:sz="4" w:space="0" w:color="auto"/>
            </w:tcBorders>
            <w:shd w:val="clear" w:color="auto" w:fill="auto"/>
            <w:noWrap/>
            <w:hideMark/>
          </w:tcPr>
          <w:p w14:paraId="443AEBA6" w14:textId="77777777"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Servicios científicos y técnicos</w:t>
            </w:r>
          </w:p>
        </w:tc>
        <w:tc>
          <w:tcPr>
            <w:tcW w:w="1418" w:type="dxa"/>
            <w:tcBorders>
              <w:top w:val="nil"/>
              <w:left w:val="nil"/>
              <w:bottom w:val="single" w:sz="4" w:space="0" w:color="auto"/>
              <w:right w:val="single" w:sz="4" w:space="0" w:color="auto"/>
            </w:tcBorders>
            <w:shd w:val="clear" w:color="auto" w:fill="auto"/>
            <w:hideMark/>
          </w:tcPr>
          <w:p w14:paraId="236F225D" w14:textId="53DEAC93" w:rsidR="00FC40CB" w:rsidRPr="00F53E25" w:rsidRDefault="00FC40CB"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w:t>
            </w:r>
            <w:r w:rsidR="00CF5595" w:rsidRPr="00F53E25">
              <w:rPr>
                <w:rFonts w:asciiTheme="minorHAnsi" w:hAnsiTheme="minorHAnsi"/>
                <w:sz w:val="20"/>
                <w:szCs w:val="20"/>
              </w:rPr>
              <w:t>14</w:t>
            </w:r>
          </w:p>
        </w:tc>
        <w:tc>
          <w:tcPr>
            <w:tcW w:w="1417" w:type="dxa"/>
            <w:tcBorders>
              <w:top w:val="nil"/>
              <w:left w:val="nil"/>
              <w:bottom w:val="single" w:sz="4" w:space="0" w:color="auto"/>
              <w:right w:val="single" w:sz="4" w:space="0" w:color="auto"/>
            </w:tcBorders>
            <w:shd w:val="clear" w:color="auto" w:fill="auto"/>
            <w:hideMark/>
          </w:tcPr>
          <w:p w14:paraId="79860234" w14:textId="2828802C" w:rsidR="00FC40CB" w:rsidRPr="00F53E25" w:rsidRDefault="00CF5595"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328</w:t>
            </w:r>
          </w:p>
        </w:tc>
        <w:tc>
          <w:tcPr>
            <w:tcW w:w="1276" w:type="dxa"/>
            <w:tcBorders>
              <w:top w:val="nil"/>
              <w:left w:val="nil"/>
              <w:bottom w:val="single" w:sz="4" w:space="0" w:color="auto"/>
              <w:right w:val="single" w:sz="4" w:space="0" w:color="auto"/>
            </w:tcBorders>
            <w:shd w:val="clear" w:color="auto" w:fill="auto"/>
            <w:noWrap/>
            <w:hideMark/>
          </w:tcPr>
          <w:p w14:paraId="250F7C7A" w14:textId="5F93EC5A" w:rsidR="00FC40CB" w:rsidRPr="00F53E25" w:rsidRDefault="00CF5595"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442</w:t>
            </w:r>
          </w:p>
        </w:tc>
        <w:tc>
          <w:tcPr>
            <w:tcW w:w="3691" w:type="dxa"/>
            <w:tcBorders>
              <w:top w:val="nil"/>
              <w:left w:val="nil"/>
              <w:bottom w:val="single" w:sz="4" w:space="0" w:color="auto"/>
              <w:right w:val="single" w:sz="4" w:space="0" w:color="auto"/>
            </w:tcBorders>
            <w:shd w:val="clear" w:color="auto" w:fill="auto"/>
            <w:hideMark/>
          </w:tcPr>
          <w:p w14:paraId="5DAE67AA" w14:textId="77777777" w:rsidR="00B075A9" w:rsidRPr="00F53E25" w:rsidRDefault="00573F8B" w:rsidP="00D67522">
            <w:pPr>
              <w:ind w:left="0" w:firstLine="0"/>
              <w:rPr>
                <w:rFonts w:asciiTheme="minorHAnsi" w:hAnsiTheme="minorHAnsi"/>
                <w:sz w:val="20"/>
                <w:szCs w:val="20"/>
              </w:rPr>
            </w:pPr>
            <w:r w:rsidRPr="00F53E25">
              <w:rPr>
                <w:rFonts w:asciiTheme="minorHAnsi" w:hAnsiTheme="minorHAnsi"/>
                <w:b/>
                <w:bCs/>
                <w:sz w:val="20"/>
                <w:szCs w:val="20"/>
              </w:rPr>
              <w:t>Fondos previamente comprometidos</w:t>
            </w:r>
            <w:r w:rsidR="00663780" w:rsidRPr="00F53E25">
              <w:rPr>
                <w:rFonts w:asciiTheme="minorHAnsi" w:hAnsiTheme="minorHAnsi"/>
                <w:b/>
                <w:bCs/>
                <w:sz w:val="20"/>
                <w:szCs w:val="20"/>
              </w:rPr>
              <w:t xml:space="preserve"> o previstos</w:t>
            </w:r>
            <w:r w:rsidRPr="00F53E25">
              <w:rPr>
                <w:rFonts w:asciiTheme="minorHAnsi" w:hAnsiTheme="minorHAnsi"/>
                <w:b/>
                <w:bCs/>
                <w:sz w:val="20"/>
                <w:szCs w:val="20"/>
              </w:rPr>
              <w:t>:</w:t>
            </w:r>
            <w:r w:rsidRPr="00F53E25">
              <w:rPr>
                <w:rFonts w:asciiTheme="minorHAnsi" w:hAnsiTheme="minorHAnsi"/>
                <w:sz w:val="20"/>
                <w:szCs w:val="20"/>
              </w:rPr>
              <w:t xml:space="preserve"> </w:t>
            </w:r>
            <w:r w:rsidR="00663780" w:rsidRPr="00F53E25">
              <w:rPr>
                <w:rFonts w:asciiTheme="minorHAnsi" w:hAnsiTheme="minorHAnsi"/>
                <w:sz w:val="20"/>
                <w:szCs w:val="20"/>
              </w:rPr>
              <w:t>(i) otras prestaciones laborales</w:t>
            </w:r>
            <w:r w:rsidR="00FA44F9" w:rsidRPr="00F53E25">
              <w:rPr>
                <w:rFonts w:asciiTheme="minorHAnsi" w:hAnsiTheme="minorHAnsi"/>
                <w:sz w:val="20"/>
                <w:szCs w:val="20"/>
              </w:rPr>
              <w:t xml:space="preserve">: </w:t>
            </w:r>
          </w:p>
          <w:p w14:paraId="00AFD6E2" w14:textId="21192BB4" w:rsidR="00663780" w:rsidRPr="00F53E25" w:rsidRDefault="00FA44F9" w:rsidP="00D67522">
            <w:pPr>
              <w:ind w:left="0" w:firstLine="0"/>
              <w:rPr>
                <w:rFonts w:asciiTheme="minorHAnsi" w:hAnsiTheme="minorHAnsi"/>
                <w:sz w:val="20"/>
                <w:szCs w:val="20"/>
              </w:rPr>
            </w:pPr>
            <w:r w:rsidRPr="00F53E25">
              <w:rPr>
                <w:rFonts w:asciiTheme="minorHAnsi" w:hAnsiTheme="minorHAnsi"/>
                <w:sz w:val="20"/>
                <w:szCs w:val="20"/>
              </w:rPr>
              <w:t>7 000</w:t>
            </w:r>
            <w:r w:rsidR="00663780" w:rsidRPr="00F53E25">
              <w:rPr>
                <w:rFonts w:asciiTheme="minorHAnsi" w:hAnsiTheme="minorHAnsi"/>
                <w:sz w:val="20"/>
                <w:szCs w:val="20"/>
              </w:rPr>
              <w:t>, (ii) labor del GECT</w:t>
            </w:r>
            <w:r w:rsidRPr="00F53E25">
              <w:rPr>
                <w:rFonts w:asciiTheme="minorHAnsi" w:hAnsiTheme="minorHAnsi"/>
                <w:sz w:val="20"/>
                <w:szCs w:val="20"/>
              </w:rPr>
              <w:t>:</w:t>
            </w:r>
            <w:r w:rsidR="00663780" w:rsidRPr="00F53E25">
              <w:rPr>
                <w:rFonts w:asciiTheme="minorHAnsi" w:hAnsiTheme="minorHAnsi"/>
                <w:sz w:val="20"/>
                <w:szCs w:val="20"/>
              </w:rPr>
              <w:t xml:space="preserve"> </w:t>
            </w:r>
            <w:r w:rsidRPr="00F53E25">
              <w:rPr>
                <w:rFonts w:asciiTheme="minorHAnsi" w:hAnsiTheme="minorHAnsi"/>
                <w:sz w:val="20"/>
                <w:szCs w:val="20"/>
              </w:rPr>
              <w:t xml:space="preserve">35 000 </w:t>
            </w:r>
            <w:r w:rsidR="00663780" w:rsidRPr="00F53E25">
              <w:rPr>
                <w:rFonts w:asciiTheme="minorHAnsi" w:hAnsiTheme="minorHAnsi"/>
                <w:sz w:val="20"/>
                <w:szCs w:val="20"/>
              </w:rPr>
              <w:t>y (iii) c</w:t>
            </w:r>
            <w:r w:rsidR="00573F8B" w:rsidRPr="00F53E25">
              <w:rPr>
                <w:rFonts w:asciiTheme="minorHAnsi" w:hAnsiTheme="minorHAnsi"/>
                <w:sz w:val="20"/>
                <w:szCs w:val="20"/>
              </w:rPr>
              <w:t>ontinúa la ejecución en 202</w:t>
            </w:r>
            <w:r w:rsidR="00663780" w:rsidRPr="00F53E25">
              <w:rPr>
                <w:rFonts w:asciiTheme="minorHAnsi" w:hAnsiTheme="minorHAnsi"/>
                <w:sz w:val="20"/>
                <w:szCs w:val="20"/>
              </w:rPr>
              <w:t>1 de los inventarios</w:t>
            </w:r>
            <w:r w:rsidRPr="00F53E25">
              <w:rPr>
                <w:rFonts w:asciiTheme="minorHAnsi" w:hAnsiTheme="minorHAnsi"/>
                <w:sz w:val="20"/>
                <w:szCs w:val="20"/>
              </w:rPr>
              <w:t>: 72 000</w:t>
            </w:r>
            <w:r w:rsidR="00663780" w:rsidRPr="00F53E25">
              <w:rPr>
                <w:rFonts w:asciiTheme="minorHAnsi" w:hAnsiTheme="minorHAnsi"/>
                <w:sz w:val="20"/>
                <w:szCs w:val="20"/>
              </w:rPr>
              <w:t>.</w:t>
            </w:r>
          </w:p>
          <w:p w14:paraId="5E272A43" w14:textId="34BD7A88" w:rsidR="00FC40CB" w:rsidRPr="00F53E25" w:rsidRDefault="00573F8B" w:rsidP="00D67522">
            <w:pPr>
              <w:ind w:left="0" w:firstLine="0"/>
              <w:rPr>
                <w:rFonts w:asciiTheme="minorHAnsi" w:eastAsia="Times New Roman" w:hAnsiTheme="minorHAnsi" w:cstheme="minorHAnsi"/>
                <w:sz w:val="20"/>
                <w:szCs w:val="20"/>
              </w:rPr>
            </w:pPr>
            <w:r w:rsidRPr="00F53E25">
              <w:rPr>
                <w:rFonts w:asciiTheme="minorHAnsi" w:hAnsiTheme="minorHAnsi"/>
                <w:b/>
                <w:bCs/>
                <w:sz w:val="20"/>
                <w:szCs w:val="20"/>
              </w:rPr>
              <w:t>Ahorros</w:t>
            </w:r>
            <w:r w:rsidRPr="00F53E25">
              <w:rPr>
                <w:rFonts w:asciiTheme="minorHAnsi" w:hAnsiTheme="minorHAnsi"/>
                <w:sz w:val="20"/>
                <w:szCs w:val="20"/>
              </w:rPr>
              <w:t xml:space="preserve">: </w:t>
            </w:r>
            <w:r w:rsidR="00663780" w:rsidRPr="00F53E25">
              <w:rPr>
                <w:rFonts w:asciiTheme="minorHAnsi" w:hAnsiTheme="minorHAnsi"/>
                <w:sz w:val="20"/>
                <w:szCs w:val="20"/>
              </w:rPr>
              <w:t xml:space="preserve">(i) puesto vacante de Director de Ciencia y Políticas, (ii) reducción de los viajes, (iii) </w:t>
            </w:r>
            <w:r w:rsidR="00E62DAF" w:rsidRPr="00F53E25">
              <w:rPr>
                <w:rFonts w:asciiTheme="minorHAnsi" w:hAnsiTheme="minorHAnsi"/>
                <w:sz w:val="20"/>
                <w:szCs w:val="20"/>
              </w:rPr>
              <w:t>trabajo</w:t>
            </w:r>
            <w:r w:rsidR="00663780" w:rsidRPr="00F53E25">
              <w:rPr>
                <w:rFonts w:asciiTheme="minorHAnsi" w:hAnsiTheme="minorHAnsi"/>
                <w:sz w:val="20"/>
                <w:szCs w:val="20"/>
              </w:rPr>
              <w:t xml:space="preserve"> y reuniones del GECT, ya que la reunión presencial del GECT no se pudo celebrar y (iv) Servicio de Información sobre Sitios Ramsar.</w:t>
            </w:r>
          </w:p>
        </w:tc>
      </w:tr>
      <w:tr w:rsidR="00FC40CB" w:rsidRPr="00F53E25" w14:paraId="10B67DC5" w14:textId="77777777" w:rsidTr="00C02579">
        <w:trPr>
          <w:trHeight w:val="1125"/>
        </w:trPr>
        <w:tc>
          <w:tcPr>
            <w:tcW w:w="1554" w:type="dxa"/>
            <w:tcBorders>
              <w:top w:val="nil"/>
              <w:left w:val="single" w:sz="4" w:space="0" w:color="auto"/>
              <w:bottom w:val="single" w:sz="4" w:space="0" w:color="auto"/>
              <w:right w:val="single" w:sz="4" w:space="0" w:color="auto"/>
            </w:tcBorders>
            <w:shd w:val="clear" w:color="auto" w:fill="auto"/>
            <w:noWrap/>
            <w:hideMark/>
          </w:tcPr>
          <w:p w14:paraId="06F58DC1" w14:textId="6EB98AC7"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lastRenderedPageBreak/>
              <w:t xml:space="preserve">Administración / </w:t>
            </w:r>
            <w:r w:rsidR="00B075A9" w:rsidRPr="00F53E25">
              <w:rPr>
                <w:rFonts w:asciiTheme="minorHAnsi" w:hAnsiTheme="minorHAnsi"/>
                <w:color w:val="000000"/>
                <w:sz w:val="20"/>
                <w:szCs w:val="20"/>
              </w:rPr>
              <w:t>sitio w</w:t>
            </w:r>
            <w:r w:rsidRPr="00F53E25">
              <w:rPr>
                <w:rFonts w:asciiTheme="minorHAnsi" w:hAnsiTheme="minorHAnsi"/>
                <w:color w:val="000000"/>
                <w:sz w:val="20"/>
                <w:szCs w:val="20"/>
              </w:rPr>
              <w:t>eb</w:t>
            </w:r>
          </w:p>
        </w:tc>
        <w:tc>
          <w:tcPr>
            <w:tcW w:w="1418" w:type="dxa"/>
            <w:tcBorders>
              <w:top w:val="nil"/>
              <w:left w:val="nil"/>
              <w:bottom w:val="single" w:sz="4" w:space="0" w:color="auto"/>
              <w:right w:val="single" w:sz="4" w:space="0" w:color="auto"/>
            </w:tcBorders>
            <w:shd w:val="clear" w:color="auto" w:fill="auto"/>
            <w:noWrap/>
            <w:hideMark/>
          </w:tcPr>
          <w:p w14:paraId="154BDFDC" w14:textId="2CED9B9E"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95</w:t>
            </w:r>
          </w:p>
        </w:tc>
        <w:tc>
          <w:tcPr>
            <w:tcW w:w="1417" w:type="dxa"/>
            <w:tcBorders>
              <w:top w:val="nil"/>
              <w:left w:val="nil"/>
              <w:bottom w:val="single" w:sz="4" w:space="0" w:color="auto"/>
              <w:right w:val="single" w:sz="4" w:space="0" w:color="auto"/>
            </w:tcBorders>
            <w:shd w:val="clear" w:color="auto" w:fill="auto"/>
            <w:hideMark/>
          </w:tcPr>
          <w:p w14:paraId="1AD7BDFC" w14:textId="234419C7" w:rsidR="00FC40CB" w:rsidRPr="00F53E25" w:rsidRDefault="00FC40CB"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w:t>
            </w:r>
            <w:r w:rsidR="00EC2A94" w:rsidRPr="00F53E25">
              <w:rPr>
                <w:rFonts w:asciiTheme="minorHAnsi" w:hAnsiTheme="minorHAnsi"/>
                <w:sz w:val="20"/>
                <w:szCs w:val="20"/>
              </w:rPr>
              <w:t>6</w:t>
            </w:r>
          </w:p>
        </w:tc>
        <w:tc>
          <w:tcPr>
            <w:tcW w:w="1276" w:type="dxa"/>
            <w:tcBorders>
              <w:top w:val="nil"/>
              <w:left w:val="nil"/>
              <w:bottom w:val="single" w:sz="4" w:space="0" w:color="auto"/>
              <w:right w:val="single" w:sz="4" w:space="0" w:color="auto"/>
            </w:tcBorders>
            <w:shd w:val="clear" w:color="auto" w:fill="auto"/>
            <w:noWrap/>
            <w:hideMark/>
          </w:tcPr>
          <w:p w14:paraId="61A035D3" w14:textId="2A41FD8C"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111</w:t>
            </w:r>
          </w:p>
        </w:tc>
        <w:tc>
          <w:tcPr>
            <w:tcW w:w="3691" w:type="dxa"/>
            <w:tcBorders>
              <w:top w:val="nil"/>
              <w:left w:val="nil"/>
              <w:bottom w:val="single" w:sz="4" w:space="0" w:color="auto"/>
              <w:right w:val="single" w:sz="4" w:space="0" w:color="auto"/>
            </w:tcBorders>
            <w:shd w:val="clear" w:color="auto" w:fill="auto"/>
            <w:hideMark/>
          </w:tcPr>
          <w:p w14:paraId="5A3DD237" w14:textId="4AE4B030" w:rsidR="00FC40CB" w:rsidRPr="00F53E25" w:rsidRDefault="00573F8B" w:rsidP="00CB0294">
            <w:pPr>
              <w:ind w:left="0" w:firstLine="0"/>
              <w:rPr>
                <w:rFonts w:asciiTheme="minorHAnsi" w:eastAsia="Times New Roman" w:hAnsiTheme="minorHAnsi" w:cstheme="minorHAnsi"/>
                <w:sz w:val="20"/>
                <w:szCs w:val="20"/>
              </w:rPr>
            </w:pPr>
            <w:r w:rsidRPr="00F53E25">
              <w:rPr>
                <w:rFonts w:asciiTheme="minorHAnsi" w:hAnsiTheme="minorHAnsi"/>
                <w:b/>
                <w:bCs/>
                <w:sz w:val="20"/>
                <w:szCs w:val="20"/>
              </w:rPr>
              <w:t>Fondos previamente comprometidos</w:t>
            </w:r>
            <w:r w:rsidR="00EC2A94" w:rsidRPr="00F53E25">
              <w:rPr>
                <w:rFonts w:asciiTheme="minorHAnsi" w:hAnsiTheme="minorHAnsi"/>
                <w:b/>
                <w:bCs/>
                <w:sz w:val="20"/>
                <w:szCs w:val="20"/>
              </w:rPr>
              <w:t xml:space="preserve"> o previstos</w:t>
            </w:r>
            <w:r w:rsidRPr="00F53E25">
              <w:rPr>
                <w:rFonts w:asciiTheme="minorHAnsi" w:hAnsiTheme="minorHAnsi"/>
                <w:b/>
                <w:bCs/>
                <w:sz w:val="20"/>
                <w:szCs w:val="20"/>
              </w:rPr>
              <w:t>:</w:t>
            </w:r>
            <w:r w:rsidRPr="00F53E25">
              <w:rPr>
                <w:rFonts w:asciiTheme="minorHAnsi" w:hAnsiTheme="minorHAnsi"/>
                <w:sz w:val="20"/>
                <w:szCs w:val="20"/>
              </w:rPr>
              <w:t xml:space="preserve"> </w:t>
            </w:r>
            <w:r w:rsidR="00EC2A94" w:rsidRPr="00F53E25">
              <w:rPr>
                <w:rFonts w:asciiTheme="minorHAnsi" w:hAnsiTheme="minorHAnsi"/>
                <w:sz w:val="20"/>
                <w:szCs w:val="20"/>
              </w:rPr>
              <w:t>(i) costos de contratación y separación del personal</w:t>
            </w:r>
            <w:r w:rsidR="00B075A9" w:rsidRPr="00F53E25">
              <w:rPr>
                <w:rFonts w:asciiTheme="minorHAnsi" w:hAnsiTheme="minorHAnsi"/>
                <w:sz w:val="20"/>
                <w:szCs w:val="20"/>
              </w:rPr>
              <w:t>:</w:t>
            </w:r>
            <w:r w:rsidR="00EC2A94" w:rsidRPr="00F53E25">
              <w:rPr>
                <w:rFonts w:asciiTheme="minorHAnsi" w:hAnsiTheme="minorHAnsi"/>
                <w:sz w:val="20"/>
                <w:szCs w:val="20"/>
              </w:rPr>
              <w:t xml:space="preserve"> </w:t>
            </w:r>
            <w:r w:rsidR="00B075A9" w:rsidRPr="00F53E25">
              <w:rPr>
                <w:rFonts w:asciiTheme="minorHAnsi" w:hAnsiTheme="minorHAnsi"/>
                <w:sz w:val="20"/>
                <w:szCs w:val="20"/>
              </w:rPr>
              <w:t xml:space="preserve">10 000 </w:t>
            </w:r>
            <w:r w:rsidR="00EC2A94" w:rsidRPr="00F53E25">
              <w:rPr>
                <w:rFonts w:asciiTheme="minorHAnsi" w:hAnsiTheme="minorHAnsi"/>
                <w:sz w:val="20"/>
                <w:szCs w:val="20"/>
              </w:rPr>
              <w:t xml:space="preserve">y (ii) plan de </w:t>
            </w:r>
            <w:r w:rsidRPr="00F53E25">
              <w:rPr>
                <w:rFonts w:asciiTheme="minorHAnsi" w:hAnsiTheme="minorHAnsi"/>
                <w:sz w:val="20"/>
                <w:szCs w:val="20"/>
              </w:rPr>
              <w:t>creación de capacidad que se ejecutará en los tres años del trienio</w:t>
            </w:r>
            <w:r w:rsidR="00B075A9" w:rsidRPr="00F53E25">
              <w:rPr>
                <w:rFonts w:asciiTheme="minorHAnsi" w:hAnsiTheme="minorHAnsi"/>
                <w:sz w:val="20"/>
                <w:szCs w:val="20"/>
              </w:rPr>
              <w:t>: 85 000</w:t>
            </w:r>
            <w:r w:rsidR="00EC2A94" w:rsidRPr="00F53E25">
              <w:rPr>
                <w:rFonts w:asciiTheme="minorHAnsi" w:hAnsiTheme="minorHAnsi"/>
                <w:sz w:val="20"/>
                <w:szCs w:val="20"/>
              </w:rPr>
              <w:t>.</w:t>
            </w:r>
            <w:r w:rsidRPr="00F53E25">
              <w:rPr>
                <w:rFonts w:asciiTheme="minorHAnsi" w:hAnsiTheme="minorHAnsi"/>
                <w:sz w:val="20"/>
                <w:szCs w:val="20"/>
              </w:rPr>
              <w:br/>
            </w:r>
            <w:r w:rsidRPr="00F53E25">
              <w:rPr>
                <w:rFonts w:asciiTheme="minorHAnsi" w:hAnsiTheme="minorHAnsi"/>
                <w:b/>
                <w:bCs/>
                <w:sz w:val="20"/>
                <w:szCs w:val="20"/>
              </w:rPr>
              <w:t>Ahorros</w:t>
            </w:r>
            <w:r w:rsidRPr="00F53E25">
              <w:rPr>
                <w:rFonts w:asciiTheme="minorHAnsi" w:hAnsiTheme="minorHAnsi"/>
                <w:sz w:val="20"/>
                <w:szCs w:val="20"/>
              </w:rPr>
              <w:t xml:space="preserve">: </w:t>
            </w:r>
            <w:r w:rsidR="00EC2A94" w:rsidRPr="00F53E25">
              <w:rPr>
                <w:rFonts w:asciiTheme="minorHAnsi" w:hAnsiTheme="minorHAnsi"/>
                <w:sz w:val="20"/>
                <w:szCs w:val="20"/>
              </w:rPr>
              <w:t>(</w:t>
            </w:r>
            <w:r w:rsidRPr="00F53E25">
              <w:rPr>
                <w:rFonts w:asciiTheme="minorHAnsi" w:hAnsiTheme="minorHAnsi"/>
                <w:sz w:val="20"/>
                <w:szCs w:val="20"/>
              </w:rPr>
              <w:t>i) material y equipo de oficina</w:t>
            </w:r>
            <w:r w:rsidR="00EC2A94" w:rsidRPr="00F53E25">
              <w:rPr>
                <w:rFonts w:asciiTheme="minorHAnsi" w:hAnsiTheme="minorHAnsi"/>
                <w:sz w:val="20"/>
                <w:szCs w:val="20"/>
              </w:rPr>
              <w:t>.</w:t>
            </w:r>
            <w:r w:rsidRPr="00F53E25">
              <w:rPr>
                <w:rFonts w:asciiTheme="minorHAnsi" w:hAnsiTheme="minorHAnsi"/>
                <w:sz w:val="20"/>
                <w:szCs w:val="20"/>
              </w:rPr>
              <w:t xml:space="preserve"> </w:t>
            </w:r>
          </w:p>
        </w:tc>
      </w:tr>
      <w:tr w:rsidR="00FC40CB" w:rsidRPr="00F53E25" w14:paraId="7C732F5D" w14:textId="77777777" w:rsidTr="00C02579">
        <w:trPr>
          <w:trHeight w:val="864"/>
        </w:trPr>
        <w:tc>
          <w:tcPr>
            <w:tcW w:w="1554" w:type="dxa"/>
            <w:tcBorders>
              <w:top w:val="nil"/>
              <w:left w:val="single" w:sz="4" w:space="0" w:color="auto"/>
              <w:bottom w:val="single" w:sz="4" w:space="0" w:color="auto"/>
              <w:right w:val="single" w:sz="4" w:space="0" w:color="auto"/>
            </w:tcBorders>
            <w:shd w:val="clear" w:color="auto" w:fill="auto"/>
            <w:noWrap/>
            <w:hideMark/>
          </w:tcPr>
          <w:p w14:paraId="4403B6B9" w14:textId="77777777"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Servicios para el Comité Permanente</w:t>
            </w:r>
          </w:p>
        </w:tc>
        <w:tc>
          <w:tcPr>
            <w:tcW w:w="1418" w:type="dxa"/>
            <w:tcBorders>
              <w:top w:val="nil"/>
              <w:left w:val="nil"/>
              <w:bottom w:val="single" w:sz="4" w:space="0" w:color="auto"/>
              <w:right w:val="single" w:sz="4" w:space="0" w:color="auto"/>
            </w:tcBorders>
            <w:shd w:val="clear" w:color="auto" w:fill="auto"/>
            <w:hideMark/>
          </w:tcPr>
          <w:p w14:paraId="5D85ADF9" w14:textId="3E341E4D"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17</w:t>
            </w:r>
          </w:p>
        </w:tc>
        <w:tc>
          <w:tcPr>
            <w:tcW w:w="1417" w:type="dxa"/>
            <w:tcBorders>
              <w:top w:val="nil"/>
              <w:left w:val="nil"/>
              <w:bottom w:val="single" w:sz="4" w:space="0" w:color="auto"/>
              <w:right w:val="single" w:sz="4" w:space="0" w:color="auto"/>
            </w:tcBorders>
            <w:shd w:val="clear" w:color="auto" w:fill="auto"/>
            <w:hideMark/>
          </w:tcPr>
          <w:p w14:paraId="6C701055" w14:textId="2116886D"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83</w:t>
            </w:r>
          </w:p>
        </w:tc>
        <w:tc>
          <w:tcPr>
            <w:tcW w:w="1276" w:type="dxa"/>
            <w:tcBorders>
              <w:top w:val="nil"/>
              <w:left w:val="nil"/>
              <w:bottom w:val="single" w:sz="4" w:space="0" w:color="auto"/>
              <w:right w:val="single" w:sz="4" w:space="0" w:color="auto"/>
            </w:tcBorders>
            <w:shd w:val="clear" w:color="auto" w:fill="auto"/>
            <w:noWrap/>
            <w:hideMark/>
          </w:tcPr>
          <w:p w14:paraId="222F75C8" w14:textId="6D8A9221"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100</w:t>
            </w:r>
          </w:p>
        </w:tc>
        <w:tc>
          <w:tcPr>
            <w:tcW w:w="3691" w:type="dxa"/>
            <w:tcBorders>
              <w:top w:val="nil"/>
              <w:left w:val="nil"/>
              <w:bottom w:val="single" w:sz="4" w:space="0" w:color="auto"/>
              <w:right w:val="single" w:sz="4" w:space="0" w:color="auto"/>
            </w:tcBorders>
            <w:shd w:val="clear" w:color="auto" w:fill="auto"/>
            <w:hideMark/>
          </w:tcPr>
          <w:p w14:paraId="6123F359" w14:textId="0EF93882" w:rsidR="008F4DF9" w:rsidRPr="00F53E25" w:rsidRDefault="00573F8B" w:rsidP="008F4DF9">
            <w:pPr>
              <w:ind w:left="0" w:firstLine="0"/>
              <w:rPr>
                <w:rFonts w:asciiTheme="minorHAnsi" w:hAnsiTheme="minorHAnsi"/>
                <w:sz w:val="20"/>
                <w:szCs w:val="20"/>
              </w:rPr>
            </w:pPr>
            <w:r w:rsidRPr="00F53E25">
              <w:rPr>
                <w:rFonts w:asciiTheme="minorHAnsi" w:hAnsiTheme="minorHAnsi"/>
                <w:b/>
                <w:bCs/>
                <w:sz w:val="20"/>
                <w:szCs w:val="20"/>
              </w:rPr>
              <w:t>Fondos previamente comprometidos</w:t>
            </w:r>
            <w:r w:rsidR="00EC2A94" w:rsidRPr="00F53E25">
              <w:rPr>
                <w:rFonts w:asciiTheme="minorHAnsi" w:hAnsiTheme="minorHAnsi"/>
                <w:b/>
                <w:bCs/>
                <w:sz w:val="20"/>
                <w:szCs w:val="20"/>
              </w:rPr>
              <w:t xml:space="preserve"> o previstos</w:t>
            </w:r>
            <w:r w:rsidRPr="00F53E25">
              <w:rPr>
                <w:rFonts w:asciiTheme="minorHAnsi" w:hAnsiTheme="minorHAnsi"/>
                <w:b/>
                <w:bCs/>
                <w:sz w:val="20"/>
                <w:szCs w:val="20"/>
              </w:rPr>
              <w:t>:</w:t>
            </w:r>
            <w:r w:rsidRPr="00F53E25">
              <w:rPr>
                <w:rFonts w:asciiTheme="minorHAnsi" w:hAnsiTheme="minorHAnsi"/>
                <w:sz w:val="20"/>
                <w:szCs w:val="20"/>
              </w:rPr>
              <w:t xml:space="preserve"> </w:t>
            </w:r>
            <w:r w:rsidR="006D4727" w:rsidRPr="00F53E25">
              <w:rPr>
                <w:rFonts w:asciiTheme="minorHAnsi" w:hAnsiTheme="minorHAnsi"/>
                <w:sz w:val="20"/>
                <w:szCs w:val="20"/>
              </w:rPr>
              <w:br/>
            </w:r>
            <w:r w:rsidR="008F4DF9" w:rsidRPr="00F53E25">
              <w:rPr>
                <w:rFonts w:asciiTheme="minorHAnsi" w:hAnsiTheme="minorHAnsi"/>
                <w:sz w:val="20"/>
                <w:szCs w:val="20"/>
              </w:rPr>
              <w:t xml:space="preserve">i) Grupo de </w:t>
            </w:r>
            <w:r w:rsidR="00B075A9" w:rsidRPr="00F53E25">
              <w:rPr>
                <w:rFonts w:asciiTheme="minorHAnsi" w:hAnsiTheme="minorHAnsi"/>
                <w:color w:val="000000" w:themeColor="text1"/>
                <w:sz w:val="20"/>
                <w:szCs w:val="20"/>
              </w:rPr>
              <w:t>t</w:t>
            </w:r>
            <w:r w:rsidR="008F4DF9" w:rsidRPr="00F53E25">
              <w:rPr>
                <w:rFonts w:asciiTheme="minorHAnsi" w:hAnsiTheme="minorHAnsi"/>
                <w:color w:val="000000" w:themeColor="text1"/>
                <w:sz w:val="20"/>
                <w:szCs w:val="20"/>
              </w:rPr>
              <w:t xml:space="preserve">rabajo sobre la </w:t>
            </w:r>
            <w:r w:rsidR="00B075A9" w:rsidRPr="00F53E25">
              <w:rPr>
                <w:rFonts w:asciiTheme="minorHAnsi" w:hAnsiTheme="minorHAnsi"/>
                <w:color w:val="000000" w:themeColor="text1"/>
                <w:sz w:val="20"/>
                <w:szCs w:val="20"/>
              </w:rPr>
              <w:t>e</w:t>
            </w:r>
            <w:r w:rsidR="008F4DF9" w:rsidRPr="00F53E25">
              <w:rPr>
                <w:rFonts w:asciiTheme="minorHAnsi" w:hAnsiTheme="minorHAnsi"/>
                <w:color w:val="000000" w:themeColor="text1"/>
                <w:sz w:val="20"/>
                <w:szCs w:val="20"/>
              </w:rPr>
              <w:t xml:space="preserve">ficacia: </w:t>
            </w:r>
            <w:r w:rsidR="00B075A9" w:rsidRPr="00F53E25">
              <w:rPr>
                <w:rFonts w:asciiTheme="minorHAnsi" w:hAnsiTheme="minorHAnsi"/>
                <w:color w:val="000000" w:themeColor="text1"/>
                <w:sz w:val="20"/>
                <w:szCs w:val="20"/>
              </w:rPr>
              <w:t xml:space="preserve">14 000 </w:t>
            </w:r>
            <w:r w:rsidR="008F4DF9" w:rsidRPr="00F53E25">
              <w:rPr>
                <w:rFonts w:asciiTheme="minorHAnsi" w:hAnsiTheme="minorHAnsi"/>
                <w:color w:val="000000" w:themeColor="text1"/>
                <w:sz w:val="20"/>
                <w:szCs w:val="20"/>
              </w:rPr>
              <w:t xml:space="preserve">y ii) </w:t>
            </w:r>
            <w:r w:rsidR="00EC2A94" w:rsidRPr="00F53E25">
              <w:rPr>
                <w:rFonts w:asciiTheme="minorHAnsi" w:hAnsiTheme="minorHAnsi"/>
                <w:color w:val="000000" w:themeColor="text1"/>
                <w:sz w:val="20"/>
                <w:szCs w:val="20"/>
              </w:rPr>
              <w:t>e</w:t>
            </w:r>
            <w:r w:rsidR="008F4DF9" w:rsidRPr="00F53E25">
              <w:rPr>
                <w:rFonts w:asciiTheme="minorHAnsi" w:hAnsiTheme="minorHAnsi"/>
                <w:color w:val="000000" w:themeColor="text1"/>
                <w:sz w:val="20"/>
                <w:szCs w:val="20"/>
              </w:rPr>
              <w:t xml:space="preserve">xamen de </w:t>
            </w:r>
            <w:r w:rsidR="00EC2A94" w:rsidRPr="00F53E25">
              <w:rPr>
                <w:rFonts w:asciiTheme="minorHAnsi" w:hAnsiTheme="minorHAnsi"/>
                <w:color w:val="000000" w:themeColor="text1"/>
                <w:sz w:val="20"/>
                <w:szCs w:val="20"/>
              </w:rPr>
              <w:t xml:space="preserve">las </w:t>
            </w:r>
            <w:r w:rsidR="008F4DF9" w:rsidRPr="00F53E25">
              <w:rPr>
                <w:rFonts w:asciiTheme="minorHAnsi" w:hAnsiTheme="minorHAnsi"/>
                <w:color w:val="000000" w:themeColor="text1"/>
                <w:sz w:val="20"/>
                <w:szCs w:val="20"/>
              </w:rPr>
              <w:t>resoluciones (Res</w:t>
            </w:r>
            <w:r w:rsidR="00EC2A94" w:rsidRPr="00F53E25">
              <w:rPr>
                <w:rFonts w:asciiTheme="minorHAnsi" w:hAnsiTheme="minorHAnsi"/>
                <w:color w:val="000000" w:themeColor="text1"/>
                <w:sz w:val="20"/>
                <w:szCs w:val="20"/>
              </w:rPr>
              <w:t>olución</w:t>
            </w:r>
            <w:r w:rsidR="008F4DF9" w:rsidRPr="00F53E25">
              <w:rPr>
                <w:rFonts w:asciiTheme="minorHAnsi" w:hAnsiTheme="minorHAnsi"/>
                <w:color w:val="000000" w:themeColor="text1"/>
                <w:sz w:val="20"/>
                <w:szCs w:val="20"/>
              </w:rPr>
              <w:t xml:space="preserve"> </w:t>
            </w:r>
            <w:r w:rsidR="008F4DF9" w:rsidRPr="00F53E25">
              <w:rPr>
                <w:rFonts w:asciiTheme="minorHAnsi" w:hAnsiTheme="minorHAnsi"/>
                <w:sz w:val="20"/>
                <w:szCs w:val="20"/>
              </w:rPr>
              <w:t>XIII.4)</w:t>
            </w:r>
            <w:r w:rsidR="00B075A9" w:rsidRPr="00F53E25">
              <w:rPr>
                <w:rFonts w:asciiTheme="minorHAnsi" w:hAnsiTheme="minorHAnsi"/>
                <w:sz w:val="20"/>
                <w:szCs w:val="20"/>
              </w:rPr>
              <w:t xml:space="preserve">: </w:t>
            </w:r>
            <w:r w:rsidR="00B075A9" w:rsidRPr="00F53E25">
              <w:rPr>
                <w:rFonts w:asciiTheme="minorHAnsi" w:hAnsiTheme="minorHAnsi"/>
                <w:color w:val="000000" w:themeColor="text1"/>
                <w:sz w:val="20"/>
                <w:szCs w:val="20"/>
              </w:rPr>
              <w:t>3 000.</w:t>
            </w:r>
          </w:p>
          <w:p w14:paraId="11C63886" w14:textId="32600562" w:rsidR="00FC40CB" w:rsidRPr="00F53E25" w:rsidRDefault="008F4DF9" w:rsidP="008F4DF9">
            <w:pPr>
              <w:ind w:left="0" w:firstLine="0"/>
              <w:rPr>
                <w:rFonts w:asciiTheme="minorHAnsi" w:eastAsia="Times New Roman" w:hAnsiTheme="minorHAnsi" w:cstheme="minorHAnsi"/>
                <w:sz w:val="20"/>
                <w:szCs w:val="20"/>
              </w:rPr>
            </w:pPr>
            <w:r w:rsidRPr="00F53E25">
              <w:rPr>
                <w:rFonts w:asciiTheme="minorHAnsi" w:hAnsiTheme="minorHAnsi"/>
                <w:b/>
                <w:sz w:val="20"/>
                <w:szCs w:val="20"/>
              </w:rPr>
              <w:t>Ahorros</w:t>
            </w:r>
            <w:r w:rsidRPr="00F53E25">
              <w:rPr>
                <w:rFonts w:asciiTheme="minorHAnsi" w:hAnsiTheme="minorHAnsi"/>
                <w:sz w:val="20"/>
                <w:szCs w:val="20"/>
              </w:rPr>
              <w:t>:</w:t>
            </w:r>
            <w:r w:rsidR="00573F8B" w:rsidRPr="00F53E25">
              <w:rPr>
                <w:rFonts w:asciiTheme="minorHAnsi" w:hAnsiTheme="minorHAnsi"/>
                <w:sz w:val="20"/>
                <w:szCs w:val="20"/>
              </w:rPr>
              <w:t xml:space="preserve"> </w:t>
            </w:r>
            <w:r w:rsidR="00B639A9" w:rsidRPr="00F53E25">
              <w:rPr>
                <w:rFonts w:asciiTheme="minorHAnsi" w:hAnsiTheme="minorHAnsi"/>
                <w:sz w:val="20"/>
                <w:szCs w:val="20"/>
              </w:rPr>
              <w:t>s</w:t>
            </w:r>
            <w:r w:rsidR="00573F8B" w:rsidRPr="00F53E25">
              <w:rPr>
                <w:rFonts w:asciiTheme="minorHAnsi" w:hAnsiTheme="minorHAnsi"/>
                <w:sz w:val="20"/>
                <w:szCs w:val="20"/>
              </w:rPr>
              <w:t>ervicios para el Comité Permanente</w:t>
            </w:r>
            <w:r w:rsidR="00EC2A94" w:rsidRPr="00F53E25">
              <w:rPr>
                <w:rFonts w:asciiTheme="minorHAnsi" w:hAnsiTheme="minorHAnsi"/>
                <w:sz w:val="20"/>
                <w:szCs w:val="20"/>
              </w:rPr>
              <w:t>, ya que no pudieron celebrarse reuniones presenciales.</w:t>
            </w:r>
          </w:p>
        </w:tc>
      </w:tr>
      <w:tr w:rsidR="00FC40CB" w:rsidRPr="00F53E25" w14:paraId="004CAC98" w14:textId="77777777" w:rsidTr="00C02579">
        <w:trPr>
          <w:trHeight w:val="1455"/>
        </w:trPr>
        <w:tc>
          <w:tcPr>
            <w:tcW w:w="1554" w:type="dxa"/>
            <w:tcBorders>
              <w:top w:val="nil"/>
              <w:left w:val="single" w:sz="4" w:space="0" w:color="auto"/>
              <w:bottom w:val="single" w:sz="4" w:space="0" w:color="auto"/>
              <w:right w:val="single" w:sz="4" w:space="0" w:color="auto"/>
            </w:tcBorders>
            <w:shd w:val="clear" w:color="auto" w:fill="auto"/>
            <w:hideMark/>
          </w:tcPr>
          <w:p w14:paraId="60228AFB" w14:textId="6E405B03"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Provisiones, diferencias de tipo de cambio y servicios jurídicos</w:t>
            </w:r>
          </w:p>
        </w:tc>
        <w:tc>
          <w:tcPr>
            <w:tcW w:w="1418" w:type="dxa"/>
            <w:tcBorders>
              <w:top w:val="nil"/>
              <w:left w:val="nil"/>
              <w:bottom w:val="single" w:sz="4" w:space="0" w:color="auto"/>
              <w:right w:val="single" w:sz="4" w:space="0" w:color="auto"/>
            </w:tcBorders>
            <w:shd w:val="clear" w:color="auto" w:fill="auto"/>
            <w:hideMark/>
          </w:tcPr>
          <w:p w14:paraId="283AB6B2" w14:textId="641A94E8"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129</w:t>
            </w:r>
          </w:p>
        </w:tc>
        <w:tc>
          <w:tcPr>
            <w:tcW w:w="1417" w:type="dxa"/>
            <w:tcBorders>
              <w:top w:val="nil"/>
              <w:left w:val="nil"/>
              <w:bottom w:val="single" w:sz="4" w:space="0" w:color="auto"/>
              <w:right w:val="single" w:sz="4" w:space="0" w:color="auto"/>
            </w:tcBorders>
            <w:shd w:val="clear" w:color="auto" w:fill="auto"/>
            <w:hideMark/>
          </w:tcPr>
          <w:p w14:paraId="6F7F99A3" w14:textId="6455CFC1"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714</w:t>
            </w:r>
          </w:p>
        </w:tc>
        <w:tc>
          <w:tcPr>
            <w:tcW w:w="1276" w:type="dxa"/>
            <w:tcBorders>
              <w:top w:val="nil"/>
              <w:left w:val="nil"/>
              <w:bottom w:val="single" w:sz="4" w:space="0" w:color="auto"/>
              <w:right w:val="single" w:sz="4" w:space="0" w:color="auto"/>
            </w:tcBorders>
            <w:shd w:val="clear" w:color="auto" w:fill="auto"/>
            <w:noWrap/>
            <w:hideMark/>
          </w:tcPr>
          <w:p w14:paraId="0D35ED4A" w14:textId="79542153" w:rsidR="00FC40CB" w:rsidRPr="00F53E25" w:rsidRDefault="00EC2A94" w:rsidP="00D67522">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843</w:t>
            </w:r>
          </w:p>
        </w:tc>
        <w:tc>
          <w:tcPr>
            <w:tcW w:w="3691" w:type="dxa"/>
            <w:tcBorders>
              <w:top w:val="nil"/>
              <w:left w:val="nil"/>
              <w:bottom w:val="single" w:sz="4" w:space="0" w:color="auto"/>
              <w:right w:val="single" w:sz="4" w:space="0" w:color="auto"/>
            </w:tcBorders>
            <w:shd w:val="clear" w:color="auto" w:fill="auto"/>
            <w:hideMark/>
          </w:tcPr>
          <w:p w14:paraId="68DCF916" w14:textId="4A01AA95" w:rsidR="00FC40CB" w:rsidRPr="00F53E25" w:rsidRDefault="00573F8B" w:rsidP="00CB0294">
            <w:pPr>
              <w:ind w:left="0" w:firstLine="0"/>
              <w:rPr>
                <w:rFonts w:asciiTheme="minorHAnsi" w:eastAsia="Times New Roman" w:hAnsiTheme="minorHAnsi" w:cstheme="minorHAnsi"/>
                <w:sz w:val="20"/>
                <w:szCs w:val="20"/>
              </w:rPr>
            </w:pPr>
            <w:r w:rsidRPr="00F53E25">
              <w:rPr>
                <w:rFonts w:asciiTheme="minorHAnsi" w:hAnsiTheme="minorHAnsi"/>
                <w:b/>
                <w:bCs/>
                <w:sz w:val="20"/>
                <w:szCs w:val="20"/>
              </w:rPr>
              <w:t>Fondos previamente comprometidos</w:t>
            </w:r>
            <w:r w:rsidR="00EC2A94" w:rsidRPr="00F53E25">
              <w:rPr>
                <w:rFonts w:asciiTheme="minorHAnsi" w:hAnsiTheme="minorHAnsi"/>
                <w:b/>
                <w:bCs/>
                <w:sz w:val="20"/>
                <w:szCs w:val="20"/>
              </w:rPr>
              <w:t xml:space="preserve"> o previstos</w:t>
            </w:r>
            <w:r w:rsidRPr="00F53E25">
              <w:rPr>
                <w:rFonts w:asciiTheme="minorHAnsi" w:hAnsiTheme="minorHAnsi"/>
                <w:b/>
                <w:bCs/>
                <w:sz w:val="20"/>
                <w:szCs w:val="20"/>
              </w:rPr>
              <w:t>:</w:t>
            </w:r>
            <w:r w:rsidRPr="00F53E25">
              <w:rPr>
                <w:rFonts w:asciiTheme="minorHAnsi" w:hAnsiTheme="minorHAnsi"/>
                <w:sz w:val="20"/>
                <w:szCs w:val="20"/>
              </w:rPr>
              <w:t xml:space="preserve"> (i) </w:t>
            </w:r>
            <w:r w:rsidR="00EC2A94" w:rsidRPr="00F53E25">
              <w:rPr>
                <w:rFonts w:asciiTheme="minorHAnsi" w:hAnsiTheme="minorHAnsi"/>
                <w:sz w:val="20"/>
                <w:szCs w:val="20"/>
              </w:rPr>
              <w:t>análisis financiero de la condición jurídica de la Secretaría</w:t>
            </w:r>
            <w:r w:rsidRPr="00F53E25">
              <w:rPr>
                <w:rFonts w:asciiTheme="minorHAnsi" w:hAnsiTheme="minorHAnsi"/>
                <w:sz w:val="20"/>
                <w:szCs w:val="20"/>
              </w:rPr>
              <w:t>: 1</w:t>
            </w:r>
            <w:r w:rsidR="00EC2A94" w:rsidRPr="00F53E25">
              <w:rPr>
                <w:rFonts w:asciiTheme="minorHAnsi" w:hAnsiTheme="minorHAnsi"/>
                <w:sz w:val="20"/>
                <w:szCs w:val="20"/>
              </w:rPr>
              <w:t>7</w:t>
            </w:r>
            <w:r w:rsidRPr="00F53E25">
              <w:rPr>
                <w:rFonts w:asciiTheme="minorHAnsi" w:hAnsiTheme="minorHAnsi"/>
                <w:sz w:val="20"/>
                <w:szCs w:val="20"/>
              </w:rPr>
              <w:t> 000</w:t>
            </w:r>
            <w:r w:rsidR="00EC2A94" w:rsidRPr="00F53E25">
              <w:rPr>
                <w:rFonts w:asciiTheme="minorHAnsi" w:hAnsiTheme="minorHAnsi"/>
                <w:sz w:val="20"/>
                <w:szCs w:val="20"/>
              </w:rPr>
              <w:t>,</w:t>
            </w:r>
            <w:r w:rsidRPr="00F53E25">
              <w:rPr>
                <w:rFonts w:asciiTheme="minorHAnsi" w:hAnsiTheme="minorHAnsi"/>
                <w:sz w:val="20"/>
                <w:szCs w:val="20"/>
              </w:rPr>
              <w:t xml:space="preserve"> (ii) asesoramiento jurídico: </w:t>
            </w:r>
            <w:r w:rsidR="00EC2A94" w:rsidRPr="00F53E25">
              <w:rPr>
                <w:rFonts w:asciiTheme="minorHAnsi" w:hAnsiTheme="minorHAnsi"/>
                <w:sz w:val="20"/>
                <w:szCs w:val="20"/>
              </w:rPr>
              <w:t>28</w:t>
            </w:r>
            <w:r w:rsidRPr="00F53E25">
              <w:rPr>
                <w:rFonts w:asciiTheme="minorHAnsi" w:hAnsiTheme="minorHAnsi"/>
                <w:sz w:val="20"/>
                <w:szCs w:val="20"/>
              </w:rPr>
              <w:t> 000</w:t>
            </w:r>
            <w:r w:rsidR="00EC2A94" w:rsidRPr="00F53E25">
              <w:rPr>
                <w:rFonts w:asciiTheme="minorHAnsi" w:hAnsiTheme="minorHAnsi"/>
                <w:sz w:val="20"/>
                <w:szCs w:val="20"/>
              </w:rPr>
              <w:t>, (iii) auditoría: 16 000 y (iv) provisión para las contribuciones pendientes de pago: 68 000.</w:t>
            </w:r>
            <w:r w:rsidRPr="00F53E25">
              <w:rPr>
                <w:rFonts w:asciiTheme="minorHAnsi" w:hAnsiTheme="minorHAnsi"/>
                <w:sz w:val="20"/>
                <w:szCs w:val="20"/>
              </w:rPr>
              <w:br/>
            </w:r>
            <w:r w:rsidRPr="00F53E25">
              <w:rPr>
                <w:rFonts w:asciiTheme="minorHAnsi" w:hAnsiTheme="minorHAnsi"/>
                <w:b/>
                <w:bCs/>
                <w:sz w:val="20"/>
                <w:szCs w:val="20"/>
              </w:rPr>
              <w:t>Ahorros</w:t>
            </w:r>
            <w:r w:rsidRPr="00F53E25">
              <w:rPr>
                <w:rFonts w:asciiTheme="minorHAnsi" w:hAnsiTheme="minorHAnsi"/>
                <w:sz w:val="20"/>
                <w:szCs w:val="20"/>
              </w:rPr>
              <w:t xml:space="preserve">: netos de </w:t>
            </w:r>
            <w:r w:rsidR="00EC2A94" w:rsidRPr="00F53E25">
              <w:rPr>
                <w:rFonts w:asciiTheme="minorHAnsi" w:hAnsiTheme="minorHAnsi"/>
                <w:sz w:val="20"/>
                <w:szCs w:val="20"/>
              </w:rPr>
              <w:t>(</w:t>
            </w:r>
            <w:r w:rsidRPr="00F53E25">
              <w:rPr>
                <w:rFonts w:asciiTheme="minorHAnsi" w:hAnsiTheme="minorHAnsi"/>
                <w:sz w:val="20"/>
                <w:szCs w:val="20"/>
              </w:rPr>
              <w:t xml:space="preserve">i) </w:t>
            </w:r>
            <w:r w:rsidR="00EC2A94" w:rsidRPr="00F53E25">
              <w:rPr>
                <w:rFonts w:asciiTheme="minorHAnsi" w:hAnsiTheme="minorHAnsi"/>
                <w:sz w:val="20"/>
                <w:szCs w:val="20"/>
              </w:rPr>
              <w:t xml:space="preserve">provisiones correspondientes al personal: 73 000, (ii) presupuesto </w:t>
            </w:r>
            <w:r w:rsidR="006E0A51" w:rsidRPr="00F53E25">
              <w:rPr>
                <w:rFonts w:asciiTheme="minorHAnsi" w:hAnsiTheme="minorHAnsi"/>
                <w:sz w:val="20"/>
                <w:szCs w:val="20"/>
              </w:rPr>
              <w:t>aprobado por</w:t>
            </w:r>
            <w:r w:rsidR="00EC2A94" w:rsidRPr="00F53E25">
              <w:rPr>
                <w:rFonts w:asciiTheme="minorHAnsi" w:hAnsiTheme="minorHAnsi"/>
                <w:sz w:val="20"/>
                <w:szCs w:val="20"/>
              </w:rPr>
              <w:t xml:space="preserve"> la reunión SC58 en 2020 y </w:t>
            </w:r>
            <w:r w:rsidR="00EC2A94" w:rsidRPr="00F53E25">
              <w:rPr>
                <w:rFonts w:asciiTheme="minorHAnsi" w:hAnsiTheme="minorHAnsi"/>
                <w:color w:val="000000" w:themeColor="text1"/>
                <w:sz w:val="20"/>
                <w:szCs w:val="20"/>
              </w:rPr>
              <w:t>ahorros no comprometidos</w:t>
            </w:r>
            <w:r w:rsidR="00B639A9" w:rsidRPr="00F53E25">
              <w:rPr>
                <w:rFonts w:asciiTheme="minorHAnsi" w:hAnsiTheme="minorHAnsi"/>
                <w:color w:val="000000" w:themeColor="text1"/>
                <w:sz w:val="20"/>
                <w:szCs w:val="20"/>
              </w:rPr>
              <w:t xml:space="preserve"> en 2019 </w:t>
            </w:r>
            <w:r w:rsidR="00EC2A94" w:rsidRPr="00F53E25">
              <w:rPr>
                <w:rFonts w:asciiTheme="minorHAnsi" w:hAnsiTheme="minorHAnsi"/>
                <w:color w:val="000000" w:themeColor="text1"/>
                <w:sz w:val="20"/>
                <w:szCs w:val="20"/>
              </w:rPr>
              <w:t>traspasados al año siguiente</w:t>
            </w:r>
            <w:r w:rsidR="00EC2A94" w:rsidRPr="00F53E25">
              <w:rPr>
                <w:rFonts w:asciiTheme="minorHAnsi" w:hAnsiTheme="minorHAnsi"/>
                <w:sz w:val="20"/>
                <w:szCs w:val="20"/>
              </w:rPr>
              <w:t>: 709 000</w:t>
            </w:r>
            <w:r w:rsidRPr="00F53E25">
              <w:rPr>
                <w:rFonts w:asciiTheme="minorHAnsi" w:hAnsiTheme="minorHAnsi"/>
                <w:sz w:val="20"/>
                <w:szCs w:val="20"/>
              </w:rPr>
              <w:t xml:space="preserve">, </w:t>
            </w:r>
            <w:r w:rsidR="00EC2A94" w:rsidRPr="00F53E25">
              <w:rPr>
                <w:rFonts w:asciiTheme="minorHAnsi" w:hAnsiTheme="minorHAnsi"/>
                <w:sz w:val="20"/>
                <w:szCs w:val="20"/>
              </w:rPr>
              <w:t>(iii) ahorros en servicios jurídicos: 26 000, y (iv</w:t>
            </w:r>
            <w:r w:rsidRPr="00F53E25">
              <w:rPr>
                <w:rFonts w:asciiTheme="minorHAnsi" w:hAnsiTheme="minorHAnsi"/>
                <w:sz w:val="20"/>
                <w:szCs w:val="20"/>
              </w:rPr>
              <w:t>) pérdidas por el tipo de cambio</w:t>
            </w:r>
            <w:r w:rsidR="00EC2A94" w:rsidRPr="00F53E25">
              <w:rPr>
                <w:rFonts w:asciiTheme="minorHAnsi" w:hAnsiTheme="minorHAnsi"/>
                <w:sz w:val="20"/>
                <w:szCs w:val="20"/>
              </w:rPr>
              <w:t>: 94 000 en 2019 y 2020.</w:t>
            </w:r>
          </w:p>
        </w:tc>
      </w:tr>
      <w:tr w:rsidR="00FC40CB" w:rsidRPr="00F53E25" w14:paraId="03F4C903" w14:textId="77777777" w:rsidTr="00C02579">
        <w:trPr>
          <w:trHeight w:val="450"/>
        </w:trPr>
        <w:tc>
          <w:tcPr>
            <w:tcW w:w="1554" w:type="dxa"/>
            <w:tcBorders>
              <w:top w:val="nil"/>
              <w:left w:val="single" w:sz="4" w:space="0" w:color="auto"/>
              <w:bottom w:val="single" w:sz="4" w:space="0" w:color="auto"/>
              <w:right w:val="single" w:sz="4" w:space="0" w:color="auto"/>
            </w:tcBorders>
            <w:shd w:val="clear" w:color="000000" w:fill="DBE5F1"/>
            <w:noWrap/>
            <w:hideMark/>
          </w:tcPr>
          <w:p w14:paraId="1885F067" w14:textId="4D8D3422" w:rsidR="00FC40CB" w:rsidRPr="00F53E25" w:rsidRDefault="00FC40CB" w:rsidP="00CB0294">
            <w:pPr>
              <w:ind w:left="0" w:firstLine="0"/>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Subtotal</w:t>
            </w:r>
          </w:p>
        </w:tc>
        <w:tc>
          <w:tcPr>
            <w:tcW w:w="1418" w:type="dxa"/>
            <w:tcBorders>
              <w:top w:val="nil"/>
              <w:left w:val="nil"/>
              <w:bottom w:val="single" w:sz="4" w:space="0" w:color="auto"/>
              <w:right w:val="single" w:sz="4" w:space="0" w:color="auto"/>
            </w:tcBorders>
            <w:shd w:val="clear" w:color="000000" w:fill="DBE5F1"/>
            <w:noWrap/>
            <w:hideMark/>
          </w:tcPr>
          <w:p w14:paraId="65646733" w14:textId="1AE495FF" w:rsidR="00FC40CB" w:rsidRPr="00F53E25" w:rsidRDefault="00EC2A94" w:rsidP="00D67522">
            <w:pPr>
              <w:ind w:left="0" w:firstLine="0"/>
              <w:jc w:val="right"/>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712</w:t>
            </w:r>
          </w:p>
        </w:tc>
        <w:tc>
          <w:tcPr>
            <w:tcW w:w="1417" w:type="dxa"/>
            <w:tcBorders>
              <w:top w:val="nil"/>
              <w:left w:val="nil"/>
              <w:bottom w:val="single" w:sz="4" w:space="0" w:color="auto"/>
              <w:right w:val="single" w:sz="4" w:space="0" w:color="auto"/>
            </w:tcBorders>
            <w:shd w:val="clear" w:color="000000" w:fill="DBE5F1"/>
            <w:noWrap/>
            <w:hideMark/>
          </w:tcPr>
          <w:p w14:paraId="57D7F82F" w14:textId="7508C86D" w:rsidR="00FC40CB" w:rsidRPr="00F53E25" w:rsidRDefault="00EC2A94" w:rsidP="00D67522">
            <w:pPr>
              <w:ind w:left="0" w:firstLine="0"/>
              <w:jc w:val="right"/>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1 590</w:t>
            </w:r>
          </w:p>
        </w:tc>
        <w:tc>
          <w:tcPr>
            <w:tcW w:w="1276" w:type="dxa"/>
            <w:tcBorders>
              <w:top w:val="nil"/>
              <w:left w:val="nil"/>
              <w:bottom w:val="single" w:sz="4" w:space="0" w:color="auto"/>
              <w:right w:val="single" w:sz="4" w:space="0" w:color="auto"/>
            </w:tcBorders>
            <w:shd w:val="clear" w:color="000000" w:fill="DBE5F1"/>
            <w:noWrap/>
            <w:hideMark/>
          </w:tcPr>
          <w:p w14:paraId="1358FB45" w14:textId="140A5610" w:rsidR="00FC40CB" w:rsidRPr="00F53E25" w:rsidRDefault="00EC2A94" w:rsidP="00D67522">
            <w:pPr>
              <w:ind w:left="0" w:firstLine="0"/>
              <w:jc w:val="right"/>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2 302</w:t>
            </w:r>
          </w:p>
        </w:tc>
        <w:tc>
          <w:tcPr>
            <w:tcW w:w="3691" w:type="dxa"/>
            <w:tcBorders>
              <w:top w:val="nil"/>
              <w:left w:val="nil"/>
              <w:bottom w:val="single" w:sz="4" w:space="0" w:color="auto"/>
              <w:right w:val="single" w:sz="4" w:space="0" w:color="auto"/>
            </w:tcBorders>
            <w:shd w:val="clear" w:color="000000" w:fill="DBE5F1"/>
            <w:noWrap/>
            <w:hideMark/>
          </w:tcPr>
          <w:p w14:paraId="57AC3186" w14:textId="0726BD3D" w:rsidR="00FC40CB" w:rsidRPr="00F53E25" w:rsidRDefault="00FC40CB" w:rsidP="00D67522">
            <w:pPr>
              <w:ind w:left="0" w:firstLine="0"/>
              <w:rPr>
                <w:rFonts w:asciiTheme="minorHAnsi" w:eastAsia="Times New Roman" w:hAnsiTheme="minorHAnsi" w:cstheme="minorHAnsi"/>
                <w:color w:val="000000"/>
                <w:sz w:val="20"/>
                <w:szCs w:val="20"/>
                <w:lang w:eastAsia="en-GB"/>
              </w:rPr>
            </w:pPr>
          </w:p>
        </w:tc>
      </w:tr>
      <w:tr w:rsidR="00FC40CB" w:rsidRPr="00F53E25" w14:paraId="59C58409" w14:textId="77777777" w:rsidTr="00C02579">
        <w:trPr>
          <w:trHeight w:val="576"/>
        </w:trPr>
        <w:tc>
          <w:tcPr>
            <w:tcW w:w="1554" w:type="dxa"/>
            <w:tcBorders>
              <w:top w:val="nil"/>
              <w:left w:val="single" w:sz="4" w:space="0" w:color="auto"/>
              <w:bottom w:val="single" w:sz="4" w:space="0" w:color="auto"/>
              <w:right w:val="single" w:sz="4" w:space="0" w:color="auto"/>
            </w:tcBorders>
            <w:shd w:val="clear" w:color="auto" w:fill="auto"/>
            <w:noWrap/>
            <w:hideMark/>
          </w:tcPr>
          <w:p w14:paraId="60D017B5" w14:textId="77777777"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Déficit de ingresos con respecto al presupuesto</w:t>
            </w:r>
          </w:p>
        </w:tc>
        <w:tc>
          <w:tcPr>
            <w:tcW w:w="1418" w:type="dxa"/>
            <w:tcBorders>
              <w:top w:val="nil"/>
              <w:left w:val="nil"/>
              <w:bottom w:val="single" w:sz="4" w:space="0" w:color="auto"/>
              <w:right w:val="single" w:sz="4" w:space="0" w:color="auto"/>
            </w:tcBorders>
            <w:shd w:val="clear" w:color="auto" w:fill="auto"/>
            <w:hideMark/>
          </w:tcPr>
          <w:p w14:paraId="2A2A6D9F" w14:textId="7C391262" w:rsidR="00FC40CB" w:rsidRPr="00F53E25" w:rsidRDefault="00FC40CB" w:rsidP="00D67522">
            <w:pPr>
              <w:ind w:left="0" w:firstLine="0"/>
              <w:jc w:val="right"/>
              <w:rPr>
                <w:rFonts w:asciiTheme="minorHAnsi" w:eastAsia="Times New Roman" w:hAnsiTheme="minorHAnsi"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14:paraId="38BC31B2" w14:textId="0A6D451E" w:rsidR="00FC40CB" w:rsidRPr="00F53E25" w:rsidRDefault="00EC2A94" w:rsidP="00D67522">
            <w:pPr>
              <w:ind w:left="0" w:firstLine="0"/>
              <w:jc w:val="right"/>
              <w:rPr>
                <w:rFonts w:asciiTheme="minorHAnsi" w:eastAsia="Times New Roman" w:hAnsiTheme="minorHAnsi" w:cstheme="minorHAnsi"/>
                <w:color w:val="000000"/>
                <w:sz w:val="20"/>
                <w:szCs w:val="20"/>
                <w:lang w:eastAsia="en-GB"/>
              </w:rPr>
            </w:pPr>
            <w:r w:rsidRPr="00F53E25">
              <w:rPr>
                <w:rFonts w:asciiTheme="minorHAnsi" w:eastAsia="Times New Roman" w:hAnsiTheme="minorHAnsi" w:cstheme="minorHAnsi"/>
                <w:color w:val="000000"/>
                <w:sz w:val="20"/>
                <w:szCs w:val="20"/>
                <w:lang w:eastAsia="en-GB"/>
              </w:rPr>
              <w:t xml:space="preserve">-47 </w:t>
            </w:r>
          </w:p>
        </w:tc>
        <w:tc>
          <w:tcPr>
            <w:tcW w:w="1276" w:type="dxa"/>
            <w:tcBorders>
              <w:top w:val="nil"/>
              <w:left w:val="nil"/>
              <w:bottom w:val="single" w:sz="4" w:space="0" w:color="auto"/>
              <w:right w:val="single" w:sz="4" w:space="0" w:color="auto"/>
            </w:tcBorders>
            <w:shd w:val="clear" w:color="auto" w:fill="auto"/>
            <w:noWrap/>
            <w:hideMark/>
          </w:tcPr>
          <w:p w14:paraId="26CB57B3" w14:textId="2407DFED" w:rsidR="00FC40CB" w:rsidRPr="00F53E25" w:rsidRDefault="00FC40CB"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w:t>
            </w:r>
            <w:r w:rsidR="00EC2A94" w:rsidRPr="00F53E25">
              <w:rPr>
                <w:rFonts w:asciiTheme="minorHAnsi" w:hAnsiTheme="minorHAnsi"/>
                <w:color w:val="000000"/>
                <w:sz w:val="20"/>
                <w:szCs w:val="20"/>
              </w:rPr>
              <w:t>47</w:t>
            </w:r>
          </w:p>
        </w:tc>
        <w:tc>
          <w:tcPr>
            <w:tcW w:w="3691" w:type="dxa"/>
            <w:tcBorders>
              <w:top w:val="nil"/>
              <w:left w:val="nil"/>
              <w:bottom w:val="single" w:sz="4" w:space="0" w:color="auto"/>
              <w:right w:val="single" w:sz="4" w:space="0" w:color="auto"/>
            </w:tcBorders>
            <w:shd w:val="clear" w:color="auto" w:fill="auto"/>
            <w:hideMark/>
          </w:tcPr>
          <w:p w14:paraId="61F0464B" w14:textId="6847AF76" w:rsidR="00FC40CB" w:rsidRPr="00F53E25" w:rsidRDefault="00FC40CB" w:rsidP="00E8596C">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Disminución de impuesto sobre la renta</w:t>
            </w:r>
            <w:r w:rsidR="00497A5D" w:rsidRPr="00F53E25">
              <w:rPr>
                <w:rFonts w:asciiTheme="minorHAnsi" w:hAnsiTheme="minorHAnsi"/>
                <w:color w:val="000000"/>
                <w:sz w:val="20"/>
                <w:szCs w:val="20"/>
              </w:rPr>
              <w:t xml:space="preserve"> e ingresos por intereses</w:t>
            </w:r>
            <w:r w:rsidRPr="00F53E25">
              <w:rPr>
                <w:rFonts w:asciiTheme="minorHAnsi" w:hAnsiTheme="minorHAnsi"/>
                <w:color w:val="000000"/>
                <w:sz w:val="20"/>
                <w:szCs w:val="20"/>
              </w:rPr>
              <w:t xml:space="preserve">: </w:t>
            </w:r>
            <w:r w:rsidR="00497A5D" w:rsidRPr="00F53E25">
              <w:rPr>
                <w:rFonts w:asciiTheme="minorHAnsi" w:hAnsiTheme="minorHAnsi"/>
                <w:color w:val="000000"/>
                <w:sz w:val="20"/>
                <w:szCs w:val="20"/>
              </w:rPr>
              <w:t>47</w:t>
            </w:r>
            <w:r w:rsidRPr="00F53E25">
              <w:rPr>
                <w:rFonts w:asciiTheme="minorHAnsi" w:hAnsiTheme="minorHAnsi"/>
                <w:color w:val="000000"/>
                <w:sz w:val="20"/>
                <w:szCs w:val="20"/>
              </w:rPr>
              <w:t> 000.</w:t>
            </w:r>
          </w:p>
        </w:tc>
      </w:tr>
      <w:tr w:rsidR="00FC40CB" w:rsidRPr="00F53E25" w14:paraId="5D8D451A" w14:textId="77777777" w:rsidTr="00C02579">
        <w:trPr>
          <w:trHeight w:val="345"/>
        </w:trPr>
        <w:tc>
          <w:tcPr>
            <w:tcW w:w="1554" w:type="dxa"/>
            <w:tcBorders>
              <w:top w:val="nil"/>
              <w:left w:val="single" w:sz="4" w:space="0" w:color="auto"/>
              <w:bottom w:val="single" w:sz="4" w:space="0" w:color="auto"/>
              <w:right w:val="single" w:sz="4" w:space="0" w:color="auto"/>
            </w:tcBorders>
            <w:shd w:val="clear" w:color="auto" w:fill="auto"/>
            <w:noWrap/>
            <w:hideMark/>
          </w:tcPr>
          <w:p w14:paraId="0967307A" w14:textId="77777777" w:rsidR="00FC40CB" w:rsidRPr="00F53E25" w:rsidRDefault="00FC40CB" w:rsidP="00D67522">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Redondeo</w:t>
            </w:r>
          </w:p>
        </w:tc>
        <w:tc>
          <w:tcPr>
            <w:tcW w:w="1418" w:type="dxa"/>
            <w:tcBorders>
              <w:top w:val="nil"/>
              <w:left w:val="nil"/>
              <w:bottom w:val="single" w:sz="4" w:space="0" w:color="auto"/>
              <w:right w:val="single" w:sz="4" w:space="0" w:color="auto"/>
            </w:tcBorders>
            <w:shd w:val="clear" w:color="auto" w:fill="auto"/>
            <w:hideMark/>
          </w:tcPr>
          <w:p w14:paraId="56BB7EAD" w14:textId="21233842" w:rsidR="00FC40CB" w:rsidRPr="00F53E25" w:rsidRDefault="00FC40CB" w:rsidP="00D67522">
            <w:pPr>
              <w:ind w:left="0" w:firstLine="0"/>
              <w:jc w:val="right"/>
              <w:rPr>
                <w:rFonts w:asciiTheme="minorHAnsi" w:eastAsia="Times New Roman" w:hAnsiTheme="minorHAnsi" w:cstheme="minorHAnsi"/>
                <w:color w:val="000000"/>
                <w:sz w:val="20"/>
                <w:szCs w:val="20"/>
              </w:rPr>
            </w:pPr>
          </w:p>
        </w:tc>
        <w:tc>
          <w:tcPr>
            <w:tcW w:w="1417" w:type="dxa"/>
            <w:tcBorders>
              <w:top w:val="nil"/>
              <w:left w:val="nil"/>
              <w:bottom w:val="single" w:sz="4" w:space="0" w:color="auto"/>
              <w:right w:val="single" w:sz="4" w:space="0" w:color="auto"/>
            </w:tcBorders>
            <w:shd w:val="clear" w:color="auto" w:fill="auto"/>
            <w:hideMark/>
          </w:tcPr>
          <w:p w14:paraId="71F7A230" w14:textId="19B08755" w:rsidR="00FC40CB" w:rsidRPr="00F53E25" w:rsidRDefault="00497A5D" w:rsidP="00D67522">
            <w:pPr>
              <w:ind w:left="0" w:firstLine="0"/>
              <w:jc w:val="right"/>
              <w:rPr>
                <w:rFonts w:asciiTheme="minorHAnsi" w:eastAsia="Times New Roman" w:hAnsiTheme="minorHAnsi" w:cstheme="minorHAnsi"/>
                <w:color w:val="000000"/>
                <w:sz w:val="20"/>
                <w:szCs w:val="20"/>
                <w:lang w:eastAsia="en-GB"/>
              </w:rPr>
            </w:pPr>
            <w:r w:rsidRPr="00F53E25">
              <w:rPr>
                <w:rFonts w:asciiTheme="minorHAnsi" w:eastAsia="Times New Roman" w:hAnsiTheme="minorHAnsi" w:cstheme="minorHAnsi"/>
                <w:color w:val="000000"/>
                <w:sz w:val="20"/>
                <w:szCs w:val="20"/>
                <w:lang w:eastAsia="en-GB"/>
              </w:rPr>
              <w:t>-2</w:t>
            </w:r>
          </w:p>
        </w:tc>
        <w:tc>
          <w:tcPr>
            <w:tcW w:w="1276" w:type="dxa"/>
            <w:tcBorders>
              <w:top w:val="nil"/>
              <w:left w:val="nil"/>
              <w:bottom w:val="single" w:sz="4" w:space="0" w:color="auto"/>
              <w:right w:val="single" w:sz="4" w:space="0" w:color="auto"/>
            </w:tcBorders>
            <w:shd w:val="clear" w:color="auto" w:fill="auto"/>
            <w:noWrap/>
            <w:hideMark/>
          </w:tcPr>
          <w:p w14:paraId="4416087E" w14:textId="5D6D1AEC" w:rsidR="00FC40CB" w:rsidRPr="00F53E25" w:rsidRDefault="00497A5D" w:rsidP="00D67522">
            <w:pPr>
              <w:ind w:left="0" w:firstLine="0"/>
              <w:jc w:val="right"/>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-2</w:t>
            </w:r>
          </w:p>
        </w:tc>
        <w:tc>
          <w:tcPr>
            <w:tcW w:w="3691" w:type="dxa"/>
            <w:tcBorders>
              <w:top w:val="nil"/>
              <w:left w:val="nil"/>
              <w:bottom w:val="single" w:sz="4" w:space="0" w:color="auto"/>
              <w:right w:val="single" w:sz="4" w:space="0" w:color="auto"/>
            </w:tcBorders>
            <w:shd w:val="clear" w:color="auto" w:fill="auto"/>
            <w:noWrap/>
            <w:hideMark/>
          </w:tcPr>
          <w:p w14:paraId="1C50A9C2" w14:textId="3DAEC7D8" w:rsidR="00FC40CB" w:rsidRPr="00F53E25" w:rsidRDefault="00FC40CB" w:rsidP="00D67522">
            <w:pPr>
              <w:ind w:left="0" w:firstLine="0"/>
              <w:rPr>
                <w:rFonts w:asciiTheme="minorHAnsi" w:eastAsia="Times New Roman" w:hAnsiTheme="minorHAnsi" w:cstheme="minorHAnsi"/>
                <w:color w:val="000000"/>
                <w:sz w:val="20"/>
                <w:szCs w:val="20"/>
              </w:rPr>
            </w:pPr>
          </w:p>
        </w:tc>
      </w:tr>
      <w:tr w:rsidR="00FC40CB" w:rsidRPr="00F53E25" w14:paraId="0D906FFC" w14:textId="77777777" w:rsidTr="00C02579">
        <w:trPr>
          <w:trHeight w:val="480"/>
        </w:trPr>
        <w:tc>
          <w:tcPr>
            <w:tcW w:w="1554" w:type="dxa"/>
            <w:tcBorders>
              <w:top w:val="nil"/>
              <w:left w:val="single" w:sz="4" w:space="0" w:color="auto"/>
              <w:bottom w:val="single" w:sz="4" w:space="0" w:color="auto"/>
              <w:right w:val="single" w:sz="4" w:space="0" w:color="auto"/>
            </w:tcBorders>
            <w:shd w:val="clear" w:color="000000" w:fill="DBE5F1"/>
            <w:noWrap/>
            <w:hideMark/>
          </w:tcPr>
          <w:p w14:paraId="0FA0D72E" w14:textId="7BDDA5A7" w:rsidR="00FC40CB" w:rsidRPr="00F53E25" w:rsidRDefault="00FC40CB" w:rsidP="00D67522">
            <w:pPr>
              <w:ind w:left="0" w:firstLine="0"/>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Saldo total del presupuesto básico para 20</w:t>
            </w:r>
            <w:r w:rsidR="00497A5D" w:rsidRPr="00F53E25">
              <w:rPr>
                <w:rFonts w:asciiTheme="minorHAnsi" w:hAnsiTheme="minorHAnsi"/>
                <w:b/>
                <w:bCs/>
                <w:color w:val="000000"/>
                <w:sz w:val="20"/>
                <w:szCs w:val="20"/>
              </w:rPr>
              <w:t>20</w:t>
            </w:r>
          </w:p>
        </w:tc>
        <w:tc>
          <w:tcPr>
            <w:tcW w:w="1418" w:type="dxa"/>
            <w:tcBorders>
              <w:top w:val="nil"/>
              <w:left w:val="nil"/>
              <w:bottom w:val="single" w:sz="4" w:space="0" w:color="auto"/>
              <w:right w:val="single" w:sz="4" w:space="0" w:color="auto"/>
            </w:tcBorders>
            <w:shd w:val="clear" w:color="000000" w:fill="DBE5F1"/>
            <w:noWrap/>
            <w:hideMark/>
          </w:tcPr>
          <w:p w14:paraId="286BC64C" w14:textId="0676DA20" w:rsidR="00FC40CB" w:rsidRPr="00F53E25" w:rsidRDefault="00497A5D" w:rsidP="00D67522">
            <w:pPr>
              <w:ind w:left="0" w:firstLine="0"/>
              <w:jc w:val="right"/>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712</w:t>
            </w:r>
          </w:p>
        </w:tc>
        <w:tc>
          <w:tcPr>
            <w:tcW w:w="1417" w:type="dxa"/>
            <w:tcBorders>
              <w:top w:val="nil"/>
              <w:left w:val="nil"/>
              <w:bottom w:val="single" w:sz="4" w:space="0" w:color="auto"/>
              <w:right w:val="single" w:sz="4" w:space="0" w:color="auto"/>
            </w:tcBorders>
            <w:shd w:val="clear" w:color="000000" w:fill="DBE5F1"/>
            <w:noWrap/>
            <w:hideMark/>
          </w:tcPr>
          <w:p w14:paraId="49A30922" w14:textId="0A4C3AA1" w:rsidR="00FC40CB" w:rsidRPr="00F53E25" w:rsidRDefault="00497A5D" w:rsidP="00D67522">
            <w:pPr>
              <w:ind w:left="0" w:firstLine="0"/>
              <w:jc w:val="right"/>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1 541</w:t>
            </w:r>
          </w:p>
        </w:tc>
        <w:tc>
          <w:tcPr>
            <w:tcW w:w="1276" w:type="dxa"/>
            <w:tcBorders>
              <w:top w:val="nil"/>
              <w:left w:val="nil"/>
              <w:bottom w:val="single" w:sz="4" w:space="0" w:color="auto"/>
              <w:right w:val="single" w:sz="4" w:space="0" w:color="auto"/>
            </w:tcBorders>
            <w:shd w:val="clear" w:color="000000" w:fill="DBE5F1"/>
            <w:noWrap/>
            <w:hideMark/>
          </w:tcPr>
          <w:p w14:paraId="0EA227AF" w14:textId="0D4A9B7B" w:rsidR="00FC40CB" w:rsidRPr="00F53E25" w:rsidRDefault="00497A5D" w:rsidP="00D67522">
            <w:pPr>
              <w:ind w:left="0" w:firstLine="0"/>
              <w:jc w:val="right"/>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2 253</w:t>
            </w:r>
          </w:p>
        </w:tc>
        <w:tc>
          <w:tcPr>
            <w:tcW w:w="3691" w:type="dxa"/>
            <w:tcBorders>
              <w:top w:val="nil"/>
              <w:left w:val="nil"/>
              <w:bottom w:val="single" w:sz="4" w:space="0" w:color="auto"/>
              <w:right w:val="single" w:sz="4" w:space="0" w:color="auto"/>
            </w:tcBorders>
            <w:shd w:val="clear" w:color="000000" w:fill="DBE5F1"/>
            <w:noWrap/>
            <w:hideMark/>
          </w:tcPr>
          <w:p w14:paraId="7DD91F3D" w14:textId="4E2E2BCE" w:rsidR="00FC40CB" w:rsidRPr="00F53E25" w:rsidRDefault="00FC40CB" w:rsidP="00D67522">
            <w:pPr>
              <w:ind w:left="0" w:firstLine="0"/>
              <w:rPr>
                <w:rFonts w:asciiTheme="minorHAnsi" w:eastAsia="Times New Roman" w:hAnsiTheme="minorHAnsi" w:cstheme="minorHAnsi"/>
                <w:color w:val="000000"/>
                <w:sz w:val="20"/>
                <w:szCs w:val="20"/>
                <w:lang w:eastAsia="en-GB"/>
              </w:rPr>
            </w:pPr>
          </w:p>
        </w:tc>
      </w:tr>
    </w:tbl>
    <w:p w14:paraId="30BF030A" w14:textId="77777777" w:rsidR="00497A5D" w:rsidRPr="00F53E25" w:rsidRDefault="00497A5D" w:rsidP="00497A5D">
      <w:pPr>
        <w:pStyle w:val="ListParagraph"/>
        <w:ind w:left="426" w:firstLine="0"/>
      </w:pPr>
    </w:p>
    <w:p w14:paraId="356E4F43" w14:textId="15C33B82" w:rsidR="004753C0" w:rsidRPr="00F53E25" w:rsidRDefault="00FA0633" w:rsidP="00497A5D">
      <w:pPr>
        <w:pStyle w:val="ListParagraph"/>
        <w:numPr>
          <w:ilvl w:val="0"/>
          <w:numId w:val="11"/>
        </w:numPr>
        <w:ind w:left="426" w:hanging="426"/>
      </w:pPr>
      <w:r w:rsidRPr="00F53E25">
        <w:t xml:space="preserve">Se destacan los siguientes </w:t>
      </w:r>
      <w:r w:rsidR="00CE7B3E" w:rsidRPr="00F53E25">
        <w:t>aspectos</w:t>
      </w:r>
      <w:r w:rsidRPr="00F53E25">
        <w:t xml:space="preserve"> para </w:t>
      </w:r>
      <w:r w:rsidR="00497A5D" w:rsidRPr="00F53E25">
        <w:t xml:space="preserve">que los </w:t>
      </w:r>
      <w:r w:rsidR="00CE7B3E" w:rsidRPr="00F53E25">
        <w:t>tenga en cuenta</w:t>
      </w:r>
      <w:r w:rsidR="00497A5D" w:rsidRPr="00F53E25">
        <w:t xml:space="preserve"> e</w:t>
      </w:r>
      <w:r w:rsidRPr="00F53E25">
        <w:t>l Comité Permanente:</w:t>
      </w:r>
    </w:p>
    <w:p w14:paraId="63E3886B" w14:textId="77777777" w:rsidR="00112F62" w:rsidRPr="00F53E25" w:rsidRDefault="00112F62" w:rsidP="00162710">
      <w:pPr>
        <w:pStyle w:val="NoSpacing"/>
        <w:ind w:left="850"/>
      </w:pPr>
    </w:p>
    <w:p w14:paraId="2AF561DD" w14:textId="17B5A1A3" w:rsidR="004753C0" w:rsidRPr="00F53E25" w:rsidRDefault="00112F62" w:rsidP="00162710">
      <w:pPr>
        <w:pStyle w:val="NoSpacing"/>
        <w:ind w:left="850"/>
      </w:pPr>
      <w:r w:rsidRPr="00F53E25">
        <w:t>a.</w:t>
      </w:r>
      <w:r w:rsidRPr="00F53E25">
        <w:tab/>
        <w:t xml:space="preserve">En términos generales, los ingresos cumplen las previsiones presupuestarias, salvo en el caso del impuesto sobre la renta, que está </w:t>
      </w:r>
      <w:r w:rsidR="00497A5D" w:rsidRPr="00F53E25">
        <w:t>40</w:t>
      </w:r>
      <w:r w:rsidRPr="00F53E25">
        <w:t xml:space="preserve"> 000 francos suizos por debajo de lo previsto debido a las vacantes, </w:t>
      </w:r>
      <w:r w:rsidR="00497A5D" w:rsidRPr="00F53E25">
        <w:t>y</w:t>
      </w:r>
      <w:r w:rsidRPr="00F53E25">
        <w:t xml:space="preserve"> los demás ingresos, incluidos los ingresos por concepto de intereses, arrojan un saldo de </w:t>
      </w:r>
      <w:r w:rsidR="00497A5D" w:rsidRPr="00F53E25">
        <w:t>7</w:t>
      </w:r>
      <w:r w:rsidRPr="00F53E25">
        <w:t xml:space="preserve"> 000 francos suizos por </w:t>
      </w:r>
      <w:r w:rsidR="00497A5D" w:rsidRPr="00F53E25">
        <w:t>debajo</w:t>
      </w:r>
      <w:r w:rsidRPr="00F53E25">
        <w:t xml:space="preserve"> de lo presupuestado.</w:t>
      </w:r>
    </w:p>
    <w:p w14:paraId="22B831D4" w14:textId="77777777" w:rsidR="00126808" w:rsidRPr="00F53E25" w:rsidRDefault="00126808" w:rsidP="00162710">
      <w:pPr>
        <w:pStyle w:val="NoSpacing"/>
        <w:ind w:left="850"/>
      </w:pPr>
    </w:p>
    <w:p w14:paraId="0F5C63FE" w14:textId="2960758B" w:rsidR="004753C0" w:rsidRPr="00F53E25" w:rsidRDefault="00112F62" w:rsidP="00162710">
      <w:pPr>
        <w:pStyle w:val="NoSpacing"/>
        <w:ind w:left="850"/>
      </w:pPr>
      <w:r w:rsidRPr="00F53E25">
        <w:lastRenderedPageBreak/>
        <w:t>b.</w:t>
      </w:r>
      <w:r w:rsidRPr="00F53E25">
        <w:tab/>
        <w:t xml:space="preserve">El importe total de los costos salariales es de </w:t>
      </w:r>
      <w:r w:rsidR="00CF5595" w:rsidRPr="00F53E25">
        <w:t>3</w:t>
      </w:r>
      <w:r w:rsidRPr="00F53E25">
        <w:t> </w:t>
      </w:r>
      <w:r w:rsidR="00CF5595" w:rsidRPr="00F53E25">
        <w:t>030</w:t>
      </w:r>
      <w:r w:rsidRPr="00F53E25">
        <w:t> 000 francos suizos, lo que supone un índice de ejecución del presupuesto del 8</w:t>
      </w:r>
      <w:r w:rsidR="00CF5595" w:rsidRPr="00F53E25">
        <w:t>3</w:t>
      </w:r>
      <w:r w:rsidR="00F77AAA" w:rsidRPr="00F53E25">
        <w:t xml:space="preserve"> </w:t>
      </w:r>
      <w:r w:rsidRPr="00F53E25">
        <w:t>%</w:t>
      </w:r>
      <w:r w:rsidR="00314586" w:rsidRPr="00F53E25">
        <w:t xml:space="preserve">; </w:t>
      </w:r>
      <w:r w:rsidRPr="00F53E25">
        <w:t>los gastos salariales representan el 6</w:t>
      </w:r>
      <w:r w:rsidR="00CF5595" w:rsidRPr="00F53E25">
        <w:t>9</w:t>
      </w:r>
      <w:r w:rsidR="00F77AAA" w:rsidRPr="00F53E25">
        <w:t xml:space="preserve"> </w:t>
      </w:r>
      <w:r w:rsidRPr="00F53E25">
        <w:t>% de los gastos totales.</w:t>
      </w:r>
    </w:p>
    <w:p w14:paraId="6674AFCF" w14:textId="77777777" w:rsidR="00112F62" w:rsidRPr="00F53E25" w:rsidRDefault="00112F62" w:rsidP="00162710">
      <w:pPr>
        <w:pStyle w:val="NoSpacing"/>
        <w:ind w:left="850"/>
      </w:pPr>
    </w:p>
    <w:p w14:paraId="25897C4E" w14:textId="11558352" w:rsidR="008D5BB1" w:rsidRPr="00F53E25" w:rsidRDefault="00112F62" w:rsidP="00162710">
      <w:pPr>
        <w:pStyle w:val="NoSpacing"/>
        <w:ind w:left="850"/>
        <w:rPr>
          <w:highlight w:val="cyan"/>
        </w:rPr>
      </w:pPr>
      <w:r w:rsidRPr="00F53E25">
        <w:t>c.</w:t>
      </w:r>
      <w:r w:rsidRPr="00F53E25">
        <w:tab/>
        <w:t>No ha habido incrementos impuestos por la UICN por aumento del costo de la vida desde 2011. El sistema de incrementos salariales vinculados al desempeño establecido por la UICN en 2017 se aplicó a la Secretaría en 20</w:t>
      </w:r>
      <w:r w:rsidR="00CF5595" w:rsidRPr="00F53E25">
        <w:t>20</w:t>
      </w:r>
      <w:r w:rsidRPr="00F53E25">
        <w:t xml:space="preserve"> en consonancia con las políticas y prácticas de la UICN. En 20</w:t>
      </w:r>
      <w:r w:rsidR="00CF5595" w:rsidRPr="00F53E25">
        <w:t>20</w:t>
      </w:r>
      <w:r w:rsidRPr="00F53E25">
        <w:t xml:space="preserve">, la Secretaría también aplicó la política de promoción de la UICN </w:t>
      </w:r>
      <w:r w:rsidR="00CF5595" w:rsidRPr="00F53E25">
        <w:t xml:space="preserve">aplicada en 2019 </w:t>
      </w:r>
      <w:r w:rsidRPr="00F53E25">
        <w:t xml:space="preserve">de conformidad con las directrices de la UICN </w:t>
      </w:r>
      <w:r w:rsidR="00314586" w:rsidRPr="00F53E25">
        <w:t>sobre</w:t>
      </w:r>
      <w:r w:rsidRPr="00F53E25">
        <w:t xml:space="preserve"> la promoción de los recursos humanos a escala mundial. Los aumentos salariales resultantes ya habían sido incluidos en el presupuesto aprobado para el trienio (Resolución XIII.2, párrafo 14 y </w:t>
      </w:r>
      <w:r w:rsidR="00AB4C0D" w:rsidRPr="00F53E25">
        <w:t xml:space="preserve">Anexo </w:t>
      </w:r>
      <w:r w:rsidRPr="00F53E25">
        <w:t xml:space="preserve">1). </w:t>
      </w:r>
    </w:p>
    <w:p w14:paraId="26728997" w14:textId="77777777" w:rsidR="00112F62" w:rsidRPr="00F53E25" w:rsidRDefault="00112F62" w:rsidP="00162710">
      <w:pPr>
        <w:pStyle w:val="NoSpacing"/>
        <w:ind w:left="850"/>
      </w:pPr>
    </w:p>
    <w:p w14:paraId="35EAA4C6" w14:textId="1FDB95BD" w:rsidR="004F6BEB" w:rsidRPr="00F53E25" w:rsidRDefault="00112F62" w:rsidP="00162710">
      <w:pPr>
        <w:pStyle w:val="NoSpacing"/>
        <w:ind w:left="850"/>
      </w:pPr>
      <w:r w:rsidRPr="00F53E25">
        <w:t>d.</w:t>
      </w:r>
      <w:r w:rsidRPr="00F53E25">
        <w:tab/>
      </w:r>
      <w:r w:rsidR="00CF5595" w:rsidRPr="00F53E25">
        <w:t>De conformidad con la De</w:t>
      </w:r>
      <w:r w:rsidR="00FC68A4" w:rsidRPr="00F53E25">
        <w:t>c</w:t>
      </w:r>
      <w:r w:rsidR="00CF5595" w:rsidRPr="00F53E25">
        <w:t xml:space="preserve">isión SC58-31, se presentan las provisiones en dos partidas presupuestarias </w:t>
      </w:r>
      <w:r w:rsidR="00FC68A4" w:rsidRPr="00F53E25">
        <w:t>separadas</w:t>
      </w:r>
      <w:r w:rsidR="00CF5595" w:rsidRPr="00F53E25">
        <w:t xml:space="preserve">: 1) </w:t>
      </w:r>
      <w:r w:rsidR="00FC68A4" w:rsidRPr="00F53E25">
        <w:t>provisiones correspondientes al personal</w:t>
      </w:r>
      <w:r w:rsidR="00314586" w:rsidRPr="00F53E25">
        <w:t xml:space="preserve"> </w:t>
      </w:r>
      <w:r w:rsidR="00FC68A4" w:rsidRPr="00F53E25">
        <w:t>y</w:t>
      </w:r>
      <w:r w:rsidR="00CF5595" w:rsidRPr="00F53E25">
        <w:t xml:space="preserve"> 2) provisiones correspondientes a las contribuciones pendientes. Esto </w:t>
      </w:r>
      <w:r w:rsidR="00FC68A4" w:rsidRPr="00F53E25">
        <w:t>permitirá</w:t>
      </w:r>
      <w:r w:rsidR="00CF5595" w:rsidRPr="00F53E25">
        <w:t xml:space="preserve"> una mejor gestión y transparencia en el uso de las provisiones</w:t>
      </w:r>
      <w:r w:rsidRPr="00F53E25">
        <w:t xml:space="preserve">. </w:t>
      </w:r>
    </w:p>
    <w:p w14:paraId="4BE13ACC" w14:textId="77777777" w:rsidR="004F6BEB" w:rsidRPr="00F53E25" w:rsidRDefault="004F6BEB" w:rsidP="00162710">
      <w:pPr>
        <w:pStyle w:val="NoSpacing"/>
        <w:ind w:left="850" w:firstLine="0"/>
      </w:pPr>
    </w:p>
    <w:p w14:paraId="2D49577D" w14:textId="460C4170" w:rsidR="00CF5595" w:rsidRPr="00F53E25" w:rsidRDefault="00CF5595" w:rsidP="00CF5595">
      <w:pPr>
        <w:pStyle w:val="NoSpacing"/>
        <w:ind w:left="851"/>
      </w:pPr>
      <w:r w:rsidRPr="00F53E25">
        <w:t>e.</w:t>
      </w:r>
      <w:r w:rsidRPr="00F53E25">
        <w:tab/>
      </w:r>
      <w:r w:rsidR="00FC68A4" w:rsidRPr="00F53E25">
        <w:t xml:space="preserve">Las provisiones correspondientes al personal presupuestadas aumentaron en 23 000 francos suizos como resultado neto de una revisión de las estimaciones como sigue: un </w:t>
      </w:r>
      <w:r w:rsidR="007124BD" w:rsidRPr="00F53E25">
        <w:t>aumento</w:t>
      </w:r>
      <w:r w:rsidR="00FC68A4" w:rsidRPr="00F53E25">
        <w:t xml:space="preserve"> de la provisión para la separación del personal de 18 000 francos suizos, una disminución de la provisión para repatriación del personal de 29 000 francos </w:t>
      </w:r>
      <w:r w:rsidR="007124BD" w:rsidRPr="00F53E25">
        <w:t>suizos</w:t>
      </w:r>
      <w:r w:rsidR="00FC68A4" w:rsidRPr="00F53E25">
        <w:t xml:space="preserve"> y una disminución de la provisión para vacaciones del personal de 12 000 francos suizos</w:t>
      </w:r>
      <w:r w:rsidRPr="00F53E25">
        <w:t xml:space="preserve">. </w:t>
      </w:r>
    </w:p>
    <w:p w14:paraId="71AE1ECA" w14:textId="77777777" w:rsidR="00CF5595" w:rsidRPr="00F53E25" w:rsidRDefault="00CF5595" w:rsidP="00CF5595">
      <w:pPr>
        <w:pStyle w:val="NoSpacing"/>
        <w:ind w:left="851"/>
      </w:pPr>
    </w:p>
    <w:p w14:paraId="131523C0" w14:textId="33C49F23" w:rsidR="004753C0" w:rsidRPr="00F53E25" w:rsidRDefault="00CF5595" w:rsidP="00FC68A4">
      <w:pPr>
        <w:pStyle w:val="NoSpacing"/>
        <w:ind w:left="851"/>
      </w:pPr>
      <w:r w:rsidRPr="00F53E25">
        <w:t>f.</w:t>
      </w:r>
      <w:r w:rsidRPr="00F53E25">
        <w:tab/>
      </w:r>
      <w:r w:rsidR="00CE7B3E" w:rsidRPr="00F53E25">
        <w:t xml:space="preserve">Del total de la provisión para las </w:t>
      </w:r>
      <w:r w:rsidR="00FC68A4" w:rsidRPr="00F53E25">
        <w:t xml:space="preserve">contribuciones </w:t>
      </w:r>
      <w:r w:rsidR="007124BD" w:rsidRPr="00F53E25">
        <w:t>pendientes</w:t>
      </w:r>
      <w:r w:rsidR="00FC68A4" w:rsidRPr="00F53E25">
        <w:t xml:space="preserve"> de pago </w:t>
      </w:r>
      <w:r w:rsidR="00CE7B3E" w:rsidRPr="00F53E25">
        <w:t>(</w:t>
      </w:r>
      <w:r w:rsidR="00FC68A4" w:rsidRPr="00F53E25">
        <w:t>162 000 francos suizos</w:t>
      </w:r>
      <w:r w:rsidR="00CE7B3E" w:rsidRPr="00F53E25">
        <w:t>)</w:t>
      </w:r>
      <w:r w:rsidR="00FC68A4" w:rsidRPr="00F53E25">
        <w:t xml:space="preserve">, </w:t>
      </w:r>
      <w:r w:rsidR="00CE7B3E" w:rsidRPr="00F53E25">
        <w:t xml:space="preserve">se utilizaron </w:t>
      </w:r>
      <w:r w:rsidR="00FC68A4" w:rsidRPr="00F53E25">
        <w:t>94 000 francos suizos, lo cual arroja un saldo no utilizado de 68 000 francos suizos</w:t>
      </w:r>
      <w:r w:rsidR="00FA0633" w:rsidRPr="00F53E25">
        <w:t xml:space="preserve">. </w:t>
      </w:r>
    </w:p>
    <w:p w14:paraId="2D093193" w14:textId="77777777" w:rsidR="000F435C" w:rsidRPr="00F53E25" w:rsidRDefault="000F435C" w:rsidP="00162710">
      <w:pPr>
        <w:pStyle w:val="NoSpacing"/>
        <w:ind w:left="850"/>
      </w:pPr>
    </w:p>
    <w:p w14:paraId="460A3B24" w14:textId="1C61D66D" w:rsidR="00FC68A4" w:rsidRPr="00F53E25" w:rsidRDefault="00FA0633" w:rsidP="00FC68A4">
      <w:pPr>
        <w:pStyle w:val="NoSpacing"/>
        <w:numPr>
          <w:ilvl w:val="0"/>
          <w:numId w:val="11"/>
        </w:numPr>
        <w:ind w:left="426" w:hanging="426"/>
      </w:pPr>
      <w:r w:rsidRPr="00F53E25">
        <w:t xml:space="preserve">Como se </w:t>
      </w:r>
      <w:r w:rsidR="00314586" w:rsidRPr="00F53E25">
        <w:t>menciona</w:t>
      </w:r>
      <w:r w:rsidRPr="00F53E25">
        <w:t xml:space="preserve"> en el </w:t>
      </w:r>
      <w:r w:rsidRPr="00F53E25">
        <w:rPr>
          <w:color w:val="000000" w:themeColor="text1"/>
        </w:rPr>
        <w:t xml:space="preserve">párrafo </w:t>
      </w:r>
      <w:r w:rsidR="00E53EFF" w:rsidRPr="00F53E25">
        <w:rPr>
          <w:color w:val="000000" w:themeColor="text1"/>
        </w:rPr>
        <w:t>11</w:t>
      </w:r>
      <w:r w:rsidRPr="00F53E25">
        <w:rPr>
          <w:color w:val="000000" w:themeColor="text1"/>
        </w:rPr>
        <w:t xml:space="preserve">, los fondos previamente comprometidos y los saldos no comprometidos o no gastados se </w:t>
      </w:r>
      <w:r w:rsidRPr="00F53E25">
        <w:t>traspasarán a 202</w:t>
      </w:r>
      <w:r w:rsidR="00E53EFF" w:rsidRPr="00F53E25">
        <w:t>1</w:t>
      </w:r>
      <w:r w:rsidRPr="00F53E25">
        <w:t>.</w:t>
      </w:r>
    </w:p>
    <w:p w14:paraId="35E3EA52" w14:textId="77777777" w:rsidR="00FC68A4" w:rsidRPr="00F53E25" w:rsidRDefault="00FC68A4" w:rsidP="00FC68A4">
      <w:pPr>
        <w:pStyle w:val="NoSpacing"/>
        <w:ind w:left="426" w:firstLine="0"/>
      </w:pPr>
    </w:p>
    <w:p w14:paraId="3ECE0B0A" w14:textId="743A1489" w:rsidR="009A176F" w:rsidRPr="00F53E25" w:rsidRDefault="00FA0633" w:rsidP="00FC68A4">
      <w:pPr>
        <w:pStyle w:val="NoSpacing"/>
        <w:numPr>
          <w:ilvl w:val="0"/>
          <w:numId w:val="11"/>
        </w:numPr>
        <w:ind w:left="426" w:hanging="426"/>
      </w:pPr>
      <w:r w:rsidRPr="00F53E25">
        <w:t xml:space="preserve">Los fondos que antes de 2017 se habían transferido a proyectos no financiados con cargo al presupuesto básico se mantienen en la categoría de financiación con el presupuesto no básico y se están utilizando para el fin específico aprobado por la Decisión SC54-26. En el informe sobre los fondos complementarios que figura en el </w:t>
      </w:r>
      <w:r w:rsidR="00AB4C0D" w:rsidRPr="00F53E25">
        <w:t xml:space="preserve">Anexo </w:t>
      </w:r>
      <w:r w:rsidRPr="00F53E25">
        <w:t>3 se ofrece un</w:t>
      </w:r>
      <w:r w:rsidR="00CE7B3E" w:rsidRPr="00F53E25">
        <w:t xml:space="preserve"> resumen </w:t>
      </w:r>
      <w:r w:rsidRPr="00F53E25">
        <w:t>al respecto</w:t>
      </w:r>
      <w:r w:rsidR="00FD1416" w:rsidRPr="00F53E25">
        <w:t>.</w:t>
      </w:r>
      <w:r w:rsidRPr="00F53E25">
        <w:t xml:space="preserve"> La práctica de </w:t>
      </w:r>
      <w:r w:rsidR="00FD1416" w:rsidRPr="00F53E25">
        <w:t xml:space="preserve">realizar </w:t>
      </w:r>
      <w:r w:rsidRPr="00F53E25">
        <w:t xml:space="preserve">estos traspasos </w:t>
      </w:r>
      <w:r w:rsidR="00CE7B3E" w:rsidRPr="00F53E25">
        <w:t xml:space="preserve">cesó </w:t>
      </w:r>
      <w:r w:rsidRPr="00F53E25">
        <w:t>en 2017.</w:t>
      </w:r>
    </w:p>
    <w:p w14:paraId="516A09DF" w14:textId="6C0986DA" w:rsidR="00E6749C" w:rsidRPr="00F53E25" w:rsidRDefault="00E6749C" w:rsidP="00162710">
      <w:pPr>
        <w:pStyle w:val="NoSpacing"/>
      </w:pPr>
    </w:p>
    <w:p w14:paraId="38D6747D" w14:textId="061F2D50" w:rsidR="00E6749C" w:rsidRPr="00F53E25" w:rsidRDefault="00633900" w:rsidP="00E6749C">
      <w:pPr>
        <w:ind w:left="0" w:firstLine="0"/>
        <w:rPr>
          <w:i/>
          <w:iCs/>
        </w:rPr>
      </w:pPr>
      <w:r w:rsidRPr="00F53E25">
        <w:rPr>
          <w:i/>
          <w:iCs/>
        </w:rPr>
        <w:t xml:space="preserve">Revisiones </w:t>
      </w:r>
      <w:r w:rsidR="00F51DFC" w:rsidRPr="00F53E25">
        <w:rPr>
          <w:i/>
          <w:iCs/>
        </w:rPr>
        <w:t>en el</w:t>
      </w:r>
      <w:r w:rsidRPr="00F53E25">
        <w:rPr>
          <w:i/>
          <w:iCs/>
        </w:rPr>
        <w:t xml:space="preserve"> presupuesto básico para 2020 aprobadas por el Comité Permanente</w:t>
      </w:r>
    </w:p>
    <w:p w14:paraId="7C8EC07F" w14:textId="77777777" w:rsidR="00633900" w:rsidRPr="00F53E25" w:rsidRDefault="00633900" w:rsidP="00E6749C"/>
    <w:p w14:paraId="37C64D6F" w14:textId="52D9BAFA" w:rsidR="00E6749C" w:rsidRPr="00F53E25" w:rsidRDefault="00633900" w:rsidP="00633900">
      <w:pPr>
        <w:pStyle w:val="ListParagraph"/>
        <w:numPr>
          <w:ilvl w:val="0"/>
          <w:numId w:val="11"/>
        </w:numPr>
        <w:ind w:left="426" w:hanging="426"/>
      </w:pPr>
      <w:r w:rsidRPr="00F53E25">
        <w:t xml:space="preserve">Se hicieron las siguientes revisiones en el presupuesto </w:t>
      </w:r>
      <w:r w:rsidR="007124BD" w:rsidRPr="00F53E25">
        <w:t>básico</w:t>
      </w:r>
      <w:r w:rsidRPr="00F53E25">
        <w:t xml:space="preserve"> en 2020</w:t>
      </w:r>
      <w:r w:rsidR="00E6749C" w:rsidRPr="00F53E25">
        <w:t>:</w:t>
      </w:r>
    </w:p>
    <w:p w14:paraId="2F6ED70B" w14:textId="64E66AA9" w:rsidR="00E6749C" w:rsidRPr="00F53E25" w:rsidRDefault="00E6749C" w:rsidP="00E6749C"/>
    <w:p w14:paraId="4A3C9E35" w14:textId="51131D57" w:rsidR="00E6749C" w:rsidRPr="00F53E25" w:rsidRDefault="00E6749C" w:rsidP="00E6749C">
      <w:pPr>
        <w:pStyle w:val="NoSpacing"/>
        <w:ind w:left="851"/>
      </w:pPr>
      <w:r w:rsidRPr="00F53E25">
        <w:t>a.</w:t>
      </w:r>
      <w:r w:rsidRPr="00F53E25">
        <w:tab/>
      </w:r>
      <w:r w:rsidR="007124BD" w:rsidRPr="00F53E25">
        <w:t>Como</w:t>
      </w:r>
      <w:r w:rsidR="00633900" w:rsidRPr="00F53E25">
        <w:t xml:space="preserve"> se señala en el párrafo 6, el presupuesto básico para 2020 aprobado por la COP13 fue revisado durante la reunión virtual SC58 </w:t>
      </w:r>
      <w:r w:rsidRPr="00F53E25">
        <w:t>(Decisi</w:t>
      </w:r>
      <w:r w:rsidR="00633900" w:rsidRPr="00F53E25">
        <w:t>ó</w:t>
      </w:r>
      <w:r w:rsidRPr="00F53E25">
        <w:t xml:space="preserve">n SC58-30) </w:t>
      </w:r>
      <w:r w:rsidR="00633900" w:rsidRPr="00F53E25">
        <w:t xml:space="preserve">en junio de </w:t>
      </w:r>
      <w:r w:rsidRPr="00F53E25">
        <w:t xml:space="preserve">2020 </w:t>
      </w:r>
      <w:r w:rsidR="00633900" w:rsidRPr="00F53E25">
        <w:t xml:space="preserve">para reconocer los ahorros </w:t>
      </w:r>
      <w:r w:rsidR="00F51DFC" w:rsidRPr="00F53E25">
        <w:t>efectuados</w:t>
      </w:r>
      <w:r w:rsidR="00633900" w:rsidRPr="00F53E25">
        <w:t xml:space="preserve"> en distintas partidas </w:t>
      </w:r>
      <w:r w:rsidR="007124BD" w:rsidRPr="00F53E25">
        <w:t>presupuestarias</w:t>
      </w:r>
      <w:r w:rsidR="00633900" w:rsidRPr="00F53E25">
        <w:t xml:space="preserve"> debido a la pandemia de </w:t>
      </w:r>
      <w:r w:rsidRPr="00F53E25">
        <w:t>COVID-19</w:t>
      </w:r>
      <w:r w:rsidR="00633900" w:rsidRPr="00F53E25">
        <w:t xml:space="preserve">, que afectó a actividades como los viajes y las reuniones y </w:t>
      </w:r>
      <w:r w:rsidR="00E3154B" w:rsidRPr="00F53E25">
        <w:t xml:space="preserve">también a </w:t>
      </w:r>
      <w:r w:rsidR="00633900" w:rsidRPr="00F53E25">
        <w:t xml:space="preserve">la ejecución de </w:t>
      </w:r>
      <w:r w:rsidR="007124BD" w:rsidRPr="00F53E25">
        <w:t>actividades</w:t>
      </w:r>
      <w:r w:rsidR="00633900" w:rsidRPr="00F53E25">
        <w:t xml:space="preserve"> por las iniciativas regionales de Ramsar</w:t>
      </w:r>
      <w:r w:rsidRPr="00F53E25">
        <w:t xml:space="preserve">. </w:t>
      </w:r>
    </w:p>
    <w:p w14:paraId="128E2F99" w14:textId="77777777" w:rsidR="00E6749C" w:rsidRPr="00F53E25" w:rsidRDefault="00E6749C" w:rsidP="00E6749C">
      <w:pPr>
        <w:pStyle w:val="NoSpacing"/>
        <w:ind w:left="851"/>
      </w:pPr>
    </w:p>
    <w:p w14:paraId="73C4B9F9" w14:textId="04A689AD" w:rsidR="00E6749C" w:rsidRPr="00F53E25" w:rsidRDefault="00E6749C" w:rsidP="00633900">
      <w:pPr>
        <w:pStyle w:val="NoSpacing"/>
        <w:ind w:left="851"/>
        <w:rPr>
          <w:rFonts w:asciiTheme="minorHAnsi" w:eastAsia="Times New Roman" w:hAnsiTheme="minorHAnsi" w:cstheme="minorHAnsi"/>
        </w:rPr>
      </w:pPr>
      <w:r w:rsidRPr="00F53E25">
        <w:t>b.</w:t>
      </w:r>
      <w:r w:rsidRPr="00F53E25">
        <w:tab/>
      </w:r>
      <w:r w:rsidR="00633900" w:rsidRPr="00F53E25">
        <w:rPr>
          <w:rFonts w:asciiTheme="minorHAnsi" w:hAnsiTheme="minorHAnsi" w:cstheme="minorHAnsi"/>
        </w:rPr>
        <w:t xml:space="preserve">Mediante la </w:t>
      </w:r>
      <w:r w:rsidR="007124BD" w:rsidRPr="00F53E25">
        <w:rPr>
          <w:rFonts w:asciiTheme="minorHAnsi" w:hAnsiTheme="minorHAnsi" w:cstheme="minorHAnsi"/>
        </w:rPr>
        <w:t>Decisión</w:t>
      </w:r>
      <w:r w:rsidRPr="00F53E25">
        <w:rPr>
          <w:rFonts w:asciiTheme="minorHAnsi" w:hAnsiTheme="minorHAnsi" w:cstheme="minorHAnsi"/>
        </w:rPr>
        <w:t xml:space="preserve"> SC58-28, </w:t>
      </w:r>
      <w:r w:rsidR="00633900" w:rsidRPr="00F53E25">
        <w:rPr>
          <w:rFonts w:asciiTheme="minorHAnsi" w:hAnsiTheme="minorHAnsi" w:cstheme="minorHAnsi"/>
        </w:rPr>
        <w:t xml:space="preserve">el Comité Permanente “aprobó la asignación de 15 000 francos suizos de una propuesta original de 25 000 francos suizos a cada una de las cuatro iniciativas regionales de Ramsar que reunían los requisitos para realizar sus actividades en 2020 con cargo a la partida D del presupuesto básico “Apoyo a las iniciativas regionales”, </w:t>
      </w:r>
      <w:r w:rsidR="00633900" w:rsidRPr="00F53E25">
        <w:rPr>
          <w:rFonts w:asciiTheme="minorHAnsi" w:hAnsiTheme="minorHAnsi" w:cstheme="minorHAnsi"/>
        </w:rPr>
        <w:lastRenderedPageBreak/>
        <w:t>teniendo en cuenta los remanentes de 2019 y la situación de pandemia que probablemente daría lugar a la restricción de actividades por el resto de 2020, y tomó nota de la apertura de los miembros del Subgrupo de Finanzas hacia las iniciativas regionales de Ramsar que reunieran los requisitos y que solicitaran 10 000 francos suizos adicionales durante su reunión de octubre”.</w:t>
      </w:r>
    </w:p>
    <w:p w14:paraId="1DE8483C" w14:textId="77777777" w:rsidR="00633900" w:rsidRPr="00F53E25" w:rsidRDefault="00633900" w:rsidP="00633900">
      <w:pPr>
        <w:pStyle w:val="NoSpacing"/>
        <w:ind w:left="851"/>
        <w:rPr>
          <w:rFonts w:asciiTheme="minorHAnsi" w:eastAsia="Times New Roman" w:hAnsiTheme="minorHAnsi" w:cstheme="minorHAnsi"/>
        </w:rPr>
      </w:pPr>
    </w:p>
    <w:p w14:paraId="6D603377" w14:textId="4026ABA6" w:rsidR="00E6749C" w:rsidRPr="00F53E25" w:rsidRDefault="00E6749C" w:rsidP="00E6749C">
      <w:pPr>
        <w:pStyle w:val="NoSpacing"/>
        <w:ind w:left="851"/>
      </w:pPr>
      <w:r w:rsidRPr="00F53E25">
        <w:t>c.</w:t>
      </w:r>
      <w:r w:rsidRPr="00F53E25">
        <w:tab/>
      </w:r>
      <w:r w:rsidR="00633900" w:rsidRPr="00F53E25">
        <w:t xml:space="preserve">En consecuencia y </w:t>
      </w:r>
      <w:r w:rsidR="00862105" w:rsidRPr="00F53E25">
        <w:t xml:space="preserve">en respuesta a las </w:t>
      </w:r>
      <w:r w:rsidR="00F20FCC" w:rsidRPr="00F53E25">
        <w:t>peticiones</w:t>
      </w:r>
      <w:r w:rsidR="00633900" w:rsidRPr="00F53E25">
        <w:t xml:space="preserve"> de dos iniciativas regionales, el </w:t>
      </w:r>
      <w:r w:rsidR="007124BD" w:rsidRPr="00F53E25">
        <w:t>Comité Permanente</w:t>
      </w:r>
      <w:r w:rsidR="00633900" w:rsidRPr="00F53E25">
        <w:t xml:space="preserve"> aprobó entre </w:t>
      </w:r>
      <w:r w:rsidR="00862105" w:rsidRPr="00F53E25">
        <w:t xml:space="preserve">períodos de </w:t>
      </w:r>
      <w:r w:rsidR="00633900" w:rsidRPr="00F53E25">
        <w:t>sesiones en febrero de 2021 la asignación presupuestaria restante de 10 000 francos suizos</w:t>
      </w:r>
      <w:r w:rsidR="00E3154B" w:rsidRPr="00F53E25">
        <w:t xml:space="preserve"> </w:t>
      </w:r>
      <w:r w:rsidR="00633900" w:rsidRPr="00F53E25">
        <w:t xml:space="preserve">de la propuesta original de 25 000 francos suizos a dos de las cuatro iniciativas regionales de Ramsar (IRR) candidatas en el contexto de la </w:t>
      </w:r>
      <w:r w:rsidR="007124BD" w:rsidRPr="00F53E25">
        <w:t>Decisión</w:t>
      </w:r>
      <w:r w:rsidR="00633900" w:rsidRPr="00F53E25">
        <w:t xml:space="preserve"> </w:t>
      </w:r>
      <w:r w:rsidRPr="00F53E25">
        <w:t>SC58-28</w:t>
      </w:r>
      <w:r w:rsidR="00633900" w:rsidRPr="00F53E25">
        <w:t xml:space="preserve"> para sus </w:t>
      </w:r>
      <w:r w:rsidR="007124BD" w:rsidRPr="00F53E25">
        <w:t>actividades</w:t>
      </w:r>
      <w:r w:rsidR="00633900" w:rsidRPr="00F53E25">
        <w:t xml:space="preserve"> en </w:t>
      </w:r>
      <w:r w:rsidRPr="00F53E25">
        <w:t>2020</w:t>
      </w:r>
      <w:r w:rsidR="00633900" w:rsidRPr="00F53E25">
        <w:t xml:space="preserve"> </w:t>
      </w:r>
      <w:r w:rsidR="00F9777B" w:rsidRPr="00F53E25">
        <w:t xml:space="preserve">con cargo a la </w:t>
      </w:r>
      <w:r w:rsidR="00633900" w:rsidRPr="00F53E25">
        <w:t xml:space="preserve">misma partida del presupuesto básico. Las dos IRR son la </w:t>
      </w:r>
      <w:r w:rsidR="002D25A8" w:rsidRPr="00F53E25">
        <w:t xml:space="preserve">Iniciativa regional </w:t>
      </w:r>
      <w:r w:rsidR="000341C3" w:rsidRPr="00F53E25">
        <w:t xml:space="preserve">de </w:t>
      </w:r>
      <w:r w:rsidR="002D25A8" w:rsidRPr="00F53E25">
        <w:t xml:space="preserve">Asia Central y </w:t>
      </w:r>
      <w:r w:rsidR="000341C3" w:rsidRPr="00F53E25">
        <w:t>la Iniciativa regional Indo-</w:t>
      </w:r>
      <w:r w:rsidR="00C363FB" w:rsidRPr="00F53E25">
        <w:t>B</w:t>
      </w:r>
      <w:r w:rsidR="000341C3" w:rsidRPr="00F53E25">
        <w:t>irmana</w:t>
      </w:r>
      <w:r w:rsidRPr="00F53E25">
        <w:t>.</w:t>
      </w:r>
    </w:p>
    <w:p w14:paraId="1EA3540B" w14:textId="77777777" w:rsidR="00E6749C" w:rsidRPr="00F53E25" w:rsidRDefault="00E6749C" w:rsidP="00E6749C">
      <w:pPr>
        <w:pStyle w:val="NoSpacing"/>
        <w:ind w:left="851"/>
      </w:pPr>
    </w:p>
    <w:p w14:paraId="7ADBEE8D" w14:textId="398504AA" w:rsidR="00E6749C" w:rsidRPr="00F53E25" w:rsidRDefault="00E6749C" w:rsidP="00E6749C">
      <w:pPr>
        <w:pStyle w:val="NoSpacing"/>
        <w:ind w:left="851"/>
        <w:rPr>
          <w:color w:val="000000" w:themeColor="text1"/>
        </w:rPr>
      </w:pPr>
      <w:r w:rsidRPr="00F53E25">
        <w:t>d.</w:t>
      </w:r>
      <w:r w:rsidRPr="00F53E25">
        <w:tab/>
      </w:r>
      <w:r w:rsidR="00633900" w:rsidRPr="00F53E25">
        <w:t>Es</w:t>
      </w:r>
      <w:r w:rsidR="00413BA7" w:rsidRPr="00F53E25">
        <w:t>a</w:t>
      </w:r>
      <w:r w:rsidR="00633900" w:rsidRPr="00F53E25">
        <w:t xml:space="preserve">s revisiones </w:t>
      </w:r>
      <w:r w:rsidR="00413BA7" w:rsidRPr="00F53E25">
        <w:t xml:space="preserve">están reflejadas </w:t>
      </w:r>
      <w:r w:rsidR="00633900" w:rsidRPr="00F53E25">
        <w:t>en el presupuesto de 2020. El total de ahorros</w:t>
      </w:r>
      <w:r w:rsidR="00413BA7" w:rsidRPr="00F53E25">
        <w:t xml:space="preserve"> realizados</w:t>
      </w:r>
      <w:r w:rsidR="00633900" w:rsidRPr="00F53E25">
        <w:t xml:space="preserve"> </w:t>
      </w:r>
      <w:r w:rsidR="00D00A15" w:rsidRPr="00F53E25">
        <w:t>en</w:t>
      </w:r>
      <w:r w:rsidR="00633900" w:rsidRPr="00F53E25">
        <w:t xml:space="preserve"> 2020 (709 000 francos suizos</w:t>
      </w:r>
      <w:r w:rsidR="00413BA7" w:rsidRPr="00F53E25">
        <w:t xml:space="preserve">; </w:t>
      </w:r>
      <w:r w:rsidR="00633900" w:rsidRPr="00F53E25">
        <w:t xml:space="preserve">véase el párrafo 7) se presenta en una partida presupuestaria separada en el </w:t>
      </w:r>
      <w:r w:rsidR="00633900" w:rsidRPr="00F53E25">
        <w:rPr>
          <w:color w:val="000000" w:themeColor="text1"/>
        </w:rPr>
        <w:t xml:space="preserve">punto </w:t>
      </w:r>
      <w:r w:rsidR="00633900" w:rsidRPr="00F53E25">
        <w:t>K</w:t>
      </w:r>
      <w:r w:rsidR="00413BA7" w:rsidRPr="00F53E25">
        <w:t xml:space="preserve"> (Varios </w:t>
      </w:r>
      <w:r w:rsidR="00633900" w:rsidRPr="00F53E25">
        <w:t xml:space="preserve">– Fondo de </w:t>
      </w:r>
      <w:r w:rsidR="00D00A15" w:rsidRPr="00F53E25">
        <w:t>r</w:t>
      </w:r>
      <w:r w:rsidR="00633900" w:rsidRPr="00F53E25">
        <w:t>eserva</w:t>
      </w:r>
      <w:r w:rsidR="00413BA7" w:rsidRPr="00F53E25">
        <w:t xml:space="preserve">) </w:t>
      </w:r>
      <w:r w:rsidR="00325502" w:rsidRPr="00F53E25">
        <w:t>llamada</w:t>
      </w:r>
      <w:r w:rsidR="001A664B" w:rsidRPr="00F53E25">
        <w:t xml:space="preserve"> </w:t>
      </w:r>
      <w:r w:rsidR="00633900" w:rsidRPr="00F53E25">
        <w:t>“</w:t>
      </w:r>
      <w:r w:rsidR="00325502" w:rsidRPr="00F53E25">
        <w:rPr>
          <w:color w:val="000000" w:themeColor="text1"/>
        </w:rPr>
        <w:t xml:space="preserve">Presupuesto ajustado en la </w:t>
      </w:r>
      <w:r w:rsidRPr="00F53E25">
        <w:rPr>
          <w:color w:val="000000" w:themeColor="text1"/>
        </w:rPr>
        <w:t xml:space="preserve">SC58 </w:t>
      </w:r>
      <w:r w:rsidR="00325502" w:rsidRPr="00F53E25">
        <w:rPr>
          <w:color w:val="000000" w:themeColor="text1"/>
        </w:rPr>
        <w:t>y</w:t>
      </w:r>
      <w:r w:rsidRPr="00F53E25">
        <w:rPr>
          <w:color w:val="000000" w:themeColor="text1"/>
        </w:rPr>
        <w:t xml:space="preserve"> </w:t>
      </w:r>
      <w:r w:rsidR="00325502" w:rsidRPr="00F53E25">
        <w:rPr>
          <w:color w:val="000000" w:themeColor="text1"/>
        </w:rPr>
        <w:t xml:space="preserve">ahorros no comprometidos </w:t>
      </w:r>
      <w:r w:rsidR="00404FE5" w:rsidRPr="00F53E25">
        <w:rPr>
          <w:color w:val="000000" w:themeColor="text1"/>
        </w:rPr>
        <w:t>traspasados</w:t>
      </w:r>
      <w:r w:rsidRPr="00F53E25">
        <w:rPr>
          <w:color w:val="000000" w:themeColor="text1"/>
        </w:rPr>
        <w:t>”</w:t>
      </w:r>
      <w:r w:rsidR="00633900" w:rsidRPr="00F53E25">
        <w:rPr>
          <w:color w:val="000000" w:themeColor="text1"/>
        </w:rPr>
        <w:t xml:space="preserve"> </w:t>
      </w:r>
      <w:r w:rsidR="00325502" w:rsidRPr="00F53E25">
        <w:rPr>
          <w:color w:val="000000" w:themeColor="text1"/>
        </w:rPr>
        <w:t>en</w:t>
      </w:r>
      <w:r w:rsidR="00633900" w:rsidRPr="00F53E25">
        <w:rPr>
          <w:color w:val="000000" w:themeColor="text1"/>
        </w:rPr>
        <w:t xml:space="preserve"> </w:t>
      </w:r>
      <w:r w:rsidR="00325502" w:rsidRPr="00F53E25">
        <w:rPr>
          <w:color w:val="000000" w:themeColor="text1"/>
        </w:rPr>
        <w:t>los anexos 2 y 4</w:t>
      </w:r>
      <w:r w:rsidR="00633900" w:rsidRPr="00F53E25">
        <w:rPr>
          <w:color w:val="000000" w:themeColor="text1"/>
        </w:rPr>
        <w:t>.</w:t>
      </w:r>
    </w:p>
    <w:p w14:paraId="625B9F24" w14:textId="77777777" w:rsidR="00E6749C" w:rsidRPr="00F53E25" w:rsidRDefault="00E6749C" w:rsidP="00E6749C">
      <w:pPr>
        <w:pStyle w:val="NoSpacing"/>
        <w:ind w:left="851" w:firstLine="0"/>
      </w:pPr>
    </w:p>
    <w:p w14:paraId="77180C04" w14:textId="279822D6" w:rsidR="00304F7C" w:rsidRPr="00F53E25" w:rsidRDefault="00633900" w:rsidP="00325502">
      <w:pPr>
        <w:pStyle w:val="NoSpacing"/>
        <w:keepNext/>
        <w:ind w:left="0" w:firstLine="0"/>
      </w:pPr>
      <w:r w:rsidRPr="00F53E25">
        <w:rPr>
          <w:b/>
        </w:rPr>
        <w:t xml:space="preserve">Saldo </w:t>
      </w:r>
      <w:r w:rsidR="00404FE5" w:rsidRPr="00F53E25">
        <w:rPr>
          <w:b/>
        </w:rPr>
        <w:t>traspasado</w:t>
      </w:r>
      <w:r w:rsidRPr="00F53E25">
        <w:rPr>
          <w:b/>
        </w:rPr>
        <w:t xml:space="preserve"> </w:t>
      </w:r>
      <w:r w:rsidR="002875B4" w:rsidRPr="00F53E25">
        <w:rPr>
          <w:b/>
        </w:rPr>
        <w:t>de</w:t>
      </w:r>
      <w:r w:rsidRPr="00F53E25">
        <w:rPr>
          <w:b/>
        </w:rPr>
        <w:t xml:space="preserve"> 2020</w:t>
      </w:r>
      <w:r w:rsidR="002875B4" w:rsidRPr="00F53E25">
        <w:rPr>
          <w:b/>
        </w:rPr>
        <w:t xml:space="preserve"> a 2021</w:t>
      </w:r>
    </w:p>
    <w:p w14:paraId="12FAA4CC" w14:textId="77777777" w:rsidR="00241BD9" w:rsidRPr="00F53E25" w:rsidRDefault="00241BD9" w:rsidP="00162710">
      <w:pPr>
        <w:pStyle w:val="NoSpacing"/>
      </w:pPr>
    </w:p>
    <w:p w14:paraId="46E41E41" w14:textId="35B372AE" w:rsidR="00AB0E73" w:rsidRPr="00F53E25" w:rsidRDefault="00325502" w:rsidP="00AB0E73">
      <w:pPr>
        <w:pStyle w:val="ListParagraph"/>
        <w:numPr>
          <w:ilvl w:val="0"/>
          <w:numId w:val="11"/>
        </w:numPr>
        <w:ind w:left="426" w:hanging="426"/>
      </w:pPr>
      <w:r w:rsidRPr="00F53E25">
        <w:t>E</w:t>
      </w:r>
      <w:r w:rsidR="00AB0E73" w:rsidRPr="00F53E25">
        <w:t>l es</w:t>
      </w:r>
      <w:r w:rsidR="00AD0650" w:rsidRPr="00F53E25">
        <w:t>tado de ingresos y gastos para 20</w:t>
      </w:r>
      <w:r w:rsidR="00AB3BAD" w:rsidRPr="00F53E25">
        <w:t>20</w:t>
      </w:r>
      <w:r w:rsidR="00AD0650" w:rsidRPr="00F53E25">
        <w:t xml:space="preserve"> en los estados financieros auditados (véase el </w:t>
      </w:r>
      <w:r w:rsidR="00AB4C0D" w:rsidRPr="00F53E25">
        <w:t>Cuadro</w:t>
      </w:r>
      <w:r w:rsidR="00AD0650" w:rsidRPr="00F53E25">
        <w:t xml:space="preserve"> II del </w:t>
      </w:r>
      <w:r w:rsidR="00AB4C0D" w:rsidRPr="00F53E25">
        <w:t xml:space="preserve">Anexo </w:t>
      </w:r>
      <w:r w:rsidR="00AD0650" w:rsidRPr="00F53E25">
        <w:t xml:space="preserve">1) muestra que el saldo del presupuesto básico al final del año era de </w:t>
      </w:r>
      <w:r w:rsidR="00AB3BAD" w:rsidRPr="00F53E25">
        <w:t>3 318</w:t>
      </w:r>
      <w:r w:rsidR="00AD0650" w:rsidRPr="00F53E25">
        <w:t> 000 francos suizos. Esto incluye el saldo de los fondos básicos de 201</w:t>
      </w:r>
      <w:r w:rsidR="00AB3BAD" w:rsidRPr="00F53E25">
        <w:t>9</w:t>
      </w:r>
      <w:r w:rsidR="00AD0650" w:rsidRPr="00F53E25">
        <w:t xml:space="preserve"> (a principios de 20</w:t>
      </w:r>
      <w:r w:rsidR="00AB3BAD" w:rsidRPr="00F53E25">
        <w:t>20</w:t>
      </w:r>
      <w:r w:rsidR="00AD0650" w:rsidRPr="00F53E25">
        <w:t>) de 2 </w:t>
      </w:r>
      <w:r w:rsidR="00AB3BAD" w:rsidRPr="00F53E25">
        <w:t>648</w:t>
      </w:r>
      <w:r w:rsidR="00AD0650" w:rsidRPr="00F53E25">
        <w:t> 000 francos suizos y los ingresos netos con respecto a los gastos en 20</w:t>
      </w:r>
      <w:r w:rsidR="00AB3BAD" w:rsidRPr="00F53E25">
        <w:t>20</w:t>
      </w:r>
      <w:r w:rsidR="00AD0650" w:rsidRPr="00F53E25">
        <w:t xml:space="preserve"> de </w:t>
      </w:r>
      <w:r w:rsidR="00AB3BAD" w:rsidRPr="00F53E25">
        <w:t>670</w:t>
      </w:r>
      <w:r w:rsidR="00AD0650" w:rsidRPr="00F53E25">
        <w:t> 000 francos suizos según los estados financieros auditados y los resultados del presupuesto básico de 20</w:t>
      </w:r>
      <w:r w:rsidR="00AB3BAD" w:rsidRPr="00F53E25">
        <w:t>20</w:t>
      </w:r>
      <w:r w:rsidR="00AD0650" w:rsidRPr="00F53E25">
        <w:t xml:space="preserve"> para el período comprendido entre el 1 de enero y el 31 de diciembre de 20</w:t>
      </w:r>
      <w:r w:rsidR="00AB3BAD" w:rsidRPr="00F53E25">
        <w:t>20</w:t>
      </w:r>
      <w:r w:rsidR="00AD0650" w:rsidRPr="00F53E25">
        <w:t xml:space="preserve"> (</w:t>
      </w:r>
      <w:r w:rsidR="00AB4C0D" w:rsidRPr="00F53E25">
        <w:t xml:space="preserve">Anexo </w:t>
      </w:r>
      <w:r w:rsidR="00AD0650" w:rsidRPr="00F53E25">
        <w:t>2).</w:t>
      </w:r>
    </w:p>
    <w:p w14:paraId="429CB5B3" w14:textId="77777777" w:rsidR="00AB0E73" w:rsidRPr="00F53E25" w:rsidRDefault="00AB0E73" w:rsidP="00AB0E73">
      <w:pPr>
        <w:pStyle w:val="ListParagraph"/>
        <w:ind w:left="426" w:firstLine="0"/>
      </w:pPr>
    </w:p>
    <w:p w14:paraId="3676BA26" w14:textId="776AB1C7" w:rsidR="00125D3D" w:rsidRPr="00F53E25" w:rsidRDefault="00AD0650" w:rsidP="00125D3D">
      <w:pPr>
        <w:pStyle w:val="ListParagraph"/>
        <w:numPr>
          <w:ilvl w:val="0"/>
          <w:numId w:val="11"/>
        </w:numPr>
        <w:ind w:left="426" w:hanging="426"/>
      </w:pPr>
      <w:r w:rsidRPr="00F53E25">
        <w:t>El saldo del presupuesto básico de 20</w:t>
      </w:r>
      <w:r w:rsidR="00AB3BAD" w:rsidRPr="00F53E25">
        <w:t>20</w:t>
      </w:r>
      <w:r w:rsidRPr="00F53E25">
        <w:t xml:space="preserve"> antes mencionado incluye el </w:t>
      </w:r>
      <w:r w:rsidR="00D00A15" w:rsidRPr="00F53E25">
        <w:t>fondo de res</w:t>
      </w:r>
      <w:r w:rsidR="002875B4" w:rsidRPr="00F53E25">
        <w:t>erva</w:t>
      </w:r>
      <w:r w:rsidRPr="00F53E25">
        <w:t xml:space="preserve"> de 762 000 francos suizos. Esto corresponde al 15</w:t>
      </w:r>
      <w:r w:rsidR="00125D3D" w:rsidRPr="00F53E25">
        <w:t xml:space="preserve"> </w:t>
      </w:r>
      <w:r w:rsidRPr="00F53E25">
        <w:t>% del presupuesto básico anual, que es el nivel máximo aprobado por la COP13 en el párrafo 33 de la Resolución XIII.2. Por lo tanto, no hay necesidad de reasignar recursos para este propósito.</w:t>
      </w:r>
    </w:p>
    <w:p w14:paraId="03D019C0" w14:textId="77777777" w:rsidR="00125D3D" w:rsidRPr="00F53E25" w:rsidRDefault="00125D3D" w:rsidP="00125D3D">
      <w:pPr>
        <w:pStyle w:val="ListParagraph"/>
        <w:rPr>
          <w:color w:val="FF0000"/>
        </w:rPr>
      </w:pPr>
    </w:p>
    <w:p w14:paraId="61A02E20" w14:textId="6CA50D5D" w:rsidR="00125D3D" w:rsidRPr="00F53E25" w:rsidRDefault="00325502" w:rsidP="00125D3D">
      <w:pPr>
        <w:pStyle w:val="ListParagraph"/>
        <w:numPr>
          <w:ilvl w:val="0"/>
          <w:numId w:val="11"/>
        </w:numPr>
        <w:ind w:left="426" w:hanging="426"/>
      </w:pPr>
      <w:r w:rsidRPr="00F53E25">
        <w:rPr>
          <w:color w:val="000000" w:themeColor="text1"/>
        </w:rPr>
        <w:t>El s</w:t>
      </w:r>
      <w:r w:rsidR="00AD0650" w:rsidRPr="00F53E25">
        <w:rPr>
          <w:color w:val="000000" w:themeColor="text1"/>
        </w:rPr>
        <w:t xml:space="preserve">aldo del presupuesto básico también incluye el </w:t>
      </w:r>
      <w:r w:rsidR="00125D3D" w:rsidRPr="00F53E25">
        <w:rPr>
          <w:color w:val="000000" w:themeColor="text1"/>
        </w:rPr>
        <w:t>monto</w:t>
      </w:r>
      <w:r w:rsidRPr="00F53E25">
        <w:rPr>
          <w:color w:val="000000" w:themeColor="text1"/>
        </w:rPr>
        <w:t xml:space="preserve"> ajustado</w:t>
      </w:r>
      <w:r w:rsidR="00125D3D" w:rsidRPr="00F53E25">
        <w:rPr>
          <w:color w:val="000000" w:themeColor="text1"/>
        </w:rPr>
        <w:t xml:space="preserve"> de 76 000 francos suizos </w:t>
      </w:r>
      <w:r w:rsidRPr="00F53E25">
        <w:rPr>
          <w:color w:val="000000" w:themeColor="text1"/>
        </w:rPr>
        <w:t xml:space="preserve">aprobado para 2021 </w:t>
      </w:r>
      <w:r w:rsidR="00125D3D" w:rsidRPr="00F53E25">
        <w:rPr>
          <w:color w:val="000000" w:themeColor="text1"/>
        </w:rPr>
        <w:t xml:space="preserve">del excedente en 2018 de 228 000 francos suizos </w:t>
      </w:r>
      <w:r w:rsidR="00AD0650" w:rsidRPr="00F53E25">
        <w:rPr>
          <w:color w:val="000000" w:themeColor="text1"/>
        </w:rPr>
        <w:t xml:space="preserve">aprobado para el trienio 2019-2021 (párrafo 15 de la </w:t>
      </w:r>
      <w:r w:rsidR="002875B4" w:rsidRPr="00F53E25">
        <w:rPr>
          <w:color w:val="000000" w:themeColor="text1"/>
        </w:rPr>
        <w:t>R</w:t>
      </w:r>
      <w:r w:rsidR="00AD0650" w:rsidRPr="00F53E25">
        <w:rPr>
          <w:color w:val="000000" w:themeColor="text1"/>
        </w:rPr>
        <w:t xml:space="preserve">esolución XIII.2), a fin de cubrir el déficit creado en el presupuesto básico de la Secretaría para sufragar el costo de un nuevo puesto de auxiliar contable </w:t>
      </w:r>
      <w:r w:rsidR="00AD0650" w:rsidRPr="00F53E25">
        <w:t>y financiero (se hicieron recortes en las partidas presupuestarias de comunicaciones, viajes, GECT y planificación y creación de la capacidad que se colmaron con este excedente).</w:t>
      </w:r>
    </w:p>
    <w:p w14:paraId="59166CD9" w14:textId="77777777" w:rsidR="00125D3D" w:rsidRPr="00F53E25" w:rsidRDefault="00125D3D" w:rsidP="00125D3D">
      <w:pPr>
        <w:pStyle w:val="ListParagraph"/>
      </w:pPr>
    </w:p>
    <w:p w14:paraId="73FD656F" w14:textId="72E819F6" w:rsidR="00772619" w:rsidRPr="00F53E25" w:rsidRDefault="00463CEC" w:rsidP="00125D3D">
      <w:pPr>
        <w:pStyle w:val="ListParagraph"/>
        <w:numPr>
          <w:ilvl w:val="0"/>
          <w:numId w:val="11"/>
        </w:numPr>
        <w:ind w:left="426" w:hanging="426"/>
      </w:pPr>
      <w:r w:rsidRPr="00F53E25">
        <w:t xml:space="preserve">Además, los saldos no gastados y previamente comprometidos de </w:t>
      </w:r>
      <w:r w:rsidR="00073C7E" w:rsidRPr="00F53E25">
        <w:t>712</w:t>
      </w:r>
      <w:r w:rsidRPr="00F53E25">
        <w:t xml:space="preserve"> 000 francos suizos, incluida la utilización autorizada del excedente de </w:t>
      </w:r>
      <w:r w:rsidRPr="00F53E25">
        <w:rPr>
          <w:color w:val="000000" w:themeColor="text1"/>
        </w:rPr>
        <w:t xml:space="preserve">2018 (Decisión SC57-47), </w:t>
      </w:r>
      <w:r w:rsidR="00125D3D" w:rsidRPr="00F53E25">
        <w:rPr>
          <w:color w:val="000000" w:themeColor="text1"/>
        </w:rPr>
        <w:t xml:space="preserve">y el presupuesto </w:t>
      </w:r>
      <w:r w:rsidR="007124BD" w:rsidRPr="00F53E25">
        <w:rPr>
          <w:color w:val="000000" w:themeColor="text1"/>
        </w:rPr>
        <w:t>ajustado</w:t>
      </w:r>
      <w:r w:rsidR="00125D3D" w:rsidRPr="00F53E25">
        <w:rPr>
          <w:color w:val="000000" w:themeColor="text1"/>
        </w:rPr>
        <w:t xml:space="preserve"> entre períodos de sesiones en la reunión </w:t>
      </w:r>
      <w:r w:rsidR="00073C7E" w:rsidRPr="00F53E25">
        <w:rPr>
          <w:color w:val="000000" w:themeColor="text1"/>
        </w:rPr>
        <w:t>SC58</w:t>
      </w:r>
      <w:r w:rsidR="00125D3D" w:rsidRPr="00F53E25">
        <w:rPr>
          <w:color w:val="000000" w:themeColor="text1"/>
        </w:rPr>
        <w:t xml:space="preserve"> </w:t>
      </w:r>
      <w:r w:rsidR="00073C7E" w:rsidRPr="00F53E25">
        <w:t>(Decisi</w:t>
      </w:r>
      <w:r w:rsidR="00125D3D" w:rsidRPr="00F53E25">
        <w:t>ó</w:t>
      </w:r>
      <w:r w:rsidR="00073C7E" w:rsidRPr="00F53E25">
        <w:t xml:space="preserve">n SC58-30), </w:t>
      </w:r>
      <w:r w:rsidRPr="00F53E25">
        <w:t xml:space="preserve">como se detalla en el </w:t>
      </w:r>
      <w:r w:rsidR="00AB4C0D" w:rsidRPr="00F53E25">
        <w:t>Cuadro</w:t>
      </w:r>
      <w:r w:rsidRPr="00F53E25">
        <w:t xml:space="preserve"> 1 y en el párrafo 7, se gastarán en 202</w:t>
      </w:r>
      <w:r w:rsidR="00073C7E" w:rsidRPr="00F53E25">
        <w:t>1</w:t>
      </w:r>
      <w:r w:rsidRPr="00F53E25">
        <w:t xml:space="preserve"> y, por lo tanto, se han incluido en el presupuesto de 202</w:t>
      </w:r>
      <w:r w:rsidR="00073C7E" w:rsidRPr="00F53E25">
        <w:t>1 (</w:t>
      </w:r>
      <w:r w:rsidR="00AB4C0D" w:rsidRPr="00F53E25">
        <w:t xml:space="preserve">Anexo </w:t>
      </w:r>
      <w:r w:rsidR="00073C7E" w:rsidRPr="00F53E25">
        <w:t>4)</w:t>
      </w:r>
      <w:r w:rsidRPr="00F53E25">
        <w:t>.</w:t>
      </w:r>
    </w:p>
    <w:p w14:paraId="38DAA067" w14:textId="145F4A9D" w:rsidR="00AC5BA6" w:rsidRPr="00F53E25" w:rsidRDefault="00AC5BA6" w:rsidP="00162710">
      <w:pPr>
        <w:ind w:firstLine="0"/>
      </w:pPr>
    </w:p>
    <w:p w14:paraId="3C2A490E" w14:textId="00C635C5" w:rsidR="00125D3D" w:rsidRPr="00F53E25" w:rsidRDefault="00DA6FAA" w:rsidP="00125D3D">
      <w:pPr>
        <w:pStyle w:val="ListParagraph"/>
        <w:numPr>
          <w:ilvl w:val="0"/>
          <w:numId w:val="11"/>
        </w:numPr>
        <w:ind w:left="426" w:hanging="426"/>
      </w:pPr>
      <w:r w:rsidRPr="00F53E25">
        <w:t xml:space="preserve">Por último, hay saldos no gastados y no comprometidos que ascienden a </w:t>
      </w:r>
      <w:r w:rsidR="00073C7E" w:rsidRPr="00F53E25">
        <w:t>1 590</w:t>
      </w:r>
      <w:r w:rsidRPr="00F53E25">
        <w:t xml:space="preserve"> 000 francos suizos, como se detalla en el </w:t>
      </w:r>
      <w:r w:rsidR="00AB4C0D" w:rsidRPr="00F53E25">
        <w:t>Cuadro</w:t>
      </w:r>
      <w:r w:rsidRPr="00F53E25">
        <w:t xml:space="preserve"> 1. </w:t>
      </w:r>
      <w:r w:rsidR="00D276D0" w:rsidRPr="00F53E25">
        <w:t>Como se indica en el párrafo 11, s</w:t>
      </w:r>
      <w:r w:rsidRPr="00F53E25">
        <w:t xml:space="preserve">egún lo establecido en la Decisión SC57-50 del Comité Permanente, </w:t>
      </w:r>
      <w:r w:rsidR="00125D3D" w:rsidRPr="00F53E25">
        <w:t xml:space="preserve">la </w:t>
      </w:r>
      <w:r w:rsidRPr="00F53E25">
        <w:t xml:space="preserve">Secretaría presenta los saldos no </w:t>
      </w:r>
      <w:r w:rsidRPr="00F53E25">
        <w:rPr>
          <w:color w:val="000000" w:themeColor="text1"/>
        </w:rPr>
        <w:t xml:space="preserve">comprometidos </w:t>
      </w:r>
      <w:r w:rsidR="00125D3D" w:rsidRPr="00F53E25">
        <w:rPr>
          <w:color w:val="000000" w:themeColor="text1"/>
        </w:rPr>
        <w:t xml:space="preserve">y </w:t>
      </w:r>
      <w:r w:rsidRPr="00F53E25">
        <w:rPr>
          <w:color w:val="000000" w:themeColor="text1"/>
        </w:rPr>
        <w:t xml:space="preserve">no gastados </w:t>
      </w:r>
      <w:r w:rsidRPr="00F53E25">
        <w:t>de 20</w:t>
      </w:r>
      <w:r w:rsidR="00D276D0" w:rsidRPr="00F53E25">
        <w:t>20</w:t>
      </w:r>
      <w:r w:rsidRPr="00F53E25">
        <w:t xml:space="preserve"> como saldos </w:t>
      </w:r>
      <w:r w:rsidR="00404FE5" w:rsidRPr="00F53E25">
        <w:t>traspasados</w:t>
      </w:r>
      <w:r w:rsidRPr="00F53E25">
        <w:t xml:space="preserve"> a 202</w:t>
      </w:r>
      <w:r w:rsidR="00D276D0" w:rsidRPr="00F53E25">
        <w:t>1</w:t>
      </w:r>
      <w:r w:rsidRPr="00F53E25">
        <w:t>.</w:t>
      </w:r>
    </w:p>
    <w:p w14:paraId="055A0D31" w14:textId="77777777" w:rsidR="00125D3D" w:rsidRPr="00F53E25" w:rsidRDefault="00125D3D" w:rsidP="00125D3D">
      <w:pPr>
        <w:pStyle w:val="ListParagraph"/>
      </w:pPr>
    </w:p>
    <w:p w14:paraId="177A095A" w14:textId="3017DE93" w:rsidR="0049688C" w:rsidRPr="00F53E25" w:rsidRDefault="00125D3D" w:rsidP="00125D3D">
      <w:pPr>
        <w:pStyle w:val="ListParagraph"/>
        <w:numPr>
          <w:ilvl w:val="0"/>
          <w:numId w:val="11"/>
        </w:numPr>
        <w:ind w:left="426" w:hanging="426"/>
      </w:pPr>
      <w:r w:rsidRPr="00F53E25">
        <w:t xml:space="preserve">La Secretaría quisiera </w:t>
      </w:r>
      <w:r w:rsidR="007124BD" w:rsidRPr="00F53E25">
        <w:t>proponer</w:t>
      </w:r>
      <w:r w:rsidRPr="00F53E25">
        <w:t xml:space="preserve"> algunos usos posibles de los ahorros en la sección “</w:t>
      </w:r>
      <w:r w:rsidR="00642D1E" w:rsidRPr="00F53E25">
        <w:t>Presupuesto básico para 2</w:t>
      </w:r>
      <w:r w:rsidR="00650B72" w:rsidRPr="00F53E25">
        <w:t xml:space="preserve">021” </w:t>
      </w:r>
      <w:r w:rsidRPr="00F53E25">
        <w:t xml:space="preserve">del presente </w:t>
      </w:r>
      <w:r w:rsidR="007124BD" w:rsidRPr="00F53E25">
        <w:t>documento</w:t>
      </w:r>
      <w:r w:rsidRPr="00F53E25">
        <w:t>.</w:t>
      </w:r>
    </w:p>
    <w:p w14:paraId="67D22B17" w14:textId="4B3038F7" w:rsidR="003F3307" w:rsidRPr="00F53E25" w:rsidRDefault="003F3307" w:rsidP="00162710">
      <w:pPr>
        <w:ind w:left="0" w:firstLine="0"/>
      </w:pPr>
      <w:r w:rsidRPr="00F53E25">
        <w:t xml:space="preserve"> </w:t>
      </w:r>
    </w:p>
    <w:p w14:paraId="10BCD7EB" w14:textId="2B0F7B2B" w:rsidR="00FF0082" w:rsidRPr="00F53E25" w:rsidRDefault="00FF0082" w:rsidP="00162710">
      <w:pPr>
        <w:pStyle w:val="NoSpacing"/>
        <w:keepNext/>
        <w:rPr>
          <w:b/>
        </w:rPr>
      </w:pPr>
      <w:r w:rsidRPr="00F53E25">
        <w:rPr>
          <w:b/>
        </w:rPr>
        <w:t>Resultados de 20</w:t>
      </w:r>
      <w:r w:rsidR="00650B72" w:rsidRPr="00F53E25">
        <w:rPr>
          <w:b/>
        </w:rPr>
        <w:t>20:</w:t>
      </w:r>
      <w:r w:rsidRPr="00F53E25">
        <w:rPr>
          <w:b/>
        </w:rPr>
        <w:t xml:space="preserve"> presupuesto no básico y contribuciones voluntarias </w:t>
      </w:r>
    </w:p>
    <w:p w14:paraId="37B40F4A" w14:textId="77777777" w:rsidR="00C73471" w:rsidRPr="00F53E25" w:rsidRDefault="00C73471" w:rsidP="00162710">
      <w:pPr>
        <w:pStyle w:val="NoSpacing"/>
        <w:keepNext/>
        <w:rPr>
          <w:b/>
        </w:rPr>
      </w:pPr>
    </w:p>
    <w:p w14:paraId="36506E9A" w14:textId="58EA58BA" w:rsidR="00BE4F80" w:rsidRPr="00F53E25" w:rsidRDefault="00DA6FAA" w:rsidP="00BE4F80">
      <w:pPr>
        <w:pStyle w:val="ListParagraph"/>
        <w:numPr>
          <w:ilvl w:val="0"/>
          <w:numId w:val="11"/>
        </w:numPr>
        <w:ind w:left="426" w:hanging="426"/>
      </w:pPr>
      <w:r w:rsidRPr="00F53E25">
        <w:t xml:space="preserve">Como se indica en la sección II del </w:t>
      </w:r>
      <w:r w:rsidR="00AB4C0D" w:rsidRPr="00F53E25">
        <w:t xml:space="preserve">Anexo </w:t>
      </w:r>
      <w:r w:rsidRPr="00F53E25">
        <w:t>1</w:t>
      </w:r>
      <w:r w:rsidR="00CB0514" w:rsidRPr="00F53E25">
        <w:t>,</w:t>
      </w:r>
      <w:r w:rsidR="00560E97" w:rsidRPr="00F53E25">
        <w:rPr>
          <w:i/>
        </w:rPr>
        <w:t xml:space="preserve"> </w:t>
      </w:r>
      <w:r w:rsidR="00BE4F80" w:rsidRPr="00F53E25">
        <w:rPr>
          <w:i/>
          <w:color w:val="000000" w:themeColor="text1"/>
        </w:rPr>
        <w:t>Estado de ingresos y gastos al 31 de diciembre de 2020</w:t>
      </w:r>
      <w:r w:rsidRPr="00F53E25">
        <w:rPr>
          <w:color w:val="000000" w:themeColor="text1"/>
        </w:rPr>
        <w:t>, en 20</w:t>
      </w:r>
      <w:r w:rsidR="00CB0514" w:rsidRPr="00F53E25">
        <w:rPr>
          <w:color w:val="000000" w:themeColor="text1"/>
        </w:rPr>
        <w:t>20</w:t>
      </w:r>
      <w:r w:rsidRPr="00F53E25">
        <w:rPr>
          <w:color w:val="000000" w:themeColor="text1"/>
        </w:rPr>
        <w:t xml:space="preserve"> se recibieron ingresos para pro</w:t>
      </w:r>
      <w:r w:rsidRPr="00F53E25">
        <w:t xml:space="preserve">yectos por un valor de </w:t>
      </w:r>
      <w:r w:rsidR="00CB0514" w:rsidRPr="00F53E25">
        <w:t>47</w:t>
      </w:r>
      <w:r w:rsidRPr="00F53E25">
        <w:t xml:space="preserve"> 000 francos suizos y </w:t>
      </w:r>
      <w:r w:rsidRPr="00F53E25">
        <w:rPr>
          <w:color w:val="000000" w:themeColor="text1"/>
        </w:rPr>
        <w:t xml:space="preserve">contribuciones </w:t>
      </w:r>
      <w:r w:rsidRPr="00F53E25">
        <w:t>voluntarias africanas</w:t>
      </w:r>
      <w:r w:rsidR="00642D1E" w:rsidRPr="00F53E25">
        <w:rPr>
          <w:rStyle w:val="FootnoteReference"/>
        </w:rPr>
        <w:footnoteReference w:id="3"/>
      </w:r>
      <w:r w:rsidRPr="00F53E25">
        <w:t xml:space="preserve"> por un valor de </w:t>
      </w:r>
      <w:r w:rsidR="00CB0514" w:rsidRPr="00F53E25">
        <w:t>1</w:t>
      </w:r>
      <w:r w:rsidRPr="00F53E25">
        <w:t xml:space="preserve">2 000 francos suizos, lo que arroja un total de ingresos por contribuciones voluntarias complementarias de </w:t>
      </w:r>
      <w:r w:rsidR="00CB0514" w:rsidRPr="00F53E25">
        <w:t>59</w:t>
      </w:r>
      <w:r w:rsidRPr="00F53E25">
        <w:t> 000 francos suizos</w:t>
      </w:r>
      <w:r w:rsidR="00BE4F80" w:rsidRPr="00F53E25">
        <w:t xml:space="preserve"> recibidos en 2019. L</w:t>
      </w:r>
      <w:r w:rsidRPr="00F53E25">
        <w:t>os detalles de la financiación complementaria al 31 de diciembre de 20</w:t>
      </w:r>
      <w:r w:rsidR="00CB0514" w:rsidRPr="00F53E25">
        <w:t>20</w:t>
      </w:r>
      <w:r w:rsidRPr="00F53E25">
        <w:t xml:space="preserve"> figuran en el </w:t>
      </w:r>
      <w:r w:rsidR="00AB4C0D" w:rsidRPr="00F53E25">
        <w:t xml:space="preserve">Anexo </w:t>
      </w:r>
      <w:r w:rsidRPr="00F53E25">
        <w:t>3.</w:t>
      </w:r>
    </w:p>
    <w:p w14:paraId="647D6ACB" w14:textId="77777777" w:rsidR="00BE4F80" w:rsidRPr="00F53E25" w:rsidRDefault="00BE4F80" w:rsidP="00BE4F80">
      <w:pPr>
        <w:pStyle w:val="ListParagraph"/>
        <w:ind w:left="426" w:firstLine="0"/>
      </w:pPr>
    </w:p>
    <w:p w14:paraId="2EAD5A63" w14:textId="7EB55813" w:rsidR="0075376A" w:rsidRPr="00F53E25" w:rsidRDefault="00DA6FAA" w:rsidP="00BE4F80">
      <w:pPr>
        <w:pStyle w:val="ListParagraph"/>
        <w:numPr>
          <w:ilvl w:val="0"/>
          <w:numId w:val="11"/>
        </w:numPr>
        <w:ind w:left="426" w:hanging="426"/>
      </w:pPr>
      <w:r w:rsidRPr="00F53E25">
        <w:t>Las contribuciones voluntarias recibidas en 20</w:t>
      </w:r>
      <w:r w:rsidR="00BB515E" w:rsidRPr="00F53E25">
        <w:t>20</w:t>
      </w:r>
      <w:r w:rsidRPr="00F53E25">
        <w:t xml:space="preserve"> están indicadas en el </w:t>
      </w:r>
      <w:r w:rsidR="00AB4C0D" w:rsidRPr="00F53E25">
        <w:t>Cuadro</w:t>
      </w:r>
      <w:r w:rsidRPr="00F53E25">
        <w:t xml:space="preserve"> </w:t>
      </w:r>
      <w:r w:rsidR="00BB515E" w:rsidRPr="00F53E25">
        <w:t>2</w:t>
      </w:r>
      <w:r w:rsidRPr="00F53E25">
        <w:t xml:space="preserve"> que figura a continuación. De acuerdo con las instrucciones del Comité Permanente mediante la Decisión SC53-32, el </w:t>
      </w:r>
      <w:r w:rsidR="00864934" w:rsidRPr="00F53E25">
        <w:t>c</w:t>
      </w:r>
      <w:r w:rsidR="00AB4C0D" w:rsidRPr="00F53E25">
        <w:t>uadro</w:t>
      </w:r>
      <w:r w:rsidRPr="00F53E25">
        <w:t xml:space="preserve"> ofrece un panorama general de las contribuciones recibidas y su utilización prevista. Se hace referencia a las prioridades para la recaudación de fondos determinadas por las Partes Contratantes que figuran en el </w:t>
      </w:r>
      <w:r w:rsidR="00AB4C0D" w:rsidRPr="00F53E25">
        <w:t xml:space="preserve">Anexo </w:t>
      </w:r>
      <w:r w:rsidRPr="00F53E25">
        <w:t>3 de la Resolución XIII.2.</w:t>
      </w:r>
    </w:p>
    <w:p w14:paraId="1F8DBFDE" w14:textId="77777777" w:rsidR="00C02579" w:rsidRPr="00F53E25" w:rsidRDefault="00C02579" w:rsidP="009D2CC9">
      <w:pPr>
        <w:pStyle w:val="NoSpacing"/>
        <w:keepNext/>
        <w:ind w:left="0" w:firstLine="0"/>
        <w:rPr>
          <w:i/>
          <w:iCs/>
        </w:rPr>
      </w:pPr>
    </w:p>
    <w:p w14:paraId="75F9E3E4" w14:textId="66EFDB71" w:rsidR="00BE4F80" w:rsidRPr="00F53E25" w:rsidRDefault="00DA6FAA" w:rsidP="009D2CC9">
      <w:pPr>
        <w:pStyle w:val="NoSpacing"/>
        <w:keepNext/>
        <w:ind w:left="0" w:firstLine="0"/>
        <w:rPr>
          <w:i/>
        </w:rPr>
      </w:pPr>
      <w:r w:rsidRPr="00F53E25">
        <w:rPr>
          <w:i/>
          <w:iCs/>
        </w:rPr>
        <w:t xml:space="preserve">Cuadro </w:t>
      </w:r>
      <w:r w:rsidR="00BB515E" w:rsidRPr="00F53E25">
        <w:rPr>
          <w:i/>
          <w:iCs/>
        </w:rPr>
        <w:t>2</w:t>
      </w:r>
      <w:r w:rsidRPr="00F53E25">
        <w:rPr>
          <w:i/>
          <w:iCs/>
        </w:rPr>
        <w:t xml:space="preserve">: </w:t>
      </w:r>
      <w:r w:rsidRPr="00F53E25">
        <w:rPr>
          <w:i/>
        </w:rPr>
        <w:t xml:space="preserve">Ingresos </w:t>
      </w:r>
      <w:r w:rsidRPr="00F53E25">
        <w:rPr>
          <w:i/>
          <w:color w:val="000000" w:themeColor="text1"/>
        </w:rPr>
        <w:t>para proyecto</w:t>
      </w:r>
      <w:r w:rsidR="00BE4F80" w:rsidRPr="00F53E25">
        <w:rPr>
          <w:i/>
          <w:color w:val="000000" w:themeColor="text1"/>
        </w:rPr>
        <w:t>s</w:t>
      </w:r>
      <w:r w:rsidRPr="00F53E25">
        <w:rPr>
          <w:i/>
          <w:color w:val="000000" w:themeColor="text1"/>
        </w:rPr>
        <w:t xml:space="preserve"> por </w:t>
      </w:r>
      <w:r w:rsidRPr="00F53E25">
        <w:rPr>
          <w:i/>
        </w:rPr>
        <w:t>contribuciones voluntarias complementarias recibidas en 20</w:t>
      </w:r>
      <w:r w:rsidR="00BB515E" w:rsidRPr="00F53E25">
        <w:rPr>
          <w:i/>
        </w:rPr>
        <w:t>20</w:t>
      </w:r>
      <w:r w:rsidRPr="00F53E25">
        <w:rPr>
          <w:i/>
        </w:rPr>
        <w:t xml:space="preserve"> (en miles de francos suizos</w:t>
      </w:r>
      <w:r w:rsidR="00012A03" w:rsidRPr="00F53E25">
        <w:rPr>
          <w:i/>
        </w:rPr>
        <w:t>,</w:t>
      </w:r>
      <w:r w:rsidRPr="00F53E25">
        <w:rPr>
          <w:i/>
        </w:rPr>
        <w:t xml:space="preserve"> con posibles diferencias de redondeo)</w:t>
      </w:r>
    </w:p>
    <w:tbl>
      <w:tblPr>
        <w:tblW w:w="9214" w:type="dxa"/>
        <w:tblInd w:w="-10" w:type="dxa"/>
        <w:tblCellMar>
          <w:top w:w="28" w:type="dxa"/>
          <w:left w:w="57" w:type="dxa"/>
          <w:bottom w:w="28" w:type="dxa"/>
          <w:right w:w="57" w:type="dxa"/>
        </w:tblCellMar>
        <w:tblLook w:val="04A0" w:firstRow="1" w:lastRow="0" w:firstColumn="1" w:lastColumn="0" w:noHBand="0" w:noVBand="1"/>
      </w:tblPr>
      <w:tblGrid>
        <w:gridCol w:w="3544"/>
        <w:gridCol w:w="1559"/>
        <w:gridCol w:w="4111"/>
      </w:tblGrid>
      <w:tr w:rsidR="001F0844" w:rsidRPr="00F53E25" w14:paraId="70C72200" w14:textId="77777777" w:rsidTr="001F0844">
        <w:trPr>
          <w:trHeight w:val="244"/>
        </w:trPr>
        <w:tc>
          <w:tcPr>
            <w:tcW w:w="3544"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55125EF8" w14:textId="44876279" w:rsidR="001F0844" w:rsidRPr="00F53E25" w:rsidRDefault="001F0844" w:rsidP="009D2CC9">
            <w:pPr>
              <w:keepNext/>
              <w:ind w:left="0" w:firstLine="0"/>
              <w:jc w:val="center"/>
              <w:rPr>
                <w:rFonts w:eastAsia="Times New Roman" w:cs="Calibri"/>
                <w:b/>
                <w:bCs/>
                <w:color w:val="000000"/>
                <w:sz w:val="20"/>
                <w:szCs w:val="20"/>
              </w:rPr>
            </w:pPr>
            <w:r w:rsidRPr="00F53E25">
              <w:rPr>
                <w:b/>
                <w:bCs/>
                <w:color w:val="000000"/>
                <w:sz w:val="20"/>
                <w:szCs w:val="20"/>
              </w:rPr>
              <w:t>Nombre del donante</w:t>
            </w:r>
          </w:p>
        </w:tc>
        <w:tc>
          <w:tcPr>
            <w:tcW w:w="1559"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3CD2395E" w14:textId="18D987CA" w:rsidR="001F0844" w:rsidRPr="00F53E25" w:rsidRDefault="001F0844" w:rsidP="009D2CC9">
            <w:pPr>
              <w:keepNext/>
              <w:ind w:left="0" w:firstLine="0"/>
              <w:jc w:val="center"/>
              <w:rPr>
                <w:rFonts w:eastAsia="Times New Roman" w:cs="Calibri"/>
                <w:b/>
                <w:bCs/>
                <w:color w:val="000000"/>
                <w:sz w:val="20"/>
                <w:szCs w:val="20"/>
              </w:rPr>
            </w:pPr>
            <w:r w:rsidRPr="00F53E25">
              <w:rPr>
                <w:b/>
                <w:bCs/>
                <w:color w:val="000000"/>
                <w:sz w:val="20"/>
                <w:szCs w:val="20"/>
              </w:rPr>
              <w:t>Monto del ingreso</w:t>
            </w:r>
          </w:p>
        </w:tc>
        <w:tc>
          <w:tcPr>
            <w:tcW w:w="4111" w:type="dxa"/>
            <w:tcBorders>
              <w:top w:val="single" w:sz="8" w:space="0" w:color="auto"/>
              <w:left w:val="single" w:sz="8" w:space="0" w:color="auto"/>
              <w:bottom w:val="single" w:sz="8" w:space="0" w:color="000000"/>
              <w:right w:val="single" w:sz="8" w:space="0" w:color="auto"/>
            </w:tcBorders>
            <w:shd w:val="clear" w:color="auto" w:fill="DBE5F1" w:themeFill="accent1" w:themeFillTint="33"/>
            <w:vAlign w:val="center"/>
          </w:tcPr>
          <w:p w14:paraId="67EFACDA" w14:textId="6C3AFCF6" w:rsidR="001F0844" w:rsidRPr="00F53E25" w:rsidRDefault="001F0844" w:rsidP="009D2CC9">
            <w:pPr>
              <w:keepNext/>
              <w:ind w:left="0" w:firstLine="0"/>
              <w:jc w:val="center"/>
              <w:rPr>
                <w:rFonts w:eastAsia="Times New Roman" w:cs="Calibri"/>
                <w:b/>
                <w:bCs/>
                <w:color w:val="000000"/>
                <w:sz w:val="20"/>
                <w:szCs w:val="20"/>
              </w:rPr>
            </w:pPr>
            <w:r w:rsidRPr="00F53E25">
              <w:rPr>
                <w:b/>
                <w:bCs/>
                <w:color w:val="000000"/>
                <w:sz w:val="20"/>
                <w:szCs w:val="20"/>
              </w:rPr>
              <w:t>Descripción</w:t>
            </w:r>
          </w:p>
        </w:tc>
      </w:tr>
      <w:tr w:rsidR="00032E44" w:rsidRPr="00F53E25" w14:paraId="600B331A"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7CE4E0D6" w14:textId="70B1092E" w:rsidR="00032E44" w:rsidRPr="00F53E25" w:rsidRDefault="00BE4F80" w:rsidP="009D2CC9">
            <w:pPr>
              <w:keepNext/>
              <w:ind w:left="0" w:firstLine="0"/>
              <w:rPr>
                <w:rFonts w:eastAsia="Times New Roman" w:cs="Calibri"/>
                <w:color w:val="000000"/>
                <w:sz w:val="20"/>
                <w:szCs w:val="20"/>
              </w:rPr>
            </w:pPr>
            <w:r w:rsidRPr="00F53E25">
              <w:rPr>
                <w:color w:val="000000"/>
                <w:sz w:val="20"/>
                <w:szCs w:val="20"/>
              </w:rPr>
              <w:t>Estados Unidos</w:t>
            </w:r>
          </w:p>
        </w:tc>
        <w:tc>
          <w:tcPr>
            <w:tcW w:w="1559" w:type="dxa"/>
            <w:tcBorders>
              <w:top w:val="nil"/>
              <w:left w:val="nil"/>
              <w:bottom w:val="single" w:sz="8" w:space="0" w:color="auto"/>
              <w:right w:val="single" w:sz="8" w:space="0" w:color="auto"/>
            </w:tcBorders>
            <w:shd w:val="clear" w:color="auto" w:fill="auto"/>
            <w:vAlign w:val="center"/>
            <w:hideMark/>
          </w:tcPr>
          <w:p w14:paraId="7392661A" w14:textId="5F7F938C" w:rsidR="00032E44" w:rsidRPr="00F53E25" w:rsidRDefault="00BE4F80" w:rsidP="009D2CC9">
            <w:pPr>
              <w:keepNext/>
              <w:ind w:left="0" w:firstLine="0"/>
              <w:jc w:val="right"/>
              <w:rPr>
                <w:rFonts w:eastAsia="Times New Roman" w:cs="Calibri"/>
                <w:color w:val="000000"/>
                <w:sz w:val="20"/>
                <w:szCs w:val="20"/>
              </w:rPr>
            </w:pPr>
            <w:r w:rsidRPr="00F53E25">
              <w:rPr>
                <w:color w:val="000000"/>
                <w:sz w:val="20"/>
                <w:szCs w:val="20"/>
              </w:rPr>
              <w:t>26</w:t>
            </w:r>
          </w:p>
        </w:tc>
        <w:tc>
          <w:tcPr>
            <w:tcW w:w="4111" w:type="dxa"/>
            <w:tcBorders>
              <w:top w:val="nil"/>
              <w:left w:val="nil"/>
              <w:bottom w:val="single" w:sz="8" w:space="0" w:color="auto"/>
              <w:right w:val="single" w:sz="8" w:space="0" w:color="auto"/>
            </w:tcBorders>
            <w:shd w:val="clear" w:color="auto" w:fill="auto"/>
            <w:vAlign w:val="center"/>
            <w:hideMark/>
          </w:tcPr>
          <w:p w14:paraId="5263F718" w14:textId="56407975" w:rsidR="00032E44" w:rsidRPr="00F53E25" w:rsidRDefault="00BE4F80" w:rsidP="009D2CC9">
            <w:pPr>
              <w:keepNext/>
              <w:ind w:left="0" w:firstLine="0"/>
              <w:rPr>
                <w:rFonts w:eastAsia="Times New Roman" w:cs="Calibri"/>
                <w:color w:val="000000"/>
                <w:sz w:val="20"/>
                <w:szCs w:val="20"/>
              </w:rPr>
            </w:pPr>
            <w:r w:rsidRPr="00F53E25">
              <w:rPr>
                <w:color w:val="000000" w:themeColor="text1"/>
                <w:sz w:val="20"/>
                <w:szCs w:val="20"/>
              </w:rPr>
              <w:t xml:space="preserve">Fondo Humedales </w:t>
            </w:r>
            <w:r w:rsidRPr="00F53E25">
              <w:rPr>
                <w:color w:val="000000"/>
                <w:sz w:val="20"/>
                <w:szCs w:val="20"/>
              </w:rPr>
              <w:t>para el Futuro</w:t>
            </w:r>
          </w:p>
        </w:tc>
      </w:tr>
      <w:tr w:rsidR="00032E44" w:rsidRPr="00F53E25" w14:paraId="54A74AC0"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28B44F0D" w14:textId="77777777" w:rsidR="00032E44" w:rsidRPr="00F53E25" w:rsidRDefault="00032E44" w:rsidP="009D2CC9">
            <w:pPr>
              <w:keepNext/>
              <w:ind w:left="0" w:firstLine="0"/>
              <w:rPr>
                <w:rFonts w:eastAsia="Times New Roman" w:cs="Calibri"/>
                <w:color w:val="000000"/>
                <w:sz w:val="20"/>
                <w:szCs w:val="20"/>
              </w:rPr>
            </w:pPr>
            <w:r w:rsidRPr="00F53E25">
              <w:rPr>
                <w:color w:val="000000"/>
                <w:sz w:val="20"/>
                <w:szCs w:val="20"/>
              </w:rPr>
              <w:t>Noruega</w:t>
            </w:r>
          </w:p>
        </w:tc>
        <w:tc>
          <w:tcPr>
            <w:tcW w:w="1559" w:type="dxa"/>
            <w:tcBorders>
              <w:top w:val="nil"/>
              <w:left w:val="nil"/>
              <w:bottom w:val="single" w:sz="8" w:space="0" w:color="auto"/>
              <w:right w:val="single" w:sz="8" w:space="0" w:color="auto"/>
            </w:tcBorders>
            <w:shd w:val="clear" w:color="auto" w:fill="auto"/>
            <w:vAlign w:val="center"/>
            <w:hideMark/>
          </w:tcPr>
          <w:p w14:paraId="28498110" w14:textId="3F9095FA" w:rsidR="00032E44" w:rsidRPr="00F53E25" w:rsidRDefault="00BE4F80" w:rsidP="009D2CC9">
            <w:pPr>
              <w:keepNext/>
              <w:ind w:left="0" w:firstLine="0"/>
              <w:jc w:val="right"/>
              <w:rPr>
                <w:rFonts w:eastAsia="Times New Roman" w:cs="Calibri"/>
                <w:color w:val="000000"/>
                <w:sz w:val="20"/>
                <w:szCs w:val="20"/>
              </w:rPr>
            </w:pPr>
            <w:r w:rsidRPr="00F53E25">
              <w:rPr>
                <w:color w:val="000000"/>
                <w:sz w:val="20"/>
                <w:szCs w:val="20"/>
              </w:rPr>
              <w:t>16</w:t>
            </w:r>
          </w:p>
        </w:tc>
        <w:tc>
          <w:tcPr>
            <w:tcW w:w="4111" w:type="dxa"/>
            <w:tcBorders>
              <w:top w:val="nil"/>
              <w:left w:val="nil"/>
              <w:bottom w:val="single" w:sz="8" w:space="0" w:color="auto"/>
              <w:right w:val="single" w:sz="8" w:space="0" w:color="auto"/>
            </w:tcBorders>
            <w:shd w:val="clear" w:color="auto" w:fill="auto"/>
            <w:vAlign w:val="center"/>
            <w:hideMark/>
          </w:tcPr>
          <w:p w14:paraId="26E90666" w14:textId="2285D62A" w:rsidR="00032E44" w:rsidRPr="00F53E25" w:rsidRDefault="00D70D8F" w:rsidP="00D414B1">
            <w:pPr>
              <w:keepNext/>
              <w:ind w:left="0" w:firstLine="0"/>
              <w:rPr>
                <w:rFonts w:eastAsia="Times New Roman" w:cs="Calibri"/>
                <w:color w:val="000000"/>
                <w:sz w:val="20"/>
                <w:szCs w:val="20"/>
              </w:rPr>
            </w:pPr>
            <w:r w:rsidRPr="00F53E25">
              <w:rPr>
                <w:color w:val="000000" w:themeColor="text1"/>
                <w:sz w:val="20"/>
                <w:szCs w:val="20"/>
              </w:rPr>
              <w:t xml:space="preserve">50º aniversario </w:t>
            </w:r>
            <w:r w:rsidRPr="00F53E25">
              <w:rPr>
                <w:color w:val="000000"/>
                <w:sz w:val="20"/>
                <w:szCs w:val="20"/>
              </w:rPr>
              <w:t>y Día Mundial de los Humedales</w:t>
            </w:r>
          </w:p>
        </w:tc>
      </w:tr>
      <w:tr w:rsidR="00032E44" w:rsidRPr="00F53E25" w14:paraId="76148065" w14:textId="77777777" w:rsidTr="00941F90">
        <w:tc>
          <w:tcPr>
            <w:tcW w:w="3544" w:type="dxa"/>
            <w:tcBorders>
              <w:top w:val="nil"/>
              <w:left w:val="single" w:sz="8" w:space="0" w:color="auto"/>
              <w:bottom w:val="single" w:sz="8" w:space="0" w:color="auto"/>
              <w:right w:val="single" w:sz="8" w:space="0" w:color="auto"/>
            </w:tcBorders>
            <w:shd w:val="clear" w:color="auto" w:fill="auto"/>
            <w:vAlign w:val="center"/>
            <w:hideMark/>
          </w:tcPr>
          <w:p w14:paraId="30EB7D78" w14:textId="77777777" w:rsidR="00032E44" w:rsidRPr="00F53E25" w:rsidRDefault="00032E44" w:rsidP="009D2CC9">
            <w:pPr>
              <w:keepNext/>
              <w:ind w:left="0" w:firstLine="0"/>
              <w:rPr>
                <w:rFonts w:eastAsia="Times New Roman" w:cs="Calibri"/>
                <w:color w:val="000000"/>
                <w:sz w:val="20"/>
                <w:szCs w:val="20"/>
              </w:rPr>
            </w:pPr>
            <w:r w:rsidRPr="00F53E25">
              <w:rPr>
                <w:color w:val="000000"/>
                <w:sz w:val="20"/>
                <w:szCs w:val="20"/>
              </w:rPr>
              <w:t>Noruega</w:t>
            </w:r>
          </w:p>
        </w:tc>
        <w:tc>
          <w:tcPr>
            <w:tcW w:w="1559" w:type="dxa"/>
            <w:tcBorders>
              <w:top w:val="nil"/>
              <w:left w:val="nil"/>
              <w:bottom w:val="single" w:sz="8" w:space="0" w:color="auto"/>
              <w:right w:val="single" w:sz="8" w:space="0" w:color="auto"/>
            </w:tcBorders>
            <w:shd w:val="clear" w:color="auto" w:fill="auto"/>
            <w:vAlign w:val="center"/>
            <w:hideMark/>
          </w:tcPr>
          <w:p w14:paraId="553936A4" w14:textId="0375BC4A" w:rsidR="00032E44" w:rsidRPr="00F53E25" w:rsidRDefault="00032E44" w:rsidP="009D2CC9">
            <w:pPr>
              <w:keepNext/>
              <w:ind w:left="0" w:firstLine="0"/>
              <w:jc w:val="right"/>
              <w:rPr>
                <w:rFonts w:eastAsia="Times New Roman" w:cs="Calibri"/>
                <w:color w:val="000000"/>
                <w:sz w:val="20"/>
                <w:szCs w:val="20"/>
              </w:rPr>
            </w:pPr>
            <w:r w:rsidRPr="00F53E25">
              <w:rPr>
                <w:color w:val="000000"/>
                <w:sz w:val="20"/>
                <w:szCs w:val="20"/>
              </w:rPr>
              <w:t>5</w:t>
            </w:r>
          </w:p>
        </w:tc>
        <w:tc>
          <w:tcPr>
            <w:tcW w:w="4111" w:type="dxa"/>
            <w:tcBorders>
              <w:top w:val="nil"/>
              <w:left w:val="nil"/>
              <w:bottom w:val="single" w:sz="8" w:space="0" w:color="auto"/>
              <w:right w:val="single" w:sz="8" w:space="0" w:color="auto"/>
            </w:tcBorders>
            <w:shd w:val="clear" w:color="auto" w:fill="auto"/>
            <w:vAlign w:val="center"/>
            <w:hideMark/>
          </w:tcPr>
          <w:p w14:paraId="0EF20773" w14:textId="337B89DA" w:rsidR="00032E44" w:rsidRPr="00F53E25" w:rsidRDefault="00D70D8F" w:rsidP="009D2CC9">
            <w:pPr>
              <w:keepNext/>
              <w:ind w:left="0" w:firstLine="0"/>
              <w:rPr>
                <w:rFonts w:eastAsia="Times New Roman" w:cs="Calibri"/>
                <w:color w:val="000000"/>
                <w:sz w:val="20"/>
                <w:szCs w:val="20"/>
              </w:rPr>
            </w:pPr>
            <w:r w:rsidRPr="00F53E25">
              <w:rPr>
                <w:color w:val="000000"/>
                <w:sz w:val="20"/>
                <w:szCs w:val="20"/>
              </w:rPr>
              <w:t>Misión Ramsar de Asesoramiento a Prespa Lake</w:t>
            </w:r>
          </w:p>
        </w:tc>
      </w:tr>
      <w:tr w:rsidR="00AD6EB6" w:rsidRPr="00F53E25" w14:paraId="254869CA" w14:textId="77777777" w:rsidTr="00941F90">
        <w:tc>
          <w:tcPr>
            <w:tcW w:w="354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5A874DBA" w14:textId="341A1CFF" w:rsidR="00AD6EB6" w:rsidRPr="00F53E25" w:rsidRDefault="00990677" w:rsidP="006B595B">
            <w:pPr>
              <w:ind w:left="0" w:firstLine="0"/>
              <w:rPr>
                <w:rFonts w:eastAsia="Times New Roman" w:cs="Calibri"/>
                <w:b/>
                <w:sz w:val="20"/>
                <w:szCs w:val="20"/>
              </w:rPr>
            </w:pPr>
            <w:r w:rsidRPr="00F53E25">
              <w:rPr>
                <w:b/>
                <w:sz w:val="20"/>
                <w:szCs w:val="20"/>
              </w:rPr>
              <w:t>Ingresos totales para proyectos</w:t>
            </w:r>
          </w:p>
        </w:tc>
        <w:tc>
          <w:tcPr>
            <w:tcW w:w="1559"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13BDB842" w14:textId="6926D8B1" w:rsidR="00AD6EB6" w:rsidRPr="00F53E25" w:rsidRDefault="00D70D8F" w:rsidP="00162710">
            <w:pPr>
              <w:ind w:left="0" w:firstLine="0"/>
              <w:jc w:val="right"/>
              <w:rPr>
                <w:rFonts w:eastAsia="Times New Roman" w:cs="Calibri"/>
                <w:b/>
                <w:sz w:val="20"/>
                <w:szCs w:val="20"/>
              </w:rPr>
            </w:pPr>
            <w:r w:rsidRPr="00F53E25">
              <w:rPr>
                <w:b/>
                <w:sz w:val="20"/>
                <w:szCs w:val="20"/>
              </w:rPr>
              <w:t>47</w:t>
            </w:r>
          </w:p>
        </w:tc>
        <w:tc>
          <w:tcPr>
            <w:tcW w:w="4111" w:type="dxa"/>
            <w:tcBorders>
              <w:top w:val="single" w:sz="8" w:space="0" w:color="auto"/>
              <w:left w:val="nil"/>
              <w:bottom w:val="single" w:sz="8" w:space="0" w:color="auto"/>
              <w:right w:val="single" w:sz="8" w:space="0" w:color="auto"/>
            </w:tcBorders>
            <w:shd w:val="clear" w:color="auto" w:fill="DBE5F1" w:themeFill="accent1" w:themeFillTint="33"/>
            <w:vAlign w:val="center"/>
          </w:tcPr>
          <w:p w14:paraId="70526DBA" w14:textId="67D1E81C" w:rsidR="00AD6EB6" w:rsidRPr="00F53E25" w:rsidRDefault="00AD6EB6" w:rsidP="00162710">
            <w:pPr>
              <w:ind w:left="0" w:firstLine="0"/>
              <w:rPr>
                <w:rFonts w:eastAsia="Times New Roman" w:cs="Calibri"/>
                <w:color w:val="000000"/>
                <w:sz w:val="20"/>
                <w:szCs w:val="20"/>
                <w:lang w:eastAsia="en-GB"/>
              </w:rPr>
            </w:pPr>
          </w:p>
        </w:tc>
      </w:tr>
    </w:tbl>
    <w:p w14:paraId="061E91E0" w14:textId="21365482" w:rsidR="00D76E4A" w:rsidRPr="00F53E25" w:rsidRDefault="00D76E4A" w:rsidP="00162710"/>
    <w:p w14:paraId="7F5F1BC6" w14:textId="77777777" w:rsidR="00BB515E" w:rsidRPr="00F53E25" w:rsidRDefault="00BB515E" w:rsidP="00BB515E">
      <w:pPr>
        <w:rPr>
          <w:highlight w:val="yellow"/>
        </w:rPr>
      </w:pPr>
    </w:p>
    <w:p w14:paraId="7EE19CA3" w14:textId="6B28C404" w:rsidR="007C5D3E" w:rsidRPr="00F53E25" w:rsidRDefault="007C5D3E" w:rsidP="007C5D3E">
      <w:pPr>
        <w:pStyle w:val="ListParagraph"/>
        <w:numPr>
          <w:ilvl w:val="0"/>
          <w:numId w:val="11"/>
        </w:numPr>
        <w:ind w:left="426" w:hanging="426"/>
      </w:pPr>
      <w:r w:rsidRPr="00F53E25">
        <w:t>Hubo una disminución de las contribuciones voluntarias complementarias en comparación con 2019 (</w:t>
      </w:r>
      <w:r w:rsidR="00AB4519" w:rsidRPr="00F53E25">
        <w:t xml:space="preserve">en ese año ascendieron a </w:t>
      </w:r>
      <w:r w:rsidRPr="00F53E25">
        <w:t>379 000</w:t>
      </w:r>
      <w:r w:rsidR="00AB4519" w:rsidRPr="00F53E25">
        <w:t xml:space="preserve"> francos suizos)</w:t>
      </w:r>
      <w:r w:rsidRPr="00F53E25">
        <w:t xml:space="preserve"> y años anteriores, en gran medida debido a la pandemia de COVID-19 sin precedentes, que </w:t>
      </w:r>
      <w:r w:rsidR="00AB4519" w:rsidRPr="00F53E25">
        <w:t xml:space="preserve">dio lugar a </w:t>
      </w:r>
      <w:r w:rsidRPr="00F53E25">
        <w:t xml:space="preserve">la cancelación de algunas </w:t>
      </w:r>
      <w:r w:rsidR="007124BD" w:rsidRPr="00F53E25">
        <w:t>actividades</w:t>
      </w:r>
      <w:r w:rsidR="00864934" w:rsidRPr="00F53E25">
        <w:t xml:space="preserve"> (p. ej.</w:t>
      </w:r>
      <w:r w:rsidRPr="00F53E25">
        <w:t>, Misiones Ramsar de Asesoramient</w:t>
      </w:r>
      <w:r w:rsidR="00864934" w:rsidRPr="00F53E25">
        <w:t xml:space="preserve">o, </w:t>
      </w:r>
      <w:r w:rsidRPr="00F53E25">
        <w:t>ejecución de proyectos, viajes y reuniones</w:t>
      </w:r>
      <w:r w:rsidR="00864934" w:rsidRPr="00F53E25">
        <w:t>)</w:t>
      </w:r>
      <w:r w:rsidRPr="00F53E25">
        <w:t xml:space="preserve"> y por lo tanto provocó una disminución en los gastos y tuvo repercusiones sobre la recaudación de fondos.</w:t>
      </w:r>
    </w:p>
    <w:p w14:paraId="17CB9FDC" w14:textId="77777777" w:rsidR="007C5D3E" w:rsidRPr="00F53E25" w:rsidRDefault="007C5D3E" w:rsidP="007C5D3E">
      <w:pPr>
        <w:pStyle w:val="ListParagraph"/>
        <w:ind w:left="426" w:firstLine="0"/>
      </w:pPr>
    </w:p>
    <w:p w14:paraId="59E20864" w14:textId="7BE1E981" w:rsidR="007C5D3E" w:rsidRPr="00F53E25" w:rsidRDefault="007C5D3E" w:rsidP="007C5D3E">
      <w:pPr>
        <w:pStyle w:val="ListParagraph"/>
        <w:numPr>
          <w:ilvl w:val="0"/>
          <w:numId w:val="11"/>
        </w:numPr>
        <w:ind w:left="426" w:hanging="426"/>
      </w:pPr>
      <w:r w:rsidRPr="00F53E25">
        <w:t xml:space="preserve">El acuerdo de colaboración con Danone concluyó al final de 2020. No es seguro que </w:t>
      </w:r>
      <w:r w:rsidR="00AB4519" w:rsidRPr="00F53E25">
        <w:t>Danone siga prestando apoyo financiero en el futuro</w:t>
      </w:r>
      <w:r w:rsidRPr="00F53E25">
        <w:t xml:space="preserve">, dadas las dificultades financieras relacionadas con la COVID-19 que está experimentando la </w:t>
      </w:r>
      <w:r w:rsidR="00864934" w:rsidRPr="00F53E25">
        <w:t>empresa</w:t>
      </w:r>
      <w:r w:rsidRPr="00F53E25">
        <w:t xml:space="preserve"> y los cambios en </w:t>
      </w:r>
      <w:r w:rsidR="00864934" w:rsidRPr="00F53E25">
        <w:t>las</w:t>
      </w:r>
      <w:r w:rsidRPr="00F53E25">
        <w:t xml:space="preserve"> </w:t>
      </w:r>
      <w:r w:rsidR="00AB4519" w:rsidRPr="00F53E25">
        <w:t xml:space="preserve">prioridades </w:t>
      </w:r>
      <w:r w:rsidRPr="00F53E25">
        <w:t xml:space="preserve">conforme la </w:t>
      </w:r>
      <w:r w:rsidR="007124BD" w:rsidRPr="00F53E25">
        <w:t>empresa</w:t>
      </w:r>
      <w:r w:rsidRPr="00F53E25">
        <w:t xml:space="preserve"> se adapta a un nuevo </w:t>
      </w:r>
      <w:r w:rsidR="00AB4519" w:rsidRPr="00F53E25">
        <w:t>contexto operativo</w:t>
      </w:r>
      <w:r w:rsidRPr="00F53E25">
        <w:t xml:space="preserve">. La Secretaría está </w:t>
      </w:r>
      <w:r w:rsidR="00AB4519" w:rsidRPr="00F53E25">
        <w:t>manteniendo conversaciones sobre esta cuestión</w:t>
      </w:r>
      <w:r w:rsidRPr="00F53E25">
        <w:t>. En 2020, la Secretaría y Alemania (representada por el Minist</w:t>
      </w:r>
      <w:r w:rsidR="00AB4519" w:rsidRPr="00F53E25">
        <w:t>erio</w:t>
      </w:r>
      <w:r w:rsidRPr="00F53E25">
        <w:t xml:space="preserve"> Federal de Medio Ambiente, Conservación de la Naturaleza y Seguridad Nuclear) firmaron un acuerdo </w:t>
      </w:r>
      <w:r w:rsidR="00E53377" w:rsidRPr="00F53E25">
        <w:t xml:space="preserve">de ayuda </w:t>
      </w:r>
      <w:r w:rsidRPr="00F53E25">
        <w:t xml:space="preserve">para el proyecto </w:t>
      </w:r>
      <w:r w:rsidR="00BB515E" w:rsidRPr="00F53E25">
        <w:rPr>
          <w:i/>
          <w:iCs/>
        </w:rPr>
        <w:t>Wise use of Caribbean Wetlands for Climate Change Mitigation and Conservation of their Ecosystem Services</w:t>
      </w:r>
      <w:r w:rsidR="00BB515E" w:rsidRPr="00F53E25">
        <w:t xml:space="preserve"> </w:t>
      </w:r>
      <w:r w:rsidR="00E53377" w:rsidRPr="00F53E25">
        <w:t xml:space="preserve">[Uso racional de los humedales del </w:t>
      </w:r>
      <w:r w:rsidR="00864934" w:rsidRPr="00F53E25">
        <w:t>C</w:t>
      </w:r>
      <w:r w:rsidR="00E53377" w:rsidRPr="00F53E25">
        <w:t xml:space="preserve">aribe para la mitigación del cambio climático y conservación de sus servicios de los ecosistemas] </w:t>
      </w:r>
      <w:r w:rsidRPr="00F53E25">
        <w:t xml:space="preserve">para el período entre </w:t>
      </w:r>
      <w:r w:rsidR="00BB515E" w:rsidRPr="00F53E25">
        <w:t xml:space="preserve">2020 </w:t>
      </w:r>
      <w:r w:rsidRPr="00F53E25">
        <w:t>y</w:t>
      </w:r>
      <w:r w:rsidR="00BB515E" w:rsidRPr="00F53E25">
        <w:t xml:space="preserve"> 2024.</w:t>
      </w:r>
    </w:p>
    <w:p w14:paraId="4F68C429" w14:textId="77777777" w:rsidR="007C5D3E" w:rsidRPr="00F53E25" w:rsidRDefault="007C5D3E" w:rsidP="007C5D3E">
      <w:pPr>
        <w:pStyle w:val="ListParagraph"/>
      </w:pPr>
    </w:p>
    <w:p w14:paraId="5C814BDA" w14:textId="258B67A6" w:rsidR="007C5D3E" w:rsidRPr="00F53E25" w:rsidRDefault="00DA6FAA" w:rsidP="007C5D3E">
      <w:pPr>
        <w:pStyle w:val="ListParagraph"/>
        <w:numPr>
          <w:ilvl w:val="0"/>
          <w:numId w:val="11"/>
        </w:numPr>
        <w:ind w:left="426" w:hanging="426"/>
      </w:pPr>
      <w:r w:rsidRPr="00F53E25">
        <w:lastRenderedPageBreak/>
        <w:t xml:space="preserve">Se ha contactado con las Partes Contratantes y otros posibles donantes en relación con la financiación de otras partidas presupuestarias prioritarias no básicas identificadas en el </w:t>
      </w:r>
      <w:r w:rsidR="00AB4C0D" w:rsidRPr="00F53E25">
        <w:t xml:space="preserve">Anexo </w:t>
      </w:r>
      <w:r w:rsidRPr="00F53E25">
        <w:t>3 de la Resolución XIII.2. En este sentido, una de las principales prioridades que las Partes deben tener en cuenta en 202</w:t>
      </w:r>
      <w:r w:rsidR="00BB515E" w:rsidRPr="00F53E25">
        <w:t>1</w:t>
      </w:r>
      <w:r w:rsidRPr="00F53E25">
        <w:t xml:space="preserve"> es la financiación de </w:t>
      </w:r>
      <w:r w:rsidRPr="00F53E25">
        <w:rPr>
          <w:color w:val="000000" w:themeColor="text1"/>
        </w:rPr>
        <w:t xml:space="preserve">la </w:t>
      </w:r>
      <w:r w:rsidR="007C5D3E" w:rsidRPr="00F53E25">
        <w:rPr>
          <w:color w:val="000000" w:themeColor="text1"/>
        </w:rPr>
        <w:t>COP14, e</w:t>
      </w:r>
      <w:r w:rsidRPr="00F53E25">
        <w:rPr>
          <w:color w:val="000000" w:themeColor="text1"/>
        </w:rPr>
        <w:t xml:space="preserve">specialmente </w:t>
      </w:r>
      <w:r w:rsidR="00864934" w:rsidRPr="00F53E25">
        <w:rPr>
          <w:color w:val="000000" w:themeColor="text1"/>
        </w:rPr>
        <w:t xml:space="preserve">para </w:t>
      </w:r>
      <w:r w:rsidRPr="00F53E25">
        <w:rPr>
          <w:color w:val="000000" w:themeColor="text1"/>
        </w:rPr>
        <w:t>l</w:t>
      </w:r>
      <w:r w:rsidR="00BB515E" w:rsidRPr="00F53E25">
        <w:rPr>
          <w:color w:val="000000" w:themeColor="text1"/>
        </w:rPr>
        <w:t xml:space="preserve">a participación de los </w:t>
      </w:r>
      <w:r w:rsidRPr="00F53E25">
        <w:rPr>
          <w:color w:val="000000" w:themeColor="text1"/>
        </w:rPr>
        <w:t xml:space="preserve">delegados patrocinados. La Secretaría agradecería </w:t>
      </w:r>
      <w:r w:rsidRPr="00F53E25">
        <w:t>que las Partes le dieran orientaci</w:t>
      </w:r>
      <w:r w:rsidR="00864934" w:rsidRPr="00F53E25">
        <w:t>ones</w:t>
      </w:r>
      <w:r w:rsidRPr="00F53E25">
        <w:t xml:space="preserve"> sobre posibles donantes</w:t>
      </w:r>
      <w:r w:rsidR="007C5D3E" w:rsidRPr="00F53E25">
        <w:t xml:space="preserve"> que </w:t>
      </w:r>
      <w:r w:rsidR="007C5D3E" w:rsidRPr="00F53E25">
        <w:rPr>
          <w:color w:val="000000" w:themeColor="text1"/>
        </w:rPr>
        <w:t>puedan sufragar costos de viaje</w:t>
      </w:r>
      <w:r w:rsidRPr="00F53E25">
        <w:rPr>
          <w:color w:val="000000" w:themeColor="text1"/>
        </w:rPr>
        <w:t xml:space="preserve"> para garantizar la participación de todas las Partes Contratantes en la COP14</w:t>
      </w:r>
      <w:r w:rsidRPr="00F53E25">
        <w:t>.</w:t>
      </w:r>
      <w:r w:rsidR="00BB515E" w:rsidRPr="00F53E25">
        <w:t xml:space="preserve"> </w:t>
      </w:r>
      <w:r w:rsidR="007C5D3E" w:rsidRPr="00F53E25">
        <w:t>La Secretaría ha realizado estimaciones de financiación</w:t>
      </w:r>
      <w:r w:rsidR="00FC45EA" w:rsidRPr="00F53E25">
        <w:t xml:space="preserve"> que figuran en el </w:t>
      </w:r>
      <w:r w:rsidR="007124BD" w:rsidRPr="00F53E25">
        <w:t>párrafo</w:t>
      </w:r>
      <w:r w:rsidR="007C5D3E" w:rsidRPr="00F53E25">
        <w:t xml:space="preserve"> 43 y hará todo lo posible para movilizar recursos </w:t>
      </w:r>
      <w:r w:rsidR="00FC45EA" w:rsidRPr="00F53E25">
        <w:t xml:space="preserve">de forma que </w:t>
      </w:r>
      <w:r w:rsidR="007C5D3E" w:rsidRPr="00F53E25">
        <w:t xml:space="preserve">se pueda apoyar </w:t>
      </w:r>
      <w:r w:rsidR="00FC45EA" w:rsidRPr="00F53E25">
        <w:t xml:space="preserve">la participación en la reunión de </w:t>
      </w:r>
      <w:r w:rsidR="007C5D3E" w:rsidRPr="00F53E25">
        <w:t xml:space="preserve">delegados </w:t>
      </w:r>
      <w:r w:rsidR="007124BD" w:rsidRPr="00F53E25">
        <w:t>patrocinados</w:t>
      </w:r>
      <w:r w:rsidR="007C5D3E" w:rsidRPr="00F53E25">
        <w:t xml:space="preserve">. La </w:t>
      </w:r>
      <w:r w:rsidR="007124BD" w:rsidRPr="00F53E25">
        <w:t>Secretaría</w:t>
      </w:r>
      <w:r w:rsidR="007C5D3E" w:rsidRPr="00F53E25">
        <w:t xml:space="preserve"> considera que es importante </w:t>
      </w:r>
      <w:r w:rsidR="00FC45EA" w:rsidRPr="00F53E25">
        <w:t xml:space="preserve">estudiar las opciones posibles </w:t>
      </w:r>
      <w:r w:rsidR="007C5D3E" w:rsidRPr="00F53E25">
        <w:t xml:space="preserve">para que todas las Partes puedan participar en la </w:t>
      </w:r>
      <w:r w:rsidR="00BB515E" w:rsidRPr="00F53E25">
        <w:t>COP14.</w:t>
      </w:r>
    </w:p>
    <w:p w14:paraId="6747C89A" w14:textId="77777777" w:rsidR="007C5D3E" w:rsidRPr="00F53E25" w:rsidRDefault="007C5D3E" w:rsidP="007C5D3E">
      <w:pPr>
        <w:pStyle w:val="ListParagraph"/>
      </w:pPr>
    </w:p>
    <w:p w14:paraId="0FCDC91F" w14:textId="77777777" w:rsidR="00864934" w:rsidRPr="00F53E25" w:rsidRDefault="00FC45EA" w:rsidP="00864934">
      <w:pPr>
        <w:pStyle w:val="ListParagraph"/>
        <w:numPr>
          <w:ilvl w:val="0"/>
          <w:numId w:val="11"/>
        </w:numPr>
        <w:ind w:left="426" w:hanging="426"/>
      </w:pPr>
      <w:r w:rsidRPr="00F53E25">
        <w:t xml:space="preserve">Conforme a lo dispuesto en </w:t>
      </w:r>
      <w:r w:rsidR="007C5D3E" w:rsidRPr="00F53E25">
        <w:t xml:space="preserve">la </w:t>
      </w:r>
      <w:r w:rsidR="007124BD" w:rsidRPr="00F53E25">
        <w:t>Decisión</w:t>
      </w:r>
      <w:r w:rsidR="00BB515E" w:rsidRPr="00F53E25">
        <w:t xml:space="preserve"> SC57-51, </w:t>
      </w:r>
      <w:r w:rsidR="007C5D3E" w:rsidRPr="00F53E25">
        <w:t xml:space="preserve">la </w:t>
      </w:r>
      <w:r w:rsidR="007124BD" w:rsidRPr="00F53E25">
        <w:t>Secretaría</w:t>
      </w:r>
      <w:r w:rsidR="007C5D3E" w:rsidRPr="00F53E25">
        <w:t xml:space="preserve"> ha </w:t>
      </w:r>
      <w:r w:rsidRPr="00F53E25">
        <w:t>adoptado</w:t>
      </w:r>
      <w:r w:rsidR="007C5D3E" w:rsidRPr="00F53E25">
        <w:t xml:space="preserve"> medidas para eliminar gradualmente el programa del Fondo de Pequeñas Subvenciones asignando un </w:t>
      </w:r>
      <w:r w:rsidR="00A40A36" w:rsidRPr="00F53E25">
        <w:t>primer</w:t>
      </w:r>
      <w:r w:rsidR="007C5D3E" w:rsidRPr="00F53E25">
        <w:t xml:space="preserve"> </w:t>
      </w:r>
      <w:r w:rsidRPr="00F53E25">
        <w:t>tramo</w:t>
      </w:r>
      <w:r w:rsidR="007C5D3E" w:rsidRPr="00F53E25">
        <w:t xml:space="preserve"> de financiación a los </w:t>
      </w:r>
      <w:r w:rsidR="004A1211" w:rsidRPr="00F53E25">
        <w:t xml:space="preserve">cuatro proyectos aprobados en esa decisión. El </w:t>
      </w:r>
      <w:r w:rsidR="00A40A36" w:rsidRPr="00F53E25">
        <w:t>segundo</w:t>
      </w:r>
      <w:r w:rsidR="004A1211" w:rsidRPr="00F53E25">
        <w:t xml:space="preserve"> </w:t>
      </w:r>
      <w:r w:rsidRPr="00F53E25">
        <w:t xml:space="preserve">y último tramo se </w:t>
      </w:r>
      <w:r w:rsidR="004A1211" w:rsidRPr="00F53E25">
        <w:t xml:space="preserve">desembolsará en </w:t>
      </w:r>
      <w:r w:rsidR="00BB515E" w:rsidRPr="00F53E25">
        <w:t>2021</w:t>
      </w:r>
      <w:r w:rsidRPr="00F53E25">
        <w:t>,</w:t>
      </w:r>
      <w:r w:rsidR="00BB515E" w:rsidRPr="00F53E25">
        <w:t xml:space="preserve"> </w:t>
      </w:r>
      <w:r w:rsidR="004A1211" w:rsidRPr="00F53E25">
        <w:t xml:space="preserve">una vez </w:t>
      </w:r>
      <w:r w:rsidRPr="00F53E25">
        <w:t xml:space="preserve">recibidos y evaluados </w:t>
      </w:r>
      <w:r w:rsidR="00864934" w:rsidRPr="00F53E25">
        <w:t>satisfactoriamente los</w:t>
      </w:r>
      <w:r w:rsidR="004A1211" w:rsidRPr="00F53E25">
        <w:t xml:space="preserve"> informes finales de los proyectos.</w:t>
      </w:r>
    </w:p>
    <w:p w14:paraId="64A9653A" w14:textId="77777777" w:rsidR="00864934" w:rsidRPr="00F53E25" w:rsidRDefault="00864934" w:rsidP="00864934">
      <w:pPr>
        <w:pStyle w:val="ListParagraph"/>
      </w:pPr>
    </w:p>
    <w:p w14:paraId="026C50CA" w14:textId="52D9FD0D" w:rsidR="00864934" w:rsidRPr="00F53E25" w:rsidRDefault="00864934" w:rsidP="00864934">
      <w:pPr>
        <w:pStyle w:val="ListParagraph"/>
        <w:numPr>
          <w:ilvl w:val="0"/>
          <w:numId w:val="11"/>
        </w:numPr>
        <w:ind w:left="426" w:hanging="426"/>
      </w:pPr>
      <w:r w:rsidRPr="00F53E25">
        <w:t xml:space="preserve">La Secretaría </w:t>
      </w:r>
      <w:r w:rsidRPr="00F53E25">
        <w:rPr>
          <w:color w:val="000000" w:themeColor="text1"/>
        </w:rPr>
        <w:t xml:space="preserve">quisiera dar las gracias a </w:t>
      </w:r>
      <w:r w:rsidRPr="00F53E25">
        <w:t>las Partes Contratantes y a los donantes por sus contribuciones voluntarias a las actividades no financiadas por el presupuesto básico de la Convención.</w:t>
      </w:r>
    </w:p>
    <w:p w14:paraId="4F22F6C0" w14:textId="77777777" w:rsidR="00FC45EA" w:rsidRPr="00F53E25" w:rsidRDefault="00FC45EA" w:rsidP="00FC45EA">
      <w:pPr>
        <w:pStyle w:val="ListParagraph"/>
      </w:pPr>
    </w:p>
    <w:p w14:paraId="0C1BB608" w14:textId="011D21FD" w:rsidR="004A1211" w:rsidRPr="00F53E25" w:rsidRDefault="00FC45EA" w:rsidP="00FC45EA">
      <w:pPr>
        <w:pStyle w:val="ListParagraph"/>
        <w:ind w:left="426" w:hanging="426"/>
        <w:rPr>
          <w:i/>
        </w:rPr>
      </w:pPr>
      <w:r w:rsidRPr="00F53E25">
        <w:rPr>
          <w:i/>
        </w:rPr>
        <w:t>Contribuciones voluntarias de países africanos</w:t>
      </w:r>
    </w:p>
    <w:p w14:paraId="55AD9690" w14:textId="77777777" w:rsidR="00FC45EA" w:rsidRPr="00F53E25" w:rsidRDefault="00FC45EA" w:rsidP="004A1211">
      <w:pPr>
        <w:pStyle w:val="ListParagraph"/>
      </w:pPr>
    </w:p>
    <w:p w14:paraId="4AAD37BB" w14:textId="77777777" w:rsidR="00FC45EA" w:rsidRPr="00F53E25" w:rsidRDefault="004A1211" w:rsidP="00FC45EA">
      <w:pPr>
        <w:pStyle w:val="ListParagraph"/>
        <w:numPr>
          <w:ilvl w:val="0"/>
          <w:numId w:val="11"/>
        </w:numPr>
        <w:ind w:left="426" w:hanging="426"/>
      </w:pPr>
      <w:r w:rsidRPr="00F53E25">
        <w:t>En 2</w:t>
      </w:r>
      <w:r w:rsidR="00DA6FAA" w:rsidRPr="00F53E25">
        <w:t>0</w:t>
      </w:r>
      <w:r w:rsidR="00BB515E" w:rsidRPr="00F53E25">
        <w:t>20</w:t>
      </w:r>
      <w:r w:rsidR="00DA6FAA" w:rsidRPr="00F53E25">
        <w:t xml:space="preserve">, se recibió una contribución voluntaria neta de </w:t>
      </w:r>
      <w:r w:rsidR="00BB515E" w:rsidRPr="00F53E25">
        <w:t>1</w:t>
      </w:r>
      <w:r w:rsidR="00DA6FAA" w:rsidRPr="00F53E25">
        <w:t>2 000 francos suizos de las Partes Contratantes de la región de África.</w:t>
      </w:r>
    </w:p>
    <w:p w14:paraId="723FE9AE" w14:textId="77777777" w:rsidR="00FC45EA" w:rsidRPr="00F53E25" w:rsidRDefault="00FC45EA" w:rsidP="00FC45EA">
      <w:pPr>
        <w:pStyle w:val="ListParagraph"/>
      </w:pPr>
    </w:p>
    <w:p w14:paraId="63230F3A" w14:textId="5DB22795" w:rsidR="00C363FB" w:rsidRPr="00F53E25" w:rsidRDefault="004A1211" w:rsidP="00C363FB">
      <w:pPr>
        <w:pStyle w:val="ListParagraph"/>
        <w:numPr>
          <w:ilvl w:val="0"/>
          <w:numId w:val="11"/>
        </w:numPr>
        <w:ind w:left="426" w:hanging="426"/>
      </w:pPr>
      <w:r w:rsidRPr="00F53E25">
        <w:t xml:space="preserve">De conformidad con la Decisión </w:t>
      </w:r>
      <w:r w:rsidR="00BB515E" w:rsidRPr="00F53E25">
        <w:t>SC58-16</w:t>
      </w:r>
      <w:r w:rsidRPr="00F53E25">
        <w:t xml:space="preserve"> y a partir del estado de las contribuciones </w:t>
      </w:r>
      <w:r w:rsidR="00FC45EA" w:rsidRPr="00F53E25">
        <w:t xml:space="preserve">al final de 2018 </w:t>
      </w:r>
      <w:r w:rsidR="00A40A36" w:rsidRPr="00F53E25">
        <w:t>examinado</w:t>
      </w:r>
      <w:r w:rsidRPr="00F53E25">
        <w:t xml:space="preserve"> por el Comité Permanente</w:t>
      </w:r>
      <w:r w:rsidR="00BB515E" w:rsidRPr="00F53E25">
        <w:t>,</w:t>
      </w:r>
      <w:r w:rsidR="00FC45EA" w:rsidRPr="00F53E25">
        <w:t xml:space="preserve"> </w:t>
      </w:r>
      <w:r w:rsidRPr="00F53E25">
        <w:t>la Secretaría asignó fondos por un total de 91 000 francos suizos a las iniciativas regionales de Ramsar de África como sigue:</w:t>
      </w:r>
      <w:r w:rsidR="00BB515E" w:rsidRPr="00F53E25">
        <w:t xml:space="preserve"> 30</w:t>
      </w:r>
      <w:r w:rsidRPr="00F53E25">
        <w:t xml:space="preserve"> </w:t>
      </w:r>
      <w:r w:rsidR="00BB515E" w:rsidRPr="00F53E25">
        <w:t>333</w:t>
      </w:r>
      <w:r w:rsidRPr="00F53E25">
        <w:t xml:space="preserve"> francos suizos para</w:t>
      </w:r>
      <w:r w:rsidR="00BB515E" w:rsidRPr="00F53E25">
        <w:t xml:space="preserve"> </w:t>
      </w:r>
      <w:r w:rsidR="00C363FB" w:rsidRPr="00F53E25">
        <w:t>el Centro Ramsar para África Oriental</w:t>
      </w:r>
      <w:r w:rsidR="00BB515E" w:rsidRPr="00F53E25">
        <w:t xml:space="preserve"> (RAMCEA), </w:t>
      </w:r>
      <w:r w:rsidR="00C363FB" w:rsidRPr="00F53E25">
        <w:t xml:space="preserve">la Iniciativa regional de Ramsar para los humedales costeros de África Oriental </w:t>
      </w:r>
      <w:r w:rsidR="00BB515E" w:rsidRPr="00F53E25">
        <w:t xml:space="preserve">(WaCoWet) </w:t>
      </w:r>
      <w:r w:rsidR="00C363FB" w:rsidRPr="00F53E25">
        <w:t xml:space="preserve">y la Iniciativa regional de Ramsar para la cuenca del río Níger </w:t>
      </w:r>
      <w:r w:rsidR="00BB515E" w:rsidRPr="00F53E25">
        <w:t>(NigerWet)</w:t>
      </w:r>
      <w:r w:rsidRPr="00F53E25">
        <w:t>, respectivamente</w:t>
      </w:r>
      <w:r w:rsidR="00C363FB" w:rsidRPr="00F53E25">
        <w:t>.</w:t>
      </w:r>
    </w:p>
    <w:p w14:paraId="530C046D" w14:textId="77777777" w:rsidR="00C363FB" w:rsidRPr="00F53E25" w:rsidRDefault="00C363FB" w:rsidP="00C363FB">
      <w:pPr>
        <w:pStyle w:val="ListParagraph"/>
      </w:pPr>
    </w:p>
    <w:p w14:paraId="4A6E3045" w14:textId="77777777" w:rsidR="009C5F3E" w:rsidRPr="00F53E25" w:rsidRDefault="00C363FB" w:rsidP="009C5F3E">
      <w:pPr>
        <w:pStyle w:val="ListParagraph"/>
        <w:numPr>
          <w:ilvl w:val="0"/>
          <w:numId w:val="11"/>
        </w:numPr>
        <w:ind w:left="426" w:hanging="426"/>
      </w:pPr>
      <w:r w:rsidRPr="00F53E25">
        <w:t xml:space="preserve">El primer tramo de financiación se transfirió </w:t>
      </w:r>
      <w:r w:rsidR="004A1211" w:rsidRPr="00F53E25">
        <w:t xml:space="preserve">a </w:t>
      </w:r>
      <w:r w:rsidR="00BB515E" w:rsidRPr="00F53E25">
        <w:t xml:space="preserve">WACoWet </w:t>
      </w:r>
      <w:r w:rsidR="004A1211" w:rsidRPr="00F53E25">
        <w:t xml:space="preserve">y </w:t>
      </w:r>
      <w:r w:rsidR="00BB515E" w:rsidRPr="00F53E25">
        <w:t xml:space="preserve">NigerWet </w:t>
      </w:r>
      <w:r w:rsidR="004A1211" w:rsidRPr="00F53E25">
        <w:t xml:space="preserve">en </w:t>
      </w:r>
      <w:r w:rsidR="00BB515E" w:rsidRPr="00F53E25">
        <w:t xml:space="preserve">2020 </w:t>
      </w:r>
      <w:r w:rsidR="004A1211" w:rsidRPr="00F53E25">
        <w:t xml:space="preserve">y a </w:t>
      </w:r>
      <w:r w:rsidRPr="00F53E25">
        <w:t>RAMCEA en la</w:t>
      </w:r>
      <w:r w:rsidR="004A1211" w:rsidRPr="00F53E25">
        <w:t xml:space="preserve"> primera mitad de 2</w:t>
      </w:r>
      <w:r w:rsidR="00BB515E" w:rsidRPr="00F53E25">
        <w:t>021</w:t>
      </w:r>
      <w:r w:rsidR="004A1211" w:rsidRPr="00F53E25">
        <w:t>. Está previsto qu</w:t>
      </w:r>
      <w:r w:rsidRPr="00F53E25">
        <w:t xml:space="preserve">e el segundo tramo </w:t>
      </w:r>
      <w:r w:rsidR="004A1211" w:rsidRPr="00F53E25">
        <w:t xml:space="preserve">sea </w:t>
      </w:r>
      <w:r w:rsidRPr="00F53E25">
        <w:t>desembolsado</w:t>
      </w:r>
      <w:r w:rsidR="004A1211" w:rsidRPr="00F53E25">
        <w:t xml:space="preserve"> antes de</w:t>
      </w:r>
      <w:r w:rsidRPr="00F53E25">
        <w:t>l final de</w:t>
      </w:r>
      <w:r w:rsidR="004A1211" w:rsidRPr="00F53E25">
        <w:t xml:space="preserve"> </w:t>
      </w:r>
      <w:r w:rsidR="00BB515E" w:rsidRPr="00F53E25">
        <w:t>202</w:t>
      </w:r>
      <w:r w:rsidRPr="00F53E25">
        <w:t>1</w:t>
      </w:r>
      <w:r w:rsidR="004A1211" w:rsidRPr="00F53E25">
        <w:t>.</w:t>
      </w:r>
    </w:p>
    <w:p w14:paraId="003E9EF6" w14:textId="77777777" w:rsidR="009C5F3E" w:rsidRPr="00F53E25" w:rsidRDefault="009C5F3E" w:rsidP="009C5F3E">
      <w:pPr>
        <w:pStyle w:val="ListParagraph"/>
      </w:pPr>
    </w:p>
    <w:p w14:paraId="3C6B9233" w14:textId="2E33F748" w:rsidR="009C5F3E" w:rsidRPr="00F53E25" w:rsidRDefault="004A1211" w:rsidP="009C5F3E">
      <w:pPr>
        <w:pStyle w:val="ListParagraph"/>
        <w:numPr>
          <w:ilvl w:val="0"/>
          <w:numId w:val="11"/>
        </w:numPr>
        <w:ind w:left="426" w:hanging="426"/>
      </w:pPr>
      <w:r w:rsidRPr="00F53E25">
        <w:t>Los fondos recibid</w:t>
      </w:r>
      <w:r w:rsidR="00C363FB" w:rsidRPr="00F53E25">
        <w:t>os</w:t>
      </w:r>
      <w:r w:rsidRPr="00F53E25">
        <w:t xml:space="preserve"> en</w:t>
      </w:r>
      <w:r w:rsidR="00BB515E" w:rsidRPr="00F53E25">
        <w:t xml:space="preserve"> 2019 </w:t>
      </w:r>
      <w:r w:rsidRPr="00F53E25">
        <w:t xml:space="preserve">y </w:t>
      </w:r>
      <w:r w:rsidR="00BB515E" w:rsidRPr="00F53E25">
        <w:t xml:space="preserve">2020 </w:t>
      </w:r>
      <w:r w:rsidRPr="00F53E25">
        <w:t xml:space="preserve">para </w:t>
      </w:r>
      <w:r w:rsidR="00EB7D58" w:rsidRPr="00F53E25">
        <w:t xml:space="preserve">futuras asignaciones sumaron </w:t>
      </w:r>
      <w:r w:rsidRPr="00F53E25">
        <w:t xml:space="preserve">14 000 </w:t>
      </w:r>
      <w:r w:rsidR="00A40A36" w:rsidRPr="00F53E25">
        <w:t>francos</w:t>
      </w:r>
      <w:r w:rsidRPr="00F53E25">
        <w:t xml:space="preserve"> suizos, como se indica en el </w:t>
      </w:r>
      <w:r w:rsidR="00C363FB" w:rsidRPr="00F53E25">
        <w:t xml:space="preserve">párrafo 27 del </w:t>
      </w:r>
      <w:r w:rsidR="00A40A36" w:rsidRPr="00F53E25">
        <w:t>documento</w:t>
      </w:r>
      <w:r w:rsidR="00BB515E" w:rsidRPr="00F53E25">
        <w:t xml:space="preserve"> SC59 Doc.8.2</w:t>
      </w:r>
      <w:r w:rsidR="00EB7D58" w:rsidRPr="00F53E25">
        <w:t xml:space="preserve">, </w:t>
      </w:r>
      <w:r w:rsidR="00EB7D58" w:rsidRPr="00F53E25">
        <w:rPr>
          <w:i/>
          <w:iCs/>
        </w:rPr>
        <w:t>Estado de las contribuciones anuales</w:t>
      </w:r>
      <w:r w:rsidR="00BB515E" w:rsidRPr="00F53E25">
        <w:t>.</w:t>
      </w:r>
    </w:p>
    <w:p w14:paraId="60E13CCB" w14:textId="77777777" w:rsidR="009C5F3E" w:rsidRPr="00F53E25" w:rsidRDefault="009C5F3E" w:rsidP="009C5F3E">
      <w:pPr>
        <w:pStyle w:val="ListParagraph"/>
      </w:pPr>
    </w:p>
    <w:p w14:paraId="243701F0" w14:textId="77777777" w:rsidR="009C5F3E" w:rsidRPr="00F53E25" w:rsidRDefault="009C5F3E" w:rsidP="009C5F3E">
      <w:pPr>
        <w:pStyle w:val="NoSpacing"/>
      </w:pPr>
      <w:r w:rsidRPr="00F53E25">
        <w:rPr>
          <w:b/>
        </w:rPr>
        <w:t>Presupuesto básico para 2021</w:t>
      </w:r>
    </w:p>
    <w:p w14:paraId="02D9A9F2" w14:textId="77777777" w:rsidR="009C5F3E" w:rsidRPr="00F53E25" w:rsidRDefault="009C5F3E" w:rsidP="009C5F3E"/>
    <w:p w14:paraId="3FF790F1" w14:textId="129BAAF7" w:rsidR="009C5F3E" w:rsidRPr="00F53E25" w:rsidRDefault="00DA6FAA" w:rsidP="009C5F3E">
      <w:pPr>
        <w:pStyle w:val="ListParagraph"/>
        <w:numPr>
          <w:ilvl w:val="0"/>
          <w:numId w:val="11"/>
        </w:numPr>
        <w:ind w:left="426" w:hanging="426"/>
      </w:pPr>
      <w:r w:rsidRPr="00F53E25">
        <w:t xml:space="preserve">En el </w:t>
      </w:r>
      <w:r w:rsidR="00AB4C0D" w:rsidRPr="00F53E25">
        <w:t xml:space="preserve">Anexo </w:t>
      </w:r>
      <w:r w:rsidRPr="00F53E25">
        <w:t xml:space="preserve">4 se presenta un panorama general del presupuesto </w:t>
      </w:r>
      <w:r w:rsidR="005E7E5D" w:rsidRPr="00F53E25">
        <w:t>propuesto para</w:t>
      </w:r>
      <w:r w:rsidRPr="00F53E25">
        <w:t xml:space="preserve"> 202</w:t>
      </w:r>
      <w:r w:rsidR="007A4B33" w:rsidRPr="00F53E25">
        <w:t>1</w:t>
      </w:r>
      <w:r w:rsidR="00EB7D58" w:rsidRPr="00F53E25">
        <w:t>. Incluye</w:t>
      </w:r>
      <w:r w:rsidRPr="00F53E25">
        <w:t xml:space="preserve"> el presupuesto aprobado por la COP13 de 5 081 000 francos suizos</w:t>
      </w:r>
      <w:r w:rsidR="00EB7D58" w:rsidRPr="00F53E25">
        <w:t>,</w:t>
      </w:r>
      <w:r w:rsidRPr="00F53E25">
        <w:t xml:space="preserve"> el uso autorizado del excedente de 2018 (Resolución XIII.2, párrafo 15) de 76 000 francos suizos</w:t>
      </w:r>
      <w:r w:rsidR="00EB7D58" w:rsidRPr="00F53E25">
        <w:t>,</w:t>
      </w:r>
      <w:r w:rsidRPr="00F53E25">
        <w:t xml:space="preserve"> los fondos previamente comprometidos del presupuesto de 20</w:t>
      </w:r>
      <w:r w:rsidR="005716E7" w:rsidRPr="00F53E25">
        <w:t>20</w:t>
      </w:r>
      <w:r w:rsidRPr="00F53E25">
        <w:t xml:space="preserve"> a gastar en 20</w:t>
      </w:r>
      <w:r w:rsidR="005716E7" w:rsidRPr="00F53E25">
        <w:t>21</w:t>
      </w:r>
      <w:r w:rsidRPr="00F53E25">
        <w:t xml:space="preserve"> de </w:t>
      </w:r>
      <w:r w:rsidR="005716E7" w:rsidRPr="00F53E25">
        <w:t>712</w:t>
      </w:r>
      <w:r w:rsidRPr="00F53E25">
        <w:t> 000 francos suizos</w:t>
      </w:r>
      <w:r w:rsidR="00EB7D58" w:rsidRPr="00F53E25">
        <w:t>,</w:t>
      </w:r>
      <w:r w:rsidR="0014780D" w:rsidRPr="00F53E25">
        <w:t xml:space="preserve"> </w:t>
      </w:r>
      <w:r w:rsidRPr="00F53E25">
        <w:rPr>
          <w:color w:val="000000" w:themeColor="text1"/>
        </w:rPr>
        <w:t xml:space="preserve">y </w:t>
      </w:r>
      <w:r w:rsidR="00EB7D58" w:rsidRPr="00F53E25">
        <w:rPr>
          <w:color w:val="000000" w:themeColor="text1"/>
        </w:rPr>
        <w:t>el</w:t>
      </w:r>
      <w:r w:rsidRPr="00F53E25">
        <w:rPr>
          <w:color w:val="000000" w:themeColor="text1"/>
        </w:rPr>
        <w:t xml:space="preserve"> saldo no comprometido de </w:t>
      </w:r>
      <w:r w:rsidR="005716E7" w:rsidRPr="00F53E25">
        <w:rPr>
          <w:color w:val="000000" w:themeColor="text1"/>
        </w:rPr>
        <w:t>1 590</w:t>
      </w:r>
      <w:r w:rsidRPr="00F53E25">
        <w:rPr>
          <w:color w:val="000000" w:themeColor="text1"/>
        </w:rPr>
        <w:t xml:space="preserve"> 000 francos suizos </w:t>
      </w:r>
      <w:r w:rsidR="00EB7D58" w:rsidRPr="00F53E25">
        <w:rPr>
          <w:color w:val="000000" w:themeColor="text1"/>
        </w:rPr>
        <w:t>que se transfiere</w:t>
      </w:r>
      <w:r w:rsidRPr="00F53E25">
        <w:rPr>
          <w:color w:val="000000" w:themeColor="text1"/>
        </w:rPr>
        <w:t xml:space="preserve"> </w:t>
      </w:r>
      <w:r w:rsidR="00EB7D58" w:rsidRPr="00F53E25">
        <w:rPr>
          <w:color w:val="000000" w:themeColor="text1"/>
        </w:rPr>
        <w:t>de 2020 a 2021</w:t>
      </w:r>
      <w:r w:rsidRPr="00F53E25">
        <w:rPr>
          <w:color w:val="000000" w:themeColor="text1"/>
        </w:rPr>
        <w:t xml:space="preserve">. </w:t>
      </w:r>
      <w:r w:rsidRPr="00F53E25">
        <w:t>El presupuesto básico total propuesto para 202</w:t>
      </w:r>
      <w:r w:rsidR="0014780D" w:rsidRPr="00F53E25">
        <w:t xml:space="preserve">1 </w:t>
      </w:r>
      <w:r w:rsidRPr="00F53E25">
        <w:t xml:space="preserve">es, por lo tanto, de </w:t>
      </w:r>
      <w:r w:rsidR="00D228D2" w:rsidRPr="00F53E25">
        <w:t>7 459</w:t>
      </w:r>
      <w:r w:rsidRPr="00F53E25">
        <w:t> 000 francos suizos.</w:t>
      </w:r>
    </w:p>
    <w:p w14:paraId="178042AC" w14:textId="77777777" w:rsidR="009C5F3E" w:rsidRPr="00F53E25" w:rsidRDefault="009C5F3E" w:rsidP="009C5F3E">
      <w:pPr>
        <w:pStyle w:val="ListParagraph"/>
      </w:pPr>
    </w:p>
    <w:p w14:paraId="3CCD191D" w14:textId="1982C6EB" w:rsidR="009C5F3E" w:rsidRPr="00F53E25" w:rsidRDefault="006B42D7" w:rsidP="009C5F3E">
      <w:pPr>
        <w:pStyle w:val="ListParagraph"/>
        <w:numPr>
          <w:ilvl w:val="0"/>
          <w:numId w:val="11"/>
        </w:numPr>
        <w:ind w:left="426" w:hanging="426"/>
      </w:pPr>
      <w:r w:rsidRPr="00F53E25">
        <w:t>Como se menciona en el documento SC5</w:t>
      </w:r>
      <w:r w:rsidR="0014780D" w:rsidRPr="00F53E25">
        <w:t>9</w:t>
      </w:r>
      <w:r w:rsidRPr="00F53E25">
        <w:t xml:space="preserve"> </w:t>
      </w:r>
      <w:r w:rsidR="008F4DF9" w:rsidRPr="00F53E25">
        <w:t>Doc.</w:t>
      </w:r>
      <w:r w:rsidRPr="00F53E25">
        <w:t xml:space="preserve"> 2</w:t>
      </w:r>
      <w:r w:rsidR="0014780D" w:rsidRPr="00F53E25">
        <w:t>1</w:t>
      </w:r>
      <w:r w:rsidRPr="00F53E25">
        <w:t>.2</w:t>
      </w:r>
      <w:r w:rsidR="0014780D" w:rsidRPr="00F53E25">
        <w:t>,</w:t>
      </w:r>
      <w:r w:rsidRPr="00F53E25">
        <w:t xml:space="preserve"> </w:t>
      </w:r>
      <w:r w:rsidRPr="00F53E25">
        <w:rPr>
          <w:i/>
          <w:iCs/>
        </w:rPr>
        <w:t xml:space="preserve">Informe de la Secretaría sobre las </w:t>
      </w:r>
      <w:r w:rsidR="00EB7D58" w:rsidRPr="00F53E25">
        <w:rPr>
          <w:i/>
          <w:iCs/>
        </w:rPr>
        <w:t>i</w:t>
      </w:r>
      <w:r w:rsidRPr="00F53E25">
        <w:rPr>
          <w:i/>
          <w:iCs/>
        </w:rPr>
        <w:t xml:space="preserve">niciativas </w:t>
      </w:r>
      <w:r w:rsidR="00EB7D58" w:rsidRPr="00F53E25">
        <w:rPr>
          <w:i/>
          <w:iCs/>
        </w:rPr>
        <w:t>r</w:t>
      </w:r>
      <w:r w:rsidRPr="00F53E25">
        <w:rPr>
          <w:i/>
          <w:iCs/>
        </w:rPr>
        <w:t>egionales de Ramsar</w:t>
      </w:r>
      <w:r w:rsidRPr="00F53E25">
        <w:t>, la Secretaría invita al Comité Permanente a que examine y apruebe en la reunión SC5</w:t>
      </w:r>
      <w:r w:rsidR="0014780D" w:rsidRPr="00F53E25">
        <w:t>9</w:t>
      </w:r>
      <w:r w:rsidRPr="00F53E25">
        <w:t xml:space="preserve"> la asignación de fondos a las IRR propuestas en el presupuesto básico de Ramsar para 202</w:t>
      </w:r>
      <w:r w:rsidR="0014780D" w:rsidRPr="00F53E25">
        <w:t>1</w:t>
      </w:r>
      <w:r w:rsidRPr="00F53E25">
        <w:t xml:space="preserve">. La Secretaría propone en dicho documento una asignación de 25 000 francos suizos </w:t>
      </w:r>
      <w:r w:rsidR="009C5F3E" w:rsidRPr="00F53E25">
        <w:t>a</w:t>
      </w:r>
      <w:r w:rsidRPr="00F53E25">
        <w:t xml:space="preserve"> cada una de las cuatro IRR que reúnen los requisitos, para sus actividades en 202</w:t>
      </w:r>
      <w:r w:rsidR="00627F3F" w:rsidRPr="00F53E25">
        <w:t>1</w:t>
      </w:r>
      <w:r w:rsidRPr="00F53E25">
        <w:t>.</w:t>
      </w:r>
      <w:r w:rsidR="00627F3F" w:rsidRPr="00F53E25">
        <w:t xml:space="preserve"> </w:t>
      </w:r>
      <w:r w:rsidR="009C5F3E" w:rsidRPr="00F53E25">
        <w:t xml:space="preserve">Además, la Iniciativa regional de Ramsar para la cuenca del río Amazonas y la Iniciativa regional de la cuenca del río Senegal (SenegalWet) solicitaron 10 000 francos </w:t>
      </w:r>
      <w:r w:rsidR="0089302E" w:rsidRPr="00F53E25">
        <w:t xml:space="preserve">suizos </w:t>
      </w:r>
      <w:r w:rsidR="009C5F3E" w:rsidRPr="00F53E25">
        <w:t>cada una en su informe anual de 2020</w:t>
      </w:r>
      <w:r w:rsidR="00627F3F" w:rsidRPr="00F53E25">
        <w:t>.</w:t>
      </w:r>
    </w:p>
    <w:p w14:paraId="7524BE18" w14:textId="77777777" w:rsidR="009C5F3E" w:rsidRPr="00F53E25" w:rsidRDefault="009C5F3E" w:rsidP="009C5F3E">
      <w:pPr>
        <w:pStyle w:val="ListParagraph"/>
      </w:pPr>
    </w:p>
    <w:p w14:paraId="43ED1405" w14:textId="77777777" w:rsidR="009C5F3E" w:rsidRPr="00F53E25" w:rsidRDefault="009C5F3E" w:rsidP="009C5F3E">
      <w:pPr>
        <w:ind w:left="0" w:firstLine="0"/>
        <w:rPr>
          <w:i/>
        </w:rPr>
      </w:pPr>
      <w:r w:rsidRPr="00F53E25">
        <w:rPr>
          <w:i/>
        </w:rPr>
        <w:t>Ajustes al presupuesto aprobado por la COP13</w:t>
      </w:r>
    </w:p>
    <w:p w14:paraId="23494AF9" w14:textId="77777777" w:rsidR="009C5F3E" w:rsidRPr="00F53E25" w:rsidRDefault="009C5F3E" w:rsidP="009C5F3E">
      <w:pPr>
        <w:pStyle w:val="ListParagraph"/>
      </w:pPr>
    </w:p>
    <w:p w14:paraId="0CE9615F" w14:textId="5331441B" w:rsidR="00627F3F" w:rsidRPr="00F53E25" w:rsidRDefault="00DA0CF6" w:rsidP="009C5F3E">
      <w:pPr>
        <w:pStyle w:val="ListParagraph"/>
        <w:numPr>
          <w:ilvl w:val="0"/>
          <w:numId w:val="11"/>
        </w:numPr>
        <w:ind w:left="426" w:hanging="426"/>
      </w:pPr>
      <w:r w:rsidRPr="00F53E25">
        <w:t xml:space="preserve">La Secretaría propone </w:t>
      </w:r>
      <w:r w:rsidR="009C5F3E" w:rsidRPr="00F53E25">
        <w:t xml:space="preserve">realizar </w:t>
      </w:r>
      <w:r w:rsidRPr="00F53E25">
        <w:t xml:space="preserve">algunos ajustes </w:t>
      </w:r>
      <w:r w:rsidR="009C5F3E" w:rsidRPr="00F53E25">
        <w:t>en el</w:t>
      </w:r>
      <w:r w:rsidRPr="00F53E25">
        <w:t xml:space="preserve"> presupuesto </w:t>
      </w:r>
      <w:r w:rsidR="009C5F3E" w:rsidRPr="00F53E25">
        <w:t>para</w:t>
      </w:r>
      <w:r w:rsidRPr="00F53E25">
        <w:t xml:space="preserve"> 2021 aprobado por la COP13</w:t>
      </w:r>
      <w:r w:rsidR="009C5F3E" w:rsidRPr="00F53E25">
        <w:t xml:space="preserve">, que se </w:t>
      </w:r>
      <w:r w:rsidRPr="00F53E25">
        <w:t xml:space="preserve">presentan en la columna E del </w:t>
      </w:r>
      <w:r w:rsidR="0089302E" w:rsidRPr="00F53E25">
        <w:t>c</w:t>
      </w:r>
      <w:r w:rsidR="00AB4C0D" w:rsidRPr="00F53E25">
        <w:t>uadro</w:t>
      </w:r>
      <w:r w:rsidRPr="00F53E25">
        <w:t xml:space="preserve"> del </w:t>
      </w:r>
      <w:r w:rsidR="00AB4C0D" w:rsidRPr="00F53E25">
        <w:t xml:space="preserve">Anexo </w:t>
      </w:r>
      <w:r w:rsidRPr="00F53E25">
        <w:t>4 y</w:t>
      </w:r>
      <w:r w:rsidR="009C5F3E" w:rsidRPr="00F53E25">
        <w:t xml:space="preserve"> están relacionados con lo siguiente: </w:t>
      </w:r>
      <w:r w:rsidR="00757143" w:rsidRPr="00F53E25">
        <w:t>ajustes</w:t>
      </w:r>
      <w:r w:rsidRPr="00F53E25">
        <w:t xml:space="preserve"> en los salarios del personal, otras </w:t>
      </w:r>
      <w:r w:rsidR="00757143" w:rsidRPr="00F53E25">
        <w:t>prestaciones</w:t>
      </w:r>
      <w:r w:rsidRPr="00F53E25">
        <w:t xml:space="preserve"> laborales y los costos </w:t>
      </w:r>
      <w:r w:rsidR="009C5F3E" w:rsidRPr="00F53E25">
        <w:t xml:space="preserve">de </w:t>
      </w:r>
      <w:r w:rsidRPr="00F53E25">
        <w:t xml:space="preserve">contratación y separación del personal entre las partidas presupuestarias </w:t>
      </w:r>
      <w:r w:rsidR="009C5F3E" w:rsidRPr="00F53E25">
        <w:t>en</w:t>
      </w:r>
      <w:r w:rsidRPr="00F53E25">
        <w:t xml:space="preserve"> las distintas áreas de </w:t>
      </w:r>
      <w:r w:rsidR="00757143" w:rsidRPr="00F53E25">
        <w:t>trabajo</w:t>
      </w:r>
      <w:r w:rsidRPr="00F53E25">
        <w:t xml:space="preserve"> de la Secretaría. Se han hecho ajustes para </w:t>
      </w:r>
      <w:r w:rsidR="00757143" w:rsidRPr="00F53E25">
        <w:t>garantizar</w:t>
      </w:r>
      <w:r w:rsidRPr="00F53E25">
        <w:t xml:space="preserve"> un </w:t>
      </w:r>
      <w:r w:rsidR="009C5F3E" w:rsidRPr="00F53E25">
        <w:t xml:space="preserve">uso más eficiente </w:t>
      </w:r>
      <w:r w:rsidRPr="00F53E25">
        <w:t xml:space="preserve">de los recursos </w:t>
      </w:r>
      <w:r w:rsidR="00757143" w:rsidRPr="00F53E25">
        <w:t>humanos</w:t>
      </w:r>
      <w:r w:rsidRPr="00F53E25">
        <w:t xml:space="preserve"> </w:t>
      </w:r>
      <w:r w:rsidR="009C5F3E" w:rsidRPr="00F53E25">
        <w:t xml:space="preserve">limitados </w:t>
      </w:r>
      <w:r w:rsidRPr="00F53E25">
        <w:t xml:space="preserve">y la equidad en </w:t>
      </w:r>
      <w:r w:rsidR="009C5F3E" w:rsidRPr="00F53E25">
        <w:t xml:space="preserve">las categorías y compensaciones del personal </w:t>
      </w:r>
      <w:r w:rsidRPr="00F53E25">
        <w:t xml:space="preserve">en comparación con la UICN y según </w:t>
      </w:r>
      <w:r w:rsidR="009C5F3E" w:rsidRPr="00F53E25">
        <w:t>las</w:t>
      </w:r>
      <w:r w:rsidRPr="00F53E25">
        <w:t xml:space="preserve"> estimaciones</w:t>
      </w:r>
      <w:r w:rsidR="009C5F3E" w:rsidRPr="00F53E25">
        <w:t xml:space="preserve"> de esa organización</w:t>
      </w:r>
      <w:r w:rsidRPr="00F53E25">
        <w:t xml:space="preserve">, y </w:t>
      </w:r>
      <w:r w:rsidR="009C5F3E" w:rsidRPr="00F53E25">
        <w:t xml:space="preserve">también </w:t>
      </w:r>
      <w:r w:rsidRPr="00F53E25">
        <w:t xml:space="preserve">para reflejar la rotación del personal. El </w:t>
      </w:r>
      <w:r w:rsidR="009C5F3E" w:rsidRPr="00F53E25">
        <w:t xml:space="preserve">total del </w:t>
      </w:r>
      <w:r w:rsidR="00757143" w:rsidRPr="00F53E25">
        <w:t>presupuesto</w:t>
      </w:r>
      <w:r w:rsidRPr="00F53E25">
        <w:t xml:space="preserve"> </w:t>
      </w:r>
      <w:r w:rsidR="0089302E" w:rsidRPr="00F53E25">
        <w:t>para cuestiones de</w:t>
      </w:r>
      <w:r w:rsidR="009C5F3E" w:rsidRPr="00F53E25">
        <w:t xml:space="preserve"> personal </w:t>
      </w:r>
      <w:r w:rsidRPr="00F53E25">
        <w:t>sigue siendo</w:t>
      </w:r>
      <w:r w:rsidR="009C5F3E" w:rsidRPr="00F53E25">
        <w:t xml:space="preserve"> el mismo</w:t>
      </w:r>
      <w:r w:rsidRPr="00F53E25">
        <w:t>.</w:t>
      </w:r>
    </w:p>
    <w:p w14:paraId="70492E1C" w14:textId="77777777" w:rsidR="00627F3F" w:rsidRPr="00F53E25" w:rsidRDefault="00627F3F" w:rsidP="00627F3F"/>
    <w:p w14:paraId="7643EF6C" w14:textId="274503DD" w:rsidR="00084D33" w:rsidRPr="00F53E25" w:rsidRDefault="00DA0CF6" w:rsidP="00084D33">
      <w:pPr>
        <w:pStyle w:val="ListParagraph"/>
        <w:numPr>
          <w:ilvl w:val="0"/>
          <w:numId w:val="11"/>
        </w:numPr>
        <w:ind w:left="426" w:hanging="426"/>
      </w:pPr>
      <w:r w:rsidRPr="00F53E25">
        <w:t xml:space="preserve">También se han </w:t>
      </w:r>
      <w:r w:rsidR="009C5F3E" w:rsidRPr="00F53E25">
        <w:t>hecho</w:t>
      </w:r>
      <w:r w:rsidRPr="00F53E25">
        <w:t xml:space="preserve"> cambios entre las partidas </w:t>
      </w:r>
      <w:r w:rsidR="009C5F3E" w:rsidRPr="00F53E25">
        <w:t xml:space="preserve">presupuestarias </w:t>
      </w:r>
      <w:r w:rsidRPr="00F53E25">
        <w:t xml:space="preserve">relativas a viajes para reflejar las necesidades </w:t>
      </w:r>
      <w:r w:rsidR="009C5F3E" w:rsidRPr="00F53E25">
        <w:t xml:space="preserve">en materia </w:t>
      </w:r>
      <w:r w:rsidRPr="00F53E25">
        <w:t xml:space="preserve">de viajes de las distintas áreas de trabajo de la Secretaría, sin afectar al presupuesto total para viajes. Según se establece en el párrafo 28 de la Resolución </w:t>
      </w:r>
      <w:r w:rsidR="00627F3F" w:rsidRPr="00F53E25">
        <w:t xml:space="preserve">XIII.2, </w:t>
      </w:r>
      <w:r w:rsidRPr="00F53E25">
        <w:t>la Secretaria General está autorizada a hacer esos cambios.</w:t>
      </w:r>
    </w:p>
    <w:p w14:paraId="4F3B12DA" w14:textId="77777777" w:rsidR="00084D33" w:rsidRPr="00F53E25" w:rsidRDefault="00084D33" w:rsidP="00084D33">
      <w:pPr>
        <w:pStyle w:val="ListParagraph"/>
      </w:pPr>
    </w:p>
    <w:p w14:paraId="59853528" w14:textId="6AB0C186" w:rsidR="00084D33" w:rsidRPr="00F53E25" w:rsidRDefault="00DA0CF6" w:rsidP="00084D33">
      <w:pPr>
        <w:pStyle w:val="ListParagraph"/>
        <w:numPr>
          <w:ilvl w:val="0"/>
          <w:numId w:val="11"/>
        </w:numPr>
        <w:ind w:left="426" w:hanging="426"/>
      </w:pPr>
      <w:r w:rsidRPr="00F53E25">
        <w:t xml:space="preserve">La </w:t>
      </w:r>
      <w:r w:rsidR="00627F3F" w:rsidRPr="00F53E25">
        <w:t>Secretar</w:t>
      </w:r>
      <w:r w:rsidRPr="00F53E25">
        <w:t xml:space="preserve">ía también </w:t>
      </w:r>
      <w:r w:rsidR="002A5615" w:rsidRPr="00F53E25">
        <w:t>pide</w:t>
      </w:r>
      <w:r w:rsidRPr="00F53E25">
        <w:t xml:space="preserve"> </w:t>
      </w:r>
      <w:r w:rsidR="009C5F3E" w:rsidRPr="00F53E25">
        <w:t xml:space="preserve">al </w:t>
      </w:r>
      <w:r w:rsidR="00757143" w:rsidRPr="00F53E25">
        <w:t>Comité</w:t>
      </w:r>
      <w:r w:rsidRPr="00F53E25">
        <w:t xml:space="preserve"> Permanente que </w:t>
      </w:r>
      <w:r w:rsidR="00084D33" w:rsidRPr="00F53E25">
        <w:t xml:space="preserve">estudie la posibilidad de incluir </w:t>
      </w:r>
      <w:r w:rsidRPr="00F53E25">
        <w:t xml:space="preserve">las “otras </w:t>
      </w:r>
      <w:r w:rsidR="00757143" w:rsidRPr="00F53E25">
        <w:t>prestaciones</w:t>
      </w:r>
      <w:r w:rsidRPr="00F53E25">
        <w:t xml:space="preserve">” en una única partida presupuestaria en el presupuesto </w:t>
      </w:r>
      <w:r w:rsidR="00084D33" w:rsidRPr="00F53E25">
        <w:t xml:space="preserve">para el </w:t>
      </w:r>
      <w:r w:rsidRPr="00F53E25">
        <w:t xml:space="preserve">próximo trienio en vez </w:t>
      </w:r>
      <w:r w:rsidR="00084D33" w:rsidRPr="00F53E25">
        <w:t xml:space="preserve">de </w:t>
      </w:r>
      <w:r w:rsidRPr="00F53E25">
        <w:t>incluirl</w:t>
      </w:r>
      <w:r w:rsidR="00084D33" w:rsidRPr="00F53E25">
        <w:t>a</w:t>
      </w:r>
      <w:r w:rsidRPr="00F53E25">
        <w:t xml:space="preserve">s por separado en cada área del presupuesto de la Secretaría. Estos costos varían en función de los </w:t>
      </w:r>
      <w:r w:rsidR="00757143" w:rsidRPr="00F53E25">
        <w:t xml:space="preserve">titulares </w:t>
      </w:r>
      <w:r w:rsidRPr="00F53E25">
        <w:t xml:space="preserve">de cada puesto y </w:t>
      </w:r>
      <w:r w:rsidR="00084D33" w:rsidRPr="00F53E25">
        <w:t xml:space="preserve">su inclusión </w:t>
      </w:r>
      <w:r w:rsidRPr="00F53E25">
        <w:t xml:space="preserve">en una única partida daría flexibilidad para </w:t>
      </w:r>
      <w:r w:rsidR="00084D33" w:rsidRPr="00F53E25">
        <w:t>adaptarse</w:t>
      </w:r>
      <w:r w:rsidRPr="00F53E25">
        <w:t xml:space="preserve"> a </w:t>
      </w:r>
      <w:r w:rsidR="00084D33" w:rsidRPr="00F53E25">
        <w:t xml:space="preserve">los </w:t>
      </w:r>
      <w:r w:rsidR="00757143" w:rsidRPr="00F53E25">
        <w:t>cambios</w:t>
      </w:r>
      <w:r w:rsidRPr="00F53E25">
        <w:t xml:space="preserve"> en </w:t>
      </w:r>
      <w:r w:rsidR="00084D33" w:rsidRPr="00F53E25">
        <w:t xml:space="preserve">el personal según </w:t>
      </w:r>
      <w:r w:rsidRPr="00F53E25">
        <w:t>sea necesario</w:t>
      </w:r>
      <w:r w:rsidR="00627F3F" w:rsidRPr="00F53E25">
        <w:t>.</w:t>
      </w:r>
    </w:p>
    <w:p w14:paraId="5A4760F1" w14:textId="77777777" w:rsidR="00084D33" w:rsidRPr="00F53E25" w:rsidRDefault="00084D33" w:rsidP="00084D33">
      <w:pPr>
        <w:pStyle w:val="ListParagraph"/>
      </w:pPr>
    </w:p>
    <w:p w14:paraId="164E70BB" w14:textId="3703C78B" w:rsidR="00084D33" w:rsidRPr="00F53E25" w:rsidRDefault="00084D33" w:rsidP="00084D33">
      <w:pPr>
        <w:ind w:left="0" w:firstLine="0"/>
      </w:pPr>
      <w:r w:rsidRPr="00F53E25">
        <w:rPr>
          <w:i/>
          <w:color w:val="000000" w:themeColor="text1"/>
        </w:rPr>
        <w:t xml:space="preserve">Uso de los fondos </w:t>
      </w:r>
      <w:r w:rsidR="00404FE5" w:rsidRPr="00F53E25">
        <w:rPr>
          <w:i/>
          <w:color w:val="000000" w:themeColor="text1"/>
        </w:rPr>
        <w:t>traspasados</w:t>
      </w:r>
    </w:p>
    <w:p w14:paraId="665524E8" w14:textId="77777777" w:rsidR="00084D33" w:rsidRPr="00F53E25" w:rsidRDefault="00084D33" w:rsidP="00084D33">
      <w:pPr>
        <w:pStyle w:val="ListParagraph"/>
      </w:pPr>
    </w:p>
    <w:p w14:paraId="0B8953E2" w14:textId="2DCC9377" w:rsidR="00A73D5D" w:rsidRPr="00F53E25" w:rsidRDefault="006B42D7" w:rsidP="00A73D5D">
      <w:pPr>
        <w:pStyle w:val="ListParagraph"/>
        <w:numPr>
          <w:ilvl w:val="0"/>
          <w:numId w:val="11"/>
        </w:numPr>
        <w:ind w:left="426" w:hanging="426"/>
        <w:rPr>
          <w:color w:val="000000" w:themeColor="text1"/>
        </w:rPr>
      </w:pPr>
      <w:r w:rsidRPr="00F53E25">
        <w:t>Como se menciona en el documento SC5</w:t>
      </w:r>
      <w:r w:rsidR="00F20B19" w:rsidRPr="00F53E25">
        <w:t>9</w:t>
      </w:r>
      <w:r w:rsidRPr="00F53E25">
        <w:t xml:space="preserve"> Doc.13, </w:t>
      </w:r>
      <w:r w:rsidRPr="00F53E25">
        <w:rPr>
          <w:i/>
          <w:iCs/>
        </w:rPr>
        <w:t>Examen de todas las resoluciones y decisiones anteriores</w:t>
      </w:r>
      <w:r w:rsidRPr="00F53E25">
        <w:t xml:space="preserve">, la </w:t>
      </w:r>
      <w:r w:rsidRPr="00F53E25">
        <w:rPr>
          <w:color w:val="000000" w:themeColor="text1"/>
        </w:rPr>
        <w:t xml:space="preserve">Secretaría </w:t>
      </w:r>
      <w:r w:rsidR="00084D33" w:rsidRPr="00F53E25">
        <w:rPr>
          <w:color w:val="000000" w:themeColor="text1"/>
        </w:rPr>
        <w:t xml:space="preserve">ha calculado que se necesitan </w:t>
      </w:r>
      <w:r w:rsidRPr="00F53E25">
        <w:t>recursos</w:t>
      </w:r>
      <w:r w:rsidR="00F20B19" w:rsidRPr="00F53E25">
        <w:t xml:space="preserve"> adicionales</w:t>
      </w:r>
      <w:r w:rsidRPr="00F53E25">
        <w:t xml:space="preserve"> por un monto de </w:t>
      </w:r>
      <w:r w:rsidR="00F20B19" w:rsidRPr="00F53E25">
        <w:t>12</w:t>
      </w:r>
      <w:r w:rsidRPr="00F53E25">
        <w:t> 000 francos suizos para emprender los próximos pasos de esta tarea</w:t>
      </w:r>
      <w:r w:rsidR="00F20B19" w:rsidRPr="00F53E25">
        <w:t xml:space="preserve">, </w:t>
      </w:r>
      <w:r w:rsidR="00774E4C" w:rsidRPr="00F53E25">
        <w:t xml:space="preserve">sujetos a la aprobación del </w:t>
      </w:r>
      <w:r w:rsidR="00DA0CF6" w:rsidRPr="00F53E25">
        <w:t xml:space="preserve">Comité Permanente. Esto se suma al monto de 3 000 francos suizos previamente comprometidos de 2020 que figura en el </w:t>
      </w:r>
      <w:r w:rsidR="00AB4C0D" w:rsidRPr="00F53E25">
        <w:t xml:space="preserve">Anexo </w:t>
      </w:r>
      <w:r w:rsidR="00DA0CF6" w:rsidRPr="00F53E25">
        <w:t>4,</w:t>
      </w:r>
      <w:r w:rsidR="008254A2" w:rsidRPr="00F53E25">
        <w:t xml:space="preserve"> </w:t>
      </w:r>
      <w:r w:rsidR="00A73D5D" w:rsidRPr="00F53E25">
        <w:t>por lo</w:t>
      </w:r>
      <w:r w:rsidR="008254A2" w:rsidRPr="00F53E25">
        <w:t xml:space="preserve"> que el presupuesto total disponible para el examen de las </w:t>
      </w:r>
      <w:r w:rsidR="00757143" w:rsidRPr="00F53E25">
        <w:t>resoluciones</w:t>
      </w:r>
      <w:r w:rsidR="008254A2" w:rsidRPr="00F53E25">
        <w:t xml:space="preserve"> </w:t>
      </w:r>
      <w:r w:rsidR="00A73D5D" w:rsidRPr="00F53E25">
        <w:t>en 2021 sería</w:t>
      </w:r>
      <w:r w:rsidR="008254A2" w:rsidRPr="00F53E25">
        <w:t xml:space="preserve"> de 15 000 francos suizos</w:t>
      </w:r>
      <w:r w:rsidR="00F20B19" w:rsidRPr="00F53E25">
        <w:t xml:space="preserve">. </w:t>
      </w:r>
      <w:r w:rsidRPr="00F53E25">
        <w:t xml:space="preserve">La Secretaría propone </w:t>
      </w:r>
      <w:r w:rsidRPr="00F53E25">
        <w:rPr>
          <w:color w:val="000000" w:themeColor="text1"/>
        </w:rPr>
        <w:t xml:space="preserve">que estos recursos se asignen a partir del saldo </w:t>
      </w:r>
      <w:r w:rsidR="00A065EA" w:rsidRPr="00F53E25">
        <w:rPr>
          <w:color w:val="000000" w:themeColor="text1"/>
        </w:rPr>
        <w:t>traspasado</w:t>
      </w:r>
      <w:r w:rsidRPr="00F53E25">
        <w:rPr>
          <w:color w:val="000000" w:themeColor="text1"/>
        </w:rPr>
        <w:t xml:space="preserve"> de 20</w:t>
      </w:r>
      <w:r w:rsidR="00F20B19" w:rsidRPr="00F53E25">
        <w:rPr>
          <w:color w:val="000000" w:themeColor="text1"/>
        </w:rPr>
        <w:t>20</w:t>
      </w:r>
      <w:r w:rsidRPr="00F53E25">
        <w:rPr>
          <w:color w:val="000000" w:themeColor="text1"/>
        </w:rPr>
        <w:t xml:space="preserve"> correspondiente a servicios jurídicos, y solicita la aprobación de la reunión SC5</w:t>
      </w:r>
      <w:r w:rsidR="00F20B19" w:rsidRPr="00F53E25">
        <w:rPr>
          <w:color w:val="000000" w:themeColor="text1"/>
        </w:rPr>
        <w:t>9</w:t>
      </w:r>
      <w:r w:rsidRPr="00F53E25">
        <w:rPr>
          <w:color w:val="000000" w:themeColor="text1"/>
        </w:rPr>
        <w:t xml:space="preserve"> para esta medida</w:t>
      </w:r>
      <w:r w:rsidR="00A73D5D" w:rsidRPr="00F53E25">
        <w:rPr>
          <w:color w:val="000000" w:themeColor="text1"/>
        </w:rPr>
        <w:t>.</w:t>
      </w:r>
    </w:p>
    <w:p w14:paraId="1C59575C" w14:textId="77777777" w:rsidR="002A5615" w:rsidRPr="00F53E25" w:rsidRDefault="002A5615" w:rsidP="002A5615">
      <w:pPr>
        <w:ind w:left="0" w:firstLine="0"/>
        <w:rPr>
          <w:color w:val="000000" w:themeColor="text1"/>
        </w:rPr>
      </w:pPr>
    </w:p>
    <w:p w14:paraId="47BBE310" w14:textId="6BA1A330" w:rsidR="00A73D5D" w:rsidRPr="00F53E25" w:rsidRDefault="008254A2" w:rsidP="00A73D5D">
      <w:pPr>
        <w:pStyle w:val="ListParagraph"/>
        <w:numPr>
          <w:ilvl w:val="0"/>
          <w:numId w:val="11"/>
        </w:numPr>
        <w:ind w:left="426" w:hanging="426"/>
        <w:rPr>
          <w:color w:val="000000" w:themeColor="text1"/>
        </w:rPr>
      </w:pPr>
      <w:r w:rsidRPr="00F53E25">
        <w:rPr>
          <w:color w:val="000000" w:themeColor="text1"/>
        </w:rPr>
        <w:t xml:space="preserve">Como se indica en el párrafo </w:t>
      </w:r>
      <w:r w:rsidR="00F20B19" w:rsidRPr="00F53E25">
        <w:rPr>
          <w:color w:val="000000" w:themeColor="text1"/>
        </w:rPr>
        <w:t xml:space="preserve">23 </w:t>
      </w:r>
      <w:r w:rsidRPr="00F53E25">
        <w:rPr>
          <w:color w:val="000000" w:themeColor="text1"/>
        </w:rPr>
        <w:t>del</w:t>
      </w:r>
      <w:r w:rsidR="00F20B19" w:rsidRPr="00F53E25">
        <w:rPr>
          <w:color w:val="000000" w:themeColor="text1"/>
        </w:rPr>
        <w:t xml:space="preserve"> document</w:t>
      </w:r>
      <w:r w:rsidRPr="00F53E25">
        <w:rPr>
          <w:color w:val="000000" w:themeColor="text1"/>
        </w:rPr>
        <w:t>o</w:t>
      </w:r>
      <w:r w:rsidR="00F20B19" w:rsidRPr="00F53E25">
        <w:rPr>
          <w:color w:val="000000" w:themeColor="text1"/>
        </w:rPr>
        <w:t xml:space="preserve"> SC59 Doc.10</w:t>
      </w:r>
      <w:r w:rsidRPr="00F53E25">
        <w:rPr>
          <w:color w:val="000000" w:themeColor="text1"/>
        </w:rPr>
        <w:t xml:space="preserve">, </w:t>
      </w:r>
      <w:r w:rsidRPr="00F53E25">
        <w:rPr>
          <w:i/>
          <w:color w:val="000000" w:themeColor="text1"/>
        </w:rPr>
        <w:t xml:space="preserve">Informe del Grupo de </w:t>
      </w:r>
      <w:r w:rsidR="002A5615" w:rsidRPr="00F53E25">
        <w:rPr>
          <w:i/>
          <w:color w:val="000000" w:themeColor="text1"/>
        </w:rPr>
        <w:t>T</w:t>
      </w:r>
      <w:r w:rsidRPr="00F53E25">
        <w:rPr>
          <w:i/>
          <w:color w:val="000000" w:themeColor="text1"/>
        </w:rPr>
        <w:t xml:space="preserve">rabajo sobre </w:t>
      </w:r>
      <w:r w:rsidR="002A5615" w:rsidRPr="00F53E25">
        <w:rPr>
          <w:i/>
          <w:color w:val="000000" w:themeColor="text1"/>
        </w:rPr>
        <w:t xml:space="preserve">el </w:t>
      </w:r>
      <w:r w:rsidRPr="00F53E25">
        <w:rPr>
          <w:i/>
          <w:color w:val="000000" w:themeColor="text1"/>
        </w:rPr>
        <w:t>Plan Estratégico de la Convención de Ramsar</w:t>
      </w:r>
      <w:r w:rsidR="00F20B19" w:rsidRPr="00F53E25">
        <w:rPr>
          <w:color w:val="000000" w:themeColor="text1"/>
        </w:rPr>
        <w:t xml:space="preserve">, </w:t>
      </w:r>
      <w:r w:rsidR="002A5615" w:rsidRPr="00F53E25">
        <w:rPr>
          <w:color w:val="000000" w:themeColor="text1"/>
        </w:rPr>
        <w:t>el grupo de trabajo</w:t>
      </w:r>
      <w:r w:rsidR="00A73D5D" w:rsidRPr="00F53E25">
        <w:rPr>
          <w:color w:val="000000" w:themeColor="text1"/>
        </w:rPr>
        <w:t xml:space="preserve"> </w:t>
      </w:r>
      <w:r w:rsidR="00F20B19" w:rsidRPr="00F53E25">
        <w:rPr>
          <w:color w:val="000000" w:themeColor="text1"/>
        </w:rPr>
        <w:t>ha</w:t>
      </w:r>
      <w:r w:rsidRPr="00F53E25">
        <w:rPr>
          <w:color w:val="000000" w:themeColor="text1"/>
        </w:rPr>
        <w:t xml:space="preserve"> determinado la necesidad de recursos por un total de 90 000 </w:t>
      </w:r>
      <w:r w:rsidR="00757143" w:rsidRPr="00F53E25">
        <w:rPr>
          <w:color w:val="000000" w:themeColor="text1"/>
        </w:rPr>
        <w:t>francos</w:t>
      </w:r>
      <w:r w:rsidRPr="00F53E25">
        <w:rPr>
          <w:color w:val="000000" w:themeColor="text1"/>
        </w:rPr>
        <w:t xml:space="preserve"> suizos. La Secretaría propone </w:t>
      </w:r>
      <w:r w:rsidR="00A73D5D" w:rsidRPr="00F53E25">
        <w:rPr>
          <w:color w:val="000000" w:themeColor="text1"/>
        </w:rPr>
        <w:t xml:space="preserve">asignar </w:t>
      </w:r>
      <w:r w:rsidRPr="00F53E25">
        <w:rPr>
          <w:color w:val="000000" w:themeColor="text1"/>
        </w:rPr>
        <w:t xml:space="preserve">esos recursos </w:t>
      </w:r>
      <w:r w:rsidR="00A73D5D" w:rsidRPr="00F53E25">
        <w:rPr>
          <w:color w:val="000000" w:themeColor="text1"/>
        </w:rPr>
        <w:t xml:space="preserve">a partir de los ahorros </w:t>
      </w:r>
      <w:r w:rsidR="00404FE5" w:rsidRPr="00F53E25">
        <w:rPr>
          <w:color w:val="000000" w:themeColor="text1"/>
        </w:rPr>
        <w:t>traspasados</w:t>
      </w:r>
      <w:r w:rsidR="00A73D5D" w:rsidRPr="00F53E25">
        <w:rPr>
          <w:color w:val="000000" w:themeColor="text1"/>
        </w:rPr>
        <w:t xml:space="preserve"> </w:t>
      </w:r>
      <w:r w:rsidR="009F322A" w:rsidRPr="00F53E25">
        <w:rPr>
          <w:color w:val="000000" w:themeColor="text1"/>
        </w:rPr>
        <w:t xml:space="preserve">al año siguiente </w:t>
      </w:r>
      <w:r w:rsidRPr="00F53E25">
        <w:rPr>
          <w:color w:val="000000" w:themeColor="text1"/>
        </w:rPr>
        <w:t xml:space="preserve">que no fueron asignados por el Comité Permanente en la reunión </w:t>
      </w:r>
      <w:r w:rsidR="00F20B19" w:rsidRPr="00F53E25">
        <w:rPr>
          <w:color w:val="000000" w:themeColor="text1"/>
        </w:rPr>
        <w:t>SC58.</w:t>
      </w:r>
    </w:p>
    <w:p w14:paraId="182341FB" w14:textId="77777777" w:rsidR="00A73D5D" w:rsidRPr="00F53E25" w:rsidRDefault="00A73D5D" w:rsidP="00A73D5D">
      <w:pPr>
        <w:pStyle w:val="ListParagraph"/>
        <w:ind w:left="426" w:firstLine="0"/>
        <w:rPr>
          <w:color w:val="000000" w:themeColor="text1"/>
        </w:rPr>
      </w:pPr>
    </w:p>
    <w:p w14:paraId="67935CE8" w14:textId="4962CEBA" w:rsidR="0092194F" w:rsidRPr="00F53E25" w:rsidRDefault="006B42D7" w:rsidP="0092194F">
      <w:pPr>
        <w:pStyle w:val="ListParagraph"/>
        <w:numPr>
          <w:ilvl w:val="0"/>
          <w:numId w:val="11"/>
        </w:numPr>
        <w:ind w:left="426" w:hanging="426"/>
        <w:rPr>
          <w:color w:val="000000" w:themeColor="text1"/>
        </w:rPr>
      </w:pPr>
      <w:r w:rsidRPr="00F53E25">
        <w:lastRenderedPageBreak/>
        <w:t xml:space="preserve">La Secretaría prevé que será necesario hacer ajustes en el presupuesto en lo que respecta a la provisión para las contribuciones pendientes. La Secretaría </w:t>
      </w:r>
      <w:r w:rsidR="00F20B19" w:rsidRPr="00F53E25">
        <w:t xml:space="preserve">calcula que </w:t>
      </w:r>
      <w:r w:rsidR="00363DE6" w:rsidRPr="00F53E25">
        <w:t xml:space="preserve">serán necesarios hasta </w:t>
      </w:r>
      <w:r w:rsidR="009F322A" w:rsidRPr="00F53E25">
        <w:t>7</w:t>
      </w:r>
      <w:r w:rsidR="00363DE6" w:rsidRPr="00F53E25">
        <w:t xml:space="preserve">2 000 francos suizos para incrementar esta provisión para 2021. Esto se suma al saldo </w:t>
      </w:r>
      <w:r w:rsidR="00B202F5" w:rsidRPr="00F53E25">
        <w:t>de 68 000 francos suizos</w:t>
      </w:r>
      <w:r w:rsidR="00363DE6" w:rsidRPr="00F53E25">
        <w:t xml:space="preserve"> de</w:t>
      </w:r>
      <w:r w:rsidR="00B202F5" w:rsidRPr="00F53E25">
        <w:t xml:space="preserve"> los</w:t>
      </w:r>
      <w:r w:rsidR="00363DE6" w:rsidRPr="00F53E25">
        <w:t xml:space="preserve"> fondos previamente comprometidos </w:t>
      </w:r>
      <w:r w:rsidR="00B202F5" w:rsidRPr="00F53E25">
        <w:t xml:space="preserve">de 2020 </w:t>
      </w:r>
      <w:r w:rsidR="00363DE6" w:rsidRPr="00F53E25">
        <w:t xml:space="preserve">para la provisión de las </w:t>
      </w:r>
      <w:r w:rsidR="00757143" w:rsidRPr="00F53E25">
        <w:t>contribuciones</w:t>
      </w:r>
      <w:r w:rsidR="00363DE6" w:rsidRPr="00F53E25">
        <w:t xml:space="preserve"> pendientes </w:t>
      </w:r>
      <w:r w:rsidR="009F322A" w:rsidRPr="00F53E25">
        <w:t xml:space="preserve">de pago </w:t>
      </w:r>
      <w:r w:rsidR="00363DE6" w:rsidRPr="00F53E25">
        <w:t>q</w:t>
      </w:r>
      <w:r w:rsidR="00B202F5" w:rsidRPr="00F53E25">
        <w:t xml:space="preserve">ue figura </w:t>
      </w:r>
      <w:r w:rsidR="00363DE6" w:rsidRPr="00F53E25">
        <w:t xml:space="preserve">en el </w:t>
      </w:r>
      <w:r w:rsidR="00AB4C0D" w:rsidRPr="00F53E25">
        <w:t xml:space="preserve">Anexo </w:t>
      </w:r>
      <w:r w:rsidR="00363DE6" w:rsidRPr="00F53E25">
        <w:t xml:space="preserve">4. En consecuencia, el presupuesto total disponible </w:t>
      </w:r>
      <w:r w:rsidR="00B202F5" w:rsidRPr="00F53E25">
        <w:t xml:space="preserve">como provisión para las contribuciones pendientes en </w:t>
      </w:r>
      <w:r w:rsidR="00363DE6" w:rsidRPr="00F53E25">
        <w:t xml:space="preserve">2021 </w:t>
      </w:r>
      <w:r w:rsidR="00B202F5" w:rsidRPr="00F53E25">
        <w:rPr>
          <w:color w:val="000000" w:themeColor="text1"/>
        </w:rPr>
        <w:t xml:space="preserve">sería </w:t>
      </w:r>
      <w:r w:rsidR="00363DE6" w:rsidRPr="00F53E25">
        <w:rPr>
          <w:color w:val="000000" w:themeColor="text1"/>
        </w:rPr>
        <w:t xml:space="preserve">de </w:t>
      </w:r>
      <w:r w:rsidR="00F20B19" w:rsidRPr="00F53E25">
        <w:t>140</w:t>
      </w:r>
      <w:r w:rsidR="00363DE6" w:rsidRPr="00F53E25">
        <w:t xml:space="preserve"> 000 francos suizos</w:t>
      </w:r>
      <w:r w:rsidRPr="00F53E25">
        <w:t>. El cálculo del aumento estimado para 202</w:t>
      </w:r>
      <w:r w:rsidR="00F20B19" w:rsidRPr="00F53E25">
        <w:t>1</w:t>
      </w:r>
      <w:r w:rsidRPr="00F53E25">
        <w:t xml:space="preserve"> de las provisiones </w:t>
      </w:r>
      <w:r w:rsidR="00B202F5" w:rsidRPr="00F53E25">
        <w:t>está basado</w:t>
      </w:r>
      <w:r w:rsidRPr="00F53E25">
        <w:t xml:space="preserve"> en los saldos pendientes que no se </w:t>
      </w:r>
      <w:r w:rsidR="00B202F5" w:rsidRPr="00F53E25">
        <w:t>han</w:t>
      </w:r>
      <w:r w:rsidRPr="00F53E25">
        <w:t xml:space="preserve"> pagado durante más de cuatro años, a los que habrá que aplicar la provisión total del 100</w:t>
      </w:r>
      <w:r w:rsidR="009F322A" w:rsidRPr="00F53E25">
        <w:t xml:space="preserve"> </w:t>
      </w:r>
      <w:r w:rsidRPr="00F53E25">
        <w:t xml:space="preserve">%. </w:t>
      </w:r>
      <w:r w:rsidR="00B202F5" w:rsidRPr="00F53E25">
        <w:t xml:space="preserve">Con arreglo a lo dispuesto en </w:t>
      </w:r>
      <w:r w:rsidR="00363DE6" w:rsidRPr="00F53E25">
        <w:t xml:space="preserve">la </w:t>
      </w:r>
      <w:r w:rsidR="00757143" w:rsidRPr="00F53E25">
        <w:t>Decisión</w:t>
      </w:r>
      <w:r w:rsidR="00F20B19" w:rsidRPr="00F53E25">
        <w:t xml:space="preserve"> SC58-31, </w:t>
      </w:r>
      <w:r w:rsidR="0092194F" w:rsidRPr="00F53E25">
        <w:t xml:space="preserve">las provisiones para contribuciones pendientes y las provisiones </w:t>
      </w:r>
      <w:r w:rsidR="009F322A" w:rsidRPr="00F53E25">
        <w:t>correspondientes al</w:t>
      </w:r>
      <w:r w:rsidR="0092194F" w:rsidRPr="00F53E25">
        <w:t xml:space="preserve"> personal se presentan en dos partidas presupuestarias separadas.</w:t>
      </w:r>
    </w:p>
    <w:p w14:paraId="1B602852" w14:textId="77777777" w:rsidR="0092194F" w:rsidRPr="00F53E25" w:rsidRDefault="0092194F" w:rsidP="0092194F">
      <w:pPr>
        <w:pStyle w:val="ListParagraph"/>
      </w:pPr>
    </w:p>
    <w:p w14:paraId="62B84B2D" w14:textId="3CAA6E61" w:rsidR="00492724" w:rsidRPr="00F53E25" w:rsidRDefault="006B42D7" w:rsidP="00492724">
      <w:pPr>
        <w:pStyle w:val="ListParagraph"/>
        <w:numPr>
          <w:ilvl w:val="0"/>
          <w:numId w:val="11"/>
        </w:numPr>
        <w:ind w:left="426" w:hanging="426"/>
        <w:rPr>
          <w:color w:val="000000" w:themeColor="text1"/>
        </w:rPr>
      </w:pPr>
      <w:r w:rsidRPr="00F53E25">
        <w:t>Además, teniendo en cuenta la</w:t>
      </w:r>
      <w:r w:rsidR="00363DE6" w:rsidRPr="00F53E25">
        <w:t xml:space="preserve"> </w:t>
      </w:r>
      <w:r w:rsidRPr="00F53E25">
        <w:t xml:space="preserve">incertidumbre </w:t>
      </w:r>
      <w:r w:rsidR="00363DE6" w:rsidRPr="00F53E25">
        <w:t xml:space="preserve">que sigue existiendo </w:t>
      </w:r>
      <w:r w:rsidR="00B4584B" w:rsidRPr="00F53E25">
        <w:t xml:space="preserve">en 2021 </w:t>
      </w:r>
      <w:r w:rsidRPr="00F53E25">
        <w:t>con relación a la ejecución del presupuesto debido a la pandemia de COVID-19, la Secretaría prevé que pueden producirse otros ajustes, por ejemplo,</w:t>
      </w:r>
      <w:r w:rsidR="00B062DC" w:rsidRPr="00F53E25">
        <w:t xml:space="preserve"> debido a las repercusiones de la</w:t>
      </w:r>
      <w:r w:rsidR="00B4584B" w:rsidRPr="00F53E25">
        <w:t xml:space="preserve"> prolongación de las </w:t>
      </w:r>
      <w:r w:rsidR="00B062DC" w:rsidRPr="00F53E25">
        <w:t xml:space="preserve">limitaciones </w:t>
      </w:r>
      <w:r w:rsidR="00B4584B" w:rsidRPr="00F53E25">
        <w:t xml:space="preserve">de </w:t>
      </w:r>
      <w:r w:rsidR="00B062DC" w:rsidRPr="00F53E25">
        <w:t xml:space="preserve">los viajes a reuniones presenciales de los órganos de gobierno y </w:t>
      </w:r>
      <w:r w:rsidR="00757143" w:rsidRPr="00F53E25">
        <w:t>subsidiarios de</w:t>
      </w:r>
      <w:r w:rsidR="00B062DC" w:rsidRPr="00F53E25">
        <w:t xml:space="preserve"> la Convención y </w:t>
      </w:r>
      <w:r w:rsidR="00B4584B" w:rsidRPr="00F53E25">
        <w:t xml:space="preserve">de los </w:t>
      </w:r>
      <w:r w:rsidR="00B062DC" w:rsidRPr="00F53E25">
        <w:t>viajes de la Secretaría</w:t>
      </w:r>
      <w:r w:rsidRPr="00F53E25">
        <w:t>.</w:t>
      </w:r>
    </w:p>
    <w:p w14:paraId="26AA5694" w14:textId="77777777" w:rsidR="00492724" w:rsidRPr="00F53E25" w:rsidRDefault="00492724" w:rsidP="00492724">
      <w:pPr>
        <w:ind w:left="0" w:firstLine="0"/>
        <w:rPr>
          <w:rFonts w:asciiTheme="minorHAnsi" w:hAnsiTheme="minorHAnsi" w:cs="Arial"/>
          <w:i/>
          <w:color w:val="FF0000"/>
        </w:rPr>
      </w:pPr>
    </w:p>
    <w:p w14:paraId="12693F00" w14:textId="5A1304C1" w:rsidR="00492724" w:rsidRPr="00F53E25" w:rsidRDefault="00492724" w:rsidP="00492724">
      <w:pPr>
        <w:ind w:left="0" w:firstLine="0"/>
        <w:rPr>
          <w:i/>
        </w:rPr>
      </w:pPr>
      <w:r w:rsidRPr="00F53E25">
        <w:rPr>
          <w:rFonts w:asciiTheme="minorHAnsi" w:hAnsiTheme="minorHAnsi" w:cs="Arial"/>
          <w:i/>
          <w:color w:val="000000" w:themeColor="text1"/>
        </w:rPr>
        <w:t xml:space="preserve">Posible uso de los ahorros </w:t>
      </w:r>
      <w:r w:rsidRPr="00F53E25">
        <w:rPr>
          <w:rFonts w:asciiTheme="minorHAnsi" w:hAnsiTheme="minorHAnsi" w:cs="Arial"/>
          <w:i/>
        </w:rPr>
        <w:t xml:space="preserve">de </w:t>
      </w:r>
      <w:r w:rsidRPr="00F53E25">
        <w:rPr>
          <w:i/>
        </w:rPr>
        <w:t>2020</w:t>
      </w:r>
    </w:p>
    <w:p w14:paraId="6AA2AF5A" w14:textId="77777777" w:rsidR="00492724" w:rsidRPr="00F53E25" w:rsidRDefault="00492724" w:rsidP="00492724">
      <w:pPr>
        <w:pStyle w:val="ListParagraph"/>
      </w:pPr>
    </w:p>
    <w:p w14:paraId="7E2DED0D" w14:textId="4F60A629" w:rsidR="00492724" w:rsidRPr="00F53E25" w:rsidRDefault="00492724" w:rsidP="00492724">
      <w:pPr>
        <w:pStyle w:val="ListParagraph"/>
        <w:numPr>
          <w:ilvl w:val="0"/>
          <w:numId w:val="11"/>
        </w:numPr>
        <w:ind w:left="426" w:hanging="426"/>
        <w:rPr>
          <w:color w:val="000000" w:themeColor="text1"/>
        </w:rPr>
      </w:pPr>
      <w:r w:rsidRPr="00F53E25">
        <w:t xml:space="preserve">El Comité Permanente tal vez desee estudiar posibles usos de los ahorros de 2020, teniendo en cuenta que el </w:t>
      </w:r>
      <w:r w:rsidR="00D00A15" w:rsidRPr="00F53E25">
        <w:t>fondo de res</w:t>
      </w:r>
      <w:r w:rsidR="008D6398" w:rsidRPr="00F53E25">
        <w:t>erva</w:t>
      </w:r>
      <w:r w:rsidRPr="00F53E25">
        <w:t xml:space="preserve"> se encuentra en su nivel máximo. A continuación, la Secretaría presenta algunas sugerencias sobre posibles usos de los ahorros para su examen: </w:t>
      </w:r>
    </w:p>
    <w:p w14:paraId="2822C176" w14:textId="524894CD" w:rsidR="003350DB" w:rsidRPr="00F53E25" w:rsidRDefault="00492724" w:rsidP="003350DB">
      <w:pPr>
        <w:ind w:left="851"/>
      </w:pPr>
      <w:r w:rsidRPr="00F53E25">
        <w:t>a)</w:t>
      </w:r>
      <w:r w:rsidRPr="00F53E25">
        <w:tab/>
      </w:r>
      <w:r w:rsidR="00AC323D" w:rsidRPr="00F53E25">
        <w:t xml:space="preserve">228 000 francos suizos para cubrir el déficit creado en el presupuesto básico para las actividades </w:t>
      </w:r>
      <w:r w:rsidR="00095B36">
        <w:t>principales</w:t>
      </w:r>
      <w:r w:rsidR="00AC323D" w:rsidRPr="00F53E25">
        <w:t xml:space="preserve"> de la Secretaría (comunicaciones: 120 000 francos suizos, viajes del personal: 60 000 francos suizos, trabajo del GECT: 15 000 francos suizos</w:t>
      </w:r>
      <w:r w:rsidR="00050984" w:rsidRPr="00F53E25">
        <w:t>,</w:t>
      </w:r>
      <w:r w:rsidR="00AC323D" w:rsidRPr="00F53E25">
        <w:t xml:space="preserve"> y planificación y creación de capacidad: 33 000 francos suizos) con </w:t>
      </w:r>
      <w:r w:rsidR="00703304" w:rsidRPr="00F53E25">
        <w:t xml:space="preserve">el establecimiento </w:t>
      </w:r>
      <w:r w:rsidR="00AC323D" w:rsidRPr="00F53E25">
        <w:t>del puesto de auxiliar contable y financiero – véase el párrafo 18</w:t>
      </w:r>
      <w:r w:rsidR="00703304" w:rsidRPr="00F53E25">
        <w:t xml:space="preserve"> –</w:t>
      </w:r>
      <w:r w:rsidR="00AC323D" w:rsidRPr="00F53E25">
        <w:t xml:space="preserve"> para el trienio 2022-2024. Esta asignación es prioritaria para mantener el presupuesto mínimo necesario para las actividades de la Secretaría y el puesto de auxiliar contable y financiero, que ha resultado ser muy efectivo para el trabajo de la Secretaría</w:t>
      </w:r>
      <w:r w:rsidR="00D86E6F">
        <w:t>;</w:t>
      </w:r>
    </w:p>
    <w:p w14:paraId="766F7F60" w14:textId="77777777" w:rsidR="00492724" w:rsidRPr="00F53E25" w:rsidRDefault="00492724" w:rsidP="00492724">
      <w:pPr>
        <w:ind w:left="851"/>
      </w:pPr>
      <w:r w:rsidRPr="00F53E25">
        <w:t>b)</w:t>
      </w:r>
      <w:r w:rsidRPr="00F53E25">
        <w:tab/>
        <w:t>25 000 francos suizos para la preparación y publicación de recursos para el Día Mundial de los Humedales, ya que Danone ha dejado de aportar financiación para este día;</w:t>
      </w:r>
    </w:p>
    <w:p w14:paraId="2E766CAE" w14:textId="4490D27C" w:rsidR="00492724" w:rsidRPr="00F53E25" w:rsidRDefault="00492724" w:rsidP="00492724">
      <w:pPr>
        <w:ind w:left="851"/>
      </w:pPr>
      <w:r w:rsidRPr="00F53E25">
        <w:t>c)</w:t>
      </w:r>
      <w:r w:rsidRPr="00F53E25">
        <w:tab/>
        <w:t>12 000 francos suizos para comunicaciones sobre los Premios Ramsar;</w:t>
      </w:r>
      <w:r w:rsidR="00265738" w:rsidRPr="00F53E25">
        <w:t xml:space="preserve"> y</w:t>
      </w:r>
    </w:p>
    <w:p w14:paraId="34663D40" w14:textId="241B237B" w:rsidR="003350DB" w:rsidRPr="00095B36" w:rsidRDefault="00265738" w:rsidP="00492724">
      <w:pPr>
        <w:ind w:left="851"/>
      </w:pPr>
      <w:r w:rsidRPr="00F53E25">
        <w:t>d</w:t>
      </w:r>
      <w:r w:rsidR="00492724" w:rsidRPr="00F53E25">
        <w:t>)</w:t>
      </w:r>
      <w:r w:rsidR="00492724" w:rsidRPr="00F53E25">
        <w:tab/>
      </w:r>
      <w:r w:rsidR="00AC323D" w:rsidRPr="00095B36">
        <w:t>86 000 francos suizos para realizar mejoras en el sitio web de la Convención, ya que después de diez años es necesario optimizar y modernizar su estructura, diseño y seguridad. La Se</w:t>
      </w:r>
      <w:r w:rsidR="00703304" w:rsidRPr="00095B36">
        <w:t>c</w:t>
      </w:r>
      <w:r w:rsidR="00AC323D" w:rsidRPr="00095B36">
        <w:t xml:space="preserve">retaría </w:t>
      </w:r>
      <w:r w:rsidR="00703304" w:rsidRPr="00095B36">
        <w:t xml:space="preserve">calcula que </w:t>
      </w:r>
      <w:r w:rsidR="00AC323D" w:rsidRPr="00095B36">
        <w:t>el cost</w:t>
      </w:r>
      <w:r w:rsidR="00703304" w:rsidRPr="00095B36">
        <w:t>o</w:t>
      </w:r>
      <w:r w:rsidR="00AC323D" w:rsidRPr="00095B36">
        <w:t xml:space="preserve"> será de 150 000 francos suizos y propone </w:t>
      </w:r>
      <w:r w:rsidR="00703304" w:rsidRPr="00095B36">
        <w:t>utilizar</w:t>
      </w:r>
      <w:r w:rsidR="00AC323D" w:rsidRPr="00095B36">
        <w:t xml:space="preserve"> el saldo de </w:t>
      </w:r>
      <w:r w:rsidR="00703304" w:rsidRPr="00095B36">
        <w:t>64 000 francos suizos de</w:t>
      </w:r>
      <w:r w:rsidR="00AC323D" w:rsidRPr="00095B36">
        <w:t xml:space="preserve"> </w:t>
      </w:r>
      <w:r w:rsidR="00F53E25" w:rsidRPr="00095B36">
        <w:t xml:space="preserve">los </w:t>
      </w:r>
      <w:r w:rsidR="00AC323D" w:rsidRPr="00095B36">
        <w:t xml:space="preserve">fondos </w:t>
      </w:r>
      <w:r w:rsidR="00703304" w:rsidRPr="00095B36">
        <w:t>complementarios asignados al</w:t>
      </w:r>
      <w:r w:rsidR="00AC323D" w:rsidRPr="00095B36">
        <w:t xml:space="preserve"> proyecto “</w:t>
      </w:r>
      <w:r w:rsidR="00703304" w:rsidRPr="00095B36">
        <w:t>Remodelación del sitio web</w:t>
      </w:r>
      <w:r w:rsidR="003350DB" w:rsidRPr="00095B36">
        <w:t>”</w:t>
      </w:r>
      <w:r w:rsidR="00F53E25" w:rsidRPr="00095B36">
        <w:t xml:space="preserve">; </w:t>
      </w:r>
      <w:r w:rsidR="00AC323D" w:rsidRPr="00095B36">
        <w:t>por lo tanto</w:t>
      </w:r>
      <w:r w:rsidR="00F53E25" w:rsidRPr="00095B36">
        <w:t>,</w:t>
      </w:r>
      <w:r w:rsidR="00AC323D" w:rsidRPr="00095B36">
        <w:t xml:space="preserve"> solicita co</w:t>
      </w:r>
      <w:r w:rsidR="00703304" w:rsidRPr="00095B36">
        <w:t>m</w:t>
      </w:r>
      <w:r w:rsidR="00AC323D" w:rsidRPr="00095B36">
        <w:t>p</w:t>
      </w:r>
      <w:r w:rsidR="00703304" w:rsidRPr="00095B36">
        <w:t xml:space="preserve">letar este monto con </w:t>
      </w:r>
      <w:r w:rsidR="00AC323D" w:rsidRPr="00095B36">
        <w:t xml:space="preserve">86 000 francos suizos de los ahorros </w:t>
      </w:r>
      <w:r w:rsidR="00703304" w:rsidRPr="00095B36">
        <w:t>en el presupuesto básico</w:t>
      </w:r>
      <w:r w:rsidR="00AC323D" w:rsidRPr="00095B36">
        <w:t>; y</w:t>
      </w:r>
    </w:p>
    <w:p w14:paraId="6D247453" w14:textId="299CBAA0" w:rsidR="003350DB" w:rsidRPr="00F53E25" w:rsidRDefault="00AC323D" w:rsidP="003350DB">
      <w:pPr>
        <w:ind w:left="851"/>
      </w:pPr>
      <w:r w:rsidRPr="00095B36">
        <w:t>e)</w:t>
      </w:r>
      <w:r w:rsidRPr="00095B36">
        <w:tab/>
      </w:r>
      <w:r w:rsidR="003350DB" w:rsidRPr="00095B36">
        <w:t>600 000 francos suizos para sufragar los costos de viajes de delegados</w:t>
      </w:r>
      <w:r w:rsidR="003350DB" w:rsidRPr="00F53E25">
        <w:t xml:space="preserve"> a la COP14 si la Secretaría no logra recaudar la totalidad de los fondos necesarios, dada la difícil situación económica y la competencia por esos recursos para reuniones de otras convenciones;</w:t>
      </w:r>
    </w:p>
    <w:p w14:paraId="0C066A30" w14:textId="77777777" w:rsidR="003350DB" w:rsidRPr="00F53E25" w:rsidRDefault="003350DB" w:rsidP="00492724">
      <w:pPr>
        <w:ind w:left="851"/>
      </w:pPr>
    </w:p>
    <w:p w14:paraId="1C5CBC13" w14:textId="62CCBE4D" w:rsidR="006F00F3" w:rsidRPr="00F53E25" w:rsidRDefault="00B062DC" w:rsidP="006F00F3">
      <w:pPr>
        <w:pStyle w:val="ListParagraph"/>
        <w:numPr>
          <w:ilvl w:val="0"/>
          <w:numId w:val="11"/>
        </w:numPr>
        <w:ind w:left="426" w:hanging="426"/>
        <w:rPr>
          <w:color w:val="000000" w:themeColor="text1"/>
        </w:rPr>
      </w:pPr>
      <w:r w:rsidRPr="00F53E25">
        <w:t xml:space="preserve">La Secretaría está buscando </w:t>
      </w:r>
      <w:r w:rsidR="00757143" w:rsidRPr="00F53E25">
        <w:t>financiación</w:t>
      </w:r>
      <w:r w:rsidRPr="00F53E25">
        <w:t xml:space="preserve"> para el Día Mundial de los Humedales y está dispuesta a comenzar a </w:t>
      </w:r>
      <w:r w:rsidR="00757143" w:rsidRPr="00F53E25">
        <w:t>recaudar</w:t>
      </w:r>
      <w:r w:rsidRPr="00F53E25">
        <w:t xml:space="preserve"> fondos </w:t>
      </w:r>
      <w:r w:rsidR="006F3FA5" w:rsidRPr="00F53E25">
        <w:t xml:space="preserve">para los viajes de los delegados a la </w:t>
      </w:r>
      <w:r w:rsidR="00F20B19" w:rsidRPr="00F53E25">
        <w:t>COP14</w:t>
      </w:r>
      <w:r w:rsidR="006F3FA5" w:rsidRPr="00F53E25">
        <w:t xml:space="preserve"> una vez que se anuncien las fechas de la COP. Se </w:t>
      </w:r>
      <w:r w:rsidR="006F3FA5" w:rsidRPr="00F53E25">
        <w:rPr>
          <w:color w:val="000000" w:themeColor="text1"/>
        </w:rPr>
        <w:t xml:space="preserve">invita al Comité Permanente a </w:t>
      </w:r>
      <w:r w:rsidR="00492724" w:rsidRPr="00F53E25">
        <w:rPr>
          <w:color w:val="000000" w:themeColor="text1"/>
        </w:rPr>
        <w:t xml:space="preserve">estudiar </w:t>
      </w:r>
      <w:r w:rsidR="00757143" w:rsidRPr="00F53E25">
        <w:rPr>
          <w:color w:val="000000" w:themeColor="text1"/>
        </w:rPr>
        <w:t>estas</w:t>
      </w:r>
      <w:r w:rsidR="006F3FA5" w:rsidRPr="00F53E25">
        <w:rPr>
          <w:color w:val="000000" w:themeColor="text1"/>
        </w:rPr>
        <w:t xml:space="preserve"> propuestas sobre la </w:t>
      </w:r>
      <w:r w:rsidR="00757143" w:rsidRPr="00F53E25">
        <w:rPr>
          <w:color w:val="000000" w:themeColor="text1"/>
        </w:rPr>
        <w:t>utilización</w:t>
      </w:r>
      <w:r w:rsidR="006F3FA5" w:rsidRPr="00F53E25">
        <w:rPr>
          <w:color w:val="000000" w:themeColor="text1"/>
        </w:rPr>
        <w:t xml:space="preserve"> de los ahorros </w:t>
      </w:r>
      <w:r w:rsidR="00492724" w:rsidRPr="00F53E25">
        <w:rPr>
          <w:color w:val="000000" w:themeColor="text1"/>
        </w:rPr>
        <w:t xml:space="preserve">y también </w:t>
      </w:r>
      <w:r w:rsidR="006F3FA5" w:rsidRPr="00F53E25">
        <w:rPr>
          <w:color w:val="000000" w:themeColor="text1"/>
        </w:rPr>
        <w:t xml:space="preserve">la </w:t>
      </w:r>
      <w:r w:rsidR="00757143" w:rsidRPr="00F53E25">
        <w:rPr>
          <w:color w:val="000000" w:themeColor="text1"/>
        </w:rPr>
        <w:t>posibilidad</w:t>
      </w:r>
      <w:r w:rsidR="006F3FA5" w:rsidRPr="00F53E25">
        <w:rPr>
          <w:color w:val="000000" w:themeColor="text1"/>
        </w:rPr>
        <w:t xml:space="preserve"> de establecer otras reservas operativas </w:t>
      </w:r>
      <w:r w:rsidR="00492724" w:rsidRPr="00F53E25">
        <w:rPr>
          <w:color w:val="000000" w:themeColor="text1"/>
        </w:rPr>
        <w:t xml:space="preserve">al tomar sus decisiones </w:t>
      </w:r>
      <w:r w:rsidR="006F3FA5" w:rsidRPr="00F53E25">
        <w:rPr>
          <w:color w:val="000000" w:themeColor="text1"/>
        </w:rPr>
        <w:t xml:space="preserve">sobre la asignación de los ahorros </w:t>
      </w:r>
      <w:r w:rsidR="00DB598B" w:rsidRPr="00F53E25">
        <w:rPr>
          <w:color w:val="000000" w:themeColor="text1"/>
        </w:rPr>
        <w:t>detectados a</w:t>
      </w:r>
      <w:r w:rsidR="00492724" w:rsidRPr="00F53E25">
        <w:rPr>
          <w:color w:val="000000" w:themeColor="text1"/>
        </w:rPr>
        <w:t>l</w:t>
      </w:r>
      <w:r w:rsidR="006F3FA5" w:rsidRPr="00F53E25">
        <w:rPr>
          <w:color w:val="000000" w:themeColor="text1"/>
        </w:rPr>
        <w:t xml:space="preserve"> final del trienio</w:t>
      </w:r>
      <w:r w:rsidR="00F20B19" w:rsidRPr="00F53E25">
        <w:rPr>
          <w:color w:val="000000" w:themeColor="text1"/>
        </w:rPr>
        <w:t>.</w:t>
      </w:r>
    </w:p>
    <w:p w14:paraId="23648245" w14:textId="77777777" w:rsidR="006F00F3" w:rsidRPr="00F53E25" w:rsidRDefault="006F00F3" w:rsidP="006F00F3">
      <w:pPr>
        <w:pStyle w:val="ListParagraph"/>
        <w:ind w:left="426" w:firstLine="0"/>
        <w:rPr>
          <w:color w:val="000000" w:themeColor="text1"/>
        </w:rPr>
      </w:pPr>
    </w:p>
    <w:p w14:paraId="70D652A7" w14:textId="77777777" w:rsidR="006F00F3" w:rsidRPr="00F53E25" w:rsidRDefault="006F00F3" w:rsidP="006F00F3">
      <w:pPr>
        <w:pStyle w:val="NoSpacing"/>
        <w:keepNext/>
        <w:rPr>
          <w:b/>
        </w:rPr>
      </w:pPr>
      <w:r w:rsidRPr="00F53E25">
        <w:rPr>
          <w:b/>
        </w:rPr>
        <w:lastRenderedPageBreak/>
        <w:t>Información sobre otras cuestiones</w:t>
      </w:r>
    </w:p>
    <w:p w14:paraId="054AE9AE" w14:textId="77777777" w:rsidR="006F00F3" w:rsidRPr="00F53E25" w:rsidRDefault="006F00F3" w:rsidP="006F00F3">
      <w:pPr>
        <w:ind w:left="0" w:firstLine="0"/>
        <w:rPr>
          <w:color w:val="000000" w:themeColor="text1"/>
        </w:rPr>
      </w:pPr>
    </w:p>
    <w:p w14:paraId="0C59D830" w14:textId="7A71D922" w:rsidR="00B50C21" w:rsidRPr="00F53E25" w:rsidRDefault="006B42D7" w:rsidP="00B50C21">
      <w:pPr>
        <w:pStyle w:val="ListParagraph"/>
        <w:numPr>
          <w:ilvl w:val="0"/>
          <w:numId w:val="11"/>
        </w:numPr>
        <w:ind w:left="426" w:hanging="426"/>
        <w:rPr>
          <w:color w:val="000000" w:themeColor="text1"/>
        </w:rPr>
      </w:pPr>
      <w:r w:rsidRPr="00F53E25">
        <w:t>En el transcurso de 20</w:t>
      </w:r>
      <w:r w:rsidR="00F20B19" w:rsidRPr="00F53E25">
        <w:t>20</w:t>
      </w:r>
      <w:r w:rsidRPr="00F53E25">
        <w:t xml:space="preserve">, la Secretaría </w:t>
      </w:r>
      <w:r w:rsidR="00647C3C" w:rsidRPr="00F53E25">
        <w:t>siguió</w:t>
      </w:r>
      <w:r w:rsidRPr="00F53E25">
        <w:t xml:space="preserve"> aplicando las recomendaciones </w:t>
      </w:r>
      <w:r w:rsidRPr="00F53E25">
        <w:rPr>
          <w:color w:val="000000" w:themeColor="text1"/>
        </w:rPr>
        <w:t>del</w:t>
      </w:r>
      <w:r w:rsidR="00647C3C" w:rsidRPr="00F53E25">
        <w:rPr>
          <w:color w:val="000000" w:themeColor="text1"/>
        </w:rPr>
        <w:t xml:space="preserve"> </w:t>
      </w:r>
      <w:r w:rsidR="00647C3C" w:rsidRPr="00F53E25">
        <w:rPr>
          <w:i/>
          <w:iCs/>
          <w:color w:val="000000" w:themeColor="text1"/>
        </w:rPr>
        <w:t>Examen de la Gestión Financiera de los Fondos Complementarios (de uso restringido)</w:t>
      </w:r>
      <w:r w:rsidR="00053743" w:rsidRPr="00F53E25">
        <w:rPr>
          <w:rStyle w:val="FootnoteReference"/>
          <w:color w:val="000000" w:themeColor="text1"/>
        </w:rPr>
        <w:footnoteReference w:id="4"/>
      </w:r>
      <w:r w:rsidR="006F00F3" w:rsidRPr="00F53E25">
        <w:rPr>
          <w:rFonts w:cs="Calibri"/>
          <w:color w:val="000000" w:themeColor="text1"/>
        </w:rPr>
        <w:t>,</w:t>
      </w:r>
      <w:r w:rsidR="00647C3C" w:rsidRPr="00F53E25">
        <w:rPr>
          <w:rFonts w:cs="Calibri"/>
          <w:color w:val="000000" w:themeColor="text1"/>
        </w:rPr>
        <w:t xml:space="preserve"> </w:t>
      </w:r>
      <w:r w:rsidR="00C32EAE" w:rsidRPr="00F53E25">
        <w:rPr>
          <w:rFonts w:cs="Calibri"/>
          <w:color w:val="000000" w:themeColor="text1"/>
        </w:rPr>
        <w:t>publicado</w:t>
      </w:r>
      <w:r w:rsidR="00647C3C" w:rsidRPr="00F53E25">
        <w:rPr>
          <w:rFonts w:cs="Calibri"/>
          <w:color w:val="000000" w:themeColor="text1"/>
        </w:rPr>
        <w:t xml:space="preserve"> por la UICN</w:t>
      </w:r>
      <w:r w:rsidR="006F00F3" w:rsidRPr="00F53E25">
        <w:rPr>
          <w:rFonts w:cs="Calibri"/>
        </w:rPr>
        <w:t xml:space="preserve"> en octubre de </w:t>
      </w:r>
      <w:r w:rsidR="00053743" w:rsidRPr="00F53E25">
        <w:rPr>
          <w:rFonts w:cs="Calibri"/>
        </w:rPr>
        <w:t>2018</w:t>
      </w:r>
      <w:r w:rsidRPr="00F53E25">
        <w:t>. El estado actualizado de la respuesta de</w:t>
      </w:r>
      <w:r w:rsidR="00C32EAE" w:rsidRPr="00F53E25">
        <w:t xml:space="preserve">l equipo directivo </w:t>
      </w:r>
      <w:r w:rsidRPr="00F53E25">
        <w:t xml:space="preserve">y de las medidas de la Secretaría es que </w:t>
      </w:r>
      <w:r w:rsidR="00053743" w:rsidRPr="00F53E25">
        <w:t>nueve</w:t>
      </w:r>
      <w:r w:rsidRPr="00F53E25">
        <w:t xml:space="preserve"> de las diez recomendaciones </w:t>
      </w:r>
      <w:r w:rsidR="006F00F3" w:rsidRPr="00F53E25">
        <w:t>se han aplicado en su totalidad y</w:t>
      </w:r>
      <w:r w:rsidRPr="00F53E25">
        <w:t xml:space="preserve"> se ha informado a la Unidad de Supervisión de la UICN </w:t>
      </w:r>
      <w:r w:rsidR="006F00F3" w:rsidRPr="00F53E25">
        <w:t>al respecto</w:t>
      </w:r>
      <w:r w:rsidRPr="00F53E25">
        <w:t xml:space="preserve">. </w:t>
      </w:r>
      <w:r w:rsidR="00FA68E4" w:rsidRPr="00F53E25">
        <w:t xml:space="preserve">En lo que respecta a la décima recomendación, la Secretaría ha </w:t>
      </w:r>
      <w:r w:rsidR="006F00F3" w:rsidRPr="00F53E25">
        <w:t>estado</w:t>
      </w:r>
      <w:r w:rsidR="00FA68E4" w:rsidRPr="00F53E25">
        <w:t xml:space="preserve"> en contacto con la UICN </w:t>
      </w:r>
      <w:r w:rsidR="006F00F3" w:rsidRPr="00F53E25">
        <w:t>en relación con</w:t>
      </w:r>
      <w:r w:rsidR="00FA68E4" w:rsidRPr="00F53E25">
        <w:t xml:space="preserve"> la metodología de </w:t>
      </w:r>
      <w:r w:rsidR="00757143" w:rsidRPr="00F53E25">
        <w:t>autoevaluación</w:t>
      </w:r>
      <w:r w:rsidR="00FA68E4" w:rsidRPr="00F53E25">
        <w:t xml:space="preserve">. La UICN está </w:t>
      </w:r>
      <w:r w:rsidR="006F00F3" w:rsidRPr="00F53E25">
        <w:t xml:space="preserve">desarrollando y </w:t>
      </w:r>
      <w:r w:rsidR="00B50C21" w:rsidRPr="00F53E25">
        <w:t>utilizando</w:t>
      </w:r>
      <w:r w:rsidR="00FA68E4" w:rsidRPr="00F53E25">
        <w:t xml:space="preserve"> herramientas </w:t>
      </w:r>
      <w:r w:rsidR="006F00F3" w:rsidRPr="00F53E25">
        <w:t>en línea</w:t>
      </w:r>
      <w:r w:rsidR="00FA68E4" w:rsidRPr="00F53E25">
        <w:t xml:space="preserve">. La </w:t>
      </w:r>
      <w:r w:rsidR="00757143" w:rsidRPr="00F53E25">
        <w:t>Secretaría</w:t>
      </w:r>
      <w:r w:rsidR="00FA68E4" w:rsidRPr="00F53E25">
        <w:t xml:space="preserve"> </w:t>
      </w:r>
      <w:r w:rsidR="006F00F3" w:rsidRPr="00F53E25">
        <w:t>está siguiendo este proceso y confirmará si sería útil contar con controles internos similares en el contexto de la Convención</w:t>
      </w:r>
      <w:r w:rsidR="00053743" w:rsidRPr="00F53E25">
        <w:t>.</w:t>
      </w:r>
    </w:p>
    <w:p w14:paraId="1541434D" w14:textId="77777777" w:rsidR="00B50C21" w:rsidRPr="00F53E25" w:rsidRDefault="00B50C21" w:rsidP="00B50C21">
      <w:pPr>
        <w:ind w:left="0" w:firstLine="0"/>
        <w:rPr>
          <w:color w:val="000000" w:themeColor="text1"/>
        </w:rPr>
      </w:pPr>
    </w:p>
    <w:p w14:paraId="0C9350F0" w14:textId="77777777" w:rsidR="00B50C21" w:rsidRPr="00F53E25" w:rsidRDefault="006B42D7" w:rsidP="00B50C21">
      <w:pPr>
        <w:pStyle w:val="ListParagraph"/>
        <w:numPr>
          <w:ilvl w:val="0"/>
          <w:numId w:val="11"/>
        </w:numPr>
        <w:ind w:left="426" w:hanging="426"/>
        <w:rPr>
          <w:color w:val="000000" w:themeColor="text1"/>
        </w:rPr>
      </w:pPr>
      <w:r w:rsidRPr="00F53E25">
        <w:t xml:space="preserve">Como consecuencia de la solicitado por el auditor externo y de la Decisión SC57-39 del Comité Permanente, se ha aplicado la nueva metodología en el cálculo de la provisión para las contribuciones pendientes de las Partes Contratantes en 2019. </w:t>
      </w:r>
    </w:p>
    <w:p w14:paraId="0A94BB0B" w14:textId="77777777" w:rsidR="00B50C21" w:rsidRPr="00F53E25" w:rsidRDefault="00B50C21" w:rsidP="00B50C21">
      <w:pPr>
        <w:pStyle w:val="ListParagraph"/>
      </w:pPr>
    </w:p>
    <w:p w14:paraId="65BE48FC" w14:textId="46177451" w:rsidR="00B50C21" w:rsidRPr="00F53E25" w:rsidRDefault="006B42D7" w:rsidP="00B50C21">
      <w:pPr>
        <w:pStyle w:val="ListParagraph"/>
        <w:numPr>
          <w:ilvl w:val="0"/>
          <w:numId w:val="11"/>
        </w:numPr>
        <w:ind w:left="426" w:hanging="426"/>
        <w:rPr>
          <w:color w:val="000000" w:themeColor="text1"/>
        </w:rPr>
      </w:pPr>
      <w:r w:rsidRPr="00F53E25">
        <w:t xml:space="preserve">La Secretaría se ha esforzado en aplicar las Decisiones SC57-44 y SC57-45 a fin de propiciar el pago puntual de las contribuciones anuales. </w:t>
      </w:r>
      <w:r w:rsidR="00FA68E4" w:rsidRPr="00F53E25">
        <w:t xml:space="preserve">En </w:t>
      </w:r>
      <w:r w:rsidR="00053743" w:rsidRPr="00F53E25">
        <w:t xml:space="preserve">2020, </w:t>
      </w:r>
      <w:r w:rsidR="00FA68E4" w:rsidRPr="00F53E25">
        <w:t xml:space="preserve">se enviaron recordatorios por </w:t>
      </w:r>
      <w:r w:rsidR="00757143" w:rsidRPr="00F53E25">
        <w:t>correo</w:t>
      </w:r>
      <w:r w:rsidR="00FA68E4" w:rsidRPr="00F53E25">
        <w:t xml:space="preserve"> electrónico cada </w:t>
      </w:r>
      <w:r w:rsidR="00B50C21" w:rsidRPr="00F53E25">
        <w:t>trimestre</w:t>
      </w:r>
      <w:r w:rsidR="00FA68E4" w:rsidRPr="00F53E25">
        <w:t xml:space="preserve"> a las Partes Contratantes con </w:t>
      </w:r>
      <w:r w:rsidR="005219FC" w:rsidRPr="00F53E25">
        <w:t xml:space="preserve">los </w:t>
      </w:r>
      <w:r w:rsidR="00B50C21" w:rsidRPr="00F53E25">
        <w:t>saldos impagados de las contribuciones anuales</w:t>
      </w:r>
      <w:r w:rsidR="00FA68E4" w:rsidRPr="00F53E25">
        <w:t>. Se aportan más detalles en</w:t>
      </w:r>
      <w:r w:rsidR="00B50C21" w:rsidRPr="00F53E25">
        <w:t xml:space="preserve"> los párrafos 16 a 21 de</w:t>
      </w:r>
      <w:r w:rsidR="00FA68E4" w:rsidRPr="00F53E25">
        <w:t xml:space="preserve">l documento </w:t>
      </w:r>
      <w:r w:rsidR="00053743" w:rsidRPr="00F53E25">
        <w:t>SC58 Doc.8.3</w:t>
      </w:r>
      <w:r w:rsidR="00EF1AF5" w:rsidRPr="00F53E25">
        <w:t xml:space="preserve">, </w:t>
      </w:r>
      <w:r w:rsidR="00EF1AF5" w:rsidRPr="00F53E25">
        <w:rPr>
          <w:i/>
        </w:rPr>
        <w:t xml:space="preserve">Estado de las </w:t>
      </w:r>
      <w:r w:rsidR="00757143" w:rsidRPr="00F53E25">
        <w:rPr>
          <w:i/>
        </w:rPr>
        <w:t>contribuciones</w:t>
      </w:r>
      <w:r w:rsidR="00EF1AF5" w:rsidRPr="00F53E25">
        <w:rPr>
          <w:i/>
        </w:rPr>
        <w:t xml:space="preserve"> anuales</w:t>
      </w:r>
      <w:r w:rsidR="00EF1AF5" w:rsidRPr="00F53E25">
        <w:t>.</w:t>
      </w:r>
    </w:p>
    <w:p w14:paraId="5002E5AE" w14:textId="77777777" w:rsidR="00B50C21" w:rsidRPr="00F53E25" w:rsidRDefault="00B50C21" w:rsidP="00B50C21">
      <w:pPr>
        <w:pStyle w:val="ListParagraph"/>
      </w:pPr>
    </w:p>
    <w:p w14:paraId="39B74A94" w14:textId="49BA9BA3" w:rsidR="00053743" w:rsidRPr="00F53E25" w:rsidRDefault="00EF1AF5" w:rsidP="00B50C21">
      <w:pPr>
        <w:pStyle w:val="ListParagraph"/>
        <w:numPr>
          <w:ilvl w:val="0"/>
          <w:numId w:val="11"/>
        </w:numPr>
        <w:ind w:left="426" w:hanging="426"/>
        <w:rPr>
          <w:color w:val="000000" w:themeColor="text1"/>
        </w:rPr>
      </w:pPr>
      <w:r w:rsidRPr="00F53E25">
        <w:t xml:space="preserve">En </w:t>
      </w:r>
      <w:r w:rsidR="00053743" w:rsidRPr="00F53E25">
        <w:t xml:space="preserve">2020, </w:t>
      </w:r>
      <w:r w:rsidR="00B50C21" w:rsidRPr="00F53E25">
        <w:t xml:space="preserve">en la Decisión SC58-18, </w:t>
      </w:r>
      <w:r w:rsidRPr="00F53E25">
        <w:t>el Co</w:t>
      </w:r>
      <w:r w:rsidR="00B50C21" w:rsidRPr="00F53E25">
        <w:t>m</w:t>
      </w:r>
      <w:r w:rsidRPr="00F53E25">
        <w:t xml:space="preserve">ité Permanente examinó la propuesta del auditor externo sobre la confirmación </w:t>
      </w:r>
      <w:r w:rsidR="00B50C21" w:rsidRPr="00F53E25">
        <w:t xml:space="preserve">por parte del grupo de los saldos pendientes de las Partes Contratantes en respuesta a la </w:t>
      </w:r>
      <w:r w:rsidR="00757143" w:rsidRPr="00F53E25">
        <w:t>Decisión</w:t>
      </w:r>
      <w:r w:rsidR="00053743" w:rsidRPr="00F53E25">
        <w:t xml:space="preserve"> SC57-40</w:t>
      </w:r>
      <w:r w:rsidR="00B50C21" w:rsidRPr="00F53E25">
        <w:t xml:space="preserve"> </w:t>
      </w:r>
      <w:r w:rsidRPr="00F53E25">
        <w:t xml:space="preserve">y aprobó la </w:t>
      </w:r>
      <w:r w:rsidR="00B50C21" w:rsidRPr="00F53E25">
        <w:t xml:space="preserve">forma de proceder propuesta en </w:t>
      </w:r>
      <w:r w:rsidR="0014045A" w:rsidRPr="00F53E25">
        <w:t>el</w:t>
      </w:r>
      <w:r w:rsidR="00B50C21" w:rsidRPr="00F53E25">
        <w:t xml:space="preserve"> párrafo 50 del documento </w:t>
      </w:r>
      <w:r w:rsidR="00053743" w:rsidRPr="00F53E25">
        <w:t>SC58 Doc</w:t>
      </w:r>
      <w:r w:rsidR="00757143" w:rsidRPr="00F53E25">
        <w:t>.</w:t>
      </w:r>
      <w:r w:rsidR="00053743" w:rsidRPr="00F53E25">
        <w:t xml:space="preserve"> 8.2</w:t>
      </w:r>
      <w:r w:rsidRPr="00F53E25">
        <w:t>,</w:t>
      </w:r>
      <w:r w:rsidR="00053743" w:rsidRPr="00F53E25">
        <w:t xml:space="preserve"> </w:t>
      </w:r>
      <w:r w:rsidRPr="00F53E25">
        <w:rPr>
          <w:i/>
        </w:rPr>
        <w:t xml:space="preserve">Informe sobre cuestiones financieras, </w:t>
      </w:r>
      <w:r w:rsidR="00053743" w:rsidRPr="00F53E25">
        <w:rPr>
          <w:i/>
        </w:rPr>
        <w:t xml:space="preserve">2019 </w:t>
      </w:r>
      <w:r w:rsidRPr="00F53E25">
        <w:rPr>
          <w:i/>
        </w:rPr>
        <w:t>y</w:t>
      </w:r>
      <w:r w:rsidR="00053743" w:rsidRPr="00F53E25">
        <w:rPr>
          <w:i/>
        </w:rPr>
        <w:t xml:space="preserve"> 2020</w:t>
      </w:r>
      <w:r w:rsidR="00053743" w:rsidRPr="00F53E25">
        <w:t xml:space="preserve">. </w:t>
      </w:r>
      <w:r w:rsidRPr="00F53E25">
        <w:t xml:space="preserve">El auditor </w:t>
      </w:r>
      <w:r w:rsidR="00757143" w:rsidRPr="00F53E25">
        <w:t>externo</w:t>
      </w:r>
      <w:r w:rsidRPr="00F53E25">
        <w:t xml:space="preserve"> propuso que el </w:t>
      </w:r>
      <w:r w:rsidRPr="00F53E25">
        <w:rPr>
          <w:color w:val="000000" w:themeColor="text1"/>
        </w:rPr>
        <w:t xml:space="preserve">Comité Permanente </w:t>
      </w:r>
      <w:r w:rsidR="0086769E" w:rsidRPr="00F53E25">
        <w:rPr>
          <w:color w:val="000000" w:themeColor="text1"/>
        </w:rPr>
        <w:t>reconociera</w:t>
      </w:r>
      <w:r w:rsidRPr="00F53E25">
        <w:rPr>
          <w:color w:val="000000" w:themeColor="text1"/>
        </w:rPr>
        <w:t xml:space="preserve"> el estado de las contribuciones anuales </w:t>
      </w:r>
      <w:r w:rsidR="00B50C21" w:rsidRPr="00F53E25">
        <w:rPr>
          <w:color w:val="000000" w:themeColor="text1"/>
        </w:rPr>
        <w:t xml:space="preserve">entre períodos de </w:t>
      </w:r>
      <w:r w:rsidR="00757143" w:rsidRPr="00F53E25">
        <w:rPr>
          <w:color w:val="000000" w:themeColor="text1"/>
        </w:rPr>
        <w:t>sesiones</w:t>
      </w:r>
      <w:r w:rsidRPr="00F53E25">
        <w:rPr>
          <w:color w:val="000000" w:themeColor="text1"/>
        </w:rPr>
        <w:t>. Esta decisión se aplicó p</w:t>
      </w:r>
      <w:r w:rsidR="00B50C21" w:rsidRPr="00F53E25">
        <w:rPr>
          <w:color w:val="000000" w:themeColor="text1"/>
        </w:rPr>
        <w:t>lenamente</w:t>
      </w:r>
      <w:r w:rsidRPr="00F53E25">
        <w:t xml:space="preserve">. </w:t>
      </w:r>
      <w:r w:rsidR="0086769E" w:rsidRPr="00F53E25">
        <w:t>El 4 de febrero de 2021, l</w:t>
      </w:r>
      <w:r w:rsidRPr="00F53E25">
        <w:t xml:space="preserve">a </w:t>
      </w:r>
      <w:r w:rsidR="00757143" w:rsidRPr="00F53E25">
        <w:t>Secretaría</w:t>
      </w:r>
      <w:r w:rsidRPr="00F53E25">
        <w:t xml:space="preserve"> envió </w:t>
      </w:r>
      <w:r w:rsidR="00B50C21" w:rsidRPr="00F53E25">
        <w:t xml:space="preserve">al Comité Permanente </w:t>
      </w:r>
      <w:r w:rsidRPr="00F53E25">
        <w:t>la solicitud para que</w:t>
      </w:r>
      <w:r w:rsidR="00B50C21" w:rsidRPr="00F53E25">
        <w:t xml:space="preserve"> este</w:t>
      </w:r>
      <w:r w:rsidRPr="00F53E25">
        <w:t xml:space="preserve"> </w:t>
      </w:r>
      <w:r w:rsidR="00757143" w:rsidRPr="00F53E25">
        <w:t>reconociera</w:t>
      </w:r>
      <w:r w:rsidRPr="00F53E25">
        <w:t xml:space="preserve"> el estado de las contribuciones al 31 de diciembre de 2020. Dado que no se </w:t>
      </w:r>
      <w:r w:rsidR="00757143" w:rsidRPr="00F53E25">
        <w:t>recibieron</w:t>
      </w:r>
      <w:r w:rsidRPr="00F53E25">
        <w:t xml:space="preserve"> observaciones durante el </w:t>
      </w:r>
      <w:r w:rsidR="00B50C21" w:rsidRPr="00F53E25">
        <w:t>plazo establecido</w:t>
      </w:r>
      <w:r w:rsidRPr="00F53E25">
        <w:t xml:space="preserve">, se considera que las contribuciones pendientes al 31 de diciembre de 2020 </w:t>
      </w:r>
      <w:r w:rsidR="00B50C21" w:rsidRPr="00F53E25">
        <w:t>han</w:t>
      </w:r>
      <w:r w:rsidRPr="00F53E25">
        <w:t xml:space="preserve"> sido reconocidas</w:t>
      </w:r>
      <w:r w:rsidR="00053743" w:rsidRPr="00F53E25">
        <w:t>.</w:t>
      </w:r>
    </w:p>
    <w:p w14:paraId="47B4D1DA" w14:textId="77777777" w:rsidR="00053743" w:rsidRPr="00F53E25" w:rsidRDefault="00053743" w:rsidP="00053743">
      <w:pPr>
        <w:ind w:left="0" w:firstLine="0"/>
        <w:rPr>
          <w:rFonts w:asciiTheme="minorHAnsi" w:hAnsiTheme="minorHAnsi" w:cs="Arial"/>
          <w:i/>
        </w:rPr>
      </w:pPr>
    </w:p>
    <w:p w14:paraId="11674150" w14:textId="77777777" w:rsidR="00053743" w:rsidRPr="00F53E25" w:rsidRDefault="00053743" w:rsidP="00053743">
      <w:r w:rsidRPr="00F53E25">
        <w:br w:type="page"/>
      </w:r>
    </w:p>
    <w:p w14:paraId="16FA2C6F" w14:textId="55262708" w:rsidR="001458BE" w:rsidRPr="00F53E25" w:rsidRDefault="001458BE" w:rsidP="00162710">
      <w:pPr>
        <w:pStyle w:val="NoSpacing"/>
        <w:ind w:left="0" w:firstLine="0"/>
        <w:rPr>
          <w:b/>
          <w:sz w:val="24"/>
          <w:szCs w:val="24"/>
        </w:rPr>
      </w:pPr>
      <w:r w:rsidRPr="00F53E25">
        <w:rPr>
          <w:b/>
          <w:sz w:val="24"/>
          <w:szCs w:val="24"/>
        </w:rPr>
        <w:lastRenderedPageBreak/>
        <w:t>Anexo 1</w:t>
      </w:r>
    </w:p>
    <w:p w14:paraId="16876955" w14:textId="596CA7A9" w:rsidR="00C54D5B" w:rsidRPr="00F53E25" w:rsidRDefault="00271D3D" w:rsidP="00162710">
      <w:pPr>
        <w:pStyle w:val="NoSpacing"/>
        <w:ind w:left="0" w:firstLine="0"/>
        <w:rPr>
          <w:b/>
          <w:sz w:val="24"/>
          <w:szCs w:val="24"/>
        </w:rPr>
      </w:pPr>
      <w:r w:rsidRPr="00F53E25">
        <w:rPr>
          <w:b/>
          <w:sz w:val="24"/>
          <w:szCs w:val="24"/>
        </w:rPr>
        <w:t>Estados financieros auditados al 31 de diciembre de 20</w:t>
      </w:r>
      <w:r w:rsidR="00C5381B" w:rsidRPr="00F53E25">
        <w:rPr>
          <w:b/>
          <w:sz w:val="24"/>
          <w:szCs w:val="24"/>
        </w:rPr>
        <w:t>20</w:t>
      </w:r>
      <w:r w:rsidRPr="00F53E25">
        <w:rPr>
          <w:b/>
          <w:sz w:val="24"/>
          <w:szCs w:val="24"/>
        </w:rPr>
        <w:t xml:space="preserve"> (preparados según el formato de presentación de estados financieros aplicable en Suiza)</w:t>
      </w:r>
    </w:p>
    <w:p w14:paraId="029E0D77" w14:textId="77777777" w:rsidR="003F135F" w:rsidRPr="00F53E25" w:rsidRDefault="003F135F" w:rsidP="00633DD5">
      <w:pPr>
        <w:pStyle w:val="NoSpacing"/>
        <w:rPr>
          <w:b/>
        </w:rPr>
      </w:pPr>
    </w:p>
    <w:p w14:paraId="38C90180" w14:textId="6079E50A" w:rsidR="004C03D9" w:rsidRPr="00F53E25" w:rsidRDefault="003D733E" w:rsidP="00B50C21">
      <w:pPr>
        <w:pStyle w:val="NoSpacing"/>
        <w:numPr>
          <w:ilvl w:val="0"/>
          <w:numId w:val="12"/>
        </w:numPr>
        <w:ind w:left="426" w:hanging="426"/>
        <w:rPr>
          <w:b/>
        </w:rPr>
      </w:pPr>
      <w:r w:rsidRPr="00F53E25">
        <w:rPr>
          <w:b/>
        </w:rPr>
        <w:t>Balance al 31 de diciembre</w:t>
      </w:r>
      <w:r w:rsidR="006A24F1" w:rsidRPr="00F53E25">
        <w:rPr>
          <w:rStyle w:val="FootnoteReference"/>
        </w:rPr>
        <w:footnoteReference w:id="5"/>
      </w:r>
    </w:p>
    <w:p w14:paraId="3E22D7C5" w14:textId="02358777" w:rsidR="003F135F" w:rsidRPr="00F53E25" w:rsidRDefault="003F135F" w:rsidP="00633DD5">
      <w:pPr>
        <w:pStyle w:val="NoSpacing"/>
        <w:rPr>
          <w:b/>
        </w:rPr>
      </w:pPr>
    </w:p>
    <w:tbl>
      <w:tblPr>
        <w:tblW w:w="8899" w:type="dxa"/>
        <w:tblCellMar>
          <w:left w:w="57" w:type="dxa"/>
          <w:right w:w="57" w:type="dxa"/>
        </w:tblCellMar>
        <w:tblLook w:val="04A0" w:firstRow="1" w:lastRow="0" w:firstColumn="1" w:lastColumn="0" w:noHBand="0" w:noVBand="1"/>
      </w:tblPr>
      <w:tblGrid>
        <w:gridCol w:w="4962"/>
        <w:gridCol w:w="890"/>
        <w:gridCol w:w="1215"/>
        <w:gridCol w:w="164"/>
        <w:gridCol w:w="216"/>
        <w:gridCol w:w="1288"/>
        <w:gridCol w:w="164"/>
      </w:tblGrid>
      <w:tr w:rsidR="003F135F" w:rsidRPr="00F53E25" w14:paraId="56312645" w14:textId="77777777" w:rsidTr="006C4A6A">
        <w:tc>
          <w:tcPr>
            <w:tcW w:w="4962" w:type="dxa"/>
            <w:tcBorders>
              <w:top w:val="nil"/>
              <w:left w:val="nil"/>
              <w:bottom w:val="single" w:sz="8" w:space="0" w:color="auto"/>
              <w:right w:val="nil"/>
            </w:tcBorders>
            <w:shd w:val="clear" w:color="000000" w:fill="FFFFFF"/>
            <w:noWrap/>
            <w:vAlign w:val="bottom"/>
            <w:hideMark/>
          </w:tcPr>
          <w:p w14:paraId="227A0CE2" w14:textId="77777777" w:rsidR="003F135F" w:rsidRPr="00F53E25" w:rsidRDefault="003F135F" w:rsidP="003F135F">
            <w:pPr>
              <w:ind w:left="0" w:firstLine="0"/>
              <w:rPr>
                <w:rFonts w:eastAsia="Times New Roman" w:cs="Calibri"/>
                <w:i/>
                <w:iCs/>
                <w:sz w:val="20"/>
                <w:szCs w:val="20"/>
              </w:rPr>
            </w:pPr>
            <w:r w:rsidRPr="00F53E25">
              <w:rPr>
                <w:i/>
                <w:iCs/>
                <w:sz w:val="20"/>
                <w:szCs w:val="20"/>
              </w:rPr>
              <w:t>en miles de francos suizos</w:t>
            </w:r>
          </w:p>
        </w:tc>
        <w:tc>
          <w:tcPr>
            <w:tcW w:w="890" w:type="dxa"/>
            <w:tcBorders>
              <w:top w:val="nil"/>
              <w:left w:val="nil"/>
              <w:bottom w:val="single" w:sz="8" w:space="0" w:color="auto"/>
              <w:right w:val="nil"/>
            </w:tcBorders>
            <w:shd w:val="clear" w:color="000000" w:fill="FFFFFF"/>
            <w:noWrap/>
            <w:vAlign w:val="center"/>
            <w:hideMark/>
          </w:tcPr>
          <w:p w14:paraId="3F4CF572" w14:textId="77777777" w:rsidR="003F135F" w:rsidRPr="00F53E25" w:rsidRDefault="003F135F" w:rsidP="003F135F">
            <w:pPr>
              <w:ind w:left="0" w:firstLine="0"/>
              <w:jc w:val="center"/>
              <w:rPr>
                <w:rFonts w:eastAsia="Times New Roman" w:cs="Calibri"/>
                <w:b/>
                <w:bCs/>
              </w:rPr>
            </w:pPr>
            <w:r w:rsidRPr="00F53E25">
              <w:rPr>
                <w:b/>
                <w:bCs/>
              </w:rPr>
              <w:t xml:space="preserve"> Notas </w:t>
            </w:r>
          </w:p>
        </w:tc>
        <w:tc>
          <w:tcPr>
            <w:tcW w:w="1379" w:type="dxa"/>
            <w:gridSpan w:val="2"/>
            <w:tcBorders>
              <w:top w:val="nil"/>
              <w:left w:val="nil"/>
              <w:bottom w:val="single" w:sz="8" w:space="0" w:color="auto"/>
              <w:right w:val="nil"/>
            </w:tcBorders>
            <w:shd w:val="clear" w:color="000000" w:fill="8DB4E2"/>
            <w:vAlign w:val="center"/>
            <w:hideMark/>
          </w:tcPr>
          <w:p w14:paraId="0670EADD" w14:textId="7BE72DDC" w:rsidR="003F135F" w:rsidRPr="00F53E25" w:rsidRDefault="003F135F" w:rsidP="003F135F">
            <w:pPr>
              <w:ind w:left="0" w:firstLine="0"/>
              <w:jc w:val="center"/>
              <w:rPr>
                <w:rFonts w:eastAsia="Times New Roman" w:cs="Calibri"/>
                <w:b/>
                <w:bCs/>
              </w:rPr>
            </w:pPr>
            <w:r w:rsidRPr="00F53E25">
              <w:rPr>
                <w:b/>
                <w:bCs/>
              </w:rPr>
              <w:t xml:space="preserve"> 20</w:t>
            </w:r>
            <w:r w:rsidR="002E586C" w:rsidRPr="00F53E25">
              <w:rPr>
                <w:b/>
                <w:bCs/>
              </w:rPr>
              <w:t>20</w:t>
            </w:r>
            <w:r w:rsidRPr="00F53E25">
              <w:rPr>
                <w:b/>
                <w:bCs/>
              </w:rPr>
              <w:t xml:space="preserve"> </w:t>
            </w:r>
          </w:p>
        </w:tc>
        <w:tc>
          <w:tcPr>
            <w:tcW w:w="216" w:type="dxa"/>
            <w:tcBorders>
              <w:top w:val="nil"/>
              <w:left w:val="nil"/>
              <w:bottom w:val="single" w:sz="8" w:space="0" w:color="auto"/>
              <w:right w:val="nil"/>
            </w:tcBorders>
            <w:shd w:val="clear" w:color="000000" w:fill="D9D9D9"/>
            <w:noWrap/>
            <w:vAlign w:val="center"/>
            <w:hideMark/>
          </w:tcPr>
          <w:p w14:paraId="34EEC899" w14:textId="77777777" w:rsidR="003F135F" w:rsidRPr="00F53E25" w:rsidRDefault="003F135F" w:rsidP="003F135F">
            <w:pPr>
              <w:ind w:left="0" w:firstLine="0"/>
              <w:rPr>
                <w:rFonts w:eastAsia="Times New Roman" w:cs="Calibri"/>
              </w:rPr>
            </w:pPr>
            <w:r w:rsidRPr="00F53E25">
              <w:t> </w:t>
            </w:r>
          </w:p>
        </w:tc>
        <w:tc>
          <w:tcPr>
            <w:tcW w:w="1452" w:type="dxa"/>
            <w:gridSpan w:val="2"/>
            <w:tcBorders>
              <w:top w:val="nil"/>
              <w:left w:val="nil"/>
              <w:bottom w:val="single" w:sz="8" w:space="0" w:color="auto"/>
              <w:right w:val="nil"/>
            </w:tcBorders>
            <w:shd w:val="clear" w:color="000000" w:fill="D8E4BC"/>
            <w:noWrap/>
            <w:vAlign w:val="center"/>
            <w:hideMark/>
          </w:tcPr>
          <w:p w14:paraId="479264C8" w14:textId="54A39221" w:rsidR="003F135F" w:rsidRPr="00F53E25" w:rsidRDefault="003F135F" w:rsidP="003F135F">
            <w:pPr>
              <w:ind w:left="0" w:firstLine="0"/>
              <w:jc w:val="center"/>
              <w:rPr>
                <w:rFonts w:eastAsia="Times New Roman" w:cs="Calibri"/>
                <w:b/>
                <w:bCs/>
              </w:rPr>
            </w:pPr>
            <w:r w:rsidRPr="00F53E25">
              <w:rPr>
                <w:b/>
                <w:bCs/>
              </w:rPr>
              <w:t xml:space="preserve"> 201</w:t>
            </w:r>
            <w:r w:rsidR="002E586C" w:rsidRPr="00F53E25">
              <w:rPr>
                <w:b/>
                <w:bCs/>
              </w:rPr>
              <w:t>9</w:t>
            </w:r>
            <w:r w:rsidRPr="00F53E25">
              <w:rPr>
                <w:b/>
                <w:bCs/>
              </w:rPr>
              <w:t xml:space="preserve"> </w:t>
            </w:r>
          </w:p>
        </w:tc>
      </w:tr>
      <w:tr w:rsidR="003F135F" w:rsidRPr="00F53E25" w14:paraId="157F70E8" w14:textId="77777777" w:rsidTr="006C4A6A">
        <w:tc>
          <w:tcPr>
            <w:tcW w:w="4962" w:type="dxa"/>
            <w:tcBorders>
              <w:top w:val="nil"/>
              <w:left w:val="nil"/>
              <w:bottom w:val="nil"/>
              <w:right w:val="nil"/>
            </w:tcBorders>
            <w:shd w:val="clear" w:color="000000" w:fill="FFFFFF"/>
            <w:vAlign w:val="bottom"/>
            <w:hideMark/>
          </w:tcPr>
          <w:p w14:paraId="36960833" w14:textId="77777777" w:rsidR="003F135F" w:rsidRPr="00F53E25" w:rsidRDefault="003F135F" w:rsidP="003F135F">
            <w:pPr>
              <w:ind w:left="0" w:firstLine="0"/>
              <w:rPr>
                <w:rFonts w:eastAsia="Times New Roman" w:cs="Calibri"/>
                <w:b/>
                <w:bCs/>
              </w:rPr>
            </w:pPr>
            <w:r w:rsidRPr="00F53E25">
              <w:rPr>
                <w:b/>
                <w:bCs/>
              </w:rPr>
              <w:t>ACTIVO</w:t>
            </w:r>
          </w:p>
        </w:tc>
        <w:tc>
          <w:tcPr>
            <w:tcW w:w="890" w:type="dxa"/>
            <w:tcBorders>
              <w:top w:val="nil"/>
              <w:left w:val="nil"/>
              <w:bottom w:val="nil"/>
              <w:right w:val="nil"/>
            </w:tcBorders>
            <w:shd w:val="clear" w:color="000000" w:fill="FFFFFF"/>
            <w:noWrap/>
            <w:vAlign w:val="bottom"/>
            <w:hideMark/>
          </w:tcPr>
          <w:p w14:paraId="34C54BEB"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0FFE437A"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286F4F47"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514113DC"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48A3BA2F"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4C2A800E" w14:textId="77777777" w:rsidR="003F135F" w:rsidRPr="00F53E25" w:rsidRDefault="003F135F" w:rsidP="003F135F">
            <w:pPr>
              <w:ind w:left="0" w:firstLine="0"/>
              <w:rPr>
                <w:rFonts w:eastAsia="Times New Roman" w:cs="Calibri"/>
              </w:rPr>
            </w:pPr>
            <w:r w:rsidRPr="00F53E25">
              <w:t> </w:t>
            </w:r>
          </w:p>
        </w:tc>
      </w:tr>
      <w:tr w:rsidR="003F135F" w:rsidRPr="00F53E25" w14:paraId="11C2C6F0" w14:textId="77777777" w:rsidTr="006C4A6A">
        <w:tc>
          <w:tcPr>
            <w:tcW w:w="4962" w:type="dxa"/>
            <w:tcBorders>
              <w:top w:val="nil"/>
              <w:left w:val="nil"/>
              <w:bottom w:val="nil"/>
              <w:right w:val="nil"/>
            </w:tcBorders>
            <w:shd w:val="clear" w:color="000000" w:fill="FFFFFF"/>
            <w:vAlign w:val="bottom"/>
            <w:hideMark/>
          </w:tcPr>
          <w:p w14:paraId="551B2343" w14:textId="77777777" w:rsidR="003F135F" w:rsidRPr="00F53E25" w:rsidRDefault="003F135F" w:rsidP="003F135F">
            <w:pPr>
              <w:ind w:left="0" w:firstLine="0"/>
              <w:rPr>
                <w:rFonts w:eastAsia="Times New Roman" w:cs="Calibri"/>
                <w:b/>
                <w:bCs/>
              </w:rPr>
            </w:pPr>
            <w:r w:rsidRPr="00F53E25">
              <w:rPr>
                <w:b/>
                <w:bCs/>
              </w:rPr>
              <w:t>Activo corriente</w:t>
            </w:r>
          </w:p>
        </w:tc>
        <w:tc>
          <w:tcPr>
            <w:tcW w:w="890" w:type="dxa"/>
            <w:tcBorders>
              <w:top w:val="nil"/>
              <w:left w:val="nil"/>
              <w:bottom w:val="nil"/>
              <w:right w:val="nil"/>
            </w:tcBorders>
            <w:shd w:val="clear" w:color="000000" w:fill="FFFFFF"/>
            <w:noWrap/>
            <w:vAlign w:val="bottom"/>
            <w:hideMark/>
          </w:tcPr>
          <w:p w14:paraId="0D2496E9"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4FBE2CC1"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4DC7C639"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040C57F2"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68968D38"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72B480EC" w14:textId="77777777" w:rsidR="003F135F" w:rsidRPr="00F53E25" w:rsidRDefault="003F135F" w:rsidP="003F135F">
            <w:pPr>
              <w:ind w:left="0" w:firstLine="0"/>
              <w:rPr>
                <w:rFonts w:eastAsia="Times New Roman" w:cs="Calibri"/>
              </w:rPr>
            </w:pPr>
            <w:r w:rsidRPr="00F53E25">
              <w:t> </w:t>
            </w:r>
          </w:p>
        </w:tc>
      </w:tr>
      <w:tr w:rsidR="003F135F" w:rsidRPr="00F53E25" w14:paraId="16AFCA3E" w14:textId="77777777" w:rsidTr="006C4A6A">
        <w:tc>
          <w:tcPr>
            <w:tcW w:w="4962" w:type="dxa"/>
            <w:tcBorders>
              <w:top w:val="nil"/>
              <w:left w:val="nil"/>
              <w:bottom w:val="nil"/>
              <w:right w:val="nil"/>
            </w:tcBorders>
            <w:shd w:val="clear" w:color="000000" w:fill="FFFFFF"/>
            <w:vAlign w:val="bottom"/>
            <w:hideMark/>
          </w:tcPr>
          <w:p w14:paraId="7856998F" w14:textId="1F2DD08D" w:rsidR="003F135F" w:rsidRPr="00F53E25" w:rsidRDefault="003F135F" w:rsidP="003F135F">
            <w:pPr>
              <w:ind w:left="0" w:firstLine="0"/>
              <w:rPr>
                <w:rFonts w:eastAsia="Times New Roman" w:cs="Calibri"/>
              </w:rPr>
            </w:pPr>
            <w:r w:rsidRPr="00F53E25">
              <w:t>Efectivo y depósitos bancarios a corto plazo</w:t>
            </w:r>
          </w:p>
        </w:tc>
        <w:tc>
          <w:tcPr>
            <w:tcW w:w="890" w:type="dxa"/>
            <w:tcBorders>
              <w:top w:val="nil"/>
              <w:left w:val="nil"/>
              <w:bottom w:val="nil"/>
              <w:right w:val="nil"/>
            </w:tcBorders>
            <w:shd w:val="clear" w:color="000000" w:fill="FFFFFF"/>
            <w:noWrap/>
            <w:vAlign w:val="bottom"/>
            <w:hideMark/>
          </w:tcPr>
          <w:p w14:paraId="2D4E01E1"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24AAE331" w14:textId="3250A79B" w:rsidR="003F135F" w:rsidRPr="00F53E25" w:rsidRDefault="002E586C" w:rsidP="003F135F">
            <w:pPr>
              <w:ind w:left="0" w:firstLine="0"/>
              <w:jc w:val="right"/>
              <w:rPr>
                <w:rFonts w:eastAsia="Times New Roman" w:cs="Calibri"/>
              </w:rPr>
            </w:pPr>
            <w:r w:rsidRPr="00F53E25">
              <w:t>5 634</w:t>
            </w:r>
          </w:p>
        </w:tc>
        <w:tc>
          <w:tcPr>
            <w:tcW w:w="164" w:type="dxa"/>
            <w:tcBorders>
              <w:top w:val="nil"/>
              <w:left w:val="nil"/>
              <w:bottom w:val="nil"/>
              <w:right w:val="nil"/>
            </w:tcBorders>
            <w:shd w:val="clear" w:color="000000" w:fill="FFFFFF"/>
            <w:noWrap/>
            <w:vAlign w:val="bottom"/>
            <w:hideMark/>
          </w:tcPr>
          <w:p w14:paraId="4ADA8918"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3CCA43B2"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3693E5AC" w14:textId="5EA2A425" w:rsidR="003F135F" w:rsidRPr="00F53E25" w:rsidRDefault="002E586C" w:rsidP="003F135F">
            <w:pPr>
              <w:ind w:left="0" w:firstLine="0"/>
              <w:jc w:val="right"/>
              <w:rPr>
                <w:rFonts w:eastAsia="Times New Roman" w:cs="Calibri"/>
              </w:rPr>
            </w:pPr>
            <w:r w:rsidRPr="00F53E25">
              <w:t>3 827</w:t>
            </w:r>
          </w:p>
        </w:tc>
        <w:tc>
          <w:tcPr>
            <w:tcW w:w="164" w:type="dxa"/>
            <w:tcBorders>
              <w:top w:val="nil"/>
              <w:left w:val="nil"/>
              <w:bottom w:val="nil"/>
              <w:right w:val="nil"/>
            </w:tcBorders>
            <w:shd w:val="clear" w:color="000000" w:fill="FFFFFF"/>
            <w:noWrap/>
            <w:vAlign w:val="bottom"/>
            <w:hideMark/>
          </w:tcPr>
          <w:p w14:paraId="62DEC170" w14:textId="77777777" w:rsidR="003F135F" w:rsidRPr="00F53E25" w:rsidRDefault="003F135F" w:rsidP="003F135F">
            <w:pPr>
              <w:ind w:left="0" w:firstLine="0"/>
              <w:rPr>
                <w:rFonts w:eastAsia="Times New Roman" w:cs="Calibri"/>
              </w:rPr>
            </w:pPr>
            <w:r w:rsidRPr="00F53E25">
              <w:t> </w:t>
            </w:r>
          </w:p>
        </w:tc>
      </w:tr>
      <w:tr w:rsidR="003F135F" w:rsidRPr="00F53E25" w14:paraId="7545E74E" w14:textId="77777777" w:rsidTr="006C4A6A">
        <w:tc>
          <w:tcPr>
            <w:tcW w:w="4962" w:type="dxa"/>
            <w:tcBorders>
              <w:top w:val="nil"/>
              <w:left w:val="nil"/>
              <w:bottom w:val="nil"/>
              <w:right w:val="nil"/>
            </w:tcBorders>
            <w:shd w:val="clear" w:color="000000" w:fill="FFFFFF"/>
            <w:vAlign w:val="bottom"/>
            <w:hideMark/>
          </w:tcPr>
          <w:p w14:paraId="70EE7D38" w14:textId="3BA67F60" w:rsidR="003F135F" w:rsidRPr="00F53E25" w:rsidRDefault="003F135F" w:rsidP="003F135F">
            <w:pPr>
              <w:ind w:left="0" w:firstLine="0"/>
              <w:rPr>
                <w:rFonts w:eastAsia="Times New Roman" w:cs="Calibri"/>
              </w:rPr>
            </w:pPr>
            <w:r w:rsidRPr="00F53E25">
              <w:t>Activos exigibles a las Partes Contratantes (netos)</w:t>
            </w:r>
          </w:p>
        </w:tc>
        <w:tc>
          <w:tcPr>
            <w:tcW w:w="890" w:type="dxa"/>
            <w:tcBorders>
              <w:top w:val="nil"/>
              <w:left w:val="nil"/>
              <w:bottom w:val="nil"/>
              <w:right w:val="nil"/>
            </w:tcBorders>
            <w:shd w:val="clear" w:color="000000" w:fill="FFFFFF"/>
            <w:noWrap/>
            <w:vAlign w:val="bottom"/>
            <w:hideMark/>
          </w:tcPr>
          <w:p w14:paraId="0846BF3D" w14:textId="77777777" w:rsidR="003F135F" w:rsidRPr="00F53E25" w:rsidRDefault="003F135F" w:rsidP="003F135F">
            <w:pPr>
              <w:ind w:left="0" w:firstLine="0"/>
              <w:jc w:val="center"/>
              <w:rPr>
                <w:rFonts w:eastAsia="Times New Roman" w:cs="Calibri"/>
              </w:rPr>
            </w:pPr>
            <w:r w:rsidRPr="00F53E25">
              <w:t>6</w:t>
            </w:r>
          </w:p>
        </w:tc>
        <w:tc>
          <w:tcPr>
            <w:tcW w:w="1215" w:type="dxa"/>
            <w:tcBorders>
              <w:top w:val="nil"/>
              <w:left w:val="nil"/>
              <w:bottom w:val="nil"/>
              <w:right w:val="nil"/>
            </w:tcBorders>
            <w:shd w:val="clear" w:color="000000" w:fill="FFFFFF"/>
            <w:noWrap/>
            <w:vAlign w:val="bottom"/>
            <w:hideMark/>
          </w:tcPr>
          <w:p w14:paraId="1D233E3C" w14:textId="1B57D98C" w:rsidR="003F135F" w:rsidRPr="00F53E25" w:rsidRDefault="002E586C" w:rsidP="003F135F">
            <w:pPr>
              <w:ind w:left="0" w:firstLine="0"/>
              <w:jc w:val="right"/>
              <w:rPr>
                <w:rFonts w:eastAsia="Times New Roman" w:cs="Calibri"/>
              </w:rPr>
            </w:pPr>
            <w:r w:rsidRPr="00F53E25">
              <w:t>680</w:t>
            </w:r>
          </w:p>
        </w:tc>
        <w:tc>
          <w:tcPr>
            <w:tcW w:w="164" w:type="dxa"/>
            <w:tcBorders>
              <w:top w:val="nil"/>
              <w:left w:val="nil"/>
              <w:bottom w:val="nil"/>
              <w:right w:val="nil"/>
            </w:tcBorders>
            <w:shd w:val="clear" w:color="000000" w:fill="FFFFFF"/>
            <w:noWrap/>
            <w:vAlign w:val="bottom"/>
            <w:hideMark/>
          </w:tcPr>
          <w:p w14:paraId="6C174AAD"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5498C89B"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0454C298" w14:textId="00FCD266" w:rsidR="003F135F" w:rsidRPr="00F53E25" w:rsidRDefault="002E586C" w:rsidP="003F135F">
            <w:pPr>
              <w:ind w:left="0" w:firstLine="0"/>
              <w:jc w:val="right"/>
              <w:rPr>
                <w:rFonts w:eastAsia="Times New Roman" w:cs="Calibri"/>
              </w:rPr>
            </w:pPr>
            <w:r w:rsidRPr="00F53E25">
              <w:t>2 364</w:t>
            </w:r>
          </w:p>
        </w:tc>
        <w:tc>
          <w:tcPr>
            <w:tcW w:w="164" w:type="dxa"/>
            <w:tcBorders>
              <w:top w:val="nil"/>
              <w:left w:val="nil"/>
              <w:bottom w:val="nil"/>
              <w:right w:val="nil"/>
            </w:tcBorders>
            <w:shd w:val="clear" w:color="000000" w:fill="FFFFFF"/>
            <w:noWrap/>
            <w:vAlign w:val="bottom"/>
            <w:hideMark/>
          </w:tcPr>
          <w:p w14:paraId="42BA045B" w14:textId="77777777" w:rsidR="003F135F" w:rsidRPr="00F53E25" w:rsidRDefault="003F135F" w:rsidP="003F135F">
            <w:pPr>
              <w:ind w:left="0" w:firstLine="0"/>
              <w:rPr>
                <w:rFonts w:eastAsia="Times New Roman" w:cs="Calibri"/>
              </w:rPr>
            </w:pPr>
            <w:r w:rsidRPr="00F53E25">
              <w:t> </w:t>
            </w:r>
          </w:p>
        </w:tc>
      </w:tr>
      <w:tr w:rsidR="003F135F" w:rsidRPr="00F53E25" w14:paraId="17423F77" w14:textId="77777777" w:rsidTr="006C4A6A">
        <w:tc>
          <w:tcPr>
            <w:tcW w:w="4962" w:type="dxa"/>
            <w:tcBorders>
              <w:top w:val="nil"/>
              <w:left w:val="nil"/>
              <w:bottom w:val="nil"/>
              <w:right w:val="nil"/>
            </w:tcBorders>
            <w:shd w:val="clear" w:color="000000" w:fill="FFFFFF"/>
            <w:vAlign w:val="bottom"/>
            <w:hideMark/>
          </w:tcPr>
          <w:p w14:paraId="15C789C8" w14:textId="7D714AA8" w:rsidR="003F135F" w:rsidRPr="00F53E25" w:rsidRDefault="003F135F" w:rsidP="003F135F">
            <w:pPr>
              <w:ind w:left="0" w:firstLine="0"/>
              <w:rPr>
                <w:rFonts w:eastAsia="Times New Roman" w:cs="Calibri"/>
              </w:rPr>
            </w:pPr>
            <w:r w:rsidRPr="00F53E25">
              <w:t>Otros activos exigibles</w:t>
            </w:r>
          </w:p>
        </w:tc>
        <w:tc>
          <w:tcPr>
            <w:tcW w:w="890" w:type="dxa"/>
            <w:tcBorders>
              <w:top w:val="nil"/>
              <w:left w:val="nil"/>
              <w:bottom w:val="nil"/>
              <w:right w:val="nil"/>
            </w:tcBorders>
            <w:shd w:val="clear" w:color="000000" w:fill="FFFFFF"/>
            <w:noWrap/>
            <w:vAlign w:val="bottom"/>
            <w:hideMark/>
          </w:tcPr>
          <w:p w14:paraId="22FD8D9B" w14:textId="77777777" w:rsidR="003F135F" w:rsidRPr="00F53E25" w:rsidRDefault="003F135F" w:rsidP="003F135F">
            <w:pPr>
              <w:ind w:left="0" w:firstLine="0"/>
              <w:jc w:val="center"/>
              <w:rPr>
                <w:rFonts w:eastAsia="Times New Roman" w:cs="Calibri"/>
              </w:rPr>
            </w:pPr>
            <w:r w:rsidRPr="00F53E25">
              <w:t>7</w:t>
            </w:r>
          </w:p>
        </w:tc>
        <w:tc>
          <w:tcPr>
            <w:tcW w:w="1215" w:type="dxa"/>
            <w:tcBorders>
              <w:top w:val="nil"/>
              <w:left w:val="nil"/>
              <w:bottom w:val="single" w:sz="4" w:space="0" w:color="auto"/>
              <w:right w:val="nil"/>
            </w:tcBorders>
            <w:shd w:val="clear" w:color="000000" w:fill="FFFFFF"/>
            <w:noWrap/>
            <w:vAlign w:val="bottom"/>
            <w:hideMark/>
          </w:tcPr>
          <w:p w14:paraId="742E45E0" w14:textId="7D404E65" w:rsidR="003F135F" w:rsidRPr="00F53E25" w:rsidRDefault="002E586C" w:rsidP="003F135F">
            <w:pPr>
              <w:ind w:left="0" w:firstLine="0"/>
              <w:jc w:val="right"/>
              <w:rPr>
                <w:rFonts w:eastAsia="Times New Roman" w:cs="Calibri"/>
              </w:rPr>
            </w:pPr>
            <w:r w:rsidRPr="00F53E25">
              <w:t>85</w:t>
            </w:r>
          </w:p>
        </w:tc>
        <w:tc>
          <w:tcPr>
            <w:tcW w:w="164" w:type="dxa"/>
            <w:tcBorders>
              <w:top w:val="nil"/>
              <w:left w:val="nil"/>
              <w:bottom w:val="single" w:sz="4" w:space="0" w:color="auto"/>
              <w:right w:val="nil"/>
            </w:tcBorders>
            <w:shd w:val="clear" w:color="000000" w:fill="FFFFFF"/>
            <w:noWrap/>
            <w:vAlign w:val="bottom"/>
            <w:hideMark/>
          </w:tcPr>
          <w:p w14:paraId="2E3BA906"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single" w:sz="4" w:space="0" w:color="auto"/>
              <w:right w:val="nil"/>
            </w:tcBorders>
            <w:shd w:val="clear" w:color="000000" w:fill="D9D9D9"/>
            <w:noWrap/>
            <w:vAlign w:val="bottom"/>
            <w:hideMark/>
          </w:tcPr>
          <w:p w14:paraId="41D00E64"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single" w:sz="4" w:space="0" w:color="auto"/>
              <w:right w:val="nil"/>
            </w:tcBorders>
            <w:shd w:val="clear" w:color="000000" w:fill="FFFFFF"/>
            <w:noWrap/>
            <w:vAlign w:val="bottom"/>
            <w:hideMark/>
          </w:tcPr>
          <w:p w14:paraId="65C4E98B" w14:textId="2B7187BF" w:rsidR="003F135F" w:rsidRPr="00F53E25" w:rsidRDefault="002E586C" w:rsidP="003F135F">
            <w:pPr>
              <w:ind w:left="0" w:firstLine="0"/>
              <w:jc w:val="right"/>
              <w:rPr>
                <w:rFonts w:eastAsia="Times New Roman" w:cs="Calibri"/>
              </w:rPr>
            </w:pPr>
            <w:r w:rsidRPr="00F53E25">
              <w:t>142</w:t>
            </w:r>
          </w:p>
        </w:tc>
        <w:tc>
          <w:tcPr>
            <w:tcW w:w="164" w:type="dxa"/>
            <w:tcBorders>
              <w:top w:val="nil"/>
              <w:left w:val="nil"/>
              <w:bottom w:val="nil"/>
              <w:right w:val="nil"/>
            </w:tcBorders>
            <w:shd w:val="clear" w:color="000000" w:fill="FFFFFF"/>
            <w:noWrap/>
            <w:vAlign w:val="bottom"/>
            <w:hideMark/>
          </w:tcPr>
          <w:p w14:paraId="4E4063D2" w14:textId="77777777" w:rsidR="003F135F" w:rsidRPr="00F53E25" w:rsidRDefault="003F135F" w:rsidP="003F135F">
            <w:pPr>
              <w:ind w:left="0" w:firstLine="0"/>
              <w:rPr>
                <w:rFonts w:eastAsia="Times New Roman" w:cs="Calibri"/>
              </w:rPr>
            </w:pPr>
            <w:r w:rsidRPr="00F53E25">
              <w:t> </w:t>
            </w:r>
          </w:p>
        </w:tc>
      </w:tr>
      <w:tr w:rsidR="003F135F" w:rsidRPr="00F53E25" w14:paraId="2117CE43" w14:textId="77777777" w:rsidTr="006C4A6A">
        <w:tc>
          <w:tcPr>
            <w:tcW w:w="4962" w:type="dxa"/>
            <w:tcBorders>
              <w:top w:val="nil"/>
              <w:left w:val="nil"/>
              <w:bottom w:val="nil"/>
              <w:right w:val="nil"/>
            </w:tcBorders>
            <w:shd w:val="clear" w:color="000000" w:fill="FFFFFF"/>
            <w:vAlign w:val="bottom"/>
            <w:hideMark/>
          </w:tcPr>
          <w:p w14:paraId="63897957" w14:textId="3FC4A814"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w:t>
            </w:r>
            <w:r w:rsidR="006D4727" w:rsidRPr="00F53E25">
              <w:rPr>
                <w:b/>
                <w:bCs/>
              </w:rPr>
              <w:t>A</w:t>
            </w:r>
            <w:r w:rsidR="003F135F" w:rsidRPr="00F53E25">
              <w:rPr>
                <w:b/>
                <w:bCs/>
              </w:rPr>
              <w:t>ctivos corrientes</w:t>
            </w:r>
          </w:p>
        </w:tc>
        <w:tc>
          <w:tcPr>
            <w:tcW w:w="890" w:type="dxa"/>
            <w:tcBorders>
              <w:top w:val="nil"/>
              <w:left w:val="nil"/>
              <w:bottom w:val="nil"/>
              <w:right w:val="nil"/>
            </w:tcBorders>
            <w:shd w:val="clear" w:color="000000" w:fill="FFFFFF"/>
            <w:noWrap/>
            <w:vAlign w:val="bottom"/>
            <w:hideMark/>
          </w:tcPr>
          <w:p w14:paraId="2C00F8E4"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3C590717" w14:textId="01E0E319" w:rsidR="003F135F" w:rsidRPr="00F53E25" w:rsidRDefault="003F135F" w:rsidP="003F135F">
            <w:pPr>
              <w:ind w:left="0" w:firstLine="0"/>
              <w:jc w:val="right"/>
              <w:rPr>
                <w:rFonts w:eastAsia="Times New Roman" w:cs="Calibri"/>
                <w:b/>
                <w:bCs/>
              </w:rPr>
            </w:pPr>
            <w:r w:rsidRPr="00F53E25">
              <w:rPr>
                <w:b/>
                <w:bCs/>
              </w:rPr>
              <w:t>6</w:t>
            </w:r>
            <w:r w:rsidR="00652E0C" w:rsidRPr="00F53E25">
              <w:rPr>
                <w:b/>
                <w:bCs/>
              </w:rPr>
              <w:t> </w:t>
            </w:r>
            <w:r w:rsidRPr="00F53E25">
              <w:rPr>
                <w:b/>
                <w:bCs/>
              </w:rPr>
              <w:t>3</w:t>
            </w:r>
            <w:r w:rsidR="002E586C" w:rsidRPr="00F53E25">
              <w:rPr>
                <w:b/>
                <w:bCs/>
              </w:rPr>
              <w:t>99</w:t>
            </w:r>
          </w:p>
        </w:tc>
        <w:tc>
          <w:tcPr>
            <w:tcW w:w="164" w:type="dxa"/>
            <w:tcBorders>
              <w:top w:val="nil"/>
              <w:left w:val="nil"/>
              <w:bottom w:val="nil"/>
              <w:right w:val="nil"/>
            </w:tcBorders>
            <w:shd w:val="clear" w:color="000000" w:fill="FFFFFF"/>
            <w:noWrap/>
            <w:vAlign w:val="bottom"/>
            <w:hideMark/>
          </w:tcPr>
          <w:p w14:paraId="3E71C30A"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nil"/>
              <w:left w:val="nil"/>
              <w:bottom w:val="nil"/>
              <w:right w:val="nil"/>
            </w:tcBorders>
            <w:shd w:val="clear" w:color="000000" w:fill="D9D9D9"/>
            <w:noWrap/>
            <w:vAlign w:val="bottom"/>
            <w:hideMark/>
          </w:tcPr>
          <w:p w14:paraId="2D542DA0"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nil"/>
              <w:left w:val="nil"/>
              <w:bottom w:val="nil"/>
              <w:right w:val="nil"/>
            </w:tcBorders>
            <w:shd w:val="clear" w:color="000000" w:fill="FFFFFF"/>
            <w:noWrap/>
            <w:vAlign w:val="bottom"/>
            <w:hideMark/>
          </w:tcPr>
          <w:p w14:paraId="1167288C" w14:textId="388DB2B9" w:rsidR="003F135F" w:rsidRPr="00F53E25" w:rsidRDefault="003F135F" w:rsidP="003F135F">
            <w:pPr>
              <w:ind w:left="0" w:firstLine="0"/>
              <w:jc w:val="right"/>
              <w:rPr>
                <w:rFonts w:eastAsia="Times New Roman" w:cs="Calibri"/>
                <w:b/>
                <w:bCs/>
              </w:rPr>
            </w:pPr>
            <w:r w:rsidRPr="00F53E25">
              <w:rPr>
                <w:b/>
                <w:bCs/>
              </w:rPr>
              <w:t>6</w:t>
            </w:r>
            <w:r w:rsidR="00652E0C" w:rsidRPr="00F53E25">
              <w:rPr>
                <w:b/>
                <w:bCs/>
              </w:rPr>
              <w:t> </w:t>
            </w:r>
            <w:r w:rsidR="002E586C" w:rsidRPr="00F53E25">
              <w:rPr>
                <w:b/>
                <w:bCs/>
              </w:rPr>
              <w:t>333</w:t>
            </w:r>
          </w:p>
        </w:tc>
        <w:tc>
          <w:tcPr>
            <w:tcW w:w="164" w:type="dxa"/>
            <w:tcBorders>
              <w:top w:val="nil"/>
              <w:left w:val="nil"/>
              <w:bottom w:val="nil"/>
              <w:right w:val="nil"/>
            </w:tcBorders>
            <w:shd w:val="clear" w:color="000000" w:fill="FFFFFF"/>
            <w:noWrap/>
            <w:vAlign w:val="bottom"/>
            <w:hideMark/>
          </w:tcPr>
          <w:p w14:paraId="3D8B3908"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2A75ADC9" w14:textId="77777777" w:rsidTr="006C4A6A">
        <w:tc>
          <w:tcPr>
            <w:tcW w:w="4962" w:type="dxa"/>
            <w:tcBorders>
              <w:top w:val="nil"/>
              <w:left w:val="nil"/>
              <w:bottom w:val="nil"/>
              <w:right w:val="nil"/>
            </w:tcBorders>
            <w:shd w:val="clear" w:color="000000" w:fill="FFFFFF"/>
            <w:vAlign w:val="bottom"/>
            <w:hideMark/>
          </w:tcPr>
          <w:p w14:paraId="29509876" w14:textId="77777777" w:rsidR="003F135F" w:rsidRPr="00F53E25" w:rsidRDefault="003F135F" w:rsidP="003F135F">
            <w:pPr>
              <w:ind w:left="0" w:firstLine="0"/>
              <w:rPr>
                <w:rFonts w:eastAsia="Times New Roman" w:cs="Calibri"/>
                <w:b/>
                <w:bCs/>
              </w:rPr>
            </w:pPr>
            <w:r w:rsidRPr="00F53E25">
              <w:rPr>
                <w:b/>
                <w:bCs/>
              </w:rPr>
              <w:t> </w:t>
            </w:r>
          </w:p>
        </w:tc>
        <w:tc>
          <w:tcPr>
            <w:tcW w:w="890" w:type="dxa"/>
            <w:tcBorders>
              <w:top w:val="nil"/>
              <w:left w:val="nil"/>
              <w:bottom w:val="nil"/>
              <w:right w:val="nil"/>
            </w:tcBorders>
            <w:shd w:val="clear" w:color="000000" w:fill="FFFFFF"/>
            <w:noWrap/>
            <w:vAlign w:val="bottom"/>
            <w:hideMark/>
          </w:tcPr>
          <w:p w14:paraId="13F5C295"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56368E31"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05F9D342"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5C2A3C34"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5B547DB1"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5366D13B" w14:textId="77777777" w:rsidR="003F135F" w:rsidRPr="00F53E25" w:rsidRDefault="003F135F" w:rsidP="003F135F">
            <w:pPr>
              <w:ind w:left="0" w:firstLine="0"/>
              <w:rPr>
                <w:rFonts w:eastAsia="Times New Roman" w:cs="Calibri"/>
              </w:rPr>
            </w:pPr>
            <w:r w:rsidRPr="00F53E25">
              <w:t> </w:t>
            </w:r>
          </w:p>
        </w:tc>
      </w:tr>
      <w:tr w:rsidR="003F135F" w:rsidRPr="00F53E25" w14:paraId="07E418C5" w14:textId="77777777" w:rsidTr="006C4A6A">
        <w:tc>
          <w:tcPr>
            <w:tcW w:w="4962" w:type="dxa"/>
            <w:tcBorders>
              <w:top w:val="nil"/>
              <w:left w:val="nil"/>
              <w:bottom w:val="nil"/>
              <w:right w:val="nil"/>
            </w:tcBorders>
            <w:shd w:val="clear" w:color="000000" w:fill="FFFFFF"/>
            <w:vAlign w:val="bottom"/>
            <w:hideMark/>
          </w:tcPr>
          <w:p w14:paraId="7F98BA54" w14:textId="77777777" w:rsidR="003F135F" w:rsidRPr="00F53E25" w:rsidRDefault="003F135F" w:rsidP="003F135F">
            <w:pPr>
              <w:ind w:left="0" w:firstLine="0"/>
              <w:rPr>
                <w:rFonts w:eastAsia="Times New Roman" w:cs="Calibri"/>
                <w:b/>
                <w:bCs/>
              </w:rPr>
            </w:pPr>
            <w:r w:rsidRPr="00F53E25">
              <w:rPr>
                <w:b/>
                <w:bCs/>
              </w:rPr>
              <w:t>Activos fijos (netos)</w:t>
            </w:r>
          </w:p>
        </w:tc>
        <w:tc>
          <w:tcPr>
            <w:tcW w:w="890" w:type="dxa"/>
            <w:tcBorders>
              <w:top w:val="nil"/>
              <w:left w:val="nil"/>
              <w:bottom w:val="nil"/>
              <w:right w:val="nil"/>
            </w:tcBorders>
            <w:shd w:val="clear" w:color="000000" w:fill="FFFFFF"/>
            <w:noWrap/>
            <w:vAlign w:val="bottom"/>
            <w:hideMark/>
          </w:tcPr>
          <w:p w14:paraId="21311F34" w14:textId="77777777" w:rsidR="003F135F" w:rsidRPr="00F53E25" w:rsidRDefault="003F135F" w:rsidP="003F135F">
            <w:pPr>
              <w:ind w:left="0" w:firstLine="0"/>
              <w:jc w:val="center"/>
              <w:rPr>
                <w:rFonts w:eastAsia="Times New Roman" w:cs="Calibri"/>
              </w:rPr>
            </w:pPr>
            <w:r w:rsidRPr="00F53E25">
              <w:t>9</w:t>
            </w:r>
          </w:p>
        </w:tc>
        <w:tc>
          <w:tcPr>
            <w:tcW w:w="1215" w:type="dxa"/>
            <w:tcBorders>
              <w:top w:val="nil"/>
              <w:left w:val="nil"/>
              <w:bottom w:val="nil"/>
              <w:right w:val="nil"/>
            </w:tcBorders>
            <w:shd w:val="clear" w:color="000000" w:fill="FFFFFF"/>
            <w:noWrap/>
            <w:vAlign w:val="bottom"/>
            <w:hideMark/>
          </w:tcPr>
          <w:p w14:paraId="7486DCF0" w14:textId="4D494990" w:rsidR="003F135F" w:rsidRPr="00F53E25" w:rsidRDefault="003F135F" w:rsidP="003F135F">
            <w:pPr>
              <w:ind w:left="0" w:firstLine="0"/>
              <w:jc w:val="right"/>
              <w:rPr>
                <w:rFonts w:eastAsia="Times New Roman" w:cs="Calibri"/>
              </w:rPr>
            </w:pPr>
            <w:r w:rsidRPr="00F53E25">
              <w:t>1</w:t>
            </w:r>
            <w:r w:rsidR="002E586C" w:rsidRPr="00F53E25">
              <w:t>3</w:t>
            </w:r>
          </w:p>
        </w:tc>
        <w:tc>
          <w:tcPr>
            <w:tcW w:w="164" w:type="dxa"/>
            <w:tcBorders>
              <w:top w:val="nil"/>
              <w:left w:val="nil"/>
              <w:bottom w:val="nil"/>
              <w:right w:val="nil"/>
            </w:tcBorders>
            <w:shd w:val="clear" w:color="000000" w:fill="FFFFFF"/>
            <w:noWrap/>
            <w:vAlign w:val="bottom"/>
            <w:hideMark/>
          </w:tcPr>
          <w:p w14:paraId="74D6D53A"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70BEFD97"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6A137CDE" w14:textId="517226B2" w:rsidR="003F135F" w:rsidRPr="00F53E25" w:rsidRDefault="003F135F" w:rsidP="003F135F">
            <w:pPr>
              <w:ind w:left="0" w:firstLine="0"/>
              <w:jc w:val="right"/>
              <w:rPr>
                <w:rFonts w:eastAsia="Times New Roman" w:cs="Calibri"/>
              </w:rPr>
            </w:pPr>
            <w:r w:rsidRPr="00F53E25">
              <w:t>1</w:t>
            </w:r>
            <w:r w:rsidR="002E586C" w:rsidRPr="00F53E25">
              <w:t>6</w:t>
            </w:r>
          </w:p>
        </w:tc>
        <w:tc>
          <w:tcPr>
            <w:tcW w:w="164" w:type="dxa"/>
            <w:tcBorders>
              <w:top w:val="nil"/>
              <w:left w:val="nil"/>
              <w:bottom w:val="nil"/>
              <w:right w:val="nil"/>
            </w:tcBorders>
            <w:shd w:val="clear" w:color="000000" w:fill="FFFFFF"/>
            <w:noWrap/>
            <w:vAlign w:val="bottom"/>
            <w:hideMark/>
          </w:tcPr>
          <w:p w14:paraId="08AA49F6"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4D29C375" w14:textId="77777777" w:rsidTr="006C4A6A">
        <w:tc>
          <w:tcPr>
            <w:tcW w:w="4962" w:type="dxa"/>
            <w:tcBorders>
              <w:top w:val="nil"/>
              <w:left w:val="nil"/>
              <w:bottom w:val="nil"/>
              <w:right w:val="nil"/>
            </w:tcBorders>
            <w:shd w:val="clear" w:color="000000" w:fill="FFFFFF"/>
            <w:vAlign w:val="bottom"/>
            <w:hideMark/>
          </w:tcPr>
          <w:p w14:paraId="5496EC19" w14:textId="63367D74"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w:t>
            </w:r>
            <w:r w:rsidR="006D4727" w:rsidRPr="00F53E25">
              <w:rPr>
                <w:b/>
                <w:bCs/>
              </w:rPr>
              <w:t>A</w:t>
            </w:r>
            <w:r w:rsidR="003F135F" w:rsidRPr="00F53E25">
              <w:rPr>
                <w:b/>
                <w:bCs/>
              </w:rPr>
              <w:t>ctivos no corrientes</w:t>
            </w:r>
          </w:p>
        </w:tc>
        <w:tc>
          <w:tcPr>
            <w:tcW w:w="890" w:type="dxa"/>
            <w:tcBorders>
              <w:top w:val="nil"/>
              <w:left w:val="nil"/>
              <w:bottom w:val="nil"/>
              <w:right w:val="nil"/>
            </w:tcBorders>
            <w:shd w:val="clear" w:color="000000" w:fill="FFFFFF"/>
            <w:noWrap/>
            <w:vAlign w:val="bottom"/>
            <w:hideMark/>
          </w:tcPr>
          <w:p w14:paraId="3CEC4D34" w14:textId="77777777" w:rsidR="003F135F" w:rsidRPr="00F53E25" w:rsidRDefault="003F135F" w:rsidP="003F135F">
            <w:pPr>
              <w:ind w:left="0" w:firstLine="0"/>
              <w:jc w:val="center"/>
              <w:rPr>
                <w:rFonts w:eastAsia="Times New Roman" w:cs="Calibri"/>
              </w:rPr>
            </w:pPr>
            <w:r w:rsidRPr="00F53E25">
              <w:t> </w:t>
            </w:r>
          </w:p>
        </w:tc>
        <w:tc>
          <w:tcPr>
            <w:tcW w:w="1215" w:type="dxa"/>
            <w:tcBorders>
              <w:top w:val="single" w:sz="4" w:space="0" w:color="auto"/>
              <w:left w:val="nil"/>
              <w:bottom w:val="nil"/>
              <w:right w:val="nil"/>
            </w:tcBorders>
            <w:shd w:val="clear" w:color="000000" w:fill="FFFFFF"/>
            <w:noWrap/>
            <w:vAlign w:val="bottom"/>
            <w:hideMark/>
          </w:tcPr>
          <w:p w14:paraId="505AA0BA" w14:textId="69DF8118" w:rsidR="003F135F" w:rsidRPr="00F53E25" w:rsidRDefault="003F135F" w:rsidP="003F135F">
            <w:pPr>
              <w:ind w:left="0" w:firstLine="0"/>
              <w:jc w:val="right"/>
              <w:rPr>
                <w:rFonts w:eastAsia="Times New Roman" w:cs="Calibri"/>
                <w:b/>
                <w:bCs/>
              </w:rPr>
            </w:pPr>
            <w:r w:rsidRPr="00F53E25">
              <w:rPr>
                <w:b/>
                <w:bCs/>
              </w:rPr>
              <w:t>1</w:t>
            </w:r>
            <w:r w:rsidR="002E586C" w:rsidRPr="00F53E25">
              <w:rPr>
                <w:b/>
                <w:bCs/>
              </w:rPr>
              <w:t>3</w:t>
            </w:r>
          </w:p>
        </w:tc>
        <w:tc>
          <w:tcPr>
            <w:tcW w:w="164" w:type="dxa"/>
            <w:tcBorders>
              <w:top w:val="single" w:sz="4" w:space="0" w:color="auto"/>
              <w:left w:val="nil"/>
              <w:bottom w:val="nil"/>
              <w:right w:val="nil"/>
            </w:tcBorders>
            <w:shd w:val="clear" w:color="000000" w:fill="FFFFFF"/>
            <w:noWrap/>
            <w:vAlign w:val="bottom"/>
            <w:hideMark/>
          </w:tcPr>
          <w:p w14:paraId="3FD4DB6F"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single" w:sz="4" w:space="0" w:color="auto"/>
              <w:left w:val="nil"/>
              <w:bottom w:val="nil"/>
              <w:right w:val="nil"/>
            </w:tcBorders>
            <w:shd w:val="clear" w:color="000000" w:fill="D9D9D9"/>
            <w:noWrap/>
            <w:vAlign w:val="bottom"/>
            <w:hideMark/>
          </w:tcPr>
          <w:p w14:paraId="63F2FF53"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single" w:sz="4" w:space="0" w:color="auto"/>
              <w:left w:val="nil"/>
              <w:bottom w:val="nil"/>
              <w:right w:val="nil"/>
            </w:tcBorders>
            <w:shd w:val="clear" w:color="000000" w:fill="FFFFFF"/>
            <w:noWrap/>
            <w:vAlign w:val="bottom"/>
            <w:hideMark/>
          </w:tcPr>
          <w:p w14:paraId="7C39F05C" w14:textId="439888EC" w:rsidR="003F135F" w:rsidRPr="00F53E25" w:rsidRDefault="003F135F" w:rsidP="003F135F">
            <w:pPr>
              <w:ind w:left="0" w:firstLine="0"/>
              <w:jc w:val="right"/>
              <w:rPr>
                <w:rFonts w:eastAsia="Times New Roman" w:cs="Calibri"/>
                <w:b/>
                <w:bCs/>
              </w:rPr>
            </w:pPr>
            <w:r w:rsidRPr="00F53E25">
              <w:rPr>
                <w:b/>
                <w:bCs/>
              </w:rPr>
              <w:t>1</w:t>
            </w:r>
            <w:r w:rsidR="002E586C" w:rsidRPr="00F53E25">
              <w:rPr>
                <w:b/>
                <w:bCs/>
              </w:rPr>
              <w:t>6</w:t>
            </w:r>
          </w:p>
        </w:tc>
        <w:tc>
          <w:tcPr>
            <w:tcW w:w="164" w:type="dxa"/>
            <w:tcBorders>
              <w:top w:val="nil"/>
              <w:left w:val="nil"/>
              <w:bottom w:val="nil"/>
              <w:right w:val="nil"/>
            </w:tcBorders>
            <w:shd w:val="clear" w:color="000000" w:fill="FFFFFF"/>
            <w:noWrap/>
            <w:vAlign w:val="bottom"/>
            <w:hideMark/>
          </w:tcPr>
          <w:p w14:paraId="55C6F820"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118E2418" w14:textId="77777777" w:rsidTr="006C4A6A">
        <w:tc>
          <w:tcPr>
            <w:tcW w:w="4962" w:type="dxa"/>
            <w:tcBorders>
              <w:top w:val="nil"/>
              <w:left w:val="nil"/>
              <w:bottom w:val="nil"/>
              <w:right w:val="nil"/>
            </w:tcBorders>
            <w:shd w:val="clear" w:color="000000" w:fill="FFFFFF"/>
            <w:vAlign w:val="bottom"/>
            <w:hideMark/>
          </w:tcPr>
          <w:p w14:paraId="563C458E" w14:textId="77777777" w:rsidR="003F135F" w:rsidRPr="00F53E25" w:rsidRDefault="003F135F" w:rsidP="003F135F">
            <w:pPr>
              <w:ind w:left="0" w:firstLine="0"/>
              <w:rPr>
                <w:rFonts w:eastAsia="Times New Roman" w:cs="Calibri"/>
              </w:rPr>
            </w:pPr>
            <w:r w:rsidRPr="00F53E25">
              <w:t> </w:t>
            </w:r>
          </w:p>
        </w:tc>
        <w:tc>
          <w:tcPr>
            <w:tcW w:w="890" w:type="dxa"/>
            <w:tcBorders>
              <w:top w:val="nil"/>
              <w:left w:val="nil"/>
              <w:bottom w:val="nil"/>
              <w:right w:val="nil"/>
            </w:tcBorders>
            <w:shd w:val="clear" w:color="000000" w:fill="FFFFFF"/>
            <w:noWrap/>
            <w:vAlign w:val="bottom"/>
            <w:hideMark/>
          </w:tcPr>
          <w:p w14:paraId="6145418F"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auto" w:fill="auto"/>
            <w:noWrap/>
            <w:vAlign w:val="bottom"/>
            <w:hideMark/>
          </w:tcPr>
          <w:p w14:paraId="38F0F725" w14:textId="77777777" w:rsidR="003F135F" w:rsidRPr="00F53E25" w:rsidRDefault="003F135F" w:rsidP="003F135F">
            <w:pPr>
              <w:ind w:left="0" w:firstLine="0"/>
              <w:jc w:val="center"/>
              <w:rPr>
                <w:rFonts w:eastAsia="Times New Roman" w:cs="Calibri"/>
                <w:lang w:eastAsia="en-GB"/>
              </w:rPr>
            </w:pPr>
          </w:p>
        </w:tc>
        <w:tc>
          <w:tcPr>
            <w:tcW w:w="164" w:type="dxa"/>
            <w:tcBorders>
              <w:top w:val="nil"/>
              <w:left w:val="nil"/>
              <w:bottom w:val="nil"/>
              <w:right w:val="nil"/>
            </w:tcBorders>
            <w:shd w:val="clear" w:color="000000" w:fill="FFFFFF"/>
            <w:noWrap/>
            <w:vAlign w:val="bottom"/>
            <w:hideMark/>
          </w:tcPr>
          <w:p w14:paraId="0F462B60"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11FAA8B1"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58264539"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4F3A7B04" w14:textId="77777777" w:rsidR="003F135F" w:rsidRPr="00F53E25" w:rsidRDefault="003F135F" w:rsidP="003F135F">
            <w:pPr>
              <w:ind w:left="0" w:firstLine="0"/>
              <w:rPr>
                <w:rFonts w:eastAsia="Times New Roman" w:cs="Calibri"/>
              </w:rPr>
            </w:pPr>
            <w:r w:rsidRPr="00F53E25">
              <w:t> </w:t>
            </w:r>
          </w:p>
        </w:tc>
      </w:tr>
      <w:tr w:rsidR="003F135F" w:rsidRPr="00F53E25" w14:paraId="2F2628BE" w14:textId="77777777" w:rsidTr="006C4A6A">
        <w:tc>
          <w:tcPr>
            <w:tcW w:w="4962" w:type="dxa"/>
            <w:tcBorders>
              <w:top w:val="nil"/>
              <w:left w:val="nil"/>
              <w:bottom w:val="nil"/>
              <w:right w:val="nil"/>
            </w:tcBorders>
            <w:shd w:val="clear" w:color="000000" w:fill="FFFFFF"/>
            <w:vAlign w:val="center"/>
            <w:hideMark/>
          </w:tcPr>
          <w:p w14:paraId="150B65D1" w14:textId="21FAFED9"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ACTIVOS</w:t>
            </w:r>
          </w:p>
        </w:tc>
        <w:tc>
          <w:tcPr>
            <w:tcW w:w="890" w:type="dxa"/>
            <w:tcBorders>
              <w:top w:val="nil"/>
              <w:left w:val="nil"/>
              <w:bottom w:val="nil"/>
              <w:right w:val="nil"/>
            </w:tcBorders>
            <w:shd w:val="clear" w:color="000000" w:fill="FFFFFF"/>
            <w:noWrap/>
            <w:vAlign w:val="center"/>
            <w:hideMark/>
          </w:tcPr>
          <w:p w14:paraId="714DC622" w14:textId="77777777" w:rsidR="003F135F" w:rsidRPr="00F53E25" w:rsidRDefault="003F135F" w:rsidP="003F135F">
            <w:pPr>
              <w:ind w:left="0" w:firstLine="0"/>
              <w:jc w:val="center"/>
              <w:rPr>
                <w:rFonts w:eastAsia="Times New Roman" w:cs="Calibri"/>
              </w:rPr>
            </w:pPr>
            <w:r w:rsidRPr="00F53E25">
              <w:t> </w:t>
            </w:r>
          </w:p>
        </w:tc>
        <w:tc>
          <w:tcPr>
            <w:tcW w:w="1215" w:type="dxa"/>
            <w:tcBorders>
              <w:top w:val="single" w:sz="4" w:space="0" w:color="auto"/>
              <w:left w:val="nil"/>
              <w:bottom w:val="single" w:sz="4" w:space="0" w:color="auto"/>
              <w:right w:val="nil"/>
            </w:tcBorders>
            <w:shd w:val="clear" w:color="000000" w:fill="FFFFFF"/>
            <w:noWrap/>
            <w:vAlign w:val="center"/>
            <w:hideMark/>
          </w:tcPr>
          <w:p w14:paraId="4FB703EE" w14:textId="55237E5E" w:rsidR="003F135F" w:rsidRPr="00F53E25" w:rsidRDefault="003F135F" w:rsidP="003F135F">
            <w:pPr>
              <w:ind w:left="0" w:firstLine="0"/>
              <w:jc w:val="right"/>
              <w:rPr>
                <w:rFonts w:eastAsia="Times New Roman" w:cs="Calibri"/>
                <w:b/>
                <w:bCs/>
              </w:rPr>
            </w:pPr>
            <w:r w:rsidRPr="00F53E25">
              <w:rPr>
                <w:b/>
                <w:bCs/>
              </w:rPr>
              <w:t>6</w:t>
            </w:r>
            <w:r w:rsidR="00652E0C" w:rsidRPr="00F53E25">
              <w:rPr>
                <w:b/>
                <w:bCs/>
              </w:rPr>
              <w:t> </w:t>
            </w:r>
            <w:r w:rsidR="002E586C" w:rsidRPr="00F53E25">
              <w:rPr>
                <w:b/>
                <w:bCs/>
              </w:rPr>
              <w:t>412</w:t>
            </w:r>
          </w:p>
        </w:tc>
        <w:tc>
          <w:tcPr>
            <w:tcW w:w="164" w:type="dxa"/>
            <w:tcBorders>
              <w:top w:val="single" w:sz="4" w:space="0" w:color="auto"/>
              <w:left w:val="nil"/>
              <w:bottom w:val="single" w:sz="4" w:space="0" w:color="auto"/>
              <w:right w:val="nil"/>
            </w:tcBorders>
            <w:shd w:val="clear" w:color="000000" w:fill="FFFFFF"/>
            <w:noWrap/>
            <w:vAlign w:val="center"/>
            <w:hideMark/>
          </w:tcPr>
          <w:p w14:paraId="3B1EABC9"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22B10E32"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single" w:sz="4" w:space="0" w:color="auto"/>
              <w:left w:val="nil"/>
              <w:bottom w:val="single" w:sz="4" w:space="0" w:color="auto"/>
              <w:right w:val="nil"/>
            </w:tcBorders>
            <w:shd w:val="clear" w:color="000000" w:fill="FFFFFF"/>
            <w:noWrap/>
            <w:vAlign w:val="center"/>
            <w:hideMark/>
          </w:tcPr>
          <w:p w14:paraId="7D7A5546" w14:textId="6E6B9E5C" w:rsidR="003F135F" w:rsidRPr="00F53E25" w:rsidRDefault="003F135F" w:rsidP="003F135F">
            <w:pPr>
              <w:ind w:left="0" w:firstLine="0"/>
              <w:jc w:val="right"/>
              <w:rPr>
                <w:rFonts w:eastAsia="Times New Roman" w:cs="Calibri"/>
                <w:b/>
                <w:bCs/>
              </w:rPr>
            </w:pPr>
            <w:r w:rsidRPr="00F53E25">
              <w:rPr>
                <w:b/>
                <w:bCs/>
              </w:rPr>
              <w:t>6</w:t>
            </w:r>
            <w:r w:rsidR="00652E0C" w:rsidRPr="00F53E25">
              <w:rPr>
                <w:b/>
                <w:bCs/>
              </w:rPr>
              <w:t> </w:t>
            </w:r>
            <w:r w:rsidR="002E586C" w:rsidRPr="00F53E25">
              <w:rPr>
                <w:b/>
                <w:bCs/>
              </w:rPr>
              <w:t>349</w:t>
            </w:r>
          </w:p>
        </w:tc>
        <w:tc>
          <w:tcPr>
            <w:tcW w:w="164" w:type="dxa"/>
            <w:tcBorders>
              <w:top w:val="nil"/>
              <w:left w:val="nil"/>
              <w:bottom w:val="nil"/>
              <w:right w:val="nil"/>
            </w:tcBorders>
            <w:shd w:val="clear" w:color="000000" w:fill="FFFFFF"/>
            <w:noWrap/>
            <w:vAlign w:val="center"/>
            <w:hideMark/>
          </w:tcPr>
          <w:p w14:paraId="592658B6"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09ACA039" w14:textId="77777777" w:rsidTr="006C4A6A">
        <w:tc>
          <w:tcPr>
            <w:tcW w:w="4962" w:type="dxa"/>
            <w:tcBorders>
              <w:top w:val="nil"/>
              <w:left w:val="nil"/>
              <w:bottom w:val="nil"/>
              <w:right w:val="nil"/>
            </w:tcBorders>
            <w:shd w:val="clear" w:color="000000" w:fill="FFFFFF"/>
            <w:vAlign w:val="bottom"/>
            <w:hideMark/>
          </w:tcPr>
          <w:p w14:paraId="65F5C6B4" w14:textId="77777777" w:rsidR="003F135F" w:rsidRPr="00F53E25" w:rsidRDefault="003F135F" w:rsidP="003F135F">
            <w:pPr>
              <w:ind w:left="0" w:firstLine="0"/>
              <w:rPr>
                <w:rFonts w:eastAsia="Times New Roman" w:cs="Calibri"/>
              </w:rPr>
            </w:pPr>
            <w:r w:rsidRPr="00F53E25">
              <w:t> </w:t>
            </w:r>
          </w:p>
        </w:tc>
        <w:tc>
          <w:tcPr>
            <w:tcW w:w="890" w:type="dxa"/>
            <w:tcBorders>
              <w:top w:val="nil"/>
              <w:left w:val="nil"/>
              <w:bottom w:val="nil"/>
              <w:right w:val="nil"/>
            </w:tcBorders>
            <w:shd w:val="clear" w:color="000000" w:fill="FFFFFF"/>
            <w:noWrap/>
            <w:vAlign w:val="bottom"/>
            <w:hideMark/>
          </w:tcPr>
          <w:p w14:paraId="20D4E4BF"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225848CF"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2FEDE360"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543899DD"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1A7391C6"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5EAC0E47" w14:textId="77777777" w:rsidR="003F135F" w:rsidRPr="00F53E25" w:rsidRDefault="003F135F" w:rsidP="003F135F">
            <w:pPr>
              <w:ind w:left="0" w:firstLine="0"/>
              <w:rPr>
                <w:rFonts w:eastAsia="Times New Roman" w:cs="Calibri"/>
              </w:rPr>
            </w:pPr>
            <w:r w:rsidRPr="00F53E25">
              <w:t> </w:t>
            </w:r>
          </w:p>
        </w:tc>
      </w:tr>
      <w:tr w:rsidR="003F135F" w:rsidRPr="00F53E25" w14:paraId="0E6D1B58" w14:textId="77777777" w:rsidTr="006C4A6A">
        <w:tc>
          <w:tcPr>
            <w:tcW w:w="4962" w:type="dxa"/>
            <w:tcBorders>
              <w:top w:val="nil"/>
              <w:left w:val="nil"/>
              <w:bottom w:val="nil"/>
              <w:right w:val="nil"/>
            </w:tcBorders>
            <w:shd w:val="clear" w:color="000000" w:fill="FFFFFF"/>
            <w:vAlign w:val="bottom"/>
            <w:hideMark/>
          </w:tcPr>
          <w:p w14:paraId="3E8B69CC" w14:textId="77777777" w:rsidR="003F135F" w:rsidRPr="00F53E25" w:rsidRDefault="003F135F" w:rsidP="003F135F">
            <w:pPr>
              <w:ind w:left="0" w:firstLine="0"/>
              <w:rPr>
                <w:rFonts w:eastAsia="Times New Roman" w:cs="Calibri"/>
                <w:b/>
                <w:bCs/>
              </w:rPr>
            </w:pPr>
            <w:r w:rsidRPr="00F53E25">
              <w:rPr>
                <w:b/>
                <w:bCs/>
              </w:rPr>
              <w:t>PASIVO Y SALDOS DE FONDOS</w:t>
            </w:r>
          </w:p>
        </w:tc>
        <w:tc>
          <w:tcPr>
            <w:tcW w:w="890" w:type="dxa"/>
            <w:tcBorders>
              <w:top w:val="nil"/>
              <w:left w:val="nil"/>
              <w:bottom w:val="nil"/>
              <w:right w:val="nil"/>
            </w:tcBorders>
            <w:shd w:val="clear" w:color="000000" w:fill="FFFFFF"/>
            <w:noWrap/>
            <w:vAlign w:val="bottom"/>
            <w:hideMark/>
          </w:tcPr>
          <w:p w14:paraId="05668EB4"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4A7D4FD4"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446C59F2"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0BC38244"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66692D03"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6BF0C2C6" w14:textId="77777777" w:rsidR="003F135F" w:rsidRPr="00F53E25" w:rsidRDefault="003F135F" w:rsidP="003F135F">
            <w:pPr>
              <w:ind w:left="0" w:firstLine="0"/>
              <w:rPr>
                <w:rFonts w:eastAsia="Times New Roman" w:cs="Calibri"/>
              </w:rPr>
            </w:pPr>
            <w:r w:rsidRPr="00F53E25">
              <w:t> </w:t>
            </w:r>
          </w:p>
        </w:tc>
      </w:tr>
      <w:tr w:rsidR="003F135F" w:rsidRPr="00F53E25" w14:paraId="0F7CD9D9" w14:textId="77777777" w:rsidTr="006C4A6A">
        <w:tc>
          <w:tcPr>
            <w:tcW w:w="4962" w:type="dxa"/>
            <w:tcBorders>
              <w:top w:val="nil"/>
              <w:left w:val="nil"/>
              <w:bottom w:val="nil"/>
              <w:right w:val="nil"/>
            </w:tcBorders>
            <w:shd w:val="clear" w:color="000000" w:fill="FFFFFF"/>
            <w:vAlign w:val="bottom"/>
            <w:hideMark/>
          </w:tcPr>
          <w:p w14:paraId="0ABECABA" w14:textId="77777777" w:rsidR="003F135F" w:rsidRPr="00F53E25" w:rsidRDefault="003F135F" w:rsidP="003F135F">
            <w:pPr>
              <w:ind w:left="0" w:firstLine="0"/>
              <w:rPr>
                <w:rFonts w:eastAsia="Times New Roman" w:cs="Calibri"/>
                <w:b/>
                <w:bCs/>
              </w:rPr>
            </w:pPr>
            <w:r w:rsidRPr="00F53E25">
              <w:rPr>
                <w:b/>
                <w:bCs/>
              </w:rPr>
              <w:t>Pasivo corriente</w:t>
            </w:r>
          </w:p>
        </w:tc>
        <w:tc>
          <w:tcPr>
            <w:tcW w:w="890" w:type="dxa"/>
            <w:tcBorders>
              <w:top w:val="nil"/>
              <w:left w:val="nil"/>
              <w:bottom w:val="nil"/>
              <w:right w:val="nil"/>
            </w:tcBorders>
            <w:shd w:val="clear" w:color="000000" w:fill="FFFFFF"/>
            <w:noWrap/>
            <w:vAlign w:val="bottom"/>
            <w:hideMark/>
          </w:tcPr>
          <w:p w14:paraId="5473E72F"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7D78D6F4"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1FDB4986"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3AA06F53"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37DB8E3B"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7CEC476B" w14:textId="77777777" w:rsidR="003F135F" w:rsidRPr="00F53E25" w:rsidRDefault="003F135F" w:rsidP="003F135F">
            <w:pPr>
              <w:ind w:left="0" w:firstLine="0"/>
              <w:rPr>
                <w:rFonts w:eastAsia="Times New Roman" w:cs="Calibri"/>
              </w:rPr>
            </w:pPr>
            <w:r w:rsidRPr="00F53E25">
              <w:t> </w:t>
            </w:r>
          </w:p>
        </w:tc>
      </w:tr>
      <w:tr w:rsidR="003F135F" w:rsidRPr="00F53E25" w14:paraId="60A9222C" w14:textId="77777777" w:rsidTr="006C4A6A">
        <w:tc>
          <w:tcPr>
            <w:tcW w:w="4962" w:type="dxa"/>
            <w:tcBorders>
              <w:top w:val="nil"/>
              <w:left w:val="nil"/>
              <w:bottom w:val="nil"/>
              <w:right w:val="nil"/>
            </w:tcBorders>
            <w:shd w:val="clear" w:color="000000" w:fill="FFFFFF"/>
            <w:vAlign w:val="bottom"/>
            <w:hideMark/>
          </w:tcPr>
          <w:p w14:paraId="43BE049E" w14:textId="7E4A057D" w:rsidR="003F135F" w:rsidRPr="00F53E25" w:rsidRDefault="003F135F" w:rsidP="003F135F">
            <w:pPr>
              <w:ind w:left="0" w:firstLine="0"/>
              <w:rPr>
                <w:rFonts w:eastAsia="Times New Roman" w:cs="Calibri"/>
              </w:rPr>
            </w:pPr>
            <w:r w:rsidRPr="00F53E25">
              <w:t>Importe adeudado a la UICN</w:t>
            </w:r>
          </w:p>
        </w:tc>
        <w:tc>
          <w:tcPr>
            <w:tcW w:w="890" w:type="dxa"/>
            <w:tcBorders>
              <w:top w:val="nil"/>
              <w:left w:val="nil"/>
              <w:bottom w:val="nil"/>
              <w:right w:val="nil"/>
            </w:tcBorders>
            <w:shd w:val="clear" w:color="000000" w:fill="FFFFFF"/>
            <w:noWrap/>
            <w:vAlign w:val="bottom"/>
            <w:hideMark/>
          </w:tcPr>
          <w:p w14:paraId="6BC3F05F"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56E95795" w14:textId="6E6EA387" w:rsidR="003F135F" w:rsidRPr="00F53E25" w:rsidRDefault="002E586C" w:rsidP="003F135F">
            <w:pPr>
              <w:ind w:left="0" w:firstLine="0"/>
              <w:jc w:val="right"/>
              <w:rPr>
                <w:rFonts w:eastAsia="Times New Roman" w:cs="Calibri"/>
              </w:rPr>
            </w:pPr>
            <w:r w:rsidRPr="00F53E25">
              <w:t>61</w:t>
            </w:r>
          </w:p>
        </w:tc>
        <w:tc>
          <w:tcPr>
            <w:tcW w:w="164" w:type="dxa"/>
            <w:tcBorders>
              <w:top w:val="nil"/>
              <w:left w:val="nil"/>
              <w:bottom w:val="nil"/>
              <w:right w:val="nil"/>
            </w:tcBorders>
            <w:shd w:val="clear" w:color="000000" w:fill="FFFFFF"/>
            <w:noWrap/>
            <w:vAlign w:val="bottom"/>
            <w:hideMark/>
          </w:tcPr>
          <w:p w14:paraId="50D1DEB2"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1E593E43"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60B663E2" w14:textId="7A59222F" w:rsidR="003F135F" w:rsidRPr="00F53E25" w:rsidRDefault="003F135F" w:rsidP="003F135F">
            <w:pPr>
              <w:ind w:left="0" w:firstLine="0"/>
              <w:jc w:val="right"/>
              <w:rPr>
                <w:rFonts w:eastAsia="Times New Roman" w:cs="Calibri"/>
              </w:rPr>
            </w:pPr>
            <w:r w:rsidRPr="00F53E25">
              <w:t>3</w:t>
            </w:r>
            <w:r w:rsidR="002E586C" w:rsidRPr="00F53E25">
              <w:t>67</w:t>
            </w:r>
          </w:p>
        </w:tc>
        <w:tc>
          <w:tcPr>
            <w:tcW w:w="164" w:type="dxa"/>
            <w:tcBorders>
              <w:top w:val="nil"/>
              <w:left w:val="nil"/>
              <w:bottom w:val="nil"/>
              <w:right w:val="nil"/>
            </w:tcBorders>
            <w:shd w:val="clear" w:color="000000" w:fill="FFFFFF"/>
            <w:noWrap/>
            <w:vAlign w:val="bottom"/>
            <w:hideMark/>
          </w:tcPr>
          <w:p w14:paraId="5022C33F" w14:textId="77777777" w:rsidR="003F135F" w:rsidRPr="00F53E25" w:rsidRDefault="003F135F" w:rsidP="003F135F">
            <w:pPr>
              <w:ind w:left="0" w:firstLine="0"/>
              <w:rPr>
                <w:rFonts w:eastAsia="Times New Roman" w:cs="Calibri"/>
              </w:rPr>
            </w:pPr>
            <w:r w:rsidRPr="00F53E25">
              <w:t> </w:t>
            </w:r>
          </w:p>
        </w:tc>
      </w:tr>
      <w:tr w:rsidR="003F135F" w:rsidRPr="00F53E25" w14:paraId="4F434C21" w14:textId="77777777" w:rsidTr="006C4A6A">
        <w:tc>
          <w:tcPr>
            <w:tcW w:w="4962" w:type="dxa"/>
            <w:tcBorders>
              <w:top w:val="nil"/>
              <w:left w:val="nil"/>
              <w:bottom w:val="nil"/>
              <w:right w:val="nil"/>
            </w:tcBorders>
            <w:shd w:val="clear" w:color="000000" w:fill="FFFFFF"/>
            <w:vAlign w:val="bottom"/>
            <w:hideMark/>
          </w:tcPr>
          <w:p w14:paraId="5390ED77" w14:textId="78C1935A" w:rsidR="003F135F" w:rsidRPr="00F53E25" w:rsidRDefault="003F135F" w:rsidP="003F135F">
            <w:pPr>
              <w:ind w:left="0" w:firstLine="0"/>
              <w:rPr>
                <w:rFonts w:eastAsia="Times New Roman" w:cs="Calibri"/>
              </w:rPr>
            </w:pPr>
            <w:r w:rsidRPr="00F53E25">
              <w:t>Otras cuentas por pagar</w:t>
            </w:r>
          </w:p>
        </w:tc>
        <w:tc>
          <w:tcPr>
            <w:tcW w:w="890" w:type="dxa"/>
            <w:tcBorders>
              <w:top w:val="nil"/>
              <w:left w:val="nil"/>
              <w:bottom w:val="nil"/>
              <w:right w:val="nil"/>
            </w:tcBorders>
            <w:shd w:val="clear" w:color="000000" w:fill="FFFFFF"/>
            <w:noWrap/>
            <w:vAlign w:val="bottom"/>
            <w:hideMark/>
          </w:tcPr>
          <w:p w14:paraId="79F2D541" w14:textId="77777777" w:rsidR="003F135F" w:rsidRPr="00F53E25" w:rsidRDefault="003F135F" w:rsidP="003F135F">
            <w:pPr>
              <w:ind w:left="0" w:firstLine="0"/>
              <w:jc w:val="center"/>
              <w:rPr>
                <w:rFonts w:eastAsia="Times New Roman" w:cs="Calibri"/>
              </w:rPr>
            </w:pPr>
            <w:r w:rsidRPr="00F53E25">
              <w:t>8</w:t>
            </w:r>
          </w:p>
        </w:tc>
        <w:tc>
          <w:tcPr>
            <w:tcW w:w="1215" w:type="dxa"/>
            <w:tcBorders>
              <w:top w:val="nil"/>
              <w:left w:val="nil"/>
              <w:bottom w:val="nil"/>
              <w:right w:val="nil"/>
            </w:tcBorders>
            <w:shd w:val="clear" w:color="000000" w:fill="FFFFFF"/>
            <w:noWrap/>
            <w:vAlign w:val="bottom"/>
            <w:hideMark/>
          </w:tcPr>
          <w:p w14:paraId="73EC1572" w14:textId="1AC29E87" w:rsidR="003F135F" w:rsidRPr="00F53E25" w:rsidRDefault="002E586C" w:rsidP="003F135F">
            <w:pPr>
              <w:ind w:left="0" w:firstLine="0"/>
              <w:jc w:val="right"/>
              <w:rPr>
                <w:rFonts w:eastAsia="Times New Roman" w:cs="Calibri"/>
              </w:rPr>
            </w:pPr>
            <w:r w:rsidRPr="00F53E25">
              <w:t>655</w:t>
            </w:r>
          </w:p>
        </w:tc>
        <w:tc>
          <w:tcPr>
            <w:tcW w:w="164" w:type="dxa"/>
            <w:tcBorders>
              <w:top w:val="nil"/>
              <w:left w:val="nil"/>
              <w:bottom w:val="nil"/>
              <w:right w:val="nil"/>
            </w:tcBorders>
            <w:shd w:val="clear" w:color="000000" w:fill="FFFFFF"/>
            <w:noWrap/>
            <w:vAlign w:val="bottom"/>
            <w:hideMark/>
          </w:tcPr>
          <w:p w14:paraId="42FFB9EA"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678C1774"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046CA7FE" w14:textId="7F505DBC" w:rsidR="003F135F" w:rsidRPr="00F53E25" w:rsidRDefault="002E586C" w:rsidP="003F135F">
            <w:pPr>
              <w:ind w:left="0" w:firstLine="0"/>
              <w:jc w:val="right"/>
              <w:rPr>
                <w:rFonts w:eastAsia="Times New Roman" w:cs="Calibri"/>
              </w:rPr>
            </w:pPr>
            <w:r w:rsidRPr="00F53E25">
              <w:t>749</w:t>
            </w:r>
          </w:p>
        </w:tc>
        <w:tc>
          <w:tcPr>
            <w:tcW w:w="164" w:type="dxa"/>
            <w:tcBorders>
              <w:top w:val="nil"/>
              <w:left w:val="nil"/>
              <w:bottom w:val="nil"/>
              <w:right w:val="nil"/>
            </w:tcBorders>
            <w:shd w:val="clear" w:color="000000" w:fill="FFFFFF"/>
            <w:noWrap/>
            <w:vAlign w:val="bottom"/>
            <w:hideMark/>
          </w:tcPr>
          <w:p w14:paraId="57756F7F" w14:textId="77777777" w:rsidR="003F135F" w:rsidRPr="00F53E25" w:rsidRDefault="003F135F" w:rsidP="003F135F">
            <w:pPr>
              <w:ind w:left="0" w:firstLine="0"/>
              <w:rPr>
                <w:rFonts w:eastAsia="Times New Roman" w:cs="Calibri"/>
              </w:rPr>
            </w:pPr>
            <w:r w:rsidRPr="00F53E25">
              <w:t> </w:t>
            </w:r>
          </w:p>
        </w:tc>
      </w:tr>
      <w:tr w:rsidR="003F135F" w:rsidRPr="00F53E25" w14:paraId="0356AEF2" w14:textId="77777777" w:rsidTr="006C4A6A">
        <w:tc>
          <w:tcPr>
            <w:tcW w:w="4962" w:type="dxa"/>
            <w:tcBorders>
              <w:top w:val="nil"/>
              <w:left w:val="nil"/>
              <w:bottom w:val="nil"/>
              <w:right w:val="nil"/>
            </w:tcBorders>
            <w:shd w:val="clear" w:color="000000" w:fill="FFFFFF"/>
            <w:vAlign w:val="bottom"/>
            <w:hideMark/>
          </w:tcPr>
          <w:p w14:paraId="63CC6487" w14:textId="353EE925" w:rsidR="003F135F" w:rsidRPr="00F53E25" w:rsidRDefault="003F135F" w:rsidP="003F135F">
            <w:pPr>
              <w:ind w:left="0" w:firstLine="0"/>
              <w:rPr>
                <w:rFonts w:eastAsia="Times New Roman" w:cs="Calibri"/>
              </w:rPr>
            </w:pPr>
            <w:r w:rsidRPr="00F53E25">
              <w:t>Pasivo acumulado</w:t>
            </w:r>
          </w:p>
        </w:tc>
        <w:tc>
          <w:tcPr>
            <w:tcW w:w="890" w:type="dxa"/>
            <w:tcBorders>
              <w:top w:val="nil"/>
              <w:left w:val="nil"/>
              <w:bottom w:val="nil"/>
              <w:right w:val="nil"/>
            </w:tcBorders>
            <w:shd w:val="clear" w:color="000000" w:fill="FFFFFF"/>
            <w:noWrap/>
            <w:vAlign w:val="bottom"/>
            <w:hideMark/>
          </w:tcPr>
          <w:p w14:paraId="33398761"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single" w:sz="4" w:space="0" w:color="auto"/>
              <w:right w:val="nil"/>
            </w:tcBorders>
            <w:shd w:val="clear" w:color="000000" w:fill="FFFFFF"/>
            <w:noWrap/>
            <w:vAlign w:val="bottom"/>
            <w:hideMark/>
          </w:tcPr>
          <w:p w14:paraId="410B6323" w14:textId="636C2B64" w:rsidR="003F135F" w:rsidRPr="00F53E25" w:rsidRDefault="002E586C" w:rsidP="003F135F">
            <w:pPr>
              <w:ind w:left="0" w:firstLine="0"/>
              <w:jc w:val="right"/>
              <w:rPr>
                <w:rFonts w:eastAsia="Times New Roman" w:cs="Calibri"/>
              </w:rPr>
            </w:pPr>
            <w:r w:rsidRPr="00F53E25">
              <w:t>83</w:t>
            </w:r>
          </w:p>
        </w:tc>
        <w:tc>
          <w:tcPr>
            <w:tcW w:w="164" w:type="dxa"/>
            <w:tcBorders>
              <w:top w:val="nil"/>
              <w:left w:val="nil"/>
              <w:bottom w:val="single" w:sz="4" w:space="0" w:color="auto"/>
              <w:right w:val="nil"/>
            </w:tcBorders>
            <w:shd w:val="clear" w:color="000000" w:fill="FFFFFF"/>
            <w:noWrap/>
            <w:vAlign w:val="bottom"/>
            <w:hideMark/>
          </w:tcPr>
          <w:p w14:paraId="6CE719D1"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single" w:sz="4" w:space="0" w:color="auto"/>
              <w:right w:val="nil"/>
            </w:tcBorders>
            <w:shd w:val="clear" w:color="000000" w:fill="D9D9D9"/>
            <w:noWrap/>
            <w:vAlign w:val="bottom"/>
            <w:hideMark/>
          </w:tcPr>
          <w:p w14:paraId="78D65A89"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single" w:sz="4" w:space="0" w:color="auto"/>
              <w:right w:val="nil"/>
            </w:tcBorders>
            <w:shd w:val="clear" w:color="000000" w:fill="FFFFFF"/>
            <w:noWrap/>
            <w:vAlign w:val="bottom"/>
            <w:hideMark/>
          </w:tcPr>
          <w:p w14:paraId="525C4476" w14:textId="34765BDD" w:rsidR="003F135F" w:rsidRPr="00F53E25" w:rsidRDefault="002E586C" w:rsidP="003F135F">
            <w:pPr>
              <w:ind w:left="0" w:firstLine="0"/>
              <w:jc w:val="right"/>
              <w:rPr>
                <w:rFonts w:eastAsia="Times New Roman" w:cs="Calibri"/>
              </w:rPr>
            </w:pPr>
            <w:r w:rsidRPr="00F53E25">
              <w:t>71</w:t>
            </w:r>
          </w:p>
        </w:tc>
        <w:tc>
          <w:tcPr>
            <w:tcW w:w="164" w:type="dxa"/>
            <w:tcBorders>
              <w:top w:val="nil"/>
              <w:left w:val="nil"/>
              <w:bottom w:val="nil"/>
              <w:right w:val="nil"/>
            </w:tcBorders>
            <w:shd w:val="clear" w:color="000000" w:fill="FFFFFF"/>
            <w:noWrap/>
            <w:vAlign w:val="bottom"/>
            <w:hideMark/>
          </w:tcPr>
          <w:p w14:paraId="38BB4519" w14:textId="77777777" w:rsidR="003F135F" w:rsidRPr="00F53E25" w:rsidRDefault="003F135F" w:rsidP="003F135F">
            <w:pPr>
              <w:ind w:left="0" w:firstLine="0"/>
              <w:rPr>
                <w:rFonts w:eastAsia="Times New Roman" w:cs="Calibri"/>
              </w:rPr>
            </w:pPr>
            <w:r w:rsidRPr="00F53E25">
              <w:t> </w:t>
            </w:r>
          </w:p>
        </w:tc>
      </w:tr>
      <w:tr w:rsidR="003F135F" w:rsidRPr="00F53E25" w14:paraId="2E46E661" w14:textId="77777777" w:rsidTr="006C4A6A">
        <w:tc>
          <w:tcPr>
            <w:tcW w:w="4962" w:type="dxa"/>
            <w:tcBorders>
              <w:top w:val="nil"/>
              <w:left w:val="nil"/>
              <w:bottom w:val="nil"/>
              <w:right w:val="nil"/>
            </w:tcBorders>
            <w:shd w:val="clear" w:color="000000" w:fill="FFFFFF"/>
            <w:vAlign w:val="bottom"/>
            <w:hideMark/>
          </w:tcPr>
          <w:p w14:paraId="2F822BBE" w14:textId="57A76455"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w:t>
            </w:r>
            <w:r w:rsidR="006D4727" w:rsidRPr="00F53E25">
              <w:rPr>
                <w:b/>
                <w:bCs/>
              </w:rPr>
              <w:t>P</w:t>
            </w:r>
            <w:r w:rsidR="003F135F" w:rsidRPr="00F53E25">
              <w:rPr>
                <w:b/>
                <w:bCs/>
              </w:rPr>
              <w:t>asivo corriente</w:t>
            </w:r>
          </w:p>
        </w:tc>
        <w:tc>
          <w:tcPr>
            <w:tcW w:w="890" w:type="dxa"/>
            <w:tcBorders>
              <w:top w:val="nil"/>
              <w:left w:val="nil"/>
              <w:bottom w:val="nil"/>
              <w:right w:val="nil"/>
            </w:tcBorders>
            <w:shd w:val="clear" w:color="000000" w:fill="FFFFFF"/>
            <w:noWrap/>
            <w:vAlign w:val="bottom"/>
            <w:hideMark/>
          </w:tcPr>
          <w:p w14:paraId="2FD4E9D9"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161BEACC" w14:textId="250A4A17" w:rsidR="003F135F" w:rsidRPr="00F53E25" w:rsidRDefault="002E586C" w:rsidP="003F135F">
            <w:pPr>
              <w:ind w:left="0" w:firstLine="0"/>
              <w:jc w:val="right"/>
              <w:rPr>
                <w:rFonts w:eastAsia="Times New Roman" w:cs="Calibri"/>
                <w:b/>
                <w:bCs/>
              </w:rPr>
            </w:pPr>
            <w:r w:rsidRPr="00F53E25">
              <w:rPr>
                <w:b/>
                <w:bCs/>
              </w:rPr>
              <w:t>799</w:t>
            </w:r>
          </w:p>
        </w:tc>
        <w:tc>
          <w:tcPr>
            <w:tcW w:w="164" w:type="dxa"/>
            <w:tcBorders>
              <w:top w:val="nil"/>
              <w:left w:val="nil"/>
              <w:bottom w:val="nil"/>
              <w:right w:val="nil"/>
            </w:tcBorders>
            <w:shd w:val="clear" w:color="000000" w:fill="FFFFFF"/>
            <w:noWrap/>
            <w:vAlign w:val="bottom"/>
            <w:hideMark/>
          </w:tcPr>
          <w:p w14:paraId="480B5A18"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nil"/>
              <w:left w:val="nil"/>
              <w:bottom w:val="nil"/>
              <w:right w:val="nil"/>
            </w:tcBorders>
            <w:shd w:val="clear" w:color="000000" w:fill="D9D9D9"/>
            <w:noWrap/>
            <w:vAlign w:val="bottom"/>
            <w:hideMark/>
          </w:tcPr>
          <w:p w14:paraId="768C1738"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nil"/>
              <w:left w:val="nil"/>
              <w:bottom w:val="nil"/>
              <w:right w:val="nil"/>
            </w:tcBorders>
            <w:shd w:val="clear" w:color="000000" w:fill="FFFFFF"/>
            <w:noWrap/>
            <w:vAlign w:val="bottom"/>
            <w:hideMark/>
          </w:tcPr>
          <w:p w14:paraId="7763AAA3" w14:textId="0F5706C0" w:rsidR="003F135F" w:rsidRPr="00F53E25" w:rsidRDefault="003F135F" w:rsidP="003F135F">
            <w:pPr>
              <w:ind w:left="0" w:firstLine="0"/>
              <w:jc w:val="right"/>
              <w:rPr>
                <w:rFonts w:eastAsia="Times New Roman" w:cs="Calibri"/>
                <w:b/>
                <w:bCs/>
              </w:rPr>
            </w:pPr>
            <w:r w:rsidRPr="00F53E25">
              <w:rPr>
                <w:b/>
                <w:bCs/>
              </w:rPr>
              <w:t>1</w:t>
            </w:r>
            <w:r w:rsidR="00652E0C" w:rsidRPr="00F53E25">
              <w:rPr>
                <w:b/>
                <w:bCs/>
              </w:rPr>
              <w:t> </w:t>
            </w:r>
            <w:r w:rsidR="002E586C" w:rsidRPr="00F53E25">
              <w:rPr>
                <w:b/>
                <w:bCs/>
              </w:rPr>
              <w:t>187</w:t>
            </w:r>
          </w:p>
        </w:tc>
        <w:tc>
          <w:tcPr>
            <w:tcW w:w="164" w:type="dxa"/>
            <w:tcBorders>
              <w:top w:val="nil"/>
              <w:left w:val="nil"/>
              <w:bottom w:val="nil"/>
              <w:right w:val="nil"/>
            </w:tcBorders>
            <w:shd w:val="clear" w:color="000000" w:fill="FFFFFF"/>
            <w:noWrap/>
            <w:vAlign w:val="bottom"/>
            <w:hideMark/>
          </w:tcPr>
          <w:p w14:paraId="4596339D"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7A4BE73F" w14:textId="77777777" w:rsidTr="006C4A6A">
        <w:tc>
          <w:tcPr>
            <w:tcW w:w="4962" w:type="dxa"/>
            <w:tcBorders>
              <w:top w:val="nil"/>
              <w:left w:val="nil"/>
              <w:bottom w:val="nil"/>
              <w:right w:val="nil"/>
            </w:tcBorders>
            <w:shd w:val="clear" w:color="000000" w:fill="FFFFFF"/>
            <w:vAlign w:val="bottom"/>
            <w:hideMark/>
          </w:tcPr>
          <w:p w14:paraId="7100D0A1" w14:textId="77777777" w:rsidR="003F135F" w:rsidRPr="00F53E25" w:rsidRDefault="003F135F" w:rsidP="003F135F">
            <w:pPr>
              <w:ind w:left="0" w:firstLine="0"/>
              <w:rPr>
                <w:rFonts w:eastAsia="Times New Roman" w:cs="Calibri"/>
                <w:b/>
                <w:bCs/>
              </w:rPr>
            </w:pPr>
            <w:r w:rsidRPr="00F53E25">
              <w:rPr>
                <w:b/>
                <w:bCs/>
              </w:rPr>
              <w:t> </w:t>
            </w:r>
          </w:p>
        </w:tc>
        <w:tc>
          <w:tcPr>
            <w:tcW w:w="890" w:type="dxa"/>
            <w:tcBorders>
              <w:top w:val="nil"/>
              <w:left w:val="nil"/>
              <w:bottom w:val="nil"/>
              <w:right w:val="nil"/>
            </w:tcBorders>
            <w:shd w:val="clear" w:color="000000" w:fill="FFFFFF"/>
            <w:noWrap/>
            <w:vAlign w:val="bottom"/>
            <w:hideMark/>
          </w:tcPr>
          <w:p w14:paraId="4750B5EF"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7E607EFE"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56F4C910"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07D24F25"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2A32FA3C"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00B6A7B1" w14:textId="77777777" w:rsidR="003F135F" w:rsidRPr="00F53E25" w:rsidRDefault="003F135F" w:rsidP="003F135F">
            <w:pPr>
              <w:ind w:left="0" w:firstLine="0"/>
              <w:rPr>
                <w:rFonts w:eastAsia="Times New Roman" w:cs="Calibri"/>
              </w:rPr>
            </w:pPr>
            <w:r w:rsidRPr="00F53E25">
              <w:t> </w:t>
            </w:r>
          </w:p>
        </w:tc>
      </w:tr>
      <w:tr w:rsidR="003F135F" w:rsidRPr="00F53E25" w14:paraId="2C8684D9" w14:textId="77777777" w:rsidTr="006C4A6A">
        <w:tc>
          <w:tcPr>
            <w:tcW w:w="4962" w:type="dxa"/>
            <w:tcBorders>
              <w:top w:val="nil"/>
              <w:left w:val="nil"/>
              <w:bottom w:val="nil"/>
              <w:right w:val="nil"/>
            </w:tcBorders>
            <w:shd w:val="clear" w:color="000000" w:fill="FFFFFF"/>
            <w:vAlign w:val="bottom"/>
            <w:hideMark/>
          </w:tcPr>
          <w:p w14:paraId="4CF353B3" w14:textId="77777777" w:rsidR="003F135F" w:rsidRPr="00F53E25" w:rsidRDefault="003F135F" w:rsidP="003F135F">
            <w:pPr>
              <w:ind w:left="0" w:firstLine="0"/>
              <w:rPr>
                <w:rFonts w:eastAsia="Times New Roman" w:cs="Calibri"/>
                <w:b/>
                <w:bCs/>
              </w:rPr>
            </w:pPr>
            <w:r w:rsidRPr="00F53E25">
              <w:rPr>
                <w:b/>
                <w:bCs/>
              </w:rPr>
              <w:t>Provisiones</w:t>
            </w:r>
          </w:p>
        </w:tc>
        <w:tc>
          <w:tcPr>
            <w:tcW w:w="890" w:type="dxa"/>
            <w:tcBorders>
              <w:top w:val="nil"/>
              <w:left w:val="nil"/>
              <w:bottom w:val="nil"/>
              <w:right w:val="nil"/>
            </w:tcBorders>
            <w:shd w:val="clear" w:color="000000" w:fill="FFFFFF"/>
            <w:noWrap/>
            <w:vAlign w:val="bottom"/>
            <w:hideMark/>
          </w:tcPr>
          <w:p w14:paraId="2DDECA21"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56FD0E22"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45140664"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2C461494"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17903AF9"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133327B2" w14:textId="77777777" w:rsidR="003F135F" w:rsidRPr="00F53E25" w:rsidRDefault="003F135F" w:rsidP="003F135F">
            <w:pPr>
              <w:ind w:left="0" w:firstLine="0"/>
              <w:rPr>
                <w:rFonts w:eastAsia="Times New Roman" w:cs="Calibri"/>
              </w:rPr>
            </w:pPr>
            <w:r w:rsidRPr="00F53E25">
              <w:t> </w:t>
            </w:r>
          </w:p>
        </w:tc>
      </w:tr>
      <w:tr w:rsidR="003F135F" w:rsidRPr="00F53E25" w14:paraId="31173F0C" w14:textId="77777777" w:rsidTr="006C4A6A">
        <w:tc>
          <w:tcPr>
            <w:tcW w:w="4962" w:type="dxa"/>
            <w:tcBorders>
              <w:top w:val="nil"/>
              <w:left w:val="nil"/>
              <w:bottom w:val="nil"/>
              <w:right w:val="nil"/>
            </w:tcBorders>
            <w:shd w:val="clear" w:color="000000" w:fill="FFFFFF"/>
            <w:vAlign w:val="bottom"/>
            <w:hideMark/>
          </w:tcPr>
          <w:p w14:paraId="3FA3409D" w14:textId="4982F740" w:rsidR="003F135F" w:rsidRPr="00F53E25" w:rsidRDefault="003F135F" w:rsidP="003F135F">
            <w:pPr>
              <w:ind w:left="0" w:firstLine="0"/>
              <w:rPr>
                <w:rFonts w:eastAsia="Times New Roman" w:cs="Calibri"/>
              </w:rPr>
            </w:pPr>
            <w:r w:rsidRPr="00F53E25">
              <w:t>Repatriación del personal</w:t>
            </w:r>
          </w:p>
        </w:tc>
        <w:tc>
          <w:tcPr>
            <w:tcW w:w="890" w:type="dxa"/>
            <w:tcBorders>
              <w:top w:val="nil"/>
              <w:left w:val="nil"/>
              <w:bottom w:val="nil"/>
              <w:right w:val="nil"/>
            </w:tcBorders>
            <w:shd w:val="clear" w:color="000000" w:fill="FFFFFF"/>
            <w:noWrap/>
            <w:vAlign w:val="bottom"/>
            <w:hideMark/>
          </w:tcPr>
          <w:p w14:paraId="74F2A152" w14:textId="77777777" w:rsidR="003F135F" w:rsidRPr="00F53E25" w:rsidRDefault="003F135F" w:rsidP="003F135F">
            <w:pPr>
              <w:ind w:left="0" w:firstLine="0"/>
              <w:jc w:val="center"/>
              <w:rPr>
                <w:rFonts w:eastAsia="Times New Roman" w:cs="Calibri"/>
              </w:rPr>
            </w:pPr>
            <w:r w:rsidRPr="00F53E25">
              <w:t>5</w:t>
            </w:r>
          </w:p>
        </w:tc>
        <w:tc>
          <w:tcPr>
            <w:tcW w:w="1215" w:type="dxa"/>
            <w:tcBorders>
              <w:top w:val="nil"/>
              <w:left w:val="nil"/>
              <w:bottom w:val="nil"/>
              <w:right w:val="nil"/>
            </w:tcBorders>
            <w:shd w:val="clear" w:color="000000" w:fill="FFFFFF"/>
            <w:noWrap/>
            <w:vAlign w:val="bottom"/>
            <w:hideMark/>
          </w:tcPr>
          <w:p w14:paraId="1B23C246" w14:textId="738C4BB1" w:rsidR="003F135F" w:rsidRPr="00F53E25" w:rsidRDefault="003F135F" w:rsidP="003F135F">
            <w:pPr>
              <w:ind w:left="0" w:firstLine="0"/>
              <w:jc w:val="right"/>
              <w:rPr>
                <w:rFonts w:eastAsia="Times New Roman" w:cs="Calibri"/>
              </w:rPr>
            </w:pPr>
            <w:r w:rsidRPr="00F53E25">
              <w:t>1</w:t>
            </w:r>
            <w:r w:rsidR="002E586C" w:rsidRPr="00F53E25">
              <w:t>21</w:t>
            </w:r>
          </w:p>
        </w:tc>
        <w:tc>
          <w:tcPr>
            <w:tcW w:w="164" w:type="dxa"/>
            <w:tcBorders>
              <w:top w:val="nil"/>
              <w:left w:val="nil"/>
              <w:bottom w:val="nil"/>
              <w:right w:val="nil"/>
            </w:tcBorders>
            <w:shd w:val="clear" w:color="000000" w:fill="FFFFFF"/>
            <w:noWrap/>
            <w:vAlign w:val="bottom"/>
            <w:hideMark/>
          </w:tcPr>
          <w:p w14:paraId="45E0B818"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59034131"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6CE8D1C9" w14:textId="6AC3816F" w:rsidR="003F135F" w:rsidRPr="00F53E25" w:rsidRDefault="003F135F" w:rsidP="003F135F">
            <w:pPr>
              <w:ind w:left="0" w:firstLine="0"/>
              <w:jc w:val="right"/>
              <w:rPr>
                <w:rFonts w:eastAsia="Times New Roman" w:cs="Calibri"/>
              </w:rPr>
            </w:pPr>
            <w:r w:rsidRPr="00F53E25">
              <w:t>1</w:t>
            </w:r>
            <w:r w:rsidR="002E586C" w:rsidRPr="00F53E25">
              <w:t>50</w:t>
            </w:r>
          </w:p>
        </w:tc>
        <w:tc>
          <w:tcPr>
            <w:tcW w:w="164" w:type="dxa"/>
            <w:tcBorders>
              <w:top w:val="nil"/>
              <w:left w:val="nil"/>
              <w:bottom w:val="nil"/>
              <w:right w:val="nil"/>
            </w:tcBorders>
            <w:shd w:val="clear" w:color="000000" w:fill="FFFFFF"/>
            <w:noWrap/>
            <w:vAlign w:val="bottom"/>
            <w:hideMark/>
          </w:tcPr>
          <w:p w14:paraId="3AC4F5D2" w14:textId="77777777" w:rsidR="003F135F" w:rsidRPr="00F53E25" w:rsidRDefault="003F135F" w:rsidP="003F135F">
            <w:pPr>
              <w:ind w:left="0" w:firstLine="0"/>
              <w:rPr>
                <w:rFonts w:eastAsia="Times New Roman" w:cs="Calibri"/>
              </w:rPr>
            </w:pPr>
            <w:r w:rsidRPr="00F53E25">
              <w:t> </w:t>
            </w:r>
          </w:p>
        </w:tc>
      </w:tr>
      <w:tr w:rsidR="003F135F" w:rsidRPr="00F53E25" w14:paraId="6012525C" w14:textId="77777777" w:rsidTr="006C4A6A">
        <w:tc>
          <w:tcPr>
            <w:tcW w:w="4962" w:type="dxa"/>
            <w:tcBorders>
              <w:top w:val="nil"/>
              <w:left w:val="nil"/>
              <w:bottom w:val="nil"/>
              <w:right w:val="nil"/>
            </w:tcBorders>
            <w:shd w:val="clear" w:color="000000" w:fill="FFFFFF"/>
            <w:vAlign w:val="bottom"/>
            <w:hideMark/>
          </w:tcPr>
          <w:p w14:paraId="63DA8D51" w14:textId="40541EAD" w:rsidR="003F135F" w:rsidRPr="00F53E25" w:rsidRDefault="003F135F" w:rsidP="003F135F">
            <w:pPr>
              <w:ind w:left="0" w:firstLine="0"/>
              <w:rPr>
                <w:rFonts w:eastAsia="Times New Roman" w:cs="Calibri"/>
              </w:rPr>
            </w:pPr>
            <w:r w:rsidRPr="00F53E25">
              <w:t xml:space="preserve">Vacaciones del personal </w:t>
            </w:r>
          </w:p>
        </w:tc>
        <w:tc>
          <w:tcPr>
            <w:tcW w:w="890" w:type="dxa"/>
            <w:tcBorders>
              <w:top w:val="nil"/>
              <w:left w:val="nil"/>
              <w:bottom w:val="nil"/>
              <w:right w:val="nil"/>
            </w:tcBorders>
            <w:shd w:val="clear" w:color="000000" w:fill="FFFFFF"/>
            <w:noWrap/>
            <w:vAlign w:val="bottom"/>
            <w:hideMark/>
          </w:tcPr>
          <w:p w14:paraId="526C5416" w14:textId="77777777" w:rsidR="003F135F" w:rsidRPr="00F53E25" w:rsidRDefault="003F135F" w:rsidP="003F135F">
            <w:pPr>
              <w:ind w:left="0" w:firstLine="0"/>
              <w:jc w:val="center"/>
              <w:rPr>
                <w:rFonts w:eastAsia="Times New Roman" w:cs="Calibri"/>
              </w:rPr>
            </w:pPr>
            <w:r w:rsidRPr="00F53E25">
              <w:t>5</w:t>
            </w:r>
          </w:p>
        </w:tc>
        <w:tc>
          <w:tcPr>
            <w:tcW w:w="1215" w:type="dxa"/>
            <w:tcBorders>
              <w:top w:val="nil"/>
              <w:left w:val="nil"/>
              <w:bottom w:val="nil"/>
              <w:right w:val="nil"/>
            </w:tcBorders>
            <w:shd w:val="clear" w:color="000000" w:fill="FFFFFF"/>
            <w:noWrap/>
            <w:vAlign w:val="bottom"/>
            <w:hideMark/>
          </w:tcPr>
          <w:p w14:paraId="20E2ACE8" w14:textId="69DF0BF3" w:rsidR="003F135F" w:rsidRPr="00F53E25" w:rsidRDefault="003F135F" w:rsidP="003F135F">
            <w:pPr>
              <w:ind w:left="0" w:firstLine="0"/>
              <w:jc w:val="right"/>
              <w:rPr>
                <w:rFonts w:eastAsia="Times New Roman" w:cs="Calibri"/>
              </w:rPr>
            </w:pPr>
            <w:r w:rsidRPr="00F53E25">
              <w:t>1</w:t>
            </w:r>
            <w:r w:rsidR="002E586C" w:rsidRPr="00F53E25">
              <w:t>25</w:t>
            </w:r>
          </w:p>
        </w:tc>
        <w:tc>
          <w:tcPr>
            <w:tcW w:w="164" w:type="dxa"/>
            <w:tcBorders>
              <w:top w:val="nil"/>
              <w:left w:val="nil"/>
              <w:bottom w:val="nil"/>
              <w:right w:val="nil"/>
            </w:tcBorders>
            <w:shd w:val="clear" w:color="000000" w:fill="FFFFFF"/>
            <w:noWrap/>
            <w:vAlign w:val="bottom"/>
            <w:hideMark/>
          </w:tcPr>
          <w:p w14:paraId="330FFCC0"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07601BA2"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0D10CD14" w14:textId="7B970E4D" w:rsidR="003F135F" w:rsidRPr="00F53E25" w:rsidRDefault="003F135F" w:rsidP="003F135F">
            <w:pPr>
              <w:ind w:left="0" w:firstLine="0"/>
              <w:jc w:val="right"/>
              <w:rPr>
                <w:rFonts w:eastAsia="Times New Roman" w:cs="Calibri"/>
              </w:rPr>
            </w:pPr>
            <w:r w:rsidRPr="00F53E25">
              <w:t>1</w:t>
            </w:r>
            <w:r w:rsidR="002E586C" w:rsidRPr="00F53E25">
              <w:t>37</w:t>
            </w:r>
          </w:p>
        </w:tc>
        <w:tc>
          <w:tcPr>
            <w:tcW w:w="164" w:type="dxa"/>
            <w:tcBorders>
              <w:top w:val="nil"/>
              <w:left w:val="nil"/>
              <w:bottom w:val="nil"/>
              <w:right w:val="nil"/>
            </w:tcBorders>
            <w:shd w:val="clear" w:color="000000" w:fill="FFFFFF"/>
            <w:noWrap/>
            <w:vAlign w:val="bottom"/>
            <w:hideMark/>
          </w:tcPr>
          <w:p w14:paraId="589826B8" w14:textId="77777777" w:rsidR="003F135F" w:rsidRPr="00F53E25" w:rsidRDefault="003F135F" w:rsidP="003F135F">
            <w:pPr>
              <w:ind w:left="0" w:firstLine="0"/>
              <w:rPr>
                <w:rFonts w:eastAsia="Times New Roman" w:cs="Calibri"/>
              </w:rPr>
            </w:pPr>
            <w:r w:rsidRPr="00F53E25">
              <w:t> </w:t>
            </w:r>
          </w:p>
        </w:tc>
      </w:tr>
      <w:tr w:rsidR="003F135F" w:rsidRPr="00F53E25" w14:paraId="6587FC98" w14:textId="77777777" w:rsidTr="006C4A6A">
        <w:tc>
          <w:tcPr>
            <w:tcW w:w="4962" w:type="dxa"/>
            <w:tcBorders>
              <w:top w:val="nil"/>
              <w:left w:val="nil"/>
              <w:bottom w:val="nil"/>
              <w:right w:val="nil"/>
            </w:tcBorders>
            <w:shd w:val="clear" w:color="000000" w:fill="FFFFFF"/>
            <w:vAlign w:val="bottom"/>
            <w:hideMark/>
          </w:tcPr>
          <w:p w14:paraId="39EE7461" w14:textId="7629B72C" w:rsidR="003F135F" w:rsidRPr="00F53E25" w:rsidRDefault="003F135F" w:rsidP="003F135F">
            <w:pPr>
              <w:ind w:left="0" w:firstLine="0"/>
              <w:rPr>
                <w:rFonts w:eastAsia="Times New Roman" w:cs="Calibri"/>
              </w:rPr>
            </w:pPr>
            <w:r w:rsidRPr="00F53E25">
              <w:t>Separación del personal</w:t>
            </w:r>
          </w:p>
        </w:tc>
        <w:tc>
          <w:tcPr>
            <w:tcW w:w="890" w:type="dxa"/>
            <w:tcBorders>
              <w:top w:val="nil"/>
              <w:left w:val="nil"/>
              <w:bottom w:val="nil"/>
              <w:right w:val="nil"/>
            </w:tcBorders>
            <w:shd w:val="clear" w:color="000000" w:fill="FFFFFF"/>
            <w:noWrap/>
            <w:vAlign w:val="bottom"/>
            <w:hideMark/>
          </w:tcPr>
          <w:p w14:paraId="0BF388BB" w14:textId="77777777" w:rsidR="003F135F" w:rsidRPr="00F53E25" w:rsidRDefault="003F135F" w:rsidP="003F135F">
            <w:pPr>
              <w:ind w:left="0" w:firstLine="0"/>
              <w:jc w:val="center"/>
              <w:rPr>
                <w:rFonts w:eastAsia="Times New Roman" w:cs="Calibri"/>
              </w:rPr>
            </w:pPr>
            <w:r w:rsidRPr="00F53E25">
              <w:t>5</w:t>
            </w:r>
          </w:p>
        </w:tc>
        <w:tc>
          <w:tcPr>
            <w:tcW w:w="1215" w:type="dxa"/>
            <w:tcBorders>
              <w:top w:val="nil"/>
              <w:left w:val="nil"/>
              <w:bottom w:val="single" w:sz="4" w:space="0" w:color="auto"/>
              <w:right w:val="nil"/>
            </w:tcBorders>
            <w:shd w:val="clear" w:color="000000" w:fill="FFFFFF"/>
            <w:noWrap/>
            <w:vAlign w:val="bottom"/>
            <w:hideMark/>
          </w:tcPr>
          <w:p w14:paraId="18D11918" w14:textId="6E765A06" w:rsidR="003F135F" w:rsidRPr="00F53E25" w:rsidRDefault="003F135F" w:rsidP="003F135F">
            <w:pPr>
              <w:ind w:left="0" w:firstLine="0"/>
              <w:jc w:val="right"/>
              <w:rPr>
                <w:rFonts w:eastAsia="Times New Roman" w:cs="Calibri"/>
              </w:rPr>
            </w:pPr>
            <w:r w:rsidRPr="00F53E25">
              <w:t>1</w:t>
            </w:r>
            <w:r w:rsidR="002E586C" w:rsidRPr="00F53E25">
              <w:t>72</w:t>
            </w:r>
          </w:p>
        </w:tc>
        <w:tc>
          <w:tcPr>
            <w:tcW w:w="164" w:type="dxa"/>
            <w:tcBorders>
              <w:top w:val="nil"/>
              <w:left w:val="nil"/>
              <w:bottom w:val="single" w:sz="4" w:space="0" w:color="auto"/>
              <w:right w:val="nil"/>
            </w:tcBorders>
            <w:shd w:val="clear" w:color="000000" w:fill="FFFFFF"/>
            <w:noWrap/>
            <w:vAlign w:val="bottom"/>
            <w:hideMark/>
          </w:tcPr>
          <w:p w14:paraId="28BC792C"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single" w:sz="4" w:space="0" w:color="auto"/>
              <w:right w:val="nil"/>
            </w:tcBorders>
            <w:shd w:val="clear" w:color="000000" w:fill="D9D9D9"/>
            <w:noWrap/>
            <w:vAlign w:val="bottom"/>
            <w:hideMark/>
          </w:tcPr>
          <w:p w14:paraId="61816373"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single" w:sz="4" w:space="0" w:color="auto"/>
              <w:right w:val="nil"/>
            </w:tcBorders>
            <w:shd w:val="clear" w:color="000000" w:fill="FFFFFF"/>
            <w:noWrap/>
            <w:vAlign w:val="bottom"/>
            <w:hideMark/>
          </w:tcPr>
          <w:p w14:paraId="3BD12425" w14:textId="7E56BA94" w:rsidR="003F135F" w:rsidRPr="00F53E25" w:rsidRDefault="003F135F" w:rsidP="003F135F">
            <w:pPr>
              <w:ind w:left="0" w:firstLine="0"/>
              <w:jc w:val="right"/>
              <w:rPr>
                <w:rFonts w:eastAsia="Times New Roman" w:cs="Calibri"/>
              </w:rPr>
            </w:pPr>
            <w:r w:rsidRPr="00F53E25">
              <w:t>1</w:t>
            </w:r>
            <w:r w:rsidR="002E586C" w:rsidRPr="00F53E25">
              <w:t>54</w:t>
            </w:r>
          </w:p>
        </w:tc>
        <w:tc>
          <w:tcPr>
            <w:tcW w:w="164" w:type="dxa"/>
            <w:tcBorders>
              <w:top w:val="nil"/>
              <w:left w:val="nil"/>
              <w:bottom w:val="nil"/>
              <w:right w:val="nil"/>
            </w:tcBorders>
            <w:shd w:val="clear" w:color="000000" w:fill="FFFFFF"/>
            <w:noWrap/>
            <w:vAlign w:val="bottom"/>
            <w:hideMark/>
          </w:tcPr>
          <w:p w14:paraId="61647276" w14:textId="77777777" w:rsidR="003F135F" w:rsidRPr="00F53E25" w:rsidRDefault="003F135F" w:rsidP="003F135F">
            <w:pPr>
              <w:ind w:left="0" w:firstLine="0"/>
              <w:rPr>
                <w:rFonts w:eastAsia="Times New Roman" w:cs="Calibri"/>
              </w:rPr>
            </w:pPr>
            <w:r w:rsidRPr="00F53E25">
              <w:t> </w:t>
            </w:r>
          </w:p>
        </w:tc>
      </w:tr>
      <w:tr w:rsidR="003F135F" w:rsidRPr="00F53E25" w14:paraId="59297D70" w14:textId="77777777" w:rsidTr="006C4A6A">
        <w:tc>
          <w:tcPr>
            <w:tcW w:w="4962" w:type="dxa"/>
            <w:tcBorders>
              <w:top w:val="nil"/>
              <w:left w:val="nil"/>
              <w:bottom w:val="nil"/>
              <w:right w:val="nil"/>
            </w:tcBorders>
            <w:shd w:val="clear" w:color="000000" w:fill="FFFFFF"/>
            <w:vAlign w:val="bottom"/>
            <w:hideMark/>
          </w:tcPr>
          <w:p w14:paraId="2CF24A5B" w14:textId="46A27C5B"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w:t>
            </w:r>
            <w:r w:rsidR="006D4727" w:rsidRPr="00F53E25">
              <w:rPr>
                <w:b/>
                <w:bCs/>
              </w:rPr>
              <w:t>P</w:t>
            </w:r>
            <w:r w:rsidR="003F135F" w:rsidRPr="00F53E25">
              <w:rPr>
                <w:b/>
                <w:bCs/>
              </w:rPr>
              <w:t>rovisiones</w:t>
            </w:r>
          </w:p>
        </w:tc>
        <w:tc>
          <w:tcPr>
            <w:tcW w:w="890" w:type="dxa"/>
            <w:tcBorders>
              <w:top w:val="nil"/>
              <w:left w:val="nil"/>
              <w:bottom w:val="nil"/>
              <w:right w:val="nil"/>
            </w:tcBorders>
            <w:shd w:val="clear" w:color="000000" w:fill="FFFFFF"/>
            <w:noWrap/>
            <w:vAlign w:val="bottom"/>
            <w:hideMark/>
          </w:tcPr>
          <w:p w14:paraId="661B578D"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41FABBE7" w14:textId="573FCDE2" w:rsidR="003F135F" w:rsidRPr="00F53E25" w:rsidRDefault="003F135F" w:rsidP="003F135F">
            <w:pPr>
              <w:ind w:left="0" w:firstLine="0"/>
              <w:jc w:val="right"/>
              <w:rPr>
                <w:rFonts w:eastAsia="Times New Roman" w:cs="Calibri"/>
                <w:b/>
                <w:bCs/>
              </w:rPr>
            </w:pPr>
            <w:r w:rsidRPr="00F53E25">
              <w:rPr>
                <w:b/>
                <w:bCs/>
              </w:rPr>
              <w:t>4</w:t>
            </w:r>
            <w:r w:rsidR="002E586C" w:rsidRPr="00F53E25">
              <w:rPr>
                <w:b/>
                <w:bCs/>
              </w:rPr>
              <w:t>18</w:t>
            </w:r>
          </w:p>
        </w:tc>
        <w:tc>
          <w:tcPr>
            <w:tcW w:w="164" w:type="dxa"/>
            <w:tcBorders>
              <w:top w:val="nil"/>
              <w:left w:val="nil"/>
              <w:bottom w:val="nil"/>
              <w:right w:val="nil"/>
            </w:tcBorders>
            <w:shd w:val="clear" w:color="000000" w:fill="FFFFFF"/>
            <w:noWrap/>
            <w:vAlign w:val="bottom"/>
            <w:hideMark/>
          </w:tcPr>
          <w:p w14:paraId="4B07542D"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nil"/>
              <w:left w:val="nil"/>
              <w:bottom w:val="nil"/>
              <w:right w:val="nil"/>
            </w:tcBorders>
            <w:shd w:val="clear" w:color="000000" w:fill="D9D9D9"/>
            <w:noWrap/>
            <w:vAlign w:val="bottom"/>
            <w:hideMark/>
          </w:tcPr>
          <w:p w14:paraId="73351238"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nil"/>
              <w:left w:val="nil"/>
              <w:bottom w:val="nil"/>
              <w:right w:val="nil"/>
            </w:tcBorders>
            <w:shd w:val="clear" w:color="000000" w:fill="FFFFFF"/>
            <w:noWrap/>
            <w:vAlign w:val="bottom"/>
            <w:hideMark/>
          </w:tcPr>
          <w:p w14:paraId="5608E04F" w14:textId="584FD934" w:rsidR="003F135F" w:rsidRPr="00F53E25" w:rsidRDefault="003F135F" w:rsidP="003F135F">
            <w:pPr>
              <w:ind w:left="0" w:firstLine="0"/>
              <w:jc w:val="right"/>
              <w:rPr>
                <w:rFonts w:eastAsia="Times New Roman" w:cs="Calibri"/>
                <w:b/>
                <w:bCs/>
              </w:rPr>
            </w:pPr>
            <w:r w:rsidRPr="00F53E25">
              <w:rPr>
                <w:b/>
                <w:bCs/>
              </w:rPr>
              <w:t>4</w:t>
            </w:r>
            <w:r w:rsidR="002E586C" w:rsidRPr="00F53E25">
              <w:rPr>
                <w:b/>
                <w:bCs/>
              </w:rPr>
              <w:t>41</w:t>
            </w:r>
          </w:p>
        </w:tc>
        <w:tc>
          <w:tcPr>
            <w:tcW w:w="164" w:type="dxa"/>
            <w:tcBorders>
              <w:top w:val="nil"/>
              <w:left w:val="nil"/>
              <w:bottom w:val="nil"/>
              <w:right w:val="nil"/>
            </w:tcBorders>
            <w:shd w:val="clear" w:color="000000" w:fill="FFFFFF"/>
            <w:noWrap/>
            <w:vAlign w:val="bottom"/>
            <w:hideMark/>
          </w:tcPr>
          <w:p w14:paraId="2D921B2E"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639BC391" w14:textId="77777777" w:rsidTr="006C4A6A">
        <w:tc>
          <w:tcPr>
            <w:tcW w:w="4962" w:type="dxa"/>
            <w:tcBorders>
              <w:top w:val="nil"/>
              <w:left w:val="nil"/>
              <w:bottom w:val="nil"/>
              <w:right w:val="nil"/>
            </w:tcBorders>
            <w:shd w:val="clear" w:color="000000" w:fill="FFFFFF"/>
            <w:vAlign w:val="bottom"/>
            <w:hideMark/>
          </w:tcPr>
          <w:p w14:paraId="27BE27B4" w14:textId="77777777" w:rsidR="003F135F" w:rsidRPr="00F53E25" w:rsidRDefault="003F135F" w:rsidP="003F135F">
            <w:pPr>
              <w:ind w:left="0" w:firstLine="0"/>
              <w:rPr>
                <w:rFonts w:eastAsia="Times New Roman" w:cs="Calibri"/>
                <w:b/>
                <w:bCs/>
              </w:rPr>
            </w:pPr>
            <w:r w:rsidRPr="00F53E25">
              <w:rPr>
                <w:b/>
                <w:bCs/>
              </w:rPr>
              <w:t> </w:t>
            </w:r>
          </w:p>
        </w:tc>
        <w:tc>
          <w:tcPr>
            <w:tcW w:w="890" w:type="dxa"/>
            <w:tcBorders>
              <w:top w:val="nil"/>
              <w:left w:val="nil"/>
              <w:bottom w:val="nil"/>
              <w:right w:val="nil"/>
            </w:tcBorders>
            <w:shd w:val="clear" w:color="000000" w:fill="FFFFFF"/>
            <w:noWrap/>
            <w:vAlign w:val="bottom"/>
            <w:hideMark/>
          </w:tcPr>
          <w:p w14:paraId="4505DB17"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0CB2CBC3" w14:textId="77777777" w:rsidR="003F135F" w:rsidRPr="00F53E25" w:rsidRDefault="003F135F" w:rsidP="003F135F">
            <w:pPr>
              <w:ind w:left="0" w:firstLine="0"/>
              <w:rPr>
                <w:rFonts w:eastAsia="Times New Roman" w:cs="Calibri"/>
                <w:b/>
                <w:bCs/>
              </w:rPr>
            </w:pPr>
            <w:r w:rsidRPr="00F53E25">
              <w:rPr>
                <w:b/>
                <w:bCs/>
              </w:rPr>
              <w:t> </w:t>
            </w:r>
          </w:p>
        </w:tc>
        <w:tc>
          <w:tcPr>
            <w:tcW w:w="164" w:type="dxa"/>
            <w:tcBorders>
              <w:top w:val="nil"/>
              <w:left w:val="nil"/>
              <w:bottom w:val="nil"/>
              <w:right w:val="nil"/>
            </w:tcBorders>
            <w:shd w:val="clear" w:color="000000" w:fill="FFFFFF"/>
            <w:noWrap/>
            <w:vAlign w:val="bottom"/>
            <w:hideMark/>
          </w:tcPr>
          <w:p w14:paraId="423FB97A"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nil"/>
              <w:left w:val="nil"/>
              <w:bottom w:val="nil"/>
              <w:right w:val="nil"/>
            </w:tcBorders>
            <w:shd w:val="clear" w:color="000000" w:fill="D9D9D9"/>
            <w:noWrap/>
            <w:vAlign w:val="bottom"/>
            <w:hideMark/>
          </w:tcPr>
          <w:p w14:paraId="21BB5BA8"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nil"/>
              <w:left w:val="nil"/>
              <w:bottom w:val="nil"/>
              <w:right w:val="nil"/>
            </w:tcBorders>
            <w:shd w:val="clear" w:color="000000" w:fill="FFFFFF"/>
            <w:noWrap/>
            <w:vAlign w:val="bottom"/>
            <w:hideMark/>
          </w:tcPr>
          <w:p w14:paraId="2BB809CF" w14:textId="77777777" w:rsidR="003F135F" w:rsidRPr="00F53E25" w:rsidRDefault="003F135F" w:rsidP="003F135F">
            <w:pPr>
              <w:ind w:left="0" w:firstLine="0"/>
              <w:rPr>
                <w:rFonts w:eastAsia="Times New Roman" w:cs="Calibri"/>
                <w:b/>
                <w:bCs/>
              </w:rPr>
            </w:pPr>
            <w:r w:rsidRPr="00F53E25">
              <w:rPr>
                <w:b/>
                <w:bCs/>
              </w:rPr>
              <w:t> </w:t>
            </w:r>
          </w:p>
        </w:tc>
        <w:tc>
          <w:tcPr>
            <w:tcW w:w="164" w:type="dxa"/>
            <w:tcBorders>
              <w:top w:val="nil"/>
              <w:left w:val="nil"/>
              <w:bottom w:val="nil"/>
              <w:right w:val="nil"/>
            </w:tcBorders>
            <w:shd w:val="clear" w:color="000000" w:fill="FFFFFF"/>
            <w:noWrap/>
            <w:vAlign w:val="bottom"/>
            <w:hideMark/>
          </w:tcPr>
          <w:p w14:paraId="4E5D1281"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4603F650" w14:textId="77777777" w:rsidTr="006C4A6A">
        <w:tc>
          <w:tcPr>
            <w:tcW w:w="4962" w:type="dxa"/>
            <w:tcBorders>
              <w:top w:val="nil"/>
              <w:left w:val="nil"/>
              <w:bottom w:val="nil"/>
              <w:right w:val="nil"/>
            </w:tcBorders>
            <w:shd w:val="clear" w:color="000000" w:fill="FFFFFF"/>
            <w:vAlign w:val="bottom"/>
            <w:hideMark/>
          </w:tcPr>
          <w:p w14:paraId="69AA704F" w14:textId="77777777" w:rsidR="003F135F" w:rsidRPr="00F53E25" w:rsidRDefault="003F135F" w:rsidP="003F135F">
            <w:pPr>
              <w:ind w:left="0" w:firstLine="0"/>
              <w:rPr>
                <w:rFonts w:eastAsia="Times New Roman" w:cs="Calibri"/>
                <w:b/>
                <w:bCs/>
              </w:rPr>
            </w:pPr>
            <w:r w:rsidRPr="00F53E25">
              <w:rPr>
                <w:b/>
                <w:bCs/>
              </w:rPr>
              <w:t>Fondo y reservas</w:t>
            </w:r>
          </w:p>
        </w:tc>
        <w:tc>
          <w:tcPr>
            <w:tcW w:w="890" w:type="dxa"/>
            <w:tcBorders>
              <w:top w:val="nil"/>
              <w:left w:val="nil"/>
              <w:bottom w:val="nil"/>
              <w:right w:val="nil"/>
            </w:tcBorders>
            <w:shd w:val="clear" w:color="000000" w:fill="FFFFFF"/>
            <w:noWrap/>
            <w:vAlign w:val="bottom"/>
            <w:hideMark/>
          </w:tcPr>
          <w:p w14:paraId="4AA37059"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7B19E483"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2B608228"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306E0915"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085F2839" w14:textId="77777777" w:rsidR="003F135F" w:rsidRPr="00F53E25" w:rsidRDefault="003F135F" w:rsidP="003F135F">
            <w:pPr>
              <w:ind w:left="0" w:firstLine="0"/>
              <w:rPr>
                <w:rFonts w:eastAsia="Times New Roman" w:cs="Calibri"/>
              </w:rPr>
            </w:pPr>
            <w:r w:rsidRPr="00F53E25">
              <w:t> </w:t>
            </w:r>
          </w:p>
        </w:tc>
        <w:tc>
          <w:tcPr>
            <w:tcW w:w="164" w:type="dxa"/>
            <w:tcBorders>
              <w:top w:val="nil"/>
              <w:left w:val="nil"/>
              <w:bottom w:val="nil"/>
              <w:right w:val="nil"/>
            </w:tcBorders>
            <w:shd w:val="clear" w:color="000000" w:fill="FFFFFF"/>
            <w:noWrap/>
            <w:vAlign w:val="bottom"/>
            <w:hideMark/>
          </w:tcPr>
          <w:p w14:paraId="4596D205" w14:textId="77777777" w:rsidR="003F135F" w:rsidRPr="00F53E25" w:rsidRDefault="003F135F" w:rsidP="003F135F">
            <w:pPr>
              <w:ind w:left="0" w:firstLine="0"/>
              <w:rPr>
                <w:rFonts w:eastAsia="Times New Roman" w:cs="Calibri"/>
              </w:rPr>
            </w:pPr>
            <w:r w:rsidRPr="00F53E25">
              <w:t> </w:t>
            </w:r>
          </w:p>
        </w:tc>
      </w:tr>
      <w:tr w:rsidR="003F135F" w:rsidRPr="00F53E25" w14:paraId="6E5634BD" w14:textId="77777777" w:rsidTr="006C4A6A">
        <w:tc>
          <w:tcPr>
            <w:tcW w:w="4962" w:type="dxa"/>
            <w:tcBorders>
              <w:top w:val="nil"/>
              <w:left w:val="nil"/>
              <w:bottom w:val="nil"/>
              <w:right w:val="nil"/>
            </w:tcBorders>
            <w:shd w:val="clear" w:color="000000" w:fill="FFFFFF"/>
            <w:vAlign w:val="bottom"/>
            <w:hideMark/>
          </w:tcPr>
          <w:p w14:paraId="210D3581" w14:textId="377B786A" w:rsidR="003F135F" w:rsidRPr="00F53E25" w:rsidRDefault="00D00A15" w:rsidP="003F135F">
            <w:pPr>
              <w:ind w:left="0" w:firstLine="0"/>
              <w:rPr>
                <w:rFonts w:eastAsia="Times New Roman" w:cs="Calibri"/>
              </w:rPr>
            </w:pPr>
            <w:r w:rsidRPr="00F53E25">
              <w:t>Fondo de res</w:t>
            </w:r>
            <w:r w:rsidR="008D6398" w:rsidRPr="00F53E25">
              <w:t>erva</w:t>
            </w:r>
            <w:r w:rsidR="003F135F" w:rsidRPr="00F53E25">
              <w:t xml:space="preserve"> básico</w:t>
            </w:r>
          </w:p>
        </w:tc>
        <w:tc>
          <w:tcPr>
            <w:tcW w:w="890" w:type="dxa"/>
            <w:tcBorders>
              <w:top w:val="nil"/>
              <w:left w:val="nil"/>
              <w:bottom w:val="nil"/>
              <w:right w:val="nil"/>
            </w:tcBorders>
            <w:shd w:val="clear" w:color="000000" w:fill="FFFFFF"/>
            <w:noWrap/>
            <w:vAlign w:val="bottom"/>
            <w:hideMark/>
          </w:tcPr>
          <w:p w14:paraId="12CA528F" w14:textId="77777777" w:rsidR="003F135F" w:rsidRPr="00F53E25" w:rsidRDefault="003F135F" w:rsidP="003F135F">
            <w:pPr>
              <w:ind w:left="0" w:firstLine="0"/>
              <w:jc w:val="center"/>
              <w:rPr>
                <w:rFonts w:eastAsia="Times New Roman" w:cs="Calibri"/>
              </w:rPr>
            </w:pPr>
            <w:r w:rsidRPr="00F53E25">
              <w:t>11</w:t>
            </w:r>
          </w:p>
        </w:tc>
        <w:tc>
          <w:tcPr>
            <w:tcW w:w="1215" w:type="dxa"/>
            <w:tcBorders>
              <w:top w:val="nil"/>
              <w:left w:val="nil"/>
              <w:bottom w:val="nil"/>
              <w:right w:val="nil"/>
            </w:tcBorders>
            <w:shd w:val="clear" w:color="000000" w:fill="FFFFFF"/>
            <w:noWrap/>
            <w:vAlign w:val="bottom"/>
            <w:hideMark/>
          </w:tcPr>
          <w:p w14:paraId="76CDF05E" w14:textId="0783F768" w:rsidR="003F135F" w:rsidRPr="00F53E25" w:rsidRDefault="002E586C" w:rsidP="003F135F">
            <w:pPr>
              <w:ind w:left="0" w:firstLine="0"/>
              <w:jc w:val="right"/>
              <w:rPr>
                <w:rFonts w:eastAsia="Times New Roman" w:cs="Calibri"/>
              </w:rPr>
            </w:pPr>
            <w:r w:rsidRPr="00F53E25">
              <w:t>3 318</w:t>
            </w:r>
          </w:p>
        </w:tc>
        <w:tc>
          <w:tcPr>
            <w:tcW w:w="164" w:type="dxa"/>
            <w:tcBorders>
              <w:top w:val="nil"/>
              <w:left w:val="nil"/>
              <w:bottom w:val="nil"/>
              <w:right w:val="nil"/>
            </w:tcBorders>
            <w:shd w:val="clear" w:color="000000" w:fill="FFFFFF"/>
            <w:noWrap/>
            <w:vAlign w:val="bottom"/>
            <w:hideMark/>
          </w:tcPr>
          <w:p w14:paraId="558B3DBC"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nil"/>
              <w:right w:val="nil"/>
            </w:tcBorders>
            <w:shd w:val="clear" w:color="000000" w:fill="D9D9D9"/>
            <w:noWrap/>
            <w:vAlign w:val="bottom"/>
            <w:hideMark/>
          </w:tcPr>
          <w:p w14:paraId="59CC2B3D"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nil"/>
              <w:right w:val="nil"/>
            </w:tcBorders>
            <w:shd w:val="clear" w:color="000000" w:fill="FFFFFF"/>
            <w:noWrap/>
            <w:vAlign w:val="bottom"/>
            <w:hideMark/>
          </w:tcPr>
          <w:p w14:paraId="08A3AA1E" w14:textId="58CBDD47" w:rsidR="003F135F" w:rsidRPr="00F53E25" w:rsidRDefault="002E586C" w:rsidP="003F135F">
            <w:pPr>
              <w:ind w:left="0" w:firstLine="0"/>
              <w:jc w:val="right"/>
              <w:rPr>
                <w:rFonts w:eastAsia="Times New Roman" w:cs="Calibri"/>
              </w:rPr>
            </w:pPr>
            <w:r w:rsidRPr="00F53E25">
              <w:t>2 648</w:t>
            </w:r>
          </w:p>
        </w:tc>
        <w:tc>
          <w:tcPr>
            <w:tcW w:w="164" w:type="dxa"/>
            <w:tcBorders>
              <w:top w:val="nil"/>
              <w:left w:val="nil"/>
              <w:bottom w:val="nil"/>
              <w:right w:val="nil"/>
            </w:tcBorders>
            <w:shd w:val="clear" w:color="000000" w:fill="FFFFFF"/>
            <w:noWrap/>
            <w:vAlign w:val="bottom"/>
            <w:hideMark/>
          </w:tcPr>
          <w:p w14:paraId="09C1E40B" w14:textId="77777777" w:rsidR="003F135F" w:rsidRPr="00F53E25" w:rsidRDefault="003F135F" w:rsidP="003F135F">
            <w:pPr>
              <w:ind w:left="0" w:firstLine="0"/>
              <w:rPr>
                <w:rFonts w:eastAsia="Times New Roman" w:cs="Calibri"/>
              </w:rPr>
            </w:pPr>
            <w:r w:rsidRPr="00F53E25">
              <w:t> </w:t>
            </w:r>
          </w:p>
        </w:tc>
      </w:tr>
      <w:tr w:rsidR="003F135F" w:rsidRPr="00F53E25" w14:paraId="7D5A8AF8" w14:textId="77777777" w:rsidTr="006C4A6A">
        <w:tc>
          <w:tcPr>
            <w:tcW w:w="4962" w:type="dxa"/>
            <w:tcBorders>
              <w:top w:val="nil"/>
              <w:left w:val="nil"/>
              <w:bottom w:val="nil"/>
              <w:right w:val="nil"/>
            </w:tcBorders>
            <w:shd w:val="clear" w:color="000000" w:fill="FFFFFF"/>
            <w:vAlign w:val="bottom"/>
            <w:hideMark/>
          </w:tcPr>
          <w:p w14:paraId="7C322015" w14:textId="76DCFBE7" w:rsidR="003F135F" w:rsidRPr="00F53E25" w:rsidRDefault="003F135F" w:rsidP="003F135F">
            <w:pPr>
              <w:ind w:left="0" w:firstLine="0"/>
              <w:rPr>
                <w:rFonts w:eastAsia="Times New Roman" w:cs="Calibri"/>
              </w:rPr>
            </w:pPr>
            <w:r w:rsidRPr="00F53E25">
              <w:t>Proyectos no financiados con cargo al presupuesto básico</w:t>
            </w:r>
          </w:p>
        </w:tc>
        <w:tc>
          <w:tcPr>
            <w:tcW w:w="890" w:type="dxa"/>
            <w:tcBorders>
              <w:top w:val="nil"/>
              <w:left w:val="nil"/>
              <w:bottom w:val="nil"/>
              <w:right w:val="nil"/>
            </w:tcBorders>
            <w:shd w:val="clear" w:color="000000" w:fill="FFFFFF"/>
            <w:noWrap/>
            <w:vAlign w:val="bottom"/>
            <w:hideMark/>
          </w:tcPr>
          <w:p w14:paraId="2A05B559" w14:textId="77777777" w:rsidR="003F135F" w:rsidRPr="00F53E25" w:rsidRDefault="003F135F" w:rsidP="003F135F">
            <w:pPr>
              <w:ind w:left="0" w:firstLine="0"/>
              <w:jc w:val="center"/>
              <w:rPr>
                <w:rFonts w:eastAsia="Times New Roman" w:cs="Calibri"/>
              </w:rPr>
            </w:pPr>
            <w:r w:rsidRPr="00F53E25">
              <w:t>12</w:t>
            </w:r>
          </w:p>
        </w:tc>
        <w:tc>
          <w:tcPr>
            <w:tcW w:w="1215" w:type="dxa"/>
            <w:tcBorders>
              <w:top w:val="nil"/>
              <w:left w:val="nil"/>
              <w:bottom w:val="single" w:sz="4" w:space="0" w:color="auto"/>
              <w:right w:val="nil"/>
            </w:tcBorders>
            <w:shd w:val="clear" w:color="000000" w:fill="FFFFFF"/>
            <w:noWrap/>
            <w:vAlign w:val="bottom"/>
            <w:hideMark/>
          </w:tcPr>
          <w:p w14:paraId="380AEA94" w14:textId="1A038AEF" w:rsidR="003F135F" w:rsidRPr="00F53E25" w:rsidRDefault="002E586C" w:rsidP="003F135F">
            <w:pPr>
              <w:ind w:left="0" w:firstLine="0"/>
              <w:jc w:val="right"/>
              <w:rPr>
                <w:rFonts w:eastAsia="Times New Roman" w:cs="Calibri"/>
              </w:rPr>
            </w:pPr>
            <w:r w:rsidRPr="00F53E25">
              <w:t>1 877</w:t>
            </w:r>
          </w:p>
        </w:tc>
        <w:tc>
          <w:tcPr>
            <w:tcW w:w="164" w:type="dxa"/>
            <w:tcBorders>
              <w:top w:val="nil"/>
              <w:left w:val="nil"/>
              <w:bottom w:val="single" w:sz="4" w:space="0" w:color="auto"/>
              <w:right w:val="nil"/>
            </w:tcBorders>
            <w:shd w:val="clear" w:color="000000" w:fill="FFFFFF"/>
            <w:noWrap/>
            <w:vAlign w:val="bottom"/>
            <w:hideMark/>
          </w:tcPr>
          <w:p w14:paraId="15D6020A" w14:textId="77777777" w:rsidR="003F135F" w:rsidRPr="00F53E25" w:rsidRDefault="003F135F" w:rsidP="003F135F">
            <w:pPr>
              <w:ind w:left="0" w:firstLine="0"/>
              <w:rPr>
                <w:rFonts w:eastAsia="Times New Roman" w:cs="Calibri"/>
              </w:rPr>
            </w:pPr>
            <w:r w:rsidRPr="00F53E25">
              <w:t> </w:t>
            </w:r>
          </w:p>
        </w:tc>
        <w:tc>
          <w:tcPr>
            <w:tcW w:w="216" w:type="dxa"/>
            <w:tcBorders>
              <w:top w:val="nil"/>
              <w:left w:val="nil"/>
              <w:bottom w:val="single" w:sz="4" w:space="0" w:color="auto"/>
              <w:right w:val="nil"/>
            </w:tcBorders>
            <w:shd w:val="clear" w:color="000000" w:fill="D9D9D9"/>
            <w:noWrap/>
            <w:vAlign w:val="bottom"/>
            <w:hideMark/>
          </w:tcPr>
          <w:p w14:paraId="4E18FE0B" w14:textId="77777777" w:rsidR="003F135F" w:rsidRPr="00F53E25" w:rsidRDefault="003F135F" w:rsidP="003F135F">
            <w:pPr>
              <w:ind w:left="0" w:firstLine="0"/>
              <w:rPr>
                <w:rFonts w:eastAsia="Times New Roman" w:cs="Calibri"/>
              </w:rPr>
            </w:pPr>
            <w:r w:rsidRPr="00F53E25">
              <w:t> </w:t>
            </w:r>
          </w:p>
        </w:tc>
        <w:tc>
          <w:tcPr>
            <w:tcW w:w="1288" w:type="dxa"/>
            <w:tcBorders>
              <w:top w:val="nil"/>
              <w:left w:val="nil"/>
              <w:bottom w:val="single" w:sz="4" w:space="0" w:color="auto"/>
              <w:right w:val="nil"/>
            </w:tcBorders>
            <w:shd w:val="clear" w:color="000000" w:fill="FFFFFF"/>
            <w:noWrap/>
            <w:vAlign w:val="bottom"/>
            <w:hideMark/>
          </w:tcPr>
          <w:p w14:paraId="2FD6BF9E" w14:textId="08EAA30B" w:rsidR="003F135F" w:rsidRPr="00F53E25" w:rsidRDefault="002E586C" w:rsidP="003F135F">
            <w:pPr>
              <w:ind w:left="0" w:firstLine="0"/>
              <w:jc w:val="right"/>
              <w:rPr>
                <w:rFonts w:eastAsia="Times New Roman" w:cs="Calibri"/>
              </w:rPr>
            </w:pPr>
            <w:r w:rsidRPr="00F53E25">
              <w:t>2 073</w:t>
            </w:r>
          </w:p>
        </w:tc>
        <w:tc>
          <w:tcPr>
            <w:tcW w:w="164" w:type="dxa"/>
            <w:tcBorders>
              <w:top w:val="nil"/>
              <w:left w:val="nil"/>
              <w:bottom w:val="nil"/>
              <w:right w:val="nil"/>
            </w:tcBorders>
            <w:shd w:val="clear" w:color="000000" w:fill="FFFFFF"/>
            <w:noWrap/>
            <w:vAlign w:val="bottom"/>
            <w:hideMark/>
          </w:tcPr>
          <w:p w14:paraId="5C81DF26" w14:textId="77777777" w:rsidR="003F135F" w:rsidRPr="00F53E25" w:rsidRDefault="003F135F" w:rsidP="003F135F">
            <w:pPr>
              <w:ind w:left="0" w:firstLine="0"/>
              <w:rPr>
                <w:rFonts w:eastAsia="Times New Roman" w:cs="Calibri"/>
              </w:rPr>
            </w:pPr>
            <w:r w:rsidRPr="00F53E25">
              <w:t> </w:t>
            </w:r>
          </w:p>
        </w:tc>
      </w:tr>
      <w:tr w:rsidR="003F135F" w:rsidRPr="00F53E25" w14:paraId="10065621" w14:textId="77777777" w:rsidTr="006C4A6A">
        <w:tc>
          <w:tcPr>
            <w:tcW w:w="4962" w:type="dxa"/>
            <w:tcBorders>
              <w:top w:val="nil"/>
              <w:left w:val="nil"/>
              <w:bottom w:val="nil"/>
              <w:right w:val="nil"/>
            </w:tcBorders>
            <w:shd w:val="clear" w:color="000000" w:fill="FFFFFF"/>
            <w:vAlign w:val="bottom"/>
            <w:hideMark/>
          </w:tcPr>
          <w:p w14:paraId="159247F4" w14:textId="5127B34C"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w:t>
            </w:r>
            <w:r w:rsidR="006D4727" w:rsidRPr="00F53E25">
              <w:rPr>
                <w:b/>
                <w:bCs/>
              </w:rPr>
              <w:t>F</w:t>
            </w:r>
            <w:r w:rsidR="003F135F" w:rsidRPr="00F53E25">
              <w:rPr>
                <w:b/>
                <w:bCs/>
              </w:rPr>
              <w:t>ondo y reservas</w:t>
            </w:r>
          </w:p>
        </w:tc>
        <w:tc>
          <w:tcPr>
            <w:tcW w:w="890" w:type="dxa"/>
            <w:tcBorders>
              <w:top w:val="nil"/>
              <w:left w:val="nil"/>
              <w:bottom w:val="nil"/>
              <w:right w:val="nil"/>
            </w:tcBorders>
            <w:shd w:val="clear" w:color="000000" w:fill="FFFFFF"/>
            <w:noWrap/>
            <w:vAlign w:val="bottom"/>
            <w:hideMark/>
          </w:tcPr>
          <w:p w14:paraId="27DF18DC"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34C972C2" w14:textId="24EA6251" w:rsidR="003F135F" w:rsidRPr="00F53E25" w:rsidRDefault="002E586C" w:rsidP="003F135F">
            <w:pPr>
              <w:ind w:left="0" w:firstLine="0"/>
              <w:jc w:val="right"/>
              <w:rPr>
                <w:rFonts w:eastAsia="Times New Roman" w:cs="Calibri"/>
                <w:b/>
                <w:bCs/>
              </w:rPr>
            </w:pPr>
            <w:r w:rsidRPr="00F53E25">
              <w:rPr>
                <w:b/>
                <w:bCs/>
              </w:rPr>
              <w:t>5 195</w:t>
            </w:r>
          </w:p>
        </w:tc>
        <w:tc>
          <w:tcPr>
            <w:tcW w:w="164" w:type="dxa"/>
            <w:tcBorders>
              <w:top w:val="nil"/>
              <w:left w:val="nil"/>
              <w:bottom w:val="nil"/>
              <w:right w:val="nil"/>
            </w:tcBorders>
            <w:shd w:val="clear" w:color="000000" w:fill="FFFFFF"/>
            <w:noWrap/>
            <w:vAlign w:val="bottom"/>
            <w:hideMark/>
          </w:tcPr>
          <w:p w14:paraId="2F445737"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nil"/>
              <w:left w:val="nil"/>
              <w:bottom w:val="nil"/>
              <w:right w:val="nil"/>
            </w:tcBorders>
            <w:shd w:val="clear" w:color="000000" w:fill="D9D9D9"/>
            <w:noWrap/>
            <w:vAlign w:val="bottom"/>
            <w:hideMark/>
          </w:tcPr>
          <w:p w14:paraId="6BD2B18B"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nil"/>
              <w:left w:val="nil"/>
              <w:bottom w:val="nil"/>
              <w:right w:val="nil"/>
            </w:tcBorders>
            <w:shd w:val="clear" w:color="000000" w:fill="FFFFFF"/>
            <w:noWrap/>
            <w:vAlign w:val="bottom"/>
            <w:hideMark/>
          </w:tcPr>
          <w:p w14:paraId="0CF2162A" w14:textId="25C35F83" w:rsidR="003F135F" w:rsidRPr="00F53E25" w:rsidRDefault="003F135F" w:rsidP="003F135F">
            <w:pPr>
              <w:ind w:left="0" w:firstLine="0"/>
              <w:jc w:val="right"/>
              <w:rPr>
                <w:rFonts w:eastAsia="Times New Roman" w:cs="Calibri"/>
                <w:b/>
                <w:bCs/>
              </w:rPr>
            </w:pPr>
            <w:r w:rsidRPr="00F53E25">
              <w:rPr>
                <w:b/>
                <w:bCs/>
              </w:rPr>
              <w:t>4</w:t>
            </w:r>
            <w:r w:rsidR="002E586C" w:rsidRPr="00F53E25">
              <w:rPr>
                <w:b/>
                <w:bCs/>
              </w:rPr>
              <w:t xml:space="preserve"> 721</w:t>
            </w:r>
          </w:p>
        </w:tc>
        <w:tc>
          <w:tcPr>
            <w:tcW w:w="164" w:type="dxa"/>
            <w:tcBorders>
              <w:top w:val="nil"/>
              <w:left w:val="nil"/>
              <w:bottom w:val="nil"/>
              <w:right w:val="nil"/>
            </w:tcBorders>
            <w:shd w:val="clear" w:color="000000" w:fill="FFFFFF"/>
            <w:noWrap/>
            <w:vAlign w:val="bottom"/>
            <w:hideMark/>
          </w:tcPr>
          <w:p w14:paraId="3E48F5B1"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121D6F5C" w14:textId="77777777" w:rsidTr="006C4A6A">
        <w:tc>
          <w:tcPr>
            <w:tcW w:w="4962" w:type="dxa"/>
            <w:tcBorders>
              <w:top w:val="nil"/>
              <w:left w:val="nil"/>
              <w:bottom w:val="nil"/>
              <w:right w:val="nil"/>
            </w:tcBorders>
            <w:shd w:val="clear" w:color="000000" w:fill="FFFFFF"/>
            <w:vAlign w:val="bottom"/>
            <w:hideMark/>
          </w:tcPr>
          <w:p w14:paraId="5E22E6C2" w14:textId="77777777" w:rsidR="003F135F" w:rsidRPr="00F53E25" w:rsidRDefault="003F135F" w:rsidP="003F135F">
            <w:pPr>
              <w:ind w:left="0" w:firstLine="0"/>
              <w:rPr>
                <w:rFonts w:eastAsia="Times New Roman" w:cs="Calibri"/>
                <w:b/>
                <w:bCs/>
              </w:rPr>
            </w:pPr>
            <w:r w:rsidRPr="00F53E25">
              <w:rPr>
                <w:b/>
                <w:bCs/>
              </w:rPr>
              <w:t> </w:t>
            </w:r>
          </w:p>
        </w:tc>
        <w:tc>
          <w:tcPr>
            <w:tcW w:w="890" w:type="dxa"/>
            <w:tcBorders>
              <w:top w:val="nil"/>
              <w:left w:val="nil"/>
              <w:bottom w:val="nil"/>
              <w:right w:val="nil"/>
            </w:tcBorders>
            <w:shd w:val="clear" w:color="000000" w:fill="FFFFFF"/>
            <w:noWrap/>
            <w:vAlign w:val="bottom"/>
            <w:hideMark/>
          </w:tcPr>
          <w:p w14:paraId="7BFB9835" w14:textId="77777777" w:rsidR="003F135F" w:rsidRPr="00F53E25" w:rsidRDefault="003F135F" w:rsidP="003F135F">
            <w:pPr>
              <w:ind w:left="0" w:firstLine="0"/>
              <w:jc w:val="center"/>
              <w:rPr>
                <w:rFonts w:eastAsia="Times New Roman" w:cs="Calibri"/>
              </w:rPr>
            </w:pPr>
            <w:r w:rsidRPr="00F53E25">
              <w:t> </w:t>
            </w:r>
          </w:p>
        </w:tc>
        <w:tc>
          <w:tcPr>
            <w:tcW w:w="1215" w:type="dxa"/>
            <w:tcBorders>
              <w:top w:val="nil"/>
              <w:left w:val="nil"/>
              <w:bottom w:val="nil"/>
              <w:right w:val="nil"/>
            </w:tcBorders>
            <w:shd w:val="clear" w:color="000000" w:fill="FFFFFF"/>
            <w:noWrap/>
            <w:vAlign w:val="bottom"/>
            <w:hideMark/>
          </w:tcPr>
          <w:p w14:paraId="7E0B337E" w14:textId="77777777" w:rsidR="003F135F" w:rsidRPr="00F53E25" w:rsidRDefault="003F135F" w:rsidP="003F135F">
            <w:pPr>
              <w:ind w:left="0" w:firstLine="0"/>
              <w:rPr>
                <w:rFonts w:eastAsia="Times New Roman" w:cs="Calibri"/>
                <w:b/>
                <w:bCs/>
              </w:rPr>
            </w:pPr>
            <w:r w:rsidRPr="00F53E25">
              <w:rPr>
                <w:b/>
                <w:bCs/>
              </w:rPr>
              <w:t> </w:t>
            </w:r>
          </w:p>
        </w:tc>
        <w:tc>
          <w:tcPr>
            <w:tcW w:w="164" w:type="dxa"/>
            <w:tcBorders>
              <w:top w:val="nil"/>
              <w:left w:val="nil"/>
              <w:bottom w:val="nil"/>
              <w:right w:val="nil"/>
            </w:tcBorders>
            <w:shd w:val="clear" w:color="000000" w:fill="FFFFFF"/>
            <w:noWrap/>
            <w:vAlign w:val="bottom"/>
            <w:hideMark/>
          </w:tcPr>
          <w:p w14:paraId="0EC36DED"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nil"/>
              <w:left w:val="nil"/>
              <w:bottom w:val="nil"/>
              <w:right w:val="nil"/>
            </w:tcBorders>
            <w:shd w:val="clear" w:color="000000" w:fill="D9D9D9"/>
            <w:noWrap/>
            <w:vAlign w:val="bottom"/>
            <w:hideMark/>
          </w:tcPr>
          <w:p w14:paraId="7A5CC807"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nil"/>
              <w:left w:val="nil"/>
              <w:bottom w:val="nil"/>
              <w:right w:val="nil"/>
            </w:tcBorders>
            <w:shd w:val="clear" w:color="000000" w:fill="FFFFFF"/>
            <w:noWrap/>
            <w:vAlign w:val="bottom"/>
            <w:hideMark/>
          </w:tcPr>
          <w:p w14:paraId="5472B7D1" w14:textId="77777777" w:rsidR="003F135F" w:rsidRPr="00F53E25" w:rsidRDefault="003F135F" w:rsidP="003F135F">
            <w:pPr>
              <w:ind w:left="0" w:firstLine="0"/>
              <w:rPr>
                <w:rFonts w:eastAsia="Times New Roman" w:cs="Calibri"/>
                <w:b/>
                <w:bCs/>
              </w:rPr>
            </w:pPr>
            <w:r w:rsidRPr="00F53E25">
              <w:rPr>
                <w:b/>
                <w:bCs/>
              </w:rPr>
              <w:t> </w:t>
            </w:r>
          </w:p>
        </w:tc>
        <w:tc>
          <w:tcPr>
            <w:tcW w:w="164" w:type="dxa"/>
            <w:tcBorders>
              <w:top w:val="nil"/>
              <w:left w:val="nil"/>
              <w:bottom w:val="nil"/>
              <w:right w:val="nil"/>
            </w:tcBorders>
            <w:shd w:val="clear" w:color="000000" w:fill="FFFFFF"/>
            <w:noWrap/>
            <w:vAlign w:val="bottom"/>
            <w:hideMark/>
          </w:tcPr>
          <w:p w14:paraId="5002AFC1" w14:textId="77777777" w:rsidR="003F135F" w:rsidRPr="00F53E25" w:rsidRDefault="003F135F" w:rsidP="003F135F">
            <w:pPr>
              <w:ind w:left="0" w:firstLine="0"/>
              <w:rPr>
                <w:rFonts w:eastAsia="Times New Roman" w:cs="Calibri"/>
                <w:b/>
                <w:bCs/>
              </w:rPr>
            </w:pPr>
            <w:r w:rsidRPr="00F53E25">
              <w:rPr>
                <w:b/>
                <w:bCs/>
              </w:rPr>
              <w:t> </w:t>
            </w:r>
          </w:p>
        </w:tc>
      </w:tr>
      <w:tr w:rsidR="003F135F" w:rsidRPr="00F53E25" w14:paraId="71286551" w14:textId="77777777" w:rsidTr="006C4A6A">
        <w:tc>
          <w:tcPr>
            <w:tcW w:w="4962" w:type="dxa"/>
            <w:tcBorders>
              <w:top w:val="nil"/>
              <w:left w:val="nil"/>
              <w:bottom w:val="nil"/>
              <w:right w:val="nil"/>
            </w:tcBorders>
            <w:shd w:val="clear" w:color="000000" w:fill="FFFFFF"/>
            <w:vAlign w:val="center"/>
            <w:hideMark/>
          </w:tcPr>
          <w:p w14:paraId="0E45D3A6" w14:textId="67BAC1E6" w:rsidR="003F135F" w:rsidRPr="00F53E25" w:rsidRDefault="009154DA" w:rsidP="003F135F">
            <w:pPr>
              <w:ind w:left="0" w:firstLine="0"/>
              <w:rPr>
                <w:rFonts w:eastAsia="Times New Roman" w:cs="Calibri"/>
                <w:b/>
                <w:bCs/>
              </w:rPr>
            </w:pPr>
            <w:r w:rsidRPr="00F53E25">
              <w:rPr>
                <w:b/>
                <w:bCs/>
              </w:rPr>
              <w:t>TOTAL,</w:t>
            </w:r>
            <w:r w:rsidR="003F135F" w:rsidRPr="00F53E25">
              <w:rPr>
                <w:b/>
                <w:bCs/>
              </w:rPr>
              <w:t xml:space="preserve"> PASIVO Y SALDOS DE FONDOS</w:t>
            </w:r>
          </w:p>
        </w:tc>
        <w:tc>
          <w:tcPr>
            <w:tcW w:w="890" w:type="dxa"/>
            <w:tcBorders>
              <w:top w:val="nil"/>
              <w:left w:val="nil"/>
              <w:bottom w:val="nil"/>
              <w:right w:val="nil"/>
            </w:tcBorders>
            <w:shd w:val="clear" w:color="000000" w:fill="FFFFFF"/>
            <w:noWrap/>
            <w:vAlign w:val="center"/>
            <w:hideMark/>
          </w:tcPr>
          <w:p w14:paraId="27D535C3" w14:textId="77777777" w:rsidR="003F135F" w:rsidRPr="00F53E25" w:rsidRDefault="003F135F" w:rsidP="003F135F">
            <w:pPr>
              <w:ind w:left="0" w:firstLine="0"/>
              <w:jc w:val="center"/>
              <w:rPr>
                <w:rFonts w:eastAsia="Times New Roman" w:cs="Calibri"/>
              </w:rPr>
            </w:pPr>
            <w:r w:rsidRPr="00F53E25">
              <w:t> </w:t>
            </w:r>
          </w:p>
        </w:tc>
        <w:tc>
          <w:tcPr>
            <w:tcW w:w="1215" w:type="dxa"/>
            <w:tcBorders>
              <w:top w:val="single" w:sz="4" w:space="0" w:color="auto"/>
              <w:left w:val="nil"/>
              <w:bottom w:val="single" w:sz="4" w:space="0" w:color="auto"/>
              <w:right w:val="nil"/>
            </w:tcBorders>
            <w:shd w:val="clear" w:color="000000" w:fill="C5D9F1"/>
            <w:noWrap/>
            <w:vAlign w:val="center"/>
            <w:hideMark/>
          </w:tcPr>
          <w:p w14:paraId="397C44FE" w14:textId="3892A97F" w:rsidR="003F135F" w:rsidRPr="00F53E25" w:rsidRDefault="003F135F" w:rsidP="003F135F">
            <w:pPr>
              <w:ind w:left="0" w:firstLine="0"/>
              <w:jc w:val="right"/>
              <w:rPr>
                <w:rFonts w:eastAsia="Times New Roman" w:cs="Calibri"/>
                <w:b/>
                <w:bCs/>
              </w:rPr>
            </w:pPr>
            <w:r w:rsidRPr="00F53E25">
              <w:rPr>
                <w:b/>
                <w:bCs/>
              </w:rPr>
              <w:t>6</w:t>
            </w:r>
            <w:r w:rsidR="002E586C" w:rsidRPr="00F53E25">
              <w:rPr>
                <w:b/>
                <w:bCs/>
              </w:rPr>
              <w:t xml:space="preserve"> 412</w:t>
            </w:r>
          </w:p>
        </w:tc>
        <w:tc>
          <w:tcPr>
            <w:tcW w:w="164" w:type="dxa"/>
            <w:tcBorders>
              <w:top w:val="single" w:sz="4" w:space="0" w:color="auto"/>
              <w:left w:val="nil"/>
              <w:bottom w:val="single" w:sz="4" w:space="0" w:color="auto"/>
              <w:right w:val="nil"/>
            </w:tcBorders>
            <w:shd w:val="clear" w:color="000000" w:fill="C5D9F1"/>
            <w:noWrap/>
            <w:vAlign w:val="center"/>
            <w:hideMark/>
          </w:tcPr>
          <w:p w14:paraId="6F6FA53A" w14:textId="77777777" w:rsidR="003F135F" w:rsidRPr="00F53E25" w:rsidRDefault="003F135F" w:rsidP="003F135F">
            <w:pPr>
              <w:ind w:left="0" w:firstLine="0"/>
              <w:rPr>
                <w:rFonts w:eastAsia="Times New Roman" w:cs="Calibri"/>
                <w:b/>
                <w:bCs/>
              </w:rPr>
            </w:pPr>
            <w:r w:rsidRPr="00F53E25">
              <w:rPr>
                <w:b/>
                <w:bCs/>
              </w:rPr>
              <w:t> </w:t>
            </w:r>
          </w:p>
        </w:tc>
        <w:tc>
          <w:tcPr>
            <w:tcW w:w="216" w:type="dxa"/>
            <w:tcBorders>
              <w:top w:val="single" w:sz="4" w:space="0" w:color="auto"/>
              <w:left w:val="nil"/>
              <w:bottom w:val="single" w:sz="4" w:space="0" w:color="auto"/>
              <w:right w:val="nil"/>
            </w:tcBorders>
            <w:shd w:val="clear" w:color="000000" w:fill="D9D9D9"/>
            <w:noWrap/>
            <w:vAlign w:val="center"/>
            <w:hideMark/>
          </w:tcPr>
          <w:p w14:paraId="2922A3EC" w14:textId="77777777" w:rsidR="003F135F" w:rsidRPr="00F53E25" w:rsidRDefault="003F135F" w:rsidP="003F135F">
            <w:pPr>
              <w:ind w:left="0" w:firstLine="0"/>
              <w:rPr>
                <w:rFonts w:eastAsia="Times New Roman" w:cs="Calibri"/>
                <w:b/>
                <w:bCs/>
              </w:rPr>
            </w:pPr>
            <w:r w:rsidRPr="00F53E25">
              <w:rPr>
                <w:b/>
                <w:bCs/>
              </w:rPr>
              <w:t> </w:t>
            </w:r>
          </w:p>
        </w:tc>
        <w:tc>
          <w:tcPr>
            <w:tcW w:w="1288" w:type="dxa"/>
            <w:tcBorders>
              <w:top w:val="single" w:sz="4" w:space="0" w:color="auto"/>
              <w:left w:val="nil"/>
              <w:bottom w:val="single" w:sz="4" w:space="0" w:color="auto"/>
              <w:right w:val="nil"/>
            </w:tcBorders>
            <w:shd w:val="clear" w:color="000000" w:fill="EBF1DE"/>
            <w:noWrap/>
            <w:vAlign w:val="center"/>
            <w:hideMark/>
          </w:tcPr>
          <w:p w14:paraId="30F76655" w14:textId="56405508" w:rsidR="003F135F" w:rsidRPr="00F53E25" w:rsidRDefault="003F135F" w:rsidP="003F135F">
            <w:pPr>
              <w:ind w:left="0" w:firstLine="0"/>
              <w:jc w:val="right"/>
              <w:rPr>
                <w:rFonts w:eastAsia="Times New Roman" w:cs="Calibri"/>
                <w:b/>
                <w:bCs/>
              </w:rPr>
            </w:pPr>
            <w:r w:rsidRPr="00F53E25">
              <w:rPr>
                <w:b/>
                <w:bCs/>
              </w:rPr>
              <w:t>6</w:t>
            </w:r>
            <w:r w:rsidR="00652E0C" w:rsidRPr="00F53E25">
              <w:rPr>
                <w:b/>
                <w:bCs/>
              </w:rPr>
              <w:t> </w:t>
            </w:r>
            <w:r w:rsidR="002E586C" w:rsidRPr="00F53E25">
              <w:rPr>
                <w:b/>
                <w:bCs/>
              </w:rPr>
              <w:t>349</w:t>
            </w:r>
          </w:p>
        </w:tc>
        <w:tc>
          <w:tcPr>
            <w:tcW w:w="164" w:type="dxa"/>
            <w:tcBorders>
              <w:top w:val="single" w:sz="4" w:space="0" w:color="auto"/>
              <w:left w:val="nil"/>
              <w:bottom w:val="single" w:sz="4" w:space="0" w:color="auto"/>
              <w:right w:val="nil"/>
            </w:tcBorders>
            <w:shd w:val="clear" w:color="000000" w:fill="EBF1DE"/>
            <w:noWrap/>
            <w:vAlign w:val="center"/>
            <w:hideMark/>
          </w:tcPr>
          <w:p w14:paraId="1E1D9D4D" w14:textId="77777777" w:rsidR="003F135F" w:rsidRPr="00F53E25" w:rsidRDefault="003F135F" w:rsidP="003F135F">
            <w:pPr>
              <w:ind w:left="0" w:firstLine="0"/>
              <w:rPr>
                <w:rFonts w:eastAsia="Times New Roman" w:cs="Calibri"/>
                <w:b/>
                <w:bCs/>
              </w:rPr>
            </w:pPr>
            <w:r w:rsidRPr="00F53E25">
              <w:rPr>
                <w:b/>
                <w:bCs/>
              </w:rPr>
              <w:t> </w:t>
            </w:r>
          </w:p>
        </w:tc>
      </w:tr>
    </w:tbl>
    <w:p w14:paraId="36CBB2B4" w14:textId="77777777" w:rsidR="006C4A6A" w:rsidRDefault="006C4A6A" w:rsidP="00633DD5">
      <w:pPr>
        <w:pStyle w:val="NoSpacing"/>
        <w:rPr>
          <w:b/>
          <w:bCs/>
          <w:color w:val="000000" w:themeColor="text1"/>
        </w:rPr>
      </w:pPr>
      <w:r>
        <w:rPr>
          <w:b/>
          <w:bCs/>
          <w:color w:val="000000" w:themeColor="text1"/>
        </w:rPr>
        <w:br w:type="page"/>
      </w:r>
    </w:p>
    <w:p w14:paraId="42024014" w14:textId="459D18C2" w:rsidR="006C1657" w:rsidRPr="00F53E25" w:rsidRDefault="003D733E" w:rsidP="00633DD5">
      <w:pPr>
        <w:pStyle w:val="NoSpacing"/>
        <w:rPr>
          <w:rFonts w:eastAsia="Times New Roman" w:cs="Arial"/>
          <w:b/>
          <w:bCs/>
          <w:color w:val="000000" w:themeColor="text1"/>
        </w:rPr>
      </w:pPr>
      <w:r w:rsidRPr="00F53E25">
        <w:rPr>
          <w:b/>
          <w:bCs/>
          <w:color w:val="000000" w:themeColor="text1"/>
        </w:rPr>
        <w:lastRenderedPageBreak/>
        <w:t>II.</w:t>
      </w:r>
      <w:r w:rsidRPr="00F53E25">
        <w:rPr>
          <w:b/>
          <w:bCs/>
          <w:color w:val="000000" w:themeColor="text1"/>
        </w:rPr>
        <w:tab/>
        <w:t xml:space="preserve">Estado de resultados del ejercicio </w:t>
      </w:r>
      <w:r w:rsidR="006D27CC" w:rsidRPr="00F53E25">
        <w:rPr>
          <w:b/>
          <w:bCs/>
          <w:color w:val="000000" w:themeColor="text1"/>
        </w:rPr>
        <w:t xml:space="preserve">finalizado </w:t>
      </w:r>
      <w:r w:rsidRPr="00F53E25">
        <w:rPr>
          <w:b/>
          <w:bCs/>
          <w:color w:val="000000" w:themeColor="text1"/>
        </w:rPr>
        <w:t>el 31 de diciembre</w:t>
      </w:r>
      <w:r w:rsidR="006E13F3" w:rsidRPr="00F53E25">
        <w:rPr>
          <w:b/>
          <w:bCs/>
          <w:color w:val="000000" w:themeColor="text1"/>
        </w:rPr>
        <w:t xml:space="preserve"> de 2020</w:t>
      </w:r>
      <w:r w:rsidRPr="00F53E25">
        <w:rPr>
          <w:b/>
          <w:bCs/>
          <w:color w:val="000000" w:themeColor="text1"/>
        </w:rPr>
        <w:tab/>
      </w:r>
    </w:p>
    <w:p w14:paraId="6C247957" w14:textId="25F96AAF" w:rsidR="003F135F" w:rsidRPr="00F53E25" w:rsidRDefault="003F135F" w:rsidP="00633DD5">
      <w:pPr>
        <w:pStyle w:val="NoSpacing"/>
        <w:rPr>
          <w:rFonts w:eastAsia="Times New Roman" w:cs="Arial"/>
          <w:b/>
          <w:bCs/>
          <w:color w:val="FF0000"/>
          <w:lang w:eastAsia="en-GB"/>
        </w:rPr>
      </w:pPr>
    </w:p>
    <w:tbl>
      <w:tblPr>
        <w:tblW w:w="9861" w:type="dxa"/>
        <w:tblInd w:w="-426" w:type="dxa"/>
        <w:tblLayout w:type="fixed"/>
        <w:tblCellMar>
          <w:left w:w="57" w:type="dxa"/>
          <w:right w:w="57" w:type="dxa"/>
        </w:tblCellMar>
        <w:tblLook w:val="04A0" w:firstRow="1" w:lastRow="0" w:firstColumn="1" w:lastColumn="0" w:noHBand="0" w:noVBand="1"/>
      </w:tblPr>
      <w:tblGrid>
        <w:gridCol w:w="3828"/>
        <w:gridCol w:w="687"/>
        <w:gridCol w:w="731"/>
        <w:gridCol w:w="118"/>
        <w:gridCol w:w="850"/>
        <w:gridCol w:w="166"/>
        <w:gridCol w:w="688"/>
        <w:gridCol w:w="239"/>
        <w:gridCol w:w="774"/>
        <w:gridCol w:w="76"/>
        <w:gridCol w:w="850"/>
        <w:gridCol w:w="66"/>
        <w:gridCol w:w="788"/>
      </w:tblGrid>
      <w:tr w:rsidR="003F135F" w:rsidRPr="00F53E25" w14:paraId="1AAF4489" w14:textId="77777777" w:rsidTr="00845CBE">
        <w:tc>
          <w:tcPr>
            <w:tcW w:w="3828" w:type="dxa"/>
            <w:tcBorders>
              <w:top w:val="nil"/>
              <w:left w:val="nil"/>
              <w:bottom w:val="nil"/>
              <w:right w:val="nil"/>
            </w:tcBorders>
            <w:shd w:val="clear" w:color="000000" w:fill="FFFFFF"/>
            <w:noWrap/>
            <w:vAlign w:val="bottom"/>
            <w:hideMark/>
          </w:tcPr>
          <w:p w14:paraId="0F21387F" w14:textId="77777777" w:rsidR="003F135F" w:rsidRPr="00F53E25" w:rsidRDefault="003F135F"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textDirection w:val="btLr"/>
            <w:vAlign w:val="center"/>
            <w:hideMark/>
          </w:tcPr>
          <w:p w14:paraId="08811E1B" w14:textId="77777777" w:rsidR="003F135F" w:rsidRPr="00F53E25" w:rsidRDefault="003F135F"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2553" w:type="dxa"/>
            <w:gridSpan w:val="5"/>
            <w:tcBorders>
              <w:top w:val="nil"/>
              <w:left w:val="nil"/>
              <w:bottom w:val="nil"/>
              <w:right w:val="nil"/>
            </w:tcBorders>
            <w:shd w:val="clear" w:color="000000" w:fill="8DB4E2"/>
            <w:noWrap/>
            <w:vAlign w:val="center"/>
            <w:hideMark/>
          </w:tcPr>
          <w:p w14:paraId="5C6CAD9A" w14:textId="413E53E6" w:rsidR="003F135F" w:rsidRPr="00F53E25" w:rsidRDefault="003F135F"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20</w:t>
            </w:r>
            <w:r w:rsidR="002E586C" w:rsidRPr="00F53E25">
              <w:rPr>
                <w:rFonts w:asciiTheme="minorHAnsi" w:hAnsiTheme="minorHAnsi"/>
                <w:b/>
                <w:bCs/>
                <w:sz w:val="20"/>
                <w:szCs w:val="20"/>
              </w:rPr>
              <w:t>20</w:t>
            </w:r>
          </w:p>
        </w:tc>
        <w:tc>
          <w:tcPr>
            <w:tcW w:w="239" w:type="dxa"/>
            <w:tcBorders>
              <w:top w:val="nil"/>
              <w:left w:val="nil"/>
              <w:bottom w:val="nil"/>
              <w:right w:val="nil"/>
            </w:tcBorders>
            <w:shd w:val="clear" w:color="000000" w:fill="D9D9D9"/>
            <w:noWrap/>
            <w:vAlign w:val="center"/>
            <w:hideMark/>
          </w:tcPr>
          <w:p w14:paraId="504CC4D6" w14:textId="77777777" w:rsidR="003F135F" w:rsidRPr="00F53E25" w:rsidRDefault="003F135F"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2554" w:type="dxa"/>
            <w:gridSpan w:val="5"/>
            <w:tcBorders>
              <w:top w:val="nil"/>
              <w:left w:val="nil"/>
              <w:bottom w:val="nil"/>
              <w:right w:val="nil"/>
            </w:tcBorders>
            <w:shd w:val="clear" w:color="auto" w:fill="C2D69B" w:themeFill="accent3" w:themeFillTint="99"/>
            <w:noWrap/>
            <w:vAlign w:val="center"/>
            <w:hideMark/>
          </w:tcPr>
          <w:p w14:paraId="2C28220E" w14:textId="2D5197CD" w:rsidR="003F135F" w:rsidRPr="00F53E25" w:rsidRDefault="003F135F"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201</w:t>
            </w:r>
            <w:r w:rsidR="002E586C" w:rsidRPr="00F53E25">
              <w:rPr>
                <w:rFonts w:asciiTheme="minorHAnsi" w:hAnsiTheme="minorHAnsi"/>
                <w:b/>
                <w:bCs/>
                <w:sz w:val="20"/>
                <w:szCs w:val="20"/>
              </w:rPr>
              <w:t>9</w:t>
            </w:r>
          </w:p>
        </w:tc>
      </w:tr>
      <w:tr w:rsidR="00EB4CBD" w:rsidRPr="00F53E25" w14:paraId="6982AFF8" w14:textId="77777777" w:rsidTr="00845CBE">
        <w:tc>
          <w:tcPr>
            <w:tcW w:w="3828" w:type="dxa"/>
            <w:tcBorders>
              <w:top w:val="nil"/>
              <w:left w:val="nil"/>
              <w:bottom w:val="single" w:sz="8" w:space="0" w:color="auto"/>
              <w:right w:val="nil"/>
            </w:tcBorders>
            <w:shd w:val="clear" w:color="000000" w:fill="FFFFFF"/>
            <w:noWrap/>
            <w:vAlign w:val="bottom"/>
            <w:hideMark/>
          </w:tcPr>
          <w:p w14:paraId="50E50041" w14:textId="77777777" w:rsidR="00EB4CBD" w:rsidRPr="00F53E25" w:rsidRDefault="00EB4CBD" w:rsidP="003F135F">
            <w:pPr>
              <w:ind w:left="0" w:firstLine="0"/>
              <w:rPr>
                <w:rFonts w:asciiTheme="minorHAnsi" w:eastAsia="Times New Roman" w:hAnsiTheme="minorHAnsi" w:cstheme="minorHAnsi"/>
                <w:i/>
                <w:iCs/>
                <w:sz w:val="20"/>
                <w:szCs w:val="20"/>
              </w:rPr>
            </w:pPr>
            <w:r w:rsidRPr="00F53E25">
              <w:rPr>
                <w:rFonts w:asciiTheme="minorHAnsi" w:hAnsiTheme="minorHAnsi"/>
                <w:i/>
                <w:iCs/>
                <w:sz w:val="20"/>
                <w:szCs w:val="20"/>
              </w:rPr>
              <w:t>en miles de francos suizos</w:t>
            </w:r>
          </w:p>
        </w:tc>
        <w:tc>
          <w:tcPr>
            <w:tcW w:w="687" w:type="dxa"/>
            <w:tcBorders>
              <w:top w:val="nil"/>
              <w:left w:val="nil"/>
              <w:bottom w:val="single" w:sz="8" w:space="0" w:color="auto"/>
              <w:right w:val="nil"/>
            </w:tcBorders>
            <w:shd w:val="clear" w:color="000000" w:fill="FFFFFF"/>
            <w:noWrap/>
            <w:vAlign w:val="center"/>
            <w:hideMark/>
          </w:tcPr>
          <w:p w14:paraId="7C479833" w14:textId="77777777" w:rsidR="00EB4CBD" w:rsidRPr="00F53E25" w:rsidRDefault="00EB4CBD"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Notas</w:t>
            </w:r>
          </w:p>
        </w:tc>
        <w:tc>
          <w:tcPr>
            <w:tcW w:w="731" w:type="dxa"/>
            <w:tcBorders>
              <w:top w:val="nil"/>
              <w:left w:val="nil"/>
              <w:bottom w:val="single" w:sz="8" w:space="0" w:color="auto"/>
              <w:right w:val="nil"/>
            </w:tcBorders>
            <w:shd w:val="clear" w:color="000000" w:fill="FFFFFF"/>
            <w:vAlign w:val="center"/>
            <w:hideMark/>
          </w:tcPr>
          <w:p w14:paraId="61A6CD84" w14:textId="77777777" w:rsidR="00EB4CBD" w:rsidRPr="00F53E25" w:rsidRDefault="00EB4CBD"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Fondos básicos</w:t>
            </w:r>
          </w:p>
        </w:tc>
        <w:tc>
          <w:tcPr>
            <w:tcW w:w="1134" w:type="dxa"/>
            <w:gridSpan w:val="3"/>
            <w:tcBorders>
              <w:top w:val="nil"/>
              <w:left w:val="nil"/>
              <w:bottom w:val="single" w:sz="8" w:space="0" w:color="auto"/>
              <w:right w:val="nil"/>
            </w:tcBorders>
            <w:shd w:val="clear" w:color="000000" w:fill="FFFFFF"/>
            <w:vAlign w:val="center"/>
            <w:hideMark/>
          </w:tcPr>
          <w:p w14:paraId="177CF2E5" w14:textId="77777777" w:rsidR="00EB4CBD" w:rsidRPr="00F53E25" w:rsidRDefault="00EB4CBD" w:rsidP="003F135F">
            <w:pPr>
              <w:ind w:left="0" w:firstLine="0"/>
              <w:jc w:val="center"/>
              <w:rPr>
                <w:rFonts w:asciiTheme="minorHAnsi" w:eastAsia="Times New Roman" w:hAnsiTheme="minorHAnsi" w:cstheme="minorHAnsi"/>
                <w:b/>
                <w:bCs/>
                <w:sz w:val="16"/>
                <w:szCs w:val="16"/>
              </w:rPr>
            </w:pPr>
            <w:r w:rsidRPr="00F53E25">
              <w:rPr>
                <w:rFonts w:asciiTheme="minorHAnsi" w:hAnsiTheme="minorHAnsi"/>
                <w:b/>
                <w:bCs/>
                <w:sz w:val="16"/>
                <w:szCs w:val="16"/>
              </w:rPr>
              <w:t>Proyectos no financiados con cargo al presupuesto básico</w:t>
            </w:r>
          </w:p>
        </w:tc>
        <w:tc>
          <w:tcPr>
            <w:tcW w:w="688" w:type="dxa"/>
            <w:tcBorders>
              <w:top w:val="nil"/>
              <w:left w:val="nil"/>
              <w:bottom w:val="single" w:sz="8" w:space="0" w:color="auto"/>
              <w:right w:val="nil"/>
            </w:tcBorders>
            <w:shd w:val="clear" w:color="000000" w:fill="FFFFFF"/>
            <w:noWrap/>
            <w:vAlign w:val="center"/>
            <w:hideMark/>
          </w:tcPr>
          <w:p w14:paraId="37B2F876" w14:textId="77777777" w:rsidR="00EB4CBD" w:rsidRPr="00F53E25" w:rsidRDefault="00EB4CBD"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Total</w:t>
            </w:r>
          </w:p>
        </w:tc>
        <w:tc>
          <w:tcPr>
            <w:tcW w:w="239" w:type="dxa"/>
            <w:tcBorders>
              <w:top w:val="nil"/>
              <w:left w:val="nil"/>
              <w:bottom w:val="single" w:sz="8" w:space="0" w:color="auto"/>
              <w:right w:val="nil"/>
            </w:tcBorders>
            <w:shd w:val="clear" w:color="000000" w:fill="D9D9D9"/>
            <w:noWrap/>
            <w:vAlign w:val="center"/>
            <w:hideMark/>
          </w:tcPr>
          <w:p w14:paraId="67F2941E" w14:textId="77777777" w:rsidR="00EB4CBD" w:rsidRPr="00F53E25" w:rsidRDefault="00EB4CBD"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774" w:type="dxa"/>
            <w:tcBorders>
              <w:top w:val="nil"/>
              <w:left w:val="nil"/>
              <w:bottom w:val="single" w:sz="8" w:space="0" w:color="auto"/>
              <w:right w:val="nil"/>
            </w:tcBorders>
            <w:shd w:val="clear" w:color="000000" w:fill="FFFFFF"/>
            <w:vAlign w:val="center"/>
            <w:hideMark/>
          </w:tcPr>
          <w:p w14:paraId="60292727" w14:textId="77777777" w:rsidR="00EB4CBD" w:rsidRPr="00F53E25" w:rsidRDefault="00EB4CBD"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Fondos básicos</w:t>
            </w:r>
          </w:p>
        </w:tc>
        <w:tc>
          <w:tcPr>
            <w:tcW w:w="992" w:type="dxa"/>
            <w:gridSpan w:val="3"/>
            <w:tcBorders>
              <w:top w:val="nil"/>
              <w:left w:val="nil"/>
              <w:bottom w:val="single" w:sz="8" w:space="0" w:color="auto"/>
              <w:right w:val="nil"/>
            </w:tcBorders>
            <w:shd w:val="clear" w:color="000000" w:fill="FFFFFF"/>
            <w:vAlign w:val="center"/>
            <w:hideMark/>
          </w:tcPr>
          <w:p w14:paraId="32922512" w14:textId="77777777" w:rsidR="00EB4CBD" w:rsidRPr="00F53E25" w:rsidRDefault="00EB4CBD" w:rsidP="003F135F">
            <w:pPr>
              <w:ind w:left="0" w:firstLine="0"/>
              <w:jc w:val="center"/>
              <w:rPr>
                <w:rFonts w:asciiTheme="minorHAnsi" w:eastAsia="Times New Roman" w:hAnsiTheme="minorHAnsi" w:cstheme="minorHAnsi"/>
                <w:b/>
                <w:bCs/>
                <w:sz w:val="15"/>
                <w:szCs w:val="15"/>
              </w:rPr>
            </w:pPr>
            <w:r w:rsidRPr="00F53E25">
              <w:rPr>
                <w:rFonts w:asciiTheme="minorHAnsi" w:hAnsiTheme="minorHAnsi"/>
                <w:b/>
                <w:bCs/>
                <w:sz w:val="15"/>
                <w:szCs w:val="15"/>
              </w:rPr>
              <w:t>Proyectos no financiados con cargo al presupuesto básico</w:t>
            </w:r>
          </w:p>
        </w:tc>
        <w:tc>
          <w:tcPr>
            <w:tcW w:w="788" w:type="dxa"/>
            <w:tcBorders>
              <w:top w:val="nil"/>
              <w:left w:val="nil"/>
              <w:bottom w:val="single" w:sz="8" w:space="0" w:color="auto"/>
              <w:right w:val="nil"/>
            </w:tcBorders>
            <w:shd w:val="clear" w:color="000000" w:fill="FFFFFF"/>
            <w:noWrap/>
            <w:vAlign w:val="center"/>
            <w:hideMark/>
          </w:tcPr>
          <w:p w14:paraId="73E9C049" w14:textId="77777777" w:rsidR="00EB4CBD" w:rsidRPr="00F53E25" w:rsidRDefault="00EB4CBD" w:rsidP="003F135F">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Total</w:t>
            </w:r>
          </w:p>
        </w:tc>
      </w:tr>
      <w:tr w:rsidR="00EB4CBD" w:rsidRPr="00F53E25" w14:paraId="0CE9826C" w14:textId="77777777" w:rsidTr="00845CBE">
        <w:tc>
          <w:tcPr>
            <w:tcW w:w="3828" w:type="dxa"/>
            <w:tcBorders>
              <w:top w:val="nil"/>
              <w:left w:val="nil"/>
              <w:bottom w:val="nil"/>
              <w:right w:val="nil"/>
            </w:tcBorders>
            <w:shd w:val="clear" w:color="000000" w:fill="FFFFFF"/>
            <w:noWrap/>
            <w:vAlign w:val="bottom"/>
            <w:hideMark/>
          </w:tcPr>
          <w:p w14:paraId="55A5BC3F" w14:textId="77777777" w:rsidR="00EB4CBD" w:rsidRPr="00F53E25" w:rsidRDefault="00EB4CBD"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687" w:type="dxa"/>
            <w:tcBorders>
              <w:top w:val="nil"/>
              <w:left w:val="nil"/>
              <w:bottom w:val="nil"/>
              <w:right w:val="nil"/>
            </w:tcBorders>
            <w:shd w:val="clear" w:color="000000" w:fill="FFFFFF"/>
            <w:noWrap/>
            <w:vAlign w:val="bottom"/>
            <w:hideMark/>
          </w:tcPr>
          <w:p w14:paraId="5233A017"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bottom"/>
            <w:hideMark/>
          </w:tcPr>
          <w:p w14:paraId="21917F1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bottom"/>
            <w:hideMark/>
          </w:tcPr>
          <w:p w14:paraId="4E81A69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bottom"/>
            <w:hideMark/>
          </w:tcPr>
          <w:p w14:paraId="6029C281"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bottom"/>
            <w:hideMark/>
          </w:tcPr>
          <w:p w14:paraId="3D17B3B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bottom"/>
            <w:hideMark/>
          </w:tcPr>
          <w:p w14:paraId="5156600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bottom"/>
            <w:hideMark/>
          </w:tcPr>
          <w:p w14:paraId="649E34E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bottom"/>
            <w:hideMark/>
          </w:tcPr>
          <w:p w14:paraId="3D3A9EC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2EF705D8" w14:textId="77777777" w:rsidTr="00845CBE">
        <w:tc>
          <w:tcPr>
            <w:tcW w:w="3828" w:type="dxa"/>
            <w:tcBorders>
              <w:top w:val="nil"/>
              <w:left w:val="nil"/>
              <w:bottom w:val="nil"/>
              <w:right w:val="nil"/>
            </w:tcBorders>
            <w:shd w:val="clear" w:color="000000" w:fill="FFFFFF"/>
            <w:noWrap/>
            <w:vAlign w:val="center"/>
            <w:hideMark/>
          </w:tcPr>
          <w:p w14:paraId="753D2C11" w14:textId="77777777" w:rsidR="00EB4CBD" w:rsidRPr="00F53E25" w:rsidRDefault="00EB4CBD" w:rsidP="003F135F">
            <w:pPr>
              <w:ind w:left="0" w:firstLine="0"/>
              <w:rPr>
                <w:rFonts w:asciiTheme="minorHAnsi" w:eastAsia="Times New Roman" w:hAnsiTheme="minorHAnsi" w:cstheme="minorHAnsi"/>
                <w:b/>
                <w:bCs/>
                <w:color w:val="000000"/>
                <w:sz w:val="20"/>
                <w:szCs w:val="20"/>
              </w:rPr>
            </w:pPr>
            <w:r w:rsidRPr="00F53E25">
              <w:rPr>
                <w:rFonts w:asciiTheme="minorHAnsi" w:hAnsiTheme="minorHAnsi"/>
                <w:b/>
                <w:bCs/>
                <w:color w:val="000000"/>
                <w:sz w:val="20"/>
                <w:szCs w:val="20"/>
              </w:rPr>
              <w:t>Ingresos</w:t>
            </w:r>
          </w:p>
        </w:tc>
        <w:tc>
          <w:tcPr>
            <w:tcW w:w="687" w:type="dxa"/>
            <w:tcBorders>
              <w:top w:val="nil"/>
              <w:left w:val="nil"/>
              <w:bottom w:val="nil"/>
              <w:right w:val="nil"/>
            </w:tcBorders>
            <w:shd w:val="clear" w:color="000000" w:fill="FFFFFF"/>
            <w:noWrap/>
            <w:vAlign w:val="center"/>
            <w:hideMark/>
          </w:tcPr>
          <w:p w14:paraId="46D08947"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492F416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2C98D9D2"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EEB6D0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38C36E8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C750777"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ACC4FB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0A61816"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6CEA371E" w14:textId="77777777" w:rsidTr="00845CBE">
        <w:tc>
          <w:tcPr>
            <w:tcW w:w="3828" w:type="dxa"/>
            <w:tcBorders>
              <w:top w:val="nil"/>
              <w:left w:val="nil"/>
              <w:bottom w:val="nil"/>
              <w:right w:val="nil"/>
            </w:tcBorders>
            <w:shd w:val="clear" w:color="000000" w:fill="FFFFFF"/>
            <w:noWrap/>
            <w:vAlign w:val="center"/>
            <w:hideMark/>
          </w:tcPr>
          <w:p w14:paraId="55A80111" w14:textId="77777777" w:rsidR="00EB4CBD" w:rsidRPr="00F53E25" w:rsidRDefault="00EB4CBD" w:rsidP="003F135F">
            <w:pPr>
              <w:ind w:left="0" w:firstLine="0"/>
              <w:rPr>
                <w:rFonts w:asciiTheme="minorHAnsi" w:eastAsia="Times New Roman" w:hAnsiTheme="minorHAnsi" w:cstheme="minorHAnsi"/>
                <w:i/>
                <w:iCs/>
                <w:color w:val="000000"/>
                <w:sz w:val="20"/>
                <w:szCs w:val="20"/>
              </w:rPr>
            </w:pPr>
            <w:r w:rsidRPr="00F53E25">
              <w:rPr>
                <w:rFonts w:asciiTheme="minorHAnsi" w:hAnsiTheme="minorHAnsi"/>
                <w:i/>
                <w:iCs/>
                <w:color w:val="000000"/>
                <w:sz w:val="20"/>
                <w:szCs w:val="20"/>
              </w:rPr>
              <w:t>Ingresos externos:</w:t>
            </w:r>
          </w:p>
        </w:tc>
        <w:tc>
          <w:tcPr>
            <w:tcW w:w="687" w:type="dxa"/>
            <w:tcBorders>
              <w:top w:val="nil"/>
              <w:left w:val="nil"/>
              <w:bottom w:val="nil"/>
              <w:right w:val="nil"/>
            </w:tcBorders>
            <w:shd w:val="clear" w:color="000000" w:fill="FFFFFF"/>
            <w:noWrap/>
            <w:vAlign w:val="center"/>
            <w:hideMark/>
          </w:tcPr>
          <w:p w14:paraId="293DBB99"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4052AEE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A86269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7EC8FF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495C045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6A1F897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3C9AE5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030B8B4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4EF18562" w14:textId="77777777" w:rsidTr="00845CBE">
        <w:tc>
          <w:tcPr>
            <w:tcW w:w="3828" w:type="dxa"/>
            <w:tcBorders>
              <w:top w:val="nil"/>
              <w:left w:val="nil"/>
              <w:bottom w:val="nil"/>
              <w:right w:val="nil"/>
            </w:tcBorders>
            <w:shd w:val="clear" w:color="000000" w:fill="FFFFFF"/>
            <w:noWrap/>
            <w:vAlign w:val="center"/>
            <w:hideMark/>
          </w:tcPr>
          <w:p w14:paraId="7051796D" w14:textId="16B8B72B"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Contribuciones de las Partes Contratantes</w:t>
            </w:r>
          </w:p>
        </w:tc>
        <w:tc>
          <w:tcPr>
            <w:tcW w:w="687" w:type="dxa"/>
            <w:tcBorders>
              <w:top w:val="nil"/>
              <w:left w:val="nil"/>
              <w:bottom w:val="nil"/>
              <w:right w:val="nil"/>
            </w:tcBorders>
            <w:shd w:val="clear" w:color="000000" w:fill="FFFFFF"/>
            <w:noWrap/>
            <w:vAlign w:val="center"/>
            <w:hideMark/>
          </w:tcPr>
          <w:p w14:paraId="00AC415D"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B543C83" w14:textId="138386AA"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3</w:t>
            </w:r>
            <w:r w:rsidR="00652E0C" w:rsidRPr="00F53E25">
              <w:rPr>
                <w:rFonts w:asciiTheme="minorHAnsi" w:hAnsiTheme="minorHAnsi"/>
                <w:sz w:val="20"/>
                <w:szCs w:val="20"/>
              </w:rPr>
              <w:t> </w:t>
            </w:r>
            <w:r w:rsidRPr="00F53E25">
              <w:rPr>
                <w:rFonts w:asciiTheme="minorHAnsi" w:hAnsiTheme="minorHAnsi"/>
                <w:sz w:val="20"/>
                <w:szCs w:val="20"/>
              </w:rPr>
              <w:t xml:space="preserve">779 </w:t>
            </w:r>
          </w:p>
        </w:tc>
        <w:tc>
          <w:tcPr>
            <w:tcW w:w="850" w:type="dxa"/>
            <w:tcBorders>
              <w:top w:val="nil"/>
              <w:left w:val="nil"/>
              <w:bottom w:val="nil"/>
              <w:right w:val="nil"/>
            </w:tcBorders>
            <w:shd w:val="clear" w:color="000000" w:fill="FFFFFF"/>
            <w:noWrap/>
            <w:vAlign w:val="center"/>
            <w:hideMark/>
          </w:tcPr>
          <w:p w14:paraId="05A8D57D" w14:textId="60C04506"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22C95D1D" w14:textId="0CCDF0B1"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3</w:t>
            </w:r>
            <w:r w:rsidR="00652E0C" w:rsidRPr="00F53E25">
              <w:rPr>
                <w:rFonts w:asciiTheme="minorHAnsi" w:hAnsiTheme="minorHAnsi"/>
                <w:sz w:val="20"/>
                <w:szCs w:val="20"/>
              </w:rPr>
              <w:t> </w:t>
            </w:r>
            <w:r w:rsidRPr="00F53E25">
              <w:rPr>
                <w:rFonts w:asciiTheme="minorHAnsi" w:hAnsiTheme="minorHAnsi"/>
                <w:sz w:val="20"/>
                <w:szCs w:val="20"/>
              </w:rPr>
              <w:t xml:space="preserve">779 </w:t>
            </w:r>
          </w:p>
        </w:tc>
        <w:tc>
          <w:tcPr>
            <w:tcW w:w="239" w:type="dxa"/>
            <w:tcBorders>
              <w:top w:val="nil"/>
              <w:left w:val="nil"/>
              <w:bottom w:val="nil"/>
              <w:right w:val="nil"/>
            </w:tcBorders>
            <w:shd w:val="clear" w:color="000000" w:fill="D9D9D9"/>
            <w:noWrap/>
            <w:vAlign w:val="center"/>
            <w:hideMark/>
          </w:tcPr>
          <w:p w14:paraId="2205D4F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4C6C5E4" w14:textId="72884B8C"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3</w:t>
            </w:r>
            <w:r w:rsidR="00652E0C" w:rsidRPr="00F53E25">
              <w:rPr>
                <w:rFonts w:asciiTheme="minorHAnsi" w:hAnsiTheme="minorHAnsi"/>
                <w:sz w:val="20"/>
                <w:szCs w:val="20"/>
              </w:rPr>
              <w:t> </w:t>
            </w:r>
            <w:r w:rsidRPr="00F53E25">
              <w:rPr>
                <w:rFonts w:asciiTheme="minorHAnsi" w:hAnsiTheme="minorHAnsi"/>
                <w:sz w:val="20"/>
                <w:szCs w:val="20"/>
              </w:rPr>
              <w:t xml:space="preserve">779 </w:t>
            </w:r>
          </w:p>
        </w:tc>
        <w:tc>
          <w:tcPr>
            <w:tcW w:w="850" w:type="dxa"/>
            <w:tcBorders>
              <w:top w:val="nil"/>
              <w:left w:val="nil"/>
              <w:bottom w:val="nil"/>
              <w:right w:val="nil"/>
            </w:tcBorders>
            <w:shd w:val="clear" w:color="000000" w:fill="FFFFFF"/>
            <w:noWrap/>
            <w:vAlign w:val="center"/>
            <w:hideMark/>
          </w:tcPr>
          <w:p w14:paraId="40E16C75" w14:textId="4B24EC11"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67D419E0" w14:textId="03D48083"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3</w:t>
            </w:r>
            <w:r w:rsidR="00652E0C" w:rsidRPr="00F53E25">
              <w:rPr>
                <w:rFonts w:asciiTheme="minorHAnsi" w:hAnsiTheme="minorHAnsi"/>
                <w:sz w:val="20"/>
                <w:szCs w:val="20"/>
              </w:rPr>
              <w:t> </w:t>
            </w:r>
            <w:r w:rsidRPr="00F53E25">
              <w:rPr>
                <w:rFonts w:asciiTheme="minorHAnsi" w:hAnsiTheme="minorHAnsi"/>
                <w:sz w:val="20"/>
                <w:szCs w:val="20"/>
              </w:rPr>
              <w:t xml:space="preserve">779 </w:t>
            </w:r>
          </w:p>
        </w:tc>
      </w:tr>
      <w:tr w:rsidR="00EB4CBD" w:rsidRPr="00F53E25" w14:paraId="3C465289" w14:textId="77777777" w:rsidTr="00845CBE">
        <w:tc>
          <w:tcPr>
            <w:tcW w:w="3828" w:type="dxa"/>
            <w:tcBorders>
              <w:top w:val="nil"/>
              <w:left w:val="nil"/>
              <w:bottom w:val="nil"/>
              <w:right w:val="nil"/>
            </w:tcBorders>
            <w:shd w:val="clear" w:color="000000" w:fill="FFFFFF"/>
            <w:noWrap/>
            <w:vAlign w:val="center"/>
            <w:hideMark/>
          </w:tcPr>
          <w:p w14:paraId="2296E6BB" w14:textId="175DB9DC"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Contribuciones voluntarias de EE.UU.</w:t>
            </w:r>
          </w:p>
        </w:tc>
        <w:tc>
          <w:tcPr>
            <w:tcW w:w="687" w:type="dxa"/>
            <w:tcBorders>
              <w:top w:val="nil"/>
              <w:left w:val="nil"/>
              <w:bottom w:val="nil"/>
              <w:right w:val="nil"/>
            </w:tcBorders>
            <w:shd w:val="clear" w:color="000000" w:fill="FFFFFF"/>
            <w:noWrap/>
            <w:vAlign w:val="center"/>
            <w:hideMark/>
          </w:tcPr>
          <w:p w14:paraId="121E5D84"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1F652AB" w14:textId="24C515DF"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w:t>
            </w:r>
            <w:r w:rsidR="00652E0C" w:rsidRPr="00F53E25">
              <w:rPr>
                <w:rFonts w:asciiTheme="minorHAnsi" w:hAnsiTheme="minorHAnsi"/>
                <w:sz w:val="20"/>
                <w:szCs w:val="20"/>
              </w:rPr>
              <w:t> </w:t>
            </w:r>
            <w:r w:rsidRPr="00F53E25">
              <w:rPr>
                <w:rFonts w:asciiTheme="minorHAnsi" w:hAnsiTheme="minorHAnsi"/>
                <w:sz w:val="20"/>
                <w:szCs w:val="20"/>
              </w:rPr>
              <w:t xml:space="preserve">066 </w:t>
            </w:r>
          </w:p>
        </w:tc>
        <w:tc>
          <w:tcPr>
            <w:tcW w:w="850" w:type="dxa"/>
            <w:tcBorders>
              <w:top w:val="nil"/>
              <w:left w:val="nil"/>
              <w:bottom w:val="nil"/>
              <w:right w:val="nil"/>
            </w:tcBorders>
            <w:shd w:val="clear" w:color="000000" w:fill="FFFFFF"/>
            <w:noWrap/>
            <w:vAlign w:val="center"/>
            <w:hideMark/>
          </w:tcPr>
          <w:p w14:paraId="6D0A1477" w14:textId="62812FCD"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000A46C4" w14:textId="5E33E8D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1</w:t>
            </w:r>
            <w:r w:rsidR="00652E0C" w:rsidRPr="00F53E25">
              <w:rPr>
                <w:rFonts w:asciiTheme="minorHAnsi" w:hAnsiTheme="minorHAnsi"/>
                <w:sz w:val="20"/>
                <w:szCs w:val="20"/>
              </w:rPr>
              <w:t> </w:t>
            </w:r>
            <w:r w:rsidRPr="00F53E25">
              <w:rPr>
                <w:rFonts w:asciiTheme="minorHAnsi" w:hAnsiTheme="minorHAnsi"/>
                <w:sz w:val="20"/>
                <w:szCs w:val="20"/>
              </w:rPr>
              <w:t xml:space="preserve">066 </w:t>
            </w:r>
          </w:p>
        </w:tc>
        <w:tc>
          <w:tcPr>
            <w:tcW w:w="239" w:type="dxa"/>
            <w:tcBorders>
              <w:top w:val="nil"/>
              <w:left w:val="nil"/>
              <w:bottom w:val="nil"/>
              <w:right w:val="nil"/>
            </w:tcBorders>
            <w:shd w:val="clear" w:color="000000" w:fill="D9D9D9"/>
            <w:noWrap/>
            <w:vAlign w:val="center"/>
            <w:hideMark/>
          </w:tcPr>
          <w:p w14:paraId="25497EC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F92881F" w14:textId="0BF72C66"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1</w:t>
            </w:r>
            <w:r w:rsidR="00652E0C" w:rsidRPr="00F53E25">
              <w:rPr>
                <w:rFonts w:asciiTheme="minorHAnsi" w:hAnsiTheme="minorHAnsi"/>
                <w:sz w:val="20"/>
                <w:szCs w:val="20"/>
              </w:rPr>
              <w:t> </w:t>
            </w:r>
            <w:r w:rsidRPr="00F53E25">
              <w:rPr>
                <w:rFonts w:asciiTheme="minorHAnsi" w:hAnsiTheme="minorHAnsi"/>
                <w:sz w:val="20"/>
                <w:szCs w:val="20"/>
              </w:rPr>
              <w:t xml:space="preserve">066 </w:t>
            </w:r>
          </w:p>
        </w:tc>
        <w:tc>
          <w:tcPr>
            <w:tcW w:w="850" w:type="dxa"/>
            <w:tcBorders>
              <w:top w:val="nil"/>
              <w:left w:val="nil"/>
              <w:bottom w:val="nil"/>
              <w:right w:val="nil"/>
            </w:tcBorders>
            <w:shd w:val="clear" w:color="000000" w:fill="FFFFFF"/>
            <w:noWrap/>
            <w:vAlign w:val="center"/>
            <w:hideMark/>
          </w:tcPr>
          <w:p w14:paraId="64260264" w14:textId="1113AD55"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47705A55" w14:textId="5315AA7D"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1</w:t>
            </w:r>
            <w:r w:rsidR="00652E0C" w:rsidRPr="00F53E25">
              <w:rPr>
                <w:rFonts w:asciiTheme="minorHAnsi" w:hAnsiTheme="minorHAnsi"/>
                <w:sz w:val="20"/>
                <w:szCs w:val="20"/>
              </w:rPr>
              <w:t> </w:t>
            </w:r>
            <w:r w:rsidRPr="00F53E25">
              <w:rPr>
                <w:rFonts w:asciiTheme="minorHAnsi" w:hAnsiTheme="minorHAnsi"/>
                <w:sz w:val="20"/>
                <w:szCs w:val="20"/>
              </w:rPr>
              <w:t xml:space="preserve">066 </w:t>
            </w:r>
          </w:p>
        </w:tc>
      </w:tr>
      <w:tr w:rsidR="00EB4CBD" w:rsidRPr="00F53E25" w14:paraId="60CB4D90" w14:textId="77777777" w:rsidTr="00845CBE">
        <w:tc>
          <w:tcPr>
            <w:tcW w:w="3828" w:type="dxa"/>
            <w:tcBorders>
              <w:top w:val="nil"/>
              <w:left w:val="nil"/>
              <w:bottom w:val="nil"/>
              <w:right w:val="nil"/>
            </w:tcBorders>
            <w:shd w:val="clear" w:color="000000" w:fill="FFFFFF"/>
            <w:noWrap/>
            <w:vAlign w:val="center"/>
            <w:hideMark/>
          </w:tcPr>
          <w:p w14:paraId="70D91B92" w14:textId="12A979FC" w:rsidR="00EB4CBD" w:rsidRPr="00F53E25" w:rsidRDefault="00EB4CBD" w:rsidP="003F135F">
            <w:pPr>
              <w:ind w:left="0" w:firstLine="0"/>
              <w:rPr>
                <w:rFonts w:asciiTheme="minorHAnsi" w:eastAsia="Times New Roman" w:hAnsiTheme="minorHAnsi" w:cstheme="minorHAnsi"/>
                <w:spacing w:val="-4"/>
                <w:sz w:val="20"/>
                <w:szCs w:val="20"/>
              </w:rPr>
            </w:pPr>
            <w:r w:rsidRPr="00F53E25">
              <w:rPr>
                <w:rFonts w:asciiTheme="minorHAnsi" w:hAnsiTheme="minorHAnsi"/>
                <w:spacing w:val="-4"/>
                <w:sz w:val="20"/>
                <w:szCs w:val="20"/>
              </w:rPr>
              <w:t>Contribuciones voluntarias de países africanos</w:t>
            </w:r>
          </w:p>
        </w:tc>
        <w:tc>
          <w:tcPr>
            <w:tcW w:w="687" w:type="dxa"/>
            <w:tcBorders>
              <w:top w:val="nil"/>
              <w:left w:val="nil"/>
              <w:bottom w:val="nil"/>
              <w:right w:val="nil"/>
            </w:tcBorders>
            <w:shd w:val="clear" w:color="000000" w:fill="FFFFFF"/>
            <w:noWrap/>
            <w:vAlign w:val="center"/>
            <w:hideMark/>
          </w:tcPr>
          <w:p w14:paraId="5403AD05"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2C1171C2" w14:textId="79080E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0" w:type="dxa"/>
            <w:tcBorders>
              <w:top w:val="nil"/>
              <w:left w:val="nil"/>
              <w:bottom w:val="nil"/>
              <w:right w:val="nil"/>
            </w:tcBorders>
            <w:shd w:val="clear" w:color="auto" w:fill="auto"/>
            <w:noWrap/>
            <w:vAlign w:val="center"/>
            <w:hideMark/>
          </w:tcPr>
          <w:p w14:paraId="7938A417" w14:textId="6661FFD3" w:rsidR="00EB4CBD" w:rsidRPr="00F53E25" w:rsidRDefault="002E586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12</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392A696D" w14:textId="58A024C8"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2E586C" w:rsidRPr="00F53E25">
              <w:rPr>
                <w:rFonts w:asciiTheme="minorHAnsi" w:hAnsiTheme="minorHAnsi"/>
                <w:sz w:val="20"/>
                <w:szCs w:val="20"/>
              </w:rPr>
              <w:t>1</w:t>
            </w:r>
            <w:r w:rsidRPr="00F53E25">
              <w:rPr>
                <w:rFonts w:asciiTheme="minorHAnsi" w:hAnsiTheme="minorHAnsi"/>
                <w:sz w:val="20"/>
                <w:szCs w:val="20"/>
              </w:rPr>
              <w:t xml:space="preserve">2 </w:t>
            </w:r>
          </w:p>
        </w:tc>
        <w:tc>
          <w:tcPr>
            <w:tcW w:w="239" w:type="dxa"/>
            <w:tcBorders>
              <w:top w:val="nil"/>
              <w:left w:val="nil"/>
              <w:bottom w:val="nil"/>
              <w:right w:val="nil"/>
            </w:tcBorders>
            <w:shd w:val="clear" w:color="000000" w:fill="D9D9D9"/>
            <w:noWrap/>
            <w:vAlign w:val="center"/>
            <w:hideMark/>
          </w:tcPr>
          <w:p w14:paraId="2B1B57A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2FEB8CC" w14:textId="75FC4308"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6DCEDA81" w14:textId="02F37340" w:rsidR="00EB4CBD" w:rsidRPr="00F53E25" w:rsidRDefault="002E586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54F89DD1" w14:textId="1AC2C453" w:rsidR="00EB4CBD" w:rsidRPr="00F53E25" w:rsidRDefault="002E586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EB4CBD" w:rsidRPr="00F53E25">
              <w:rPr>
                <w:rFonts w:asciiTheme="minorHAnsi" w:hAnsiTheme="minorHAnsi"/>
                <w:sz w:val="20"/>
                <w:szCs w:val="20"/>
              </w:rPr>
              <w:t xml:space="preserve"> </w:t>
            </w:r>
          </w:p>
        </w:tc>
      </w:tr>
      <w:tr w:rsidR="00EB4CBD" w:rsidRPr="00F53E25" w14:paraId="7E5776D7" w14:textId="77777777" w:rsidTr="00845CBE">
        <w:tc>
          <w:tcPr>
            <w:tcW w:w="3828" w:type="dxa"/>
            <w:tcBorders>
              <w:top w:val="nil"/>
              <w:left w:val="nil"/>
              <w:bottom w:val="nil"/>
              <w:right w:val="nil"/>
            </w:tcBorders>
            <w:shd w:val="clear" w:color="000000" w:fill="FFFFFF"/>
            <w:noWrap/>
            <w:vAlign w:val="center"/>
            <w:hideMark/>
          </w:tcPr>
          <w:p w14:paraId="726B8A11" w14:textId="1747FFE5"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xml:space="preserve">Ingresos de proyectos </w:t>
            </w:r>
          </w:p>
        </w:tc>
        <w:tc>
          <w:tcPr>
            <w:tcW w:w="687" w:type="dxa"/>
            <w:tcBorders>
              <w:top w:val="nil"/>
              <w:left w:val="nil"/>
              <w:bottom w:val="nil"/>
              <w:right w:val="nil"/>
            </w:tcBorders>
            <w:shd w:val="clear" w:color="000000" w:fill="FFFFFF"/>
            <w:noWrap/>
            <w:vAlign w:val="center"/>
            <w:hideMark/>
          </w:tcPr>
          <w:p w14:paraId="229C9893"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C96168B" w14:textId="69A48456"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71AC40A3" w14:textId="30E1E26F" w:rsidR="00EB4CBD" w:rsidRPr="00F53E25" w:rsidRDefault="002E586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47</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2FB566F7" w14:textId="540C1946"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2E586C" w:rsidRPr="00F53E25">
              <w:rPr>
                <w:rFonts w:asciiTheme="minorHAnsi" w:hAnsiTheme="minorHAnsi"/>
                <w:sz w:val="20"/>
                <w:szCs w:val="20"/>
              </w:rPr>
              <w:t>47</w:t>
            </w:r>
            <w:r w:rsidRPr="00F53E25">
              <w:rPr>
                <w:rFonts w:asciiTheme="minorHAnsi" w:hAnsiTheme="minorHAnsi"/>
                <w:sz w:val="20"/>
                <w:szCs w:val="20"/>
              </w:rPr>
              <w:t xml:space="preserve"> </w:t>
            </w:r>
          </w:p>
        </w:tc>
        <w:tc>
          <w:tcPr>
            <w:tcW w:w="239" w:type="dxa"/>
            <w:tcBorders>
              <w:top w:val="nil"/>
              <w:left w:val="nil"/>
              <w:bottom w:val="nil"/>
              <w:right w:val="nil"/>
            </w:tcBorders>
            <w:shd w:val="clear" w:color="000000" w:fill="D9D9D9"/>
            <w:noWrap/>
            <w:vAlign w:val="center"/>
            <w:hideMark/>
          </w:tcPr>
          <w:p w14:paraId="5D3BD2F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B1A3C21" w14:textId="6775CFF3"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3FF222F2" w14:textId="57D06F1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2E586C" w:rsidRPr="00F53E25">
              <w:rPr>
                <w:rFonts w:asciiTheme="minorHAnsi" w:hAnsiTheme="minorHAnsi"/>
                <w:sz w:val="20"/>
                <w:szCs w:val="20"/>
              </w:rPr>
              <w:t>379</w:t>
            </w: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1B0A89DC" w14:textId="1D3C0E5A"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2E586C" w:rsidRPr="00F53E25">
              <w:rPr>
                <w:rFonts w:asciiTheme="minorHAnsi" w:hAnsiTheme="minorHAnsi"/>
                <w:sz w:val="20"/>
                <w:szCs w:val="20"/>
              </w:rPr>
              <w:t>379</w:t>
            </w:r>
            <w:r w:rsidRPr="00F53E25">
              <w:rPr>
                <w:rFonts w:asciiTheme="minorHAnsi" w:hAnsiTheme="minorHAnsi"/>
                <w:sz w:val="20"/>
                <w:szCs w:val="20"/>
              </w:rPr>
              <w:t xml:space="preserve"> </w:t>
            </w:r>
          </w:p>
        </w:tc>
      </w:tr>
      <w:tr w:rsidR="00EB4CBD" w:rsidRPr="00F53E25" w14:paraId="733786BF" w14:textId="77777777" w:rsidTr="00845CBE">
        <w:tc>
          <w:tcPr>
            <w:tcW w:w="3828" w:type="dxa"/>
            <w:tcBorders>
              <w:top w:val="nil"/>
              <w:left w:val="nil"/>
              <w:bottom w:val="nil"/>
              <w:right w:val="nil"/>
            </w:tcBorders>
            <w:shd w:val="clear" w:color="000000" w:fill="FFFFFF"/>
            <w:noWrap/>
            <w:vAlign w:val="center"/>
            <w:hideMark/>
          </w:tcPr>
          <w:p w14:paraId="7C76FF9A" w14:textId="4529B6B0"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Devoluciones de impuestos suizos</w:t>
            </w:r>
          </w:p>
        </w:tc>
        <w:tc>
          <w:tcPr>
            <w:tcW w:w="687" w:type="dxa"/>
            <w:tcBorders>
              <w:top w:val="nil"/>
              <w:left w:val="nil"/>
              <w:bottom w:val="nil"/>
              <w:right w:val="nil"/>
            </w:tcBorders>
            <w:shd w:val="clear" w:color="000000" w:fill="FFFFFF"/>
            <w:noWrap/>
            <w:vAlign w:val="center"/>
            <w:hideMark/>
          </w:tcPr>
          <w:p w14:paraId="7C38AD8E"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10</w:t>
            </w:r>
          </w:p>
        </w:tc>
        <w:tc>
          <w:tcPr>
            <w:tcW w:w="849" w:type="dxa"/>
            <w:gridSpan w:val="2"/>
            <w:tcBorders>
              <w:top w:val="nil"/>
              <w:left w:val="nil"/>
              <w:bottom w:val="single" w:sz="4" w:space="0" w:color="auto"/>
              <w:right w:val="nil"/>
            </w:tcBorders>
            <w:shd w:val="clear" w:color="000000" w:fill="FFFFFF"/>
            <w:noWrap/>
            <w:vAlign w:val="center"/>
            <w:hideMark/>
          </w:tcPr>
          <w:p w14:paraId="25670F1B" w14:textId="0A91F5DD" w:rsidR="00EB4CBD" w:rsidRPr="00F53E25" w:rsidRDefault="002E586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185</w:t>
            </w:r>
            <w:r w:rsidR="00EB4CBD" w:rsidRPr="00F53E25">
              <w:rPr>
                <w:rFonts w:asciiTheme="minorHAnsi" w:hAnsiTheme="minorHAnsi"/>
                <w:sz w:val="20"/>
                <w:szCs w:val="20"/>
              </w:rPr>
              <w:t xml:space="preserve"> </w:t>
            </w:r>
          </w:p>
        </w:tc>
        <w:tc>
          <w:tcPr>
            <w:tcW w:w="850" w:type="dxa"/>
            <w:tcBorders>
              <w:top w:val="nil"/>
              <w:left w:val="nil"/>
              <w:bottom w:val="single" w:sz="4" w:space="0" w:color="auto"/>
              <w:right w:val="nil"/>
            </w:tcBorders>
            <w:shd w:val="clear" w:color="000000" w:fill="FFFFFF"/>
            <w:noWrap/>
            <w:vAlign w:val="center"/>
            <w:hideMark/>
          </w:tcPr>
          <w:p w14:paraId="16D1AF27" w14:textId="75F6825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7D02DE78" w14:textId="76EB5574"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2E586C" w:rsidRPr="00F53E25">
              <w:rPr>
                <w:rFonts w:asciiTheme="minorHAnsi" w:hAnsiTheme="minorHAnsi"/>
                <w:sz w:val="20"/>
                <w:szCs w:val="20"/>
              </w:rPr>
              <w:t>185</w:t>
            </w:r>
            <w:r w:rsidRPr="00F53E25">
              <w:rPr>
                <w:rFonts w:asciiTheme="minorHAnsi" w:hAnsiTheme="minorHAnsi"/>
                <w:sz w:val="20"/>
                <w:szCs w:val="20"/>
              </w:rPr>
              <w:t xml:space="preserve"> </w:t>
            </w:r>
          </w:p>
        </w:tc>
        <w:tc>
          <w:tcPr>
            <w:tcW w:w="239" w:type="dxa"/>
            <w:tcBorders>
              <w:top w:val="nil"/>
              <w:left w:val="nil"/>
              <w:bottom w:val="single" w:sz="4" w:space="0" w:color="auto"/>
              <w:right w:val="nil"/>
            </w:tcBorders>
            <w:shd w:val="clear" w:color="000000" w:fill="D9D9D9"/>
            <w:noWrap/>
            <w:vAlign w:val="center"/>
            <w:hideMark/>
          </w:tcPr>
          <w:p w14:paraId="721DA53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single" w:sz="4" w:space="0" w:color="auto"/>
              <w:right w:val="nil"/>
            </w:tcBorders>
            <w:shd w:val="clear" w:color="000000" w:fill="FFFFFF"/>
            <w:noWrap/>
            <w:vAlign w:val="center"/>
            <w:hideMark/>
          </w:tcPr>
          <w:p w14:paraId="76591AE7" w14:textId="0EACCD1E"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2E586C" w:rsidRPr="00F53E25">
              <w:rPr>
                <w:rFonts w:asciiTheme="minorHAnsi" w:hAnsiTheme="minorHAnsi"/>
                <w:sz w:val="20"/>
                <w:szCs w:val="20"/>
              </w:rPr>
              <w:t>02</w:t>
            </w:r>
            <w:r w:rsidRPr="00F53E25">
              <w:rPr>
                <w:rFonts w:asciiTheme="minorHAnsi" w:hAnsiTheme="minorHAnsi"/>
                <w:sz w:val="20"/>
                <w:szCs w:val="20"/>
              </w:rPr>
              <w:t xml:space="preserve"> </w:t>
            </w:r>
          </w:p>
        </w:tc>
        <w:tc>
          <w:tcPr>
            <w:tcW w:w="850" w:type="dxa"/>
            <w:tcBorders>
              <w:top w:val="nil"/>
              <w:left w:val="nil"/>
              <w:bottom w:val="single" w:sz="4" w:space="0" w:color="auto"/>
              <w:right w:val="nil"/>
            </w:tcBorders>
            <w:shd w:val="clear" w:color="000000" w:fill="FFFFFF"/>
            <w:noWrap/>
            <w:vAlign w:val="center"/>
            <w:hideMark/>
          </w:tcPr>
          <w:p w14:paraId="284C77C0" w14:textId="0CF22C8E"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04D82607" w14:textId="302AA7F1"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2E586C" w:rsidRPr="00F53E25">
              <w:rPr>
                <w:rFonts w:asciiTheme="minorHAnsi" w:hAnsiTheme="minorHAnsi"/>
                <w:sz w:val="20"/>
                <w:szCs w:val="20"/>
              </w:rPr>
              <w:t>02</w:t>
            </w:r>
            <w:r w:rsidRPr="00F53E25">
              <w:rPr>
                <w:rFonts w:asciiTheme="minorHAnsi" w:hAnsiTheme="minorHAnsi"/>
                <w:sz w:val="20"/>
                <w:szCs w:val="20"/>
              </w:rPr>
              <w:t xml:space="preserve"> </w:t>
            </w:r>
          </w:p>
        </w:tc>
      </w:tr>
      <w:tr w:rsidR="00EB4CBD" w:rsidRPr="00F53E25" w14:paraId="265C0501" w14:textId="77777777" w:rsidTr="00845CBE">
        <w:tc>
          <w:tcPr>
            <w:tcW w:w="3828" w:type="dxa"/>
            <w:tcBorders>
              <w:top w:val="nil"/>
              <w:left w:val="nil"/>
              <w:bottom w:val="nil"/>
              <w:right w:val="nil"/>
            </w:tcBorders>
            <w:shd w:val="clear" w:color="000000" w:fill="FFFFFF"/>
            <w:noWrap/>
            <w:vAlign w:val="center"/>
            <w:hideMark/>
          </w:tcPr>
          <w:p w14:paraId="34395409" w14:textId="51CFEF40" w:rsidR="00EB4CBD" w:rsidRPr="00F53E25" w:rsidRDefault="009154DA" w:rsidP="003F135F">
            <w:pPr>
              <w:ind w:left="-1520" w:firstLine="1520"/>
              <w:rPr>
                <w:rFonts w:asciiTheme="minorHAnsi" w:eastAsia="Times New Roman" w:hAnsiTheme="minorHAnsi" w:cstheme="minorHAnsi"/>
                <w:i/>
                <w:iCs/>
                <w:sz w:val="20"/>
                <w:szCs w:val="20"/>
              </w:rPr>
            </w:pPr>
            <w:r w:rsidRPr="00F53E25">
              <w:rPr>
                <w:rFonts w:asciiTheme="minorHAnsi" w:hAnsiTheme="minorHAnsi"/>
                <w:i/>
                <w:iCs/>
                <w:sz w:val="20"/>
                <w:szCs w:val="20"/>
              </w:rPr>
              <w:t>Total,</w:t>
            </w:r>
            <w:r w:rsidR="00EB4CBD" w:rsidRPr="00F53E25">
              <w:rPr>
                <w:rFonts w:asciiTheme="minorHAnsi" w:hAnsiTheme="minorHAnsi"/>
                <w:i/>
                <w:iCs/>
                <w:sz w:val="20"/>
                <w:szCs w:val="20"/>
              </w:rPr>
              <w:t xml:space="preserve"> </w:t>
            </w:r>
            <w:r w:rsidR="006D4727" w:rsidRPr="00F53E25">
              <w:rPr>
                <w:rFonts w:asciiTheme="minorHAnsi" w:hAnsiTheme="minorHAnsi"/>
                <w:i/>
                <w:iCs/>
                <w:sz w:val="20"/>
                <w:szCs w:val="20"/>
              </w:rPr>
              <w:t>I</w:t>
            </w:r>
            <w:r w:rsidR="00EB4CBD" w:rsidRPr="00F53E25">
              <w:rPr>
                <w:rFonts w:asciiTheme="minorHAnsi" w:hAnsiTheme="minorHAnsi"/>
                <w:i/>
                <w:iCs/>
                <w:sz w:val="20"/>
                <w:szCs w:val="20"/>
              </w:rPr>
              <w:t>ngresos externos</w:t>
            </w:r>
          </w:p>
        </w:tc>
        <w:tc>
          <w:tcPr>
            <w:tcW w:w="687" w:type="dxa"/>
            <w:tcBorders>
              <w:top w:val="nil"/>
              <w:left w:val="nil"/>
              <w:bottom w:val="nil"/>
              <w:right w:val="nil"/>
            </w:tcBorders>
            <w:shd w:val="clear" w:color="000000" w:fill="FFFFFF"/>
            <w:noWrap/>
            <w:vAlign w:val="center"/>
            <w:hideMark/>
          </w:tcPr>
          <w:p w14:paraId="1659A07C"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76E65E7" w14:textId="637074A3"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5</w:t>
            </w:r>
            <w:r w:rsidR="00652E0C" w:rsidRPr="00F53E25">
              <w:rPr>
                <w:rFonts w:asciiTheme="minorHAnsi" w:hAnsiTheme="minorHAnsi"/>
                <w:b/>
                <w:bCs/>
                <w:sz w:val="20"/>
                <w:szCs w:val="20"/>
              </w:rPr>
              <w:t> </w:t>
            </w:r>
            <w:r w:rsidRPr="00F53E25">
              <w:rPr>
                <w:rFonts w:asciiTheme="minorHAnsi" w:hAnsiTheme="minorHAnsi"/>
                <w:b/>
                <w:bCs/>
                <w:sz w:val="20"/>
                <w:szCs w:val="20"/>
              </w:rPr>
              <w:t>0</w:t>
            </w:r>
            <w:r w:rsidR="002E586C" w:rsidRPr="00F53E25">
              <w:rPr>
                <w:rFonts w:asciiTheme="minorHAnsi" w:hAnsiTheme="minorHAnsi"/>
                <w:b/>
                <w:bCs/>
                <w:sz w:val="20"/>
                <w:szCs w:val="20"/>
              </w:rPr>
              <w:t>30</w:t>
            </w:r>
            <w:r w:rsidRPr="00F53E25">
              <w:rPr>
                <w:rFonts w:asciiTheme="minorHAnsi" w:hAnsiTheme="minorHAnsi"/>
                <w:b/>
                <w:bCs/>
                <w:sz w:val="20"/>
                <w:szCs w:val="20"/>
              </w:rPr>
              <w:t xml:space="preserve"> </w:t>
            </w:r>
          </w:p>
        </w:tc>
        <w:tc>
          <w:tcPr>
            <w:tcW w:w="850" w:type="dxa"/>
            <w:tcBorders>
              <w:top w:val="nil"/>
              <w:left w:val="nil"/>
              <w:bottom w:val="nil"/>
              <w:right w:val="nil"/>
            </w:tcBorders>
            <w:shd w:val="clear" w:color="000000" w:fill="FFFFFF"/>
            <w:noWrap/>
            <w:vAlign w:val="center"/>
            <w:hideMark/>
          </w:tcPr>
          <w:p w14:paraId="350911EA" w14:textId="70193039" w:rsidR="00EB4CBD" w:rsidRPr="00F53E25" w:rsidRDefault="002E586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59</w:t>
            </w:r>
            <w:r w:rsidR="00EB4CBD" w:rsidRPr="00F53E25">
              <w:rPr>
                <w:rFonts w:asciiTheme="minorHAnsi" w:hAnsiTheme="minorHAnsi"/>
                <w:b/>
                <w:bCs/>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19481C2F" w14:textId="49788C96"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5</w:t>
            </w:r>
            <w:r w:rsidR="00652E0C" w:rsidRPr="00F53E25">
              <w:rPr>
                <w:rFonts w:asciiTheme="minorHAnsi" w:hAnsiTheme="minorHAnsi"/>
                <w:b/>
                <w:bCs/>
                <w:sz w:val="20"/>
                <w:szCs w:val="20"/>
              </w:rPr>
              <w:t> </w:t>
            </w:r>
            <w:r w:rsidR="002E586C" w:rsidRPr="00F53E25">
              <w:rPr>
                <w:rFonts w:asciiTheme="minorHAnsi" w:hAnsiTheme="minorHAnsi"/>
                <w:b/>
                <w:bCs/>
                <w:sz w:val="20"/>
                <w:szCs w:val="20"/>
              </w:rPr>
              <w:t>089</w:t>
            </w:r>
            <w:r w:rsidRPr="00F53E25">
              <w:rPr>
                <w:rFonts w:asciiTheme="minorHAnsi" w:hAnsiTheme="minorHAnsi"/>
                <w:b/>
                <w:bCs/>
                <w:sz w:val="20"/>
                <w:szCs w:val="20"/>
              </w:rPr>
              <w:t xml:space="preserve"> </w:t>
            </w:r>
          </w:p>
        </w:tc>
        <w:tc>
          <w:tcPr>
            <w:tcW w:w="239" w:type="dxa"/>
            <w:tcBorders>
              <w:top w:val="nil"/>
              <w:left w:val="nil"/>
              <w:bottom w:val="nil"/>
              <w:right w:val="nil"/>
            </w:tcBorders>
            <w:shd w:val="clear" w:color="000000" w:fill="D9D9D9"/>
            <w:noWrap/>
            <w:vAlign w:val="center"/>
            <w:hideMark/>
          </w:tcPr>
          <w:p w14:paraId="7E6DFB55"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5C4FD7ED" w14:textId="0B4FDEFA"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5</w:t>
            </w:r>
            <w:r w:rsidR="00652E0C" w:rsidRPr="00F53E25">
              <w:rPr>
                <w:rFonts w:asciiTheme="minorHAnsi" w:hAnsiTheme="minorHAnsi"/>
                <w:b/>
                <w:bCs/>
                <w:sz w:val="20"/>
                <w:szCs w:val="20"/>
              </w:rPr>
              <w:t> </w:t>
            </w:r>
            <w:r w:rsidRPr="00F53E25">
              <w:rPr>
                <w:rFonts w:asciiTheme="minorHAnsi" w:hAnsiTheme="minorHAnsi"/>
                <w:b/>
                <w:bCs/>
                <w:sz w:val="20"/>
                <w:szCs w:val="20"/>
              </w:rPr>
              <w:t>0</w:t>
            </w:r>
            <w:r w:rsidR="002E586C" w:rsidRPr="00F53E25">
              <w:rPr>
                <w:rFonts w:asciiTheme="minorHAnsi" w:hAnsiTheme="minorHAnsi"/>
                <w:b/>
                <w:bCs/>
                <w:sz w:val="20"/>
                <w:szCs w:val="20"/>
              </w:rPr>
              <w:t>47</w:t>
            </w:r>
            <w:r w:rsidRPr="00F53E25">
              <w:rPr>
                <w:rFonts w:asciiTheme="minorHAnsi" w:hAnsiTheme="minorHAnsi"/>
                <w:b/>
                <w:bCs/>
                <w:sz w:val="20"/>
                <w:szCs w:val="20"/>
              </w:rPr>
              <w:t xml:space="preserve"> </w:t>
            </w:r>
          </w:p>
        </w:tc>
        <w:tc>
          <w:tcPr>
            <w:tcW w:w="850" w:type="dxa"/>
            <w:tcBorders>
              <w:top w:val="nil"/>
              <w:left w:val="nil"/>
              <w:bottom w:val="nil"/>
              <w:right w:val="nil"/>
            </w:tcBorders>
            <w:shd w:val="clear" w:color="000000" w:fill="FFFFFF"/>
            <w:noWrap/>
            <w:vAlign w:val="center"/>
            <w:hideMark/>
          </w:tcPr>
          <w:p w14:paraId="7E93E583" w14:textId="385999F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2E586C" w:rsidRPr="00F53E25">
              <w:rPr>
                <w:rFonts w:asciiTheme="minorHAnsi" w:hAnsiTheme="minorHAnsi"/>
                <w:b/>
                <w:bCs/>
                <w:sz w:val="20"/>
                <w:szCs w:val="20"/>
              </w:rPr>
              <w:t>381</w:t>
            </w:r>
            <w:r w:rsidRPr="00F53E25">
              <w:rPr>
                <w:rFonts w:asciiTheme="minorHAnsi" w:hAnsiTheme="minorHAnsi"/>
                <w:b/>
                <w:bCs/>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3A4C90CE" w14:textId="7720C7C8"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2E586C" w:rsidRPr="00F53E25">
              <w:rPr>
                <w:rFonts w:asciiTheme="minorHAnsi" w:hAnsiTheme="minorHAnsi"/>
                <w:b/>
                <w:bCs/>
                <w:sz w:val="20"/>
                <w:szCs w:val="20"/>
              </w:rPr>
              <w:t>5 428</w:t>
            </w:r>
            <w:r w:rsidRPr="00F53E25">
              <w:rPr>
                <w:rFonts w:asciiTheme="minorHAnsi" w:hAnsiTheme="minorHAnsi"/>
                <w:b/>
                <w:bCs/>
                <w:sz w:val="20"/>
                <w:szCs w:val="20"/>
              </w:rPr>
              <w:t xml:space="preserve"> </w:t>
            </w:r>
          </w:p>
        </w:tc>
      </w:tr>
      <w:tr w:rsidR="00EB4CBD" w:rsidRPr="00F53E25" w14:paraId="5DF2E78A" w14:textId="77777777" w:rsidTr="00845CBE">
        <w:tc>
          <w:tcPr>
            <w:tcW w:w="3828" w:type="dxa"/>
            <w:tcBorders>
              <w:top w:val="nil"/>
              <w:left w:val="nil"/>
              <w:bottom w:val="nil"/>
              <w:right w:val="nil"/>
            </w:tcBorders>
            <w:shd w:val="clear" w:color="000000" w:fill="FFFFFF"/>
            <w:noWrap/>
            <w:vAlign w:val="center"/>
            <w:hideMark/>
          </w:tcPr>
          <w:p w14:paraId="3338CCDC" w14:textId="77777777" w:rsidR="00EB4CBD" w:rsidRPr="00F53E25" w:rsidRDefault="00EB4CBD" w:rsidP="003F135F">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 </w:t>
            </w:r>
          </w:p>
        </w:tc>
        <w:tc>
          <w:tcPr>
            <w:tcW w:w="687" w:type="dxa"/>
            <w:tcBorders>
              <w:top w:val="nil"/>
              <w:left w:val="nil"/>
              <w:bottom w:val="nil"/>
              <w:right w:val="nil"/>
            </w:tcBorders>
            <w:shd w:val="clear" w:color="000000" w:fill="FFFFFF"/>
            <w:noWrap/>
            <w:vAlign w:val="center"/>
            <w:hideMark/>
          </w:tcPr>
          <w:p w14:paraId="2517D111"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DBC350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DF23AB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13AA2D5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029B352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1752315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DFBE007"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FB3C0A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5B96B3EC" w14:textId="77777777" w:rsidTr="00845CBE">
        <w:tc>
          <w:tcPr>
            <w:tcW w:w="3828" w:type="dxa"/>
            <w:tcBorders>
              <w:top w:val="nil"/>
              <w:left w:val="nil"/>
              <w:bottom w:val="nil"/>
              <w:right w:val="nil"/>
            </w:tcBorders>
            <w:shd w:val="clear" w:color="000000" w:fill="FFFFFF"/>
            <w:noWrap/>
            <w:vAlign w:val="center"/>
            <w:hideMark/>
          </w:tcPr>
          <w:p w14:paraId="4AA9725F"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Transferencia entre proyectos básicos y no básicos</w:t>
            </w:r>
          </w:p>
        </w:tc>
        <w:tc>
          <w:tcPr>
            <w:tcW w:w="687" w:type="dxa"/>
            <w:tcBorders>
              <w:top w:val="nil"/>
              <w:left w:val="nil"/>
              <w:bottom w:val="nil"/>
              <w:right w:val="nil"/>
            </w:tcBorders>
            <w:shd w:val="clear" w:color="000000" w:fill="FFFFFF"/>
            <w:noWrap/>
            <w:vAlign w:val="center"/>
            <w:hideMark/>
          </w:tcPr>
          <w:p w14:paraId="61958D29"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41555841" w14:textId="57D14A9D" w:rsidR="00EB4CBD" w:rsidRPr="00F53E25" w:rsidRDefault="002E586C" w:rsidP="002E586C">
            <w:pPr>
              <w:pStyle w:val="ListParagraph"/>
              <w:ind w:left="420" w:firstLine="0"/>
              <w:jc w:val="center"/>
              <w:rPr>
                <w:rFonts w:asciiTheme="minorHAnsi" w:eastAsia="Times New Roman" w:hAnsiTheme="minorHAnsi" w:cstheme="minorHAnsi"/>
                <w:sz w:val="20"/>
                <w:szCs w:val="20"/>
              </w:rPr>
            </w:pPr>
            <w:r w:rsidRPr="00F53E25">
              <w:rPr>
                <w:rFonts w:asciiTheme="minorHAnsi" w:eastAsia="Times New Roman" w:hAnsiTheme="minorHAnsi" w:cstheme="minorHAnsi"/>
                <w:sz w:val="20"/>
                <w:szCs w:val="20"/>
              </w:rPr>
              <w:t>-</w:t>
            </w:r>
          </w:p>
        </w:tc>
        <w:tc>
          <w:tcPr>
            <w:tcW w:w="850" w:type="dxa"/>
            <w:tcBorders>
              <w:top w:val="nil"/>
              <w:left w:val="nil"/>
              <w:bottom w:val="nil"/>
              <w:right w:val="nil"/>
            </w:tcBorders>
            <w:shd w:val="clear" w:color="000000" w:fill="FFFFFF"/>
            <w:noWrap/>
            <w:vAlign w:val="center"/>
            <w:hideMark/>
          </w:tcPr>
          <w:p w14:paraId="4086A008" w14:textId="1CB19764" w:rsidR="00EB4CBD" w:rsidRPr="00F53E25" w:rsidRDefault="00EB4CBD" w:rsidP="002E586C">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xml:space="preserve"> </w:t>
            </w:r>
            <w:r w:rsidR="002E586C"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7280A854" w14:textId="41A3EFDE"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239" w:type="dxa"/>
            <w:tcBorders>
              <w:top w:val="nil"/>
              <w:left w:val="nil"/>
              <w:bottom w:val="nil"/>
              <w:right w:val="nil"/>
            </w:tcBorders>
            <w:shd w:val="clear" w:color="000000" w:fill="D9D9D9"/>
            <w:noWrap/>
            <w:vAlign w:val="center"/>
            <w:hideMark/>
          </w:tcPr>
          <w:p w14:paraId="4CC683BE"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76B8F925" w14:textId="76CBDBF6"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2E586C" w:rsidRPr="00F53E25">
              <w:rPr>
                <w:rFonts w:asciiTheme="minorHAnsi" w:hAnsiTheme="minorHAnsi"/>
                <w:sz w:val="20"/>
                <w:szCs w:val="20"/>
              </w:rPr>
              <w:t>115</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3EABB63D" w14:textId="4B404F7A" w:rsidR="00EB4CBD" w:rsidRPr="00F53E25" w:rsidRDefault="002E586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115</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7A3B9A2D" w14:textId="4935FEE6"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r>
      <w:tr w:rsidR="00EB4CBD" w:rsidRPr="00F53E25" w14:paraId="40F0881F" w14:textId="77777777" w:rsidTr="00845CBE">
        <w:tc>
          <w:tcPr>
            <w:tcW w:w="3828" w:type="dxa"/>
            <w:tcBorders>
              <w:top w:val="nil"/>
              <w:left w:val="nil"/>
              <w:bottom w:val="nil"/>
              <w:right w:val="nil"/>
            </w:tcBorders>
            <w:shd w:val="clear" w:color="000000" w:fill="FFFFFF"/>
            <w:noWrap/>
            <w:vAlign w:val="center"/>
            <w:hideMark/>
          </w:tcPr>
          <w:p w14:paraId="3F813D13"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5C10E1A9"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EADEF7B"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5854B65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B099182"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69202A0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11F832E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43508A02"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6FC87C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5F6CB3C3" w14:textId="77777777" w:rsidTr="00845CBE">
        <w:tc>
          <w:tcPr>
            <w:tcW w:w="3828" w:type="dxa"/>
            <w:tcBorders>
              <w:top w:val="nil"/>
              <w:left w:val="nil"/>
              <w:bottom w:val="nil"/>
              <w:right w:val="nil"/>
            </w:tcBorders>
            <w:shd w:val="clear" w:color="000000" w:fill="FFFFFF"/>
            <w:noWrap/>
            <w:vAlign w:val="center"/>
            <w:hideMark/>
          </w:tcPr>
          <w:p w14:paraId="66A2F004" w14:textId="1E9D94DA" w:rsidR="00EB4CBD" w:rsidRPr="00F53E25" w:rsidRDefault="009154DA"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Total,</w:t>
            </w:r>
            <w:r w:rsidR="00EB4CBD" w:rsidRPr="00F53E25">
              <w:rPr>
                <w:rFonts w:asciiTheme="minorHAnsi" w:hAnsiTheme="minorHAnsi"/>
                <w:b/>
                <w:bCs/>
                <w:sz w:val="20"/>
                <w:szCs w:val="20"/>
              </w:rPr>
              <w:t xml:space="preserve"> </w:t>
            </w:r>
            <w:r w:rsidR="006D4727" w:rsidRPr="00F53E25">
              <w:rPr>
                <w:rFonts w:asciiTheme="minorHAnsi" w:hAnsiTheme="minorHAnsi"/>
                <w:b/>
                <w:bCs/>
                <w:sz w:val="20"/>
                <w:szCs w:val="20"/>
              </w:rPr>
              <w:t>I</w:t>
            </w:r>
            <w:r w:rsidR="00EB4CBD" w:rsidRPr="00F53E25">
              <w:rPr>
                <w:rFonts w:asciiTheme="minorHAnsi" w:hAnsiTheme="minorHAnsi"/>
                <w:b/>
                <w:bCs/>
                <w:sz w:val="20"/>
                <w:szCs w:val="20"/>
              </w:rPr>
              <w:t>ngresos</w:t>
            </w:r>
          </w:p>
        </w:tc>
        <w:tc>
          <w:tcPr>
            <w:tcW w:w="687" w:type="dxa"/>
            <w:tcBorders>
              <w:top w:val="nil"/>
              <w:left w:val="nil"/>
              <w:bottom w:val="nil"/>
              <w:right w:val="nil"/>
            </w:tcBorders>
            <w:shd w:val="clear" w:color="000000" w:fill="FFFFFF"/>
            <w:noWrap/>
            <w:vAlign w:val="center"/>
            <w:hideMark/>
          </w:tcPr>
          <w:p w14:paraId="13DEB2BB"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single" w:sz="4" w:space="0" w:color="auto"/>
              <w:left w:val="nil"/>
              <w:bottom w:val="single" w:sz="4" w:space="0" w:color="auto"/>
              <w:right w:val="nil"/>
            </w:tcBorders>
            <w:shd w:val="clear" w:color="000000" w:fill="FFFFFF"/>
            <w:noWrap/>
            <w:vAlign w:val="center"/>
            <w:hideMark/>
          </w:tcPr>
          <w:p w14:paraId="617B6B46" w14:textId="34A37CB5"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2E586C" w:rsidRPr="00F53E25">
              <w:rPr>
                <w:rFonts w:asciiTheme="minorHAnsi" w:hAnsiTheme="minorHAnsi"/>
                <w:b/>
                <w:bCs/>
                <w:sz w:val="20"/>
                <w:szCs w:val="20"/>
              </w:rPr>
              <w:t>5 030</w:t>
            </w:r>
            <w:r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FFFFFF"/>
            <w:noWrap/>
            <w:vAlign w:val="center"/>
            <w:hideMark/>
          </w:tcPr>
          <w:p w14:paraId="6B528DD5" w14:textId="61BF82A7" w:rsidR="00EB4CBD" w:rsidRPr="00F53E25" w:rsidRDefault="002E586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59</w:t>
            </w:r>
            <w:r w:rsidR="00EB4CBD" w:rsidRPr="00F53E25">
              <w:rPr>
                <w:rFonts w:asciiTheme="minorHAnsi" w:hAnsiTheme="minorHAnsi"/>
                <w:b/>
                <w:bCs/>
                <w:sz w:val="20"/>
                <w:szCs w:val="20"/>
              </w:rPr>
              <w:t xml:space="preserve">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0CA80C3E" w14:textId="3B1EBBEC" w:rsidR="00EB4CBD" w:rsidRPr="00F53E25" w:rsidRDefault="002E586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5 089</w:t>
            </w:r>
            <w:r w:rsidR="00EB4CBD" w:rsidRPr="00F53E25">
              <w:rPr>
                <w:rFonts w:asciiTheme="minorHAnsi" w:hAnsiTheme="minorHAnsi"/>
                <w:b/>
                <w:bCs/>
                <w:sz w:val="20"/>
                <w:szCs w:val="20"/>
              </w:rPr>
              <w:t xml:space="preserve"> </w:t>
            </w:r>
          </w:p>
        </w:tc>
        <w:tc>
          <w:tcPr>
            <w:tcW w:w="239" w:type="dxa"/>
            <w:tcBorders>
              <w:top w:val="single" w:sz="4" w:space="0" w:color="auto"/>
              <w:left w:val="nil"/>
              <w:bottom w:val="single" w:sz="4" w:space="0" w:color="auto"/>
              <w:right w:val="nil"/>
            </w:tcBorders>
            <w:shd w:val="clear" w:color="000000" w:fill="D9D9D9"/>
            <w:noWrap/>
            <w:vAlign w:val="center"/>
            <w:hideMark/>
          </w:tcPr>
          <w:p w14:paraId="25EA6A4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single" w:sz="4" w:space="0" w:color="auto"/>
              <w:left w:val="nil"/>
              <w:bottom w:val="single" w:sz="4" w:space="0" w:color="auto"/>
              <w:right w:val="nil"/>
            </w:tcBorders>
            <w:shd w:val="clear" w:color="000000" w:fill="FFFFFF"/>
            <w:noWrap/>
            <w:vAlign w:val="center"/>
            <w:hideMark/>
          </w:tcPr>
          <w:p w14:paraId="2CFB479C" w14:textId="5765C4FB" w:rsidR="00EB4CBD" w:rsidRPr="00F53E25" w:rsidRDefault="00F93170"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4 932</w:t>
            </w:r>
            <w:r w:rsidR="00EB4CBD"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FFFFFF"/>
            <w:noWrap/>
            <w:vAlign w:val="center"/>
            <w:hideMark/>
          </w:tcPr>
          <w:p w14:paraId="23C0F99A" w14:textId="16D17163"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F93170" w:rsidRPr="00F53E25">
              <w:rPr>
                <w:rFonts w:asciiTheme="minorHAnsi" w:hAnsiTheme="minorHAnsi"/>
                <w:b/>
                <w:bCs/>
                <w:sz w:val="20"/>
                <w:szCs w:val="20"/>
              </w:rPr>
              <w:t>496</w:t>
            </w:r>
            <w:r w:rsidRPr="00F53E25">
              <w:rPr>
                <w:rFonts w:asciiTheme="minorHAnsi" w:hAnsiTheme="minorHAnsi"/>
                <w:b/>
                <w:bCs/>
                <w:sz w:val="20"/>
                <w:szCs w:val="20"/>
              </w:rPr>
              <w:t xml:space="preserve">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1C17FDB4" w14:textId="235F1BDC"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F93170" w:rsidRPr="00F53E25">
              <w:rPr>
                <w:rFonts w:asciiTheme="minorHAnsi" w:hAnsiTheme="minorHAnsi"/>
                <w:b/>
                <w:bCs/>
                <w:sz w:val="20"/>
                <w:szCs w:val="20"/>
              </w:rPr>
              <w:t>5 428</w:t>
            </w:r>
            <w:r w:rsidRPr="00F53E25">
              <w:rPr>
                <w:rFonts w:asciiTheme="minorHAnsi" w:hAnsiTheme="minorHAnsi"/>
                <w:b/>
                <w:bCs/>
                <w:sz w:val="20"/>
                <w:szCs w:val="20"/>
              </w:rPr>
              <w:t xml:space="preserve"> </w:t>
            </w:r>
          </w:p>
        </w:tc>
      </w:tr>
      <w:tr w:rsidR="00EB4CBD" w:rsidRPr="00F53E25" w14:paraId="2182DE1F" w14:textId="77777777" w:rsidTr="00845CBE">
        <w:tc>
          <w:tcPr>
            <w:tcW w:w="3828" w:type="dxa"/>
            <w:tcBorders>
              <w:top w:val="nil"/>
              <w:left w:val="nil"/>
              <w:bottom w:val="nil"/>
              <w:right w:val="nil"/>
            </w:tcBorders>
            <w:shd w:val="clear" w:color="000000" w:fill="FFFFFF"/>
            <w:noWrap/>
            <w:vAlign w:val="center"/>
            <w:hideMark/>
          </w:tcPr>
          <w:p w14:paraId="683923B8" w14:textId="77777777" w:rsidR="00EB4CBD" w:rsidRPr="00F53E25" w:rsidRDefault="00EB4CBD" w:rsidP="003F135F">
            <w:pPr>
              <w:ind w:left="0" w:firstLine="0"/>
              <w:rPr>
                <w:rFonts w:asciiTheme="minorHAnsi" w:eastAsia="Times New Roman" w:hAnsiTheme="minorHAnsi" w:cstheme="minorHAnsi"/>
                <w:color w:val="000000"/>
                <w:sz w:val="20"/>
                <w:szCs w:val="20"/>
              </w:rPr>
            </w:pPr>
            <w:r w:rsidRPr="00F53E25">
              <w:rPr>
                <w:rFonts w:asciiTheme="minorHAnsi" w:hAnsiTheme="minorHAnsi"/>
                <w:color w:val="000000"/>
                <w:sz w:val="20"/>
                <w:szCs w:val="20"/>
              </w:rPr>
              <w:t> </w:t>
            </w:r>
          </w:p>
        </w:tc>
        <w:tc>
          <w:tcPr>
            <w:tcW w:w="687" w:type="dxa"/>
            <w:tcBorders>
              <w:top w:val="nil"/>
              <w:left w:val="nil"/>
              <w:bottom w:val="nil"/>
              <w:right w:val="nil"/>
            </w:tcBorders>
            <w:shd w:val="clear" w:color="000000" w:fill="FFFFFF"/>
            <w:noWrap/>
            <w:vAlign w:val="center"/>
            <w:hideMark/>
          </w:tcPr>
          <w:p w14:paraId="731C288D"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A4C99D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53AE31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DD2CF2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0B6155B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02346A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40AF40F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8C2BAB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773FA633" w14:textId="77777777" w:rsidTr="00845CBE">
        <w:tc>
          <w:tcPr>
            <w:tcW w:w="3828" w:type="dxa"/>
            <w:tcBorders>
              <w:top w:val="nil"/>
              <w:left w:val="nil"/>
              <w:bottom w:val="nil"/>
              <w:right w:val="nil"/>
            </w:tcBorders>
            <w:shd w:val="clear" w:color="000000" w:fill="FFFFFF"/>
            <w:noWrap/>
            <w:vAlign w:val="center"/>
            <w:hideMark/>
          </w:tcPr>
          <w:p w14:paraId="34900F99" w14:textId="77777777" w:rsidR="00EB4CBD" w:rsidRPr="00F53E25" w:rsidRDefault="00EB4CBD"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Gastos</w:t>
            </w:r>
          </w:p>
        </w:tc>
        <w:tc>
          <w:tcPr>
            <w:tcW w:w="687" w:type="dxa"/>
            <w:tcBorders>
              <w:top w:val="nil"/>
              <w:left w:val="nil"/>
              <w:bottom w:val="nil"/>
              <w:right w:val="nil"/>
            </w:tcBorders>
            <w:shd w:val="clear" w:color="000000" w:fill="FFFFFF"/>
            <w:noWrap/>
            <w:vAlign w:val="center"/>
            <w:hideMark/>
          </w:tcPr>
          <w:p w14:paraId="15B32D3D"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5DB29A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3ADE9C06"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E4A5B7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35A3619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7E469D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581FD1A1"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1179585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190D2D9A" w14:textId="77777777" w:rsidTr="00845CBE">
        <w:tc>
          <w:tcPr>
            <w:tcW w:w="3828" w:type="dxa"/>
            <w:tcBorders>
              <w:top w:val="nil"/>
              <w:left w:val="nil"/>
              <w:bottom w:val="nil"/>
              <w:right w:val="nil"/>
            </w:tcBorders>
            <w:shd w:val="clear" w:color="000000" w:fill="FFFFFF"/>
            <w:noWrap/>
            <w:vAlign w:val="center"/>
            <w:hideMark/>
          </w:tcPr>
          <w:p w14:paraId="5FD7D821" w14:textId="77777777" w:rsidR="00EB4CBD" w:rsidRPr="00F53E25" w:rsidRDefault="00EB4CBD" w:rsidP="003F135F">
            <w:pPr>
              <w:ind w:left="0" w:firstLine="0"/>
              <w:rPr>
                <w:rFonts w:asciiTheme="minorHAnsi" w:eastAsia="Times New Roman" w:hAnsiTheme="minorHAnsi" w:cstheme="minorHAnsi"/>
                <w:i/>
                <w:iCs/>
                <w:color w:val="000000"/>
                <w:sz w:val="20"/>
                <w:szCs w:val="20"/>
              </w:rPr>
            </w:pPr>
            <w:r w:rsidRPr="00F53E25">
              <w:rPr>
                <w:rFonts w:asciiTheme="minorHAnsi" w:hAnsiTheme="minorHAnsi"/>
                <w:i/>
                <w:iCs/>
                <w:color w:val="000000"/>
                <w:sz w:val="20"/>
                <w:szCs w:val="20"/>
              </w:rPr>
              <w:t>Gastos de funcionamiento:</w:t>
            </w:r>
          </w:p>
        </w:tc>
        <w:tc>
          <w:tcPr>
            <w:tcW w:w="687" w:type="dxa"/>
            <w:tcBorders>
              <w:top w:val="nil"/>
              <w:left w:val="nil"/>
              <w:bottom w:val="nil"/>
              <w:right w:val="nil"/>
            </w:tcBorders>
            <w:shd w:val="clear" w:color="000000" w:fill="FFFFFF"/>
            <w:noWrap/>
            <w:vAlign w:val="center"/>
            <w:hideMark/>
          </w:tcPr>
          <w:p w14:paraId="768B4F83"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5976598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4E25CE1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51AD61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2193AEC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9A50FB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BD6B11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A2C1AC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09589BE3" w14:textId="77777777" w:rsidTr="00845CBE">
        <w:tc>
          <w:tcPr>
            <w:tcW w:w="3828" w:type="dxa"/>
            <w:tcBorders>
              <w:top w:val="nil"/>
              <w:left w:val="nil"/>
              <w:bottom w:val="nil"/>
              <w:right w:val="nil"/>
            </w:tcBorders>
            <w:shd w:val="clear" w:color="000000" w:fill="FFFFFF"/>
            <w:noWrap/>
            <w:vAlign w:val="center"/>
            <w:hideMark/>
          </w:tcPr>
          <w:p w14:paraId="299B1B7A" w14:textId="043D0C84"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Movilización de recursos y promoción</w:t>
            </w:r>
          </w:p>
        </w:tc>
        <w:tc>
          <w:tcPr>
            <w:tcW w:w="687" w:type="dxa"/>
            <w:tcBorders>
              <w:top w:val="nil"/>
              <w:left w:val="nil"/>
              <w:bottom w:val="nil"/>
              <w:right w:val="nil"/>
            </w:tcBorders>
            <w:shd w:val="clear" w:color="000000" w:fill="FFFFFF"/>
            <w:noWrap/>
            <w:vAlign w:val="center"/>
            <w:hideMark/>
          </w:tcPr>
          <w:p w14:paraId="3E79E971"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5FD70E3" w14:textId="1BAEF26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F93170" w:rsidRPr="00F53E25">
              <w:rPr>
                <w:rFonts w:asciiTheme="minorHAnsi" w:hAnsiTheme="minorHAnsi"/>
                <w:sz w:val="20"/>
                <w:szCs w:val="20"/>
              </w:rPr>
              <w:t>416</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300DB484" w14:textId="5AEA999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F93170" w:rsidRPr="00F53E25">
              <w:rPr>
                <w:rFonts w:asciiTheme="minorHAnsi" w:hAnsiTheme="minorHAnsi"/>
                <w:sz w:val="20"/>
                <w:szCs w:val="20"/>
              </w:rPr>
              <w:t>75</w:t>
            </w:r>
            <w:r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73136898" w14:textId="33EBF102"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(4</w:t>
            </w:r>
            <w:r w:rsidR="00F93170" w:rsidRPr="00F53E25">
              <w:rPr>
                <w:rFonts w:asciiTheme="minorHAnsi" w:hAnsiTheme="minorHAnsi"/>
                <w:sz w:val="20"/>
                <w:szCs w:val="20"/>
              </w:rPr>
              <w:t>91</w:t>
            </w:r>
            <w:r w:rsidRPr="00F53E25">
              <w:rPr>
                <w:rFonts w:asciiTheme="minorHAnsi" w:hAnsiTheme="minorHAnsi"/>
                <w:sz w:val="20"/>
                <w:szCs w:val="20"/>
              </w:rPr>
              <w:t>)</w:t>
            </w:r>
          </w:p>
        </w:tc>
        <w:tc>
          <w:tcPr>
            <w:tcW w:w="239" w:type="dxa"/>
            <w:tcBorders>
              <w:top w:val="nil"/>
              <w:left w:val="nil"/>
              <w:bottom w:val="nil"/>
              <w:right w:val="nil"/>
            </w:tcBorders>
            <w:shd w:val="clear" w:color="000000" w:fill="D9D9D9"/>
            <w:noWrap/>
            <w:vAlign w:val="center"/>
            <w:hideMark/>
          </w:tcPr>
          <w:p w14:paraId="4AA09557"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0D8E09D8" w14:textId="3D3DB93D"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319</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6279FC82" w14:textId="0467A9CC"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159</w:t>
            </w:r>
            <w:r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298C6056" w14:textId="3AA205EB"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478</w:t>
            </w:r>
            <w:r w:rsidRPr="00F53E25">
              <w:rPr>
                <w:rFonts w:asciiTheme="minorHAnsi" w:hAnsiTheme="minorHAnsi"/>
                <w:sz w:val="20"/>
                <w:szCs w:val="20"/>
              </w:rPr>
              <w:t>)</w:t>
            </w:r>
          </w:p>
        </w:tc>
      </w:tr>
      <w:tr w:rsidR="00EB4CBD" w:rsidRPr="00F53E25" w14:paraId="4C710109" w14:textId="77777777" w:rsidTr="00845CBE">
        <w:tc>
          <w:tcPr>
            <w:tcW w:w="3828" w:type="dxa"/>
            <w:tcBorders>
              <w:top w:val="nil"/>
              <w:left w:val="nil"/>
              <w:bottom w:val="nil"/>
              <w:right w:val="nil"/>
            </w:tcBorders>
            <w:shd w:val="clear" w:color="000000" w:fill="FFFFFF"/>
            <w:noWrap/>
            <w:vAlign w:val="center"/>
            <w:hideMark/>
          </w:tcPr>
          <w:p w14:paraId="2761025F" w14:textId="1989AB31"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Asesoramiento, iniciativas y apoyo regionales</w:t>
            </w:r>
          </w:p>
        </w:tc>
        <w:tc>
          <w:tcPr>
            <w:tcW w:w="687" w:type="dxa"/>
            <w:tcBorders>
              <w:top w:val="nil"/>
              <w:left w:val="nil"/>
              <w:bottom w:val="nil"/>
              <w:right w:val="nil"/>
            </w:tcBorders>
            <w:shd w:val="clear" w:color="000000" w:fill="FFFFFF"/>
            <w:noWrap/>
            <w:vAlign w:val="center"/>
            <w:hideMark/>
          </w:tcPr>
          <w:p w14:paraId="4FA4C51C"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F2AB1C3" w14:textId="06B29553"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w:t>
            </w:r>
            <w:r w:rsidR="00652E0C" w:rsidRPr="00F53E25">
              <w:rPr>
                <w:rFonts w:asciiTheme="minorHAnsi" w:hAnsiTheme="minorHAnsi"/>
                <w:sz w:val="20"/>
                <w:szCs w:val="20"/>
              </w:rPr>
              <w:t> </w:t>
            </w:r>
            <w:r w:rsidR="00F93170" w:rsidRPr="00F53E25">
              <w:rPr>
                <w:rFonts w:asciiTheme="minorHAnsi" w:hAnsiTheme="minorHAnsi"/>
                <w:sz w:val="20"/>
                <w:szCs w:val="20"/>
              </w:rPr>
              <w:t>126</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2AA29F05" w14:textId="3F6F503C"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(1</w:t>
            </w:r>
            <w:r w:rsidR="00F93170" w:rsidRPr="00F53E25">
              <w:rPr>
                <w:rFonts w:asciiTheme="minorHAnsi" w:hAnsiTheme="minorHAnsi"/>
                <w:sz w:val="20"/>
                <w:szCs w:val="20"/>
              </w:rPr>
              <w:t>10</w:t>
            </w:r>
            <w:r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1B7A2641" w14:textId="063FEE9D"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(1</w:t>
            </w:r>
            <w:r w:rsidR="00652E0C" w:rsidRPr="00F53E25">
              <w:rPr>
                <w:rFonts w:asciiTheme="minorHAnsi" w:hAnsiTheme="minorHAnsi"/>
                <w:sz w:val="20"/>
                <w:szCs w:val="20"/>
              </w:rPr>
              <w:t> </w:t>
            </w:r>
            <w:r w:rsidR="006D27CC" w:rsidRPr="00F53E25">
              <w:rPr>
                <w:rFonts w:asciiTheme="minorHAnsi" w:hAnsiTheme="minorHAnsi"/>
                <w:sz w:val="20"/>
                <w:szCs w:val="20"/>
              </w:rPr>
              <w:t>236</w:t>
            </w:r>
            <w:r w:rsidRPr="00F53E25">
              <w:rPr>
                <w:rFonts w:asciiTheme="minorHAnsi" w:hAnsiTheme="minorHAnsi"/>
                <w:sz w:val="20"/>
                <w:szCs w:val="20"/>
              </w:rPr>
              <w:t>)</w:t>
            </w:r>
          </w:p>
        </w:tc>
        <w:tc>
          <w:tcPr>
            <w:tcW w:w="239" w:type="dxa"/>
            <w:tcBorders>
              <w:top w:val="nil"/>
              <w:left w:val="nil"/>
              <w:bottom w:val="nil"/>
              <w:right w:val="nil"/>
            </w:tcBorders>
            <w:shd w:val="clear" w:color="000000" w:fill="D9D9D9"/>
            <w:noWrap/>
            <w:vAlign w:val="center"/>
            <w:hideMark/>
          </w:tcPr>
          <w:p w14:paraId="381A3A12"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61328FB1" w14:textId="162869EB"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w:t>
            </w:r>
            <w:r w:rsidR="00652E0C" w:rsidRPr="00F53E25">
              <w:rPr>
                <w:rFonts w:asciiTheme="minorHAnsi" w:hAnsiTheme="minorHAnsi"/>
                <w:sz w:val="20"/>
                <w:szCs w:val="20"/>
              </w:rPr>
              <w:t> </w:t>
            </w:r>
            <w:r w:rsidR="006D27CC" w:rsidRPr="00F53E25">
              <w:rPr>
                <w:rFonts w:asciiTheme="minorHAnsi" w:hAnsiTheme="minorHAnsi"/>
                <w:sz w:val="20"/>
                <w:szCs w:val="20"/>
              </w:rPr>
              <w:t>245</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26F67177" w14:textId="599DBE1D"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(1</w:t>
            </w:r>
            <w:r w:rsidR="006D27CC" w:rsidRPr="00F53E25">
              <w:rPr>
                <w:rFonts w:asciiTheme="minorHAnsi" w:hAnsiTheme="minorHAnsi"/>
                <w:sz w:val="20"/>
                <w:szCs w:val="20"/>
              </w:rPr>
              <w:t>74</w:t>
            </w:r>
            <w:r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59DE9E6F" w14:textId="092B2F1D"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(1</w:t>
            </w:r>
            <w:r w:rsidR="00652E0C" w:rsidRPr="00F53E25">
              <w:rPr>
                <w:rFonts w:asciiTheme="minorHAnsi" w:hAnsiTheme="minorHAnsi"/>
                <w:sz w:val="20"/>
                <w:szCs w:val="20"/>
              </w:rPr>
              <w:t> </w:t>
            </w:r>
            <w:r w:rsidR="006D27CC" w:rsidRPr="00F53E25">
              <w:rPr>
                <w:rFonts w:asciiTheme="minorHAnsi" w:hAnsiTheme="minorHAnsi"/>
                <w:sz w:val="20"/>
                <w:szCs w:val="20"/>
              </w:rPr>
              <w:t>419</w:t>
            </w:r>
            <w:r w:rsidRPr="00F53E25">
              <w:rPr>
                <w:rFonts w:asciiTheme="minorHAnsi" w:hAnsiTheme="minorHAnsi"/>
                <w:sz w:val="20"/>
                <w:szCs w:val="20"/>
              </w:rPr>
              <w:t>)</w:t>
            </w:r>
          </w:p>
        </w:tc>
      </w:tr>
      <w:tr w:rsidR="00EB4CBD" w:rsidRPr="00F53E25" w14:paraId="5488D7FB" w14:textId="77777777" w:rsidTr="00845CBE">
        <w:tc>
          <w:tcPr>
            <w:tcW w:w="3828" w:type="dxa"/>
            <w:tcBorders>
              <w:top w:val="nil"/>
              <w:left w:val="nil"/>
              <w:bottom w:val="nil"/>
              <w:right w:val="nil"/>
            </w:tcBorders>
            <w:shd w:val="clear" w:color="000000" w:fill="FFFFFF"/>
            <w:noWrap/>
            <w:vAlign w:val="center"/>
            <w:hideMark/>
          </w:tcPr>
          <w:p w14:paraId="264181A6" w14:textId="35D13D0C"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Servicios científicos y técnicos</w:t>
            </w:r>
          </w:p>
        </w:tc>
        <w:tc>
          <w:tcPr>
            <w:tcW w:w="687" w:type="dxa"/>
            <w:tcBorders>
              <w:top w:val="nil"/>
              <w:left w:val="nil"/>
              <w:bottom w:val="nil"/>
              <w:right w:val="nil"/>
            </w:tcBorders>
            <w:shd w:val="clear" w:color="000000" w:fill="FFFFFF"/>
            <w:noWrap/>
            <w:vAlign w:val="center"/>
            <w:hideMark/>
          </w:tcPr>
          <w:p w14:paraId="3A178CCE"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48189F6" w14:textId="53B32469"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F93170" w:rsidRPr="00F53E25">
              <w:rPr>
                <w:rFonts w:asciiTheme="minorHAnsi" w:hAnsiTheme="minorHAnsi"/>
                <w:sz w:val="20"/>
                <w:szCs w:val="20"/>
              </w:rPr>
              <w:t>527</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6F13DB57" w14:textId="607B19C8" w:rsidR="00EB4CBD" w:rsidRPr="00F53E25" w:rsidRDefault="00F93170"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1137FD3F" w14:textId="614EEF49"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6D27CC" w:rsidRPr="00F53E25">
              <w:rPr>
                <w:rFonts w:asciiTheme="minorHAnsi" w:hAnsiTheme="minorHAnsi"/>
                <w:sz w:val="20"/>
                <w:szCs w:val="20"/>
              </w:rPr>
              <w:t>527</w:t>
            </w:r>
            <w:r w:rsidRPr="00F53E25">
              <w:rPr>
                <w:rFonts w:asciiTheme="minorHAnsi" w:hAnsiTheme="minorHAnsi"/>
                <w:sz w:val="20"/>
                <w:szCs w:val="20"/>
              </w:rPr>
              <w:t>)</w:t>
            </w:r>
          </w:p>
        </w:tc>
        <w:tc>
          <w:tcPr>
            <w:tcW w:w="239" w:type="dxa"/>
            <w:tcBorders>
              <w:top w:val="nil"/>
              <w:left w:val="nil"/>
              <w:bottom w:val="nil"/>
              <w:right w:val="nil"/>
            </w:tcBorders>
            <w:shd w:val="clear" w:color="000000" w:fill="D9D9D9"/>
            <w:noWrap/>
            <w:vAlign w:val="center"/>
            <w:hideMark/>
          </w:tcPr>
          <w:p w14:paraId="2BFB256A"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CD730F1" w14:textId="5982CB5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640</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56DCB781" w14:textId="3A9ADB3E"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0</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6D078511" w14:textId="60CCBEC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640</w:t>
            </w:r>
            <w:r w:rsidRPr="00F53E25">
              <w:rPr>
                <w:rFonts w:asciiTheme="minorHAnsi" w:hAnsiTheme="minorHAnsi"/>
                <w:sz w:val="20"/>
                <w:szCs w:val="20"/>
              </w:rPr>
              <w:t>)</w:t>
            </w:r>
          </w:p>
        </w:tc>
      </w:tr>
      <w:tr w:rsidR="00EB4CBD" w:rsidRPr="00F53E25" w14:paraId="2B661FDD" w14:textId="77777777" w:rsidTr="00845CBE">
        <w:tc>
          <w:tcPr>
            <w:tcW w:w="3828" w:type="dxa"/>
            <w:tcBorders>
              <w:top w:val="nil"/>
              <w:left w:val="nil"/>
              <w:bottom w:val="nil"/>
              <w:right w:val="nil"/>
            </w:tcBorders>
            <w:shd w:val="clear" w:color="000000" w:fill="FFFFFF"/>
            <w:noWrap/>
            <w:vAlign w:val="center"/>
            <w:hideMark/>
          </w:tcPr>
          <w:p w14:paraId="20D2AD4C" w14:textId="5285C43A"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xml:space="preserve">Gestión, </w:t>
            </w:r>
            <w:r w:rsidR="006D27CC" w:rsidRPr="00F53E25">
              <w:rPr>
                <w:rFonts w:asciiTheme="minorHAnsi" w:hAnsiTheme="minorHAnsi"/>
                <w:sz w:val="20"/>
                <w:szCs w:val="20"/>
              </w:rPr>
              <w:t xml:space="preserve">gobernanza, </w:t>
            </w:r>
            <w:r w:rsidRPr="00F53E25">
              <w:rPr>
                <w:rFonts w:asciiTheme="minorHAnsi" w:hAnsiTheme="minorHAnsi"/>
                <w:sz w:val="20"/>
                <w:szCs w:val="20"/>
              </w:rPr>
              <w:t>funcionamiento y apoyo</w:t>
            </w:r>
          </w:p>
        </w:tc>
        <w:tc>
          <w:tcPr>
            <w:tcW w:w="687" w:type="dxa"/>
            <w:tcBorders>
              <w:top w:val="nil"/>
              <w:left w:val="nil"/>
              <w:bottom w:val="nil"/>
              <w:right w:val="nil"/>
            </w:tcBorders>
            <w:shd w:val="clear" w:color="000000" w:fill="FFFFFF"/>
            <w:noWrap/>
            <w:vAlign w:val="center"/>
            <w:hideMark/>
          </w:tcPr>
          <w:p w14:paraId="4D4F12C7"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single" w:sz="4" w:space="0" w:color="auto"/>
              <w:right w:val="nil"/>
            </w:tcBorders>
            <w:shd w:val="clear" w:color="000000" w:fill="FFFFFF"/>
            <w:noWrap/>
            <w:vAlign w:val="center"/>
            <w:hideMark/>
          </w:tcPr>
          <w:p w14:paraId="6D9031C9" w14:textId="22A09FBB"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652E0C" w:rsidRPr="00F53E25">
              <w:rPr>
                <w:rFonts w:asciiTheme="minorHAnsi" w:hAnsiTheme="minorHAnsi"/>
                <w:sz w:val="20"/>
                <w:szCs w:val="20"/>
              </w:rPr>
              <w:t> </w:t>
            </w:r>
            <w:r w:rsidR="00F93170" w:rsidRPr="00F53E25">
              <w:rPr>
                <w:rFonts w:asciiTheme="minorHAnsi" w:hAnsiTheme="minorHAnsi"/>
                <w:sz w:val="20"/>
                <w:szCs w:val="20"/>
              </w:rPr>
              <w:t>129</w:t>
            </w:r>
            <w:r w:rsidRPr="00F53E25">
              <w:rPr>
                <w:rFonts w:asciiTheme="minorHAnsi" w:hAnsiTheme="minorHAnsi"/>
                <w:sz w:val="20"/>
                <w:szCs w:val="20"/>
              </w:rPr>
              <w:t>)</w:t>
            </w:r>
          </w:p>
        </w:tc>
        <w:tc>
          <w:tcPr>
            <w:tcW w:w="850" w:type="dxa"/>
            <w:tcBorders>
              <w:top w:val="nil"/>
              <w:left w:val="nil"/>
              <w:bottom w:val="single" w:sz="4" w:space="0" w:color="auto"/>
              <w:right w:val="nil"/>
            </w:tcBorders>
            <w:shd w:val="clear" w:color="000000" w:fill="FFFFFF"/>
            <w:noWrap/>
            <w:vAlign w:val="center"/>
            <w:hideMark/>
          </w:tcPr>
          <w:p w14:paraId="657029E9" w14:textId="76CACDB7" w:rsidR="00EB4CBD" w:rsidRPr="00F53E25" w:rsidRDefault="00F93170"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(67)</w:t>
            </w:r>
            <w:r w:rsidR="00EB4CBD" w:rsidRPr="00F53E25">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1DA7630E" w14:textId="16497355"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(2</w:t>
            </w:r>
            <w:r w:rsidR="00652E0C" w:rsidRPr="00F53E25">
              <w:rPr>
                <w:rFonts w:asciiTheme="minorHAnsi" w:hAnsiTheme="minorHAnsi"/>
                <w:sz w:val="20"/>
                <w:szCs w:val="20"/>
              </w:rPr>
              <w:t> </w:t>
            </w:r>
            <w:r w:rsidR="006D27CC" w:rsidRPr="00F53E25">
              <w:rPr>
                <w:rFonts w:asciiTheme="minorHAnsi" w:hAnsiTheme="minorHAnsi"/>
                <w:sz w:val="20"/>
                <w:szCs w:val="20"/>
              </w:rPr>
              <w:t>196</w:t>
            </w:r>
            <w:r w:rsidRPr="00F53E25">
              <w:rPr>
                <w:rFonts w:asciiTheme="minorHAnsi" w:hAnsiTheme="minorHAnsi"/>
                <w:sz w:val="20"/>
                <w:szCs w:val="20"/>
              </w:rPr>
              <w:t>)</w:t>
            </w:r>
          </w:p>
        </w:tc>
        <w:tc>
          <w:tcPr>
            <w:tcW w:w="239" w:type="dxa"/>
            <w:tcBorders>
              <w:top w:val="nil"/>
              <w:left w:val="nil"/>
              <w:bottom w:val="single" w:sz="4" w:space="0" w:color="auto"/>
              <w:right w:val="nil"/>
            </w:tcBorders>
            <w:shd w:val="clear" w:color="000000" w:fill="D9D9D9"/>
            <w:noWrap/>
            <w:vAlign w:val="center"/>
            <w:hideMark/>
          </w:tcPr>
          <w:p w14:paraId="398FE1E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single" w:sz="4" w:space="0" w:color="auto"/>
              <w:right w:val="nil"/>
            </w:tcBorders>
            <w:shd w:val="clear" w:color="000000" w:fill="FFFFFF"/>
            <w:noWrap/>
            <w:vAlign w:val="center"/>
            <w:hideMark/>
          </w:tcPr>
          <w:p w14:paraId="5FDA689B" w14:textId="50BB7942"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652E0C" w:rsidRPr="00F53E25">
              <w:rPr>
                <w:rFonts w:asciiTheme="minorHAnsi" w:hAnsiTheme="minorHAnsi"/>
                <w:sz w:val="20"/>
                <w:szCs w:val="20"/>
              </w:rPr>
              <w:t> </w:t>
            </w:r>
            <w:r w:rsidR="006D27CC" w:rsidRPr="00F53E25">
              <w:rPr>
                <w:rFonts w:asciiTheme="minorHAnsi" w:hAnsiTheme="minorHAnsi"/>
                <w:sz w:val="20"/>
                <w:szCs w:val="20"/>
              </w:rPr>
              <w:t>025</w:t>
            </w:r>
            <w:r w:rsidRPr="00F53E25">
              <w:rPr>
                <w:rFonts w:asciiTheme="minorHAnsi" w:hAnsiTheme="minorHAnsi"/>
                <w:sz w:val="20"/>
                <w:szCs w:val="20"/>
              </w:rPr>
              <w:t>)</w:t>
            </w:r>
          </w:p>
        </w:tc>
        <w:tc>
          <w:tcPr>
            <w:tcW w:w="850" w:type="dxa"/>
            <w:tcBorders>
              <w:top w:val="nil"/>
              <w:left w:val="nil"/>
              <w:bottom w:val="single" w:sz="4" w:space="0" w:color="auto"/>
              <w:right w:val="nil"/>
            </w:tcBorders>
            <w:shd w:val="clear" w:color="000000" w:fill="FFFFFF"/>
            <w:noWrap/>
            <w:vAlign w:val="center"/>
            <w:hideMark/>
          </w:tcPr>
          <w:p w14:paraId="6E2F6F88" w14:textId="14B4421A"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3</w:t>
            </w:r>
          </w:p>
        </w:tc>
        <w:tc>
          <w:tcPr>
            <w:tcW w:w="854" w:type="dxa"/>
            <w:gridSpan w:val="2"/>
            <w:tcBorders>
              <w:top w:val="nil"/>
              <w:left w:val="nil"/>
              <w:bottom w:val="single" w:sz="4" w:space="0" w:color="auto"/>
              <w:right w:val="nil"/>
            </w:tcBorders>
            <w:shd w:val="clear" w:color="000000" w:fill="FFFFFF"/>
            <w:noWrap/>
            <w:vAlign w:val="center"/>
            <w:hideMark/>
          </w:tcPr>
          <w:p w14:paraId="40B99A6D" w14:textId="601592D5"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6D27CC" w:rsidRPr="00F53E25">
              <w:rPr>
                <w:rFonts w:asciiTheme="minorHAnsi" w:hAnsiTheme="minorHAnsi"/>
                <w:sz w:val="20"/>
                <w:szCs w:val="20"/>
              </w:rPr>
              <w:t>2 022</w:t>
            </w:r>
            <w:r w:rsidRPr="00F53E25">
              <w:rPr>
                <w:rFonts w:asciiTheme="minorHAnsi" w:hAnsiTheme="minorHAnsi"/>
                <w:sz w:val="20"/>
                <w:szCs w:val="20"/>
              </w:rPr>
              <w:t>)</w:t>
            </w:r>
          </w:p>
        </w:tc>
      </w:tr>
      <w:tr w:rsidR="00EB4CBD" w:rsidRPr="00F53E25" w14:paraId="38652CD8" w14:textId="77777777" w:rsidTr="00845CBE">
        <w:tc>
          <w:tcPr>
            <w:tcW w:w="3828" w:type="dxa"/>
            <w:tcBorders>
              <w:top w:val="nil"/>
              <w:left w:val="nil"/>
              <w:bottom w:val="nil"/>
              <w:right w:val="nil"/>
            </w:tcBorders>
            <w:shd w:val="clear" w:color="000000" w:fill="FFFFFF"/>
            <w:noWrap/>
            <w:vAlign w:val="center"/>
            <w:hideMark/>
          </w:tcPr>
          <w:p w14:paraId="07E13A14" w14:textId="56710683" w:rsidR="00EB4CBD" w:rsidRPr="00F53E25" w:rsidRDefault="009154DA" w:rsidP="003F135F">
            <w:pPr>
              <w:ind w:left="0" w:firstLine="0"/>
              <w:rPr>
                <w:rFonts w:asciiTheme="minorHAnsi" w:eastAsia="Times New Roman" w:hAnsiTheme="minorHAnsi" w:cstheme="minorHAnsi"/>
                <w:i/>
                <w:iCs/>
                <w:sz w:val="20"/>
                <w:szCs w:val="20"/>
              </w:rPr>
            </w:pPr>
            <w:r w:rsidRPr="00F53E25">
              <w:rPr>
                <w:rFonts w:asciiTheme="minorHAnsi" w:hAnsiTheme="minorHAnsi"/>
                <w:i/>
                <w:iCs/>
                <w:sz w:val="20"/>
                <w:szCs w:val="20"/>
              </w:rPr>
              <w:t>Total,</w:t>
            </w:r>
            <w:r w:rsidR="00EB4CBD" w:rsidRPr="00F53E25">
              <w:rPr>
                <w:rFonts w:asciiTheme="minorHAnsi" w:hAnsiTheme="minorHAnsi"/>
                <w:i/>
                <w:iCs/>
                <w:sz w:val="20"/>
                <w:szCs w:val="20"/>
              </w:rPr>
              <w:t xml:space="preserve"> </w:t>
            </w:r>
            <w:r w:rsidR="006D4727" w:rsidRPr="00F53E25">
              <w:rPr>
                <w:rFonts w:asciiTheme="minorHAnsi" w:hAnsiTheme="minorHAnsi"/>
                <w:i/>
                <w:iCs/>
                <w:sz w:val="20"/>
                <w:szCs w:val="20"/>
              </w:rPr>
              <w:t>G</w:t>
            </w:r>
            <w:r w:rsidR="00EB4CBD" w:rsidRPr="00F53E25">
              <w:rPr>
                <w:rFonts w:asciiTheme="minorHAnsi" w:hAnsiTheme="minorHAnsi"/>
                <w:i/>
                <w:iCs/>
                <w:sz w:val="20"/>
                <w:szCs w:val="20"/>
              </w:rPr>
              <w:t>astos de funcionamiento</w:t>
            </w:r>
          </w:p>
        </w:tc>
        <w:tc>
          <w:tcPr>
            <w:tcW w:w="687" w:type="dxa"/>
            <w:tcBorders>
              <w:top w:val="nil"/>
              <w:left w:val="nil"/>
              <w:bottom w:val="nil"/>
              <w:right w:val="nil"/>
            </w:tcBorders>
            <w:shd w:val="clear" w:color="000000" w:fill="FFFFFF"/>
            <w:noWrap/>
            <w:vAlign w:val="center"/>
            <w:hideMark/>
          </w:tcPr>
          <w:p w14:paraId="667DCE1B"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358CE89" w14:textId="5C501D7B"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(4</w:t>
            </w:r>
            <w:r w:rsidR="00652E0C" w:rsidRPr="00F53E25">
              <w:rPr>
                <w:rFonts w:asciiTheme="minorHAnsi" w:hAnsiTheme="minorHAnsi"/>
                <w:b/>
                <w:bCs/>
                <w:sz w:val="20"/>
                <w:szCs w:val="20"/>
              </w:rPr>
              <w:t> </w:t>
            </w:r>
            <w:r w:rsidR="00F93170" w:rsidRPr="00F53E25">
              <w:rPr>
                <w:rFonts w:asciiTheme="minorHAnsi" w:hAnsiTheme="minorHAnsi"/>
                <w:b/>
                <w:bCs/>
                <w:sz w:val="20"/>
                <w:szCs w:val="20"/>
              </w:rPr>
              <w:t>198</w:t>
            </w:r>
            <w:r w:rsidRPr="00F53E25">
              <w:rPr>
                <w:rFonts w:asciiTheme="minorHAnsi" w:hAnsiTheme="minorHAnsi"/>
                <w:b/>
                <w:bCs/>
                <w:sz w:val="20"/>
                <w:szCs w:val="20"/>
              </w:rPr>
              <w:t>)</w:t>
            </w:r>
          </w:p>
        </w:tc>
        <w:tc>
          <w:tcPr>
            <w:tcW w:w="850" w:type="dxa"/>
            <w:tcBorders>
              <w:top w:val="nil"/>
              <w:left w:val="nil"/>
              <w:bottom w:val="nil"/>
              <w:right w:val="nil"/>
            </w:tcBorders>
            <w:shd w:val="clear" w:color="000000" w:fill="FFFFFF"/>
            <w:noWrap/>
            <w:vAlign w:val="center"/>
            <w:hideMark/>
          </w:tcPr>
          <w:p w14:paraId="4533ACA8" w14:textId="7E363C82"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F93170" w:rsidRPr="00F53E25">
              <w:rPr>
                <w:rFonts w:asciiTheme="minorHAnsi" w:hAnsiTheme="minorHAnsi"/>
                <w:b/>
                <w:bCs/>
                <w:sz w:val="20"/>
                <w:szCs w:val="20"/>
              </w:rPr>
              <w:t>252</w:t>
            </w:r>
            <w:r w:rsidRPr="00F53E25">
              <w:rPr>
                <w:rFonts w:asciiTheme="minorHAnsi" w:hAnsiTheme="minorHAnsi"/>
                <w:b/>
                <w:bCs/>
                <w:sz w:val="20"/>
                <w:szCs w:val="20"/>
              </w:rPr>
              <w:t>)</w:t>
            </w:r>
          </w:p>
        </w:tc>
        <w:tc>
          <w:tcPr>
            <w:tcW w:w="854" w:type="dxa"/>
            <w:gridSpan w:val="2"/>
            <w:tcBorders>
              <w:top w:val="nil"/>
              <w:left w:val="nil"/>
              <w:bottom w:val="nil"/>
              <w:right w:val="nil"/>
            </w:tcBorders>
            <w:shd w:val="clear" w:color="000000" w:fill="FFFFFF"/>
            <w:noWrap/>
            <w:vAlign w:val="center"/>
            <w:hideMark/>
          </w:tcPr>
          <w:p w14:paraId="6D5957AB" w14:textId="5D5362A4"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(4</w:t>
            </w:r>
            <w:r w:rsidR="00652E0C" w:rsidRPr="00F53E25">
              <w:rPr>
                <w:rFonts w:asciiTheme="minorHAnsi" w:hAnsiTheme="minorHAnsi"/>
                <w:b/>
                <w:bCs/>
                <w:sz w:val="20"/>
                <w:szCs w:val="20"/>
              </w:rPr>
              <w:t> </w:t>
            </w:r>
            <w:r w:rsidR="006D27CC" w:rsidRPr="00F53E25">
              <w:rPr>
                <w:rFonts w:asciiTheme="minorHAnsi" w:hAnsiTheme="minorHAnsi"/>
                <w:b/>
                <w:bCs/>
                <w:sz w:val="20"/>
                <w:szCs w:val="20"/>
              </w:rPr>
              <w:t>450</w:t>
            </w:r>
            <w:r w:rsidRPr="00F53E25">
              <w:rPr>
                <w:rFonts w:asciiTheme="minorHAnsi" w:hAnsiTheme="minorHAnsi"/>
                <w:b/>
                <w:bCs/>
                <w:sz w:val="20"/>
                <w:szCs w:val="20"/>
              </w:rPr>
              <w:t>)</w:t>
            </w:r>
          </w:p>
        </w:tc>
        <w:tc>
          <w:tcPr>
            <w:tcW w:w="239" w:type="dxa"/>
            <w:tcBorders>
              <w:top w:val="nil"/>
              <w:left w:val="nil"/>
              <w:bottom w:val="nil"/>
              <w:right w:val="nil"/>
            </w:tcBorders>
            <w:shd w:val="clear" w:color="000000" w:fill="D9D9D9"/>
            <w:noWrap/>
            <w:vAlign w:val="center"/>
            <w:hideMark/>
          </w:tcPr>
          <w:p w14:paraId="17853E5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6DB4ABB9" w14:textId="6BB8A754"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(4</w:t>
            </w:r>
            <w:r w:rsidR="00652E0C" w:rsidRPr="00F53E25">
              <w:rPr>
                <w:rFonts w:asciiTheme="minorHAnsi" w:hAnsiTheme="minorHAnsi"/>
                <w:b/>
                <w:bCs/>
                <w:sz w:val="20"/>
                <w:szCs w:val="20"/>
              </w:rPr>
              <w:t> </w:t>
            </w:r>
            <w:r w:rsidR="006D27CC" w:rsidRPr="00F53E25">
              <w:rPr>
                <w:rFonts w:asciiTheme="minorHAnsi" w:hAnsiTheme="minorHAnsi"/>
                <w:b/>
                <w:bCs/>
                <w:sz w:val="20"/>
                <w:szCs w:val="20"/>
              </w:rPr>
              <w:t>230</w:t>
            </w:r>
            <w:r w:rsidRPr="00F53E25">
              <w:rPr>
                <w:rFonts w:asciiTheme="minorHAnsi" w:hAnsiTheme="minorHAnsi"/>
                <w:b/>
                <w:bCs/>
                <w:sz w:val="20"/>
                <w:szCs w:val="20"/>
              </w:rPr>
              <w:t>)</w:t>
            </w:r>
          </w:p>
        </w:tc>
        <w:tc>
          <w:tcPr>
            <w:tcW w:w="850" w:type="dxa"/>
            <w:tcBorders>
              <w:top w:val="nil"/>
              <w:left w:val="nil"/>
              <w:bottom w:val="nil"/>
              <w:right w:val="nil"/>
            </w:tcBorders>
            <w:shd w:val="clear" w:color="000000" w:fill="FFFFFF"/>
            <w:noWrap/>
            <w:vAlign w:val="center"/>
            <w:hideMark/>
          </w:tcPr>
          <w:p w14:paraId="1DBC2E60" w14:textId="2B4F33CA"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w:t>
            </w:r>
            <w:r w:rsidR="006D27CC" w:rsidRPr="00F53E25">
              <w:rPr>
                <w:rFonts w:asciiTheme="minorHAnsi" w:hAnsiTheme="minorHAnsi"/>
                <w:b/>
                <w:bCs/>
                <w:sz w:val="20"/>
                <w:szCs w:val="20"/>
              </w:rPr>
              <w:t>329</w:t>
            </w:r>
            <w:r w:rsidRPr="00F53E25">
              <w:rPr>
                <w:rFonts w:asciiTheme="minorHAnsi" w:hAnsiTheme="minorHAnsi"/>
                <w:b/>
                <w:bCs/>
                <w:sz w:val="20"/>
                <w:szCs w:val="20"/>
              </w:rPr>
              <w:t>)</w:t>
            </w:r>
          </w:p>
        </w:tc>
        <w:tc>
          <w:tcPr>
            <w:tcW w:w="854" w:type="dxa"/>
            <w:gridSpan w:val="2"/>
            <w:tcBorders>
              <w:top w:val="nil"/>
              <w:left w:val="nil"/>
              <w:bottom w:val="nil"/>
              <w:right w:val="nil"/>
            </w:tcBorders>
            <w:shd w:val="clear" w:color="000000" w:fill="FFFFFF"/>
            <w:noWrap/>
            <w:vAlign w:val="center"/>
            <w:hideMark/>
          </w:tcPr>
          <w:p w14:paraId="13D6F441" w14:textId="1DADC7FC"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w:t>
            </w:r>
            <w:r w:rsidR="006D27CC" w:rsidRPr="00F53E25">
              <w:rPr>
                <w:rFonts w:asciiTheme="minorHAnsi" w:hAnsiTheme="minorHAnsi"/>
                <w:b/>
                <w:bCs/>
                <w:sz w:val="20"/>
                <w:szCs w:val="20"/>
              </w:rPr>
              <w:t>4 559</w:t>
            </w:r>
            <w:r w:rsidRPr="00F53E25">
              <w:rPr>
                <w:rFonts w:asciiTheme="minorHAnsi" w:hAnsiTheme="minorHAnsi"/>
                <w:b/>
                <w:bCs/>
                <w:sz w:val="20"/>
                <w:szCs w:val="20"/>
              </w:rPr>
              <w:t>)</w:t>
            </w:r>
          </w:p>
        </w:tc>
      </w:tr>
      <w:tr w:rsidR="00EB4CBD" w:rsidRPr="00F53E25" w14:paraId="544BBD52" w14:textId="77777777" w:rsidTr="00845CBE">
        <w:tc>
          <w:tcPr>
            <w:tcW w:w="3828" w:type="dxa"/>
            <w:tcBorders>
              <w:top w:val="nil"/>
              <w:left w:val="nil"/>
              <w:bottom w:val="nil"/>
              <w:right w:val="nil"/>
            </w:tcBorders>
            <w:shd w:val="clear" w:color="000000" w:fill="FFFFFF"/>
            <w:noWrap/>
            <w:vAlign w:val="center"/>
            <w:hideMark/>
          </w:tcPr>
          <w:p w14:paraId="1C761C09"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7A1E3645"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414ED5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21B31896"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A38DC02"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025D257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4A7275C2"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121EA8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9D17A4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47F27602" w14:textId="77777777" w:rsidTr="00845CBE">
        <w:tc>
          <w:tcPr>
            <w:tcW w:w="3828" w:type="dxa"/>
            <w:tcBorders>
              <w:top w:val="nil"/>
              <w:left w:val="nil"/>
              <w:bottom w:val="nil"/>
              <w:right w:val="nil"/>
            </w:tcBorders>
            <w:shd w:val="clear" w:color="000000" w:fill="FFFFFF"/>
            <w:noWrap/>
            <w:vAlign w:val="center"/>
            <w:hideMark/>
          </w:tcPr>
          <w:p w14:paraId="78AAC4FB" w14:textId="23927134" w:rsidR="00EB4CBD" w:rsidRPr="00F53E25" w:rsidRDefault="00EB4CBD"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Excedente/(Déficit) neto antes de otros ingresos/gastos</w:t>
            </w:r>
          </w:p>
        </w:tc>
        <w:tc>
          <w:tcPr>
            <w:tcW w:w="687" w:type="dxa"/>
            <w:tcBorders>
              <w:top w:val="nil"/>
              <w:left w:val="nil"/>
              <w:bottom w:val="nil"/>
              <w:right w:val="nil"/>
            </w:tcBorders>
            <w:shd w:val="clear" w:color="000000" w:fill="FFFFFF"/>
            <w:noWrap/>
            <w:vAlign w:val="center"/>
            <w:hideMark/>
          </w:tcPr>
          <w:p w14:paraId="4A53DB5A"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single" w:sz="4" w:space="0" w:color="auto"/>
              <w:left w:val="nil"/>
              <w:bottom w:val="single" w:sz="4" w:space="0" w:color="auto"/>
              <w:right w:val="nil"/>
            </w:tcBorders>
            <w:shd w:val="clear" w:color="000000" w:fill="FFFFFF"/>
            <w:noWrap/>
            <w:vAlign w:val="center"/>
            <w:hideMark/>
          </w:tcPr>
          <w:p w14:paraId="0E12E371" w14:textId="2F03E110"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832</w:t>
            </w:r>
            <w:r w:rsidR="00EB4CBD"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FFFFFF"/>
            <w:noWrap/>
            <w:vAlign w:val="center"/>
            <w:hideMark/>
          </w:tcPr>
          <w:p w14:paraId="34A45581" w14:textId="49F2F22F"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w:t>
            </w:r>
            <w:r w:rsidR="00EB4CBD" w:rsidRPr="00F53E25">
              <w:rPr>
                <w:rFonts w:asciiTheme="minorHAnsi" w:hAnsiTheme="minorHAnsi"/>
                <w:b/>
                <w:bCs/>
                <w:sz w:val="20"/>
                <w:szCs w:val="20"/>
              </w:rPr>
              <w:t>1</w:t>
            </w:r>
            <w:r w:rsidRPr="00F53E25">
              <w:rPr>
                <w:rFonts w:asciiTheme="minorHAnsi" w:hAnsiTheme="minorHAnsi"/>
                <w:b/>
                <w:bCs/>
                <w:sz w:val="20"/>
                <w:szCs w:val="20"/>
              </w:rPr>
              <w:t>93)</w:t>
            </w:r>
            <w:r w:rsidR="00EB4CBD" w:rsidRPr="00F53E25">
              <w:rPr>
                <w:rFonts w:asciiTheme="minorHAnsi" w:hAnsiTheme="minorHAnsi"/>
                <w:b/>
                <w:bCs/>
                <w:sz w:val="20"/>
                <w:szCs w:val="20"/>
              </w:rPr>
              <w:t xml:space="preserve"> </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4C244437" w14:textId="07892F49"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639</w:t>
            </w:r>
            <w:r w:rsidRPr="00F53E25">
              <w:rPr>
                <w:rFonts w:asciiTheme="minorHAnsi" w:hAnsiTheme="minorHAnsi"/>
                <w:b/>
                <w:bCs/>
                <w:sz w:val="20"/>
                <w:szCs w:val="20"/>
              </w:rPr>
              <w:t xml:space="preserve"> </w:t>
            </w:r>
          </w:p>
        </w:tc>
        <w:tc>
          <w:tcPr>
            <w:tcW w:w="239" w:type="dxa"/>
            <w:tcBorders>
              <w:top w:val="single" w:sz="4" w:space="0" w:color="auto"/>
              <w:left w:val="nil"/>
              <w:bottom w:val="single" w:sz="4" w:space="0" w:color="auto"/>
              <w:right w:val="nil"/>
            </w:tcBorders>
            <w:shd w:val="clear" w:color="000000" w:fill="D9D9D9"/>
            <w:noWrap/>
            <w:vAlign w:val="center"/>
            <w:hideMark/>
          </w:tcPr>
          <w:p w14:paraId="2659BF75"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single" w:sz="4" w:space="0" w:color="auto"/>
              <w:left w:val="nil"/>
              <w:bottom w:val="single" w:sz="4" w:space="0" w:color="auto"/>
              <w:right w:val="nil"/>
            </w:tcBorders>
            <w:shd w:val="clear" w:color="000000" w:fill="FFFFFF"/>
            <w:noWrap/>
            <w:vAlign w:val="center"/>
            <w:hideMark/>
          </w:tcPr>
          <w:p w14:paraId="5C12BE4C" w14:textId="5FAB4E26"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702</w:t>
            </w:r>
            <w:r w:rsidR="00EB4CBD"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FFFFFF"/>
            <w:noWrap/>
            <w:vAlign w:val="center"/>
            <w:hideMark/>
          </w:tcPr>
          <w:p w14:paraId="7310953E" w14:textId="0C34E33B"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166</w:t>
            </w:r>
          </w:p>
        </w:tc>
        <w:tc>
          <w:tcPr>
            <w:tcW w:w="854" w:type="dxa"/>
            <w:gridSpan w:val="2"/>
            <w:tcBorders>
              <w:top w:val="single" w:sz="4" w:space="0" w:color="auto"/>
              <w:left w:val="nil"/>
              <w:bottom w:val="single" w:sz="4" w:space="0" w:color="auto"/>
              <w:right w:val="nil"/>
            </w:tcBorders>
            <w:shd w:val="clear" w:color="000000" w:fill="FFFFFF"/>
            <w:noWrap/>
            <w:vAlign w:val="center"/>
            <w:hideMark/>
          </w:tcPr>
          <w:p w14:paraId="00FEBF03" w14:textId="00ECE972"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868</w:t>
            </w:r>
            <w:r w:rsidR="00EB4CBD" w:rsidRPr="00F53E25">
              <w:rPr>
                <w:rFonts w:asciiTheme="minorHAnsi" w:hAnsiTheme="minorHAnsi"/>
                <w:b/>
                <w:bCs/>
                <w:sz w:val="20"/>
                <w:szCs w:val="20"/>
              </w:rPr>
              <w:t xml:space="preserve"> </w:t>
            </w:r>
          </w:p>
        </w:tc>
      </w:tr>
      <w:tr w:rsidR="00EB4CBD" w:rsidRPr="00F53E25" w14:paraId="565C3031" w14:textId="77777777" w:rsidTr="00845CBE">
        <w:tc>
          <w:tcPr>
            <w:tcW w:w="3828" w:type="dxa"/>
            <w:tcBorders>
              <w:top w:val="nil"/>
              <w:left w:val="nil"/>
              <w:bottom w:val="nil"/>
              <w:right w:val="nil"/>
            </w:tcBorders>
            <w:shd w:val="clear" w:color="000000" w:fill="FFFFFF"/>
            <w:noWrap/>
            <w:vAlign w:val="center"/>
            <w:hideMark/>
          </w:tcPr>
          <w:p w14:paraId="3BA6131A"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6D37B2B8"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CD03ABA"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FD384B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8EBE50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6CBF2F0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7D7B79A0"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A75350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0C5FBD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65EDAD52" w14:textId="77777777" w:rsidTr="00845CBE">
        <w:tc>
          <w:tcPr>
            <w:tcW w:w="3828" w:type="dxa"/>
            <w:tcBorders>
              <w:top w:val="nil"/>
              <w:left w:val="nil"/>
              <w:bottom w:val="nil"/>
              <w:right w:val="nil"/>
            </w:tcBorders>
            <w:shd w:val="clear" w:color="000000" w:fill="FFFFFF"/>
            <w:noWrap/>
            <w:vAlign w:val="center"/>
            <w:hideMark/>
          </w:tcPr>
          <w:p w14:paraId="29B198A6" w14:textId="0152806D" w:rsidR="00EB4CBD" w:rsidRPr="00F53E25" w:rsidRDefault="00EB4CBD" w:rsidP="004C00DF">
            <w:pPr>
              <w:ind w:left="0" w:firstLine="0"/>
              <w:rPr>
                <w:rFonts w:asciiTheme="minorHAnsi" w:eastAsia="Times New Roman" w:hAnsiTheme="minorHAnsi" w:cstheme="minorHAnsi"/>
                <w:i/>
                <w:iCs/>
                <w:sz w:val="20"/>
                <w:szCs w:val="20"/>
              </w:rPr>
            </w:pPr>
            <w:r w:rsidRPr="00F53E25">
              <w:rPr>
                <w:rFonts w:asciiTheme="minorHAnsi" w:hAnsiTheme="minorHAnsi"/>
                <w:i/>
                <w:iCs/>
                <w:sz w:val="20"/>
                <w:szCs w:val="20"/>
              </w:rPr>
              <w:t>Otros ingresos/(gastos):</w:t>
            </w:r>
          </w:p>
        </w:tc>
        <w:tc>
          <w:tcPr>
            <w:tcW w:w="687" w:type="dxa"/>
            <w:tcBorders>
              <w:top w:val="nil"/>
              <w:left w:val="nil"/>
              <w:bottom w:val="nil"/>
              <w:right w:val="nil"/>
            </w:tcBorders>
            <w:shd w:val="clear" w:color="000000" w:fill="FFFFFF"/>
            <w:noWrap/>
            <w:vAlign w:val="center"/>
            <w:hideMark/>
          </w:tcPr>
          <w:p w14:paraId="1D39F1C6"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4</w:t>
            </w:r>
          </w:p>
        </w:tc>
        <w:tc>
          <w:tcPr>
            <w:tcW w:w="849" w:type="dxa"/>
            <w:gridSpan w:val="2"/>
            <w:tcBorders>
              <w:top w:val="nil"/>
              <w:left w:val="nil"/>
              <w:bottom w:val="nil"/>
              <w:right w:val="nil"/>
            </w:tcBorders>
            <w:shd w:val="clear" w:color="000000" w:fill="FFFFFF"/>
            <w:noWrap/>
            <w:vAlign w:val="center"/>
            <w:hideMark/>
          </w:tcPr>
          <w:p w14:paraId="52FCE7C2"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D7D4D4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09FAFEE1"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7D10BCE6"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62BC87B"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8CF490B"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773FCEC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779FCD9E" w14:textId="77777777" w:rsidTr="00845CBE">
        <w:tc>
          <w:tcPr>
            <w:tcW w:w="3828" w:type="dxa"/>
            <w:tcBorders>
              <w:top w:val="nil"/>
              <w:left w:val="nil"/>
              <w:bottom w:val="nil"/>
              <w:right w:val="nil"/>
            </w:tcBorders>
            <w:shd w:val="clear" w:color="000000" w:fill="FFFFFF"/>
            <w:noWrap/>
            <w:vAlign w:val="center"/>
            <w:hideMark/>
          </w:tcPr>
          <w:p w14:paraId="6A1EFF9F" w14:textId="05237DFE"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Ingresos/(gastos) financieros netos</w:t>
            </w:r>
          </w:p>
        </w:tc>
        <w:tc>
          <w:tcPr>
            <w:tcW w:w="687" w:type="dxa"/>
            <w:tcBorders>
              <w:top w:val="nil"/>
              <w:left w:val="nil"/>
              <w:bottom w:val="nil"/>
              <w:right w:val="nil"/>
            </w:tcBorders>
            <w:shd w:val="clear" w:color="000000" w:fill="FFFFFF"/>
            <w:noWrap/>
            <w:vAlign w:val="center"/>
            <w:hideMark/>
          </w:tcPr>
          <w:p w14:paraId="424178FD"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64CB4FE9" w14:textId="5AE947CB"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6D27CC" w:rsidRPr="00F53E25">
              <w:rPr>
                <w:rFonts w:asciiTheme="minorHAnsi" w:hAnsiTheme="minorHAnsi"/>
                <w:sz w:val="20"/>
                <w:szCs w:val="20"/>
              </w:rPr>
              <w:t>6</w:t>
            </w:r>
            <w:r w:rsidRPr="00F53E25">
              <w:rPr>
                <w:rFonts w:asciiTheme="minorHAnsi" w:hAnsiTheme="minorHAnsi"/>
                <w:sz w:val="20"/>
                <w:szCs w:val="20"/>
              </w:rPr>
              <w:t>6)</w:t>
            </w:r>
          </w:p>
        </w:tc>
        <w:tc>
          <w:tcPr>
            <w:tcW w:w="850" w:type="dxa"/>
            <w:tcBorders>
              <w:top w:val="nil"/>
              <w:left w:val="nil"/>
              <w:bottom w:val="nil"/>
              <w:right w:val="nil"/>
            </w:tcBorders>
            <w:shd w:val="clear" w:color="000000" w:fill="FFFFFF"/>
            <w:noWrap/>
            <w:vAlign w:val="center"/>
            <w:hideMark/>
          </w:tcPr>
          <w:p w14:paraId="4106FBE6" w14:textId="539E214F"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(3)</w:t>
            </w:r>
            <w:r w:rsidR="00EB4CBD"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7CFF8A25" w14:textId="67CEAE51"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(6</w:t>
            </w:r>
            <w:r w:rsidR="006D27CC" w:rsidRPr="00F53E25">
              <w:rPr>
                <w:rFonts w:asciiTheme="minorHAnsi" w:hAnsiTheme="minorHAnsi"/>
                <w:sz w:val="20"/>
                <w:szCs w:val="20"/>
              </w:rPr>
              <w:t>9</w:t>
            </w:r>
            <w:r w:rsidRPr="00F53E25">
              <w:rPr>
                <w:rFonts w:asciiTheme="minorHAnsi" w:hAnsiTheme="minorHAnsi"/>
                <w:sz w:val="20"/>
                <w:szCs w:val="20"/>
              </w:rPr>
              <w:t>)</w:t>
            </w:r>
          </w:p>
        </w:tc>
        <w:tc>
          <w:tcPr>
            <w:tcW w:w="239" w:type="dxa"/>
            <w:tcBorders>
              <w:top w:val="nil"/>
              <w:left w:val="nil"/>
              <w:bottom w:val="nil"/>
              <w:right w:val="nil"/>
            </w:tcBorders>
            <w:shd w:val="clear" w:color="000000" w:fill="D9D9D9"/>
            <w:noWrap/>
            <w:vAlign w:val="center"/>
            <w:hideMark/>
          </w:tcPr>
          <w:p w14:paraId="72639A8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722C6597" w14:textId="0C7ADD74"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6D27CC" w:rsidRPr="00F53E25">
              <w:rPr>
                <w:rFonts w:asciiTheme="minorHAnsi" w:hAnsiTheme="minorHAnsi"/>
                <w:sz w:val="20"/>
                <w:szCs w:val="20"/>
              </w:rPr>
              <w:t>16</w:t>
            </w:r>
            <w:r w:rsidRPr="00F53E25">
              <w:rPr>
                <w:rFonts w:asciiTheme="minorHAnsi" w:hAnsiTheme="minorHAnsi"/>
                <w:sz w:val="20"/>
                <w:szCs w:val="20"/>
              </w:rPr>
              <w:t>)</w:t>
            </w:r>
          </w:p>
        </w:tc>
        <w:tc>
          <w:tcPr>
            <w:tcW w:w="850" w:type="dxa"/>
            <w:tcBorders>
              <w:top w:val="nil"/>
              <w:left w:val="nil"/>
              <w:bottom w:val="nil"/>
              <w:right w:val="nil"/>
            </w:tcBorders>
            <w:shd w:val="clear" w:color="000000" w:fill="FFFFFF"/>
            <w:noWrap/>
            <w:vAlign w:val="center"/>
            <w:hideMark/>
          </w:tcPr>
          <w:p w14:paraId="03C68411" w14:textId="45D95F8C"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0</w:t>
            </w:r>
          </w:p>
        </w:tc>
        <w:tc>
          <w:tcPr>
            <w:tcW w:w="854" w:type="dxa"/>
            <w:gridSpan w:val="2"/>
            <w:tcBorders>
              <w:top w:val="nil"/>
              <w:left w:val="nil"/>
              <w:bottom w:val="nil"/>
              <w:right w:val="nil"/>
            </w:tcBorders>
            <w:shd w:val="clear" w:color="000000" w:fill="FFFFFF"/>
            <w:noWrap/>
            <w:vAlign w:val="center"/>
            <w:hideMark/>
          </w:tcPr>
          <w:p w14:paraId="3604F7B6" w14:textId="10575193"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6D27CC" w:rsidRPr="00F53E25">
              <w:rPr>
                <w:rFonts w:asciiTheme="minorHAnsi" w:hAnsiTheme="minorHAnsi"/>
                <w:sz w:val="20"/>
                <w:szCs w:val="20"/>
              </w:rPr>
              <w:t>16</w:t>
            </w:r>
            <w:r w:rsidRPr="00F53E25">
              <w:rPr>
                <w:rFonts w:asciiTheme="minorHAnsi" w:hAnsiTheme="minorHAnsi"/>
                <w:sz w:val="20"/>
                <w:szCs w:val="20"/>
              </w:rPr>
              <w:t>)</w:t>
            </w:r>
          </w:p>
        </w:tc>
      </w:tr>
      <w:tr w:rsidR="00EB4CBD" w:rsidRPr="00F53E25" w14:paraId="5FB124A5" w14:textId="77777777" w:rsidTr="00845CBE">
        <w:tc>
          <w:tcPr>
            <w:tcW w:w="3828" w:type="dxa"/>
            <w:tcBorders>
              <w:top w:val="nil"/>
              <w:left w:val="nil"/>
              <w:bottom w:val="nil"/>
              <w:right w:val="nil"/>
            </w:tcBorders>
            <w:shd w:val="clear" w:color="000000" w:fill="FFFFFF"/>
            <w:noWrap/>
            <w:vAlign w:val="center"/>
            <w:hideMark/>
          </w:tcPr>
          <w:p w14:paraId="48A011B2" w14:textId="5A3C95E4"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Gastos no recurrentes o del período anterior</w:t>
            </w:r>
          </w:p>
        </w:tc>
        <w:tc>
          <w:tcPr>
            <w:tcW w:w="687" w:type="dxa"/>
            <w:tcBorders>
              <w:top w:val="nil"/>
              <w:left w:val="nil"/>
              <w:bottom w:val="nil"/>
              <w:right w:val="nil"/>
            </w:tcBorders>
            <w:shd w:val="clear" w:color="000000" w:fill="FFFFFF"/>
            <w:noWrap/>
            <w:vAlign w:val="center"/>
            <w:hideMark/>
          </w:tcPr>
          <w:p w14:paraId="3FD3B7B3"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83B264B" w14:textId="3636E215"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3191107A" w14:textId="43C5EB6F"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05388232" w14:textId="24431D4F"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p>
        </w:tc>
        <w:tc>
          <w:tcPr>
            <w:tcW w:w="239" w:type="dxa"/>
            <w:tcBorders>
              <w:top w:val="nil"/>
              <w:left w:val="nil"/>
              <w:bottom w:val="nil"/>
              <w:right w:val="nil"/>
            </w:tcBorders>
            <w:shd w:val="clear" w:color="000000" w:fill="D9D9D9"/>
            <w:noWrap/>
            <w:vAlign w:val="center"/>
            <w:hideMark/>
          </w:tcPr>
          <w:p w14:paraId="63E7687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FA089AF" w14:textId="608E6DE6"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EB4CBD"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3714D49" w14:textId="0BE6CC93"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(227)</w:t>
            </w:r>
          </w:p>
        </w:tc>
        <w:tc>
          <w:tcPr>
            <w:tcW w:w="854" w:type="dxa"/>
            <w:gridSpan w:val="2"/>
            <w:tcBorders>
              <w:top w:val="nil"/>
              <w:left w:val="nil"/>
              <w:bottom w:val="nil"/>
              <w:right w:val="nil"/>
            </w:tcBorders>
            <w:shd w:val="clear" w:color="000000" w:fill="FFFFFF"/>
            <w:noWrap/>
            <w:vAlign w:val="center"/>
            <w:hideMark/>
          </w:tcPr>
          <w:p w14:paraId="3A5811D6" w14:textId="632842EE"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(227)</w:t>
            </w:r>
          </w:p>
        </w:tc>
      </w:tr>
      <w:tr w:rsidR="00EB4CBD" w:rsidRPr="00F53E25" w14:paraId="3EA7155B" w14:textId="77777777" w:rsidTr="00845CBE">
        <w:tc>
          <w:tcPr>
            <w:tcW w:w="3828" w:type="dxa"/>
            <w:tcBorders>
              <w:top w:val="nil"/>
              <w:left w:val="nil"/>
              <w:bottom w:val="nil"/>
              <w:right w:val="nil"/>
            </w:tcBorders>
            <w:shd w:val="clear" w:color="000000" w:fill="FFFFFF"/>
            <w:noWrap/>
            <w:vAlign w:val="center"/>
            <w:hideMark/>
          </w:tcPr>
          <w:p w14:paraId="29D7A8FB" w14:textId="14FC6A64"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Provisiones y cancelaciones (gastos)</w:t>
            </w:r>
          </w:p>
        </w:tc>
        <w:tc>
          <w:tcPr>
            <w:tcW w:w="687" w:type="dxa"/>
            <w:tcBorders>
              <w:top w:val="nil"/>
              <w:left w:val="nil"/>
              <w:bottom w:val="nil"/>
              <w:right w:val="nil"/>
            </w:tcBorders>
            <w:shd w:val="clear" w:color="000000" w:fill="FFFFFF"/>
            <w:noWrap/>
            <w:vAlign w:val="center"/>
            <w:hideMark/>
          </w:tcPr>
          <w:p w14:paraId="517A7342"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single" w:sz="4" w:space="0" w:color="auto"/>
              <w:right w:val="nil"/>
            </w:tcBorders>
            <w:shd w:val="clear" w:color="000000" w:fill="FFFFFF"/>
            <w:noWrap/>
            <w:vAlign w:val="center"/>
            <w:hideMark/>
          </w:tcPr>
          <w:p w14:paraId="61A48F27" w14:textId="630EF16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96</w:t>
            </w:r>
            <w:r w:rsidRPr="00F53E25">
              <w:rPr>
                <w:rFonts w:asciiTheme="minorHAnsi" w:hAnsiTheme="minorHAnsi"/>
                <w:sz w:val="20"/>
                <w:szCs w:val="20"/>
              </w:rPr>
              <w:t>)</w:t>
            </w:r>
          </w:p>
        </w:tc>
        <w:tc>
          <w:tcPr>
            <w:tcW w:w="850" w:type="dxa"/>
            <w:tcBorders>
              <w:top w:val="nil"/>
              <w:left w:val="nil"/>
              <w:bottom w:val="single" w:sz="4" w:space="0" w:color="auto"/>
              <w:right w:val="nil"/>
            </w:tcBorders>
            <w:shd w:val="clear" w:color="000000" w:fill="FFFFFF"/>
            <w:noWrap/>
            <w:vAlign w:val="center"/>
            <w:hideMark/>
          </w:tcPr>
          <w:p w14:paraId="14F336E3" w14:textId="601D4B04"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(0)</w:t>
            </w:r>
          </w:p>
        </w:tc>
        <w:tc>
          <w:tcPr>
            <w:tcW w:w="854" w:type="dxa"/>
            <w:gridSpan w:val="2"/>
            <w:tcBorders>
              <w:top w:val="nil"/>
              <w:left w:val="nil"/>
              <w:bottom w:val="single" w:sz="4" w:space="0" w:color="auto"/>
              <w:right w:val="nil"/>
            </w:tcBorders>
            <w:shd w:val="clear" w:color="000000" w:fill="FFFFFF"/>
            <w:noWrap/>
            <w:vAlign w:val="center"/>
            <w:hideMark/>
          </w:tcPr>
          <w:p w14:paraId="3668F8C0" w14:textId="05503790"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w:t>
            </w:r>
            <w:r w:rsidR="006D27CC" w:rsidRPr="00F53E25">
              <w:rPr>
                <w:rFonts w:asciiTheme="minorHAnsi" w:hAnsiTheme="minorHAnsi"/>
                <w:sz w:val="20"/>
                <w:szCs w:val="20"/>
              </w:rPr>
              <w:t>96</w:t>
            </w:r>
            <w:r w:rsidRPr="00F53E25">
              <w:rPr>
                <w:rFonts w:asciiTheme="minorHAnsi" w:hAnsiTheme="minorHAnsi"/>
                <w:sz w:val="20"/>
                <w:szCs w:val="20"/>
              </w:rPr>
              <w:t>)</w:t>
            </w:r>
          </w:p>
        </w:tc>
        <w:tc>
          <w:tcPr>
            <w:tcW w:w="239" w:type="dxa"/>
            <w:tcBorders>
              <w:top w:val="nil"/>
              <w:left w:val="nil"/>
              <w:bottom w:val="single" w:sz="4" w:space="0" w:color="auto"/>
              <w:right w:val="nil"/>
            </w:tcBorders>
            <w:shd w:val="clear" w:color="000000" w:fill="D9D9D9"/>
            <w:noWrap/>
            <w:vAlign w:val="center"/>
            <w:hideMark/>
          </w:tcPr>
          <w:p w14:paraId="741BB3C4"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single" w:sz="4" w:space="0" w:color="auto"/>
              <w:right w:val="nil"/>
            </w:tcBorders>
            <w:shd w:val="clear" w:color="000000" w:fill="FFFFFF"/>
            <w:noWrap/>
            <w:vAlign w:val="center"/>
            <w:hideMark/>
          </w:tcPr>
          <w:p w14:paraId="65CC541F" w14:textId="1097C885"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(234)</w:t>
            </w:r>
            <w:r w:rsidR="00EB4CBD" w:rsidRPr="00F53E25">
              <w:rPr>
                <w:rFonts w:asciiTheme="minorHAnsi" w:hAnsiTheme="minorHAnsi"/>
                <w:sz w:val="20"/>
                <w:szCs w:val="20"/>
              </w:rPr>
              <w:t xml:space="preserve"> </w:t>
            </w:r>
          </w:p>
        </w:tc>
        <w:tc>
          <w:tcPr>
            <w:tcW w:w="850" w:type="dxa"/>
            <w:tcBorders>
              <w:top w:val="nil"/>
              <w:left w:val="nil"/>
              <w:bottom w:val="single" w:sz="4" w:space="0" w:color="auto"/>
              <w:right w:val="nil"/>
            </w:tcBorders>
            <w:shd w:val="clear" w:color="000000" w:fill="FFFFFF"/>
            <w:noWrap/>
            <w:vAlign w:val="center"/>
            <w:hideMark/>
          </w:tcPr>
          <w:p w14:paraId="7F69AF13" w14:textId="00E606EE"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(0)</w:t>
            </w:r>
            <w:r w:rsidR="00EB4CBD" w:rsidRPr="00F53E25">
              <w:rPr>
                <w:rFonts w:asciiTheme="minorHAnsi" w:hAnsiTheme="minorHAnsi"/>
                <w:sz w:val="20"/>
                <w:szCs w:val="20"/>
              </w:rPr>
              <w:t xml:space="preserve"> </w:t>
            </w:r>
          </w:p>
        </w:tc>
        <w:tc>
          <w:tcPr>
            <w:tcW w:w="854" w:type="dxa"/>
            <w:gridSpan w:val="2"/>
            <w:tcBorders>
              <w:top w:val="nil"/>
              <w:left w:val="nil"/>
              <w:bottom w:val="single" w:sz="4" w:space="0" w:color="auto"/>
              <w:right w:val="nil"/>
            </w:tcBorders>
            <w:shd w:val="clear" w:color="000000" w:fill="FFFFFF"/>
            <w:noWrap/>
            <w:vAlign w:val="center"/>
            <w:hideMark/>
          </w:tcPr>
          <w:p w14:paraId="6C66CBD8" w14:textId="13B86CA2"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(234)</w:t>
            </w:r>
            <w:r w:rsidR="00EB4CBD" w:rsidRPr="00F53E25">
              <w:rPr>
                <w:rFonts w:asciiTheme="minorHAnsi" w:hAnsiTheme="minorHAnsi"/>
                <w:sz w:val="20"/>
                <w:szCs w:val="20"/>
              </w:rPr>
              <w:t xml:space="preserve"> </w:t>
            </w:r>
          </w:p>
        </w:tc>
      </w:tr>
      <w:tr w:rsidR="00EB4CBD" w:rsidRPr="00F53E25" w14:paraId="6506AF3A" w14:textId="77777777" w:rsidTr="00845CBE">
        <w:tc>
          <w:tcPr>
            <w:tcW w:w="3828" w:type="dxa"/>
            <w:tcBorders>
              <w:top w:val="nil"/>
              <w:left w:val="nil"/>
              <w:bottom w:val="nil"/>
              <w:right w:val="nil"/>
            </w:tcBorders>
            <w:shd w:val="clear" w:color="000000" w:fill="FFFFFF"/>
            <w:noWrap/>
            <w:vAlign w:val="center"/>
            <w:hideMark/>
          </w:tcPr>
          <w:p w14:paraId="2AEB0F83" w14:textId="12747158" w:rsidR="00EB4CBD" w:rsidRPr="00F53E25" w:rsidRDefault="009154DA" w:rsidP="003F135F">
            <w:pPr>
              <w:ind w:left="0" w:firstLine="0"/>
              <w:rPr>
                <w:rFonts w:asciiTheme="minorHAnsi" w:eastAsia="Times New Roman" w:hAnsiTheme="minorHAnsi" w:cstheme="minorHAnsi"/>
                <w:i/>
                <w:iCs/>
                <w:sz w:val="20"/>
                <w:szCs w:val="20"/>
              </w:rPr>
            </w:pPr>
            <w:r w:rsidRPr="00F53E25">
              <w:rPr>
                <w:rFonts w:asciiTheme="minorHAnsi" w:hAnsiTheme="minorHAnsi"/>
                <w:i/>
                <w:iCs/>
                <w:sz w:val="20"/>
                <w:szCs w:val="20"/>
              </w:rPr>
              <w:t>Total,</w:t>
            </w:r>
            <w:r w:rsidR="004F058A" w:rsidRPr="00F53E25">
              <w:rPr>
                <w:rFonts w:asciiTheme="minorHAnsi" w:hAnsiTheme="minorHAnsi"/>
                <w:i/>
                <w:iCs/>
                <w:sz w:val="20"/>
                <w:szCs w:val="20"/>
              </w:rPr>
              <w:t xml:space="preserve"> </w:t>
            </w:r>
            <w:r w:rsidR="006D4727" w:rsidRPr="00F53E25">
              <w:rPr>
                <w:rFonts w:asciiTheme="minorHAnsi" w:hAnsiTheme="minorHAnsi"/>
                <w:i/>
                <w:iCs/>
                <w:sz w:val="20"/>
                <w:szCs w:val="20"/>
              </w:rPr>
              <w:t>O</w:t>
            </w:r>
            <w:r w:rsidR="004F058A" w:rsidRPr="00F53E25">
              <w:rPr>
                <w:rFonts w:asciiTheme="minorHAnsi" w:hAnsiTheme="minorHAnsi"/>
                <w:i/>
                <w:iCs/>
                <w:sz w:val="20"/>
                <w:szCs w:val="20"/>
              </w:rPr>
              <w:t>tros ingresos/gastos</w:t>
            </w:r>
          </w:p>
        </w:tc>
        <w:tc>
          <w:tcPr>
            <w:tcW w:w="687" w:type="dxa"/>
            <w:tcBorders>
              <w:top w:val="nil"/>
              <w:left w:val="nil"/>
              <w:bottom w:val="nil"/>
              <w:right w:val="nil"/>
            </w:tcBorders>
            <w:shd w:val="clear" w:color="000000" w:fill="FFFFFF"/>
            <w:noWrap/>
            <w:vAlign w:val="center"/>
            <w:hideMark/>
          </w:tcPr>
          <w:p w14:paraId="16BEEB0F"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54C6974" w14:textId="7FC6DF1F"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162</w:t>
            </w:r>
            <w:r w:rsidRPr="00F53E25">
              <w:rPr>
                <w:rFonts w:asciiTheme="minorHAnsi" w:hAnsiTheme="minorHAnsi"/>
                <w:b/>
                <w:bCs/>
                <w:sz w:val="20"/>
                <w:szCs w:val="20"/>
              </w:rPr>
              <w:t>)</w:t>
            </w:r>
          </w:p>
        </w:tc>
        <w:tc>
          <w:tcPr>
            <w:tcW w:w="850" w:type="dxa"/>
            <w:tcBorders>
              <w:top w:val="nil"/>
              <w:left w:val="nil"/>
              <w:bottom w:val="nil"/>
              <w:right w:val="nil"/>
            </w:tcBorders>
            <w:shd w:val="clear" w:color="000000" w:fill="FFFFFF"/>
            <w:noWrap/>
            <w:vAlign w:val="center"/>
            <w:hideMark/>
          </w:tcPr>
          <w:p w14:paraId="0A6DBAA1" w14:textId="0ECDA3C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3</w:t>
            </w:r>
            <w:r w:rsidRPr="00F53E25">
              <w:rPr>
                <w:rFonts w:asciiTheme="minorHAnsi" w:hAnsiTheme="minorHAnsi"/>
                <w:b/>
                <w:bCs/>
                <w:sz w:val="20"/>
                <w:szCs w:val="20"/>
              </w:rPr>
              <w:t>)</w:t>
            </w:r>
          </w:p>
        </w:tc>
        <w:tc>
          <w:tcPr>
            <w:tcW w:w="854" w:type="dxa"/>
            <w:gridSpan w:val="2"/>
            <w:tcBorders>
              <w:top w:val="nil"/>
              <w:left w:val="nil"/>
              <w:bottom w:val="nil"/>
              <w:right w:val="nil"/>
            </w:tcBorders>
            <w:shd w:val="clear" w:color="000000" w:fill="FFFFFF"/>
            <w:noWrap/>
            <w:vAlign w:val="center"/>
            <w:hideMark/>
          </w:tcPr>
          <w:p w14:paraId="6601B60C" w14:textId="409F47D2"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w:t>
            </w:r>
            <w:r w:rsidR="006D27CC" w:rsidRPr="00F53E25">
              <w:rPr>
                <w:rFonts w:asciiTheme="minorHAnsi" w:hAnsiTheme="minorHAnsi"/>
                <w:b/>
                <w:bCs/>
                <w:sz w:val="20"/>
                <w:szCs w:val="20"/>
              </w:rPr>
              <w:t>165</w:t>
            </w:r>
            <w:r w:rsidRPr="00F53E25">
              <w:rPr>
                <w:rFonts w:asciiTheme="minorHAnsi" w:hAnsiTheme="minorHAnsi"/>
                <w:b/>
                <w:bCs/>
                <w:sz w:val="20"/>
                <w:szCs w:val="20"/>
              </w:rPr>
              <w:t>)</w:t>
            </w:r>
          </w:p>
        </w:tc>
        <w:tc>
          <w:tcPr>
            <w:tcW w:w="239" w:type="dxa"/>
            <w:tcBorders>
              <w:top w:val="nil"/>
              <w:left w:val="nil"/>
              <w:bottom w:val="nil"/>
              <w:right w:val="nil"/>
            </w:tcBorders>
            <w:shd w:val="clear" w:color="000000" w:fill="D9D9D9"/>
            <w:noWrap/>
            <w:vAlign w:val="center"/>
            <w:hideMark/>
          </w:tcPr>
          <w:p w14:paraId="6AB1EA0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466C48E4" w14:textId="1F49BBF0"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w:t>
            </w:r>
            <w:r w:rsidR="00EB4CBD" w:rsidRPr="00F53E25">
              <w:rPr>
                <w:rFonts w:asciiTheme="minorHAnsi" w:hAnsiTheme="minorHAnsi"/>
                <w:b/>
                <w:bCs/>
                <w:sz w:val="20"/>
                <w:szCs w:val="20"/>
              </w:rPr>
              <w:t>25</w:t>
            </w:r>
            <w:r w:rsidRPr="00F53E25">
              <w:rPr>
                <w:rFonts w:asciiTheme="minorHAnsi" w:hAnsiTheme="minorHAnsi"/>
                <w:b/>
                <w:bCs/>
                <w:sz w:val="20"/>
                <w:szCs w:val="20"/>
              </w:rPr>
              <w:t>0)</w:t>
            </w:r>
            <w:r w:rsidR="00EB4CBD" w:rsidRPr="00F53E25">
              <w:rPr>
                <w:rFonts w:asciiTheme="minorHAnsi" w:hAnsiTheme="minorHAnsi"/>
                <w:b/>
                <w:bCs/>
                <w:sz w:val="20"/>
                <w:szCs w:val="20"/>
              </w:rPr>
              <w:t xml:space="preserve"> </w:t>
            </w:r>
          </w:p>
        </w:tc>
        <w:tc>
          <w:tcPr>
            <w:tcW w:w="850" w:type="dxa"/>
            <w:tcBorders>
              <w:top w:val="nil"/>
              <w:left w:val="nil"/>
              <w:bottom w:val="nil"/>
              <w:right w:val="nil"/>
            </w:tcBorders>
            <w:shd w:val="clear" w:color="000000" w:fill="FFFFFF"/>
            <w:noWrap/>
            <w:vAlign w:val="center"/>
            <w:hideMark/>
          </w:tcPr>
          <w:p w14:paraId="68811EFE" w14:textId="7ED6767D"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(227</w:t>
            </w:r>
            <w:r w:rsidRPr="00F53E25">
              <w:rPr>
                <w:rFonts w:asciiTheme="minorHAnsi" w:hAnsiTheme="minorHAnsi"/>
                <w:b/>
                <w:bCs/>
                <w:sz w:val="20"/>
                <w:szCs w:val="20"/>
              </w:rPr>
              <w:t>)</w:t>
            </w:r>
          </w:p>
        </w:tc>
        <w:tc>
          <w:tcPr>
            <w:tcW w:w="854" w:type="dxa"/>
            <w:gridSpan w:val="2"/>
            <w:tcBorders>
              <w:top w:val="nil"/>
              <w:left w:val="nil"/>
              <w:bottom w:val="nil"/>
              <w:right w:val="nil"/>
            </w:tcBorders>
            <w:shd w:val="clear" w:color="000000" w:fill="FFFFFF"/>
            <w:noWrap/>
            <w:vAlign w:val="center"/>
            <w:hideMark/>
          </w:tcPr>
          <w:p w14:paraId="4F6807F9" w14:textId="6E28CA58"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(477)</w:t>
            </w:r>
            <w:r w:rsidR="00EB4CBD" w:rsidRPr="00F53E25">
              <w:rPr>
                <w:rFonts w:asciiTheme="minorHAnsi" w:hAnsiTheme="minorHAnsi"/>
                <w:b/>
                <w:bCs/>
                <w:sz w:val="20"/>
                <w:szCs w:val="20"/>
              </w:rPr>
              <w:t xml:space="preserve"> </w:t>
            </w:r>
          </w:p>
        </w:tc>
      </w:tr>
      <w:tr w:rsidR="00EB4CBD" w:rsidRPr="00F53E25" w14:paraId="10D148F5" w14:textId="77777777" w:rsidTr="00845CBE">
        <w:tc>
          <w:tcPr>
            <w:tcW w:w="3828" w:type="dxa"/>
            <w:tcBorders>
              <w:top w:val="nil"/>
              <w:left w:val="nil"/>
              <w:bottom w:val="nil"/>
              <w:right w:val="nil"/>
            </w:tcBorders>
            <w:shd w:val="clear" w:color="000000" w:fill="FFFFFF"/>
            <w:noWrap/>
            <w:vAlign w:val="center"/>
            <w:hideMark/>
          </w:tcPr>
          <w:p w14:paraId="4C7D20C2"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775E8066" w14:textId="77777777" w:rsidR="00EB4CBD" w:rsidRPr="00F53E25" w:rsidRDefault="00EB4CBD" w:rsidP="003F135F">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F70C5A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F0550E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90C841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30351AE9"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0563657"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5B60C7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9085C7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6FDF131F" w14:textId="77777777" w:rsidTr="00845CBE">
        <w:tc>
          <w:tcPr>
            <w:tcW w:w="3828" w:type="dxa"/>
            <w:tcBorders>
              <w:top w:val="nil"/>
              <w:left w:val="nil"/>
              <w:bottom w:val="nil"/>
              <w:right w:val="nil"/>
            </w:tcBorders>
            <w:shd w:val="clear" w:color="000000" w:fill="FFFFFF"/>
            <w:noWrap/>
            <w:vAlign w:val="center"/>
            <w:hideMark/>
          </w:tcPr>
          <w:p w14:paraId="47E8AA28" w14:textId="009B2E97" w:rsidR="00EB4CBD" w:rsidRPr="00F53E25" w:rsidRDefault="00EB4CBD"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Excedente/(Déficit) neto después de otros ingresos/gastos</w:t>
            </w:r>
          </w:p>
        </w:tc>
        <w:tc>
          <w:tcPr>
            <w:tcW w:w="687" w:type="dxa"/>
            <w:tcBorders>
              <w:top w:val="nil"/>
              <w:left w:val="nil"/>
              <w:bottom w:val="nil"/>
              <w:right w:val="nil"/>
            </w:tcBorders>
            <w:shd w:val="clear" w:color="000000" w:fill="FFFFFF"/>
            <w:noWrap/>
            <w:vAlign w:val="center"/>
            <w:hideMark/>
          </w:tcPr>
          <w:p w14:paraId="43D4A17D"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single" w:sz="4" w:space="0" w:color="auto"/>
              <w:left w:val="nil"/>
              <w:bottom w:val="single" w:sz="4" w:space="0" w:color="auto"/>
              <w:right w:val="nil"/>
            </w:tcBorders>
            <w:shd w:val="clear" w:color="000000" w:fill="C5D9F1"/>
            <w:noWrap/>
            <w:vAlign w:val="center"/>
            <w:hideMark/>
          </w:tcPr>
          <w:p w14:paraId="4F4413E6" w14:textId="444EC666"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670</w:t>
            </w:r>
            <w:r w:rsidR="00EB4CBD"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C5D9F1"/>
            <w:noWrap/>
            <w:vAlign w:val="center"/>
            <w:hideMark/>
          </w:tcPr>
          <w:p w14:paraId="2B8D3AB8" w14:textId="445BC51D"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196</w:t>
            </w:r>
            <w:r w:rsidRPr="00F53E25">
              <w:rPr>
                <w:rFonts w:asciiTheme="minorHAnsi" w:hAnsiTheme="minorHAnsi"/>
                <w:b/>
                <w:bCs/>
                <w:sz w:val="20"/>
                <w:szCs w:val="20"/>
              </w:rPr>
              <w:t>)</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14:paraId="34118E12" w14:textId="5910149E"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474</w:t>
            </w:r>
            <w:r w:rsidRPr="00F53E25">
              <w:rPr>
                <w:rFonts w:asciiTheme="minorHAnsi" w:hAnsiTheme="minorHAnsi"/>
                <w:b/>
                <w:bCs/>
                <w:sz w:val="20"/>
                <w:szCs w:val="20"/>
              </w:rPr>
              <w:t xml:space="preserve"> </w:t>
            </w:r>
          </w:p>
        </w:tc>
        <w:tc>
          <w:tcPr>
            <w:tcW w:w="239" w:type="dxa"/>
            <w:tcBorders>
              <w:top w:val="single" w:sz="4" w:space="0" w:color="auto"/>
              <w:left w:val="nil"/>
              <w:bottom w:val="single" w:sz="4" w:space="0" w:color="auto"/>
              <w:right w:val="nil"/>
            </w:tcBorders>
            <w:shd w:val="clear" w:color="000000" w:fill="D9D9D9"/>
            <w:noWrap/>
            <w:vAlign w:val="center"/>
            <w:hideMark/>
          </w:tcPr>
          <w:p w14:paraId="2084127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single" w:sz="4" w:space="0" w:color="auto"/>
              <w:left w:val="nil"/>
              <w:bottom w:val="single" w:sz="4" w:space="0" w:color="auto"/>
              <w:right w:val="nil"/>
            </w:tcBorders>
            <w:shd w:val="clear" w:color="000000" w:fill="EBF1DE"/>
            <w:noWrap/>
            <w:vAlign w:val="center"/>
            <w:hideMark/>
          </w:tcPr>
          <w:p w14:paraId="05C65055" w14:textId="2A8ED1F2"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452</w:t>
            </w:r>
            <w:r w:rsidR="00EB4CBD"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EBF1DE"/>
            <w:noWrap/>
            <w:vAlign w:val="center"/>
            <w:hideMark/>
          </w:tcPr>
          <w:p w14:paraId="5A5E4482" w14:textId="52C428A9"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w:t>
            </w:r>
            <w:r w:rsidR="006D27CC" w:rsidRPr="00F53E25">
              <w:rPr>
                <w:rFonts w:asciiTheme="minorHAnsi" w:hAnsiTheme="minorHAnsi"/>
                <w:b/>
                <w:bCs/>
                <w:sz w:val="20"/>
                <w:szCs w:val="20"/>
              </w:rPr>
              <w:t>60</w:t>
            </w:r>
            <w:r w:rsidRPr="00F53E25">
              <w:rPr>
                <w:rFonts w:asciiTheme="minorHAnsi" w:hAnsiTheme="minorHAnsi"/>
                <w:b/>
                <w:bCs/>
                <w:sz w:val="20"/>
                <w:szCs w:val="20"/>
              </w:rPr>
              <w:t>)</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14:paraId="0B2D9CA5" w14:textId="1122724B" w:rsidR="00EB4CBD" w:rsidRPr="00F53E25" w:rsidRDefault="006D27CC"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392</w:t>
            </w:r>
            <w:r w:rsidR="00EB4CBD" w:rsidRPr="00F53E25">
              <w:rPr>
                <w:rFonts w:asciiTheme="minorHAnsi" w:hAnsiTheme="minorHAnsi"/>
                <w:b/>
                <w:bCs/>
                <w:sz w:val="20"/>
                <w:szCs w:val="20"/>
              </w:rPr>
              <w:t xml:space="preserve"> </w:t>
            </w:r>
          </w:p>
        </w:tc>
      </w:tr>
      <w:tr w:rsidR="00EB4CBD" w:rsidRPr="00F53E25" w14:paraId="49888106" w14:textId="77777777" w:rsidTr="00845CBE">
        <w:tc>
          <w:tcPr>
            <w:tcW w:w="3828" w:type="dxa"/>
            <w:tcBorders>
              <w:top w:val="nil"/>
              <w:left w:val="nil"/>
              <w:bottom w:val="nil"/>
              <w:right w:val="nil"/>
            </w:tcBorders>
            <w:shd w:val="clear" w:color="000000" w:fill="FFFFFF"/>
            <w:noWrap/>
            <w:vAlign w:val="center"/>
            <w:hideMark/>
          </w:tcPr>
          <w:p w14:paraId="5BED7A68"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407DC238"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3390C166"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7C55BD53"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83D108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49B001E1"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045001D"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20DFED7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224844EA"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32100802" w14:textId="77777777" w:rsidTr="00845CBE">
        <w:tc>
          <w:tcPr>
            <w:tcW w:w="3828" w:type="dxa"/>
            <w:tcBorders>
              <w:top w:val="nil"/>
              <w:left w:val="nil"/>
              <w:bottom w:val="nil"/>
              <w:right w:val="nil"/>
            </w:tcBorders>
            <w:shd w:val="clear" w:color="000000" w:fill="FFFFFF"/>
            <w:noWrap/>
            <w:vAlign w:val="center"/>
            <w:hideMark/>
          </w:tcPr>
          <w:p w14:paraId="674250F5"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7628A3C3"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01F6B1A"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54C379A"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CC7FE87"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2F7C5AB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0B1A20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448F19B"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3D098A6B"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158F219B" w14:textId="77777777" w:rsidTr="00845CBE">
        <w:tc>
          <w:tcPr>
            <w:tcW w:w="3828" w:type="dxa"/>
            <w:tcBorders>
              <w:top w:val="nil"/>
              <w:left w:val="nil"/>
              <w:bottom w:val="nil"/>
              <w:right w:val="nil"/>
            </w:tcBorders>
            <w:shd w:val="clear" w:color="000000" w:fill="FFFFFF"/>
            <w:noWrap/>
            <w:vAlign w:val="center"/>
            <w:hideMark/>
          </w:tcPr>
          <w:p w14:paraId="196ABF15" w14:textId="77777777" w:rsidR="00EB4CBD" w:rsidRPr="00F53E25" w:rsidRDefault="00EB4CBD"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ESTADO DE LOS SALDOS DE LOS FONDOS</w:t>
            </w:r>
          </w:p>
        </w:tc>
        <w:tc>
          <w:tcPr>
            <w:tcW w:w="687" w:type="dxa"/>
            <w:tcBorders>
              <w:top w:val="nil"/>
              <w:left w:val="nil"/>
              <w:bottom w:val="nil"/>
              <w:right w:val="nil"/>
            </w:tcBorders>
            <w:shd w:val="clear" w:color="000000" w:fill="FFFFFF"/>
            <w:noWrap/>
            <w:vAlign w:val="center"/>
            <w:hideMark/>
          </w:tcPr>
          <w:p w14:paraId="2F3135BD"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0DE7547A"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F02DEE4"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17D16E6"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16E45385"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5064C040"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84DEBBB"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2A6015C"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090F2DB3" w14:textId="77777777" w:rsidTr="00845CBE">
        <w:tc>
          <w:tcPr>
            <w:tcW w:w="3828" w:type="dxa"/>
            <w:tcBorders>
              <w:top w:val="nil"/>
              <w:left w:val="nil"/>
              <w:bottom w:val="nil"/>
              <w:right w:val="nil"/>
            </w:tcBorders>
            <w:shd w:val="clear" w:color="000000" w:fill="FFFFFF"/>
            <w:noWrap/>
            <w:vAlign w:val="center"/>
            <w:hideMark/>
          </w:tcPr>
          <w:p w14:paraId="2F090277" w14:textId="77777777" w:rsidR="00EB4CBD" w:rsidRPr="00F53E25" w:rsidRDefault="00EB4CBD" w:rsidP="003F135F">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 xml:space="preserve">del ejercicio finalizado el 31 de diciembre </w:t>
            </w:r>
          </w:p>
        </w:tc>
        <w:tc>
          <w:tcPr>
            <w:tcW w:w="687" w:type="dxa"/>
            <w:tcBorders>
              <w:top w:val="nil"/>
              <w:left w:val="nil"/>
              <w:bottom w:val="nil"/>
              <w:right w:val="nil"/>
            </w:tcBorders>
            <w:shd w:val="clear" w:color="000000" w:fill="FFFFFF"/>
            <w:noWrap/>
            <w:vAlign w:val="center"/>
            <w:hideMark/>
          </w:tcPr>
          <w:p w14:paraId="07B049D4"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110CFF25"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613CB465"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167F76B0"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FFFFFF"/>
            <w:noWrap/>
            <w:vAlign w:val="center"/>
            <w:hideMark/>
          </w:tcPr>
          <w:p w14:paraId="32F8EAAC"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124F8CD2"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1B2E906D"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6B35C68E" w14:textId="77777777" w:rsidR="00EB4CBD" w:rsidRPr="00F53E25" w:rsidRDefault="00EB4CBD" w:rsidP="003F135F">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r>
      <w:tr w:rsidR="00C07DBD" w:rsidRPr="00F53E25" w14:paraId="2F9A9B33" w14:textId="198662E8" w:rsidTr="00845CBE">
        <w:tc>
          <w:tcPr>
            <w:tcW w:w="3828" w:type="dxa"/>
            <w:tcBorders>
              <w:top w:val="nil"/>
              <w:left w:val="nil"/>
              <w:bottom w:val="nil"/>
              <w:right w:val="nil"/>
            </w:tcBorders>
            <w:shd w:val="clear" w:color="000000" w:fill="FFFFFF"/>
            <w:noWrap/>
            <w:vAlign w:val="center"/>
            <w:hideMark/>
          </w:tcPr>
          <w:p w14:paraId="2658E619" w14:textId="77777777" w:rsidR="00C07DBD" w:rsidRPr="00F53E25" w:rsidRDefault="00C07D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3B801E28" w14:textId="77777777" w:rsidR="00C07DBD" w:rsidRPr="00F53E25" w:rsidRDefault="00C07D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2553" w:type="dxa"/>
            <w:gridSpan w:val="5"/>
            <w:tcBorders>
              <w:top w:val="nil"/>
              <w:left w:val="nil"/>
              <w:bottom w:val="nil"/>
              <w:right w:val="nil"/>
            </w:tcBorders>
            <w:shd w:val="clear" w:color="auto" w:fill="95B3D7" w:themeFill="accent1" w:themeFillTint="99"/>
            <w:noWrap/>
            <w:vAlign w:val="center"/>
            <w:hideMark/>
          </w:tcPr>
          <w:p w14:paraId="40B9B67C" w14:textId="64C08122" w:rsidR="00C07DBD" w:rsidRPr="00F53E25" w:rsidRDefault="008F027B" w:rsidP="00EB4CBD">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20</w:t>
            </w:r>
            <w:r w:rsidR="006D27CC" w:rsidRPr="00F53E25">
              <w:rPr>
                <w:rFonts w:asciiTheme="minorHAnsi" w:hAnsiTheme="minorHAnsi"/>
                <w:b/>
                <w:bCs/>
                <w:sz w:val="20"/>
                <w:szCs w:val="20"/>
              </w:rPr>
              <w:t>20</w:t>
            </w:r>
          </w:p>
        </w:tc>
        <w:tc>
          <w:tcPr>
            <w:tcW w:w="239" w:type="dxa"/>
            <w:shd w:val="clear" w:color="auto" w:fill="D9D9D9" w:themeFill="background1" w:themeFillShade="D9"/>
            <w:vAlign w:val="center"/>
          </w:tcPr>
          <w:p w14:paraId="538D0DA3" w14:textId="6E50F835" w:rsidR="00C07DBD" w:rsidRPr="00F53E25" w:rsidRDefault="00C07DBD" w:rsidP="00EB4CBD">
            <w:pPr>
              <w:rPr>
                <w:rFonts w:asciiTheme="minorHAnsi" w:eastAsia="Times New Roman" w:hAnsiTheme="minorHAnsi" w:cstheme="minorHAnsi"/>
                <w:sz w:val="20"/>
                <w:szCs w:val="20"/>
              </w:rPr>
            </w:pPr>
            <w:r w:rsidRPr="00F53E25">
              <w:rPr>
                <w:rFonts w:asciiTheme="minorHAnsi" w:hAnsiTheme="minorHAnsi"/>
                <w:b/>
                <w:bCs/>
                <w:sz w:val="20"/>
                <w:szCs w:val="20"/>
              </w:rPr>
              <w:t> </w:t>
            </w:r>
          </w:p>
        </w:tc>
        <w:tc>
          <w:tcPr>
            <w:tcW w:w="2554" w:type="dxa"/>
            <w:gridSpan w:val="5"/>
            <w:shd w:val="clear" w:color="auto" w:fill="C2D69B" w:themeFill="accent3" w:themeFillTint="99"/>
            <w:vAlign w:val="center"/>
          </w:tcPr>
          <w:p w14:paraId="6550F842" w14:textId="1720575C" w:rsidR="00C07DBD" w:rsidRPr="00F53E25" w:rsidRDefault="00C07DBD" w:rsidP="004C00DF">
            <w:pPr>
              <w:jc w:val="center"/>
              <w:rPr>
                <w:rFonts w:asciiTheme="minorHAnsi" w:eastAsia="Times New Roman" w:hAnsiTheme="minorHAnsi" w:cstheme="minorHAnsi"/>
                <w:sz w:val="20"/>
                <w:szCs w:val="20"/>
              </w:rPr>
            </w:pPr>
            <w:r w:rsidRPr="00F53E25">
              <w:rPr>
                <w:rFonts w:asciiTheme="minorHAnsi" w:hAnsiTheme="minorHAnsi"/>
                <w:b/>
                <w:bCs/>
                <w:sz w:val="20"/>
                <w:szCs w:val="20"/>
              </w:rPr>
              <w:t>201</w:t>
            </w:r>
            <w:r w:rsidR="006D27CC" w:rsidRPr="00F53E25">
              <w:rPr>
                <w:rFonts w:asciiTheme="minorHAnsi" w:hAnsiTheme="minorHAnsi"/>
                <w:b/>
                <w:bCs/>
                <w:sz w:val="20"/>
                <w:szCs w:val="20"/>
              </w:rPr>
              <w:t>9</w:t>
            </w:r>
          </w:p>
        </w:tc>
      </w:tr>
      <w:tr w:rsidR="00EB4CBD" w:rsidRPr="00F53E25" w14:paraId="7C07D150" w14:textId="77777777" w:rsidTr="00845CBE">
        <w:tc>
          <w:tcPr>
            <w:tcW w:w="3828" w:type="dxa"/>
            <w:tcBorders>
              <w:top w:val="nil"/>
              <w:left w:val="nil"/>
              <w:bottom w:val="single" w:sz="8" w:space="0" w:color="auto"/>
              <w:right w:val="nil"/>
            </w:tcBorders>
            <w:shd w:val="clear" w:color="000000" w:fill="FFFFFF"/>
            <w:noWrap/>
            <w:vAlign w:val="bottom"/>
            <w:hideMark/>
          </w:tcPr>
          <w:p w14:paraId="5940B96F" w14:textId="77777777" w:rsidR="00EB4CBD" w:rsidRPr="00F53E25" w:rsidRDefault="00EB4CBD" w:rsidP="00EB4CBD">
            <w:pPr>
              <w:ind w:left="0" w:firstLine="0"/>
              <w:rPr>
                <w:rFonts w:asciiTheme="minorHAnsi" w:eastAsia="Times New Roman" w:hAnsiTheme="minorHAnsi" w:cstheme="minorHAnsi"/>
                <w:i/>
                <w:iCs/>
                <w:sz w:val="20"/>
                <w:szCs w:val="20"/>
              </w:rPr>
            </w:pPr>
            <w:r w:rsidRPr="00F53E25">
              <w:rPr>
                <w:rFonts w:asciiTheme="minorHAnsi" w:hAnsiTheme="minorHAnsi"/>
                <w:i/>
                <w:iCs/>
                <w:sz w:val="20"/>
                <w:szCs w:val="20"/>
              </w:rPr>
              <w:t>en miles de francos suizos</w:t>
            </w:r>
          </w:p>
        </w:tc>
        <w:tc>
          <w:tcPr>
            <w:tcW w:w="687" w:type="dxa"/>
            <w:tcBorders>
              <w:top w:val="nil"/>
              <w:left w:val="nil"/>
              <w:bottom w:val="single" w:sz="8" w:space="0" w:color="auto"/>
              <w:right w:val="nil"/>
            </w:tcBorders>
            <w:shd w:val="clear" w:color="000000" w:fill="FFFFFF"/>
            <w:noWrap/>
            <w:vAlign w:val="center"/>
            <w:hideMark/>
          </w:tcPr>
          <w:p w14:paraId="2316C339" w14:textId="77777777" w:rsidR="00EB4CBD" w:rsidRPr="00F53E25" w:rsidRDefault="00EB4C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731" w:type="dxa"/>
            <w:tcBorders>
              <w:top w:val="nil"/>
              <w:left w:val="nil"/>
              <w:bottom w:val="single" w:sz="8" w:space="0" w:color="auto"/>
              <w:right w:val="nil"/>
            </w:tcBorders>
            <w:shd w:val="clear" w:color="000000" w:fill="FFFFFF"/>
            <w:vAlign w:val="center"/>
            <w:hideMark/>
          </w:tcPr>
          <w:p w14:paraId="3B4C2AC3" w14:textId="77777777" w:rsidR="00EB4CBD" w:rsidRPr="00F53E25" w:rsidRDefault="00EB4CBD" w:rsidP="00EB4CBD">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Fondos básicos</w:t>
            </w:r>
          </w:p>
        </w:tc>
        <w:tc>
          <w:tcPr>
            <w:tcW w:w="1134" w:type="dxa"/>
            <w:gridSpan w:val="3"/>
            <w:tcBorders>
              <w:top w:val="nil"/>
              <w:left w:val="nil"/>
              <w:bottom w:val="single" w:sz="8" w:space="0" w:color="auto"/>
              <w:right w:val="nil"/>
            </w:tcBorders>
            <w:shd w:val="clear" w:color="000000" w:fill="FFFFFF"/>
            <w:vAlign w:val="center"/>
            <w:hideMark/>
          </w:tcPr>
          <w:p w14:paraId="587D0249" w14:textId="77777777" w:rsidR="00EB4CBD" w:rsidRPr="00F53E25" w:rsidRDefault="00EB4CBD" w:rsidP="00EB4CBD">
            <w:pPr>
              <w:ind w:left="0" w:firstLine="0"/>
              <w:jc w:val="center"/>
              <w:rPr>
                <w:rFonts w:asciiTheme="minorHAnsi" w:eastAsia="Times New Roman" w:hAnsiTheme="minorHAnsi" w:cstheme="minorHAnsi"/>
                <w:b/>
                <w:bCs/>
                <w:sz w:val="16"/>
                <w:szCs w:val="16"/>
              </w:rPr>
            </w:pPr>
            <w:r w:rsidRPr="00F53E25">
              <w:rPr>
                <w:rFonts w:asciiTheme="minorHAnsi" w:hAnsiTheme="minorHAnsi"/>
                <w:b/>
                <w:bCs/>
                <w:sz w:val="16"/>
                <w:szCs w:val="16"/>
              </w:rPr>
              <w:t>Proyectos no financiados con cargo al presupuesto básico</w:t>
            </w:r>
          </w:p>
        </w:tc>
        <w:tc>
          <w:tcPr>
            <w:tcW w:w="688" w:type="dxa"/>
            <w:tcBorders>
              <w:top w:val="nil"/>
              <w:left w:val="nil"/>
              <w:bottom w:val="single" w:sz="8" w:space="0" w:color="auto"/>
              <w:right w:val="nil"/>
            </w:tcBorders>
            <w:shd w:val="clear" w:color="000000" w:fill="FFFFFF"/>
            <w:noWrap/>
            <w:vAlign w:val="center"/>
            <w:hideMark/>
          </w:tcPr>
          <w:p w14:paraId="404CAD36" w14:textId="77777777" w:rsidR="00EB4CBD" w:rsidRPr="00F53E25" w:rsidRDefault="00EB4CBD" w:rsidP="00EB4CBD">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Total</w:t>
            </w:r>
          </w:p>
        </w:tc>
        <w:tc>
          <w:tcPr>
            <w:tcW w:w="239" w:type="dxa"/>
            <w:tcBorders>
              <w:top w:val="nil"/>
              <w:left w:val="nil"/>
              <w:bottom w:val="single" w:sz="8" w:space="0" w:color="auto"/>
              <w:right w:val="nil"/>
            </w:tcBorders>
            <w:shd w:val="clear" w:color="000000" w:fill="D9D9D9"/>
            <w:noWrap/>
            <w:vAlign w:val="center"/>
            <w:hideMark/>
          </w:tcPr>
          <w:p w14:paraId="589DC476" w14:textId="77777777" w:rsidR="00EB4CBD" w:rsidRPr="00F53E25" w:rsidRDefault="00EB4CBD" w:rsidP="00EB4CBD">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774" w:type="dxa"/>
            <w:tcBorders>
              <w:top w:val="nil"/>
              <w:left w:val="nil"/>
              <w:bottom w:val="single" w:sz="8" w:space="0" w:color="auto"/>
              <w:right w:val="nil"/>
            </w:tcBorders>
            <w:shd w:val="clear" w:color="000000" w:fill="FFFFFF"/>
            <w:vAlign w:val="center"/>
            <w:hideMark/>
          </w:tcPr>
          <w:p w14:paraId="3786C686" w14:textId="77777777" w:rsidR="00EB4CBD" w:rsidRPr="00F53E25" w:rsidRDefault="00EB4CBD" w:rsidP="00EB4CBD">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Fondos básicos</w:t>
            </w:r>
          </w:p>
        </w:tc>
        <w:tc>
          <w:tcPr>
            <w:tcW w:w="992" w:type="dxa"/>
            <w:gridSpan w:val="3"/>
            <w:tcBorders>
              <w:top w:val="nil"/>
              <w:left w:val="nil"/>
              <w:bottom w:val="single" w:sz="8" w:space="0" w:color="auto"/>
              <w:right w:val="nil"/>
            </w:tcBorders>
            <w:shd w:val="clear" w:color="000000" w:fill="FFFFFF"/>
            <w:vAlign w:val="center"/>
            <w:hideMark/>
          </w:tcPr>
          <w:p w14:paraId="2A0387AA" w14:textId="77777777" w:rsidR="00EB4CBD" w:rsidRPr="00F53E25" w:rsidRDefault="00EB4CBD" w:rsidP="00EB4CBD">
            <w:pPr>
              <w:ind w:left="0" w:firstLine="0"/>
              <w:jc w:val="center"/>
              <w:rPr>
                <w:rFonts w:asciiTheme="minorHAnsi" w:eastAsia="Times New Roman" w:hAnsiTheme="minorHAnsi" w:cstheme="minorHAnsi"/>
                <w:b/>
                <w:bCs/>
                <w:sz w:val="15"/>
                <w:szCs w:val="15"/>
              </w:rPr>
            </w:pPr>
            <w:r w:rsidRPr="00F53E25">
              <w:rPr>
                <w:rFonts w:asciiTheme="minorHAnsi" w:hAnsiTheme="minorHAnsi"/>
                <w:b/>
                <w:bCs/>
                <w:sz w:val="15"/>
                <w:szCs w:val="15"/>
              </w:rPr>
              <w:t>Proyectos no financiados con cargo al presupuesto básico</w:t>
            </w:r>
          </w:p>
        </w:tc>
        <w:tc>
          <w:tcPr>
            <w:tcW w:w="788" w:type="dxa"/>
            <w:tcBorders>
              <w:top w:val="nil"/>
              <w:left w:val="nil"/>
              <w:bottom w:val="single" w:sz="8" w:space="0" w:color="auto"/>
              <w:right w:val="nil"/>
            </w:tcBorders>
            <w:shd w:val="clear" w:color="000000" w:fill="FFFFFF"/>
            <w:noWrap/>
            <w:vAlign w:val="center"/>
            <w:hideMark/>
          </w:tcPr>
          <w:p w14:paraId="78AF66CD" w14:textId="77777777" w:rsidR="00EB4CBD" w:rsidRPr="00F53E25" w:rsidRDefault="00EB4CBD" w:rsidP="00EB4CBD">
            <w:pPr>
              <w:ind w:left="0" w:firstLine="0"/>
              <w:jc w:val="center"/>
              <w:rPr>
                <w:rFonts w:asciiTheme="minorHAnsi" w:eastAsia="Times New Roman" w:hAnsiTheme="minorHAnsi" w:cstheme="minorHAnsi"/>
                <w:b/>
                <w:bCs/>
                <w:sz w:val="20"/>
                <w:szCs w:val="20"/>
              </w:rPr>
            </w:pPr>
            <w:r w:rsidRPr="00F53E25">
              <w:rPr>
                <w:rFonts w:asciiTheme="minorHAnsi" w:hAnsiTheme="minorHAnsi"/>
                <w:b/>
                <w:bCs/>
                <w:sz w:val="20"/>
                <w:szCs w:val="20"/>
              </w:rPr>
              <w:t>Total</w:t>
            </w:r>
          </w:p>
        </w:tc>
      </w:tr>
      <w:tr w:rsidR="00EB4CBD" w:rsidRPr="00F53E25" w14:paraId="5F734205" w14:textId="77777777" w:rsidTr="00845CBE">
        <w:tc>
          <w:tcPr>
            <w:tcW w:w="3828" w:type="dxa"/>
            <w:tcBorders>
              <w:top w:val="nil"/>
              <w:left w:val="nil"/>
              <w:bottom w:val="nil"/>
              <w:right w:val="nil"/>
            </w:tcBorders>
            <w:shd w:val="clear" w:color="000000" w:fill="FFFFFF"/>
            <w:noWrap/>
            <w:vAlign w:val="center"/>
            <w:hideMark/>
          </w:tcPr>
          <w:p w14:paraId="52F5DA3B" w14:textId="77777777" w:rsidR="00EB4CBD" w:rsidRPr="00F53E25" w:rsidRDefault="00EB4C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687" w:type="dxa"/>
            <w:tcBorders>
              <w:top w:val="nil"/>
              <w:left w:val="nil"/>
              <w:bottom w:val="nil"/>
              <w:right w:val="nil"/>
            </w:tcBorders>
            <w:shd w:val="clear" w:color="000000" w:fill="FFFFFF"/>
            <w:noWrap/>
            <w:vAlign w:val="center"/>
            <w:hideMark/>
          </w:tcPr>
          <w:p w14:paraId="3CC1E020" w14:textId="77777777" w:rsidR="00EB4CBD" w:rsidRPr="00F53E25" w:rsidRDefault="00EB4C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4C00B8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0FB23388"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4CD634A1"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239" w:type="dxa"/>
            <w:tcBorders>
              <w:top w:val="nil"/>
              <w:left w:val="nil"/>
              <w:bottom w:val="nil"/>
              <w:right w:val="nil"/>
            </w:tcBorders>
            <w:shd w:val="clear" w:color="000000" w:fill="D9D9D9"/>
            <w:noWrap/>
            <w:vAlign w:val="center"/>
            <w:hideMark/>
          </w:tcPr>
          <w:p w14:paraId="50ADE3C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3A08E4BF"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tcBorders>
              <w:top w:val="nil"/>
              <w:left w:val="nil"/>
              <w:bottom w:val="nil"/>
              <w:right w:val="nil"/>
            </w:tcBorders>
            <w:shd w:val="clear" w:color="000000" w:fill="FFFFFF"/>
            <w:noWrap/>
            <w:vAlign w:val="center"/>
            <w:hideMark/>
          </w:tcPr>
          <w:p w14:paraId="5F43120B"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4" w:type="dxa"/>
            <w:gridSpan w:val="2"/>
            <w:tcBorders>
              <w:top w:val="nil"/>
              <w:left w:val="nil"/>
              <w:bottom w:val="nil"/>
              <w:right w:val="nil"/>
            </w:tcBorders>
            <w:shd w:val="clear" w:color="000000" w:fill="FFFFFF"/>
            <w:noWrap/>
            <w:vAlign w:val="center"/>
            <w:hideMark/>
          </w:tcPr>
          <w:p w14:paraId="53D9A3F1"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r>
      <w:tr w:rsidR="00EB4CBD" w:rsidRPr="00F53E25" w14:paraId="136EF968" w14:textId="77777777" w:rsidTr="00845CBE">
        <w:tc>
          <w:tcPr>
            <w:tcW w:w="3828" w:type="dxa"/>
            <w:tcBorders>
              <w:top w:val="nil"/>
              <w:left w:val="nil"/>
              <w:bottom w:val="nil"/>
              <w:right w:val="nil"/>
            </w:tcBorders>
            <w:shd w:val="clear" w:color="000000" w:fill="FFFFFF"/>
            <w:noWrap/>
            <w:vAlign w:val="center"/>
            <w:hideMark/>
          </w:tcPr>
          <w:p w14:paraId="63B8A21D" w14:textId="77777777" w:rsidR="00EB4CBD" w:rsidRPr="00F53E25" w:rsidRDefault="00EB4C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Saldo del fondo al inicio del ejercicio</w:t>
            </w:r>
          </w:p>
        </w:tc>
        <w:tc>
          <w:tcPr>
            <w:tcW w:w="687" w:type="dxa"/>
            <w:tcBorders>
              <w:top w:val="nil"/>
              <w:left w:val="nil"/>
              <w:bottom w:val="nil"/>
              <w:right w:val="nil"/>
            </w:tcBorders>
            <w:shd w:val="clear" w:color="000000" w:fill="FFFFFF"/>
            <w:noWrap/>
            <w:vAlign w:val="center"/>
            <w:hideMark/>
          </w:tcPr>
          <w:p w14:paraId="3D302CBE" w14:textId="77777777" w:rsidR="00EB4CBD" w:rsidRPr="00F53E25" w:rsidRDefault="00EB4C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 </w:t>
            </w:r>
          </w:p>
        </w:tc>
        <w:tc>
          <w:tcPr>
            <w:tcW w:w="849" w:type="dxa"/>
            <w:gridSpan w:val="2"/>
            <w:tcBorders>
              <w:top w:val="nil"/>
              <w:left w:val="nil"/>
              <w:bottom w:val="nil"/>
              <w:right w:val="nil"/>
            </w:tcBorders>
            <w:shd w:val="clear" w:color="000000" w:fill="FFFFFF"/>
            <w:noWrap/>
            <w:vAlign w:val="center"/>
            <w:hideMark/>
          </w:tcPr>
          <w:p w14:paraId="7C3158AD" w14:textId="5722285B"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652E0C" w:rsidRPr="00F53E25">
              <w:rPr>
                <w:rFonts w:asciiTheme="minorHAnsi" w:hAnsiTheme="minorHAnsi"/>
                <w:sz w:val="20"/>
                <w:szCs w:val="20"/>
              </w:rPr>
              <w:t> </w:t>
            </w:r>
            <w:r w:rsidR="006D27CC" w:rsidRPr="00F53E25">
              <w:rPr>
                <w:rFonts w:asciiTheme="minorHAnsi" w:hAnsiTheme="minorHAnsi"/>
                <w:sz w:val="20"/>
                <w:szCs w:val="20"/>
              </w:rPr>
              <w:t>468</w:t>
            </w:r>
            <w:r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55AFD125" w14:textId="376BD92E"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2</w:t>
            </w:r>
            <w:r w:rsidR="00652E0C" w:rsidRPr="00F53E25">
              <w:rPr>
                <w:rFonts w:asciiTheme="minorHAnsi" w:hAnsiTheme="minorHAnsi"/>
                <w:sz w:val="20"/>
                <w:szCs w:val="20"/>
              </w:rPr>
              <w:t> </w:t>
            </w:r>
            <w:r w:rsidR="006D27CC" w:rsidRPr="00F53E25">
              <w:rPr>
                <w:rFonts w:asciiTheme="minorHAnsi" w:hAnsiTheme="minorHAnsi"/>
                <w:sz w:val="20"/>
                <w:szCs w:val="20"/>
              </w:rPr>
              <w:t>073</w:t>
            </w: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30053B5B" w14:textId="7C3CECE9"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4</w:t>
            </w:r>
            <w:r w:rsidR="00652E0C" w:rsidRPr="00F53E25">
              <w:rPr>
                <w:rFonts w:asciiTheme="minorHAnsi" w:hAnsiTheme="minorHAnsi"/>
                <w:sz w:val="20"/>
                <w:szCs w:val="20"/>
              </w:rPr>
              <w:t> </w:t>
            </w:r>
            <w:r w:rsidR="00DB2B39" w:rsidRPr="00F53E25">
              <w:rPr>
                <w:rFonts w:asciiTheme="minorHAnsi" w:hAnsiTheme="minorHAnsi"/>
                <w:sz w:val="20"/>
                <w:szCs w:val="20"/>
              </w:rPr>
              <w:t>721</w:t>
            </w:r>
            <w:r w:rsidRPr="00F53E25">
              <w:rPr>
                <w:rFonts w:asciiTheme="minorHAnsi" w:hAnsiTheme="minorHAnsi"/>
                <w:sz w:val="20"/>
                <w:szCs w:val="20"/>
              </w:rPr>
              <w:t xml:space="preserve"> </w:t>
            </w:r>
          </w:p>
        </w:tc>
        <w:tc>
          <w:tcPr>
            <w:tcW w:w="239" w:type="dxa"/>
            <w:tcBorders>
              <w:top w:val="nil"/>
              <w:left w:val="nil"/>
              <w:bottom w:val="nil"/>
              <w:right w:val="nil"/>
            </w:tcBorders>
            <w:shd w:val="clear" w:color="000000" w:fill="D9D9D9"/>
            <w:noWrap/>
            <w:vAlign w:val="center"/>
            <w:hideMark/>
          </w:tcPr>
          <w:p w14:paraId="53C2D08C"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73C7776D" w14:textId="4CA4684C"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DB2B39" w:rsidRPr="00F53E25">
              <w:rPr>
                <w:rFonts w:asciiTheme="minorHAnsi" w:hAnsiTheme="minorHAnsi"/>
                <w:sz w:val="20"/>
                <w:szCs w:val="20"/>
              </w:rPr>
              <w:t>2 196</w:t>
            </w:r>
            <w:r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440B2D15" w14:textId="5096771C"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2</w:t>
            </w:r>
            <w:r w:rsidR="00652E0C" w:rsidRPr="00F53E25">
              <w:rPr>
                <w:rFonts w:asciiTheme="minorHAnsi" w:hAnsiTheme="minorHAnsi"/>
                <w:sz w:val="20"/>
                <w:szCs w:val="20"/>
              </w:rPr>
              <w:t> </w:t>
            </w:r>
            <w:r w:rsidR="00DB2B39" w:rsidRPr="00F53E25">
              <w:rPr>
                <w:rFonts w:asciiTheme="minorHAnsi" w:hAnsiTheme="minorHAnsi"/>
                <w:sz w:val="20"/>
                <w:szCs w:val="20"/>
              </w:rPr>
              <w:t>133</w:t>
            </w:r>
            <w:r w:rsidRPr="00F53E25">
              <w:rPr>
                <w:rFonts w:asciiTheme="minorHAnsi" w:hAnsiTheme="minorHAnsi"/>
                <w:sz w:val="20"/>
                <w:szCs w:val="20"/>
              </w:rPr>
              <w:t xml:space="preserve"> </w:t>
            </w:r>
          </w:p>
        </w:tc>
        <w:tc>
          <w:tcPr>
            <w:tcW w:w="854" w:type="dxa"/>
            <w:gridSpan w:val="2"/>
            <w:tcBorders>
              <w:top w:val="nil"/>
              <w:left w:val="nil"/>
              <w:bottom w:val="nil"/>
              <w:right w:val="nil"/>
            </w:tcBorders>
            <w:shd w:val="clear" w:color="000000" w:fill="FFFFFF"/>
            <w:noWrap/>
            <w:vAlign w:val="center"/>
            <w:hideMark/>
          </w:tcPr>
          <w:p w14:paraId="1093DC16" w14:textId="7B1DEAD3"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4</w:t>
            </w:r>
            <w:r w:rsidR="00652E0C" w:rsidRPr="00F53E25">
              <w:rPr>
                <w:rFonts w:asciiTheme="minorHAnsi" w:hAnsiTheme="minorHAnsi"/>
                <w:sz w:val="20"/>
                <w:szCs w:val="20"/>
              </w:rPr>
              <w:t> </w:t>
            </w:r>
            <w:r w:rsidR="00DB2B39" w:rsidRPr="00F53E25">
              <w:rPr>
                <w:rFonts w:asciiTheme="minorHAnsi" w:hAnsiTheme="minorHAnsi"/>
                <w:sz w:val="20"/>
                <w:szCs w:val="20"/>
              </w:rPr>
              <w:t>329</w:t>
            </w:r>
            <w:r w:rsidRPr="00F53E25">
              <w:rPr>
                <w:rFonts w:asciiTheme="minorHAnsi" w:hAnsiTheme="minorHAnsi"/>
                <w:sz w:val="20"/>
                <w:szCs w:val="20"/>
              </w:rPr>
              <w:t xml:space="preserve"> </w:t>
            </w:r>
          </w:p>
        </w:tc>
      </w:tr>
      <w:tr w:rsidR="00EB4CBD" w:rsidRPr="00F53E25" w14:paraId="6E79F192" w14:textId="77777777" w:rsidTr="00845CBE">
        <w:tc>
          <w:tcPr>
            <w:tcW w:w="3828" w:type="dxa"/>
            <w:tcBorders>
              <w:top w:val="nil"/>
              <w:left w:val="nil"/>
              <w:bottom w:val="nil"/>
              <w:right w:val="nil"/>
            </w:tcBorders>
            <w:shd w:val="clear" w:color="000000" w:fill="FFFFFF"/>
            <w:noWrap/>
            <w:vAlign w:val="center"/>
            <w:hideMark/>
          </w:tcPr>
          <w:p w14:paraId="2362D437" w14:textId="77777777" w:rsidR="00EB4CBD" w:rsidRPr="00F53E25" w:rsidRDefault="00EB4CBD" w:rsidP="00EB4CBD">
            <w:pPr>
              <w:ind w:left="0" w:firstLine="0"/>
              <w:rPr>
                <w:rFonts w:asciiTheme="minorHAnsi" w:eastAsia="Times New Roman" w:hAnsiTheme="minorHAnsi" w:cstheme="minorHAnsi"/>
                <w:sz w:val="20"/>
                <w:szCs w:val="20"/>
              </w:rPr>
            </w:pPr>
            <w:r w:rsidRPr="00F53E25">
              <w:rPr>
                <w:rFonts w:asciiTheme="minorHAnsi" w:hAnsiTheme="minorHAnsi"/>
                <w:sz w:val="20"/>
                <w:szCs w:val="20"/>
              </w:rPr>
              <w:t>Ingresos/(gastos) netos del ejercicio</w:t>
            </w:r>
          </w:p>
        </w:tc>
        <w:tc>
          <w:tcPr>
            <w:tcW w:w="687" w:type="dxa"/>
            <w:tcBorders>
              <w:top w:val="nil"/>
              <w:left w:val="nil"/>
              <w:bottom w:val="nil"/>
              <w:right w:val="nil"/>
            </w:tcBorders>
            <w:shd w:val="clear" w:color="000000" w:fill="FFFFFF"/>
            <w:noWrap/>
            <w:vAlign w:val="center"/>
            <w:hideMark/>
          </w:tcPr>
          <w:p w14:paraId="2173F5C2" w14:textId="77777777" w:rsidR="00EB4CBD" w:rsidRPr="00F53E25" w:rsidRDefault="00EB4CBD" w:rsidP="00EB4CBD">
            <w:pPr>
              <w:ind w:left="0" w:firstLine="0"/>
              <w:jc w:val="center"/>
              <w:rPr>
                <w:rFonts w:asciiTheme="minorHAnsi" w:eastAsia="Times New Roman" w:hAnsiTheme="minorHAnsi" w:cstheme="minorHAnsi"/>
                <w:sz w:val="20"/>
                <w:szCs w:val="20"/>
              </w:rPr>
            </w:pPr>
            <w:r w:rsidRPr="00F53E25">
              <w:rPr>
                <w:rFonts w:asciiTheme="minorHAnsi" w:hAnsiTheme="minorHAnsi"/>
                <w:sz w:val="20"/>
                <w:szCs w:val="20"/>
              </w:rPr>
              <w:t>11</w:t>
            </w:r>
          </w:p>
        </w:tc>
        <w:tc>
          <w:tcPr>
            <w:tcW w:w="849" w:type="dxa"/>
            <w:gridSpan w:val="2"/>
            <w:tcBorders>
              <w:top w:val="nil"/>
              <w:left w:val="nil"/>
              <w:bottom w:val="nil"/>
              <w:right w:val="nil"/>
            </w:tcBorders>
            <w:shd w:val="clear" w:color="000000" w:fill="FFFFFF"/>
            <w:noWrap/>
            <w:vAlign w:val="center"/>
            <w:hideMark/>
          </w:tcPr>
          <w:p w14:paraId="78A7DAA8" w14:textId="1A873733" w:rsidR="00EB4CBD" w:rsidRPr="00F53E25" w:rsidRDefault="006D27CC"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670</w:t>
            </w:r>
            <w:r w:rsidR="00EB4CBD"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6DD4AFC5" w14:textId="304441C1"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6D27CC" w:rsidRPr="00F53E25">
              <w:rPr>
                <w:rFonts w:asciiTheme="minorHAnsi" w:hAnsiTheme="minorHAnsi"/>
                <w:sz w:val="20"/>
                <w:szCs w:val="20"/>
              </w:rPr>
              <w:t>196</w:t>
            </w:r>
            <w:r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185D93D7" w14:textId="4C818A75"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DB2B39" w:rsidRPr="00F53E25">
              <w:rPr>
                <w:rFonts w:asciiTheme="minorHAnsi" w:hAnsiTheme="minorHAnsi"/>
                <w:sz w:val="20"/>
                <w:szCs w:val="20"/>
              </w:rPr>
              <w:t>474</w:t>
            </w:r>
            <w:r w:rsidRPr="00F53E25">
              <w:rPr>
                <w:rFonts w:asciiTheme="minorHAnsi" w:hAnsiTheme="minorHAnsi"/>
                <w:sz w:val="20"/>
                <w:szCs w:val="20"/>
              </w:rPr>
              <w:t xml:space="preserve"> </w:t>
            </w:r>
          </w:p>
        </w:tc>
        <w:tc>
          <w:tcPr>
            <w:tcW w:w="239" w:type="dxa"/>
            <w:tcBorders>
              <w:top w:val="nil"/>
              <w:left w:val="nil"/>
              <w:bottom w:val="nil"/>
              <w:right w:val="nil"/>
            </w:tcBorders>
            <w:shd w:val="clear" w:color="000000" w:fill="D9D9D9"/>
            <w:noWrap/>
            <w:vAlign w:val="center"/>
            <w:hideMark/>
          </w:tcPr>
          <w:p w14:paraId="58FD617E" w14:textId="77777777"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w:t>
            </w:r>
          </w:p>
        </w:tc>
        <w:tc>
          <w:tcPr>
            <w:tcW w:w="850" w:type="dxa"/>
            <w:gridSpan w:val="2"/>
            <w:tcBorders>
              <w:top w:val="nil"/>
              <w:left w:val="nil"/>
              <w:bottom w:val="nil"/>
              <w:right w:val="nil"/>
            </w:tcBorders>
            <w:shd w:val="clear" w:color="000000" w:fill="FFFFFF"/>
            <w:noWrap/>
            <w:vAlign w:val="center"/>
            <w:hideMark/>
          </w:tcPr>
          <w:p w14:paraId="0B91F612" w14:textId="258FF6F8" w:rsidR="00EB4CBD" w:rsidRPr="00F53E25" w:rsidRDefault="00DB2B39"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452</w:t>
            </w:r>
            <w:r w:rsidR="00EB4CBD" w:rsidRPr="00F53E25">
              <w:rPr>
                <w:rFonts w:asciiTheme="minorHAnsi" w:hAnsiTheme="minorHAnsi"/>
                <w:sz w:val="20"/>
                <w:szCs w:val="20"/>
              </w:rPr>
              <w:t xml:space="preserve"> </w:t>
            </w:r>
          </w:p>
        </w:tc>
        <w:tc>
          <w:tcPr>
            <w:tcW w:w="850" w:type="dxa"/>
            <w:tcBorders>
              <w:top w:val="nil"/>
              <w:left w:val="nil"/>
              <w:bottom w:val="nil"/>
              <w:right w:val="nil"/>
            </w:tcBorders>
            <w:shd w:val="clear" w:color="000000" w:fill="FFFFFF"/>
            <w:noWrap/>
            <w:vAlign w:val="center"/>
            <w:hideMark/>
          </w:tcPr>
          <w:p w14:paraId="18C598DD" w14:textId="403F88DE" w:rsidR="00EB4CBD" w:rsidRPr="00F53E25" w:rsidRDefault="00EB4CBD"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 xml:space="preserve">  (</w:t>
            </w:r>
            <w:r w:rsidR="00DB2B39" w:rsidRPr="00F53E25">
              <w:rPr>
                <w:rFonts w:asciiTheme="minorHAnsi" w:hAnsiTheme="minorHAnsi"/>
                <w:sz w:val="20"/>
                <w:szCs w:val="20"/>
              </w:rPr>
              <w:t>60</w:t>
            </w:r>
            <w:r w:rsidRPr="00F53E25">
              <w:rPr>
                <w:rFonts w:asciiTheme="minorHAnsi" w:hAnsiTheme="minorHAnsi"/>
                <w:sz w:val="20"/>
                <w:szCs w:val="20"/>
              </w:rPr>
              <w:t>)</w:t>
            </w:r>
          </w:p>
        </w:tc>
        <w:tc>
          <w:tcPr>
            <w:tcW w:w="854" w:type="dxa"/>
            <w:gridSpan w:val="2"/>
            <w:tcBorders>
              <w:top w:val="nil"/>
              <w:left w:val="nil"/>
              <w:bottom w:val="nil"/>
              <w:right w:val="nil"/>
            </w:tcBorders>
            <w:shd w:val="clear" w:color="000000" w:fill="FFFFFF"/>
            <w:noWrap/>
            <w:vAlign w:val="center"/>
            <w:hideMark/>
          </w:tcPr>
          <w:p w14:paraId="064DB734" w14:textId="008862C9" w:rsidR="00EB4CBD" w:rsidRPr="00F53E25" w:rsidRDefault="00DB2B39" w:rsidP="00E84205">
            <w:pPr>
              <w:ind w:left="0" w:firstLine="0"/>
              <w:jc w:val="right"/>
              <w:rPr>
                <w:rFonts w:asciiTheme="minorHAnsi" w:eastAsia="Times New Roman" w:hAnsiTheme="minorHAnsi" w:cstheme="minorHAnsi"/>
                <w:sz w:val="20"/>
                <w:szCs w:val="20"/>
              </w:rPr>
            </w:pPr>
            <w:r w:rsidRPr="00F53E25">
              <w:rPr>
                <w:rFonts w:asciiTheme="minorHAnsi" w:hAnsiTheme="minorHAnsi"/>
                <w:sz w:val="20"/>
                <w:szCs w:val="20"/>
              </w:rPr>
              <w:t>392</w:t>
            </w:r>
            <w:r w:rsidR="00EB4CBD" w:rsidRPr="00F53E25">
              <w:rPr>
                <w:rFonts w:asciiTheme="minorHAnsi" w:hAnsiTheme="minorHAnsi"/>
                <w:sz w:val="20"/>
                <w:szCs w:val="20"/>
              </w:rPr>
              <w:t xml:space="preserve"> </w:t>
            </w:r>
          </w:p>
        </w:tc>
      </w:tr>
      <w:tr w:rsidR="00EB4CBD" w:rsidRPr="00F53E25" w14:paraId="48BABC04" w14:textId="77777777" w:rsidTr="00845CBE">
        <w:tc>
          <w:tcPr>
            <w:tcW w:w="3828" w:type="dxa"/>
            <w:tcBorders>
              <w:top w:val="nil"/>
              <w:left w:val="nil"/>
              <w:bottom w:val="nil"/>
              <w:right w:val="nil"/>
            </w:tcBorders>
            <w:shd w:val="clear" w:color="000000" w:fill="FFFFFF"/>
            <w:noWrap/>
            <w:vAlign w:val="center"/>
            <w:hideMark/>
          </w:tcPr>
          <w:p w14:paraId="57356A45" w14:textId="77777777" w:rsidR="00EB4CBD" w:rsidRPr="00F53E25" w:rsidRDefault="00EB4CBD" w:rsidP="00EB4CBD">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687" w:type="dxa"/>
            <w:tcBorders>
              <w:top w:val="nil"/>
              <w:left w:val="nil"/>
              <w:bottom w:val="nil"/>
              <w:right w:val="nil"/>
            </w:tcBorders>
            <w:shd w:val="clear" w:color="000000" w:fill="FFFFFF"/>
            <w:noWrap/>
            <w:vAlign w:val="center"/>
            <w:hideMark/>
          </w:tcPr>
          <w:p w14:paraId="373AB933" w14:textId="77777777" w:rsidR="00EB4CBD" w:rsidRPr="00F53E25" w:rsidRDefault="00EB4CBD" w:rsidP="00EB4CBD">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49" w:type="dxa"/>
            <w:gridSpan w:val="2"/>
            <w:tcBorders>
              <w:top w:val="nil"/>
              <w:left w:val="nil"/>
              <w:bottom w:val="nil"/>
              <w:right w:val="nil"/>
            </w:tcBorders>
            <w:shd w:val="clear" w:color="000000" w:fill="FFFFFF"/>
            <w:noWrap/>
            <w:vAlign w:val="center"/>
            <w:hideMark/>
          </w:tcPr>
          <w:p w14:paraId="62DFB517"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tcBorders>
              <w:top w:val="nil"/>
              <w:left w:val="nil"/>
              <w:bottom w:val="nil"/>
              <w:right w:val="nil"/>
            </w:tcBorders>
            <w:shd w:val="clear" w:color="000000" w:fill="FFFFFF"/>
            <w:noWrap/>
            <w:vAlign w:val="center"/>
            <w:hideMark/>
          </w:tcPr>
          <w:p w14:paraId="305A4B2A"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4" w:type="dxa"/>
            <w:gridSpan w:val="2"/>
            <w:tcBorders>
              <w:top w:val="nil"/>
              <w:left w:val="nil"/>
              <w:bottom w:val="nil"/>
              <w:right w:val="nil"/>
            </w:tcBorders>
            <w:shd w:val="clear" w:color="000000" w:fill="FFFFFF"/>
            <w:noWrap/>
            <w:vAlign w:val="center"/>
            <w:hideMark/>
          </w:tcPr>
          <w:p w14:paraId="5D53E9ED"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239" w:type="dxa"/>
            <w:tcBorders>
              <w:top w:val="nil"/>
              <w:left w:val="nil"/>
              <w:bottom w:val="nil"/>
              <w:right w:val="nil"/>
            </w:tcBorders>
            <w:shd w:val="clear" w:color="000000" w:fill="D9D9D9"/>
            <w:noWrap/>
            <w:vAlign w:val="center"/>
            <w:hideMark/>
          </w:tcPr>
          <w:p w14:paraId="77420DE0"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gridSpan w:val="2"/>
            <w:tcBorders>
              <w:top w:val="nil"/>
              <w:left w:val="nil"/>
              <w:bottom w:val="nil"/>
              <w:right w:val="nil"/>
            </w:tcBorders>
            <w:shd w:val="clear" w:color="000000" w:fill="FFFFFF"/>
            <w:noWrap/>
            <w:vAlign w:val="center"/>
            <w:hideMark/>
          </w:tcPr>
          <w:p w14:paraId="3C1B2FFA"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tcBorders>
              <w:top w:val="nil"/>
              <w:left w:val="nil"/>
              <w:bottom w:val="nil"/>
              <w:right w:val="nil"/>
            </w:tcBorders>
            <w:shd w:val="clear" w:color="000000" w:fill="FFFFFF"/>
            <w:noWrap/>
            <w:vAlign w:val="center"/>
            <w:hideMark/>
          </w:tcPr>
          <w:p w14:paraId="4A1887E4"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4" w:type="dxa"/>
            <w:gridSpan w:val="2"/>
            <w:tcBorders>
              <w:top w:val="nil"/>
              <w:left w:val="nil"/>
              <w:bottom w:val="nil"/>
              <w:right w:val="nil"/>
            </w:tcBorders>
            <w:shd w:val="clear" w:color="000000" w:fill="FFFFFF"/>
            <w:noWrap/>
            <w:vAlign w:val="center"/>
            <w:hideMark/>
          </w:tcPr>
          <w:p w14:paraId="7918D545"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r>
      <w:tr w:rsidR="00EB4CBD" w:rsidRPr="00F53E25" w14:paraId="0036A837" w14:textId="77777777" w:rsidTr="00845CBE">
        <w:tc>
          <w:tcPr>
            <w:tcW w:w="3828" w:type="dxa"/>
            <w:tcBorders>
              <w:top w:val="nil"/>
              <w:left w:val="nil"/>
              <w:bottom w:val="nil"/>
              <w:right w:val="nil"/>
            </w:tcBorders>
            <w:shd w:val="clear" w:color="000000" w:fill="FFFFFF"/>
            <w:noWrap/>
            <w:vAlign w:val="center"/>
            <w:hideMark/>
          </w:tcPr>
          <w:p w14:paraId="3ECBBA59" w14:textId="77777777" w:rsidR="00EB4CBD" w:rsidRPr="00F53E25" w:rsidRDefault="00EB4CBD" w:rsidP="00EB4CBD">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Saldo del fondo al cierre del ejercicio</w:t>
            </w:r>
          </w:p>
        </w:tc>
        <w:tc>
          <w:tcPr>
            <w:tcW w:w="687" w:type="dxa"/>
            <w:tcBorders>
              <w:top w:val="nil"/>
              <w:left w:val="nil"/>
              <w:bottom w:val="nil"/>
              <w:right w:val="nil"/>
            </w:tcBorders>
            <w:shd w:val="clear" w:color="000000" w:fill="FFFFFF"/>
            <w:noWrap/>
            <w:vAlign w:val="center"/>
            <w:hideMark/>
          </w:tcPr>
          <w:p w14:paraId="28B8BA75" w14:textId="77777777" w:rsidR="00EB4CBD" w:rsidRPr="00F53E25" w:rsidRDefault="00EB4CBD" w:rsidP="00EB4CBD">
            <w:pPr>
              <w:ind w:left="0" w:firstLine="0"/>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49" w:type="dxa"/>
            <w:gridSpan w:val="2"/>
            <w:tcBorders>
              <w:top w:val="single" w:sz="4" w:space="0" w:color="auto"/>
              <w:left w:val="nil"/>
              <w:bottom w:val="single" w:sz="4" w:space="0" w:color="auto"/>
              <w:right w:val="nil"/>
            </w:tcBorders>
            <w:shd w:val="clear" w:color="000000" w:fill="C5D9F1"/>
            <w:noWrap/>
            <w:vAlign w:val="center"/>
            <w:hideMark/>
          </w:tcPr>
          <w:p w14:paraId="51D5D0FA" w14:textId="73BE42CD" w:rsidR="00EB4CBD" w:rsidRPr="00F53E25" w:rsidRDefault="00DB2B39"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3 318</w:t>
            </w:r>
            <w:r w:rsidR="00EB4CBD"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C5D9F1"/>
            <w:noWrap/>
            <w:vAlign w:val="center"/>
            <w:hideMark/>
          </w:tcPr>
          <w:p w14:paraId="400B2193" w14:textId="3C497C2C" w:rsidR="00EB4CBD" w:rsidRPr="00F53E25" w:rsidRDefault="00DB2B39"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1 877</w:t>
            </w:r>
            <w:r w:rsidR="00EB4CBD" w:rsidRPr="00F53E25">
              <w:rPr>
                <w:rFonts w:asciiTheme="minorHAnsi" w:hAnsiTheme="minorHAnsi"/>
                <w:b/>
                <w:bCs/>
                <w:sz w:val="20"/>
                <w:szCs w:val="20"/>
              </w:rPr>
              <w:t xml:space="preserve"> </w:t>
            </w:r>
          </w:p>
        </w:tc>
        <w:tc>
          <w:tcPr>
            <w:tcW w:w="854" w:type="dxa"/>
            <w:gridSpan w:val="2"/>
            <w:tcBorders>
              <w:top w:val="single" w:sz="4" w:space="0" w:color="auto"/>
              <w:left w:val="nil"/>
              <w:bottom w:val="single" w:sz="4" w:space="0" w:color="auto"/>
              <w:right w:val="nil"/>
            </w:tcBorders>
            <w:shd w:val="clear" w:color="000000" w:fill="C5D9F1"/>
            <w:noWrap/>
            <w:vAlign w:val="center"/>
            <w:hideMark/>
          </w:tcPr>
          <w:p w14:paraId="43C31C60" w14:textId="30092FE3" w:rsidR="00EB4CBD" w:rsidRPr="00F53E25" w:rsidRDefault="00DB2B39"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5 195</w:t>
            </w:r>
            <w:r w:rsidR="00EB4CBD" w:rsidRPr="00F53E25">
              <w:rPr>
                <w:rFonts w:asciiTheme="minorHAnsi" w:hAnsiTheme="minorHAnsi"/>
                <w:b/>
                <w:bCs/>
                <w:sz w:val="20"/>
                <w:szCs w:val="20"/>
              </w:rPr>
              <w:t xml:space="preserve"> </w:t>
            </w:r>
          </w:p>
        </w:tc>
        <w:tc>
          <w:tcPr>
            <w:tcW w:w="239" w:type="dxa"/>
            <w:tcBorders>
              <w:top w:val="single" w:sz="4" w:space="0" w:color="auto"/>
              <w:left w:val="nil"/>
              <w:bottom w:val="single" w:sz="4" w:space="0" w:color="auto"/>
              <w:right w:val="nil"/>
            </w:tcBorders>
            <w:shd w:val="clear" w:color="000000" w:fill="D9D9D9"/>
            <w:noWrap/>
            <w:vAlign w:val="center"/>
            <w:hideMark/>
          </w:tcPr>
          <w:p w14:paraId="2F246EA2" w14:textId="77777777"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w:t>
            </w:r>
          </w:p>
        </w:tc>
        <w:tc>
          <w:tcPr>
            <w:tcW w:w="850" w:type="dxa"/>
            <w:gridSpan w:val="2"/>
            <w:tcBorders>
              <w:top w:val="single" w:sz="4" w:space="0" w:color="auto"/>
              <w:left w:val="nil"/>
              <w:bottom w:val="single" w:sz="4" w:space="0" w:color="auto"/>
              <w:right w:val="nil"/>
            </w:tcBorders>
            <w:shd w:val="clear" w:color="000000" w:fill="EBF1DE"/>
            <w:noWrap/>
            <w:vAlign w:val="center"/>
            <w:hideMark/>
          </w:tcPr>
          <w:p w14:paraId="23B51BF0" w14:textId="637F2388"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2</w:t>
            </w:r>
            <w:r w:rsidR="00DB2B39" w:rsidRPr="00F53E25">
              <w:rPr>
                <w:rFonts w:asciiTheme="minorHAnsi" w:hAnsiTheme="minorHAnsi"/>
                <w:b/>
                <w:bCs/>
                <w:sz w:val="20"/>
                <w:szCs w:val="20"/>
              </w:rPr>
              <w:t xml:space="preserve"> </w:t>
            </w:r>
            <w:r w:rsidR="006E13F3" w:rsidRPr="00F53E25">
              <w:rPr>
                <w:rFonts w:asciiTheme="minorHAnsi" w:hAnsiTheme="minorHAnsi"/>
                <w:b/>
                <w:bCs/>
                <w:sz w:val="20"/>
                <w:szCs w:val="20"/>
              </w:rPr>
              <w:t>64</w:t>
            </w:r>
            <w:r w:rsidR="00DB2B39" w:rsidRPr="00F53E25">
              <w:rPr>
                <w:rFonts w:asciiTheme="minorHAnsi" w:hAnsiTheme="minorHAnsi"/>
                <w:b/>
                <w:bCs/>
                <w:sz w:val="20"/>
                <w:szCs w:val="20"/>
              </w:rPr>
              <w:t>8</w:t>
            </w:r>
            <w:r w:rsidRPr="00F53E25">
              <w:rPr>
                <w:rFonts w:asciiTheme="minorHAnsi" w:hAnsiTheme="minorHAnsi"/>
                <w:b/>
                <w:bCs/>
                <w:sz w:val="20"/>
                <w:szCs w:val="20"/>
              </w:rPr>
              <w:t xml:space="preserve"> </w:t>
            </w:r>
          </w:p>
        </w:tc>
        <w:tc>
          <w:tcPr>
            <w:tcW w:w="850" w:type="dxa"/>
            <w:tcBorders>
              <w:top w:val="single" w:sz="4" w:space="0" w:color="auto"/>
              <w:left w:val="nil"/>
              <w:bottom w:val="single" w:sz="4" w:space="0" w:color="auto"/>
              <w:right w:val="nil"/>
            </w:tcBorders>
            <w:shd w:val="clear" w:color="000000" w:fill="EBF1DE"/>
            <w:noWrap/>
            <w:vAlign w:val="center"/>
            <w:hideMark/>
          </w:tcPr>
          <w:p w14:paraId="1B13FF32" w14:textId="32E28B55"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2</w:t>
            </w:r>
            <w:r w:rsidR="00652E0C" w:rsidRPr="00F53E25">
              <w:rPr>
                <w:rFonts w:asciiTheme="minorHAnsi" w:hAnsiTheme="minorHAnsi"/>
                <w:b/>
                <w:bCs/>
                <w:sz w:val="20"/>
                <w:szCs w:val="20"/>
              </w:rPr>
              <w:t> </w:t>
            </w:r>
            <w:r w:rsidR="00DB2B39" w:rsidRPr="00F53E25">
              <w:rPr>
                <w:rFonts w:asciiTheme="minorHAnsi" w:hAnsiTheme="minorHAnsi"/>
                <w:b/>
                <w:bCs/>
                <w:sz w:val="20"/>
                <w:szCs w:val="20"/>
              </w:rPr>
              <w:t>073</w:t>
            </w:r>
            <w:r w:rsidRPr="00F53E25">
              <w:rPr>
                <w:rFonts w:asciiTheme="minorHAnsi" w:hAnsiTheme="minorHAnsi"/>
                <w:b/>
                <w:bCs/>
                <w:sz w:val="20"/>
                <w:szCs w:val="20"/>
              </w:rPr>
              <w:t xml:space="preserve"> </w:t>
            </w:r>
          </w:p>
        </w:tc>
        <w:tc>
          <w:tcPr>
            <w:tcW w:w="854" w:type="dxa"/>
            <w:gridSpan w:val="2"/>
            <w:tcBorders>
              <w:top w:val="single" w:sz="4" w:space="0" w:color="auto"/>
              <w:left w:val="nil"/>
              <w:bottom w:val="single" w:sz="4" w:space="0" w:color="auto"/>
              <w:right w:val="nil"/>
            </w:tcBorders>
            <w:shd w:val="clear" w:color="000000" w:fill="EBF1DE"/>
            <w:noWrap/>
            <w:vAlign w:val="center"/>
            <w:hideMark/>
          </w:tcPr>
          <w:p w14:paraId="39EACFE7" w14:textId="6E72A3BF" w:rsidR="00EB4CBD" w:rsidRPr="00F53E25" w:rsidRDefault="00EB4CBD" w:rsidP="00E84205">
            <w:pPr>
              <w:ind w:left="0" w:firstLine="0"/>
              <w:jc w:val="right"/>
              <w:rPr>
                <w:rFonts w:asciiTheme="minorHAnsi" w:eastAsia="Times New Roman" w:hAnsiTheme="minorHAnsi" w:cstheme="minorHAnsi"/>
                <w:b/>
                <w:bCs/>
                <w:sz w:val="20"/>
                <w:szCs w:val="20"/>
              </w:rPr>
            </w:pPr>
            <w:r w:rsidRPr="00F53E25">
              <w:rPr>
                <w:rFonts w:asciiTheme="minorHAnsi" w:hAnsiTheme="minorHAnsi"/>
                <w:b/>
                <w:bCs/>
                <w:sz w:val="20"/>
                <w:szCs w:val="20"/>
              </w:rPr>
              <w:t xml:space="preserve"> 4</w:t>
            </w:r>
            <w:r w:rsidR="00652E0C" w:rsidRPr="00F53E25">
              <w:rPr>
                <w:rFonts w:asciiTheme="minorHAnsi" w:hAnsiTheme="minorHAnsi"/>
                <w:b/>
                <w:bCs/>
                <w:sz w:val="20"/>
                <w:szCs w:val="20"/>
              </w:rPr>
              <w:t> </w:t>
            </w:r>
            <w:r w:rsidR="00DB2B39" w:rsidRPr="00F53E25">
              <w:rPr>
                <w:rFonts w:asciiTheme="minorHAnsi" w:hAnsiTheme="minorHAnsi"/>
                <w:b/>
                <w:bCs/>
                <w:sz w:val="20"/>
                <w:szCs w:val="20"/>
              </w:rPr>
              <w:t>721</w:t>
            </w:r>
            <w:r w:rsidRPr="00F53E25">
              <w:rPr>
                <w:rFonts w:asciiTheme="minorHAnsi" w:hAnsiTheme="minorHAnsi"/>
                <w:b/>
                <w:bCs/>
                <w:sz w:val="20"/>
                <w:szCs w:val="20"/>
              </w:rPr>
              <w:t xml:space="preserve"> </w:t>
            </w:r>
          </w:p>
        </w:tc>
      </w:tr>
    </w:tbl>
    <w:p w14:paraId="6C7E7A10" w14:textId="72A8F533" w:rsidR="003F135F" w:rsidRPr="00F53E25" w:rsidRDefault="003F135F" w:rsidP="00633DD5">
      <w:pPr>
        <w:pStyle w:val="NoSpacing"/>
        <w:rPr>
          <w:rFonts w:eastAsia="Times New Roman" w:cs="Arial"/>
          <w:b/>
          <w:bCs/>
          <w:lang w:eastAsia="en-GB"/>
        </w:rPr>
      </w:pPr>
    </w:p>
    <w:p w14:paraId="6E733272" w14:textId="0B0AB149" w:rsidR="00F96BA5" w:rsidRPr="00F53E25" w:rsidRDefault="001C5386" w:rsidP="00F96BA5">
      <w:pPr>
        <w:pStyle w:val="NoSpacing"/>
        <w:rPr>
          <w:rFonts w:eastAsia="Times New Roman" w:cs="Arial"/>
          <w:b/>
          <w:bCs/>
        </w:rPr>
      </w:pPr>
      <w:r w:rsidRPr="00F53E25">
        <w:rPr>
          <w:b/>
        </w:rPr>
        <w:t xml:space="preserve"> </w:t>
      </w:r>
      <w:r w:rsidRPr="00F53E25">
        <w:rPr>
          <w:b/>
          <w:bCs/>
        </w:rPr>
        <w:t>III.</w:t>
      </w:r>
      <w:r w:rsidRPr="00F53E25">
        <w:rPr>
          <w:b/>
          <w:bCs/>
        </w:rPr>
        <w:tab/>
        <w:t>Estado de los flujos de tesorería para el ejercicio finalizado el 31 de diciembre de 20</w:t>
      </w:r>
      <w:r w:rsidR="006E13F3" w:rsidRPr="00F53E25">
        <w:rPr>
          <w:b/>
          <w:bCs/>
        </w:rPr>
        <w:t>20</w:t>
      </w:r>
    </w:p>
    <w:p w14:paraId="5A700D26" w14:textId="70530081" w:rsidR="00F62368" w:rsidRPr="00F53E25" w:rsidRDefault="00F62368" w:rsidP="00F96BA5">
      <w:pPr>
        <w:pStyle w:val="NoSpacing"/>
        <w:rPr>
          <w:rFonts w:eastAsia="Times New Roman" w:cs="Arial"/>
          <w:b/>
          <w:bCs/>
          <w:lang w:eastAsia="en-GB"/>
        </w:rPr>
      </w:pPr>
    </w:p>
    <w:tbl>
      <w:tblPr>
        <w:tblW w:w="9207" w:type="dxa"/>
        <w:tblLook w:val="04A0" w:firstRow="1" w:lastRow="0" w:firstColumn="1" w:lastColumn="0" w:noHBand="0" w:noVBand="1"/>
      </w:tblPr>
      <w:tblGrid>
        <w:gridCol w:w="6237"/>
        <w:gridCol w:w="1219"/>
        <w:gridCol w:w="266"/>
        <w:gridCol w:w="266"/>
        <w:gridCol w:w="1219"/>
      </w:tblGrid>
      <w:tr w:rsidR="003F135F" w:rsidRPr="00F53E25" w14:paraId="42D783B2" w14:textId="77777777" w:rsidTr="005315C8">
        <w:trPr>
          <w:trHeight w:val="324"/>
        </w:trPr>
        <w:tc>
          <w:tcPr>
            <w:tcW w:w="6237" w:type="dxa"/>
            <w:tcBorders>
              <w:top w:val="nil"/>
              <w:left w:val="nil"/>
              <w:bottom w:val="single" w:sz="8" w:space="0" w:color="auto"/>
              <w:right w:val="nil"/>
            </w:tcBorders>
            <w:shd w:val="clear" w:color="000000" w:fill="FFFFFF"/>
            <w:noWrap/>
            <w:vAlign w:val="bottom"/>
            <w:hideMark/>
          </w:tcPr>
          <w:p w14:paraId="5195A11C" w14:textId="77777777" w:rsidR="003F135F" w:rsidRPr="00F53E25" w:rsidRDefault="003F135F" w:rsidP="003F135F">
            <w:pPr>
              <w:ind w:left="0" w:firstLine="0"/>
              <w:rPr>
                <w:rFonts w:eastAsia="Times New Roman" w:cs="Calibri"/>
                <w:i/>
                <w:iCs/>
                <w:sz w:val="20"/>
                <w:szCs w:val="20"/>
              </w:rPr>
            </w:pPr>
            <w:r w:rsidRPr="00F53E25">
              <w:rPr>
                <w:i/>
                <w:iCs/>
                <w:sz w:val="20"/>
                <w:szCs w:val="20"/>
              </w:rPr>
              <w:t>en miles de francos suizos</w:t>
            </w:r>
          </w:p>
        </w:tc>
        <w:tc>
          <w:tcPr>
            <w:tcW w:w="1219" w:type="dxa"/>
            <w:tcBorders>
              <w:top w:val="nil"/>
              <w:left w:val="nil"/>
              <w:bottom w:val="single" w:sz="8" w:space="0" w:color="auto"/>
              <w:right w:val="nil"/>
            </w:tcBorders>
            <w:shd w:val="clear" w:color="000000" w:fill="8DB4E2"/>
            <w:noWrap/>
            <w:vAlign w:val="center"/>
            <w:hideMark/>
          </w:tcPr>
          <w:p w14:paraId="74527F6B" w14:textId="4CBAD50E" w:rsidR="003F135F" w:rsidRPr="00F53E25" w:rsidRDefault="003F135F" w:rsidP="003F135F">
            <w:pPr>
              <w:ind w:left="0" w:firstLine="0"/>
              <w:jc w:val="center"/>
              <w:rPr>
                <w:rFonts w:eastAsia="Times New Roman" w:cs="Calibri"/>
                <w:b/>
                <w:bCs/>
              </w:rPr>
            </w:pPr>
            <w:r w:rsidRPr="00F53E25">
              <w:rPr>
                <w:b/>
                <w:bCs/>
              </w:rPr>
              <w:t>20</w:t>
            </w:r>
            <w:r w:rsidR="00DB2B39" w:rsidRPr="00F53E25">
              <w:rPr>
                <w:b/>
                <w:bCs/>
              </w:rPr>
              <w:t>20</w:t>
            </w:r>
          </w:p>
        </w:tc>
        <w:tc>
          <w:tcPr>
            <w:tcW w:w="266" w:type="dxa"/>
            <w:tcBorders>
              <w:top w:val="nil"/>
              <w:left w:val="nil"/>
              <w:bottom w:val="single" w:sz="8" w:space="0" w:color="auto"/>
              <w:right w:val="nil"/>
            </w:tcBorders>
            <w:shd w:val="clear" w:color="000000" w:fill="8DB4E2"/>
            <w:noWrap/>
            <w:vAlign w:val="center"/>
            <w:hideMark/>
          </w:tcPr>
          <w:p w14:paraId="1BEF1A51" w14:textId="77777777" w:rsidR="003F135F" w:rsidRPr="00F53E25" w:rsidRDefault="003F135F" w:rsidP="003F135F">
            <w:pPr>
              <w:ind w:left="0" w:firstLine="0"/>
              <w:jc w:val="center"/>
              <w:rPr>
                <w:rFonts w:eastAsia="Times New Roman" w:cs="Calibri"/>
                <w:b/>
                <w:bCs/>
              </w:rPr>
            </w:pPr>
            <w:r w:rsidRPr="00F53E25">
              <w:rPr>
                <w:b/>
                <w:bCs/>
              </w:rPr>
              <w:t> </w:t>
            </w:r>
          </w:p>
        </w:tc>
        <w:tc>
          <w:tcPr>
            <w:tcW w:w="266" w:type="dxa"/>
            <w:tcBorders>
              <w:top w:val="nil"/>
              <w:left w:val="nil"/>
              <w:bottom w:val="single" w:sz="8" w:space="0" w:color="auto"/>
              <w:right w:val="nil"/>
            </w:tcBorders>
            <w:shd w:val="clear" w:color="000000" w:fill="D9D9D9"/>
            <w:noWrap/>
            <w:vAlign w:val="center"/>
            <w:hideMark/>
          </w:tcPr>
          <w:p w14:paraId="3ED16560" w14:textId="77777777" w:rsidR="003F135F" w:rsidRPr="00F53E25" w:rsidRDefault="003F135F" w:rsidP="003F135F">
            <w:pPr>
              <w:ind w:left="0" w:firstLine="0"/>
              <w:jc w:val="center"/>
              <w:rPr>
                <w:rFonts w:eastAsia="Times New Roman" w:cs="Calibri"/>
                <w:b/>
                <w:bCs/>
              </w:rPr>
            </w:pPr>
            <w:r w:rsidRPr="00F53E25">
              <w:rPr>
                <w:b/>
                <w:bCs/>
              </w:rPr>
              <w:t> </w:t>
            </w:r>
          </w:p>
        </w:tc>
        <w:tc>
          <w:tcPr>
            <w:tcW w:w="1219" w:type="dxa"/>
            <w:tcBorders>
              <w:top w:val="nil"/>
              <w:left w:val="nil"/>
              <w:bottom w:val="single" w:sz="8" w:space="0" w:color="auto"/>
              <w:right w:val="nil"/>
            </w:tcBorders>
            <w:shd w:val="clear" w:color="000000" w:fill="D8E4BC"/>
            <w:noWrap/>
            <w:vAlign w:val="center"/>
            <w:hideMark/>
          </w:tcPr>
          <w:p w14:paraId="022AE673" w14:textId="0FA833C0" w:rsidR="003F135F" w:rsidRPr="00F53E25" w:rsidRDefault="003F135F" w:rsidP="003F135F">
            <w:pPr>
              <w:ind w:left="0" w:firstLine="0"/>
              <w:jc w:val="center"/>
              <w:rPr>
                <w:rFonts w:eastAsia="Times New Roman" w:cs="Calibri"/>
                <w:b/>
                <w:bCs/>
              </w:rPr>
            </w:pPr>
            <w:r w:rsidRPr="00F53E25">
              <w:rPr>
                <w:b/>
                <w:bCs/>
              </w:rPr>
              <w:t>20</w:t>
            </w:r>
            <w:r w:rsidR="00DB2B39" w:rsidRPr="00F53E25">
              <w:rPr>
                <w:b/>
                <w:bCs/>
              </w:rPr>
              <w:t>19</w:t>
            </w:r>
          </w:p>
        </w:tc>
      </w:tr>
      <w:tr w:rsidR="003F135F" w:rsidRPr="00F53E25" w14:paraId="7342E728" w14:textId="77777777" w:rsidTr="005315C8">
        <w:trPr>
          <w:trHeight w:val="288"/>
        </w:trPr>
        <w:tc>
          <w:tcPr>
            <w:tcW w:w="6237" w:type="dxa"/>
            <w:tcBorders>
              <w:top w:val="nil"/>
              <w:left w:val="nil"/>
              <w:bottom w:val="nil"/>
              <w:right w:val="nil"/>
            </w:tcBorders>
            <w:shd w:val="clear" w:color="000000" w:fill="FFFFFF"/>
            <w:noWrap/>
            <w:vAlign w:val="center"/>
            <w:hideMark/>
          </w:tcPr>
          <w:p w14:paraId="60E42D2A" w14:textId="77777777" w:rsidR="003F135F" w:rsidRPr="00F53E25" w:rsidRDefault="003F135F" w:rsidP="003F135F">
            <w:pPr>
              <w:ind w:left="0" w:firstLine="0"/>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2CA58B83" w14:textId="77777777" w:rsidR="003F135F" w:rsidRPr="00F53E25" w:rsidRDefault="003F135F" w:rsidP="003F135F">
            <w:pPr>
              <w:ind w:left="0" w:firstLine="0"/>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65E5DF9A" w14:textId="77777777" w:rsidR="003F135F" w:rsidRPr="00F53E25" w:rsidRDefault="003F135F" w:rsidP="003F135F">
            <w:pPr>
              <w:ind w:left="0" w:firstLine="0"/>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3EC00DEF" w14:textId="77777777" w:rsidR="003F135F" w:rsidRPr="00F53E25" w:rsidRDefault="003F135F" w:rsidP="003F135F">
            <w:pPr>
              <w:ind w:left="0" w:firstLine="0"/>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68E34E62" w14:textId="77777777" w:rsidR="003F135F" w:rsidRPr="00F53E25" w:rsidRDefault="003F135F" w:rsidP="003F135F">
            <w:pPr>
              <w:ind w:left="0" w:firstLine="0"/>
              <w:rPr>
                <w:rFonts w:eastAsia="Times New Roman" w:cs="Calibri"/>
              </w:rPr>
            </w:pPr>
            <w:r w:rsidRPr="00F53E25">
              <w:t> </w:t>
            </w:r>
          </w:p>
        </w:tc>
      </w:tr>
      <w:tr w:rsidR="003F135F" w:rsidRPr="00F53E25" w14:paraId="7095D1B5" w14:textId="77777777" w:rsidTr="005315C8">
        <w:trPr>
          <w:trHeight w:val="288"/>
        </w:trPr>
        <w:tc>
          <w:tcPr>
            <w:tcW w:w="6237" w:type="dxa"/>
            <w:tcBorders>
              <w:top w:val="nil"/>
              <w:left w:val="nil"/>
              <w:bottom w:val="nil"/>
              <w:right w:val="nil"/>
            </w:tcBorders>
            <w:shd w:val="clear" w:color="000000" w:fill="FFFFFF"/>
            <w:noWrap/>
            <w:vAlign w:val="center"/>
            <w:hideMark/>
          </w:tcPr>
          <w:p w14:paraId="68AAD666" w14:textId="77777777" w:rsidR="003F135F" w:rsidRPr="00F53E25" w:rsidRDefault="003F135F" w:rsidP="005315C8">
            <w:pPr>
              <w:ind w:left="0" w:firstLine="0"/>
              <w:rPr>
                <w:rFonts w:eastAsia="Times New Roman" w:cs="Calibri"/>
                <w:b/>
                <w:bCs/>
              </w:rPr>
            </w:pPr>
            <w:r w:rsidRPr="00F53E25">
              <w:rPr>
                <w:b/>
                <w:bCs/>
              </w:rPr>
              <w:t>Flujos de tesorería operativos</w:t>
            </w:r>
          </w:p>
        </w:tc>
        <w:tc>
          <w:tcPr>
            <w:tcW w:w="1219" w:type="dxa"/>
            <w:tcBorders>
              <w:top w:val="nil"/>
              <w:left w:val="nil"/>
              <w:bottom w:val="nil"/>
              <w:right w:val="nil"/>
            </w:tcBorders>
            <w:shd w:val="clear" w:color="000000" w:fill="FFFFFF"/>
            <w:noWrap/>
            <w:vAlign w:val="center"/>
            <w:hideMark/>
          </w:tcPr>
          <w:p w14:paraId="7CF00468" w14:textId="77777777" w:rsidR="003F135F" w:rsidRPr="00F53E25" w:rsidRDefault="003F135F" w:rsidP="003F135F">
            <w:pPr>
              <w:ind w:left="0" w:firstLine="0"/>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1EE60591" w14:textId="77777777" w:rsidR="003F135F" w:rsidRPr="00F53E25" w:rsidRDefault="003F135F" w:rsidP="003F135F">
            <w:pPr>
              <w:ind w:left="0" w:firstLine="0"/>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797041D9" w14:textId="77777777" w:rsidR="003F135F" w:rsidRPr="00F53E25" w:rsidRDefault="003F135F" w:rsidP="003F135F">
            <w:pPr>
              <w:ind w:left="0" w:firstLine="0"/>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629B082F" w14:textId="77777777" w:rsidR="003F135F" w:rsidRPr="00F53E25" w:rsidRDefault="003F135F" w:rsidP="003F135F">
            <w:pPr>
              <w:ind w:left="0" w:firstLine="0"/>
              <w:rPr>
                <w:rFonts w:eastAsia="Times New Roman" w:cs="Calibri"/>
              </w:rPr>
            </w:pPr>
            <w:r w:rsidRPr="00F53E25">
              <w:t> </w:t>
            </w:r>
          </w:p>
        </w:tc>
      </w:tr>
      <w:tr w:rsidR="003F135F" w:rsidRPr="00F53E25" w14:paraId="20F5E3B9" w14:textId="77777777" w:rsidTr="005315C8">
        <w:trPr>
          <w:trHeight w:val="288"/>
        </w:trPr>
        <w:tc>
          <w:tcPr>
            <w:tcW w:w="6237" w:type="dxa"/>
            <w:tcBorders>
              <w:top w:val="nil"/>
              <w:left w:val="nil"/>
              <w:bottom w:val="nil"/>
              <w:right w:val="nil"/>
            </w:tcBorders>
            <w:shd w:val="clear" w:color="000000" w:fill="FFFFFF"/>
            <w:noWrap/>
            <w:vAlign w:val="center"/>
            <w:hideMark/>
          </w:tcPr>
          <w:p w14:paraId="3E9AF667" w14:textId="77777777" w:rsidR="003F135F" w:rsidRPr="00F53E25" w:rsidRDefault="003F135F" w:rsidP="005315C8">
            <w:pPr>
              <w:ind w:left="0" w:firstLine="0"/>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59EBABC0" w14:textId="77777777" w:rsidR="003F135F" w:rsidRPr="00F53E25" w:rsidRDefault="003F135F" w:rsidP="003F135F">
            <w:pPr>
              <w:ind w:left="0" w:firstLine="0"/>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4128D8E4" w14:textId="77777777" w:rsidR="003F135F" w:rsidRPr="00F53E25" w:rsidRDefault="003F135F" w:rsidP="003F135F">
            <w:pPr>
              <w:ind w:left="0" w:firstLine="0"/>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57156B22" w14:textId="77777777" w:rsidR="003F135F" w:rsidRPr="00F53E25" w:rsidRDefault="003F135F" w:rsidP="003F135F">
            <w:pPr>
              <w:ind w:left="0" w:firstLine="0"/>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6BBBDC0E" w14:textId="77777777" w:rsidR="003F135F" w:rsidRPr="00F53E25" w:rsidRDefault="003F135F" w:rsidP="003F135F">
            <w:pPr>
              <w:ind w:left="0" w:firstLine="0"/>
              <w:rPr>
                <w:rFonts w:eastAsia="Times New Roman" w:cs="Calibri"/>
              </w:rPr>
            </w:pPr>
            <w:r w:rsidRPr="00F53E25">
              <w:t> </w:t>
            </w:r>
          </w:p>
        </w:tc>
      </w:tr>
      <w:tr w:rsidR="003F135F" w:rsidRPr="00F53E25" w14:paraId="63ADAA2E" w14:textId="77777777" w:rsidTr="005315C8">
        <w:trPr>
          <w:trHeight w:val="288"/>
        </w:trPr>
        <w:tc>
          <w:tcPr>
            <w:tcW w:w="6237" w:type="dxa"/>
            <w:tcBorders>
              <w:top w:val="nil"/>
              <w:left w:val="nil"/>
              <w:bottom w:val="nil"/>
              <w:right w:val="nil"/>
            </w:tcBorders>
            <w:shd w:val="clear" w:color="000000" w:fill="FFFFFF"/>
            <w:noWrap/>
            <w:vAlign w:val="center"/>
            <w:hideMark/>
          </w:tcPr>
          <w:p w14:paraId="142DF392" w14:textId="77777777" w:rsidR="003F135F" w:rsidRPr="00F53E25" w:rsidRDefault="003F135F" w:rsidP="005315C8">
            <w:pPr>
              <w:ind w:left="0" w:firstLine="0"/>
              <w:rPr>
                <w:rFonts w:eastAsia="Times New Roman" w:cs="Calibri"/>
                <w:b/>
                <w:bCs/>
              </w:rPr>
            </w:pPr>
            <w:r w:rsidRPr="00F53E25">
              <w:rPr>
                <w:b/>
                <w:bCs/>
              </w:rPr>
              <w:t>Excedente/(Déficit) de las operaciones</w:t>
            </w:r>
          </w:p>
        </w:tc>
        <w:tc>
          <w:tcPr>
            <w:tcW w:w="1219" w:type="dxa"/>
            <w:tcBorders>
              <w:top w:val="nil"/>
              <w:left w:val="nil"/>
              <w:bottom w:val="single" w:sz="4" w:space="0" w:color="auto"/>
              <w:right w:val="nil"/>
            </w:tcBorders>
            <w:shd w:val="clear" w:color="000000" w:fill="FFFFFF"/>
            <w:noWrap/>
            <w:vAlign w:val="center"/>
            <w:hideMark/>
          </w:tcPr>
          <w:p w14:paraId="41E5E6D4" w14:textId="71264033" w:rsidR="003F135F" w:rsidRPr="00F53E25" w:rsidRDefault="00DB2B39" w:rsidP="005315C8">
            <w:pPr>
              <w:ind w:left="0" w:firstLine="0"/>
              <w:jc w:val="right"/>
              <w:rPr>
                <w:rFonts w:eastAsia="Times New Roman" w:cs="Calibri"/>
                <w:b/>
                <w:bCs/>
              </w:rPr>
            </w:pPr>
            <w:r w:rsidRPr="00F53E25">
              <w:rPr>
                <w:b/>
                <w:bCs/>
              </w:rPr>
              <w:t>474</w:t>
            </w:r>
          </w:p>
        </w:tc>
        <w:tc>
          <w:tcPr>
            <w:tcW w:w="266" w:type="dxa"/>
            <w:tcBorders>
              <w:top w:val="nil"/>
              <w:left w:val="nil"/>
              <w:bottom w:val="single" w:sz="4" w:space="0" w:color="auto"/>
              <w:right w:val="nil"/>
            </w:tcBorders>
            <w:shd w:val="clear" w:color="000000" w:fill="FFFFFF"/>
            <w:noWrap/>
            <w:vAlign w:val="center"/>
            <w:hideMark/>
          </w:tcPr>
          <w:p w14:paraId="2BD53519"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nil"/>
              <w:left w:val="nil"/>
              <w:bottom w:val="single" w:sz="4" w:space="0" w:color="auto"/>
              <w:right w:val="nil"/>
            </w:tcBorders>
            <w:shd w:val="clear" w:color="000000" w:fill="D9D9D9"/>
            <w:noWrap/>
            <w:vAlign w:val="center"/>
            <w:hideMark/>
          </w:tcPr>
          <w:p w14:paraId="2D62D102" w14:textId="77777777" w:rsidR="003F135F" w:rsidRPr="00F53E25" w:rsidRDefault="003F135F" w:rsidP="005315C8">
            <w:pPr>
              <w:ind w:left="0" w:firstLine="0"/>
              <w:jc w:val="right"/>
              <w:rPr>
                <w:rFonts w:eastAsia="Times New Roman" w:cs="Calibri"/>
                <w:b/>
                <w:bCs/>
              </w:rPr>
            </w:pPr>
            <w:r w:rsidRPr="00F53E25">
              <w:rPr>
                <w:b/>
                <w:bCs/>
              </w:rPr>
              <w:t> </w:t>
            </w:r>
          </w:p>
        </w:tc>
        <w:tc>
          <w:tcPr>
            <w:tcW w:w="1219" w:type="dxa"/>
            <w:tcBorders>
              <w:top w:val="nil"/>
              <w:left w:val="nil"/>
              <w:bottom w:val="single" w:sz="4" w:space="0" w:color="auto"/>
              <w:right w:val="nil"/>
            </w:tcBorders>
            <w:shd w:val="clear" w:color="000000" w:fill="FFFFFF"/>
            <w:noWrap/>
            <w:vAlign w:val="center"/>
            <w:hideMark/>
          </w:tcPr>
          <w:p w14:paraId="42F8F3CC" w14:textId="41D83C4C" w:rsidR="003F135F" w:rsidRPr="00F53E25" w:rsidRDefault="00DB2B39" w:rsidP="005315C8">
            <w:pPr>
              <w:ind w:left="0" w:firstLine="0"/>
              <w:jc w:val="right"/>
              <w:rPr>
                <w:rFonts w:eastAsia="Times New Roman" w:cs="Calibri"/>
                <w:b/>
                <w:bCs/>
              </w:rPr>
            </w:pPr>
            <w:r w:rsidRPr="00F53E25">
              <w:rPr>
                <w:b/>
                <w:bCs/>
              </w:rPr>
              <w:t>392</w:t>
            </w:r>
          </w:p>
        </w:tc>
      </w:tr>
      <w:tr w:rsidR="003F135F" w:rsidRPr="00F53E25" w14:paraId="64F21FFA" w14:textId="77777777" w:rsidTr="005315C8">
        <w:trPr>
          <w:trHeight w:val="288"/>
        </w:trPr>
        <w:tc>
          <w:tcPr>
            <w:tcW w:w="6237" w:type="dxa"/>
            <w:tcBorders>
              <w:top w:val="nil"/>
              <w:left w:val="nil"/>
              <w:bottom w:val="nil"/>
              <w:right w:val="nil"/>
            </w:tcBorders>
            <w:shd w:val="clear" w:color="000000" w:fill="FFFFFF"/>
            <w:noWrap/>
            <w:vAlign w:val="center"/>
            <w:hideMark/>
          </w:tcPr>
          <w:p w14:paraId="18669515" w14:textId="77777777" w:rsidR="003F135F" w:rsidRPr="00F53E25" w:rsidRDefault="003F135F" w:rsidP="005315C8">
            <w:pPr>
              <w:ind w:left="0" w:firstLine="0"/>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32720F76"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nil"/>
              <w:left w:val="nil"/>
              <w:bottom w:val="nil"/>
              <w:right w:val="nil"/>
            </w:tcBorders>
            <w:shd w:val="clear" w:color="000000" w:fill="FFFFFF"/>
            <w:noWrap/>
            <w:vAlign w:val="center"/>
            <w:hideMark/>
          </w:tcPr>
          <w:p w14:paraId="5CC7EA9F"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nil"/>
              <w:left w:val="nil"/>
              <w:bottom w:val="nil"/>
              <w:right w:val="nil"/>
            </w:tcBorders>
            <w:shd w:val="clear" w:color="000000" w:fill="D9D9D9"/>
            <w:noWrap/>
            <w:vAlign w:val="center"/>
            <w:hideMark/>
          </w:tcPr>
          <w:p w14:paraId="7C80BDE9" w14:textId="77777777" w:rsidR="003F135F" w:rsidRPr="00F53E25" w:rsidRDefault="003F135F" w:rsidP="005315C8">
            <w:pPr>
              <w:ind w:left="0" w:firstLine="0"/>
              <w:jc w:val="right"/>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72027FEA" w14:textId="77777777" w:rsidR="003F135F" w:rsidRPr="00F53E25" w:rsidRDefault="003F135F" w:rsidP="005315C8">
            <w:pPr>
              <w:ind w:left="0" w:firstLine="0"/>
              <w:jc w:val="right"/>
              <w:rPr>
                <w:rFonts w:eastAsia="Times New Roman" w:cs="Calibri"/>
                <w:b/>
                <w:bCs/>
              </w:rPr>
            </w:pPr>
            <w:r w:rsidRPr="00F53E25">
              <w:rPr>
                <w:b/>
                <w:bCs/>
              </w:rPr>
              <w:t> </w:t>
            </w:r>
          </w:p>
        </w:tc>
      </w:tr>
      <w:tr w:rsidR="003F135F" w:rsidRPr="00F53E25" w14:paraId="72779AB8" w14:textId="77777777" w:rsidTr="005315C8">
        <w:trPr>
          <w:trHeight w:val="288"/>
        </w:trPr>
        <w:tc>
          <w:tcPr>
            <w:tcW w:w="6237" w:type="dxa"/>
            <w:tcBorders>
              <w:top w:val="nil"/>
              <w:left w:val="nil"/>
              <w:bottom w:val="nil"/>
              <w:right w:val="nil"/>
            </w:tcBorders>
            <w:shd w:val="clear" w:color="000000" w:fill="FFFFFF"/>
            <w:noWrap/>
            <w:vAlign w:val="center"/>
            <w:hideMark/>
          </w:tcPr>
          <w:p w14:paraId="37C1B048" w14:textId="5A91966F" w:rsidR="003F135F" w:rsidRPr="00F53E25" w:rsidRDefault="003F135F" w:rsidP="005315C8">
            <w:pPr>
              <w:ind w:left="0" w:firstLine="0"/>
              <w:rPr>
                <w:rFonts w:eastAsia="Times New Roman" w:cs="Calibri"/>
                <w:color w:val="000000"/>
              </w:rPr>
            </w:pPr>
            <w:r w:rsidRPr="00F53E25">
              <w:rPr>
                <w:color w:val="000000"/>
              </w:rPr>
              <w:t>Amortización del inmovilizado</w:t>
            </w:r>
          </w:p>
        </w:tc>
        <w:tc>
          <w:tcPr>
            <w:tcW w:w="1219" w:type="dxa"/>
            <w:tcBorders>
              <w:top w:val="nil"/>
              <w:left w:val="nil"/>
              <w:bottom w:val="nil"/>
              <w:right w:val="nil"/>
            </w:tcBorders>
            <w:shd w:val="clear" w:color="000000" w:fill="FFFFFF"/>
            <w:noWrap/>
            <w:vAlign w:val="center"/>
            <w:hideMark/>
          </w:tcPr>
          <w:p w14:paraId="1C949AAB" w14:textId="241F1435" w:rsidR="003F135F" w:rsidRPr="00F53E25" w:rsidRDefault="00DB2B39" w:rsidP="005315C8">
            <w:pPr>
              <w:ind w:left="0" w:firstLine="0"/>
              <w:jc w:val="right"/>
              <w:rPr>
                <w:rFonts w:eastAsia="Times New Roman" w:cs="Calibri"/>
              </w:rPr>
            </w:pPr>
            <w:r w:rsidRPr="00F53E25">
              <w:t>7</w:t>
            </w:r>
          </w:p>
        </w:tc>
        <w:tc>
          <w:tcPr>
            <w:tcW w:w="266" w:type="dxa"/>
            <w:tcBorders>
              <w:top w:val="nil"/>
              <w:left w:val="nil"/>
              <w:bottom w:val="nil"/>
              <w:right w:val="nil"/>
            </w:tcBorders>
            <w:shd w:val="clear" w:color="000000" w:fill="FFFFFF"/>
            <w:noWrap/>
            <w:vAlign w:val="center"/>
            <w:hideMark/>
          </w:tcPr>
          <w:p w14:paraId="0BFE43CD"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347BD35C"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0D6839A1" w14:textId="322EFBDA" w:rsidR="003F135F" w:rsidRPr="00F53E25" w:rsidRDefault="00DB2B39" w:rsidP="005315C8">
            <w:pPr>
              <w:ind w:left="0" w:firstLine="0"/>
              <w:jc w:val="right"/>
              <w:rPr>
                <w:rFonts w:eastAsia="Times New Roman" w:cs="Calibri"/>
              </w:rPr>
            </w:pPr>
            <w:r w:rsidRPr="00F53E25">
              <w:t>8</w:t>
            </w:r>
          </w:p>
        </w:tc>
      </w:tr>
      <w:tr w:rsidR="003F135F" w:rsidRPr="00F53E25" w14:paraId="7143E45C" w14:textId="77777777" w:rsidTr="005315C8">
        <w:trPr>
          <w:trHeight w:val="288"/>
        </w:trPr>
        <w:tc>
          <w:tcPr>
            <w:tcW w:w="6237" w:type="dxa"/>
            <w:tcBorders>
              <w:top w:val="nil"/>
              <w:left w:val="nil"/>
              <w:bottom w:val="nil"/>
              <w:right w:val="nil"/>
            </w:tcBorders>
            <w:shd w:val="clear" w:color="000000" w:fill="FFFFFF"/>
            <w:noWrap/>
            <w:vAlign w:val="center"/>
            <w:hideMark/>
          </w:tcPr>
          <w:p w14:paraId="71777EC0" w14:textId="1E450541" w:rsidR="003F135F" w:rsidRPr="00F53E25" w:rsidRDefault="003F135F" w:rsidP="005315C8">
            <w:pPr>
              <w:ind w:left="0" w:firstLine="0"/>
              <w:rPr>
                <w:rFonts w:eastAsia="Times New Roman" w:cs="Calibri"/>
              </w:rPr>
            </w:pPr>
            <w:r w:rsidRPr="00F53E25">
              <w:t>Incremento / (disminución) de las provisiones en caso de mora de las contribuciones de los miembros</w:t>
            </w:r>
          </w:p>
        </w:tc>
        <w:tc>
          <w:tcPr>
            <w:tcW w:w="1219" w:type="dxa"/>
            <w:tcBorders>
              <w:top w:val="nil"/>
              <w:left w:val="nil"/>
              <w:bottom w:val="nil"/>
              <w:right w:val="nil"/>
            </w:tcBorders>
            <w:shd w:val="clear" w:color="000000" w:fill="FFFFFF"/>
            <w:noWrap/>
            <w:vAlign w:val="center"/>
            <w:hideMark/>
          </w:tcPr>
          <w:p w14:paraId="104679F9" w14:textId="38F67C3D" w:rsidR="003F135F" w:rsidRPr="00F53E25" w:rsidRDefault="00DB2B39" w:rsidP="005315C8">
            <w:pPr>
              <w:ind w:left="0" w:firstLine="0"/>
              <w:jc w:val="right"/>
              <w:rPr>
                <w:rFonts w:eastAsia="Times New Roman" w:cs="Calibri"/>
              </w:rPr>
            </w:pPr>
            <w:r w:rsidRPr="00F53E25">
              <w:t>95</w:t>
            </w:r>
          </w:p>
        </w:tc>
        <w:tc>
          <w:tcPr>
            <w:tcW w:w="266" w:type="dxa"/>
            <w:tcBorders>
              <w:top w:val="nil"/>
              <w:left w:val="nil"/>
              <w:bottom w:val="nil"/>
              <w:right w:val="nil"/>
            </w:tcBorders>
            <w:shd w:val="clear" w:color="000000" w:fill="FFFFFF"/>
            <w:noWrap/>
            <w:vAlign w:val="center"/>
            <w:hideMark/>
          </w:tcPr>
          <w:p w14:paraId="7AC2006C"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7F972D8F"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65BBD0BE" w14:textId="7F610EB1" w:rsidR="003F135F" w:rsidRPr="00F53E25" w:rsidRDefault="00DB2B39" w:rsidP="005315C8">
            <w:pPr>
              <w:ind w:left="0" w:firstLine="0"/>
              <w:jc w:val="right"/>
              <w:rPr>
                <w:rFonts w:eastAsia="Times New Roman" w:cs="Calibri"/>
              </w:rPr>
            </w:pPr>
            <w:r w:rsidRPr="00F53E25">
              <w:t>233</w:t>
            </w:r>
          </w:p>
        </w:tc>
      </w:tr>
      <w:tr w:rsidR="003F135F" w:rsidRPr="00F53E25" w14:paraId="077971A9" w14:textId="77777777" w:rsidTr="005315C8">
        <w:trPr>
          <w:trHeight w:val="312"/>
        </w:trPr>
        <w:tc>
          <w:tcPr>
            <w:tcW w:w="6237" w:type="dxa"/>
            <w:tcBorders>
              <w:top w:val="nil"/>
              <w:left w:val="nil"/>
              <w:bottom w:val="nil"/>
              <w:right w:val="nil"/>
            </w:tcBorders>
            <w:shd w:val="clear" w:color="000000" w:fill="FFFFFF"/>
            <w:noWrap/>
            <w:vAlign w:val="center"/>
            <w:hideMark/>
          </w:tcPr>
          <w:p w14:paraId="549C875F" w14:textId="58E75BCA" w:rsidR="003F135F" w:rsidRPr="00F53E25" w:rsidRDefault="003F135F" w:rsidP="005315C8">
            <w:pPr>
              <w:ind w:left="0" w:firstLine="0"/>
              <w:rPr>
                <w:rFonts w:eastAsia="Times New Roman" w:cs="Calibri"/>
              </w:rPr>
            </w:pPr>
            <w:r w:rsidRPr="00F53E25">
              <w:t>Incremento / (disminución) del pasivo correspondiente a vacaciones y repatriación del personal</w:t>
            </w:r>
          </w:p>
        </w:tc>
        <w:tc>
          <w:tcPr>
            <w:tcW w:w="1219" w:type="dxa"/>
            <w:tcBorders>
              <w:top w:val="nil"/>
              <w:left w:val="nil"/>
              <w:bottom w:val="nil"/>
              <w:right w:val="nil"/>
            </w:tcBorders>
            <w:shd w:val="clear" w:color="000000" w:fill="FFFFFF"/>
            <w:noWrap/>
            <w:vAlign w:val="center"/>
            <w:hideMark/>
          </w:tcPr>
          <w:p w14:paraId="14021B5C" w14:textId="016C6CED" w:rsidR="003F135F" w:rsidRPr="00F53E25" w:rsidRDefault="003F135F" w:rsidP="005315C8">
            <w:pPr>
              <w:ind w:left="0" w:firstLine="0"/>
              <w:jc w:val="right"/>
              <w:rPr>
                <w:rFonts w:eastAsia="Times New Roman" w:cs="Calibri"/>
              </w:rPr>
            </w:pPr>
            <w:r w:rsidRPr="00F53E25">
              <w:t>(</w:t>
            </w:r>
            <w:r w:rsidR="00DB2B39" w:rsidRPr="00F53E25">
              <w:t>41</w:t>
            </w:r>
            <w:r w:rsidRPr="00F53E25">
              <w:t>)</w:t>
            </w:r>
          </w:p>
        </w:tc>
        <w:tc>
          <w:tcPr>
            <w:tcW w:w="266" w:type="dxa"/>
            <w:tcBorders>
              <w:top w:val="nil"/>
              <w:left w:val="nil"/>
              <w:bottom w:val="nil"/>
              <w:right w:val="nil"/>
            </w:tcBorders>
            <w:shd w:val="clear" w:color="000000" w:fill="FFFFFF"/>
            <w:noWrap/>
            <w:vAlign w:val="center"/>
            <w:hideMark/>
          </w:tcPr>
          <w:p w14:paraId="2FE055B7"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4C451749"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119B2224" w14:textId="7CED671A" w:rsidR="003F135F" w:rsidRPr="00F53E25" w:rsidRDefault="00DB2B39" w:rsidP="005315C8">
            <w:pPr>
              <w:ind w:left="0" w:firstLine="0"/>
              <w:jc w:val="right"/>
              <w:rPr>
                <w:rFonts w:eastAsia="Times New Roman" w:cs="Calibri"/>
              </w:rPr>
            </w:pPr>
            <w:r w:rsidRPr="00F53E25">
              <w:t>(17)</w:t>
            </w:r>
          </w:p>
        </w:tc>
      </w:tr>
      <w:tr w:rsidR="003F135F" w:rsidRPr="00F53E25" w14:paraId="7A8F9642" w14:textId="77777777" w:rsidTr="005315C8">
        <w:trPr>
          <w:trHeight w:val="312"/>
        </w:trPr>
        <w:tc>
          <w:tcPr>
            <w:tcW w:w="6237" w:type="dxa"/>
            <w:tcBorders>
              <w:top w:val="nil"/>
              <w:left w:val="nil"/>
              <w:bottom w:val="nil"/>
              <w:right w:val="nil"/>
            </w:tcBorders>
            <w:shd w:val="clear" w:color="000000" w:fill="FFFFFF"/>
            <w:noWrap/>
            <w:vAlign w:val="center"/>
            <w:hideMark/>
          </w:tcPr>
          <w:p w14:paraId="590A04CF" w14:textId="3EB931AB" w:rsidR="003F135F" w:rsidRPr="00F53E25" w:rsidRDefault="003F135F" w:rsidP="005315C8">
            <w:pPr>
              <w:ind w:left="0" w:firstLine="0"/>
              <w:rPr>
                <w:rFonts w:eastAsia="Times New Roman" w:cs="Calibri"/>
              </w:rPr>
            </w:pPr>
            <w:r w:rsidRPr="00F53E25">
              <w:t>Incremento / (disminución) de la provisión para la separación del personal</w:t>
            </w:r>
          </w:p>
        </w:tc>
        <w:tc>
          <w:tcPr>
            <w:tcW w:w="1219" w:type="dxa"/>
            <w:tcBorders>
              <w:top w:val="nil"/>
              <w:left w:val="nil"/>
              <w:bottom w:val="nil"/>
              <w:right w:val="nil"/>
            </w:tcBorders>
            <w:shd w:val="clear" w:color="000000" w:fill="FFFFFF"/>
            <w:noWrap/>
            <w:vAlign w:val="center"/>
            <w:hideMark/>
          </w:tcPr>
          <w:p w14:paraId="70675DAD" w14:textId="6EF9CB2F" w:rsidR="003F135F" w:rsidRPr="00F53E25" w:rsidRDefault="00DB2B39" w:rsidP="005315C8">
            <w:pPr>
              <w:ind w:left="0" w:firstLine="0"/>
              <w:jc w:val="right"/>
              <w:rPr>
                <w:rFonts w:eastAsia="Times New Roman" w:cs="Calibri"/>
              </w:rPr>
            </w:pPr>
            <w:r w:rsidRPr="00F53E25">
              <w:t>18</w:t>
            </w:r>
          </w:p>
        </w:tc>
        <w:tc>
          <w:tcPr>
            <w:tcW w:w="266" w:type="dxa"/>
            <w:tcBorders>
              <w:top w:val="nil"/>
              <w:left w:val="nil"/>
              <w:bottom w:val="nil"/>
              <w:right w:val="nil"/>
            </w:tcBorders>
            <w:shd w:val="clear" w:color="000000" w:fill="FFFFFF"/>
            <w:noWrap/>
            <w:vAlign w:val="center"/>
            <w:hideMark/>
          </w:tcPr>
          <w:p w14:paraId="4881A5F1"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30C7DE33"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7EA42796" w14:textId="555A417B" w:rsidR="003F135F" w:rsidRPr="00F53E25" w:rsidRDefault="00DB2B39" w:rsidP="005315C8">
            <w:pPr>
              <w:ind w:left="0" w:firstLine="0"/>
              <w:jc w:val="right"/>
              <w:rPr>
                <w:rFonts w:eastAsia="Times New Roman" w:cs="Calibri"/>
              </w:rPr>
            </w:pPr>
            <w:r w:rsidRPr="00F53E25">
              <w:t>7</w:t>
            </w:r>
          </w:p>
        </w:tc>
      </w:tr>
      <w:tr w:rsidR="003F135F" w:rsidRPr="00F53E25" w14:paraId="7DDC0B2D" w14:textId="77777777" w:rsidTr="005315C8">
        <w:trPr>
          <w:trHeight w:val="312"/>
        </w:trPr>
        <w:tc>
          <w:tcPr>
            <w:tcW w:w="6237" w:type="dxa"/>
            <w:tcBorders>
              <w:top w:val="nil"/>
              <w:left w:val="nil"/>
              <w:bottom w:val="nil"/>
              <w:right w:val="nil"/>
            </w:tcBorders>
            <w:shd w:val="clear" w:color="000000" w:fill="FFFFFF"/>
            <w:noWrap/>
            <w:vAlign w:val="center"/>
            <w:hideMark/>
          </w:tcPr>
          <w:p w14:paraId="71844A0D" w14:textId="61B34C6E" w:rsidR="003F135F" w:rsidRPr="00F53E25" w:rsidRDefault="003F135F" w:rsidP="005315C8">
            <w:pPr>
              <w:ind w:left="0" w:firstLine="0"/>
              <w:rPr>
                <w:rFonts w:eastAsia="Times New Roman" w:cs="Calibri"/>
              </w:rPr>
            </w:pPr>
            <w:r w:rsidRPr="00F53E25">
              <w:t>(Incremento) / disminución de las contribuciones de los miembros por cobrar (importe bruto)</w:t>
            </w:r>
          </w:p>
        </w:tc>
        <w:tc>
          <w:tcPr>
            <w:tcW w:w="1219" w:type="dxa"/>
            <w:tcBorders>
              <w:top w:val="nil"/>
              <w:left w:val="nil"/>
              <w:bottom w:val="nil"/>
              <w:right w:val="nil"/>
            </w:tcBorders>
            <w:shd w:val="clear" w:color="000000" w:fill="FFFFFF"/>
            <w:noWrap/>
            <w:vAlign w:val="center"/>
            <w:hideMark/>
          </w:tcPr>
          <w:p w14:paraId="7B19BA19" w14:textId="7DA18AB3" w:rsidR="003F135F" w:rsidRPr="00F53E25" w:rsidRDefault="003F135F" w:rsidP="005315C8">
            <w:pPr>
              <w:ind w:left="0" w:firstLine="0"/>
              <w:jc w:val="right"/>
              <w:rPr>
                <w:rFonts w:eastAsia="Times New Roman" w:cs="Calibri"/>
              </w:rPr>
            </w:pPr>
            <w:r w:rsidRPr="00F53E25">
              <w:t>(1</w:t>
            </w:r>
            <w:r w:rsidR="00652E0C" w:rsidRPr="00F53E25">
              <w:t> </w:t>
            </w:r>
            <w:r w:rsidR="00DB2B39" w:rsidRPr="00F53E25">
              <w:t>590</w:t>
            </w:r>
            <w:r w:rsidRPr="00F53E25">
              <w:t>)</w:t>
            </w:r>
          </w:p>
        </w:tc>
        <w:tc>
          <w:tcPr>
            <w:tcW w:w="266" w:type="dxa"/>
            <w:tcBorders>
              <w:top w:val="nil"/>
              <w:left w:val="nil"/>
              <w:bottom w:val="nil"/>
              <w:right w:val="nil"/>
            </w:tcBorders>
            <w:shd w:val="clear" w:color="000000" w:fill="FFFFFF"/>
            <w:noWrap/>
            <w:vAlign w:val="center"/>
            <w:hideMark/>
          </w:tcPr>
          <w:p w14:paraId="25054825"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56AD7F0B"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58EFAD66" w14:textId="2E4384F4" w:rsidR="003F135F" w:rsidRPr="00F53E25" w:rsidRDefault="00DB2B39" w:rsidP="005315C8">
            <w:pPr>
              <w:ind w:left="0" w:firstLine="0"/>
              <w:jc w:val="right"/>
              <w:rPr>
                <w:rFonts w:eastAsia="Times New Roman" w:cs="Calibri"/>
              </w:rPr>
            </w:pPr>
            <w:r w:rsidRPr="00F53E25">
              <w:t>(1 764)</w:t>
            </w:r>
          </w:p>
        </w:tc>
      </w:tr>
      <w:tr w:rsidR="003F135F" w:rsidRPr="00F53E25" w14:paraId="3208D023" w14:textId="77777777" w:rsidTr="005315C8">
        <w:trPr>
          <w:trHeight w:val="288"/>
        </w:trPr>
        <w:tc>
          <w:tcPr>
            <w:tcW w:w="6237" w:type="dxa"/>
            <w:tcBorders>
              <w:top w:val="nil"/>
              <w:left w:val="nil"/>
              <w:bottom w:val="nil"/>
              <w:right w:val="nil"/>
            </w:tcBorders>
            <w:shd w:val="clear" w:color="000000" w:fill="FFFFFF"/>
            <w:noWrap/>
            <w:vAlign w:val="center"/>
            <w:hideMark/>
          </w:tcPr>
          <w:p w14:paraId="7DA5B77A" w14:textId="3687F399" w:rsidR="003F135F" w:rsidRPr="00F53E25" w:rsidRDefault="003F135F" w:rsidP="005315C8">
            <w:pPr>
              <w:ind w:left="0" w:firstLine="0"/>
              <w:rPr>
                <w:rFonts w:eastAsia="Times New Roman" w:cs="Calibri"/>
              </w:rPr>
            </w:pPr>
            <w:r w:rsidRPr="00F53E25">
              <w:t>Incremento / (disminución) de las asociaciones de colaboración acreedoras</w:t>
            </w:r>
          </w:p>
        </w:tc>
        <w:tc>
          <w:tcPr>
            <w:tcW w:w="1219" w:type="dxa"/>
            <w:tcBorders>
              <w:top w:val="nil"/>
              <w:left w:val="nil"/>
              <w:bottom w:val="nil"/>
              <w:right w:val="nil"/>
            </w:tcBorders>
            <w:shd w:val="clear" w:color="000000" w:fill="FFFFFF"/>
            <w:noWrap/>
            <w:vAlign w:val="center"/>
            <w:hideMark/>
          </w:tcPr>
          <w:p w14:paraId="597CC685" w14:textId="38A92731" w:rsidR="003F135F" w:rsidRPr="00F53E25" w:rsidRDefault="00DB2B39" w:rsidP="005315C8">
            <w:pPr>
              <w:ind w:left="0" w:firstLine="0"/>
              <w:jc w:val="right"/>
              <w:rPr>
                <w:rFonts w:eastAsia="Times New Roman" w:cs="Calibri"/>
              </w:rPr>
            </w:pPr>
            <w:r w:rsidRPr="00F53E25">
              <w:t>(307)</w:t>
            </w:r>
          </w:p>
        </w:tc>
        <w:tc>
          <w:tcPr>
            <w:tcW w:w="266" w:type="dxa"/>
            <w:tcBorders>
              <w:top w:val="nil"/>
              <w:left w:val="nil"/>
              <w:bottom w:val="nil"/>
              <w:right w:val="nil"/>
            </w:tcBorders>
            <w:shd w:val="clear" w:color="000000" w:fill="FFFFFF"/>
            <w:noWrap/>
            <w:vAlign w:val="center"/>
            <w:hideMark/>
          </w:tcPr>
          <w:p w14:paraId="22D8B841"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6F216A94"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7002AF37" w14:textId="25ECDC34" w:rsidR="003F135F" w:rsidRPr="00F53E25" w:rsidRDefault="00DB2B39" w:rsidP="005315C8">
            <w:pPr>
              <w:ind w:left="0" w:firstLine="0"/>
              <w:jc w:val="right"/>
              <w:rPr>
                <w:rFonts w:eastAsia="Times New Roman" w:cs="Calibri"/>
              </w:rPr>
            </w:pPr>
            <w:r w:rsidRPr="00F53E25">
              <w:t>29</w:t>
            </w:r>
          </w:p>
        </w:tc>
      </w:tr>
      <w:tr w:rsidR="003F135F" w:rsidRPr="00F53E25" w14:paraId="67546694" w14:textId="77777777" w:rsidTr="005315C8">
        <w:trPr>
          <w:trHeight w:val="288"/>
        </w:trPr>
        <w:tc>
          <w:tcPr>
            <w:tcW w:w="6237" w:type="dxa"/>
            <w:tcBorders>
              <w:top w:val="nil"/>
              <w:left w:val="nil"/>
              <w:bottom w:val="nil"/>
              <w:right w:val="nil"/>
            </w:tcBorders>
            <w:shd w:val="clear" w:color="000000" w:fill="FFFFFF"/>
            <w:noWrap/>
            <w:vAlign w:val="center"/>
            <w:hideMark/>
          </w:tcPr>
          <w:p w14:paraId="17258BA2" w14:textId="1899140B" w:rsidR="003F135F" w:rsidRPr="00F53E25" w:rsidRDefault="003F135F" w:rsidP="005315C8">
            <w:pPr>
              <w:ind w:left="0" w:firstLine="0"/>
              <w:rPr>
                <w:rFonts w:eastAsia="Times New Roman" w:cs="Calibri"/>
              </w:rPr>
            </w:pPr>
            <w:r w:rsidRPr="00F53E25">
              <w:t>(Incremento) / disminución de otras cuentas por cobrar</w:t>
            </w:r>
          </w:p>
        </w:tc>
        <w:tc>
          <w:tcPr>
            <w:tcW w:w="1219" w:type="dxa"/>
            <w:tcBorders>
              <w:top w:val="nil"/>
              <w:left w:val="nil"/>
              <w:bottom w:val="nil"/>
              <w:right w:val="nil"/>
            </w:tcBorders>
            <w:shd w:val="clear" w:color="000000" w:fill="FFFFFF"/>
            <w:noWrap/>
            <w:vAlign w:val="center"/>
            <w:hideMark/>
          </w:tcPr>
          <w:p w14:paraId="166A932E" w14:textId="72EA73F3" w:rsidR="003F135F" w:rsidRPr="00F53E25" w:rsidRDefault="00DB2B39" w:rsidP="005315C8">
            <w:pPr>
              <w:ind w:left="0" w:firstLine="0"/>
              <w:jc w:val="right"/>
              <w:rPr>
                <w:rFonts w:eastAsia="Times New Roman" w:cs="Calibri"/>
              </w:rPr>
            </w:pPr>
            <w:r w:rsidRPr="00F53E25">
              <w:t>57</w:t>
            </w:r>
          </w:p>
        </w:tc>
        <w:tc>
          <w:tcPr>
            <w:tcW w:w="266" w:type="dxa"/>
            <w:tcBorders>
              <w:top w:val="nil"/>
              <w:left w:val="nil"/>
              <w:bottom w:val="nil"/>
              <w:right w:val="nil"/>
            </w:tcBorders>
            <w:shd w:val="clear" w:color="000000" w:fill="FFFFFF"/>
            <w:noWrap/>
            <w:vAlign w:val="center"/>
            <w:hideMark/>
          </w:tcPr>
          <w:p w14:paraId="119D1093"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5191881B"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571F5032" w14:textId="5C009870" w:rsidR="003F135F" w:rsidRPr="00F53E25" w:rsidRDefault="00DB2B39" w:rsidP="005315C8">
            <w:pPr>
              <w:ind w:left="0" w:firstLine="0"/>
              <w:jc w:val="right"/>
              <w:rPr>
                <w:rFonts w:eastAsia="Times New Roman" w:cs="Calibri"/>
              </w:rPr>
            </w:pPr>
            <w:r w:rsidRPr="00F53E25">
              <w:t>(88)</w:t>
            </w:r>
          </w:p>
        </w:tc>
      </w:tr>
      <w:tr w:rsidR="003F135F" w:rsidRPr="00F53E25" w14:paraId="098CBD6A" w14:textId="77777777" w:rsidTr="005315C8">
        <w:trPr>
          <w:trHeight w:val="288"/>
        </w:trPr>
        <w:tc>
          <w:tcPr>
            <w:tcW w:w="6237" w:type="dxa"/>
            <w:tcBorders>
              <w:top w:val="nil"/>
              <w:left w:val="nil"/>
              <w:bottom w:val="nil"/>
              <w:right w:val="nil"/>
            </w:tcBorders>
            <w:shd w:val="clear" w:color="000000" w:fill="FFFFFF"/>
            <w:noWrap/>
            <w:vAlign w:val="center"/>
            <w:hideMark/>
          </w:tcPr>
          <w:p w14:paraId="2BF0227E" w14:textId="43A2AD35" w:rsidR="003F135F" w:rsidRPr="00F53E25" w:rsidRDefault="003F135F" w:rsidP="005315C8">
            <w:pPr>
              <w:ind w:left="0" w:firstLine="0"/>
              <w:rPr>
                <w:rFonts w:eastAsia="Times New Roman" w:cs="Calibri"/>
              </w:rPr>
            </w:pPr>
            <w:r w:rsidRPr="00F53E25">
              <w:t>Incremento / (disminución) de las contribuciones de los miembros pagadas con antelación</w:t>
            </w:r>
          </w:p>
        </w:tc>
        <w:tc>
          <w:tcPr>
            <w:tcW w:w="1219" w:type="dxa"/>
            <w:tcBorders>
              <w:top w:val="nil"/>
              <w:left w:val="nil"/>
              <w:bottom w:val="nil"/>
              <w:right w:val="nil"/>
            </w:tcBorders>
            <w:shd w:val="clear" w:color="000000" w:fill="FFFFFF"/>
            <w:noWrap/>
            <w:vAlign w:val="center"/>
            <w:hideMark/>
          </w:tcPr>
          <w:p w14:paraId="366816BD" w14:textId="36395529" w:rsidR="003F135F" w:rsidRPr="00F53E25" w:rsidRDefault="00DB2B39" w:rsidP="005315C8">
            <w:pPr>
              <w:ind w:left="0" w:firstLine="0"/>
              <w:jc w:val="right"/>
              <w:rPr>
                <w:rFonts w:eastAsia="Times New Roman" w:cs="Calibri"/>
              </w:rPr>
            </w:pPr>
            <w:r w:rsidRPr="00F53E25">
              <w:t>(183)</w:t>
            </w:r>
          </w:p>
        </w:tc>
        <w:tc>
          <w:tcPr>
            <w:tcW w:w="266" w:type="dxa"/>
            <w:tcBorders>
              <w:top w:val="nil"/>
              <w:left w:val="nil"/>
              <w:bottom w:val="nil"/>
              <w:right w:val="nil"/>
            </w:tcBorders>
            <w:shd w:val="clear" w:color="000000" w:fill="FFFFFF"/>
            <w:noWrap/>
            <w:vAlign w:val="center"/>
            <w:hideMark/>
          </w:tcPr>
          <w:p w14:paraId="523D17C4"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0CC5A282"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14F802B6" w14:textId="2956626B" w:rsidR="003F135F" w:rsidRPr="00F53E25" w:rsidRDefault="00DB2B39" w:rsidP="005315C8">
            <w:pPr>
              <w:ind w:left="0" w:firstLine="0"/>
              <w:jc w:val="right"/>
              <w:rPr>
                <w:rFonts w:eastAsia="Times New Roman" w:cs="Calibri"/>
              </w:rPr>
            </w:pPr>
            <w:r w:rsidRPr="00F53E25">
              <w:t>10</w:t>
            </w:r>
          </w:p>
        </w:tc>
      </w:tr>
      <w:tr w:rsidR="003F135F" w:rsidRPr="00F53E25" w14:paraId="56126666" w14:textId="77777777" w:rsidTr="005315C8">
        <w:trPr>
          <w:trHeight w:val="288"/>
        </w:trPr>
        <w:tc>
          <w:tcPr>
            <w:tcW w:w="6237" w:type="dxa"/>
            <w:tcBorders>
              <w:top w:val="nil"/>
              <w:left w:val="nil"/>
              <w:bottom w:val="nil"/>
              <w:right w:val="nil"/>
            </w:tcBorders>
            <w:shd w:val="clear" w:color="000000" w:fill="FFFFFF"/>
            <w:noWrap/>
            <w:vAlign w:val="center"/>
            <w:hideMark/>
          </w:tcPr>
          <w:p w14:paraId="774B2EF2" w14:textId="52DBA178" w:rsidR="003F135F" w:rsidRPr="00F53E25" w:rsidRDefault="003F135F" w:rsidP="005315C8">
            <w:pPr>
              <w:ind w:left="0" w:firstLine="0"/>
              <w:rPr>
                <w:rFonts w:eastAsia="Times New Roman" w:cs="Calibri"/>
              </w:rPr>
            </w:pPr>
            <w:r w:rsidRPr="00F53E25">
              <w:t>Incremento / (disminución) de las cuentas por pagar y pasivos acumulados</w:t>
            </w:r>
          </w:p>
        </w:tc>
        <w:tc>
          <w:tcPr>
            <w:tcW w:w="1219" w:type="dxa"/>
            <w:tcBorders>
              <w:top w:val="nil"/>
              <w:left w:val="nil"/>
              <w:bottom w:val="nil"/>
              <w:right w:val="nil"/>
            </w:tcBorders>
            <w:shd w:val="clear" w:color="000000" w:fill="FFFFFF"/>
            <w:noWrap/>
            <w:vAlign w:val="center"/>
            <w:hideMark/>
          </w:tcPr>
          <w:p w14:paraId="1A54F6E6" w14:textId="294EB4E9" w:rsidR="003F135F" w:rsidRPr="00F53E25" w:rsidRDefault="00DB2B39" w:rsidP="005315C8">
            <w:pPr>
              <w:ind w:left="0" w:firstLine="0"/>
              <w:jc w:val="right"/>
              <w:rPr>
                <w:rFonts w:eastAsia="Times New Roman" w:cs="Calibri"/>
              </w:rPr>
            </w:pPr>
            <w:r w:rsidRPr="00F53E25">
              <w:t>54</w:t>
            </w:r>
          </w:p>
        </w:tc>
        <w:tc>
          <w:tcPr>
            <w:tcW w:w="266" w:type="dxa"/>
            <w:tcBorders>
              <w:top w:val="nil"/>
              <w:left w:val="nil"/>
              <w:bottom w:val="nil"/>
              <w:right w:val="nil"/>
            </w:tcBorders>
            <w:shd w:val="clear" w:color="000000" w:fill="FFFFFF"/>
            <w:noWrap/>
            <w:vAlign w:val="center"/>
            <w:hideMark/>
          </w:tcPr>
          <w:p w14:paraId="48908822"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6BC34B21"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3E261578" w14:textId="5030354C" w:rsidR="003F135F" w:rsidRPr="00F53E25" w:rsidRDefault="00DB2B39" w:rsidP="005315C8">
            <w:pPr>
              <w:ind w:left="0" w:firstLine="0"/>
              <w:jc w:val="right"/>
              <w:rPr>
                <w:rFonts w:eastAsia="Times New Roman" w:cs="Calibri"/>
              </w:rPr>
            </w:pPr>
            <w:r w:rsidRPr="00F53E25">
              <w:t>(129)</w:t>
            </w:r>
          </w:p>
        </w:tc>
      </w:tr>
      <w:tr w:rsidR="003F135F" w:rsidRPr="00F53E25" w14:paraId="2C2D337F" w14:textId="77777777" w:rsidTr="005315C8">
        <w:trPr>
          <w:trHeight w:val="288"/>
        </w:trPr>
        <w:tc>
          <w:tcPr>
            <w:tcW w:w="6237" w:type="dxa"/>
            <w:tcBorders>
              <w:top w:val="nil"/>
              <w:left w:val="nil"/>
              <w:bottom w:val="nil"/>
              <w:right w:val="nil"/>
            </w:tcBorders>
            <w:shd w:val="clear" w:color="000000" w:fill="FFFFFF"/>
            <w:noWrap/>
            <w:vAlign w:val="center"/>
            <w:hideMark/>
          </w:tcPr>
          <w:p w14:paraId="1AEF2DAD" w14:textId="4ECE62EB" w:rsidR="003F135F" w:rsidRPr="00F53E25" w:rsidRDefault="003F135F" w:rsidP="005315C8">
            <w:pPr>
              <w:ind w:left="0" w:firstLine="0"/>
              <w:rPr>
                <w:rFonts w:eastAsia="Times New Roman" w:cs="Calibri"/>
              </w:rPr>
            </w:pPr>
            <w:r w:rsidRPr="00F53E25">
              <w:t>Incremento / (disminución) de las cargas sociales por pagar</w:t>
            </w:r>
          </w:p>
        </w:tc>
        <w:tc>
          <w:tcPr>
            <w:tcW w:w="1219" w:type="dxa"/>
            <w:tcBorders>
              <w:top w:val="nil"/>
              <w:left w:val="nil"/>
              <w:bottom w:val="nil"/>
              <w:right w:val="nil"/>
            </w:tcBorders>
            <w:shd w:val="clear" w:color="000000" w:fill="FFFFFF"/>
            <w:noWrap/>
            <w:vAlign w:val="center"/>
            <w:hideMark/>
          </w:tcPr>
          <w:p w14:paraId="64B7F86C" w14:textId="4F153DD4" w:rsidR="003F135F" w:rsidRPr="00F53E25" w:rsidRDefault="00DB2B39" w:rsidP="005315C8">
            <w:pPr>
              <w:ind w:left="0" w:firstLine="0"/>
              <w:jc w:val="right"/>
              <w:rPr>
                <w:rFonts w:eastAsia="Times New Roman" w:cs="Calibri"/>
              </w:rPr>
            </w:pPr>
            <w:r w:rsidRPr="00F53E25">
              <w:t>47</w:t>
            </w:r>
          </w:p>
        </w:tc>
        <w:tc>
          <w:tcPr>
            <w:tcW w:w="266" w:type="dxa"/>
            <w:tcBorders>
              <w:top w:val="nil"/>
              <w:left w:val="nil"/>
              <w:bottom w:val="nil"/>
              <w:right w:val="nil"/>
            </w:tcBorders>
            <w:shd w:val="clear" w:color="000000" w:fill="FFFFFF"/>
            <w:noWrap/>
            <w:vAlign w:val="center"/>
            <w:hideMark/>
          </w:tcPr>
          <w:p w14:paraId="00C23861"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35F99F5B"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44632FCA" w14:textId="56990D86" w:rsidR="003F135F" w:rsidRPr="00F53E25" w:rsidRDefault="00DB2B39" w:rsidP="005315C8">
            <w:pPr>
              <w:ind w:left="0" w:firstLine="0"/>
              <w:jc w:val="right"/>
              <w:rPr>
                <w:rFonts w:eastAsia="Times New Roman" w:cs="Calibri"/>
              </w:rPr>
            </w:pPr>
            <w:r w:rsidRPr="00F53E25">
              <w:t>(44)</w:t>
            </w:r>
          </w:p>
        </w:tc>
      </w:tr>
      <w:tr w:rsidR="003F135F" w:rsidRPr="00F53E25" w14:paraId="65090270" w14:textId="77777777" w:rsidTr="005315C8">
        <w:trPr>
          <w:trHeight w:val="288"/>
        </w:trPr>
        <w:tc>
          <w:tcPr>
            <w:tcW w:w="6237" w:type="dxa"/>
            <w:tcBorders>
              <w:top w:val="nil"/>
              <w:left w:val="nil"/>
              <w:bottom w:val="nil"/>
              <w:right w:val="nil"/>
            </w:tcBorders>
            <w:shd w:val="clear" w:color="000000" w:fill="FFFFFF"/>
            <w:noWrap/>
            <w:vAlign w:val="center"/>
            <w:hideMark/>
          </w:tcPr>
          <w:p w14:paraId="5D1D642E" w14:textId="77777777" w:rsidR="003F135F" w:rsidRPr="00F53E25" w:rsidRDefault="003F135F" w:rsidP="005315C8">
            <w:pPr>
              <w:ind w:left="0" w:firstLine="0"/>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4B9918C5"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4B581229"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0CBD8B82"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5E9DC12F" w14:textId="77777777" w:rsidR="003F135F" w:rsidRPr="00F53E25" w:rsidRDefault="003F135F" w:rsidP="005315C8">
            <w:pPr>
              <w:ind w:left="0" w:firstLine="0"/>
              <w:jc w:val="right"/>
              <w:rPr>
                <w:rFonts w:eastAsia="Times New Roman" w:cs="Calibri"/>
              </w:rPr>
            </w:pPr>
            <w:r w:rsidRPr="00F53E25">
              <w:t> </w:t>
            </w:r>
          </w:p>
        </w:tc>
      </w:tr>
      <w:tr w:rsidR="003F135F" w:rsidRPr="00F53E25" w14:paraId="2F6B58EC" w14:textId="77777777" w:rsidTr="005315C8">
        <w:trPr>
          <w:trHeight w:val="492"/>
        </w:trPr>
        <w:tc>
          <w:tcPr>
            <w:tcW w:w="6237" w:type="dxa"/>
            <w:tcBorders>
              <w:top w:val="nil"/>
              <w:left w:val="nil"/>
              <w:bottom w:val="nil"/>
              <w:right w:val="nil"/>
            </w:tcBorders>
            <w:shd w:val="clear" w:color="000000" w:fill="FFFFFF"/>
            <w:noWrap/>
            <w:vAlign w:val="center"/>
            <w:hideMark/>
          </w:tcPr>
          <w:p w14:paraId="25AF5EC7" w14:textId="03286B6F" w:rsidR="003F135F" w:rsidRPr="00F53E25" w:rsidRDefault="009154DA" w:rsidP="005315C8">
            <w:pPr>
              <w:ind w:left="0" w:firstLine="0"/>
              <w:rPr>
                <w:rFonts w:eastAsia="Times New Roman" w:cs="Calibri"/>
                <w:b/>
                <w:bCs/>
              </w:rPr>
            </w:pPr>
            <w:r w:rsidRPr="00F53E25">
              <w:rPr>
                <w:b/>
                <w:bCs/>
              </w:rPr>
              <w:t>Total,</w:t>
            </w:r>
            <w:r w:rsidR="003F135F" w:rsidRPr="00F53E25">
              <w:rPr>
                <w:b/>
                <w:bCs/>
              </w:rPr>
              <w:t xml:space="preserve"> </w:t>
            </w:r>
            <w:r w:rsidR="006D4727" w:rsidRPr="00F53E25">
              <w:rPr>
                <w:b/>
                <w:bCs/>
              </w:rPr>
              <w:t>F</w:t>
            </w:r>
            <w:r w:rsidR="003F135F" w:rsidRPr="00F53E25">
              <w:rPr>
                <w:b/>
                <w:bCs/>
              </w:rPr>
              <w:t>lujos de tesorería operativos</w:t>
            </w:r>
          </w:p>
        </w:tc>
        <w:tc>
          <w:tcPr>
            <w:tcW w:w="1219" w:type="dxa"/>
            <w:tcBorders>
              <w:top w:val="single" w:sz="4" w:space="0" w:color="auto"/>
              <w:left w:val="nil"/>
              <w:bottom w:val="nil"/>
              <w:right w:val="nil"/>
            </w:tcBorders>
            <w:shd w:val="clear" w:color="000000" w:fill="FFFFFF"/>
            <w:noWrap/>
            <w:vAlign w:val="center"/>
            <w:hideMark/>
          </w:tcPr>
          <w:p w14:paraId="53D3B4D6" w14:textId="386C82C2" w:rsidR="003F135F" w:rsidRPr="00F53E25" w:rsidRDefault="00DB2B39" w:rsidP="005315C8">
            <w:pPr>
              <w:ind w:left="0" w:firstLine="0"/>
              <w:jc w:val="right"/>
              <w:rPr>
                <w:rFonts w:eastAsia="Times New Roman" w:cs="Calibri"/>
                <w:b/>
                <w:bCs/>
              </w:rPr>
            </w:pPr>
            <w:r w:rsidRPr="00F53E25">
              <w:rPr>
                <w:b/>
                <w:bCs/>
              </w:rPr>
              <w:t>1 811</w:t>
            </w:r>
          </w:p>
        </w:tc>
        <w:tc>
          <w:tcPr>
            <w:tcW w:w="266" w:type="dxa"/>
            <w:tcBorders>
              <w:top w:val="single" w:sz="4" w:space="0" w:color="auto"/>
              <w:left w:val="nil"/>
              <w:bottom w:val="nil"/>
              <w:right w:val="nil"/>
            </w:tcBorders>
            <w:shd w:val="clear" w:color="000000" w:fill="FFFFFF"/>
            <w:noWrap/>
            <w:vAlign w:val="center"/>
            <w:hideMark/>
          </w:tcPr>
          <w:p w14:paraId="7BCD4696"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single" w:sz="4" w:space="0" w:color="auto"/>
              <w:left w:val="nil"/>
              <w:bottom w:val="nil"/>
              <w:right w:val="nil"/>
            </w:tcBorders>
            <w:shd w:val="clear" w:color="000000" w:fill="D9D9D9"/>
            <w:noWrap/>
            <w:vAlign w:val="center"/>
            <w:hideMark/>
          </w:tcPr>
          <w:p w14:paraId="0D19E853" w14:textId="77777777" w:rsidR="003F135F" w:rsidRPr="00F53E25" w:rsidRDefault="003F135F" w:rsidP="005315C8">
            <w:pPr>
              <w:ind w:left="0" w:firstLine="0"/>
              <w:jc w:val="right"/>
              <w:rPr>
                <w:rFonts w:eastAsia="Times New Roman" w:cs="Calibri"/>
                <w:b/>
                <w:bCs/>
              </w:rPr>
            </w:pPr>
            <w:r w:rsidRPr="00F53E25">
              <w:rPr>
                <w:b/>
                <w:bCs/>
              </w:rPr>
              <w:t> </w:t>
            </w:r>
          </w:p>
        </w:tc>
        <w:tc>
          <w:tcPr>
            <w:tcW w:w="1219" w:type="dxa"/>
            <w:tcBorders>
              <w:top w:val="single" w:sz="4" w:space="0" w:color="auto"/>
              <w:left w:val="nil"/>
              <w:bottom w:val="nil"/>
              <w:right w:val="nil"/>
            </w:tcBorders>
            <w:shd w:val="clear" w:color="000000" w:fill="FFFFFF"/>
            <w:noWrap/>
            <w:vAlign w:val="center"/>
            <w:hideMark/>
          </w:tcPr>
          <w:p w14:paraId="35F26722" w14:textId="0D8548C5" w:rsidR="003F135F" w:rsidRPr="00F53E25" w:rsidRDefault="00DB2B39" w:rsidP="005315C8">
            <w:pPr>
              <w:ind w:left="0" w:firstLine="0"/>
              <w:jc w:val="right"/>
              <w:rPr>
                <w:rFonts w:eastAsia="Times New Roman" w:cs="Calibri"/>
                <w:b/>
                <w:bCs/>
              </w:rPr>
            </w:pPr>
            <w:r w:rsidRPr="00F53E25">
              <w:rPr>
                <w:b/>
                <w:bCs/>
              </w:rPr>
              <w:t>(1 363)</w:t>
            </w:r>
          </w:p>
        </w:tc>
      </w:tr>
      <w:tr w:rsidR="003F135F" w:rsidRPr="00F53E25" w14:paraId="17DD293B" w14:textId="77777777" w:rsidTr="005315C8">
        <w:trPr>
          <w:trHeight w:val="288"/>
        </w:trPr>
        <w:tc>
          <w:tcPr>
            <w:tcW w:w="6237" w:type="dxa"/>
            <w:tcBorders>
              <w:top w:val="nil"/>
              <w:left w:val="nil"/>
              <w:bottom w:val="nil"/>
              <w:right w:val="nil"/>
            </w:tcBorders>
            <w:shd w:val="clear" w:color="000000" w:fill="FFFFFF"/>
            <w:noWrap/>
            <w:vAlign w:val="center"/>
            <w:hideMark/>
          </w:tcPr>
          <w:p w14:paraId="443F19D8" w14:textId="77777777" w:rsidR="003F135F" w:rsidRPr="00F53E25" w:rsidRDefault="003F135F" w:rsidP="005315C8">
            <w:pPr>
              <w:ind w:left="0" w:firstLine="0"/>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43CF5194"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03797A01"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664A26AB"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45BA51B3" w14:textId="77777777" w:rsidR="003F135F" w:rsidRPr="00F53E25" w:rsidRDefault="003F135F" w:rsidP="005315C8">
            <w:pPr>
              <w:ind w:left="0" w:firstLine="0"/>
              <w:jc w:val="right"/>
              <w:rPr>
                <w:rFonts w:eastAsia="Times New Roman" w:cs="Calibri"/>
              </w:rPr>
            </w:pPr>
            <w:r w:rsidRPr="00F53E25">
              <w:t> </w:t>
            </w:r>
          </w:p>
        </w:tc>
      </w:tr>
      <w:tr w:rsidR="003F135F" w:rsidRPr="00F53E25" w14:paraId="0D62CE98" w14:textId="77777777" w:rsidTr="005315C8">
        <w:trPr>
          <w:trHeight w:val="288"/>
        </w:trPr>
        <w:tc>
          <w:tcPr>
            <w:tcW w:w="6237" w:type="dxa"/>
            <w:tcBorders>
              <w:top w:val="nil"/>
              <w:left w:val="nil"/>
              <w:bottom w:val="nil"/>
              <w:right w:val="nil"/>
            </w:tcBorders>
            <w:shd w:val="clear" w:color="000000" w:fill="FFFFFF"/>
            <w:noWrap/>
            <w:vAlign w:val="center"/>
            <w:hideMark/>
          </w:tcPr>
          <w:p w14:paraId="1A8370D0" w14:textId="77777777" w:rsidR="003F135F" w:rsidRPr="00F53E25" w:rsidRDefault="003F135F" w:rsidP="005315C8">
            <w:pPr>
              <w:ind w:left="0" w:firstLine="0"/>
              <w:rPr>
                <w:rFonts w:eastAsia="Times New Roman" w:cs="Calibri"/>
                <w:b/>
                <w:bCs/>
              </w:rPr>
            </w:pPr>
            <w:r w:rsidRPr="00F53E25">
              <w:rPr>
                <w:b/>
                <w:bCs/>
              </w:rPr>
              <w:t>Flujos de tesorería de las actividades de inversión</w:t>
            </w:r>
          </w:p>
        </w:tc>
        <w:tc>
          <w:tcPr>
            <w:tcW w:w="1219" w:type="dxa"/>
            <w:tcBorders>
              <w:top w:val="nil"/>
              <w:left w:val="nil"/>
              <w:bottom w:val="nil"/>
              <w:right w:val="nil"/>
            </w:tcBorders>
            <w:shd w:val="clear" w:color="000000" w:fill="FFFFFF"/>
            <w:noWrap/>
            <w:vAlign w:val="center"/>
            <w:hideMark/>
          </w:tcPr>
          <w:p w14:paraId="3F8B8DC4"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67CA6680"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5ACB3595"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40D38359" w14:textId="77777777" w:rsidR="003F135F" w:rsidRPr="00F53E25" w:rsidRDefault="003F135F" w:rsidP="005315C8">
            <w:pPr>
              <w:ind w:left="0" w:firstLine="0"/>
              <w:jc w:val="right"/>
              <w:rPr>
                <w:rFonts w:eastAsia="Times New Roman" w:cs="Calibri"/>
              </w:rPr>
            </w:pPr>
            <w:r w:rsidRPr="00F53E25">
              <w:t> </w:t>
            </w:r>
          </w:p>
        </w:tc>
      </w:tr>
      <w:tr w:rsidR="003F135F" w:rsidRPr="00F53E25" w14:paraId="5F2E8AE8" w14:textId="77777777" w:rsidTr="005315C8">
        <w:trPr>
          <w:trHeight w:val="312"/>
        </w:trPr>
        <w:tc>
          <w:tcPr>
            <w:tcW w:w="6237" w:type="dxa"/>
            <w:tcBorders>
              <w:top w:val="nil"/>
              <w:left w:val="nil"/>
              <w:bottom w:val="nil"/>
              <w:right w:val="nil"/>
            </w:tcBorders>
            <w:shd w:val="clear" w:color="000000" w:fill="FFFFFF"/>
            <w:noWrap/>
            <w:vAlign w:val="center"/>
            <w:hideMark/>
          </w:tcPr>
          <w:p w14:paraId="229C47DB" w14:textId="5EB5A18B" w:rsidR="003F135F" w:rsidRPr="00F53E25" w:rsidRDefault="003F135F" w:rsidP="005315C8">
            <w:pPr>
              <w:ind w:left="0" w:firstLine="0"/>
              <w:rPr>
                <w:rFonts w:eastAsia="Times New Roman" w:cs="Calibri"/>
                <w:color w:val="000000"/>
              </w:rPr>
            </w:pPr>
            <w:r w:rsidRPr="00F53E25">
              <w:rPr>
                <w:color w:val="000000"/>
              </w:rPr>
              <w:t>Adquisición de activos fijos</w:t>
            </w:r>
          </w:p>
        </w:tc>
        <w:tc>
          <w:tcPr>
            <w:tcW w:w="1219" w:type="dxa"/>
            <w:tcBorders>
              <w:top w:val="nil"/>
              <w:left w:val="nil"/>
              <w:bottom w:val="nil"/>
              <w:right w:val="nil"/>
            </w:tcBorders>
            <w:shd w:val="clear" w:color="000000" w:fill="FFFFFF"/>
            <w:noWrap/>
            <w:vAlign w:val="center"/>
            <w:hideMark/>
          </w:tcPr>
          <w:p w14:paraId="607D5D98" w14:textId="7C8B736E" w:rsidR="003F135F" w:rsidRPr="00F53E25" w:rsidRDefault="003F135F" w:rsidP="005315C8">
            <w:pPr>
              <w:ind w:left="0" w:firstLine="0"/>
              <w:jc w:val="right"/>
              <w:rPr>
                <w:rFonts w:eastAsia="Times New Roman" w:cs="Calibri"/>
              </w:rPr>
            </w:pPr>
            <w:r w:rsidRPr="00F53E25">
              <w:t>(</w:t>
            </w:r>
            <w:r w:rsidR="00DB2B39" w:rsidRPr="00F53E25">
              <w:t>4</w:t>
            </w:r>
            <w:r w:rsidRPr="00F53E25">
              <w:t>)</w:t>
            </w:r>
          </w:p>
        </w:tc>
        <w:tc>
          <w:tcPr>
            <w:tcW w:w="266" w:type="dxa"/>
            <w:tcBorders>
              <w:top w:val="nil"/>
              <w:left w:val="nil"/>
              <w:bottom w:val="nil"/>
              <w:right w:val="nil"/>
            </w:tcBorders>
            <w:shd w:val="clear" w:color="000000" w:fill="FFFFFF"/>
            <w:noWrap/>
            <w:vAlign w:val="center"/>
            <w:hideMark/>
          </w:tcPr>
          <w:p w14:paraId="447C8389"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77CEE726"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5786887A" w14:textId="5C063D13" w:rsidR="003F135F" w:rsidRPr="00F53E25" w:rsidRDefault="003F135F" w:rsidP="005315C8">
            <w:pPr>
              <w:ind w:left="0" w:firstLine="0"/>
              <w:jc w:val="right"/>
              <w:rPr>
                <w:rFonts w:eastAsia="Times New Roman" w:cs="Calibri"/>
              </w:rPr>
            </w:pPr>
            <w:r w:rsidRPr="00F53E25">
              <w:t>(</w:t>
            </w:r>
            <w:r w:rsidR="00DB2B39" w:rsidRPr="00F53E25">
              <w:t>6</w:t>
            </w:r>
            <w:r w:rsidRPr="00F53E25">
              <w:t>)</w:t>
            </w:r>
          </w:p>
        </w:tc>
      </w:tr>
      <w:tr w:rsidR="003F135F" w:rsidRPr="00F53E25" w14:paraId="09BF37AC" w14:textId="77777777" w:rsidTr="005315C8">
        <w:trPr>
          <w:trHeight w:val="288"/>
        </w:trPr>
        <w:tc>
          <w:tcPr>
            <w:tcW w:w="6237" w:type="dxa"/>
            <w:tcBorders>
              <w:top w:val="nil"/>
              <w:left w:val="nil"/>
              <w:bottom w:val="nil"/>
              <w:right w:val="nil"/>
            </w:tcBorders>
            <w:shd w:val="clear" w:color="000000" w:fill="FFFFFF"/>
            <w:noWrap/>
            <w:vAlign w:val="center"/>
            <w:hideMark/>
          </w:tcPr>
          <w:p w14:paraId="1793D747" w14:textId="77777777" w:rsidR="003F135F" w:rsidRPr="00F53E25" w:rsidRDefault="003F135F" w:rsidP="005315C8">
            <w:pPr>
              <w:ind w:left="0" w:firstLine="0"/>
              <w:rPr>
                <w:rFonts w:eastAsia="Times New Roman" w:cs="Calibri"/>
              </w:rPr>
            </w:pPr>
            <w:r w:rsidRPr="00F53E25">
              <w:t> </w:t>
            </w:r>
          </w:p>
        </w:tc>
        <w:tc>
          <w:tcPr>
            <w:tcW w:w="1219" w:type="dxa"/>
            <w:tcBorders>
              <w:top w:val="nil"/>
              <w:left w:val="nil"/>
              <w:bottom w:val="nil"/>
              <w:right w:val="nil"/>
            </w:tcBorders>
            <w:shd w:val="clear" w:color="auto" w:fill="auto"/>
            <w:noWrap/>
            <w:vAlign w:val="center"/>
            <w:hideMark/>
          </w:tcPr>
          <w:p w14:paraId="1DB66EF9" w14:textId="77777777" w:rsidR="003F135F" w:rsidRPr="00F53E25" w:rsidRDefault="003F135F" w:rsidP="005315C8">
            <w:pPr>
              <w:ind w:left="0" w:firstLine="0"/>
              <w:jc w:val="right"/>
              <w:rPr>
                <w:rFonts w:eastAsia="Times New Roman" w:cs="Calibri"/>
                <w:lang w:eastAsia="en-GB"/>
              </w:rPr>
            </w:pPr>
          </w:p>
        </w:tc>
        <w:tc>
          <w:tcPr>
            <w:tcW w:w="266" w:type="dxa"/>
            <w:tcBorders>
              <w:top w:val="nil"/>
              <w:left w:val="nil"/>
              <w:bottom w:val="nil"/>
              <w:right w:val="nil"/>
            </w:tcBorders>
            <w:shd w:val="clear" w:color="000000" w:fill="FFFFFF"/>
            <w:noWrap/>
            <w:vAlign w:val="center"/>
            <w:hideMark/>
          </w:tcPr>
          <w:p w14:paraId="7ACC186D"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02D202DD"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4DC4961A" w14:textId="77777777" w:rsidR="003F135F" w:rsidRPr="00F53E25" w:rsidRDefault="003F135F" w:rsidP="005315C8">
            <w:pPr>
              <w:ind w:left="0" w:firstLine="0"/>
              <w:jc w:val="right"/>
              <w:rPr>
                <w:rFonts w:eastAsia="Times New Roman" w:cs="Calibri"/>
              </w:rPr>
            </w:pPr>
            <w:r w:rsidRPr="00F53E25">
              <w:t> </w:t>
            </w:r>
          </w:p>
        </w:tc>
      </w:tr>
      <w:tr w:rsidR="003F135F" w:rsidRPr="00F53E25" w14:paraId="47C64511" w14:textId="77777777" w:rsidTr="005315C8">
        <w:trPr>
          <w:trHeight w:val="480"/>
        </w:trPr>
        <w:tc>
          <w:tcPr>
            <w:tcW w:w="6237" w:type="dxa"/>
            <w:tcBorders>
              <w:top w:val="nil"/>
              <w:left w:val="nil"/>
              <w:bottom w:val="nil"/>
              <w:right w:val="nil"/>
            </w:tcBorders>
            <w:shd w:val="clear" w:color="000000" w:fill="FFFFFF"/>
            <w:noWrap/>
            <w:vAlign w:val="center"/>
            <w:hideMark/>
          </w:tcPr>
          <w:p w14:paraId="07C76BE6" w14:textId="787C9381" w:rsidR="003F135F" w:rsidRPr="00F53E25" w:rsidRDefault="003F135F" w:rsidP="005315C8">
            <w:pPr>
              <w:ind w:left="0" w:firstLine="0"/>
              <w:rPr>
                <w:rFonts w:eastAsia="Times New Roman" w:cs="Calibri"/>
                <w:b/>
                <w:bCs/>
              </w:rPr>
            </w:pPr>
            <w:r w:rsidRPr="00F53E25">
              <w:rPr>
                <w:b/>
                <w:bCs/>
              </w:rPr>
              <w:t>Total</w:t>
            </w:r>
            <w:r w:rsidR="009154DA" w:rsidRPr="00F53E25">
              <w:rPr>
                <w:b/>
                <w:bCs/>
              </w:rPr>
              <w:t>,</w:t>
            </w:r>
            <w:r w:rsidRPr="00F53E25">
              <w:rPr>
                <w:b/>
                <w:bCs/>
              </w:rPr>
              <w:t xml:space="preserve"> </w:t>
            </w:r>
            <w:r w:rsidR="006D4727" w:rsidRPr="00F53E25">
              <w:rPr>
                <w:b/>
                <w:bCs/>
              </w:rPr>
              <w:t>F</w:t>
            </w:r>
            <w:r w:rsidRPr="00F53E25">
              <w:rPr>
                <w:b/>
                <w:bCs/>
              </w:rPr>
              <w:t>lujos de tesorería de las actividades de inversión</w:t>
            </w:r>
          </w:p>
        </w:tc>
        <w:tc>
          <w:tcPr>
            <w:tcW w:w="1219" w:type="dxa"/>
            <w:tcBorders>
              <w:top w:val="single" w:sz="4" w:space="0" w:color="auto"/>
              <w:left w:val="nil"/>
              <w:bottom w:val="nil"/>
              <w:right w:val="nil"/>
            </w:tcBorders>
            <w:shd w:val="clear" w:color="000000" w:fill="FFFFFF"/>
            <w:noWrap/>
            <w:vAlign w:val="center"/>
            <w:hideMark/>
          </w:tcPr>
          <w:p w14:paraId="088302B1" w14:textId="258ADEED" w:rsidR="003F135F" w:rsidRPr="00F53E25" w:rsidRDefault="003F135F" w:rsidP="005315C8">
            <w:pPr>
              <w:ind w:left="0" w:firstLine="0"/>
              <w:jc w:val="right"/>
              <w:rPr>
                <w:rFonts w:eastAsia="Times New Roman" w:cs="Calibri"/>
                <w:b/>
                <w:bCs/>
              </w:rPr>
            </w:pPr>
            <w:r w:rsidRPr="00F53E25">
              <w:rPr>
                <w:b/>
                <w:bCs/>
              </w:rPr>
              <w:t>(</w:t>
            </w:r>
            <w:r w:rsidR="00DB2B39" w:rsidRPr="00F53E25">
              <w:rPr>
                <w:b/>
                <w:bCs/>
              </w:rPr>
              <w:t>4</w:t>
            </w:r>
            <w:r w:rsidRPr="00F53E25">
              <w:rPr>
                <w:b/>
                <w:bCs/>
              </w:rPr>
              <w:t>)</w:t>
            </w:r>
          </w:p>
        </w:tc>
        <w:tc>
          <w:tcPr>
            <w:tcW w:w="266" w:type="dxa"/>
            <w:tcBorders>
              <w:top w:val="single" w:sz="4" w:space="0" w:color="auto"/>
              <w:left w:val="nil"/>
              <w:bottom w:val="nil"/>
              <w:right w:val="nil"/>
            </w:tcBorders>
            <w:shd w:val="clear" w:color="000000" w:fill="FFFFFF"/>
            <w:noWrap/>
            <w:vAlign w:val="center"/>
            <w:hideMark/>
          </w:tcPr>
          <w:p w14:paraId="250AF341"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single" w:sz="4" w:space="0" w:color="auto"/>
              <w:left w:val="nil"/>
              <w:bottom w:val="nil"/>
              <w:right w:val="nil"/>
            </w:tcBorders>
            <w:shd w:val="clear" w:color="000000" w:fill="D9D9D9"/>
            <w:noWrap/>
            <w:vAlign w:val="center"/>
            <w:hideMark/>
          </w:tcPr>
          <w:p w14:paraId="3022CBDF" w14:textId="77777777" w:rsidR="003F135F" w:rsidRPr="00F53E25" w:rsidRDefault="003F135F" w:rsidP="005315C8">
            <w:pPr>
              <w:ind w:left="0" w:firstLine="0"/>
              <w:jc w:val="right"/>
              <w:rPr>
                <w:rFonts w:eastAsia="Times New Roman" w:cs="Calibri"/>
                <w:b/>
                <w:bCs/>
              </w:rPr>
            </w:pPr>
            <w:r w:rsidRPr="00F53E25">
              <w:rPr>
                <w:b/>
                <w:bCs/>
              </w:rPr>
              <w:t> </w:t>
            </w:r>
          </w:p>
        </w:tc>
        <w:tc>
          <w:tcPr>
            <w:tcW w:w="1219" w:type="dxa"/>
            <w:tcBorders>
              <w:top w:val="single" w:sz="4" w:space="0" w:color="auto"/>
              <w:left w:val="nil"/>
              <w:bottom w:val="nil"/>
              <w:right w:val="nil"/>
            </w:tcBorders>
            <w:shd w:val="clear" w:color="000000" w:fill="FFFFFF"/>
            <w:noWrap/>
            <w:vAlign w:val="center"/>
            <w:hideMark/>
          </w:tcPr>
          <w:p w14:paraId="41F3F9E3" w14:textId="4A14B027" w:rsidR="003F135F" w:rsidRPr="00F53E25" w:rsidRDefault="003F135F" w:rsidP="005315C8">
            <w:pPr>
              <w:ind w:left="0" w:firstLine="0"/>
              <w:jc w:val="right"/>
              <w:rPr>
                <w:rFonts w:eastAsia="Times New Roman" w:cs="Calibri"/>
                <w:b/>
                <w:bCs/>
              </w:rPr>
            </w:pPr>
            <w:r w:rsidRPr="00F53E25">
              <w:rPr>
                <w:b/>
                <w:bCs/>
              </w:rPr>
              <w:t>(</w:t>
            </w:r>
            <w:r w:rsidR="00DB2B39" w:rsidRPr="00F53E25">
              <w:rPr>
                <w:b/>
                <w:bCs/>
              </w:rPr>
              <w:t>6</w:t>
            </w:r>
            <w:r w:rsidRPr="00F53E25">
              <w:rPr>
                <w:b/>
                <w:bCs/>
              </w:rPr>
              <w:t>)</w:t>
            </w:r>
          </w:p>
        </w:tc>
      </w:tr>
      <w:tr w:rsidR="003F135F" w:rsidRPr="00F53E25" w14:paraId="448CC172" w14:textId="77777777" w:rsidTr="005315C8">
        <w:trPr>
          <w:trHeight w:val="288"/>
        </w:trPr>
        <w:tc>
          <w:tcPr>
            <w:tcW w:w="6237" w:type="dxa"/>
            <w:tcBorders>
              <w:top w:val="nil"/>
              <w:left w:val="nil"/>
              <w:bottom w:val="nil"/>
              <w:right w:val="nil"/>
            </w:tcBorders>
            <w:shd w:val="clear" w:color="000000" w:fill="FFFFFF"/>
            <w:noWrap/>
            <w:vAlign w:val="center"/>
            <w:hideMark/>
          </w:tcPr>
          <w:p w14:paraId="1C548195" w14:textId="77777777" w:rsidR="003F135F" w:rsidRPr="00F53E25" w:rsidRDefault="003F135F" w:rsidP="005315C8">
            <w:pPr>
              <w:ind w:left="0" w:firstLine="0"/>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70FBF3E3"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0CC8459A"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7A22DB6A"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264873BC" w14:textId="77777777" w:rsidR="003F135F" w:rsidRPr="00F53E25" w:rsidRDefault="003F135F" w:rsidP="005315C8">
            <w:pPr>
              <w:ind w:left="0" w:firstLine="0"/>
              <w:jc w:val="right"/>
              <w:rPr>
                <w:rFonts w:eastAsia="Times New Roman" w:cs="Calibri"/>
              </w:rPr>
            </w:pPr>
            <w:r w:rsidRPr="00F53E25">
              <w:t> </w:t>
            </w:r>
          </w:p>
        </w:tc>
      </w:tr>
      <w:tr w:rsidR="003F135F" w:rsidRPr="00F53E25" w14:paraId="3AC96892" w14:textId="77777777" w:rsidTr="005315C8">
        <w:trPr>
          <w:trHeight w:val="480"/>
        </w:trPr>
        <w:tc>
          <w:tcPr>
            <w:tcW w:w="6237" w:type="dxa"/>
            <w:tcBorders>
              <w:top w:val="nil"/>
              <w:left w:val="nil"/>
              <w:bottom w:val="nil"/>
              <w:right w:val="nil"/>
            </w:tcBorders>
            <w:shd w:val="clear" w:color="000000" w:fill="FFFFFF"/>
            <w:noWrap/>
            <w:vAlign w:val="center"/>
            <w:hideMark/>
          </w:tcPr>
          <w:p w14:paraId="66E61D8F" w14:textId="77777777" w:rsidR="003F135F" w:rsidRPr="00F53E25" w:rsidRDefault="003F135F" w:rsidP="005315C8">
            <w:pPr>
              <w:ind w:left="0" w:firstLine="0"/>
              <w:rPr>
                <w:rFonts w:eastAsia="Times New Roman" w:cs="Calibri"/>
                <w:b/>
                <w:bCs/>
              </w:rPr>
            </w:pPr>
            <w:r w:rsidRPr="00F53E25">
              <w:rPr>
                <w:b/>
                <w:bCs/>
              </w:rPr>
              <w:t>Entradas/(salidas) de tesorería netas</w:t>
            </w:r>
          </w:p>
        </w:tc>
        <w:tc>
          <w:tcPr>
            <w:tcW w:w="1219" w:type="dxa"/>
            <w:tcBorders>
              <w:top w:val="single" w:sz="4" w:space="0" w:color="auto"/>
              <w:left w:val="nil"/>
              <w:bottom w:val="single" w:sz="4" w:space="0" w:color="auto"/>
              <w:right w:val="nil"/>
            </w:tcBorders>
            <w:shd w:val="clear" w:color="auto" w:fill="auto"/>
            <w:noWrap/>
            <w:vAlign w:val="center"/>
            <w:hideMark/>
          </w:tcPr>
          <w:p w14:paraId="2508ED6A" w14:textId="2F34869E" w:rsidR="003F135F" w:rsidRPr="00F53E25" w:rsidRDefault="00DB2B39" w:rsidP="005315C8">
            <w:pPr>
              <w:ind w:left="0" w:firstLine="0"/>
              <w:jc w:val="right"/>
              <w:rPr>
                <w:rFonts w:eastAsia="Times New Roman" w:cs="Calibri"/>
                <w:b/>
                <w:bCs/>
              </w:rPr>
            </w:pPr>
            <w:r w:rsidRPr="00F53E25">
              <w:rPr>
                <w:b/>
                <w:bCs/>
              </w:rPr>
              <w:t>1 807</w:t>
            </w:r>
          </w:p>
        </w:tc>
        <w:tc>
          <w:tcPr>
            <w:tcW w:w="266" w:type="dxa"/>
            <w:tcBorders>
              <w:top w:val="single" w:sz="4" w:space="0" w:color="auto"/>
              <w:left w:val="nil"/>
              <w:bottom w:val="single" w:sz="4" w:space="0" w:color="auto"/>
              <w:right w:val="nil"/>
            </w:tcBorders>
            <w:shd w:val="clear" w:color="000000" w:fill="FFFFFF"/>
            <w:noWrap/>
            <w:vAlign w:val="center"/>
            <w:hideMark/>
          </w:tcPr>
          <w:p w14:paraId="6288B5A6"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31AD9FB6" w14:textId="77777777" w:rsidR="003F135F" w:rsidRPr="00F53E25" w:rsidRDefault="003F135F" w:rsidP="005315C8">
            <w:pPr>
              <w:ind w:left="0" w:firstLine="0"/>
              <w:jc w:val="right"/>
              <w:rPr>
                <w:rFonts w:eastAsia="Times New Roman" w:cs="Calibri"/>
                <w:b/>
                <w:bCs/>
              </w:rPr>
            </w:pPr>
            <w:r w:rsidRPr="00F53E25">
              <w:rPr>
                <w:b/>
                <w:bCs/>
              </w:rPr>
              <w:t> </w:t>
            </w:r>
          </w:p>
        </w:tc>
        <w:tc>
          <w:tcPr>
            <w:tcW w:w="1219" w:type="dxa"/>
            <w:tcBorders>
              <w:top w:val="single" w:sz="4" w:space="0" w:color="auto"/>
              <w:left w:val="nil"/>
              <w:bottom w:val="single" w:sz="4" w:space="0" w:color="auto"/>
              <w:right w:val="nil"/>
            </w:tcBorders>
            <w:shd w:val="clear" w:color="000000" w:fill="FFFFFF"/>
            <w:noWrap/>
            <w:vAlign w:val="center"/>
            <w:hideMark/>
          </w:tcPr>
          <w:p w14:paraId="6CD4CD00" w14:textId="64C113C9" w:rsidR="003F135F" w:rsidRPr="00F53E25" w:rsidRDefault="00DB2B39" w:rsidP="005315C8">
            <w:pPr>
              <w:ind w:left="0" w:firstLine="0"/>
              <w:jc w:val="right"/>
              <w:rPr>
                <w:rFonts w:eastAsia="Times New Roman" w:cs="Calibri"/>
                <w:b/>
                <w:bCs/>
              </w:rPr>
            </w:pPr>
            <w:r w:rsidRPr="00F53E25">
              <w:rPr>
                <w:b/>
                <w:bCs/>
              </w:rPr>
              <w:t>(1 369)</w:t>
            </w:r>
          </w:p>
        </w:tc>
      </w:tr>
      <w:tr w:rsidR="003F135F" w:rsidRPr="00F53E25" w14:paraId="1065BEF2" w14:textId="77777777" w:rsidTr="005315C8">
        <w:trPr>
          <w:trHeight w:val="288"/>
        </w:trPr>
        <w:tc>
          <w:tcPr>
            <w:tcW w:w="6237" w:type="dxa"/>
            <w:tcBorders>
              <w:top w:val="nil"/>
              <w:left w:val="nil"/>
              <w:bottom w:val="nil"/>
              <w:right w:val="nil"/>
            </w:tcBorders>
            <w:shd w:val="clear" w:color="000000" w:fill="FFFFFF"/>
            <w:noWrap/>
            <w:vAlign w:val="center"/>
            <w:hideMark/>
          </w:tcPr>
          <w:p w14:paraId="5BBD6E59" w14:textId="77777777" w:rsidR="003F135F" w:rsidRPr="00F53E25" w:rsidRDefault="003F135F" w:rsidP="005315C8">
            <w:pPr>
              <w:ind w:left="0" w:firstLine="0"/>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0D3F26D9"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4AC2167E"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12E5BA71"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122E2C4A" w14:textId="77777777" w:rsidR="003F135F" w:rsidRPr="00F53E25" w:rsidRDefault="003F135F" w:rsidP="005315C8">
            <w:pPr>
              <w:ind w:left="0" w:firstLine="0"/>
              <w:jc w:val="right"/>
              <w:rPr>
                <w:rFonts w:eastAsia="Times New Roman" w:cs="Calibri"/>
              </w:rPr>
            </w:pPr>
            <w:r w:rsidRPr="00F53E25">
              <w:t> </w:t>
            </w:r>
          </w:p>
        </w:tc>
      </w:tr>
      <w:tr w:rsidR="003F135F" w:rsidRPr="00F53E25" w14:paraId="29FA41D5" w14:textId="77777777" w:rsidTr="005315C8">
        <w:trPr>
          <w:trHeight w:val="288"/>
        </w:trPr>
        <w:tc>
          <w:tcPr>
            <w:tcW w:w="6237" w:type="dxa"/>
            <w:tcBorders>
              <w:top w:val="nil"/>
              <w:left w:val="nil"/>
              <w:bottom w:val="nil"/>
              <w:right w:val="nil"/>
            </w:tcBorders>
            <w:shd w:val="clear" w:color="000000" w:fill="FFFFFF"/>
            <w:noWrap/>
            <w:vAlign w:val="center"/>
            <w:hideMark/>
          </w:tcPr>
          <w:p w14:paraId="2A5AF5E6" w14:textId="77777777" w:rsidR="003F135F" w:rsidRPr="00F53E25" w:rsidRDefault="003F135F" w:rsidP="005315C8">
            <w:pPr>
              <w:ind w:left="0" w:firstLine="0"/>
              <w:rPr>
                <w:rFonts w:eastAsia="Times New Roman" w:cs="Calibri"/>
              </w:rPr>
            </w:pPr>
            <w:r w:rsidRPr="00F53E25">
              <w:t>Efectivo y depósitos a corto plazo al principio del ejercicio</w:t>
            </w:r>
          </w:p>
        </w:tc>
        <w:tc>
          <w:tcPr>
            <w:tcW w:w="1219" w:type="dxa"/>
            <w:tcBorders>
              <w:top w:val="nil"/>
              <w:left w:val="nil"/>
              <w:bottom w:val="nil"/>
              <w:right w:val="nil"/>
            </w:tcBorders>
            <w:shd w:val="clear" w:color="000000" w:fill="FFFFFF"/>
            <w:noWrap/>
            <w:vAlign w:val="center"/>
            <w:hideMark/>
          </w:tcPr>
          <w:p w14:paraId="7E9843EE" w14:textId="38E8BC2F" w:rsidR="003F135F" w:rsidRPr="00F53E25" w:rsidRDefault="00DB2B39" w:rsidP="005315C8">
            <w:pPr>
              <w:ind w:left="0" w:firstLine="0"/>
              <w:jc w:val="right"/>
              <w:rPr>
                <w:rFonts w:eastAsia="Times New Roman" w:cs="Calibri"/>
              </w:rPr>
            </w:pPr>
            <w:r w:rsidRPr="00F53E25">
              <w:t>3 827</w:t>
            </w:r>
          </w:p>
        </w:tc>
        <w:tc>
          <w:tcPr>
            <w:tcW w:w="266" w:type="dxa"/>
            <w:tcBorders>
              <w:top w:val="nil"/>
              <w:left w:val="nil"/>
              <w:bottom w:val="nil"/>
              <w:right w:val="nil"/>
            </w:tcBorders>
            <w:shd w:val="clear" w:color="000000" w:fill="FFFFFF"/>
            <w:noWrap/>
            <w:vAlign w:val="center"/>
            <w:hideMark/>
          </w:tcPr>
          <w:p w14:paraId="3272F753"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7F86FA59"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783F284E" w14:textId="1DDF33FF" w:rsidR="003F135F" w:rsidRPr="00F53E25" w:rsidRDefault="00DB2B39" w:rsidP="005315C8">
            <w:pPr>
              <w:ind w:left="0" w:firstLine="0"/>
              <w:jc w:val="right"/>
              <w:rPr>
                <w:rFonts w:eastAsia="Times New Roman" w:cs="Calibri"/>
              </w:rPr>
            </w:pPr>
            <w:r w:rsidRPr="00F53E25">
              <w:t>5 196</w:t>
            </w:r>
          </w:p>
        </w:tc>
      </w:tr>
      <w:tr w:rsidR="003F135F" w:rsidRPr="00F53E25" w14:paraId="396D4D0E" w14:textId="77777777" w:rsidTr="005315C8">
        <w:trPr>
          <w:trHeight w:val="288"/>
        </w:trPr>
        <w:tc>
          <w:tcPr>
            <w:tcW w:w="6237" w:type="dxa"/>
            <w:tcBorders>
              <w:top w:val="nil"/>
              <w:left w:val="nil"/>
              <w:bottom w:val="nil"/>
              <w:right w:val="nil"/>
            </w:tcBorders>
            <w:shd w:val="clear" w:color="000000" w:fill="FFFFFF"/>
            <w:noWrap/>
            <w:vAlign w:val="center"/>
            <w:hideMark/>
          </w:tcPr>
          <w:p w14:paraId="00BC47D9" w14:textId="77777777" w:rsidR="003F135F" w:rsidRPr="00F53E25" w:rsidRDefault="003F135F" w:rsidP="005315C8">
            <w:pPr>
              <w:ind w:left="0" w:firstLine="0"/>
              <w:rPr>
                <w:rFonts w:eastAsia="Times New Roman" w:cs="Calibri"/>
                <w:b/>
                <w:bCs/>
              </w:rPr>
            </w:pPr>
            <w:r w:rsidRPr="00F53E25">
              <w:rPr>
                <w:b/>
                <w:bCs/>
              </w:rPr>
              <w:t> </w:t>
            </w:r>
          </w:p>
        </w:tc>
        <w:tc>
          <w:tcPr>
            <w:tcW w:w="1219" w:type="dxa"/>
            <w:tcBorders>
              <w:top w:val="nil"/>
              <w:left w:val="nil"/>
              <w:bottom w:val="nil"/>
              <w:right w:val="nil"/>
            </w:tcBorders>
            <w:shd w:val="clear" w:color="000000" w:fill="FFFFFF"/>
            <w:noWrap/>
            <w:vAlign w:val="center"/>
            <w:hideMark/>
          </w:tcPr>
          <w:p w14:paraId="521CFD8A"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FFFFFF"/>
            <w:noWrap/>
            <w:vAlign w:val="center"/>
            <w:hideMark/>
          </w:tcPr>
          <w:p w14:paraId="3D376955" w14:textId="77777777" w:rsidR="003F135F" w:rsidRPr="00F53E25" w:rsidRDefault="003F135F" w:rsidP="005315C8">
            <w:pPr>
              <w:ind w:left="0" w:firstLine="0"/>
              <w:jc w:val="right"/>
              <w:rPr>
                <w:rFonts w:eastAsia="Times New Roman" w:cs="Calibri"/>
              </w:rPr>
            </w:pPr>
            <w:r w:rsidRPr="00F53E25">
              <w:t> </w:t>
            </w:r>
          </w:p>
        </w:tc>
        <w:tc>
          <w:tcPr>
            <w:tcW w:w="266" w:type="dxa"/>
            <w:tcBorders>
              <w:top w:val="nil"/>
              <w:left w:val="nil"/>
              <w:bottom w:val="nil"/>
              <w:right w:val="nil"/>
            </w:tcBorders>
            <w:shd w:val="clear" w:color="000000" w:fill="D9D9D9"/>
            <w:noWrap/>
            <w:vAlign w:val="center"/>
            <w:hideMark/>
          </w:tcPr>
          <w:p w14:paraId="11D0AACA" w14:textId="77777777" w:rsidR="003F135F" w:rsidRPr="00F53E25" w:rsidRDefault="003F135F" w:rsidP="005315C8">
            <w:pPr>
              <w:ind w:left="0" w:firstLine="0"/>
              <w:jc w:val="right"/>
              <w:rPr>
                <w:rFonts w:eastAsia="Times New Roman" w:cs="Calibri"/>
              </w:rPr>
            </w:pPr>
            <w:r w:rsidRPr="00F53E25">
              <w:t> </w:t>
            </w:r>
          </w:p>
        </w:tc>
        <w:tc>
          <w:tcPr>
            <w:tcW w:w="1219" w:type="dxa"/>
            <w:tcBorders>
              <w:top w:val="nil"/>
              <w:left w:val="nil"/>
              <w:bottom w:val="nil"/>
              <w:right w:val="nil"/>
            </w:tcBorders>
            <w:shd w:val="clear" w:color="000000" w:fill="FFFFFF"/>
            <w:noWrap/>
            <w:vAlign w:val="center"/>
            <w:hideMark/>
          </w:tcPr>
          <w:p w14:paraId="0D34B0BF" w14:textId="77777777" w:rsidR="003F135F" w:rsidRPr="00F53E25" w:rsidRDefault="003F135F" w:rsidP="005315C8">
            <w:pPr>
              <w:ind w:left="0" w:firstLine="0"/>
              <w:jc w:val="right"/>
              <w:rPr>
                <w:rFonts w:eastAsia="Times New Roman" w:cs="Calibri"/>
              </w:rPr>
            </w:pPr>
            <w:r w:rsidRPr="00F53E25">
              <w:t> </w:t>
            </w:r>
          </w:p>
        </w:tc>
      </w:tr>
      <w:tr w:rsidR="003F135F" w:rsidRPr="00F53E25" w14:paraId="49A934D6" w14:textId="77777777" w:rsidTr="005315C8">
        <w:trPr>
          <w:trHeight w:val="480"/>
        </w:trPr>
        <w:tc>
          <w:tcPr>
            <w:tcW w:w="6237" w:type="dxa"/>
            <w:tcBorders>
              <w:top w:val="nil"/>
              <w:left w:val="nil"/>
              <w:bottom w:val="nil"/>
              <w:right w:val="nil"/>
            </w:tcBorders>
            <w:shd w:val="clear" w:color="auto" w:fill="auto"/>
            <w:noWrap/>
            <w:vAlign w:val="center"/>
            <w:hideMark/>
          </w:tcPr>
          <w:p w14:paraId="3131D85F" w14:textId="77777777" w:rsidR="003F135F" w:rsidRPr="00F53E25" w:rsidRDefault="003F135F" w:rsidP="005315C8">
            <w:pPr>
              <w:ind w:left="0" w:firstLine="0"/>
              <w:rPr>
                <w:rFonts w:eastAsia="Times New Roman" w:cs="Calibri"/>
                <w:b/>
                <w:bCs/>
              </w:rPr>
            </w:pPr>
            <w:r w:rsidRPr="00F53E25">
              <w:rPr>
                <w:b/>
                <w:bCs/>
              </w:rPr>
              <w:t>Efectivo y depósitos a corto plazo al cierre del ejercicio</w:t>
            </w:r>
          </w:p>
        </w:tc>
        <w:tc>
          <w:tcPr>
            <w:tcW w:w="1219" w:type="dxa"/>
            <w:tcBorders>
              <w:top w:val="single" w:sz="4" w:space="0" w:color="auto"/>
              <w:left w:val="nil"/>
              <w:bottom w:val="single" w:sz="4" w:space="0" w:color="auto"/>
              <w:right w:val="nil"/>
            </w:tcBorders>
            <w:shd w:val="clear" w:color="000000" w:fill="C5D9F1"/>
            <w:noWrap/>
            <w:vAlign w:val="center"/>
            <w:hideMark/>
          </w:tcPr>
          <w:p w14:paraId="60467686" w14:textId="6E38776D" w:rsidR="003F135F" w:rsidRPr="00F53E25" w:rsidRDefault="00DB2B39" w:rsidP="005315C8">
            <w:pPr>
              <w:ind w:left="0" w:firstLine="0"/>
              <w:jc w:val="right"/>
              <w:rPr>
                <w:rFonts w:eastAsia="Times New Roman" w:cs="Calibri"/>
                <w:b/>
                <w:bCs/>
              </w:rPr>
            </w:pPr>
            <w:r w:rsidRPr="00F53E25">
              <w:rPr>
                <w:b/>
                <w:bCs/>
              </w:rPr>
              <w:t>5 634</w:t>
            </w:r>
          </w:p>
        </w:tc>
        <w:tc>
          <w:tcPr>
            <w:tcW w:w="266" w:type="dxa"/>
            <w:tcBorders>
              <w:top w:val="single" w:sz="4" w:space="0" w:color="auto"/>
              <w:left w:val="nil"/>
              <w:bottom w:val="single" w:sz="4" w:space="0" w:color="auto"/>
              <w:right w:val="nil"/>
            </w:tcBorders>
            <w:shd w:val="clear" w:color="000000" w:fill="C5D9F1"/>
            <w:noWrap/>
            <w:vAlign w:val="center"/>
            <w:hideMark/>
          </w:tcPr>
          <w:p w14:paraId="0A3DCD7F" w14:textId="77777777" w:rsidR="003F135F" w:rsidRPr="00F53E25" w:rsidRDefault="003F135F" w:rsidP="005315C8">
            <w:pPr>
              <w:ind w:left="0" w:firstLine="0"/>
              <w:jc w:val="right"/>
              <w:rPr>
                <w:rFonts w:eastAsia="Times New Roman" w:cs="Calibri"/>
                <w:b/>
                <w:bCs/>
              </w:rPr>
            </w:pPr>
            <w:r w:rsidRPr="00F53E25">
              <w:rPr>
                <w:b/>
                <w:bCs/>
              </w:rPr>
              <w:t> </w:t>
            </w:r>
          </w:p>
        </w:tc>
        <w:tc>
          <w:tcPr>
            <w:tcW w:w="266" w:type="dxa"/>
            <w:tcBorders>
              <w:top w:val="single" w:sz="4" w:space="0" w:color="auto"/>
              <w:left w:val="nil"/>
              <w:bottom w:val="single" w:sz="4" w:space="0" w:color="auto"/>
              <w:right w:val="nil"/>
            </w:tcBorders>
            <w:shd w:val="clear" w:color="000000" w:fill="D9D9D9"/>
            <w:noWrap/>
            <w:vAlign w:val="center"/>
            <w:hideMark/>
          </w:tcPr>
          <w:p w14:paraId="00013A50" w14:textId="77777777" w:rsidR="003F135F" w:rsidRPr="00F53E25" w:rsidRDefault="003F135F" w:rsidP="005315C8">
            <w:pPr>
              <w:ind w:left="0" w:firstLine="0"/>
              <w:jc w:val="right"/>
              <w:rPr>
                <w:rFonts w:eastAsia="Times New Roman" w:cs="Calibri"/>
                <w:b/>
                <w:bCs/>
              </w:rPr>
            </w:pPr>
            <w:r w:rsidRPr="00F53E25">
              <w:rPr>
                <w:b/>
                <w:bCs/>
              </w:rPr>
              <w:t> </w:t>
            </w:r>
          </w:p>
        </w:tc>
        <w:tc>
          <w:tcPr>
            <w:tcW w:w="1219" w:type="dxa"/>
            <w:tcBorders>
              <w:top w:val="single" w:sz="4" w:space="0" w:color="auto"/>
              <w:left w:val="nil"/>
              <w:bottom w:val="single" w:sz="4" w:space="0" w:color="auto"/>
              <w:right w:val="nil"/>
            </w:tcBorders>
            <w:shd w:val="clear" w:color="000000" w:fill="EBF1DE"/>
            <w:noWrap/>
            <w:vAlign w:val="center"/>
            <w:hideMark/>
          </w:tcPr>
          <w:p w14:paraId="4A26B2E1" w14:textId="5BF2F13A" w:rsidR="003F135F" w:rsidRPr="00F53E25" w:rsidRDefault="00DB2B39" w:rsidP="005315C8">
            <w:pPr>
              <w:ind w:left="0" w:firstLine="0"/>
              <w:jc w:val="right"/>
              <w:rPr>
                <w:rFonts w:eastAsia="Times New Roman" w:cs="Calibri"/>
                <w:b/>
                <w:bCs/>
              </w:rPr>
            </w:pPr>
            <w:r w:rsidRPr="00F53E25">
              <w:rPr>
                <w:b/>
                <w:bCs/>
              </w:rPr>
              <w:t>3 827</w:t>
            </w:r>
          </w:p>
        </w:tc>
      </w:tr>
    </w:tbl>
    <w:p w14:paraId="5AE03BF3" w14:textId="02B29624" w:rsidR="006C4A6A" w:rsidRDefault="006C4A6A">
      <w:pPr>
        <w:rPr>
          <w:b/>
          <w:sz w:val="24"/>
          <w:szCs w:val="24"/>
        </w:rPr>
        <w:sectPr w:rsidR="006C4A6A" w:rsidSect="00B732B4">
          <w:footerReference w:type="default" r:id="rId8"/>
          <w:pgSz w:w="11906" w:h="16838" w:code="9"/>
          <w:pgMar w:top="1440" w:right="1440" w:bottom="1440" w:left="1440" w:header="709" w:footer="709" w:gutter="0"/>
          <w:cols w:space="708"/>
          <w:titlePg/>
          <w:docGrid w:linePitch="360"/>
        </w:sectPr>
      </w:pPr>
    </w:p>
    <w:p w14:paraId="7F65BAE5" w14:textId="1BE5D31A" w:rsidR="00845CBE" w:rsidRPr="00F53E25" w:rsidRDefault="00845CBE">
      <w:pPr>
        <w:rPr>
          <w:b/>
          <w:sz w:val="24"/>
          <w:szCs w:val="24"/>
        </w:rPr>
      </w:pPr>
    </w:p>
    <w:p w14:paraId="0FC5D3C7" w14:textId="430DB1AB" w:rsidR="001404C4" w:rsidRPr="00F53E25" w:rsidRDefault="001404C4" w:rsidP="001404C4">
      <w:pPr>
        <w:pStyle w:val="NoSpacing"/>
        <w:ind w:left="0" w:firstLine="0"/>
        <w:rPr>
          <w:b/>
          <w:sz w:val="24"/>
          <w:szCs w:val="24"/>
        </w:rPr>
      </w:pPr>
      <w:r w:rsidRPr="00F53E25">
        <w:rPr>
          <w:b/>
          <w:sz w:val="24"/>
          <w:szCs w:val="24"/>
        </w:rPr>
        <w:t>Anexo 2</w:t>
      </w:r>
    </w:p>
    <w:p w14:paraId="0B2E2D8D" w14:textId="77777777" w:rsidR="006E13F3" w:rsidRPr="00F53E25" w:rsidRDefault="001404C4" w:rsidP="001404C4">
      <w:pPr>
        <w:pStyle w:val="NoSpacing"/>
        <w:ind w:left="0" w:firstLine="0"/>
        <w:rPr>
          <w:b/>
        </w:rPr>
      </w:pPr>
      <w:r w:rsidRPr="00F53E25">
        <w:rPr>
          <w:b/>
        </w:rPr>
        <w:t xml:space="preserve">Resultados del presupuesto básico </w:t>
      </w:r>
      <w:r w:rsidR="00E00878" w:rsidRPr="00F53E25">
        <w:rPr>
          <w:b/>
        </w:rPr>
        <w:t>de 2020 par</w:t>
      </w:r>
      <w:r w:rsidRPr="00F53E25">
        <w:rPr>
          <w:b/>
        </w:rPr>
        <w:t>a el período comprendido entre el 1 de enero y el 31 de diciembre de 20</w:t>
      </w:r>
      <w:r w:rsidR="00E00878" w:rsidRPr="00F53E25">
        <w:rPr>
          <w:b/>
        </w:rPr>
        <w:t>20</w:t>
      </w:r>
      <w:r w:rsidR="00845CBE" w:rsidRPr="00F53E25">
        <w:rPr>
          <w:b/>
        </w:rPr>
        <w:t xml:space="preserve"> </w:t>
      </w:r>
    </w:p>
    <w:p w14:paraId="6F1A9C02" w14:textId="1936E21F" w:rsidR="00E00878" w:rsidRPr="00F53E25" w:rsidRDefault="001404C4" w:rsidP="001404C4">
      <w:pPr>
        <w:pStyle w:val="NoSpacing"/>
        <w:ind w:left="0" w:firstLine="0"/>
        <w:rPr>
          <w:rFonts w:asciiTheme="minorHAnsi" w:hAnsiTheme="minorHAnsi"/>
          <w:bCs/>
          <w:i/>
          <w:sz w:val="20"/>
          <w:szCs w:val="20"/>
        </w:rPr>
      </w:pPr>
      <w:r w:rsidRPr="00F53E25">
        <w:rPr>
          <w:rFonts w:asciiTheme="minorHAnsi" w:hAnsiTheme="minorHAnsi"/>
          <w:bCs/>
          <w:i/>
          <w:sz w:val="20"/>
          <w:szCs w:val="20"/>
        </w:rPr>
        <w:t>(en miles de francos suizos, con posibles diferencias por redondeo)</w:t>
      </w:r>
    </w:p>
    <w:tbl>
      <w:tblPr>
        <w:tblW w:w="13889" w:type="dxa"/>
        <w:tblInd w:w="-150" w:type="dxa"/>
        <w:tblLayout w:type="fixed"/>
        <w:tblCellMar>
          <w:left w:w="57" w:type="dxa"/>
          <w:right w:w="57" w:type="dxa"/>
        </w:tblCellMar>
        <w:tblLook w:val="0000" w:firstRow="0" w:lastRow="0" w:firstColumn="0" w:lastColumn="0" w:noHBand="0" w:noVBand="0"/>
      </w:tblPr>
      <w:tblGrid>
        <w:gridCol w:w="3457"/>
        <w:gridCol w:w="1304"/>
        <w:gridCol w:w="1304"/>
        <w:gridCol w:w="1304"/>
        <w:gridCol w:w="1304"/>
        <w:gridCol w:w="1304"/>
        <w:gridCol w:w="1304"/>
        <w:gridCol w:w="1304"/>
        <w:gridCol w:w="1304"/>
      </w:tblGrid>
      <w:tr w:rsidR="00E00878" w:rsidRPr="00F53E25" w14:paraId="6AA04A31" w14:textId="77777777" w:rsidTr="0076398C">
        <w:trPr>
          <w:tblHeader/>
        </w:trPr>
        <w:tc>
          <w:tcPr>
            <w:tcW w:w="3457" w:type="dxa"/>
            <w:tcBorders>
              <w:top w:val="single" w:sz="6" w:space="0" w:color="auto"/>
              <w:left w:val="single" w:sz="6" w:space="0" w:color="auto"/>
              <w:right w:val="nil"/>
            </w:tcBorders>
            <w:shd w:val="clear" w:color="auto" w:fill="D6E3BC" w:themeFill="accent3" w:themeFillTint="66"/>
          </w:tcPr>
          <w:p w14:paraId="2ABEA925"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Presupuesto de Ramsar para 2020</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6F6BB107"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Presupuesto aprobado</w:t>
            </w:r>
          </w:p>
        </w:tc>
        <w:tc>
          <w:tcPr>
            <w:tcW w:w="1304" w:type="dxa"/>
            <w:tcBorders>
              <w:top w:val="single" w:sz="6" w:space="0" w:color="auto"/>
              <w:left w:val="single" w:sz="6" w:space="0" w:color="auto"/>
              <w:right w:val="single" w:sz="6" w:space="0" w:color="auto"/>
            </w:tcBorders>
            <w:shd w:val="clear" w:color="auto" w:fill="D6E3BC" w:themeFill="accent3" w:themeFillTint="66"/>
            <w:vAlign w:val="center"/>
          </w:tcPr>
          <w:p w14:paraId="1173496A"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hAnsiTheme="minorHAnsi"/>
                <w:b/>
                <w:bCs/>
                <w:sz w:val="20"/>
                <w:szCs w:val="20"/>
              </w:rPr>
              <w:t>Uso del excedente autorizado por la COP mediante la Res. XIII.2 (anual)</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0ED42254" w14:textId="61D19858"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rPr>
            </w:pPr>
            <w:r w:rsidRPr="00F53E25">
              <w:rPr>
                <w:rFonts w:asciiTheme="minorHAnsi" w:eastAsiaTheme="minorHAnsi" w:hAnsiTheme="minorHAnsi" w:cstheme="minorHAnsi"/>
                <w:b/>
                <w:bCs/>
                <w:color w:val="000000"/>
                <w:sz w:val="20"/>
                <w:szCs w:val="20"/>
              </w:rPr>
              <w:t>Saldos comprometi</w:t>
            </w:r>
            <w:r w:rsidR="006E13F3" w:rsidRPr="00F53E25">
              <w:rPr>
                <w:rFonts w:asciiTheme="minorHAnsi" w:eastAsiaTheme="minorHAnsi" w:hAnsiTheme="minorHAnsi" w:cstheme="minorHAnsi"/>
                <w:b/>
                <w:bCs/>
                <w:color w:val="000000"/>
                <w:sz w:val="20"/>
                <w:szCs w:val="20"/>
              </w:rPr>
              <w:t>-d</w:t>
            </w:r>
            <w:r w:rsidRPr="00F53E25">
              <w:rPr>
                <w:rFonts w:asciiTheme="minorHAnsi" w:eastAsiaTheme="minorHAnsi" w:hAnsiTheme="minorHAnsi" w:cstheme="minorHAnsi"/>
                <w:b/>
                <w:bCs/>
                <w:color w:val="000000"/>
                <w:sz w:val="20"/>
                <w:szCs w:val="20"/>
              </w:rPr>
              <w:t>os en 2019 para gastar en 2020</w:t>
            </w:r>
            <w:r w:rsidRPr="00F53E25">
              <w:rPr>
                <w:rFonts w:asciiTheme="minorHAnsi" w:eastAsiaTheme="minorHAnsi" w:hAnsiTheme="minorHAnsi" w:cstheme="minorHAnsi"/>
                <w:b/>
                <w:bCs/>
                <w:color w:val="000000"/>
                <w:sz w:val="20"/>
                <w:szCs w:val="20"/>
                <w:vertAlign w:val="superscript"/>
              </w:rPr>
              <w:t>3</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7B35BA8B" w14:textId="3C338E51" w:rsidR="00E00878" w:rsidRPr="00F53E25" w:rsidRDefault="00BD239B" w:rsidP="0076398C">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rPr>
            </w:pPr>
            <w:r w:rsidRPr="00F53E25">
              <w:rPr>
                <w:rFonts w:asciiTheme="minorHAnsi" w:eastAsiaTheme="minorHAnsi" w:hAnsiTheme="minorHAnsi" w:cstheme="minorHAnsi"/>
                <w:b/>
                <w:bCs/>
                <w:color w:val="000000" w:themeColor="text1"/>
                <w:sz w:val="20"/>
                <w:szCs w:val="20"/>
              </w:rPr>
              <w:t xml:space="preserve">Fondos no comprometi-dos traspasados de </w:t>
            </w:r>
            <w:r w:rsidR="00E00878" w:rsidRPr="00F53E25">
              <w:rPr>
                <w:rFonts w:asciiTheme="minorHAnsi" w:eastAsiaTheme="minorHAnsi" w:hAnsiTheme="minorHAnsi" w:cstheme="minorHAnsi"/>
                <w:b/>
                <w:bCs/>
                <w:color w:val="000000" w:themeColor="text1"/>
                <w:sz w:val="20"/>
                <w:szCs w:val="20"/>
              </w:rPr>
              <w:t xml:space="preserve">2019 </w:t>
            </w:r>
            <w:r w:rsidRPr="00F53E25">
              <w:rPr>
                <w:rFonts w:asciiTheme="minorHAnsi" w:eastAsiaTheme="minorHAnsi" w:hAnsiTheme="minorHAnsi" w:cstheme="minorHAnsi"/>
                <w:b/>
                <w:bCs/>
                <w:color w:val="000000" w:themeColor="text1"/>
                <w:sz w:val="20"/>
                <w:szCs w:val="20"/>
              </w:rPr>
              <w:t>a</w:t>
            </w:r>
            <w:r w:rsidR="00E00878" w:rsidRPr="00F53E25">
              <w:rPr>
                <w:rFonts w:asciiTheme="minorHAnsi" w:eastAsiaTheme="minorHAnsi" w:hAnsiTheme="minorHAnsi" w:cstheme="minorHAnsi"/>
                <w:b/>
                <w:bCs/>
                <w:color w:val="000000" w:themeColor="text1"/>
                <w:sz w:val="20"/>
                <w:szCs w:val="20"/>
              </w:rPr>
              <w:t xml:space="preserve"> 2020</w:t>
            </w:r>
            <w:r w:rsidR="00E00878" w:rsidRPr="00F53E25">
              <w:rPr>
                <w:rFonts w:asciiTheme="minorHAnsi" w:eastAsiaTheme="minorHAnsi" w:hAnsiTheme="minorHAnsi" w:cstheme="minorHAnsi"/>
                <w:b/>
                <w:bCs/>
                <w:color w:val="000000" w:themeColor="text1"/>
                <w:sz w:val="20"/>
                <w:szCs w:val="20"/>
                <w:vertAlign w:val="superscript"/>
              </w:rPr>
              <w:t>1</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57425204" w14:textId="4A2EA5EA" w:rsidR="00E00878" w:rsidRPr="00F53E25" w:rsidRDefault="006972B4" w:rsidP="0076398C">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rPr>
            </w:pPr>
            <w:r w:rsidRPr="00F53E25">
              <w:rPr>
                <w:rFonts w:asciiTheme="minorHAnsi" w:eastAsiaTheme="minorHAnsi" w:hAnsiTheme="minorHAnsi" w:cstheme="minorHAnsi"/>
                <w:b/>
                <w:bCs/>
                <w:color w:val="000000"/>
                <w:sz w:val="20"/>
                <w:szCs w:val="20"/>
              </w:rPr>
              <w:t>Fondos ap</w:t>
            </w:r>
            <w:r w:rsidR="00E00878" w:rsidRPr="00F53E25">
              <w:rPr>
                <w:rFonts w:asciiTheme="minorHAnsi" w:eastAsiaTheme="minorHAnsi" w:hAnsiTheme="minorHAnsi" w:cstheme="minorHAnsi"/>
                <w:b/>
                <w:bCs/>
                <w:color w:val="000000"/>
                <w:sz w:val="20"/>
                <w:szCs w:val="20"/>
              </w:rPr>
              <w:t>robados en la reunión SC58 entre sesiones</w:t>
            </w:r>
            <w:r w:rsidR="00E00878" w:rsidRPr="00F53E25">
              <w:rPr>
                <w:rFonts w:asciiTheme="minorHAnsi" w:eastAsiaTheme="minorHAnsi" w:hAnsiTheme="minorHAnsi" w:cstheme="minorHAnsi"/>
                <w:b/>
                <w:bCs/>
                <w:color w:val="000000"/>
                <w:sz w:val="20"/>
                <w:szCs w:val="20"/>
                <w:vertAlign w:val="superscript"/>
              </w:rPr>
              <w:t>2</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26515678"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Presupuesto total disponible</w:t>
            </w:r>
          </w:p>
        </w:tc>
        <w:tc>
          <w:tcPr>
            <w:tcW w:w="1304" w:type="dxa"/>
            <w:tcBorders>
              <w:top w:val="single" w:sz="6" w:space="0" w:color="auto"/>
              <w:left w:val="nil"/>
              <w:right w:val="nil"/>
            </w:tcBorders>
            <w:shd w:val="clear" w:color="auto" w:fill="D6E3BC" w:themeFill="accent3" w:themeFillTint="66"/>
          </w:tcPr>
          <w:p w14:paraId="196F0C78"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Gastos reales</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543E0706"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Saldo</w:t>
            </w:r>
          </w:p>
        </w:tc>
      </w:tr>
      <w:tr w:rsidR="00E00878" w:rsidRPr="00F53E25" w14:paraId="04097A87" w14:textId="77777777" w:rsidTr="0076398C">
        <w:trPr>
          <w:tblHeader/>
        </w:trPr>
        <w:tc>
          <w:tcPr>
            <w:tcW w:w="3457" w:type="dxa"/>
            <w:tcBorders>
              <w:top w:val="nil"/>
              <w:left w:val="single" w:sz="6" w:space="0" w:color="auto"/>
              <w:bottom w:val="single" w:sz="4" w:space="0" w:color="auto"/>
              <w:right w:val="nil"/>
            </w:tcBorders>
            <w:shd w:val="clear" w:color="auto" w:fill="D6E3BC" w:themeFill="accent3" w:themeFillTint="66"/>
          </w:tcPr>
          <w:p w14:paraId="224B31EA"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 xml:space="preserve">Aprobado por la reunión SC58 </w:t>
            </w:r>
          </w:p>
          <w:p w14:paraId="39C69801"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en miles de francos suizos</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12C22878"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(A)</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3D974FB9"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(B)</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70DA34A9"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(C)</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7E232A08"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(D)</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261071D0"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(E)</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5FEB0A9B"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(F)=A+B+C+D+E</w:t>
            </w:r>
          </w:p>
        </w:tc>
        <w:tc>
          <w:tcPr>
            <w:tcW w:w="1304" w:type="dxa"/>
            <w:tcBorders>
              <w:top w:val="nil"/>
              <w:left w:val="nil"/>
              <w:bottom w:val="single" w:sz="4" w:space="0" w:color="auto"/>
              <w:right w:val="nil"/>
            </w:tcBorders>
            <w:shd w:val="clear" w:color="auto" w:fill="D6E3BC" w:themeFill="accent3" w:themeFillTint="66"/>
          </w:tcPr>
          <w:p w14:paraId="5702D88A"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(G)</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233A061E" w14:textId="77777777" w:rsidR="00E00878" w:rsidRPr="00F53E25" w:rsidRDefault="00E00878" w:rsidP="0076398C">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(H)=(F)-(G)</w:t>
            </w:r>
          </w:p>
        </w:tc>
      </w:tr>
      <w:tr w:rsidR="00E00878" w:rsidRPr="00F53E25" w14:paraId="5503CAC6" w14:textId="77777777" w:rsidTr="0076398C">
        <w:tc>
          <w:tcPr>
            <w:tcW w:w="3457" w:type="dxa"/>
            <w:tcBorders>
              <w:top w:val="single" w:sz="4" w:space="0" w:color="auto"/>
              <w:left w:val="single" w:sz="6" w:space="0" w:color="auto"/>
              <w:bottom w:val="nil"/>
              <w:right w:val="nil"/>
            </w:tcBorders>
          </w:tcPr>
          <w:p w14:paraId="7AAE476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0AF6741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2BD0746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770DF89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6E06B80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nil"/>
              <w:bottom w:val="nil"/>
              <w:right w:val="nil"/>
            </w:tcBorders>
          </w:tcPr>
          <w:p w14:paraId="12CE080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0516022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nil"/>
              <w:bottom w:val="nil"/>
              <w:right w:val="nil"/>
            </w:tcBorders>
          </w:tcPr>
          <w:p w14:paraId="385C77D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4E6D5FD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E00878" w:rsidRPr="00F53E25" w14:paraId="4A26C07D" w14:textId="77777777" w:rsidTr="0076398C">
        <w:tc>
          <w:tcPr>
            <w:tcW w:w="3457" w:type="dxa"/>
            <w:tcBorders>
              <w:top w:val="nil"/>
              <w:left w:val="single" w:sz="6" w:space="0" w:color="auto"/>
              <w:bottom w:val="nil"/>
              <w:right w:val="nil"/>
            </w:tcBorders>
          </w:tcPr>
          <w:p w14:paraId="0D86E2D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INGRESOS</w:t>
            </w:r>
          </w:p>
        </w:tc>
        <w:tc>
          <w:tcPr>
            <w:tcW w:w="1304" w:type="dxa"/>
            <w:tcBorders>
              <w:top w:val="nil"/>
              <w:left w:val="single" w:sz="6" w:space="0" w:color="auto"/>
              <w:bottom w:val="nil"/>
              <w:right w:val="single" w:sz="6" w:space="0" w:color="auto"/>
            </w:tcBorders>
          </w:tcPr>
          <w:p w14:paraId="0AB88AC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64B0AAC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6893FD1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1060432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57FDF28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444F304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2CFC66A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69FA80A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E00878" w:rsidRPr="00F53E25" w14:paraId="171CA707" w14:textId="77777777" w:rsidTr="0076398C">
        <w:tc>
          <w:tcPr>
            <w:tcW w:w="3457" w:type="dxa"/>
            <w:tcBorders>
              <w:top w:val="single" w:sz="6" w:space="0" w:color="auto"/>
              <w:left w:val="single" w:sz="6" w:space="0" w:color="auto"/>
              <w:bottom w:val="single" w:sz="6" w:space="0" w:color="auto"/>
              <w:right w:val="nil"/>
            </w:tcBorders>
          </w:tcPr>
          <w:p w14:paraId="4BB3673B"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Contribuciones de las Partes</w:t>
            </w:r>
          </w:p>
        </w:tc>
        <w:tc>
          <w:tcPr>
            <w:tcW w:w="1304" w:type="dxa"/>
            <w:tcBorders>
              <w:top w:val="single" w:sz="6" w:space="0" w:color="auto"/>
              <w:left w:val="single" w:sz="6" w:space="0" w:color="auto"/>
              <w:bottom w:val="single" w:sz="6" w:space="0" w:color="auto"/>
              <w:right w:val="single" w:sz="6" w:space="0" w:color="auto"/>
            </w:tcBorders>
          </w:tcPr>
          <w:p w14:paraId="3C8C2AE2" w14:textId="6493650B"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779</w:t>
            </w:r>
          </w:p>
        </w:tc>
        <w:tc>
          <w:tcPr>
            <w:tcW w:w="1304" w:type="dxa"/>
            <w:tcBorders>
              <w:top w:val="single" w:sz="6" w:space="0" w:color="auto"/>
              <w:left w:val="single" w:sz="6" w:space="0" w:color="auto"/>
              <w:bottom w:val="single" w:sz="6" w:space="0" w:color="auto"/>
              <w:right w:val="single" w:sz="6" w:space="0" w:color="auto"/>
            </w:tcBorders>
          </w:tcPr>
          <w:p w14:paraId="685601E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693168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3D3908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65B9AC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34E8090" w14:textId="4EDBC29E"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779</w:t>
            </w:r>
          </w:p>
        </w:tc>
        <w:tc>
          <w:tcPr>
            <w:tcW w:w="1304" w:type="dxa"/>
            <w:tcBorders>
              <w:top w:val="single" w:sz="6" w:space="0" w:color="auto"/>
              <w:left w:val="nil"/>
              <w:bottom w:val="single" w:sz="6" w:space="0" w:color="auto"/>
              <w:right w:val="nil"/>
            </w:tcBorders>
          </w:tcPr>
          <w:p w14:paraId="25A70934" w14:textId="4C29FBD0"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779</w:t>
            </w:r>
          </w:p>
        </w:tc>
        <w:tc>
          <w:tcPr>
            <w:tcW w:w="1304" w:type="dxa"/>
            <w:tcBorders>
              <w:top w:val="single" w:sz="6" w:space="0" w:color="auto"/>
              <w:left w:val="single" w:sz="6" w:space="0" w:color="auto"/>
              <w:bottom w:val="single" w:sz="6" w:space="0" w:color="auto"/>
              <w:right w:val="single" w:sz="6" w:space="0" w:color="auto"/>
            </w:tcBorders>
          </w:tcPr>
          <w:p w14:paraId="1418D12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3BF59C51" w14:textId="77777777" w:rsidTr="0076398C">
        <w:tc>
          <w:tcPr>
            <w:tcW w:w="3457" w:type="dxa"/>
            <w:tcBorders>
              <w:top w:val="nil"/>
              <w:left w:val="single" w:sz="6" w:space="0" w:color="auto"/>
              <w:bottom w:val="nil"/>
              <w:right w:val="nil"/>
            </w:tcBorders>
          </w:tcPr>
          <w:p w14:paraId="41407390"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Contribuciones voluntarias</w:t>
            </w:r>
          </w:p>
        </w:tc>
        <w:tc>
          <w:tcPr>
            <w:tcW w:w="1304" w:type="dxa"/>
            <w:tcBorders>
              <w:top w:val="nil"/>
              <w:left w:val="single" w:sz="6" w:space="0" w:color="auto"/>
              <w:bottom w:val="nil"/>
              <w:right w:val="single" w:sz="6" w:space="0" w:color="auto"/>
            </w:tcBorders>
          </w:tcPr>
          <w:p w14:paraId="609E21BE" w14:textId="3ABE919B"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065</w:t>
            </w:r>
          </w:p>
        </w:tc>
        <w:tc>
          <w:tcPr>
            <w:tcW w:w="1304" w:type="dxa"/>
            <w:tcBorders>
              <w:top w:val="nil"/>
              <w:left w:val="single" w:sz="6" w:space="0" w:color="auto"/>
              <w:bottom w:val="nil"/>
              <w:right w:val="single" w:sz="6" w:space="0" w:color="auto"/>
            </w:tcBorders>
          </w:tcPr>
          <w:p w14:paraId="2D816C5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925F1D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FBA98D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4867FF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6E81D58" w14:textId="1259ADE3"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065</w:t>
            </w:r>
          </w:p>
        </w:tc>
        <w:tc>
          <w:tcPr>
            <w:tcW w:w="1304" w:type="dxa"/>
            <w:tcBorders>
              <w:top w:val="nil"/>
              <w:left w:val="nil"/>
              <w:bottom w:val="nil"/>
              <w:right w:val="nil"/>
            </w:tcBorders>
          </w:tcPr>
          <w:p w14:paraId="51BA810D" w14:textId="1C2482D4"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065</w:t>
            </w:r>
          </w:p>
        </w:tc>
        <w:tc>
          <w:tcPr>
            <w:tcW w:w="1304" w:type="dxa"/>
            <w:tcBorders>
              <w:top w:val="single" w:sz="6" w:space="0" w:color="auto"/>
              <w:left w:val="single" w:sz="6" w:space="0" w:color="auto"/>
              <w:bottom w:val="single" w:sz="6" w:space="0" w:color="auto"/>
              <w:right w:val="single" w:sz="6" w:space="0" w:color="auto"/>
            </w:tcBorders>
          </w:tcPr>
          <w:p w14:paraId="7AF59F8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4B33B4CE" w14:textId="77777777" w:rsidTr="0076398C">
        <w:tc>
          <w:tcPr>
            <w:tcW w:w="3457" w:type="dxa"/>
            <w:tcBorders>
              <w:top w:val="single" w:sz="6" w:space="0" w:color="auto"/>
              <w:left w:val="single" w:sz="6" w:space="0" w:color="auto"/>
              <w:bottom w:val="single" w:sz="6" w:space="0" w:color="auto"/>
              <w:right w:val="nil"/>
            </w:tcBorders>
          </w:tcPr>
          <w:p w14:paraId="587A9196"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Impuesto sobre la renta</w:t>
            </w:r>
          </w:p>
        </w:tc>
        <w:tc>
          <w:tcPr>
            <w:tcW w:w="1304" w:type="dxa"/>
            <w:tcBorders>
              <w:top w:val="single" w:sz="6" w:space="0" w:color="auto"/>
              <w:left w:val="single" w:sz="6" w:space="0" w:color="auto"/>
              <w:bottom w:val="single" w:sz="6" w:space="0" w:color="auto"/>
              <w:right w:val="single" w:sz="6" w:space="0" w:color="auto"/>
            </w:tcBorders>
          </w:tcPr>
          <w:p w14:paraId="7130103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225</w:t>
            </w:r>
          </w:p>
        </w:tc>
        <w:tc>
          <w:tcPr>
            <w:tcW w:w="1304" w:type="dxa"/>
            <w:tcBorders>
              <w:top w:val="single" w:sz="6" w:space="0" w:color="auto"/>
              <w:left w:val="single" w:sz="6" w:space="0" w:color="auto"/>
              <w:bottom w:val="single" w:sz="6" w:space="0" w:color="auto"/>
              <w:right w:val="single" w:sz="6" w:space="0" w:color="auto"/>
            </w:tcBorders>
          </w:tcPr>
          <w:p w14:paraId="5BEBF1D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5A8A9E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28BE27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B7C6C6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F57EF4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225</w:t>
            </w:r>
          </w:p>
        </w:tc>
        <w:tc>
          <w:tcPr>
            <w:tcW w:w="1304" w:type="dxa"/>
            <w:tcBorders>
              <w:top w:val="single" w:sz="6" w:space="0" w:color="auto"/>
              <w:left w:val="nil"/>
              <w:bottom w:val="single" w:sz="6" w:space="0" w:color="auto"/>
              <w:right w:val="nil"/>
            </w:tcBorders>
          </w:tcPr>
          <w:p w14:paraId="5B836FA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185</w:t>
            </w:r>
          </w:p>
        </w:tc>
        <w:tc>
          <w:tcPr>
            <w:tcW w:w="1304" w:type="dxa"/>
            <w:tcBorders>
              <w:top w:val="single" w:sz="6" w:space="0" w:color="auto"/>
              <w:left w:val="single" w:sz="6" w:space="0" w:color="auto"/>
              <w:bottom w:val="single" w:sz="6" w:space="0" w:color="auto"/>
              <w:right w:val="single" w:sz="6" w:space="0" w:color="auto"/>
            </w:tcBorders>
          </w:tcPr>
          <w:p w14:paraId="5C5F32F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40</w:t>
            </w:r>
          </w:p>
        </w:tc>
      </w:tr>
      <w:tr w:rsidR="00E00878" w:rsidRPr="00F53E25" w14:paraId="092CD1EC" w14:textId="77777777" w:rsidTr="0076398C">
        <w:tc>
          <w:tcPr>
            <w:tcW w:w="3457" w:type="dxa"/>
            <w:tcBorders>
              <w:top w:val="nil"/>
              <w:left w:val="single" w:sz="6" w:space="0" w:color="auto"/>
              <w:bottom w:val="nil"/>
              <w:right w:val="nil"/>
            </w:tcBorders>
          </w:tcPr>
          <w:p w14:paraId="19AC12B6"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 xml:space="preserve">Otros </w:t>
            </w:r>
            <w:r w:rsidRPr="00F53E25">
              <w:rPr>
                <w:rFonts w:asciiTheme="minorHAnsi" w:hAnsiTheme="minorHAnsi"/>
                <w:bCs/>
                <w:color w:val="000000" w:themeColor="text1"/>
                <w:sz w:val="20"/>
                <w:szCs w:val="20"/>
              </w:rPr>
              <w:t xml:space="preserve">ingresos </w:t>
            </w:r>
            <w:r w:rsidRPr="00F53E25">
              <w:rPr>
                <w:rFonts w:asciiTheme="minorHAnsi" w:hAnsiTheme="minorHAnsi"/>
                <w:bCs/>
                <w:sz w:val="20"/>
                <w:szCs w:val="20"/>
              </w:rPr>
              <w:t>(incluyendo ingresos por intereses)</w:t>
            </w:r>
          </w:p>
        </w:tc>
        <w:tc>
          <w:tcPr>
            <w:tcW w:w="1304" w:type="dxa"/>
            <w:tcBorders>
              <w:top w:val="nil"/>
              <w:left w:val="single" w:sz="6" w:space="0" w:color="auto"/>
              <w:bottom w:val="nil"/>
              <w:right w:val="single" w:sz="6" w:space="0" w:color="auto"/>
            </w:tcBorders>
          </w:tcPr>
          <w:p w14:paraId="79569BB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12</w:t>
            </w:r>
          </w:p>
        </w:tc>
        <w:tc>
          <w:tcPr>
            <w:tcW w:w="1304" w:type="dxa"/>
            <w:tcBorders>
              <w:top w:val="nil"/>
              <w:left w:val="single" w:sz="6" w:space="0" w:color="auto"/>
              <w:bottom w:val="nil"/>
              <w:right w:val="single" w:sz="6" w:space="0" w:color="auto"/>
            </w:tcBorders>
          </w:tcPr>
          <w:p w14:paraId="0AA0C64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4E2480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7F16ED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436CA9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507909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12</w:t>
            </w:r>
          </w:p>
        </w:tc>
        <w:tc>
          <w:tcPr>
            <w:tcW w:w="1304" w:type="dxa"/>
            <w:tcBorders>
              <w:top w:val="nil"/>
              <w:left w:val="nil"/>
              <w:bottom w:val="nil"/>
              <w:right w:val="nil"/>
            </w:tcBorders>
          </w:tcPr>
          <w:p w14:paraId="1E4313D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0E5C621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w:t>
            </w:r>
          </w:p>
        </w:tc>
      </w:tr>
      <w:tr w:rsidR="00E00878" w:rsidRPr="00F53E25" w14:paraId="3C403B93" w14:textId="77777777" w:rsidTr="0076398C">
        <w:tc>
          <w:tcPr>
            <w:tcW w:w="3457" w:type="dxa"/>
            <w:tcBorders>
              <w:top w:val="single" w:sz="6" w:space="0" w:color="auto"/>
              <w:left w:val="single" w:sz="6" w:space="0" w:color="auto"/>
              <w:bottom w:val="single" w:sz="6" w:space="0" w:color="auto"/>
              <w:right w:val="nil"/>
            </w:tcBorders>
            <w:shd w:val="clear" w:color="auto" w:fill="D6E3BC" w:themeFill="accent3" w:themeFillTint="66"/>
          </w:tcPr>
          <w:p w14:paraId="177E06FB" w14:textId="5CF675FC" w:rsidR="00E00878" w:rsidRPr="00F53E25" w:rsidRDefault="00E00878" w:rsidP="0076398C">
            <w:pPr>
              <w:autoSpaceDE w:val="0"/>
              <w:autoSpaceDN w:val="0"/>
              <w:adjustRightInd w:val="0"/>
              <w:ind w:left="0" w:firstLine="0"/>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TOTAL</w:t>
            </w:r>
            <w:r w:rsidR="006E0A51" w:rsidRPr="00F53E25">
              <w:rPr>
                <w:rFonts w:asciiTheme="minorHAnsi" w:eastAsiaTheme="minorHAnsi" w:hAnsiTheme="minorHAnsi" w:cstheme="minorHAnsi"/>
                <w:b/>
                <w:bCs/>
                <w:color w:val="000000"/>
                <w:sz w:val="20"/>
                <w:szCs w:val="20"/>
              </w:rPr>
              <w:t xml:space="preserve">, </w:t>
            </w:r>
            <w:r w:rsidRPr="00F53E25">
              <w:rPr>
                <w:rFonts w:asciiTheme="minorHAnsi" w:eastAsiaTheme="minorHAnsi" w:hAnsiTheme="minorHAnsi" w:cstheme="minorHAnsi"/>
                <w:b/>
                <w:bCs/>
                <w:color w:val="000000"/>
                <w:sz w:val="20"/>
                <w:szCs w:val="20"/>
              </w:rPr>
              <w:t>INGRESOS</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8DE8028" w14:textId="749E9A5D"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5</w:t>
            </w:r>
            <w:r w:rsidR="006972B4" w:rsidRPr="00F53E25">
              <w:rPr>
                <w:rFonts w:asciiTheme="minorHAnsi" w:eastAsiaTheme="minorHAnsi" w:hAnsiTheme="minorHAnsi" w:cstheme="minorHAnsi"/>
                <w:b/>
                <w:bCs/>
                <w:color w:val="000000"/>
                <w:sz w:val="20"/>
                <w:szCs w:val="20"/>
              </w:rPr>
              <w:t xml:space="preserve"> </w:t>
            </w:r>
            <w:r w:rsidRPr="00F53E25">
              <w:rPr>
                <w:rFonts w:asciiTheme="minorHAnsi" w:eastAsiaTheme="minorHAnsi" w:hAnsiTheme="minorHAnsi" w:cstheme="minorHAnsi"/>
                <w:b/>
                <w:bCs/>
                <w:color w:val="000000"/>
                <w:sz w:val="20"/>
                <w:szCs w:val="20"/>
              </w:rPr>
              <w:t>081</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AE7687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AA00A6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78BB010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92368E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E7CF77C" w14:textId="7F7B1200"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5</w:t>
            </w:r>
            <w:r w:rsidR="006972B4" w:rsidRPr="00F53E25">
              <w:rPr>
                <w:rFonts w:asciiTheme="minorHAnsi" w:eastAsiaTheme="minorHAnsi" w:hAnsiTheme="minorHAnsi" w:cstheme="minorHAnsi"/>
                <w:b/>
                <w:bCs/>
                <w:color w:val="000000"/>
                <w:sz w:val="20"/>
                <w:szCs w:val="20"/>
              </w:rPr>
              <w:t xml:space="preserve"> </w:t>
            </w:r>
            <w:r w:rsidRPr="00F53E25">
              <w:rPr>
                <w:rFonts w:asciiTheme="minorHAnsi" w:eastAsiaTheme="minorHAnsi" w:hAnsiTheme="minorHAnsi" w:cstheme="minorHAnsi"/>
                <w:b/>
                <w:bCs/>
                <w:color w:val="000000"/>
                <w:sz w:val="20"/>
                <w:szCs w:val="20"/>
              </w:rPr>
              <w:t>081</w:t>
            </w:r>
          </w:p>
        </w:tc>
        <w:tc>
          <w:tcPr>
            <w:tcW w:w="1304" w:type="dxa"/>
            <w:tcBorders>
              <w:top w:val="single" w:sz="6" w:space="0" w:color="auto"/>
              <w:left w:val="nil"/>
              <w:bottom w:val="single" w:sz="6" w:space="0" w:color="auto"/>
              <w:right w:val="nil"/>
            </w:tcBorders>
            <w:shd w:val="clear" w:color="auto" w:fill="D6E3BC" w:themeFill="accent3" w:themeFillTint="66"/>
          </w:tcPr>
          <w:p w14:paraId="3B2F0A0B" w14:textId="40034FD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5</w:t>
            </w:r>
            <w:r w:rsidR="006972B4" w:rsidRPr="00F53E25">
              <w:rPr>
                <w:rFonts w:asciiTheme="minorHAnsi" w:eastAsiaTheme="minorHAnsi" w:hAnsiTheme="minorHAnsi" w:cstheme="minorHAnsi"/>
                <w:b/>
                <w:bCs/>
                <w:color w:val="000000"/>
                <w:sz w:val="20"/>
                <w:szCs w:val="20"/>
              </w:rPr>
              <w:t xml:space="preserve"> </w:t>
            </w:r>
            <w:r w:rsidRPr="00F53E25">
              <w:rPr>
                <w:rFonts w:asciiTheme="minorHAnsi" w:eastAsiaTheme="minorHAnsi" w:hAnsiTheme="minorHAnsi" w:cstheme="minorHAnsi"/>
                <w:b/>
                <w:bCs/>
                <w:color w:val="000000"/>
                <w:sz w:val="20"/>
                <w:szCs w:val="20"/>
              </w:rPr>
              <w:t>034</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6A1121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47</w:t>
            </w:r>
          </w:p>
        </w:tc>
      </w:tr>
      <w:tr w:rsidR="00E00878" w:rsidRPr="00F53E25" w14:paraId="4BCDA522" w14:textId="77777777" w:rsidTr="0076398C">
        <w:tc>
          <w:tcPr>
            <w:tcW w:w="3457" w:type="dxa"/>
            <w:tcBorders>
              <w:top w:val="nil"/>
              <w:left w:val="single" w:sz="6" w:space="0" w:color="auto"/>
              <w:bottom w:val="nil"/>
              <w:right w:val="nil"/>
            </w:tcBorders>
          </w:tcPr>
          <w:p w14:paraId="073A3ED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608A4A3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344D5CE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16F28DC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723595B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0CBD241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4F1F1A9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774CEE1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5D561E1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E00878" w:rsidRPr="00F53E25" w14:paraId="2BD1AEC4" w14:textId="77777777" w:rsidTr="0076398C">
        <w:tc>
          <w:tcPr>
            <w:tcW w:w="3457" w:type="dxa"/>
            <w:tcBorders>
              <w:top w:val="nil"/>
              <w:left w:val="single" w:sz="6" w:space="0" w:color="auto"/>
              <w:bottom w:val="nil"/>
              <w:right w:val="nil"/>
            </w:tcBorders>
          </w:tcPr>
          <w:p w14:paraId="2B44F37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GASTOS</w:t>
            </w:r>
          </w:p>
        </w:tc>
        <w:tc>
          <w:tcPr>
            <w:tcW w:w="1304" w:type="dxa"/>
            <w:tcBorders>
              <w:top w:val="nil"/>
              <w:left w:val="single" w:sz="6" w:space="0" w:color="auto"/>
              <w:bottom w:val="nil"/>
              <w:right w:val="single" w:sz="6" w:space="0" w:color="auto"/>
            </w:tcBorders>
          </w:tcPr>
          <w:p w14:paraId="0F3C646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1AE4DD9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5916EF8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5FF10FC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3DF6FC1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4730E98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3A7C83B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55D6C85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E00878" w:rsidRPr="00F53E25" w14:paraId="25BE2746" w14:textId="77777777" w:rsidTr="0076398C">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262A6F45"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 xml:space="preserve">A.  </w:t>
            </w:r>
            <w:r w:rsidRPr="00F53E25">
              <w:rPr>
                <w:rFonts w:asciiTheme="minorHAnsi" w:hAnsiTheme="minorHAnsi"/>
                <w:bCs/>
                <w:sz w:val="20"/>
                <w:szCs w:val="20"/>
              </w:rPr>
              <w:t xml:space="preserve">Personal directivo de la Secretaría y </w:t>
            </w:r>
            <w:r w:rsidRPr="00F53E25">
              <w:rPr>
                <w:rFonts w:asciiTheme="minorHAnsi" w:hAnsiTheme="minorHAnsi"/>
                <w:bCs/>
                <w:color w:val="000000" w:themeColor="text1"/>
                <w:sz w:val="20"/>
                <w:szCs w:val="20"/>
              </w:rPr>
              <w:t>gobernanza</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4FB6A4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999</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C29192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FB7EF6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E68E9D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9E07EC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46C7AAD" w14:textId="4FFF69B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075</w:t>
            </w:r>
          </w:p>
        </w:tc>
        <w:tc>
          <w:tcPr>
            <w:tcW w:w="1304" w:type="dxa"/>
            <w:tcBorders>
              <w:top w:val="single" w:sz="6" w:space="0" w:color="auto"/>
              <w:left w:val="nil"/>
              <w:bottom w:val="single" w:sz="6" w:space="0" w:color="auto"/>
              <w:right w:val="nil"/>
            </w:tcBorders>
            <w:shd w:val="clear" w:color="auto" w:fill="EAF1DD" w:themeFill="accent3" w:themeFillTint="33"/>
          </w:tcPr>
          <w:p w14:paraId="40AB055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900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BF94AF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175</w:t>
            </w:r>
          </w:p>
        </w:tc>
      </w:tr>
      <w:tr w:rsidR="00E00878" w:rsidRPr="00F53E25" w14:paraId="7515ACF8" w14:textId="77777777" w:rsidTr="0076398C">
        <w:tc>
          <w:tcPr>
            <w:tcW w:w="3457" w:type="dxa"/>
            <w:tcBorders>
              <w:top w:val="nil"/>
              <w:left w:val="single" w:sz="6" w:space="0" w:color="auto"/>
              <w:bottom w:val="nil"/>
              <w:right w:val="nil"/>
            </w:tcBorders>
          </w:tcPr>
          <w:p w14:paraId="0AF562CD"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Salarios y gastos sociales</w:t>
            </w:r>
          </w:p>
        </w:tc>
        <w:tc>
          <w:tcPr>
            <w:tcW w:w="1304" w:type="dxa"/>
            <w:tcBorders>
              <w:top w:val="nil"/>
              <w:left w:val="single" w:sz="6" w:space="0" w:color="auto"/>
              <w:bottom w:val="nil"/>
              <w:right w:val="single" w:sz="6" w:space="0" w:color="auto"/>
            </w:tcBorders>
          </w:tcPr>
          <w:p w14:paraId="02DC190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918</w:t>
            </w:r>
          </w:p>
        </w:tc>
        <w:tc>
          <w:tcPr>
            <w:tcW w:w="1304" w:type="dxa"/>
            <w:tcBorders>
              <w:top w:val="nil"/>
              <w:left w:val="single" w:sz="6" w:space="0" w:color="auto"/>
              <w:bottom w:val="nil"/>
              <w:right w:val="single" w:sz="6" w:space="0" w:color="auto"/>
            </w:tcBorders>
          </w:tcPr>
          <w:p w14:paraId="50BA0BF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C6A19C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D6C2C0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71</w:t>
            </w:r>
          </w:p>
        </w:tc>
        <w:tc>
          <w:tcPr>
            <w:tcW w:w="1304" w:type="dxa"/>
            <w:tcBorders>
              <w:top w:val="nil"/>
              <w:left w:val="single" w:sz="6" w:space="0" w:color="auto"/>
              <w:bottom w:val="nil"/>
              <w:right w:val="single" w:sz="6" w:space="0" w:color="auto"/>
            </w:tcBorders>
          </w:tcPr>
          <w:p w14:paraId="19E2EE7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1E38C8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989</w:t>
            </w:r>
          </w:p>
        </w:tc>
        <w:tc>
          <w:tcPr>
            <w:tcW w:w="1304" w:type="dxa"/>
            <w:tcBorders>
              <w:top w:val="nil"/>
              <w:left w:val="nil"/>
              <w:bottom w:val="nil"/>
              <w:right w:val="nil"/>
            </w:tcBorders>
          </w:tcPr>
          <w:p w14:paraId="0193A29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888</w:t>
            </w:r>
          </w:p>
        </w:tc>
        <w:tc>
          <w:tcPr>
            <w:tcW w:w="1304" w:type="dxa"/>
            <w:tcBorders>
              <w:top w:val="nil"/>
              <w:left w:val="single" w:sz="6" w:space="0" w:color="auto"/>
              <w:bottom w:val="nil"/>
              <w:right w:val="single" w:sz="6" w:space="0" w:color="auto"/>
            </w:tcBorders>
          </w:tcPr>
          <w:p w14:paraId="17D22D0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101</w:t>
            </w:r>
          </w:p>
        </w:tc>
      </w:tr>
      <w:tr w:rsidR="00E00878" w:rsidRPr="00F53E25" w14:paraId="47A97FE8" w14:textId="77777777" w:rsidTr="0076398C">
        <w:tc>
          <w:tcPr>
            <w:tcW w:w="3457" w:type="dxa"/>
            <w:tcBorders>
              <w:top w:val="single" w:sz="6" w:space="0" w:color="auto"/>
              <w:left w:val="single" w:sz="6" w:space="0" w:color="auto"/>
              <w:bottom w:val="single" w:sz="6" w:space="0" w:color="auto"/>
              <w:right w:val="nil"/>
            </w:tcBorders>
          </w:tcPr>
          <w:p w14:paraId="5B99AC7A"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Otras prestaciones laborales</w:t>
            </w:r>
          </w:p>
        </w:tc>
        <w:tc>
          <w:tcPr>
            <w:tcW w:w="1304" w:type="dxa"/>
            <w:tcBorders>
              <w:top w:val="single" w:sz="6" w:space="0" w:color="auto"/>
              <w:left w:val="single" w:sz="6" w:space="0" w:color="auto"/>
              <w:bottom w:val="single" w:sz="6" w:space="0" w:color="auto"/>
              <w:right w:val="single" w:sz="6" w:space="0" w:color="auto"/>
            </w:tcBorders>
          </w:tcPr>
          <w:p w14:paraId="317AA8A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51</w:t>
            </w:r>
          </w:p>
        </w:tc>
        <w:tc>
          <w:tcPr>
            <w:tcW w:w="1304" w:type="dxa"/>
            <w:tcBorders>
              <w:top w:val="single" w:sz="6" w:space="0" w:color="auto"/>
              <w:left w:val="single" w:sz="6" w:space="0" w:color="auto"/>
              <w:bottom w:val="single" w:sz="6" w:space="0" w:color="auto"/>
              <w:right w:val="single" w:sz="6" w:space="0" w:color="auto"/>
            </w:tcBorders>
          </w:tcPr>
          <w:p w14:paraId="49A4CA7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1F7E8C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EA936C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CA7B4D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8D113D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51</w:t>
            </w:r>
          </w:p>
        </w:tc>
        <w:tc>
          <w:tcPr>
            <w:tcW w:w="1304" w:type="dxa"/>
            <w:tcBorders>
              <w:top w:val="single" w:sz="6" w:space="0" w:color="auto"/>
              <w:left w:val="nil"/>
              <w:bottom w:val="single" w:sz="6" w:space="0" w:color="auto"/>
              <w:right w:val="nil"/>
            </w:tcBorders>
          </w:tcPr>
          <w:p w14:paraId="47F3DFE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p>
        </w:tc>
        <w:tc>
          <w:tcPr>
            <w:tcW w:w="1304" w:type="dxa"/>
            <w:tcBorders>
              <w:top w:val="single" w:sz="6" w:space="0" w:color="auto"/>
              <w:left w:val="single" w:sz="6" w:space="0" w:color="auto"/>
              <w:bottom w:val="single" w:sz="6" w:space="0" w:color="auto"/>
              <w:right w:val="single" w:sz="6" w:space="0" w:color="auto"/>
            </w:tcBorders>
          </w:tcPr>
          <w:p w14:paraId="71E05F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50</w:t>
            </w:r>
          </w:p>
        </w:tc>
      </w:tr>
      <w:tr w:rsidR="00E00878" w:rsidRPr="00F53E25" w14:paraId="229CF75F" w14:textId="77777777" w:rsidTr="0076398C">
        <w:tc>
          <w:tcPr>
            <w:tcW w:w="3457" w:type="dxa"/>
            <w:tcBorders>
              <w:top w:val="nil"/>
              <w:left w:val="single" w:sz="6" w:space="0" w:color="auto"/>
              <w:bottom w:val="nil"/>
              <w:right w:val="nil"/>
            </w:tcBorders>
          </w:tcPr>
          <w:p w14:paraId="4C9CB95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Viajes</w:t>
            </w:r>
          </w:p>
        </w:tc>
        <w:tc>
          <w:tcPr>
            <w:tcW w:w="1304" w:type="dxa"/>
            <w:tcBorders>
              <w:top w:val="nil"/>
              <w:left w:val="single" w:sz="6" w:space="0" w:color="auto"/>
              <w:bottom w:val="nil"/>
              <w:right w:val="single" w:sz="6" w:space="0" w:color="auto"/>
            </w:tcBorders>
          </w:tcPr>
          <w:p w14:paraId="337EA16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30</w:t>
            </w:r>
          </w:p>
        </w:tc>
        <w:tc>
          <w:tcPr>
            <w:tcW w:w="1304" w:type="dxa"/>
            <w:tcBorders>
              <w:top w:val="nil"/>
              <w:left w:val="single" w:sz="6" w:space="0" w:color="auto"/>
              <w:bottom w:val="nil"/>
              <w:right w:val="single" w:sz="6" w:space="0" w:color="auto"/>
            </w:tcBorders>
          </w:tcPr>
          <w:p w14:paraId="1C020C9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15A9A41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809F3A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0D4547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CB8043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35</w:t>
            </w:r>
          </w:p>
        </w:tc>
        <w:tc>
          <w:tcPr>
            <w:tcW w:w="1304" w:type="dxa"/>
            <w:tcBorders>
              <w:top w:val="nil"/>
              <w:left w:val="nil"/>
              <w:bottom w:val="nil"/>
              <w:right w:val="nil"/>
            </w:tcBorders>
          </w:tcPr>
          <w:p w14:paraId="0A8655F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11</w:t>
            </w:r>
          </w:p>
        </w:tc>
        <w:tc>
          <w:tcPr>
            <w:tcW w:w="1304" w:type="dxa"/>
            <w:tcBorders>
              <w:top w:val="nil"/>
              <w:left w:val="single" w:sz="6" w:space="0" w:color="auto"/>
              <w:bottom w:val="nil"/>
              <w:right w:val="single" w:sz="6" w:space="0" w:color="auto"/>
            </w:tcBorders>
          </w:tcPr>
          <w:p w14:paraId="5E9C05F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24</w:t>
            </w:r>
          </w:p>
        </w:tc>
      </w:tr>
      <w:tr w:rsidR="00E00878" w:rsidRPr="00F53E25" w14:paraId="72B64CBC" w14:textId="77777777" w:rsidTr="0076398C">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7ACAC4E9"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 xml:space="preserve">B.  </w:t>
            </w:r>
            <w:r w:rsidRPr="00F53E25">
              <w:rPr>
                <w:rFonts w:asciiTheme="minorHAnsi" w:hAnsiTheme="minorHAnsi"/>
                <w:bCs/>
                <w:sz w:val="20"/>
                <w:szCs w:val="20"/>
              </w:rPr>
              <w:t>Movilización de recursos y promoción</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FF110D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492</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E1FB4A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163A0B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618C81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69</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FC03A9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C94D45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687</w:t>
            </w:r>
          </w:p>
        </w:tc>
        <w:tc>
          <w:tcPr>
            <w:tcW w:w="1304" w:type="dxa"/>
            <w:tcBorders>
              <w:top w:val="single" w:sz="6" w:space="0" w:color="auto"/>
              <w:left w:val="nil"/>
              <w:bottom w:val="single" w:sz="6" w:space="0" w:color="auto"/>
              <w:right w:val="nil"/>
            </w:tcBorders>
            <w:shd w:val="clear" w:color="auto" w:fill="EAF1DD" w:themeFill="accent3" w:themeFillTint="33"/>
          </w:tcPr>
          <w:p w14:paraId="74A25EB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474</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417DE4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214</w:t>
            </w:r>
          </w:p>
        </w:tc>
      </w:tr>
      <w:tr w:rsidR="00E00878" w:rsidRPr="00F53E25" w14:paraId="3265D493" w14:textId="77777777" w:rsidTr="0076398C">
        <w:tc>
          <w:tcPr>
            <w:tcW w:w="3457" w:type="dxa"/>
            <w:tcBorders>
              <w:top w:val="nil"/>
              <w:left w:val="single" w:sz="6" w:space="0" w:color="auto"/>
              <w:bottom w:val="nil"/>
              <w:right w:val="nil"/>
            </w:tcBorders>
          </w:tcPr>
          <w:p w14:paraId="56AAC26E"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Salarios y gastos sociales</w:t>
            </w:r>
          </w:p>
        </w:tc>
        <w:tc>
          <w:tcPr>
            <w:tcW w:w="1304" w:type="dxa"/>
            <w:tcBorders>
              <w:top w:val="nil"/>
              <w:left w:val="single" w:sz="6" w:space="0" w:color="auto"/>
              <w:bottom w:val="nil"/>
              <w:right w:val="single" w:sz="6" w:space="0" w:color="auto"/>
            </w:tcBorders>
          </w:tcPr>
          <w:p w14:paraId="6FF1D2C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360</w:t>
            </w:r>
          </w:p>
        </w:tc>
        <w:tc>
          <w:tcPr>
            <w:tcW w:w="1304" w:type="dxa"/>
            <w:tcBorders>
              <w:top w:val="nil"/>
              <w:left w:val="single" w:sz="6" w:space="0" w:color="auto"/>
              <w:bottom w:val="nil"/>
              <w:right w:val="single" w:sz="6" w:space="0" w:color="auto"/>
            </w:tcBorders>
          </w:tcPr>
          <w:p w14:paraId="2B30B7F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70E999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627BA7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D28EA9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5BCF67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360</w:t>
            </w:r>
          </w:p>
        </w:tc>
        <w:tc>
          <w:tcPr>
            <w:tcW w:w="1304" w:type="dxa"/>
            <w:tcBorders>
              <w:top w:val="nil"/>
              <w:left w:val="nil"/>
              <w:bottom w:val="nil"/>
              <w:right w:val="nil"/>
            </w:tcBorders>
          </w:tcPr>
          <w:p w14:paraId="2D47982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325</w:t>
            </w:r>
          </w:p>
        </w:tc>
        <w:tc>
          <w:tcPr>
            <w:tcW w:w="1304" w:type="dxa"/>
            <w:tcBorders>
              <w:top w:val="nil"/>
              <w:left w:val="single" w:sz="6" w:space="0" w:color="auto"/>
              <w:bottom w:val="nil"/>
              <w:right w:val="single" w:sz="6" w:space="0" w:color="auto"/>
            </w:tcBorders>
          </w:tcPr>
          <w:p w14:paraId="2EA606F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35</w:t>
            </w:r>
          </w:p>
        </w:tc>
      </w:tr>
      <w:tr w:rsidR="00E00878" w:rsidRPr="00F53E25" w14:paraId="739D1A01" w14:textId="77777777" w:rsidTr="0076398C">
        <w:tc>
          <w:tcPr>
            <w:tcW w:w="3457" w:type="dxa"/>
            <w:tcBorders>
              <w:top w:val="single" w:sz="6" w:space="0" w:color="auto"/>
              <w:left w:val="single" w:sz="6" w:space="0" w:color="auto"/>
              <w:bottom w:val="single" w:sz="6" w:space="0" w:color="auto"/>
              <w:right w:val="nil"/>
            </w:tcBorders>
          </w:tcPr>
          <w:p w14:paraId="0798D0A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Otras prestaciones laborales</w:t>
            </w:r>
          </w:p>
        </w:tc>
        <w:tc>
          <w:tcPr>
            <w:tcW w:w="1304" w:type="dxa"/>
            <w:tcBorders>
              <w:top w:val="single" w:sz="6" w:space="0" w:color="auto"/>
              <w:left w:val="single" w:sz="6" w:space="0" w:color="auto"/>
              <w:bottom w:val="single" w:sz="6" w:space="0" w:color="auto"/>
              <w:right w:val="single" w:sz="6" w:space="0" w:color="auto"/>
            </w:tcBorders>
          </w:tcPr>
          <w:p w14:paraId="0C88D0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77BD909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E61FE0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05C0DE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768EB8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C35CAB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nil"/>
              <w:bottom w:val="single" w:sz="6" w:space="0" w:color="auto"/>
              <w:right w:val="nil"/>
            </w:tcBorders>
          </w:tcPr>
          <w:p w14:paraId="16AEABE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6061D4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r>
      <w:tr w:rsidR="00E00878" w:rsidRPr="00F53E25" w14:paraId="4F60029F" w14:textId="77777777" w:rsidTr="0076398C">
        <w:tc>
          <w:tcPr>
            <w:tcW w:w="3457" w:type="dxa"/>
            <w:tcBorders>
              <w:top w:val="nil"/>
              <w:left w:val="single" w:sz="6" w:space="0" w:color="auto"/>
              <w:bottom w:val="nil"/>
              <w:right w:val="nil"/>
            </w:tcBorders>
          </w:tcPr>
          <w:p w14:paraId="6CFB9EE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Programa de CECoP</w:t>
            </w:r>
          </w:p>
        </w:tc>
        <w:tc>
          <w:tcPr>
            <w:tcW w:w="1304" w:type="dxa"/>
            <w:tcBorders>
              <w:top w:val="nil"/>
              <w:left w:val="single" w:sz="6" w:space="0" w:color="auto"/>
              <w:bottom w:val="nil"/>
              <w:right w:val="single" w:sz="6" w:space="0" w:color="auto"/>
            </w:tcBorders>
          </w:tcPr>
          <w:p w14:paraId="0C0D195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30</w:t>
            </w:r>
          </w:p>
        </w:tc>
        <w:tc>
          <w:tcPr>
            <w:tcW w:w="1304" w:type="dxa"/>
            <w:tcBorders>
              <w:top w:val="nil"/>
              <w:left w:val="single" w:sz="6" w:space="0" w:color="auto"/>
              <w:bottom w:val="nil"/>
              <w:right w:val="single" w:sz="6" w:space="0" w:color="auto"/>
            </w:tcBorders>
          </w:tcPr>
          <w:p w14:paraId="6D928C8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A24FF8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86C207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23</w:t>
            </w:r>
          </w:p>
        </w:tc>
        <w:tc>
          <w:tcPr>
            <w:tcW w:w="1304" w:type="dxa"/>
            <w:tcBorders>
              <w:top w:val="nil"/>
              <w:left w:val="single" w:sz="6" w:space="0" w:color="auto"/>
              <w:bottom w:val="nil"/>
              <w:right w:val="single" w:sz="6" w:space="0" w:color="auto"/>
            </w:tcBorders>
          </w:tcPr>
          <w:p w14:paraId="1726F63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CC136A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53</w:t>
            </w:r>
          </w:p>
        </w:tc>
        <w:tc>
          <w:tcPr>
            <w:tcW w:w="1304" w:type="dxa"/>
            <w:tcBorders>
              <w:top w:val="nil"/>
              <w:left w:val="nil"/>
              <w:bottom w:val="nil"/>
              <w:right w:val="nil"/>
            </w:tcBorders>
          </w:tcPr>
          <w:p w14:paraId="2B5BBE1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997CB5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53</w:t>
            </w:r>
          </w:p>
        </w:tc>
      </w:tr>
      <w:tr w:rsidR="00E00878" w:rsidRPr="00F53E25" w14:paraId="46A3C0DA" w14:textId="77777777" w:rsidTr="0076398C">
        <w:tc>
          <w:tcPr>
            <w:tcW w:w="3457" w:type="dxa"/>
            <w:tcBorders>
              <w:top w:val="single" w:sz="6" w:space="0" w:color="auto"/>
              <w:left w:val="single" w:sz="6" w:space="0" w:color="auto"/>
              <w:bottom w:val="single" w:sz="6" w:space="0" w:color="auto"/>
              <w:right w:val="nil"/>
            </w:tcBorders>
          </w:tcPr>
          <w:p w14:paraId="31517517"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Comunicaciones, traducciones, publicaciones e informes sobre la aplicación</w:t>
            </w:r>
          </w:p>
        </w:tc>
        <w:tc>
          <w:tcPr>
            <w:tcW w:w="1304" w:type="dxa"/>
            <w:tcBorders>
              <w:top w:val="single" w:sz="6" w:space="0" w:color="auto"/>
              <w:left w:val="single" w:sz="6" w:space="0" w:color="auto"/>
              <w:bottom w:val="single" w:sz="6" w:space="0" w:color="auto"/>
              <w:right w:val="single" w:sz="6" w:space="0" w:color="auto"/>
            </w:tcBorders>
          </w:tcPr>
          <w:p w14:paraId="1D05B95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60</w:t>
            </w:r>
          </w:p>
        </w:tc>
        <w:tc>
          <w:tcPr>
            <w:tcW w:w="1304" w:type="dxa"/>
            <w:tcBorders>
              <w:top w:val="single" w:sz="6" w:space="0" w:color="auto"/>
              <w:left w:val="single" w:sz="6" w:space="0" w:color="auto"/>
              <w:bottom w:val="single" w:sz="6" w:space="0" w:color="auto"/>
              <w:right w:val="single" w:sz="6" w:space="0" w:color="auto"/>
            </w:tcBorders>
          </w:tcPr>
          <w:p w14:paraId="7FA40B1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40</w:t>
            </w:r>
          </w:p>
        </w:tc>
        <w:tc>
          <w:tcPr>
            <w:tcW w:w="1304" w:type="dxa"/>
            <w:tcBorders>
              <w:top w:val="single" w:sz="6" w:space="0" w:color="auto"/>
              <w:left w:val="single" w:sz="6" w:space="0" w:color="auto"/>
              <w:bottom w:val="single" w:sz="6" w:space="0" w:color="auto"/>
              <w:right w:val="single" w:sz="6" w:space="0" w:color="auto"/>
            </w:tcBorders>
          </w:tcPr>
          <w:p w14:paraId="534AF61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DD047D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56</w:t>
            </w:r>
          </w:p>
        </w:tc>
        <w:tc>
          <w:tcPr>
            <w:tcW w:w="1304" w:type="dxa"/>
            <w:tcBorders>
              <w:top w:val="single" w:sz="6" w:space="0" w:color="auto"/>
              <w:left w:val="single" w:sz="6" w:space="0" w:color="auto"/>
              <w:bottom w:val="single" w:sz="6" w:space="0" w:color="auto"/>
              <w:right w:val="single" w:sz="6" w:space="0" w:color="auto"/>
            </w:tcBorders>
          </w:tcPr>
          <w:p w14:paraId="3A6101B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68C623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156</w:t>
            </w:r>
          </w:p>
        </w:tc>
        <w:tc>
          <w:tcPr>
            <w:tcW w:w="1304" w:type="dxa"/>
            <w:tcBorders>
              <w:top w:val="single" w:sz="6" w:space="0" w:color="auto"/>
              <w:left w:val="nil"/>
              <w:bottom w:val="single" w:sz="6" w:space="0" w:color="auto"/>
              <w:right w:val="nil"/>
            </w:tcBorders>
          </w:tcPr>
          <w:p w14:paraId="42A188F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76</w:t>
            </w:r>
          </w:p>
        </w:tc>
        <w:tc>
          <w:tcPr>
            <w:tcW w:w="1304" w:type="dxa"/>
            <w:tcBorders>
              <w:top w:val="single" w:sz="6" w:space="0" w:color="auto"/>
              <w:left w:val="single" w:sz="6" w:space="0" w:color="auto"/>
              <w:bottom w:val="single" w:sz="6" w:space="0" w:color="auto"/>
              <w:right w:val="single" w:sz="6" w:space="0" w:color="auto"/>
            </w:tcBorders>
          </w:tcPr>
          <w:p w14:paraId="4A0F43A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79</w:t>
            </w:r>
          </w:p>
        </w:tc>
      </w:tr>
      <w:tr w:rsidR="00E00878" w:rsidRPr="00F53E25" w14:paraId="551DC16A" w14:textId="77777777" w:rsidTr="0076398C">
        <w:tc>
          <w:tcPr>
            <w:tcW w:w="3457" w:type="dxa"/>
            <w:tcBorders>
              <w:top w:val="single" w:sz="6" w:space="0" w:color="auto"/>
              <w:left w:val="single" w:sz="6" w:space="0" w:color="auto"/>
              <w:bottom w:val="single" w:sz="6" w:space="0" w:color="auto"/>
              <w:right w:val="nil"/>
            </w:tcBorders>
          </w:tcPr>
          <w:p w14:paraId="132A3AD9"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lastRenderedPageBreak/>
              <w:t>DMH</w:t>
            </w:r>
          </w:p>
        </w:tc>
        <w:tc>
          <w:tcPr>
            <w:tcW w:w="1304" w:type="dxa"/>
            <w:tcBorders>
              <w:top w:val="single" w:sz="6" w:space="0" w:color="auto"/>
              <w:left w:val="single" w:sz="6" w:space="0" w:color="auto"/>
              <w:bottom w:val="single" w:sz="6" w:space="0" w:color="auto"/>
              <w:right w:val="single" w:sz="6" w:space="0" w:color="auto"/>
            </w:tcBorders>
          </w:tcPr>
          <w:p w14:paraId="56204D8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04B24D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DD0013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30</w:t>
            </w:r>
          </w:p>
        </w:tc>
        <w:tc>
          <w:tcPr>
            <w:tcW w:w="1304" w:type="dxa"/>
            <w:tcBorders>
              <w:top w:val="single" w:sz="6" w:space="0" w:color="auto"/>
              <w:left w:val="single" w:sz="6" w:space="0" w:color="auto"/>
              <w:bottom w:val="single" w:sz="6" w:space="0" w:color="auto"/>
              <w:right w:val="single" w:sz="6" w:space="0" w:color="auto"/>
            </w:tcBorders>
          </w:tcPr>
          <w:p w14:paraId="3FCADFD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4FAEF0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9B2011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30</w:t>
            </w:r>
          </w:p>
        </w:tc>
        <w:tc>
          <w:tcPr>
            <w:tcW w:w="1304" w:type="dxa"/>
            <w:tcBorders>
              <w:top w:val="single" w:sz="6" w:space="0" w:color="auto"/>
              <w:left w:val="nil"/>
              <w:bottom w:val="single" w:sz="6" w:space="0" w:color="auto"/>
              <w:right w:val="nil"/>
            </w:tcBorders>
          </w:tcPr>
          <w:p w14:paraId="0CE1C09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4BA6B29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20</w:t>
            </w:r>
          </w:p>
        </w:tc>
      </w:tr>
      <w:tr w:rsidR="00E00878" w:rsidRPr="00F53E25" w14:paraId="05C76074" w14:textId="77777777" w:rsidTr="0076398C">
        <w:tc>
          <w:tcPr>
            <w:tcW w:w="3457" w:type="dxa"/>
            <w:tcBorders>
              <w:top w:val="nil"/>
              <w:left w:val="single" w:sz="6" w:space="0" w:color="auto"/>
              <w:bottom w:val="nil"/>
              <w:right w:val="nil"/>
            </w:tcBorders>
          </w:tcPr>
          <w:p w14:paraId="7191DDB1"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50º Aniversario en 2021</w:t>
            </w:r>
          </w:p>
        </w:tc>
        <w:tc>
          <w:tcPr>
            <w:tcW w:w="1304" w:type="dxa"/>
            <w:tcBorders>
              <w:top w:val="nil"/>
              <w:left w:val="single" w:sz="6" w:space="0" w:color="auto"/>
              <w:bottom w:val="nil"/>
              <w:right w:val="single" w:sz="6" w:space="0" w:color="auto"/>
            </w:tcBorders>
          </w:tcPr>
          <w:p w14:paraId="03F2B58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129E66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F792E1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13</w:t>
            </w:r>
          </w:p>
        </w:tc>
        <w:tc>
          <w:tcPr>
            <w:tcW w:w="1304" w:type="dxa"/>
            <w:tcBorders>
              <w:top w:val="nil"/>
              <w:left w:val="single" w:sz="6" w:space="0" w:color="auto"/>
              <w:bottom w:val="nil"/>
              <w:right w:val="single" w:sz="6" w:space="0" w:color="auto"/>
            </w:tcBorders>
          </w:tcPr>
          <w:p w14:paraId="36EA5A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7A8B0F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D9A1AE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13</w:t>
            </w:r>
          </w:p>
        </w:tc>
        <w:tc>
          <w:tcPr>
            <w:tcW w:w="1304" w:type="dxa"/>
            <w:tcBorders>
              <w:top w:val="nil"/>
              <w:left w:val="nil"/>
              <w:bottom w:val="nil"/>
              <w:right w:val="nil"/>
            </w:tcBorders>
          </w:tcPr>
          <w:p w14:paraId="1C06A64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46249DD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w:t>
            </w:r>
          </w:p>
        </w:tc>
      </w:tr>
      <w:tr w:rsidR="00E00878" w:rsidRPr="00F53E25" w14:paraId="0F5E9C2F" w14:textId="77777777" w:rsidTr="0076398C">
        <w:tc>
          <w:tcPr>
            <w:tcW w:w="3457" w:type="dxa"/>
            <w:tcBorders>
              <w:top w:val="single" w:sz="6" w:space="0" w:color="auto"/>
              <w:left w:val="single" w:sz="6" w:space="0" w:color="auto"/>
              <w:bottom w:val="single" w:sz="6" w:space="0" w:color="auto"/>
              <w:right w:val="nil"/>
            </w:tcBorders>
          </w:tcPr>
          <w:p w14:paraId="4CCBE97A" w14:textId="68A64C0B"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 xml:space="preserve">Apoyo </w:t>
            </w:r>
            <w:r w:rsidRPr="00F53E25">
              <w:rPr>
                <w:rFonts w:asciiTheme="minorHAnsi" w:hAnsiTheme="minorHAnsi"/>
                <w:bCs/>
                <w:color w:val="000000" w:themeColor="text1"/>
                <w:sz w:val="20"/>
                <w:szCs w:val="20"/>
              </w:rPr>
              <w:t>y desarrollo del sitio web/</w:t>
            </w:r>
            <w:r w:rsidR="006972B4" w:rsidRPr="00F53E25">
              <w:rPr>
                <w:rFonts w:asciiTheme="minorHAnsi" w:hAnsiTheme="minorHAnsi"/>
                <w:bCs/>
                <w:color w:val="000000" w:themeColor="text1"/>
                <w:sz w:val="20"/>
                <w:szCs w:val="20"/>
              </w:rPr>
              <w:t>servicios informáticos</w:t>
            </w:r>
          </w:p>
        </w:tc>
        <w:tc>
          <w:tcPr>
            <w:tcW w:w="1304" w:type="dxa"/>
            <w:tcBorders>
              <w:top w:val="single" w:sz="6" w:space="0" w:color="auto"/>
              <w:left w:val="single" w:sz="6" w:space="0" w:color="auto"/>
              <w:bottom w:val="single" w:sz="6" w:space="0" w:color="auto"/>
              <w:right w:val="single" w:sz="6" w:space="0" w:color="auto"/>
            </w:tcBorders>
          </w:tcPr>
          <w:p w14:paraId="45C8D50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37</w:t>
            </w:r>
          </w:p>
        </w:tc>
        <w:tc>
          <w:tcPr>
            <w:tcW w:w="1304" w:type="dxa"/>
            <w:tcBorders>
              <w:top w:val="single" w:sz="6" w:space="0" w:color="auto"/>
              <w:left w:val="single" w:sz="6" w:space="0" w:color="auto"/>
              <w:bottom w:val="single" w:sz="6" w:space="0" w:color="auto"/>
              <w:right w:val="single" w:sz="6" w:space="0" w:color="auto"/>
            </w:tcBorders>
          </w:tcPr>
          <w:p w14:paraId="44A109A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0FBB6D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38</w:t>
            </w:r>
          </w:p>
        </w:tc>
        <w:tc>
          <w:tcPr>
            <w:tcW w:w="1304" w:type="dxa"/>
            <w:tcBorders>
              <w:top w:val="single" w:sz="6" w:space="0" w:color="auto"/>
              <w:left w:val="single" w:sz="6" w:space="0" w:color="auto"/>
              <w:bottom w:val="single" w:sz="6" w:space="0" w:color="auto"/>
              <w:right w:val="single" w:sz="6" w:space="0" w:color="auto"/>
            </w:tcBorders>
          </w:tcPr>
          <w:p w14:paraId="03A21CE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(14)</w:t>
            </w:r>
          </w:p>
        </w:tc>
        <w:tc>
          <w:tcPr>
            <w:tcW w:w="1304" w:type="dxa"/>
            <w:tcBorders>
              <w:top w:val="single" w:sz="6" w:space="0" w:color="auto"/>
              <w:left w:val="single" w:sz="6" w:space="0" w:color="auto"/>
              <w:bottom w:val="single" w:sz="6" w:space="0" w:color="auto"/>
              <w:right w:val="single" w:sz="6" w:space="0" w:color="auto"/>
            </w:tcBorders>
          </w:tcPr>
          <w:p w14:paraId="7D3C098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345AB8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61</w:t>
            </w:r>
          </w:p>
        </w:tc>
        <w:tc>
          <w:tcPr>
            <w:tcW w:w="1304" w:type="dxa"/>
            <w:tcBorders>
              <w:top w:val="single" w:sz="6" w:space="0" w:color="auto"/>
              <w:left w:val="nil"/>
              <w:bottom w:val="single" w:sz="6" w:space="0" w:color="auto"/>
              <w:right w:val="nil"/>
            </w:tcBorders>
          </w:tcPr>
          <w:p w14:paraId="22D211B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57</w:t>
            </w:r>
          </w:p>
        </w:tc>
        <w:tc>
          <w:tcPr>
            <w:tcW w:w="1304" w:type="dxa"/>
            <w:tcBorders>
              <w:top w:val="single" w:sz="6" w:space="0" w:color="auto"/>
              <w:left w:val="single" w:sz="6" w:space="0" w:color="auto"/>
              <w:bottom w:val="single" w:sz="6" w:space="0" w:color="auto"/>
              <w:right w:val="single" w:sz="6" w:space="0" w:color="auto"/>
            </w:tcBorders>
          </w:tcPr>
          <w:p w14:paraId="6FFE71B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p>
        </w:tc>
      </w:tr>
      <w:tr w:rsidR="00E00878" w:rsidRPr="00F53E25" w14:paraId="6A06457F" w14:textId="77777777" w:rsidTr="0076398C">
        <w:tc>
          <w:tcPr>
            <w:tcW w:w="3457" w:type="dxa"/>
            <w:tcBorders>
              <w:top w:val="nil"/>
              <w:left w:val="single" w:sz="6" w:space="0" w:color="auto"/>
              <w:bottom w:val="nil"/>
              <w:right w:val="nil"/>
            </w:tcBorders>
          </w:tcPr>
          <w:p w14:paraId="3B9A6ADA"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Viajes</w:t>
            </w:r>
          </w:p>
        </w:tc>
        <w:tc>
          <w:tcPr>
            <w:tcW w:w="1304" w:type="dxa"/>
            <w:tcBorders>
              <w:top w:val="nil"/>
              <w:left w:val="single" w:sz="6" w:space="0" w:color="auto"/>
              <w:bottom w:val="nil"/>
              <w:right w:val="single" w:sz="6" w:space="0" w:color="auto"/>
            </w:tcBorders>
          </w:tcPr>
          <w:p w14:paraId="2E01F46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C08F62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1ED7B92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4E7644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BFF312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80E00A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nil"/>
              <w:bottom w:val="nil"/>
              <w:right w:val="nil"/>
            </w:tcBorders>
          </w:tcPr>
          <w:p w14:paraId="6C3B21A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387564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r>
      <w:tr w:rsidR="00E00878" w:rsidRPr="00F53E25" w14:paraId="4157C195" w14:textId="77777777" w:rsidTr="0076398C">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0DA51991"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C.  Asesoramiento y apoyo regionales</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1D28FE4" w14:textId="2AB9D420"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271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5E6EAD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6CCA2E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39285D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725174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4FA7235" w14:textId="76DBBE22"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377</w:t>
            </w:r>
          </w:p>
        </w:tc>
        <w:tc>
          <w:tcPr>
            <w:tcW w:w="1304" w:type="dxa"/>
            <w:tcBorders>
              <w:top w:val="single" w:sz="6" w:space="0" w:color="auto"/>
              <w:left w:val="nil"/>
              <w:bottom w:val="single" w:sz="6" w:space="0" w:color="auto"/>
              <w:right w:val="nil"/>
            </w:tcBorders>
            <w:shd w:val="clear" w:color="auto" w:fill="EAF1DD" w:themeFill="accent3" w:themeFillTint="33"/>
          </w:tcPr>
          <w:p w14:paraId="66FC214F" w14:textId="70D95655"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056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7196CD8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321</w:t>
            </w:r>
          </w:p>
        </w:tc>
      </w:tr>
      <w:tr w:rsidR="00E00878" w:rsidRPr="00F53E25" w14:paraId="644C8CC3" w14:textId="77777777" w:rsidTr="0076398C">
        <w:tc>
          <w:tcPr>
            <w:tcW w:w="3457" w:type="dxa"/>
            <w:tcBorders>
              <w:top w:val="nil"/>
              <w:left w:val="single" w:sz="6" w:space="0" w:color="auto"/>
              <w:bottom w:val="nil"/>
              <w:right w:val="nil"/>
            </w:tcBorders>
          </w:tcPr>
          <w:p w14:paraId="5EAA4F9D"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Salarios y gastos sociales</w:t>
            </w:r>
          </w:p>
        </w:tc>
        <w:tc>
          <w:tcPr>
            <w:tcW w:w="1304" w:type="dxa"/>
            <w:tcBorders>
              <w:top w:val="nil"/>
              <w:left w:val="single" w:sz="6" w:space="0" w:color="auto"/>
              <w:bottom w:val="nil"/>
              <w:right w:val="single" w:sz="6" w:space="0" w:color="auto"/>
            </w:tcBorders>
          </w:tcPr>
          <w:p w14:paraId="46BD15BF" w14:textId="7C2A6283"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178</w:t>
            </w:r>
          </w:p>
        </w:tc>
        <w:tc>
          <w:tcPr>
            <w:tcW w:w="1304" w:type="dxa"/>
            <w:tcBorders>
              <w:top w:val="nil"/>
              <w:left w:val="single" w:sz="6" w:space="0" w:color="auto"/>
              <w:bottom w:val="nil"/>
              <w:right w:val="single" w:sz="6" w:space="0" w:color="auto"/>
            </w:tcBorders>
          </w:tcPr>
          <w:p w14:paraId="5EF826D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0F5DF0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379740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565B0E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93F43EA" w14:textId="319B62F1"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178</w:t>
            </w:r>
          </w:p>
        </w:tc>
        <w:tc>
          <w:tcPr>
            <w:tcW w:w="1304" w:type="dxa"/>
            <w:tcBorders>
              <w:top w:val="nil"/>
              <w:left w:val="nil"/>
              <w:bottom w:val="nil"/>
              <w:right w:val="nil"/>
            </w:tcBorders>
          </w:tcPr>
          <w:p w14:paraId="7B1D26D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991</w:t>
            </w:r>
          </w:p>
        </w:tc>
        <w:tc>
          <w:tcPr>
            <w:tcW w:w="1304" w:type="dxa"/>
            <w:tcBorders>
              <w:top w:val="nil"/>
              <w:left w:val="single" w:sz="6" w:space="0" w:color="auto"/>
              <w:bottom w:val="nil"/>
              <w:right w:val="single" w:sz="6" w:space="0" w:color="auto"/>
            </w:tcBorders>
          </w:tcPr>
          <w:p w14:paraId="2869221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187</w:t>
            </w:r>
          </w:p>
        </w:tc>
      </w:tr>
      <w:tr w:rsidR="00E00878" w:rsidRPr="00F53E25" w14:paraId="7B900846" w14:textId="77777777" w:rsidTr="0076398C">
        <w:tc>
          <w:tcPr>
            <w:tcW w:w="3457" w:type="dxa"/>
            <w:tcBorders>
              <w:top w:val="single" w:sz="6" w:space="0" w:color="auto"/>
              <w:left w:val="single" w:sz="6" w:space="0" w:color="auto"/>
              <w:bottom w:val="single" w:sz="6" w:space="0" w:color="auto"/>
              <w:right w:val="nil"/>
            </w:tcBorders>
          </w:tcPr>
          <w:p w14:paraId="67C10395"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Otras prestaciones laborales</w:t>
            </w:r>
          </w:p>
        </w:tc>
        <w:tc>
          <w:tcPr>
            <w:tcW w:w="1304" w:type="dxa"/>
            <w:tcBorders>
              <w:top w:val="single" w:sz="6" w:space="0" w:color="auto"/>
              <w:left w:val="single" w:sz="6" w:space="0" w:color="auto"/>
              <w:bottom w:val="single" w:sz="6" w:space="0" w:color="auto"/>
              <w:right w:val="single" w:sz="6" w:space="0" w:color="auto"/>
            </w:tcBorders>
          </w:tcPr>
          <w:p w14:paraId="72B356C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71</w:t>
            </w:r>
          </w:p>
        </w:tc>
        <w:tc>
          <w:tcPr>
            <w:tcW w:w="1304" w:type="dxa"/>
            <w:tcBorders>
              <w:top w:val="single" w:sz="6" w:space="0" w:color="auto"/>
              <w:left w:val="single" w:sz="6" w:space="0" w:color="auto"/>
              <w:bottom w:val="single" w:sz="6" w:space="0" w:color="auto"/>
              <w:right w:val="single" w:sz="6" w:space="0" w:color="auto"/>
            </w:tcBorders>
          </w:tcPr>
          <w:p w14:paraId="6515D0F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0FF3D9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AE9E4B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9F79EF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B9B225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71</w:t>
            </w:r>
          </w:p>
        </w:tc>
        <w:tc>
          <w:tcPr>
            <w:tcW w:w="1304" w:type="dxa"/>
            <w:tcBorders>
              <w:top w:val="single" w:sz="6" w:space="0" w:color="auto"/>
              <w:left w:val="nil"/>
              <w:bottom w:val="single" w:sz="6" w:space="0" w:color="auto"/>
              <w:right w:val="nil"/>
            </w:tcBorders>
          </w:tcPr>
          <w:p w14:paraId="6980E93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58</w:t>
            </w:r>
          </w:p>
        </w:tc>
        <w:tc>
          <w:tcPr>
            <w:tcW w:w="1304" w:type="dxa"/>
            <w:tcBorders>
              <w:top w:val="single" w:sz="6" w:space="0" w:color="auto"/>
              <w:left w:val="single" w:sz="6" w:space="0" w:color="auto"/>
              <w:bottom w:val="single" w:sz="6" w:space="0" w:color="auto"/>
              <w:right w:val="single" w:sz="6" w:space="0" w:color="auto"/>
            </w:tcBorders>
          </w:tcPr>
          <w:p w14:paraId="1180217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13</w:t>
            </w:r>
          </w:p>
        </w:tc>
      </w:tr>
      <w:tr w:rsidR="00E00878" w:rsidRPr="00F53E25" w14:paraId="2A88ECCC" w14:textId="77777777" w:rsidTr="0076398C">
        <w:tc>
          <w:tcPr>
            <w:tcW w:w="3457" w:type="dxa"/>
            <w:tcBorders>
              <w:top w:val="nil"/>
              <w:left w:val="single" w:sz="6" w:space="0" w:color="auto"/>
              <w:bottom w:val="nil"/>
              <w:right w:val="nil"/>
            </w:tcBorders>
          </w:tcPr>
          <w:p w14:paraId="5F9A5AEA"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Viajes</w:t>
            </w:r>
          </w:p>
        </w:tc>
        <w:tc>
          <w:tcPr>
            <w:tcW w:w="1304" w:type="dxa"/>
            <w:tcBorders>
              <w:top w:val="nil"/>
              <w:left w:val="single" w:sz="6" w:space="0" w:color="auto"/>
              <w:bottom w:val="nil"/>
              <w:right w:val="single" w:sz="6" w:space="0" w:color="auto"/>
            </w:tcBorders>
          </w:tcPr>
          <w:p w14:paraId="3F9EBC0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22</w:t>
            </w:r>
          </w:p>
        </w:tc>
        <w:tc>
          <w:tcPr>
            <w:tcW w:w="1304" w:type="dxa"/>
            <w:tcBorders>
              <w:top w:val="nil"/>
              <w:left w:val="single" w:sz="6" w:space="0" w:color="auto"/>
              <w:bottom w:val="nil"/>
              <w:right w:val="single" w:sz="6" w:space="0" w:color="auto"/>
            </w:tcBorders>
          </w:tcPr>
          <w:p w14:paraId="479FCCB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nil"/>
              <w:left w:val="single" w:sz="6" w:space="0" w:color="auto"/>
              <w:bottom w:val="nil"/>
              <w:right w:val="single" w:sz="6" w:space="0" w:color="auto"/>
            </w:tcBorders>
          </w:tcPr>
          <w:p w14:paraId="587CFAC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DAD283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6EBA45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90D3EF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32</w:t>
            </w:r>
          </w:p>
        </w:tc>
        <w:tc>
          <w:tcPr>
            <w:tcW w:w="1304" w:type="dxa"/>
            <w:tcBorders>
              <w:top w:val="nil"/>
              <w:left w:val="nil"/>
              <w:bottom w:val="nil"/>
              <w:right w:val="nil"/>
            </w:tcBorders>
          </w:tcPr>
          <w:p w14:paraId="2C35E9B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w:t>
            </w:r>
          </w:p>
        </w:tc>
        <w:tc>
          <w:tcPr>
            <w:tcW w:w="1304" w:type="dxa"/>
            <w:tcBorders>
              <w:top w:val="nil"/>
              <w:left w:val="single" w:sz="6" w:space="0" w:color="auto"/>
              <w:bottom w:val="nil"/>
              <w:right w:val="single" w:sz="6" w:space="0" w:color="auto"/>
            </w:tcBorders>
          </w:tcPr>
          <w:p w14:paraId="2B53023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r>
      <w:tr w:rsidR="00E00878" w:rsidRPr="00F53E25" w14:paraId="3E162762" w14:textId="77777777" w:rsidTr="0076398C">
        <w:tc>
          <w:tcPr>
            <w:tcW w:w="3457" w:type="dxa"/>
            <w:tcBorders>
              <w:top w:val="single" w:sz="6" w:space="0" w:color="auto"/>
              <w:left w:val="single" w:sz="6" w:space="0" w:color="auto"/>
              <w:bottom w:val="single" w:sz="6" w:space="0" w:color="auto"/>
              <w:right w:val="nil"/>
            </w:tcBorders>
          </w:tcPr>
          <w:p w14:paraId="61F10867"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Misiones Ramsar de Asesoramiento</w:t>
            </w:r>
          </w:p>
        </w:tc>
        <w:tc>
          <w:tcPr>
            <w:tcW w:w="1304" w:type="dxa"/>
            <w:tcBorders>
              <w:top w:val="single" w:sz="6" w:space="0" w:color="auto"/>
              <w:left w:val="single" w:sz="6" w:space="0" w:color="auto"/>
              <w:bottom w:val="single" w:sz="6" w:space="0" w:color="auto"/>
              <w:right w:val="single" w:sz="6" w:space="0" w:color="auto"/>
            </w:tcBorders>
          </w:tcPr>
          <w:p w14:paraId="76DC3D6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A2C2DB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BE1F5F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96</w:t>
            </w:r>
          </w:p>
        </w:tc>
        <w:tc>
          <w:tcPr>
            <w:tcW w:w="1304" w:type="dxa"/>
            <w:tcBorders>
              <w:top w:val="single" w:sz="6" w:space="0" w:color="auto"/>
              <w:left w:val="single" w:sz="6" w:space="0" w:color="auto"/>
              <w:bottom w:val="single" w:sz="6" w:space="0" w:color="auto"/>
              <w:right w:val="single" w:sz="6" w:space="0" w:color="auto"/>
            </w:tcBorders>
          </w:tcPr>
          <w:p w14:paraId="76A682C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CF53D3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73AC7F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96</w:t>
            </w:r>
          </w:p>
        </w:tc>
        <w:tc>
          <w:tcPr>
            <w:tcW w:w="1304" w:type="dxa"/>
            <w:tcBorders>
              <w:top w:val="single" w:sz="6" w:space="0" w:color="auto"/>
              <w:left w:val="nil"/>
              <w:bottom w:val="single" w:sz="6" w:space="0" w:color="auto"/>
              <w:right w:val="nil"/>
            </w:tcBorders>
          </w:tcPr>
          <w:p w14:paraId="451720B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34F8E6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96</w:t>
            </w:r>
          </w:p>
        </w:tc>
      </w:tr>
      <w:tr w:rsidR="00E00878" w:rsidRPr="00F53E25" w14:paraId="4BF8FAC2" w14:textId="77777777" w:rsidTr="0076398C">
        <w:tc>
          <w:tcPr>
            <w:tcW w:w="3457" w:type="dxa"/>
            <w:tcBorders>
              <w:top w:val="nil"/>
              <w:left w:val="single" w:sz="6" w:space="0" w:color="auto"/>
              <w:bottom w:val="nil"/>
              <w:right w:val="nil"/>
            </w:tcBorders>
            <w:shd w:val="clear" w:color="auto" w:fill="EAF1DD" w:themeFill="accent3" w:themeFillTint="33"/>
          </w:tcPr>
          <w:p w14:paraId="72F1B603"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D.  Apoyo a las iniciativas regionales</w:t>
            </w:r>
          </w:p>
        </w:tc>
        <w:tc>
          <w:tcPr>
            <w:tcW w:w="1304" w:type="dxa"/>
            <w:tcBorders>
              <w:top w:val="nil"/>
              <w:left w:val="single" w:sz="6" w:space="0" w:color="auto"/>
              <w:bottom w:val="nil"/>
              <w:right w:val="single" w:sz="6" w:space="0" w:color="auto"/>
            </w:tcBorders>
            <w:shd w:val="clear" w:color="auto" w:fill="EAF1DD" w:themeFill="accent3" w:themeFillTint="33"/>
          </w:tcPr>
          <w:p w14:paraId="3DE0820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60</w:t>
            </w:r>
          </w:p>
        </w:tc>
        <w:tc>
          <w:tcPr>
            <w:tcW w:w="1304" w:type="dxa"/>
            <w:tcBorders>
              <w:top w:val="nil"/>
              <w:left w:val="single" w:sz="6" w:space="0" w:color="auto"/>
              <w:bottom w:val="nil"/>
              <w:right w:val="single" w:sz="6" w:space="0" w:color="auto"/>
            </w:tcBorders>
            <w:shd w:val="clear" w:color="auto" w:fill="EAF1DD" w:themeFill="accent3" w:themeFillTint="33"/>
          </w:tcPr>
          <w:p w14:paraId="68E8566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34467DF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87</w:t>
            </w:r>
          </w:p>
        </w:tc>
        <w:tc>
          <w:tcPr>
            <w:tcW w:w="1304" w:type="dxa"/>
            <w:tcBorders>
              <w:top w:val="nil"/>
              <w:left w:val="single" w:sz="6" w:space="0" w:color="auto"/>
              <w:bottom w:val="nil"/>
              <w:right w:val="single" w:sz="6" w:space="0" w:color="auto"/>
            </w:tcBorders>
            <w:shd w:val="clear" w:color="auto" w:fill="EAF1DD" w:themeFill="accent3" w:themeFillTint="33"/>
          </w:tcPr>
          <w:p w14:paraId="0F5A2A9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1120CAD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20</w:t>
            </w:r>
          </w:p>
        </w:tc>
        <w:tc>
          <w:tcPr>
            <w:tcW w:w="1304" w:type="dxa"/>
            <w:tcBorders>
              <w:top w:val="nil"/>
              <w:left w:val="single" w:sz="6" w:space="0" w:color="auto"/>
              <w:bottom w:val="nil"/>
              <w:right w:val="single" w:sz="6" w:space="0" w:color="auto"/>
            </w:tcBorders>
            <w:shd w:val="clear" w:color="auto" w:fill="EAF1DD" w:themeFill="accent3" w:themeFillTint="33"/>
          </w:tcPr>
          <w:p w14:paraId="321311E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167</w:t>
            </w:r>
          </w:p>
        </w:tc>
        <w:tc>
          <w:tcPr>
            <w:tcW w:w="1304" w:type="dxa"/>
            <w:tcBorders>
              <w:top w:val="nil"/>
              <w:left w:val="nil"/>
              <w:bottom w:val="nil"/>
              <w:right w:val="nil"/>
            </w:tcBorders>
            <w:shd w:val="clear" w:color="auto" w:fill="EAF1DD" w:themeFill="accent3" w:themeFillTint="33"/>
          </w:tcPr>
          <w:p w14:paraId="20A24BF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70</w:t>
            </w:r>
          </w:p>
        </w:tc>
        <w:tc>
          <w:tcPr>
            <w:tcW w:w="1304" w:type="dxa"/>
            <w:tcBorders>
              <w:top w:val="nil"/>
              <w:left w:val="single" w:sz="6" w:space="0" w:color="auto"/>
              <w:bottom w:val="nil"/>
              <w:right w:val="single" w:sz="6" w:space="0" w:color="auto"/>
            </w:tcBorders>
            <w:shd w:val="clear" w:color="auto" w:fill="EAF1DD" w:themeFill="accent3" w:themeFillTint="33"/>
          </w:tcPr>
          <w:p w14:paraId="0D49316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97</w:t>
            </w:r>
          </w:p>
        </w:tc>
      </w:tr>
      <w:tr w:rsidR="00E00878" w:rsidRPr="00F53E25" w14:paraId="2F225006" w14:textId="77777777" w:rsidTr="0076398C">
        <w:tc>
          <w:tcPr>
            <w:tcW w:w="3457" w:type="dxa"/>
            <w:tcBorders>
              <w:top w:val="single" w:sz="6" w:space="0" w:color="auto"/>
              <w:left w:val="single" w:sz="6" w:space="0" w:color="auto"/>
              <w:bottom w:val="single" w:sz="6" w:space="0" w:color="auto"/>
              <w:right w:val="nil"/>
            </w:tcBorders>
          </w:tcPr>
          <w:p w14:paraId="29B8C31D"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GT-IR, Res. XIII.9, párr. 10</w:t>
            </w:r>
          </w:p>
        </w:tc>
        <w:tc>
          <w:tcPr>
            <w:tcW w:w="1304" w:type="dxa"/>
            <w:tcBorders>
              <w:top w:val="single" w:sz="6" w:space="0" w:color="auto"/>
              <w:left w:val="single" w:sz="6" w:space="0" w:color="auto"/>
              <w:bottom w:val="single" w:sz="6" w:space="0" w:color="auto"/>
              <w:right w:val="single" w:sz="6" w:space="0" w:color="auto"/>
            </w:tcBorders>
          </w:tcPr>
          <w:p w14:paraId="3021F2D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16D407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74F482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21</w:t>
            </w:r>
          </w:p>
        </w:tc>
        <w:tc>
          <w:tcPr>
            <w:tcW w:w="1304" w:type="dxa"/>
            <w:tcBorders>
              <w:top w:val="single" w:sz="6" w:space="0" w:color="auto"/>
              <w:left w:val="single" w:sz="6" w:space="0" w:color="auto"/>
              <w:bottom w:val="single" w:sz="6" w:space="0" w:color="auto"/>
              <w:right w:val="single" w:sz="6" w:space="0" w:color="auto"/>
            </w:tcBorders>
          </w:tcPr>
          <w:p w14:paraId="37901D7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EC65C1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AC757E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21</w:t>
            </w:r>
          </w:p>
        </w:tc>
        <w:tc>
          <w:tcPr>
            <w:tcW w:w="1304" w:type="dxa"/>
            <w:tcBorders>
              <w:top w:val="single" w:sz="6" w:space="0" w:color="auto"/>
              <w:left w:val="nil"/>
              <w:bottom w:val="single" w:sz="6" w:space="0" w:color="auto"/>
              <w:right w:val="nil"/>
            </w:tcBorders>
          </w:tcPr>
          <w:p w14:paraId="1C846E0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F7D90A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21</w:t>
            </w:r>
          </w:p>
        </w:tc>
      </w:tr>
      <w:tr w:rsidR="00E00878" w:rsidRPr="00F53E25" w14:paraId="0F5FEFC2" w14:textId="77777777" w:rsidTr="0076398C">
        <w:tc>
          <w:tcPr>
            <w:tcW w:w="3457" w:type="dxa"/>
            <w:tcBorders>
              <w:top w:val="single" w:sz="6" w:space="0" w:color="auto"/>
              <w:left w:val="single" w:sz="6" w:space="0" w:color="auto"/>
              <w:bottom w:val="single" w:sz="6" w:space="0" w:color="auto"/>
              <w:right w:val="nil"/>
            </w:tcBorders>
          </w:tcPr>
          <w:p w14:paraId="5264C05C" w14:textId="156916BA" w:rsidR="00E00878" w:rsidRPr="00F53E25" w:rsidRDefault="006972B4" w:rsidP="0076398C">
            <w:pPr>
              <w:autoSpaceDE w:val="0"/>
              <w:autoSpaceDN w:val="0"/>
              <w:adjustRightInd w:val="0"/>
              <w:ind w:left="0" w:firstLine="0"/>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Redacción de propuestas para las IRR</w:t>
            </w:r>
          </w:p>
        </w:tc>
        <w:tc>
          <w:tcPr>
            <w:tcW w:w="1304" w:type="dxa"/>
            <w:tcBorders>
              <w:top w:val="single" w:sz="6" w:space="0" w:color="auto"/>
              <w:left w:val="single" w:sz="6" w:space="0" w:color="auto"/>
              <w:bottom w:val="single" w:sz="6" w:space="0" w:color="auto"/>
              <w:right w:val="single" w:sz="6" w:space="0" w:color="auto"/>
            </w:tcBorders>
          </w:tcPr>
          <w:p w14:paraId="7E345C8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9CE1EA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37AB95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062451A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A5D963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357887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nil"/>
              <w:bottom w:val="single" w:sz="6" w:space="0" w:color="auto"/>
              <w:right w:val="nil"/>
            </w:tcBorders>
          </w:tcPr>
          <w:p w14:paraId="401A9BE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57DB33D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4314DEF7" w14:textId="77777777" w:rsidTr="0076398C">
        <w:tc>
          <w:tcPr>
            <w:tcW w:w="3457" w:type="dxa"/>
            <w:tcBorders>
              <w:top w:val="nil"/>
              <w:left w:val="single" w:sz="6" w:space="0" w:color="auto"/>
              <w:bottom w:val="nil"/>
              <w:right w:val="nil"/>
            </w:tcBorders>
          </w:tcPr>
          <w:p w14:paraId="6E7DB19A"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Actividad 1: Cuenca del río Senegal</w:t>
            </w:r>
          </w:p>
        </w:tc>
        <w:tc>
          <w:tcPr>
            <w:tcW w:w="1304" w:type="dxa"/>
            <w:tcBorders>
              <w:top w:val="nil"/>
              <w:left w:val="single" w:sz="6" w:space="0" w:color="auto"/>
              <w:bottom w:val="nil"/>
              <w:right w:val="single" w:sz="6" w:space="0" w:color="auto"/>
            </w:tcBorders>
          </w:tcPr>
          <w:p w14:paraId="67134F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w:t>
            </w:r>
          </w:p>
        </w:tc>
        <w:tc>
          <w:tcPr>
            <w:tcW w:w="1304" w:type="dxa"/>
            <w:tcBorders>
              <w:top w:val="nil"/>
              <w:left w:val="single" w:sz="6" w:space="0" w:color="auto"/>
              <w:bottom w:val="nil"/>
              <w:right w:val="single" w:sz="6" w:space="0" w:color="auto"/>
            </w:tcBorders>
          </w:tcPr>
          <w:p w14:paraId="6AE7DE8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C51CAF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8E38C5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C8BCB0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9F9D60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w:t>
            </w:r>
          </w:p>
        </w:tc>
        <w:tc>
          <w:tcPr>
            <w:tcW w:w="1304" w:type="dxa"/>
            <w:tcBorders>
              <w:top w:val="nil"/>
              <w:left w:val="nil"/>
              <w:bottom w:val="nil"/>
              <w:right w:val="nil"/>
            </w:tcBorders>
          </w:tcPr>
          <w:p w14:paraId="0095247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w:t>
            </w:r>
          </w:p>
        </w:tc>
        <w:tc>
          <w:tcPr>
            <w:tcW w:w="1304" w:type="dxa"/>
            <w:tcBorders>
              <w:top w:val="nil"/>
              <w:left w:val="single" w:sz="6" w:space="0" w:color="auto"/>
              <w:bottom w:val="nil"/>
              <w:right w:val="single" w:sz="6" w:space="0" w:color="auto"/>
            </w:tcBorders>
          </w:tcPr>
          <w:p w14:paraId="74A3984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6CFBE0CA" w14:textId="77777777" w:rsidTr="0076398C">
        <w:tc>
          <w:tcPr>
            <w:tcW w:w="3457" w:type="dxa"/>
            <w:tcBorders>
              <w:top w:val="single" w:sz="6" w:space="0" w:color="auto"/>
              <w:left w:val="single" w:sz="6" w:space="0" w:color="auto"/>
              <w:bottom w:val="single" w:sz="6" w:space="0" w:color="auto"/>
              <w:right w:val="nil"/>
            </w:tcBorders>
          </w:tcPr>
          <w:p w14:paraId="12BA7796"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Actividad 2: Cuenca del río Amazonas</w:t>
            </w:r>
          </w:p>
        </w:tc>
        <w:tc>
          <w:tcPr>
            <w:tcW w:w="1304" w:type="dxa"/>
            <w:tcBorders>
              <w:top w:val="single" w:sz="6" w:space="0" w:color="auto"/>
              <w:left w:val="single" w:sz="6" w:space="0" w:color="auto"/>
              <w:bottom w:val="single" w:sz="6" w:space="0" w:color="auto"/>
              <w:right w:val="single" w:sz="6" w:space="0" w:color="auto"/>
            </w:tcBorders>
          </w:tcPr>
          <w:p w14:paraId="168A5E6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w:t>
            </w:r>
          </w:p>
        </w:tc>
        <w:tc>
          <w:tcPr>
            <w:tcW w:w="1304" w:type="dxa"/>
            <w:tcBorders>
              <w:top w:val="single" w:sz="6" w:space="0" w:color="auto"/>
              <w:left w:val="single" w:sz="6" w:space="0" w:color="auto"/>
              <w:bottom w:val="single" w:sz="6" w:space="0" w:color="auto"/>
              <w:right w:val="single" w:sz="6" w:space="0" w:color="auto"/>
            </w:tcBorders>
          </w:tcPr>
          <w:p w14:paraId="555476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43FBD0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61</w:t>
            </w:r>
          </w:p>
        </w:tc>
        <w:tc>
          <w:tcPr>
            <w:tcW w:w="1304" w:type="dxa"/>
            <w:tcBorders>
              <w:top w:val="single" w:sz="6" w:space="0" w:color="auto"/>
              <w:left w:val="single" w:sz="6" w:space="0" w:color="auto"/>
              <w:bottom w:val="single" w:sz="6" w:space="0" w:color="auto"/>
              <w:right w:val="single" w:sz="6" w:space="0" w:color="auto"/>
            </w:tcBorders>
          </w:tcPr>
          <w:p w14:paraId="3C42DBD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BF92A2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0D268C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76</w:t>
            </w:r>
          </w:p>
        </w:tc>
        <w:tc>
          <w:tcPr>
            <w:tcW w:w="1304" w:type="dxa"/>
            <w:tcBorders>
              <w:top w:val="single" w:sz="6" w:space="0" w:color="auto"/>
              <w:left w:val="nil"/>
              <w:bottom w:val="single" w:sz="6" w:space="0" w:color="auto"/>
              <w:right w:val="nil"/>
            </w:tcBorders>
          </w:tcPr>
          <w:p w14:paraId="330AF2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60FF37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76</w:t>
            </w:r>
          </w:p>
        </w:tc>
      </w:tr>
      <w:tr w:rsidR="00E00878" w:rsidRPr="00F53E25" w14:paraId="67015C12" w14:textId="77777777" w:rsidTr="0076398C">
        <w:tc>
          <w:tcPr>
            <w:tcW w:w="3457" w:type="dxa"/>
            <w:tcBorders>
              <w:top w:val="nil"/>
              <w:left w:val="single" w:sz="6" w:space="0" w:color="auto"/>
              <w:bottom w:val="nil"/>
              <w:right w:val="nil"/>
            </w:tcBorders>
          </w:tcPr>
          <w:p w14:paraId="15EB86F1"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Actividad 3: Asia Central</w:t>
            </w:r>
          </w:p>
        </w:tc>
        <w:tc>
          <w:tcPr>
            <w:tcW w:w="1304" w:type="dxa"/>
            <w:tcBorders>
              <w:top w:val="nil"/>
              <w:left w:val="single" w:sz="6" w:space="0" w:color="auto"/>
              <w:bottom w:val="nil"/>
              <w:right w:val="single" w:sz="6" w:space="0" w:color="auto"/>
            </w:tcBorders>
          </w:tcPr>
          <w:p w14:paraId="07A4923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w:t>
            </w:r>
          </w:p>
        </w:tc>
        <w:tc>
          <w:tcPr>
            <w:tcW w:w="1304" w:type="dxa"/>
            <w:tcBorders>
              <w:top w:val="nil"/>
              <w:left w:val="single" w:sz="6" w:space="0" w:color="auto"/>
              <w:bottom w:val="nil"/>
              <w:right w:val="single" w:sz="6" w:space="0" w:color="auto"/>
            </w:tcBorders>
          </w:tcPr>
          <w:p w14:paraId="4F89E01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767586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2B662A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9F332E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nil"/>
              <w:left w:val="single" w:sz="6" w:space="0" w:color="auto"/>
              <w:bottom w:val="nil"/>
              <w:right w:val="single" w:sz="6" w:space="0" w:color="auto"/>
            </w:tcBorders>
          </w:tcPr>
          <w:p w14:paraId="41F39A8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nil"/>
              <w:left w:val="nil"/>
              <w:bottom w:val="nil"/>
              <w:right w:val="nil"/>
            </w:tcBorders>
          </w:tcPr>
          <w:p w14:paraId="397C477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nil"/>
              <w:left w:val="single" w:sz="6" w:space="0" w:color="auto"/>
              <w:bottom w:val="nil"/>
              <w:right w:val="single" w:sz="6" w:space="0" w:color="auto"/>
            </w:tcBorders>
          </w:tcPr>
          <w:p w14:paraId="6FCEAE4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1B612091" w14:textId="77777777" w:rsidTr="0076398C">
        <w:tc>
          <w:tcPr>
            <w:tcW w:w="3457" w:type="dxa"/>
            <w:tcBorders>
              <w:top w:val="single" w:sz="6" w:space="0" w:color="auto"/>
              <w:left w:val="single" w:sz="6" w:space="0" w:color="auto"/>
              <w:bottom w:val="single" w:sz="6" w:space="0" w:color="auto"/>
              <w:right w:val="nil"/>
            </w:tcBorders>
          </w:tcPr>
          <w:p w14:paraId="3A35FCE0"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Actividad 4: Indo-Birmana</w:t>
            </w:r>
          </w:p>
        </w:tc>
        <w:tc>
          <w:tcPr>
            <w:tcW w:w="1304" w:type="dxa"/>
            <w:tcBorders>
              <w:top w:val="single" w:sz="6" w:space="0" w:color="auto"/>
              <w:left w:val="single" w:sz="6" w:space="0" w:color="auto"/>
              <w:bottom w:val="single" w:sz="6" w:space="0" w:color="auto"/>
              <w:right w:val="single" w:sz="6" w:space="0" w:color="auto"/>
            </w:tcBorders>
          </w:tcPr>
          <w:p w14:paraId="4432EB2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w:t>
            </w:r>
          </w:p>
        </w:tc>
        <w:tc>
          <w:tcPr>
            <w:tcW w:w="1304" w:type="dxa"/>
            <w:tcBorders>
              <w:top w:val="single" w:sz="6" w:space="0" w:color="auto"/>
              <w:left w:val="single" w:sz="6" w:space="0" w:color="auto"/>
              <w:bottom w:val="single" w:sz="6" w:space="0" w:color="auto"/>
              <w:right w:val="single" w:sz="6" w:space="0" w:color="auto"/>
            </w:tcBorders>
          </w:tcPr>
          <w:p w14:paraId="7073FF7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D1CA9A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FA5970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E9FD13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642922F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single" w:sz="6" w:space="0" w:color="auto"/>
              <w:left w:val="nil"/>
              <w:bottom w:val="single" w:sz="6" w:space="0" w:color="auto"/>
              <w:right w:val="nil"/>
            </w:tcBorders>
          </w:tcPr>
          <w:p w14:paraId="193003C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single" w:sz="6" w:space="0" w:color="auto"/>
              <w:left w:val="single" w:sz="6" w:space="0" w:color="auto"/>
              <w:bottom w:val="single" w:sz="6" w:space="0" w:color="auto"/>
              <w:right w:val="single" w:sz="6" w:space="0" w:color="auto"/>
            </w:tcBorders>
          </w:tcPr>
          <w:p w14:paraId="620CAD4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636702B9" w14:textId="77777777" w:rsidTr="0076398C">
        <w:tc>
          <w:tcPr>
            <w:tcW w:w="3457" w:type="dxa"/>
            <w:tcBorders>
              <w:top w:val="nil"/>
              <w:left w:val="single" w:sz="6" w:space="0" w:color="auto"/>
              <w:bottom w:val="nil"/>
              <w:right w:val="nil"/>
            </w:tcBorders>
            <w:shd w:val="clear" w:color="auto" w:fill="EAF1DD" w:themeFill="accent3" w:themeFillTint="33"/>
          </w:tcPr>
          <w:p w14:paraId="782B19FD"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E.  Servicios científicos y técnicos</w:t>
            </w:r>
          </w:p>
        </w:tc>
        <w:tc>
          <w:tcPr>
            <w:tcW w:w="1304" w:type="dxa"/>
            <w:tcBorders>
              <w:top w:val="nil"/>
              <w:left w:val="single" w:sz="6" w:space="0" w:color="auto"/>
              <w:bottom w:val="nil"/>
              <w:right w:val="single" w:sz="6" w:space="0" w:color="auto"/>
            </w:tcBorders>
            <w:shd w:val="clear" w:color="auto" w:fill="EAF1DD" w:themeFill="accent3" w:themeFillTint="33"/>
          </w:tcPr>
          <w:p w14:paraId="2890EB6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813</w:t>
            </w:r>
          </w:p>
        </w:tc>
        <w:tc>
          <w:tcPr>
            <w:tcW w:w="1304" w:type="dxa"/>
            <w:tcBorders>
              <w:top w:val="nil"/>
              <w:left w:val="single" w:sz="6" w:space="0" w:color="auto"/>
              <w:bottom w:val="nil"/>
              <w:right w:val="single" w:sz="6" w:space="0" w:color="auto"/>
            </w:tcBorders>
            <w:shd w:val="clear" w:color="auto" w:fill="EAF1DD" w:themeFill="accent3" w:themeFillTint="33"/>
          </w:tcPr>
          <w:p w14:paraId="5AA3CF3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shd w:val="clear" w:color="auto" w:fill="EAF1DD" w:themeFill="accent3" w:themeFillTint="33"/>
          </w:tcPr>
          <w:p w14:paraId="59517A6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121</w:t>
            </w:r>
          </w:p>
        </w:tc>
        <w:tc>
          <w:tcPr>
            <w:tcW w:w="1304" w:type="dxa"/>
            <w:tcBorders>
              <w:top w:val="nil"/>
              <w:left w:val="single" w:sz="6" w:space="0" w:color="auto"/>
              <w:bottom w:val="nil"/>
              <w:right w:val="single" w:sz="6" w:space="0" w:color="auto"/>
            </w:tcBorders>
            <w:shd w:val="clear" w:color="auto" w:fill="EAF1DD" w:themeFill="accent3" w:themeFillTint="33"/>
          </w:tcPr>
          <w:p w14:paraId="25D179D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67</w:t>
            </w:r>
          </w:p>
        </w:tc>
        <w:tc>
          <w:tcPr>
            <w:tcW w:w="1304" w:type="dxa"/>
            <w:tcBorders>
              <w:top w:val="nil"/>
              <w:left w:val="single" w:sz="6" w:space="0" w:color="auto"/>
              <w:bottom w:val="nil"/>
              <w:right w:val="single" w:sz="6" w:space="0" w:color="auto"/>
            </w:tcBorders>
            <w:shd w:val="clear" w:color="auto" w:fill="EAF1DD" w:themeFill="accent3" w:themeFillTint="33"/>
          </w:tcPr>
          <w:p w14:paraId="703BFE5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4898B275" w14:textId="48A2905E"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006</w:t>
            </w:r>
          </w:p>
        </w:tc>
        <w:tc>
          <w:tcPr>
            <w:tcW w:w="1304" w:type="dxa"/>
            <w:tcBorders>
              <w:top w:val="nil"/>
              <w:left w:val="nil"/>
              <w:bottom w:val="nil"/>
              <w:right w:val="nil"/>
            </w:tcBorders>
            <w:shd w:val="clear" w:color="auto" w:fill="EAF1DD" w:themeFill="accent3" w:themeFillTint="33"/>
          </w:tcPr>
          <w:p w14:paraId="2503198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564</w:t>
            </w:r>
          </w:p>
        </w:tc>
        <w:tc>
          <w:tcPr>
            <w:tcW w:w="1304" w:type="dxa"/>
            <w:tcBorders>
              <w:top w:val="nil"/>
              <w:left w:val="single" w:sz="6" w:space="0" w:color="auto"/>
              <w:bottom w:val="nil"/>
              <w:right w:val="single" w:sz="6" w:space="0" w:color="auto"/>
            </w:tcBorders>
            <w:shd w:val="clear" w:color="auto" w:fill="EAF1DD" w:themeFill="accent3" w:themeFillTint="33"/>
          </w:tcPr>
          <w:p w14:paraId="02F746E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442</w:t>
            </w:r>
          </w:p>
        </w:tc>
      </w:tr>
      <w:tr w:rsidR="00E00878" w:rsidRPr="00F53E25" w14:paraId="32123827" w14:textId="77777777" w:rsidTr="0076398C">
        <w:tc>
          <w:tcPr>
            <w:tcW w:w="3457" w:type="dxa"/>
            <w:tcBorders>
              <w:top w:val="single" w:sz="6" w:space="0" w:color="auto"/>
              <w:left w:val="single" w:sz="6" w:space="0" w:color="auto"/>
              <w:bottom w:val="single" w:sz="6" w:space="0" w:color="auto"/>
              <w:right w:val="nil"/>
            </w:tcBorders>
          </w:tcPr>
          <w:p w14:paraId="01E05D03"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Salarios y gastos sociales</w:t>
            </w:r>
          </w:p>
        </w:tc>
        <w:tc>
          <w:tcPr>
            <w:tcW w:w="1304" w:type="dxa"/>
            <w:tcBorders>
              <w:top w:val="single" w:sz="6" w:space="0" w:color="auto"/>
              <w:left w:val="single" w:sz="6" w:space="0" w:color="auto"/>
              <w:bottom w:val="single" w:sz="6" w:space="0" w:color="auto"/>
              <w:right w:val="single" w:sz="6" w:space="0" w:color="auto"/>
            </w:tcBorders>
          </w:tcPr>
          <w:p w14:paraId="175CF27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649</w:t>
            </w:r>
          </w:p>
        </w:tc>
        <w:tc>
          <w:tcPr>
            <w:tcW w:w="1304" w:type="dxa"/>
            <w:tcBorders>
              <w:top w:val="single" w:sz="6" w:space="0" w:color="auto"/>
              <w:left w:val="single" w:sz="6" w:space="0" w:color="auto"/>
              <w:bottom w:val="single" w:sz="6" w:space="0" w:color="auto"/>
              <w:right w:val="single" w:sz="6" w:space="0" w:color="auto"/>
            </w:tcBorders>
          </w:tcPr>
          <w:p w14:paraId="63CF7A4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993EB7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ABCE1A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31</w:t>
            </w:r>
          </w:p>
        </w:tc>
        <w:tc>
          <w:tcPr>
            <w:tcW w:w="1304" w:type="dxa"/>
            <w:tcBorders>
              <w:top w:val="single" w:sz="6" w:space="0" w:color="auto"/>
              <w:left w:val="single" w:sz="6" w:space="0" w:color="auto"/>
              <w:bottom w:val="single" w:sz="6" w:space="0" w:color="auto"/>
              <w:right w:val="single" w:sz="6" w:space="0" w:color="auto"/>
            </w:tcBorders>
          </w:tcPr>
          <w:p w14:paraId="2B2906E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FFA99D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680</w:t>
            </w:r>
          </w:p>
        </w:tc>
        <w:tc>
          <w:tcPr>
            <w:tcW w:w="1304" w:type="dxa"/>
            <w:tcBorders>
              <w:top w:val="single" w:sz="6" w:space="0" w:color="auto"/>
              <w:left w:val="nil"/>
              <w:bottom w:val="single" w:sz="6" w:space="0" w:color="auto"/>
              <w:right w:val="nil"/>
            </w:tcBorders>
          </w:tcPr>
          <w:p w14:paraId="2BECC9B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454</w:t>
            </w:r>
          </w:p>
        </w:tc>
        <w:tc>
          <w:tcPr>
            <w:tcW w:w="1304" w:type="dxa"/>
            <w:tcBorders>
              <w:top w:val="single" w:sz="6" w:space="0" w:color="auto"/>
              <w:left w:val="single" w:sz="6" w:space="0" w:color="auto"/>
              <w:bottom w:val="single" w:sz="6" w:space="0" w:color="auto"/>
              <w:right w:val="single" w:sz="6" w:space="0" w:color="auto"/>
            </w:tcBorders>
          </w:tcPr>
          <w:p w14:paraId="3603279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226</w:t>
            </w:r>
          </w:p>
        </w:tc>
      </w:tr>
      <w:tr w:rsidR="00E00878" w:rsidRPr="00F53E25" w14:paraId="0799B13C" w14:textId="77777777" w:rsidTr="0076398C">
        <w:tc>
          <w:tcPr>
            <w:tcW w:w="3457" w:type="dxa"/>
            <w:tcBorders>
              <w:top w:val="nil"/>
              <w:left w:val="single" w:sz="6" w:space="0" w:color="auto"/>
              <w:bottom w:val="nil"/>
              <w:right w:val="nil"/>
            </w:tcBorders>
          </w:tcPr>
          <w:p w14:paraId="0000EC6A"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Otras prestaciones laborales</w:t>
            </w:r>
          </w:p>
        </w:tc>
        <w:tc>
          <w:tcPr>
            <w:tcW w:w="1304" w:type="dxa"/>
            <w:tcBorders>
              <w:top w:val="nil"/>
              <w:left w:val="single" w:sz="6" w:space="0" w:color="auto"/>
              <w:bottom w:val="nil"/>
              <w:right w:val="single" w:sz="6" w:space="0" w:color="auto"/>
            </w:tcBorders>
          </w:tcPr>
          <w:p w14:paraId="3E7A537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p>
        </w:tc>
        <w:tc>
          <w:tcPr>
            <w:tcW w:w="1304" w:type="dxa"/>
            <w:tcBorders>
              <w:top w:val="nil"/>
              <w:left w:val="single" w:sz="6" w:space="0" w:color="auto"/>
              <w:bottom w:val="nil"/>
              <w:right w:val="single" w:sz="6" w:space="0" w:color="auto"/>
            </w:tcBorders>
          </w:tcPr>
          <w:p w14:paraId="75E17FA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6EA4B5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558E1D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w:t>
            </w:r>
          </w:p>
        </w:tc>
        <w:tc>
          <w:tcPr>
            <w:tcW w:w="1304" w:type="dxa"/>
            <w:tcBorders>
              <w:top w:val="nil"/>
              <w:left w:val="single" w:sz="6" w:space="0" w:color="auto"/>
              <w:bottom w:val="nil"/>
              <w:right w:val="single" w:sz="6" w:space="0" w:color="auto"/>
            </w:tcBorders>
          </w:tcPr>
          <w:p w14:paraId="7DDD709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33434A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w:t>
            </w:r>
          </w:p>
        </w:tc>
        <w:tc>
          <w:tcPr>
            <w:tcW w:w="1304" w:type="dxa"/>
            <w:tcBorders>
              <w:top w:val="nil"/>
              <w:left w:val="nil"/>
              <w:bottom w:val="nil"/>
              <w:right w:val="nil"/>
            </w:tcBorders>
          </w:tcPr>
          <w:p w14:paraId="74D3E91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0A2FB9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w:t>
            </w:r>
          </w:p>
        </w:tc>
      </w:tr>
      <w:tr w:rsidR="00E00878" w:rsidRPr="00F53E25" w14:paraId="47ED2E1A" w14:textId="77777777" w:rsidTr="0076398C">
        <w:tc>
          <w:tcPr>
            <w:tcW w:w="3457" w:type="dxa"/>
            <w:tcBorders>
              <w:top w:val="single" w:sz="6" w:space="0" w:color="auto"/>
              <w:left w:val="single" w:sz="6" w:space="0" w:color="auto"/>
              <w:bottom w:val="single" w:sz="6" w:space="0" w:color="auto"/>
              <w:right w:val="nil"/>
            </w:tcBorders>
          </w:tcPr>
          <w:p w14:paraId="2E31102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Viajes</w:t>
            </w:r>
          </w:p>
        </w:tc>
        <w:tc>
          <w:tcPr>
            <w:tcW w:w="1304" w:type="dxa"/>
            <w:tcBorders>
              <w:top w:val="single" w:sz="6" w:space="0" w:color="auto"/>
              <w:left w:val="single" w:sz="6" w:space="0" w:color="auto"/>
              <w:bottom w:val="single" w:sz="6" w:space="0" w:color="auto"/>
              <w:right w:val="single" w:sz="6" w:space="0" w:color="auto"/>
            </w:tcBorders>
          </w:tcPr>
          <w:p w14:paraId="2B46A1B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4FB5F7D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2F241A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2CD383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5F1CD8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866752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nil"/>
              <w:bottom w:val="single" w:sz="6" w:space="0" w:color="auto"/>
              <w:right w:val="nil"/>
            </w:tcBorders>
          </w:tcPr>
          <w:p w14:paraId="3DA9537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w:t>
            </w:r>
          </w:p>
        </w:tc>
        <w:tc>
          <w:tcPr>
            <w:tcW w:w="1304" w:type="dxa"/>
            <w:tcBorders>
              <w:top w:val="single" w:sz="6" w:space="0" w:color="auto"/>
              <w:left w:val="single" w:sz="6" w:space="0" w:color="auto"/>
              <w:bottom w:val="single" w:sz="6" w:space="0" w:color="auto"/>
              <w:right w:val="single" w:sz="6" w:space="0" w:color="auto"/>
            </w:tcBorders>
          </w:tcPr>
          <w:p w14:paraId="23F34D6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p>
        </w:tc>
      </w:tr>
      <w:tr w:rsidR="00E00878" w:rsidRPr="00F53E25" w14:paraId="6DB46E9F" w14:textId="77777777" w:rsidTr="0076398C">
        <w:tc>
          <w:tcPr>
            <w:tcW w:w="3457" w:type="dxa"/>
            <w:tcBorders>
              <w:top w:val="single" w:sz="6" w:space="0" w:color="auto"/>
              <w:left w:val="single" w:sz="6" w:space="0" w:color="auto"/>
              <w:bottom w:val="single" w:sz="6" w:space="0" w:color="auto"/>
              <w:right w:val="nil"/>
            </w:tcBorders>
          </w:tcPr>
          <w:p w14:paraId="710E726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Viajes de la Presidencia del GECT</w:t>
            </w:r>
          </w:p>
        </w:tc>
        <w:tc>
          <w:tcPr>
            <w:tcW w:w="1304" w:type="dxa"/>
            <w:tcBorders>
              <w:top w:val="single" w:sz="6" w:space="0" w:color="auto"/>
              <w:left w:val="single" w:sz="6" w:space="0" w:color="auto"/>
              <w:bottom w:val="single" w:sz="6" w:space="0" w:color="auto"/>
              <w:right w:val="single" w:sz="6" w:space="0" w:color="auto"/>
            </w:tcBorders>
          </w:tcPr>
          <w:p w14:paraId="5249081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56C8D05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0EDA65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812764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w:t>
            </w:r>
          </w:p>
        </w:tc>
        <w:tc>
          <w:tcPr>
            <w:tcW w:w="1304" w:type="dxa"/>
            <w:tcBorders>
              <w:top w:val="single" w:sz="6" w:space="0" w:color="auto"/>
              <w:left w:val="single" w:sz="6" w:space="0" w:color="auto"/>
              <w:bottom w:val="single" w:sz="6" w:space="0" w:color="auto"/>
              <w:right w:val="single" w:sz="6" w:space="0" w:color="auto"/>
            </w:tcBorders>
          </w:tcPr>
          <w:p w14:paraId="2750373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B63266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w:t>
            </w:r>
          </w:p>
        </w:tc>
        <w:tc>
          <w:tcPr>
            <w:tcW w:w="1304" w:type="dxa"/>
            <w:tcBorders>
              <w:top w:val="single" w:sz="6" w:space="0" w:color="auto"/>
              <w:left w:val="nil"/>
              <w:bottom w:val="single" w:sz="6" w:space="0" w:color="auto"/>
              <w:right w:val="nil"/>
            </w:tcBorders>
          </w:tcPr>
          <w:p w14:paraId="35C4123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DFB533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w:t>
            </w:r>
          </w:p>
        </w:tc>
      </w:tr>
      <w:tr w:rsidR="00E00878" w:rsidRPr="00F53E25" w14:paraId="0FDA36E4" w14:textId="77777777" w:rsidTr="0076398C">
        <w:tc>
          <w:tcPr>
            <w:tcW w:w="3457" w:type="dxa"/>
            <w:tcBorders>
              <w:top w:val="nil"/>
              <w:left w:val="single" w:sz="6" w:space="0" w:color="auto"/>
              <w:bottom w:val="nil"/>
              <w:right w:val="nil"/>
            </w:tcBorders>
          </w:tcPr>
          <w:p w14:paraId="3E04BD74" w14:textId="2563CC9C" w:rsidR="00E00878" w:rsidRPr="00F53E25" w:rsidRDefault="006972B4"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themeColor="text1"/>
                <w:sz w:val="20"/>
                <w:szCs w:val="20"/>
              </w:rPr>
              <w:t>Trabajo</w:t>
            </w:r>
            <w:r w:rsidR="00E00878" w:rsidRPr="00F53E25">
              <w:rPr>
                <w:rFonts w:asciiTheme="minorHAnsi" w:eastAsiaTheme="minorHAnsi" w:hAnsiTheme="minorHAnsi" w:cstheme="minorHAnsi"/>
                <w:color w:val="000000" w:themeColor="text1"/>
                <w:sz w:val="20"/>
                <w:szCs w:val="20"/>
              </w:rPr>
              <w:t xml:space="preserve"> del GECT</w:t>
            </w:r>
          </w:p>
        </w:tc>
        <w:tc>
          <w:tcPr>
            <w:tcW w:w="1304" w:type="dxa"/>
            <w:tcBorders>
              <w:top w:val="nil"/>
              <w:left w:val="single" w:sz="6" w:space="0" w:color="auto"/>
              <w:bottom w:val="nil"/>
              <w:right w:val="single" w:sz="6" w:space="0" w:color="auto"/>
            </w:tcBorders>
          </w:tcPr>
          <w:p w14:paraId="56E4D0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35</w:t>
            </w:r>
          </w:p>
        </w:tc>
        <w:tc>
          <w:tcPr>
            <w:tcW w:w="1304" w:type="dxa"/>
            <w:tcBorders>
              <w:top w:val="nil"/>
              <w:left w:val="single" w:sz="6" w:space="0" w:color="auto"/>
              <w:bottom w:val="nil"/>
              <w:right w:val="single" w:sz="6" w:space="0" w:color="auto"/>
            </w:tcBorders>
          </w:tcPr>
          <w:p w14:paraId="230C671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2DDAD39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EF313B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31</w:t>
            </w:r>
          </w:p>
        </w:tc>
        <w:tc>
          <w:tcPr>
            <w:tcW w:w="1304" w:type="dxa"/>
            <w:tcBorders>
              <w:top w:val="nil"/>
              <w:left w:val="single" w:sz="6" w:space="0" w:color="auto"/>
              <w:bottom w:val="nil"/>
              <w:right w:val="single" w:sz="6" w:space="0" w:color="auto"/>
            </w:tcBorders>
          </w:tcPr>
          <w:p w14:paraId="0E48AD4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52D179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71</w:t>
            </w:r>
          </w:p>
        </w:tc>
        <w:tc>
          <w:tcPr>
            <w:tcW w:w="1304" w:type="dxa"/>
            <w:tcBorders>
              <w:top w:val="nil"/>
              <w:left w:val="nil"/>
              <w:bottom w:val="nil"/>
              <w:right w:val="nil"/>
            </w:tcBorders>
          </w:tcPr>
          <w:p w14:paraId="7DEE298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12</w:t>
            </w:r>
          </w:p>
        </w:tc>
        <w:tc>
          <w:tcPr>
            <w:tcW w:w="1304" w:type="dxa"/>
            <w:tcBorders>
              <w:top w:val="nil"/>
              <w:left w:val="single" w:sz="6" w:space="0" w:color="auto"/>
              <w:bottom w:val="nil"/>
              <w:right w:val="single" w:sz="6" w:space="0" w:color="auto"/>
            </w:tcBorders>
          </w:tcPr>
          <w:p w14:paraId="34BB488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59</w:t>
            </w:r>
          </w:p>
        </w:tc>
      </w:tr>
      <w:tr w:rsidR="00E00878" w:rsidRPr="00F53E25" w14:paraId="7C614951" w14:textId="77777777" w:rsidTr="0076398C">
        <w:tc>
          <w:tcPr>
            <w:tcW w:w="3457" w:type="dxa"/>
            <w:tcBorders>
              <w:top w:val="single" w:sz="6" w:space="0" w:color="auto"/>
              <w:left w:val="single" w:sz="6" w:space="0" w:color="auto"/>
              <w:bottom w:val="single" w:sz="6" w:space="0" w:color="auto"/>
              <w:right w:val="nil"/>
            </w:tcBorders>
          </w:tcPr>
          <w:p w14:paraId="4178861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Reuniones del GECT</w:t>
            </w:r>
          </w:p>
        </w:tc>
        <w:tc>
          <w:tcPr>
            <w:tcW w:w="1304" w:type="dxa"/>
            <w:tcBorders>
              <w:top w:val="single" w:sz="6" w:space="0" w:color="auto"/>
              <w:left w:val="single" w:sz="6" w:space="0" w:color="auto"/>
              <w:bottom w:val="single" w:sz="6" w:space="0" w:color="auto"/>
              <w:right w:val="single" w:sz="6" w:space="0" w:color="auto"/>
            </w:tcBorders>
          </w:tcPr>
          <w:p w14:paraId="47BE1D1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50</w:t>
            </w:r>
          </w:p>
        </w:tc>
        <w:tc>
          <w:tcPr>
            <w:tcW w:w="1304" w:type="dxa"/>
            <w:tcBorders>
              <w:top w:val="single" w:sz="6" w:space="0" w:color="auto"/>
              <w:left w:val="single" w:sz="6" w:space="0" w:color="auto"/>
              <w:bottom w:val="single" w:sz="6" w:space="0" w:color="auto"/>
              <w:right w:val="single" w:sz="6" w:space="0" w:color="auto"/>
            </w:tcBorders>
          </w:tcPr>
          <w:p w14:paraId="636DEBC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AFBA3B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2C361B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C888DF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DBAE02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50</w:t>
            </w:r>
          </w:p>
        </w:tc>
        <w:tc>
          <w:tcPr>
            <w:tcW w:w="1304" w:type="dxa"/>
            <w:tcBorders>
              <w:top w:val="single" w:sz="6" w:space="0" w:color="auto"/>
              <w:left w:val="nil"/>
              <w:bottom w:val="single" w:sz="6" w:space="0" w:color="auto"/>
              <w:right w:val="nil"/>
            </w:tcBorders>
          </w:tcPr>
          <w:p w14:paraId="7536CE9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w:t>
            </w:r>
          </w:p>
        </w:tc>
        <w:tc>
          <w:tcPr>
            <w:tcW w:w="1304" w:type="dxa"/>
            <w:tcBorders>
              <w:top w:val="single" w:sz="6" w:space="0" w:color="auto"/>
              <w:left w:val="single" w:sz="6" w:space="0" w:color="auto"/>
              <w:bottom w:val="single" w:sz="6" w:space="0" w:color="auto"/>
              <w:right w:val="single" w:sz="6" w:space="0" w:color="auto"/>
            </w:tcBorders>
          </w:tcPr>
          <w:p w14:paraId="52A0C2E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44</w:t>
            </w:r>
          </w:p>
        </w:tc>
      </w:tr>
      <w:tr w:rsidR="00E00878" w:rsidRPr="00F53E25" w14:paraId="084ECF33" w14:textId="77777777" w:rsidTr="0076398C">
        <w:tc>
          <w:tcPr>
            <w:tcW w:w="3457" w:type="dxa"/>
            <w:tcBorders>
              <w:top w:val="single" w:sz="6" w:space="0" w:color="auto"/>
              <w:left w:val="single" w:sz="6" w:space="0" w:color="auto"/>
              <w:bottom w:val="single" w:sz="6" w:space="0" w:color="auto"/>
              <w:right w:val="nil"/>
            </w:tcBorders>
          </w:tcPr>
          <w:p w14:paraId="3B4693E0"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Plan Estratégico (2019 - 2021)</w:t>
            </w:r>
          </w:p>
        </w:tc>
        <w:tc>
          <w:tcPr>
            <w:tcW w:w="1304" w:type="dxa"/>
            <w:tcBorders>
              <w:top w:val="single" w:sz="6" w:space="0" w:color="auto"/>
              <w:left w:val="single" w:sz="6" w:space="0" w:color="auto"/>
              <w:bottom w:val="single" w:sz="6" w:space="0" w:color="auto"/>
              <w:right w:val="single" w:sz="6" w:space="0" w:color="auto"/>
            </w:tcBorders>
          </w:tcPr>
          <w:p w14:paraId="1DA3BE2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DC1FC5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5F95A5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29</w:t>
            </w:r>
          </w:p>
        </w:tc>
        <w:tc>
          <w:tcPr>
            <w:tcW w:w="1304" w:type="dxa"/>
            <w:tcBorders>
              <w:top w:val="single" w:sz="6" w:space="0" w:color="auto"/>
              <w:left w:val="single" w:sz="6" w:space="0" w:color="auto"/>
              <w:bottom w:val="single" w:sz="6" w:space="0" w:color="auto"/>
              <w:right w:val="single" w:sz="6" w:space="0" w:color="auto"/>
            </w:tcBorders>
          </w:tcPr>
          <w:p w14:paraId="4A0C585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6A597B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9B9EB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29</w:t>
            </w:r>
          </w:p>
        </w:tc>
        <w:tc>
          <w:tcPr>
            <w:tcW w:w="1304" w:type="dxa"/>
            <w:tcBorders>
              <w:top w:val="single" w:sz="6" w:space="0" w:color="auto"/>
              <w:left w:val="nil"/>
              <w:bottom w:val="single" w:sz="6" w:space="0" w:color="auto"/>
              <w:right w:val="nil"/>
            </w:tcBorders>
          </w:tcPr>
          <w:p w14:paraId="5C79163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29</w:t>
            </w:r>
          </w:p>
        </w:tc>
        <w:tc>
          <w:tcPr>
            <w:tcW w:w="1304" w:type="dxa"/>
            <w:tcBorders>
              <w:top w:val="single" w:sz="6" w:space="0" w:color="auto"/>
              <w:left w:val="single" w:sz="6" w:space="0" w:color="auto"/>
              <w:bottom w:val="single" w:sz="6" w:space="0" w:color="auto"/>
              <w:right w:val="single" w:sz="6" w:space="0" w:color="auto"/>
            </w:tcBorders>
          </w:tcPr>
          <w:p w14:paraId="2C565D8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77BB5C10" w14:textId="77777777" w:rsidTr="0076398C">
        <w:tc>
          <w:tcPr>
            <w:tcW w:w="3457" w:type="dxa"/>
            <w:tcBorders>
              <w:top w:val="single" w:sz="6" w:space="0" w:color="auto"/>
              <w:left w:val="single" w:sz="6" w:space="0" w:color="auto"/>
              <w:bottom w:val="single" w:sz="4" w:space="0" w:color="auto"/>
              <w:right w:val="nil"/>
            </w:tcBorders>
          </w:tcPr>
          <w:p w14:paraId="526F921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ODS 6.61 (inventarios)</w:t>
            </w:r>
          </w:p>
        </w:tc>
        <w:tc>
          <w:tcPr>
            <w:tcW w:w="1304" w:type="dxa"/>
            <w:tcBorders>
              <w:top w:val="single" w:sz="6" w:space="0" w:color="auto"/>
              <w:left w:val="single" w:sz="6" w:space="0" w:color="auto"/>
              <w:bottom w:val="single" w:sz="4" w:space="0" w:color="auto"/>
              <w:right w:val="single" w:sz="6" w:space="0" w:color="auto"/>
            </w:tcBorders>
          </w:tcPr>
          <w:p w14:paraId="1D458AC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4" w:space="0" w:color="auto"/>
              <w:right w:val="single" w:sz="6" w:space="0" w:color="auto"/>
            </w:tcBorders>
          </w:tcPr>
          <w:p w14:paraId="0FE8B94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4" w:space="0" w:color="auto"/>
              <w:right w:val="single" w:sz="6" w:space="0" w:color="auto"/>
            </w:tcBorders>
          </w:tcPr>
          <w:p w14:paraId="6E187DE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91</w:t>
            </w:r>
          </w:p>
        </w:tc>
        <w:tc>
          <w:tcPr>
            <w:tcW w:w="1304" w:type="dxa"/>
            <w:tcBorders>
              <w:top w:val="single" w:sz="6" w:space="0" w:color="auto"/>
              <w:left w:val="single" w:sz="6" w:space="0" w:color="auto"/>
              <w:bottom w:val="single" w:sz="4" w:space="0" w:color="auto"/>
              <w:right w:val="single" w:sz="6" w:space="0" w:color="auto"/>
            </w:tcBorders>
          </w:tcPr>
          <w:p w14:paraId="3CA21D9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4" w:space="0" w:color="auto"/>
              <w:right w:val="single" w:sz="6" w:space="0" w:color="auto"/>
            </w:tcBorders>
          </w:tcPr>
          <w:p w14:paraId="3255353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4" w:space="0" w:color="auto"/>
              <w:right w:val="single" w:sz="6" w:space="0" w:color="auto"/>
            </w:tcBorders>
          </w:tcPr>
          <w:p w14:paraId="09E679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91</w:t>
            </w:r>
          </w:p>
        </w:tc>
        <w:tc>
          <w:tcPr>
            <w:tcW w:w="1304" w:type="dxa"/>
            <w:tcBorders>
              <w:top w:val="single" w:sz="6" w:space="0" w:color="auto"/>
              <w:left w:val="nil"/>
              <w:bottom w:val="single" w:sz="4" w:space="0" w:color="auto"/>
              <w:right w:val="nil"/>
            </w:tcBorders>
          </w:tcPr>
          <w:p w14:paraId="69D9E2F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20</w:t>
            </w:r>
          </w:p>
        </w:tc>
        <w:tc>
          <w:tcPr>
            <w:tcW w:w="1304" w:type="dxa"/>
            <w:tcBorders>
              <w:top w:val="single" w:sz="6" w:space="0" w:color="auto"/>
              <w:left w:val="single" w:sz="6" w:space="0" w:color="auto"/>
              <w:bottom w:val="single" w:sz="4" w:space="0" w:color="auto"/>
              <w:right w:val="single" w:sz="6" w:space="0" w:color="auto"/>
            </w:tcBorders>
          </w:tcPr>
          <w:p w14:paraId="66E4EF4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72</w:t>
            </w:r>
          </w:p>
        </w:tc>
      </w:tr>
      <w:tr w:rsidR="00E00878" w:rsidRPr="00F53E25" w14:paraId="49A51AD5" w14:textId="77777777" w:rsidTr="0076398C">
        <w:tc>
          <w:tcPr>
            <w:tcW w:w="3457" w:type="dxa"/>
            <w:tcBorders>
              <w:top w:val="single" w:sz="4" w:space="0" w:color="auto"/>
              <w:left w:val="single" w:sz="6" w:space="0" w:color="auto"/>
              <w:bottom w:val="single" w:sz="6" w:space="0" w:color="auto"/>
              <w:right w:val="nil"/>
            </w:tcBorders>
          </w:tcPr>
          <w:p w14:paraId="69C7CEA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lastRenderedPageBreak/>
              <w:t>Servicio de Información sobre Sitios Ramsar (mantenimiento y desarrollo)</w:t>
            </w:r>
          </w:p>
        </w:tc>
        <w:tc>
          <w:tcPr>
            <w:tcW w:w="1304" w:type="dxa"/>
            <w:tcBorders>
              <w:top w:val="single" w:sz="4" w:space="0" w:color="auto"/>
              <w:left w:val="single" w:sz="6" w:space="0" w:color="auto"/>
              <w:bottom w:val="single" w:sz="6" w:space="0" w:color="auto"/>
              <w:right w:val="single" w:sz="6" w:space="0" w:color="auto"/>
            </w:tcBorders>
          </w:tcPr>
          <w:p w14:paraId="314F5B1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60</w:t>
            </w:r>
          </w:p>
        </w:tc>
        <w:tc>
          <w:tcPr>
            <w:tcW w:w="1304" w:type="dxa"/>
            <w:tcBorders>
              <w:top w:val="single" w:sz="4" w:space="0" w:color="auto"/>
              <w:left w:val="single" w:sz="6" w:space="0" w:color="auto"/>
              <w:bottom w:val="single" w:sz="6" w:space="0" w:color="auto"/>
              <w:right w:val="single" w:sz="6" w:space="0" w:color="auto"/>
            </w:tcBorders>
          </w:tcPr>
          <w:p w14:paraId="4C6688A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4" w:space="0" w:color="auto"/>
              <w:left w:val="single" w:sz="6" w:space="0" w:color="auto"/>
              <w:bottom w:val="single" w:sz="6" w:space="0" w:color="auto"/>
              <w:right w:val="single" w:sz="6" w:space="0" w:color="auto"/>
            </w:tcBorders>
          </w:tcPr>
          <w:p w14:paraId="1496305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4" w:space="0" w:color="auto"/>
              <w:left w:val="single" w:sz="6" w:space="0" w:color="auto"/>
              <w:bottom w:val="single" w:sz="6" w:space="0" w:color="auto"/>
              <w:right w:val="single" w:sz="6" w:space="0" w:color="auto"/>
            </w:tcBorders>
          </w:tcPr>
          <w:p w14:paraId="60C924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4" w:space="0" w:color="auto"/>
              <w:left w:val="single" w:sz="6" w:space="0" w:color="auto"/>
              <w:bottom w:val="single" w:sz="6" w:space="0" w:color="auto"/>
              <w:right w:val="single" w:sz="6" w:space="0" w:color="auto"/>
            </w:tcBorders>
          </w:tcPr>
          <w:p w14:paraId="1F943EA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4" w:space="0" w:color="auto"/>
              <w:left w:val="single" w:sz="6" w:space="0" w:color="auto"/>
              <w:bottom w:val="single" w:sz="6" w:space="0" w:color="auto"/>
              <w:right w:val="single" w:sz="6" w:space="0" w:color="auto"/>
            </w:tcBorders>
          </w:tcPr>
          <w:p w14:paraId="1534898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60</w:t>
            </w:r>
          </w:p>
        </w:tc>
        <w:tc>
          <w:tcPr>
            <w:tcW w:w="1304" w:type="dxa"/>
            <w:tcBorders>
              <w:top w:val="single" w:sz="4" w:space="0" w:color="auto"/>
              <w:left w:val="nil"/>
              <w:bottom w:val="single" w:sz="6" w:space="0" w:color="auto"/>
              <w:right w:val="nil"/>
            </w:tcBorders>
          </w:tcPr>
          <w:p w14:paraId="1B8BBE8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37</w:t>
            </w:r>
          </w:p>
        </w:tc>
        <w:tc>
          <w:tcPr>
            <w:tcW w:w="1304" w:type="dxa"/>
            <w:tcBorders>
              <w:top w:val="single" w:sz="4" w:space="0" w:color="auto"/>
              <w:left w:val="single" w:sz="6" w:space="0" w:color="auto"/>
              <w:bottom w:val="single" w:sz="6" w:space="0" w:color="auto"/>
              <w:right w:val="single" w:sz="6" w:space="0" w:color="auto"/>
            </w:tcBorders>
          </w:tcPr>
          <w:p w14:paraId="5B182DE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23</w:t>
            </w:r>
          </w:p>
        </w:tc>
      </w:tr>
      <w:tr w:rsidR="00E00878" w:rsidRPr="00F53E25" w14:paraId="4CFDE57F" w14:textId="77777777" w:rsidTr="0076398C">
        <w:tc>
          <w:tcPr>
            <w:tcW w:w="3457" w:type="dxa"/>
            <w:tcBorders>
              <w:top w:val="nil"/>
              <w:left w:val="single" w:sz="6" w:space="0" w:color="auto"/>
              <w:bottom w:val="nil"/>
              <w:right w:val="nil"/>
            </w:tcBorders>
            <w:shd w:val="clear" w:color="auto" w:fill="EAF1DD" w:themeFill="accent3" w:themeFillTint="33"/>
          </w:tcPr>
          <w:p w14:paraId="5E032E26" w14:textId="3D6D451A"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 xml:space="preserve">G.  </w:t>
            </w:r>
            <w:r w:rsidRPr="00F53E25">
              <w:rPr>
                <w:rFonts w:asciiTheme="minorHAnsi" w:hAnsiTheme="minorHAnsi"/>
                <w:bCs/>
                <w:sz w:val="20"/>
                <w:szCs w:val="20"/>
              </w:rPr>
              <w:t>Administración/SISR/</w:t>
            </w:r>
            <w:r w:rsidR="006E0A51" w:rsidRPr="00F53E25">
              <w:rPr>
                <w:rFonts w:asciiTheme="minorHAnsi" w:hAnsiTheme="minorHAnsi"/>
                <w:bCs/>
                <w:sz w:val="20"/>
                <w:szCs w:val="20"/>
              </w:rPr>
              <w:t>s</w:t>
            </w:r>
            <w:r w:rsidRPr="00F53E25">
              <w:rPr>
                <w:rFonts w:asciiTheme="minorHAnsi" w:hAnsiTheme="minorHAnsi"/>
                <w:bCs/>
                <w:sz w:val="20"/>
                <w:szCs w:val="20"/>
              </w:rPr>
              <w:t>itio web</w:t>
            </w:r>
          </w:p>
        </w:tc>
        <w:tc>
          <w:tcPr>
            <w:tcW w:w="1304" w:type="dxa"/>
            <w:tcBorders>
              <w:top w:val="nil"/>
              <w:left w:val="single" w:sz="6" w:space="0" w:color="auto"/>
              <w:bottom w:val="nil"/>
              <w:right w:val="single" w:sz="6" w:space="0" w:color="auto"/>
            </w:tcBorders>
            <w:shd w:val="clear" w:color="auto" w:fill="EAF1DD" w:themeFill="accent3" w:themeFillTint="33"/>
          </w:tcPr>
          <w:p w14:paraId="3B0E60A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418</w:t>
            </w:r>
          </w:p>
        </w:tc>
        <w:tc>
          <w:tcPr>
            <w:tcW w:w="1304" w:type="dxa"/>
            <w:tcBorders>
              <w:top w:val="nil"/>
              <w:left w:val="single" w:sz="6" w:space="0" w:color="auto"/>
              <w:bottom w:val="nil"/>
              <w:right w:val="single" w:sz="6" w:space="0" w:color="auto"/>
            </w:tcBorders>
            <w:shd w:val="clear" w:color="auto" w:fill="EAF1DD" w:themeFill="accent3" w:themeFillTint="33"/>
          </w:tcPr>
          <w:p w14:paraId="319F331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11</w:t>
            </w:r>
          </w:p>
        </w:tc>
        <w:tc>
          <w:tcPr>
            <w:tcW w:w="1304" w:type="dxa"/>
            <w:tcBorders>
              <w:top w:val="nil"/>
              <w:left w:val="single" w:sz="6" w:space="0" w:color="auto"/>
              <w:bottom w:val="nil"/>
              <w:right w:val="single" w:sz="6" w:space="0" w:color="auto"/>
            </w:tcBorders>
            <w:shd w:val="clear" w:color="auto" w:fill="EAF1DD" w:themeFill="accent3" w:themeFillTint="33"/>
          </w:tcPr>
          <w:p w14:paraId="4377272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103</w:t>
            </w:r>
          </w:p>
        </w:tc>
        <w:tc>
          <w:tcPr>
            <w:tcW w:w="1304" w:type="dxa"/>
            <w:tcBorders>
              <w:top w:val="nil"/>
              <w:left w:val="single" w:sz="6" w:space="0" w:color="auto"/>
              <w:bottom w:val="nil"/>
              <w:right w:val="single" w:sz="6" w:space="0" w:color="auto"/>
            </w:tcBorders>
            <w:shd w:val="clear" w:color="auto" w:fill="EAF1DD" w:themeFill="accent3" w:themeFillTint="33"/>
          </w:tcPr>
          <w:p w14:paraId="4D261FC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26</w:t>
            </w:r>
          </w:p>
        </w:tc>
        <w:tc>
          <w:tcPr>
            <w:tcW w:w="1304" w:type="dxa"/>
            <w:tcBorders>
              <w:top w:val="nil"/>
              <w:left w:val="single" w:sz="6" w:space="0" w:color="auto"/>
              <w:bottom w:val="nil"/>
              <w:right w:val="single" w:sz="6" w:space="0" w:color="auto"/>
            </w:tcBorders>
            <w:shd w:val="clear" w:color="auto" w:fill="EAF1DD" w:themeFill="accent3" w:themeFillTint="33"/>
          </w:tcPr>
          <w:p w14:paraId="4A9D942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1A4A1A0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558</w:t>
            </w:r>
          </w:p>
        </w:tc>
        <w:tc>
          <w:tcPr>
            <w:tcW w:w="1304" w:type="dxa"/>
            <w:tcBorders>
              <w:top w:val="nil"/>
              <w:left w:val="nil"/>
              <w:bottom w:val="nil"/>
              <w:right w:val="nil"/>
            </w:tcBorders>
            <w:shd w:val="clear" w:color="auto" w:fill="EAF1DD" w:themeFill="accent3" w:themeFillTint="33"/>
          </w:tcPr>
          <w:p w14:paraId="27D5414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447</w:t>
            </w:r>
          </w:p>
        </w:tc>
        <w:tc>
          <w:tcPr>
            <w:tcW w:w="1304" w:type="dxa"/>
            <w:tcBorders>
              <w:top w:val="nil"/>
              <w:left w:val="single" w:sz="6" w:space="0" w:color="auto"/>
              <w:bottom w:val="nil"/>
              <w:right w:val="single" w:sz="6" w:space="0" w:color="auto"/>
            </w:tcBorders>
            <w:shd w:val="clear" w:color="auto" w:fill="EAF1DD" w:themeFill="accent3" w:themeFillTint="33"/>
          </w:tcPr>
          <w:p w14:paraId="3B37211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111</w:t>
            </w:r>
          </w:p>
        </w:tc>
      </w:tr>
      <w:tr w:rsidR="00E00878" w:rsidRPr="00F53E25" w14:paraId="73418976" w14:textId="77777777" w:rsidTr="0076398C">
        <w:tc>
          <w:tcPr>
            <w:tcW w:w="3457" w:type="dxa"/>
            <w:tcBorders>
              <w:top w:val="single" w:sz="6" w:space="0" w:color="auto"/>
              <w:left w:val="single" w:sz="6" w:space="0" w:color="auto"/>
              <w:bottom w:val="single" w:sz="6" w:space="0" w:color="auto"/>
              <w:right w:val="nil"/>
            </w:tcBorders>
          </w:tcPr>
          <w:p w14:paraId="435A0710"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Salarios y gastos sociales</w:t>
            </w:r>
          </w:p>
        </w:tc>
        <w:tc>
          <w:tcPr>
            <w:tcW w:w="1304" w:type="dxa"/>
            <w:tcBorders>
              <w:top w:val="single" w:sz="6" w:space="0" w:color="auto"/>
              <w:left w:val="single" w:sz="6" w:space="0" w:color="auto"/>
              <w:bottom w:val="single" w:sz="6" w:space="0" w:color="auto"/>
              <w:right w:val="single" w:sz="6" w:space="0" w:color="auto"/>
            </w:tcBorders>
          </w:tcPr>
          <w:p w14:paraId="6FCDC70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315</w:t>
            </w:r>
          </w:p>
        </w:tc>
        <w:tc>
          <w:tcPr>
            <w:tcW w:w="1304" w:type="dxa"/>
            <w:tcBorders>
              <w:top w:val="single" w:sz="6" w:space="0" w:color="auto"/>
              <w:left w:val="single" w:sz="6" w:space="0" w:color="auto"/>
              <w:bottom w:val="single" w:sz="6" w:space="0" w:color="auto"/>
              <w:right w:val="single" w:sz="6" w:space="0" w:color="auto"/>
            </w:tcBorders>
          </w:tcPr>
          <w:p w14:paraId="445A408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56B1A6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8E05EE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2A4641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7A14A8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315</w:t>
            </w:r>
          </w:p>
        </w:tc>
        <w:tc>
          <w:tcPr>
            <w:tcW w:w="1304" w:type="dxa"/>
            <w:tcBorders>
              <w:top w:val="single" w:sz="6" w:space="0" w:color="auto"/>
              <w:left w:val="nil"/>
              <w:bottom w:val="single" w:sz="6" w:space="0" w:color="auto"/>
              <w:right w:val="nil"/>
            </w:tcBorders>
          </w:tcPr>
          <w:p w14:paraId="21B429E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312</w:t>
            </w:r>
          </w:p>
        </w:tc>
        <w:tc>
          <w:tcPr>
            <w:tcW w:w="1304" w:type="dxa"/>
            <w:tcBorders>
              <w:top w:val="single" w:sz="6" w:space="0" w:color="auto"/>
              <w:left w:val="single" w:sz="6" w:space="0" w:color="auto"/>
              <w:bottom w:val="single" w:sz="6" w:space="0" w:color="auto"/>
              <w:right w:val="single" w:sz="6" w:space="0" w:color="auto"/>
            </w:tcBorders>
          </w:tcPr>
          <w:p w14:paraId="17B76F9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w:t>
            </w:r>
          </w:p>
        </w:tc>
      </w:tr>
      <w:tr w:rsidR="00E00878" w:rsidRPr="00F53E25" w14:paraId="41CFC81B" w14:textId="77777777" w:rsidTr="0076398C">
        <w:tc>
          <w:tcPr>
            <w:tcW w:w="3457" w:type="dxa"/>
            <w:tcBorders>
              <w:top w:val="nil"/>
              <w:left w:val="single" w:sz="6" w:space="0" w:color="auto"/>
              <w:bottom w:val="nil"/>
              <w:right w:val="nil"/>
            </w:tcBorders>
          </w:tcPr>
          <w:p w14:paraId="3443733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Otras prestaciones laborales</w:t>
            </w:r>
          </w:p>
        </w:tc>
        <w:tc>
          <w:tcPr>
            <w:tcW w:w="1304" w:type="dxa"/>
            <w:tcBorders>
              <w:top w:val="nil"/>
              <w:left w:val="single" w:sz="6" w:space="0" w:color="auto"/>
              <w:bottom w:val="nil"/>
              <w:right w:val="single" w:sz="6" w:space="0" w:color="auto"/>
            </w:tcBorders>
          </w:tcPr>
          <w:p w14:paraId="1AA909A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p>
        </w:tc>
        <w:tc>
          <w:tcPr>
            <w:tcW w:w="1304" w:type="dxa"/>
            <w:tcBorders>
              <w:top w:val="nil"/>
              <w:left w:val="single" w:sz="6" w:space="0" w:color="auto"/>
              <w:bottom w:val="nil"/>
              <w:right w:val="single" w:sz="6" w:space="0" w:color="auto"/>
            </w:tcBorders>
          </w:tcPr>
          <w:p w14:paraId="61E36C3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CBB1DB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1700E5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2E2C1B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02DBC4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p>
        </w:tc>
        <w:tc>
          <w:tcPr>
            <w:tcW w:w="1304" w:type="dxa"/>
            <w:tcBorders>
              <w:top w:val="nil"/>
              <w:left w:val="nil"/>
              <w:bottom w:val="nil"/>
              <w:right w:val="nil"/>
            </w:tcBorders>
          </w:tcPr>
          <w:p w14:paraId="259DD2B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p>
        </w:tc>
        <w:tc>
          <w:tcPr>
            <w:tcW w:w="1304" w:type="dxa"/>
            <w:tcBorders>
              <w:top w:val="nil"/>
              <w:left w:val="single" w:sz="6" w:space="0" w:color="auto"/>
              <w:bottom w:val="nil"/>
              <w:right w:val="single" w:sz="6" w:space="0" w:color="auto"/>
            </w:tcBorders>
          </w:tcPr>
          <w:p w14:paraId="32AA140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13D6315E" w14:textId="77777777" w:rsidTr="0076398C">
        <w:tc>
          <w:tcPr>
            <w:tcW w:w="3457" w:type="dxa"/>
            <w:tcBorders>
              <w:top w:val="single" w:sz="6" w:space="0" w:color="auto"/>
              <w:left w:val="single" w:sz="6" w:space="0" w:color="auto"/>
              <w:bottom w:val="single" w:sz="6" w:space="0" w:color="auto"/>
              <w:right w:val="nil"/>
            </w:tcBorders>
          </w:tcPr>
          <w:p w14:paraId="5B3C930B"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Costos de contratación y separación del personal</w:t>
            </w:r>
          </w:p>
        </w:tc>
        <w:tc>
          <w:tcPr>
            <w:tcW w:w="1304" w:type="dxa"/>
            <w:tcBorders>
              <w:top w:val="single" w:sz="6" w:space="0" w:color="auto"/>
              <w:left w:val="single" w:sz="6" w:space="0" w:color="auto"/>
              <w:bottom w:val="single" w:sz="6" w:space="0" w:color="auto"/>
              <w:right w:val="single" w:sz="6" w:space="0" w:color="auto"/>
            </w:tcBorders>
          </w:tcPr>
          <w:p w14:paraId="3DE1E1A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single" w:sz="6" w:space="0" w:color="auto"/>
              <w:left w:val="single" w:sz="6" w:space="0" w:color="auto"/>
              <w:bottom w:val="single" w:sz="6" w:space="0" w:color="auto"/>
              <w:right w:val="single" w:sz="6" w:space="0" w:color="auto"/>
            </w:tcBorders>
          </w:tcPr>
          <w:p w14:paraId="1D9B1A5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24E3E7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EBE4FC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26</w:t>
            </w:r>
          </w:p>
        </w:tc>
        <w:tc>
          <w:tcPr>
            <w:tcW w:w="1304" w:type="dxa"/>
            <w:tcBorders>
              <w:top w:val="single" w:sz="6" w:space="0" w:color="auto"/>
              <w:left w:val="single" w:sz="6" w:space="0" w:color="auto"/>
              <w:bottom w:val="single" w:sz="6" w:space="0" w:color="auto"/>
              <w:right w:val="single" w:sz="6" w:space="0" w:color="auto"/>
            </w:tcBorders>
          </w:tcPr>
          <w:p w14:paraId="1607D0F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4E7C8B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51</w:t>
            </w:r>
          </w:p>
        </w:tc>
        <w:tc>
          <w:tcPr>
            <w:tcW w:w="1304" w:type="dxa"/>
            <w:tcBorders>
              <w:top w:val="single" w:sz="6" w:space="0" w:color="auto"/>
              <w:left w:val="nil"/>
              <w:bottom w:val="single" w:sz="6" w:space="0" w:color="auto"/>
              <w:right w:val="nil"/>
            </w:tcBorders>
          </w:tcPr>
          <w:p w14:paraId="0B0C683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41</w:t>
            </w:r>
          </w:p>
        </w:tc>
        <w:tc>
          <w:tcPr>
            <w:tcW w:w="1304" w:type="dxa"/>
            <w:tcBorders>
              <w:top w:val="single" w:sz="6" w:space="0" w:color="auto"/>
              <w:left w:val="single" w:sz="6" w:space="0" w:color="auto"/>
              <w:bottom w:val="single" w:sz="6" w:space="0" w:color="auto"/>
              <w:right w:val="single" w:sz="6" w:space="0" w:color="auto"/>
            </w:tcBorders>
          </w:tcPr>
          <w:p w14:paraId="76075F0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r>
      <w:tr w:rsidR="00E00878" w:rsidRPr="00F53E25" w14:paraId="64BA7F7F" w14:textId="77777777" w:rsidTr="0076398C">
        <w:tc>
          <w:tcPr>
            <w:tcW w:w="3457" w:type="dxa"/>
            <w:tcBorders>
              <w:top w:val="nil"/>
              <w:left w:val="single" w:sz="6" w:space="0" w:color="auto"/>
              <w:bottom w:val="nil"/>
              <w:right w:val="nil"/>
            </w:tcBorders>
          </w:tcPr>
          <w:p w14:paraId="1B30AD1B"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Viajes</w:t>
            </w:r>
          </w:p>
        </w:tc>
        <w:tc>
          <w:tcPr>
            <w:tcW w:w="1304" w:type="dxa"/>
            <w:tcBorders>
              <w:top w:val="nil"/>
              <w:left w:val="single" w:sz="6" w:space="0" w:color="auto"/>
              <w:bottom w:val="nil"/>
              <w:right w:val="single" w:sz="6" w:space="0" w:color="auto"/>
            </w:tcBorders>
          </w:tcPr>
          <w:p w14:paraId="356DA3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A1307B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71B298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8160A0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08B4F1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B64EC3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nil"/>
              <w:bottom w:val="nil"/>
              <w:right w:val="nil"/>
            </w:tcBorders>
          </w:tcPr>
          <w:p w14:paraId="79C68D7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12DCA6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4DD02352" w14:textId="77777777" w:rsidTr="0076398C">
        <w:tc>
          <w:tcPr>
            <w:tcW w:w="3457" w:type="dxa"/>
            <w:tcBorders>
              <w:top w:val="single" w:sz="6" w:space="0" w:color="auto"/>
              <w:left w:val="single" w:sz="6" w:space="0" w:color="auto"/>
              <w:bottom w:val="single" w:sz="6" w:space="0" w:color="auto"/>
              <w:right w:val="nil"/>
            </w:tcBorders>
          </w:tcPr>
          <w:p w14:paraId="61BA202C"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Equipo/material de oficina</w:t>
            </w:r>
          </w:p>
        </w:tc>
        <w:tc>
          <w:tcPr>
            <w:tcW w:w="1304" w:type="dxa"/>
            <w:tcBorders>
              <w:top w:val="single" w:sz="6" w:space="0" w:color="auto"/>
              <w:left w:val="single" w:sz="6" w:space="0" w:color="auto"/>
              <w:bottom w:val="single" w:sz="6" w:space="0" w:color="auto"/>
              <w:right w:val="single" w:sz="6" w:space="0" w:color="auto"/>
            </w:tcBorders>
          </w:tcPr>
          <w:p w14:paraId="3C712D8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77</w:t>
            </w:r>
          </w:p>
        </w:tc>
        <w:tc>
          <w:tcPr>
            <w:tcW w:w="1304" w:type="dxa"/>
            <w:tcBorders>
              <w:top w:val="single" w:sz="6" w:space="0" w:color="auto"/>
              <w:left w:val="single" w:sz="6" w:space="0" w:color="auto"/>
              <w:bottom w:val="single" w:sz="6" w:space="0" w:color="auto"/>
              <w:right w:val="single" w:sz="6" w:space="0" w:color="auto"/>
            </w:tcBorders>
          </w:tcPr>
          <w:p w14:paraId="5CED2D7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1F65E1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38457B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727077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F571CB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77</w:t>
            </w:r>
          </w:p>
        </w:tc>
        <w:tc>
          <w:tcPr>
            <w:tcW w:w="1304" w:type="dxa"/>
            <w:tcBorders>
              <w:top w:val="single" w:sz="6" w:space="0" w:color="auto"/>
              <w:left w:val="nil"/>
              <w:bottom w:val="single" w:sz="6" w:space="0" w:color="auto"/>
              <w:right w:val="nil"/>
            </w:tcBorders>
          </w:tcPr>
          <w:p w14:paraId="3BF5EF0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64</w:t>
            </w:r>
          </w:p>
        </w:tc>
        <w:tc>
          <w:tcPr>
            <w:tcW w:w="1304" w:type="dxa"/>
            <w:tcBorders>
              <w:top w:val="single" w:sz="6" w:space="0" w:color="auto"/>
              <w:left w:val="single" w:sz="6" w:space="0" w:color="auto"/>
              <w:bottom w:val="single" w:sz="6" w:space="0" w:color="auto"/>
              <w:right w:val="single" w:sz="6" w:space="0" w:color="auto"/>
            </w:tcBorders>
          </w:tcPr>
          <w:p w14:paraId="64DEAE4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13</w:t>
            </w:r>
          </w:p>
        </w:tc>
      </w:tr>
      <w:tr w:rsidR="00E00878" w:rsidRPr="00F53E25" w14:paraId="6BA01C73" w14:textId="77777777" w:rsidTr="0076398C">
        <w:tc>
          <w:tcPr>
            <w:tcW w:w="3457" w:type="dxa"/>
            <w:tcBorders>
              <w:top w:val="nil"/>
              <w:left w:val="single" w:sz="6" w:space="0" w:color="auto"/>
              <w:bottom w:val="nil"/>
              <w:right w:val="nil"/>
            </w:tcBorders>
          </w:tcPr>
          <w:p w14:paraId="44E7D89B"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Planificación y creación de capacidad</w:t>
            </w:r>
          </w:p>
        </w:tc>
        <w:tc>
          <w:tcPr>
            <w:tcW w:w="1304" w:type="dxa"/>
            <w:tcBorders>
              <w:top w:val="nil"/>
              <w:left w:val="single" w:sz="6" w:space="0" w:color="auto"/>
              <w:bottom w:val="nil"/>
              <w:right w:val="single" w:sz="6" w:space="0" w:color="auto"/>
            </w:tcBorders>
          </w:tcPr>
          <w:p w14:paraId="0D6D87A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DF9E73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11</w:t>
            </w:r>
          </w:p>
        </w:tc>
        <w:tc>
          <w:tcPr>
            <w:tcW w:w="1304" w:type="dxa"/>
            <w:tcBorders>
              <w:top w:val="nil"/>
              <w:left w:val="single" w:sz="6" w:space="0" w:color="auto"/>
              <w:bottom w:val="nil"/>
              <w:right w:val="single" w:sz="6" w:space="0" w:color="auto"/>
            </w:tcBorders>
          </w:tcPr>
          <w:p w14:paraId="3728D34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103</w:t>
            </w:r>
          </w:p>
        </w:tc>
        <w:tc>
          <w:tcPr>
            <w:tcW w:w="1304" w:type="dxa"/>
            <w:tcBorders>
              <w:top w:val="nil"/>
              <w:left w:val="single" w:sz="6" w:space="0" w:color="auto"/>
              <w:bottom w:val="nil"/>
              <w:right w:val="single" w:sz="6" w:space="0" w:color="auto"/>
            </w:tcBorders>
          </w:tcPr>
          <w:p w14:paraId="343DDC2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434899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E8EEDC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114</w:t>
            </w:r>
          </w:p>
        </w:tc>
        <w:tc>
          <w:tcPr>
            <w:tcW w:w="1304" w:type="dxa"/>
            <w:tcBorders>
              <w:top w:val="nil"/>
              <w:left w:val="nil"/>
              <w:bottom w:val="nil"/>
              <w:right w:val="nil"/>
            </w:tcBorders>
          </w:tcPr>
          <w:p w14:paraId="3C458EB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29</w:t>
            </w:r>
          </w:p>
        </w:tc>
        <w:tc>
          <w:tcPr>
            <w:tcW w:w="1304" w:type="dxa"/>
            <w:tcBorders>
              <w:top w:val="nil"/>
              <w:left w:val="single" w:sz="6" w:space="0" w:color="auto"/>
              <w:bottom w:val="nil"/>
              <w:right w:val="single" w:sz="6" w:space="0" w:color="auto"/>
            </w:tcBorders>
          </w:tcPr>
          <w:p w14:paraId="537FDF2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85</w:t>
            </w:r>
          </w:p>
        </w:tc>
      </w:tr>
      <w:tr w:rsidR="00E00878" w:rsidRPr="00F53E25" w14:paraId="2BF806AC" w14:textId="77777777" w:rsidTr="0076398C">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787066B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 xml:space="preserve">H. </w:t>
            </w:r>
            <w:r w:rsidRPr="00F53E25">
              <w:rPr>
                <w:rFonts w:asciiTheme="minorHAnsi" w:hAnsiTheme="minorHAnsi"/>
                <w:bCs/>
                <w:sz w:val="20"/>
                <w:szCs w:val="20"/>
              </w:rPr>
              <w:t>Servicios para el Comité Permanente</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B20FC3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150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B7837A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DFABBB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6FFECA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32619E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7BCBA5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246</w:t>
            </w:r>
          </w:p>
        </w:tc>
        <w:tc>
          <w:tcPr>
            <w:tcW w:w="1304" w:type="dxa"/>
            <w:tcBorders>
              <w:top w:val="single" w:sz="6" w:space="0" w:color="auto"/>
              <w:left w:val="nil"/>
              <w:bottom w:val="single" w:sz="6" w:space="0" w:color="auto"/>
              <w:right w:val="nil"/>
            </w:tcBorders>
            <w:shd w:val="clear" w:color="auto" w:fill="EAF1DD" w:themeFill="accent3" w:themeFillTint="33"/>
          </w:tcPr>
          <w:p w14:paraId="5E44718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146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2C3C8B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100</w:t>
            </w:r>
          </w:p>
        </w:tc>
      </w:tr>
      <w:tr w:rsidR="00E00878" w:rsidRPr="00F53E25" w14:paraId="56D37366" w14:textId="77777777" w:rsidTr="0076398C">
        <w:tc>
          <w:tcPr>
            <w:tcW w:w="3457" w:type="dxa"/>
            <w:tcBorders>
              <w:top w:val="nil"/>
              <w:left w:val="single" w:sz="6" w:space="0" w:color="auto"/>
              <w:bottom w:val="nil"/>
              <w:right w:val="nil"/>
            </w:tcBorders>
          </w:tcPr>
          <w:p w14:paraId="6524C76E"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Apoyo a los delegados del Comité Permanente</w:t>
            </w:r>
          </w:p>
        </w:tc>
        <w:tc>
          <w:tcPr>
            <w:tcW w:w="1304" w:type="dxa"/>
            <w:tcBorders>
              <w:top w:val="nil"/>
              <w:left w:val="single" w:sz="6" w:space="0" w:color="auto"/>
              <w:bottom w:val="nil"/>
              <w:right w:val="single" w:sz="6" w:space="0" w:color="auto"/>
            </w:tcBorders>
          </w:tcPr>
          <w:p w14:paraId="4F03BAB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45</w:t>
            </w:r>
          </w:p>
        </w:tc>
        <w:tc>
          <w:tcPr>
            <w:tcW w:w="1304" w:type="dxa"/>
            <w:tcBorders>
              <w:top w:val="nil"/>
              <w:left w:val="single" w:sz="6" w:space="0" w:color="auto"/>
              <w:bottom w:val="nil"/>
              <w:right w:val="single" w:sz="6" w:space="0" w:color="auto"/>
            </w:tcBorders>
          </w:tcPr>
          <w:p w14:paraId="5D1F3D6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283450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0FAEDC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w:t>
            </w:r>
          </w:p>
        </w:tc>
        <w:tc>
          <w:tcPr>
            <w:tcW w:w="1304" w:type="dxa"/>
            <w:tcBorders>
              <w:top w:val="nil"/>
              <w:left w:val="single" w:sz="6" w:space="0" w:color="auto"/>
              <w:bottom w:val="nil"/>
              <w:right w:val="single" w:sz="6" w:space="0" w:color="auto"/>
            </w:tcBorders>
          </w:tcPr>
          <w:p w14:paraId="458026B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05ACC6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51</w:t>
            </w:r>
          </w:p>
        </w:tc>
        <w:tc>
          <w:tcPr>
            <w:tcW w:w="1304" w:type="dxa"/>
            <w:tcBorders>
              <w:top w:val="nil"/>
              <w:left w:val="nil"/>
              <w:bottom w:val="nil"/>
              <w:right w:val="nil"/>
            </w:tcBorders>
          </w:tcPr>
          <w:p w14:paraId="166101B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28B589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51</w:t>
            </w:r>
          </w:p>
        </w:tc>
      </w:tr>
      <w:tr w:rsidR="00E00878" w:rsidRPr="00F53E25" w14:paraId="7916B5CA" w14:textId="77777777" w:rsidTr="0076398C">
        <w:tc>
          <w:tcPr>
            <w:tcW w:w="3457" w:type="dxa"/>
            <w:tcBorders>
              <w:top w:val="single" w:sz="6" w:space="0" w:color="auto"/>
              <w:left w:val="single" w:sz="6" w:space="0" w:color="auto"/>
              <w:bottom w:val="single" w:sz="6" w:space="0" w:color="auto"/>
              <w:right w:val="nil"/>
            </w:tcBorders>
          </w:tcPr>
          <w:p w14:paraId="08FEED45"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Reuniones del Comité Permanente</w:t>
            </w:r>
          </w:p>
        </w:tc>
        <w:tc>
          <w:tcPr>
            <w:tcW w:w="1304" w:type="dxa"/>
            <w:tcBorders>
              <w:top w:val="single" w:sz="6" w:space="0" w:color="auto"/>
              <w:left w:val="single" w:sz="6" w:space="0" w:color="auto"/>
              <w:bottom w:val="single" w:sz="6" w:space="0" w:color="auto"/>
              <w:right w:val="single" w:sz="6" w:space="0" w:color="auto"/>
            </w:tcBorders>
          </w:tcPr>
          <w:p w14:paraId="36E1220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75E3DFC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20BCE3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9F2415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DC14CA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BA7207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10</w:t>
            </w:r>
          </w:p>
        </w:tc>
        <w:tc>
          <w:tcPr>
            <w:tcW w:w="1304" w:type="dxa"/>
            <w:tcBorders>
              <w:top w:val="single" w:sz="6" w:space="0" w:color="auto"/>
              <w:left w:val="nil"/>
              <w:bottom w:val="single" w:sz="6" w:space="0" w:color="auto"/>
              <w:right w:val="nil"/>
            </w:tcBorders>
          </w:tcPr>
          <w:p w14:paraId="1594BDF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p>
        </w:tc>
        <w:tc>
          <w:tcPr>
            <w:tcW w:w="1304" w:type="dxa"/>
            <w:tcBorders>
              <w:top w:val="single" w:sz="6" w:space="0" w:color="auto"/>
              <w:left w:val="single" w:sz="6" w:space="0" w:color="auto"/>
              <w:bottom w:val="single" w:sz="6" w:space="0" w:color="auto"/>
              <w:right w:val="single" w:sz="6" w:space="0" w:color="auto"/>
            </w:tcBorders>
          </w:tcPr>
          <w:p w14:paraId="064751B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w:t>
            </w:r>
          </w:p>
        </w:tc>
      </w:tr>
      <w:tr w:rsidR="00E00878" w:rsidRPr="00F53E25" w14:paraId="4B79117B" w14:textId="77777777" w:rsidTr="0076398C">
        <w:tc>
          <w:tcPr>
            <w:tcW w:w="3457" w:type="dxa"/>
            <w:tcBorders>
              <w:top w:val="nil"/>
              <w:left w:val="single" w:sz="6" w:space="0" w:color="auto"/>
              <w:bottom w:val="nil"/>
              <w:right w:val="nil"/>
            </w:tcBorders>
          </w:tcPr>
          <w:p w14:paraId="7748FE31"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Traducción para las reuniones del CP</w:t>
            </w:r>
          </w:p>
        </w:tc>
        <w:tc>
          <w:tcPr>
            <w:tcW w:w="1304" w:type="dxa"/>
            <w:tcBorders>
              <w:top w:val="nil"/>
              <w:left w:val="single" w:sz="6" w:space="0" w:color="auto"/>
              <w:bottom w:val="nil"/>
              <w:right w:val="single" w:sz="6" w:space="0" w:color="auto"/>
            </w:tcBorders>
          </w:tcPr>
          <w:p w14:paraId="464C88B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60</w:t>
            </w:r>
          </w:p>
        </w:tc>
        <w:tc>
          <w:tcPr>
            <w:tcW w:w="1304" w:type="dxa"/>
            <w:tcBorders>
              <w:top w:val="nil"/>
              <w:left w:val="single" w:sz="6" w:space="0" w:color="auto"/>
              <w:bottom w:val="nil"/>
              <w:right w:val="single" w:sz="6" w:space="0" w:color="auto"/>
            </w:tcBorders>
          </w:tcPr>
          <w:p w14:paraId="012602D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A47BF9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D8D89E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59F1236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2E8D20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65</w:t>
            </w:r>
          </w:p>
        </w:tc>
        <w:tc>
          <w:tcPr>
            <w:tcW w:w="1304" w:type="dxa"/>
            <w:tcBorders>
              <w:top w:val="nil"/>
              <w:left w:val="nil"/>
              <w:bottom w:val="nil"/>
              <w:right w:val="nil"/>
            </w:tcBorders>
          </w:tcPr>
          <w:p w14:paraId="08CDDBA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61</w:t>
            </w:r>
          </w:p>
        </w:tc>
        <w:tc>
          <w:tcPr>
            <w:tcW w:w="1304" w:type="dxa"/>
            <w:tcBorders>
              <w:top w:val="nil"/>
              <w:left w:val="single" w:sz="6" w:space="0" w:color="auto"/>
              <w:bottom w:val="nil"/>
              <w:right w:val="single" w:sz="6" w:space="0" w:color="auto"/>
            </w:tcBorders>
          </w:tcPr>
          <w:p w14:paraId="5C6FE38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p>
        </w:tc>
      </w:tr>
      <w:tr w:rsidR="00E00878" w:rsidRPr="00F53E25" w14:paraId="4D5494BB" w14:textId="77777777" w:rsidTr="0076398C">
        <w:tc>
          <w:tcPr>
            <w:tcW w:w="3457" w:type="dxa"/>
            <w:tcBorders>
              <w:top w:val="single" w:sz="6" w:space="0" w:color="auto"/>
              <w:left w:val="single" w:sz="6" w:space="0" w:color="auto"/>
              <w:bottom w:val="single" w:sz="6" w:space="0" w:color="auto"/>
              <w:right w:val="nil"/>
            </w:tcBorders>
          </w:tcPr>
          <w:p w14:paraId="7EA0682F"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Interpretación simultánea en las reuniones del CP</w:t>
            </w:r>
          </w:p>
        </w:tc>
        <w:tc>
          <w:tcPr>
            <w:tcW w:w="1304" w:type="dxa"/>
            <w:tcBorders>
              <w:top w:val="single" w:sz="6" w:space="0" w:color="auto"/>
              <w:left w:val="single" w:sz="6" w:space="0" w:color="auto"/>
              <w:bottom w:val="single" w:sz="6" w:space="0" w:color="auto"/>
              <w:right w:val="single" w:sz="6" w:space="0" w:color="auto"/>
            </w:tcBorders>
          </w:tcPr>
          <w:p w14:paraId="6AC9BE5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35</w:t>
            </w:r>
          </w:p>
        </w:tc>
        <w:tc>
          <w:tcPr>
            <w:tcW w:w="1304" w:type="dxa"/>
            <w:tcBorders>
              <w:top w:val="single" w:sz="6" w:space="0" w:color="auto"/>
              <w:left w:val="single" w:sz="6" w:space="0" w:color="auto"/>
              <w:bottom w:val="single" w:sz="6" w:space="0" w:color="auto"/>
              <w:right w:val="single" w:sz="6" w:space="0" w:color="auto"/>
            </w:tcBorders>
          </w:tcPr>
          <w:p w14:paraId="5899208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582733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88A4B4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p>
        </w:tc>
        <w:tc>
          <w:tcPr>
            <w:tcW w:w="1304" w:type="dxa"/>
            <w:tcBorders>
              <w:top w:val="single" w:sz="6" w:space="0" w:color="auto"/>
              <w:left w:val="single" w:sz="6" w:space="0" w:color="auto"/>
              <w:bottom w:val="single" w:sz="6" w:space="0" w:color="auto"/>
              <w:right w:val="single" w:sz="6" w:space="0" w:color="auto"/>
            </w:tcBorders>
          </w:tcPr>
          <w:p w14:paraId="6C770E9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E78171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39</w:t>
            </w:r>
          </w:p>
        </w:tc>
        <w:tc>
          <w:tcPr>
            <w:tcW w:w="1304" w:type="dxa"/>
            <w:tcBorders>
              <w:top w:val="single" w:sz="6" w:space="0" w:color="auto"/>
              <w:left w:val="nil"/>
              <w:bottom w:val="single" w:sz="6" w:space="0" w:color="auto"/>
              <w:right w:val="nil"/>
            </w:tcBorders>
          </w:tcPr>
          <w:p w14:paraId="501BA66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17</w:t>
            </w:r>
          </w:p>
        </w:tc>
        <w:tc>
          <w:tcPr>
            <w:tcW w:w="1304" w:type="dxa"/>
            <w:tcBorders>
              <w:top w:val="single" w:sz="6" w:space="0" w:color="auto"/>
              <w:left w:val="single" w:sz="6" w:space="0" w:color="auto"/>
              <w:bottom w:val="single" w:sz="6" w:space="0" w:color="auto"/>
              <w:right w:val="single" w:sz="6" w:space="0" w:color="auto"/>
            </w:tcBorders>
          </w:tcPr>
          <w:p w14:paraId="4FCB825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22</w:t>
            </w:r>
          </w:p>
        </w:tc>
      </w:tr>
      <w:tr w:rsidR="00E00878" w:rsidRPr="00F53E25" w14:paraId="30646693" w14:textId="77777777" w:rsidTr="0076398C">
        <w:tc>
          <w:tcPr>
            <w:tcW w:w="3457" w:type="dxa"/>
            <w:tcBorders>
              <w:top w:val="nil"/>
              <w:left w:val="single" w:sz="6" w:space="0" w:color="auto"/>
              <w:bottom w:val="nil"/>
              <w:right w:val="nil"/>
            </w:tcBorders>
          </w:tcPr>
          <w:p w14:paraId="40DAA233"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Grupo de trabajo sobre la eficacia</w:t>
            </w:r>
          </w:p>
        </w:tc>
        <w:tc>
          <w:tcPr>
            <w:tcW w:w="1304" w:type="dxa"/>
            <w:tcBorders>
              <w:top w:val="nil"/>
              <w:left w:val="single" w:sz="6" w:space="0" w:color="auto"/>
              <w:bottom w:val="nil"/>
              <w:right w:val="single" w:sz="6" w:space="0" w:color="auto"/>
            </w:tcBorders>
          </w:tcPr>
          <w:p w14:paraId="1E8D575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F5BA1A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9548A3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55</w:t>
            </w:r>
          </w:p>
        </w:tc>
        <w:tc>
          <w:tcPr>
            <w:tcW w:w="1304" w:type="dxa"/>
            <w:tcBorders>
              <w:top w:val="nil"/>
              <w:left w:val="single" w:sz="6" w:space="0" w:color="auto"/>
              <w:bottom w:val="nil"/>
              <w:right w:val="single" w:sz="6" w:space="0" w:color="auto"/>
            </w:tcBorders>
          </w:tcPr>
          <w:p w14:paraId="6B47029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E3B7E4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B68236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55</w:t>
            </w:r>
          </w:p>
        </w:tc>
        <w:tc>
          <w:tcPr>
            <w:tcW w:w="1304" w:type="dxa"/>
            <w:tcBorders>
              <w:top w:val="nil"/>
              <w:left w:val="nil"/>
              <w:bottom w:val="nil"/>
              <w:right w:val="nil"/>
            </w:tcBorders>
          </w:tcPr>
          <w:p w14:paraId="1523672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41</w:t>
            </w:r>
          </w:p>
        </w:tc>
        <w:tc>
          <w:tcPr>
            <w:tcW w:w="1304" w:type="dxa"/>
            <w:tcBorders>
              <w:top w:val="nil"/>
              <w:left w:val="single" w:sz="6" w:space="0" w:color="auto"/>
              <w:bottom w:val="nil"/>
              <w:right w:val="single" w:sz="6" w:space="0" w:color="auto"/>
            </w:tcBorders>
          </w:tcPr>
          <w:p w14:paraId="0A38641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14</w:t>
            </w:r>
          </w:p>
        </w:tc>
      </w:tr>
      <w:tr w:rsidR="00E00878" w:rsidRPr="00F53E25" w14:paraId="56233CCE" w14:textId="77777777" w:rsidTr="0076398C">
        <w:tc>
          <w:tcPr>
            <w:tcW w:w="3457" w:type="dxa"/>
            <w:tcBorders>
              <w:top w:val="single" w:sz="6" w:space="0" w:color="auto"/>
              <w:left w:val="single" w:sz="6" w:space="0" w:color="auto"/>
              <w:bottom w:val="single" w:sz="6" w:space="0" w:color="auto"/>
              <w:right w:val="nil"/>
            </w:tcBorders>
          </w:tcPr>
          <w:p w14:paraId="16BFF34A" w14:textId="19950A7C"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 xml:space="preserve">Examen de </w:t>
            </w:r>
            <w:r w:rsidR="006E0A51" w:rsidRPr="00F53E25">
              <w:rPr>
                <w:rFonts w:asciiTheme="minorHAnsi" w:hAnsiTheme="minorHAnsi"/>
                <w:bCs/>
                <w:sz w:val="20"/>
                <w:szCs w:val="20"/>
              </w:rPr>
              <w:t xml:space="preserve">las </w:t>
            </w:r>
            <w:r w:rsidRPr="00F53E25">
              <w:rPr>
                <w:rFonts w:asciiTheme="minorHAnsi" w:hAnsiTheme="minorHAnsi"/>
                <w:bCs/>
                <w:sz w:val="20"/>
                <w:szCs w:val="20"/>
              </w:rPr>
              <w:t>resoluciones (Res. XIII.4)</w:t>
            </w:r>
          </w:p>
        </w:tc>
        <w:tc>
          <w:tcPr>
            <w:tcW w:w="1304" w:type="dxa"/>
            <w:tcBorders>
              <w:top w:val="single" w:sz="6" w:space="0" w:color="auto"/>
              <w:left w:val="single" w:sz="6" w:space="0" w:color="auto"/>
              <w:bottom w:val="single" w:sz="6" w:space="0" w:color="auto"/>
              <w:right w:val="single" w:sz="6" w:space="0" w:color="auto"/>
            </w:tcBorders>
          </w:tcPr>
          <w:p w14:paraId="5CE5283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E4480A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50842C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20</w:t>
            </w:r>
          </w:p>
        </w:tc>
        <w:tc>
          <w:tcPr>
            <w:tcW w:w="1304" w:type="dxa"/>
            <w:tcBorders>
              <w:top w:val="single" w:sz="6" w:space="0" w:color="auto"/>
              <w:left w:val="single" w:sz="6" w:space="0" w:color="auto"/>
              <w:bottom w:val="single" w:sz="6" w:space="0" w:color="auto"/>
              <w:right w:val="single" w:sz="6" w:space="0" w:color="auto"/>
            </w:tcBorders>
          </w:tcPr>
          <w:p w14:paraId="28F6003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w:t>
            </w:r>
          </w:p>
        </w:tc>
        <w:tc>
          <w:tcPr>
            <w:tcW w:w="1304" w:type="dxa"/>
            <w:tcBorders>
              <w:top w:val="single" w:sz="6" w:space="0" w:color="auto"/>
              <w:left w:val="single" w:sz="6" w:space="0" w:color="auto"/>
              <w:bottom w:val="single" w:sz="6" w:space="0" w:color="auto"/>
              <w:right w:val="single" w:sz="6" w:space="0" w:color="auto"/>
            </w:tcBorders>
          </w:tcPr>
          <w:p w14:paraId="0074165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08A4DA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26</w:t>
            </w:r>
          </w:p>
        </w:tc>
        <w:tc>
          <w:tcPr>
            <w:tcW w:w="1304" w:type="dxa"/>
            <w:tcBorders>
              <w:top w:val="single" w:sz="6" w:space="0" w:color="auto"/>
              <w:left w:val="nil"/>
              <w:bottom w:val="single" w:sz="6" w:space="0" w:color="auto"/>
              <w:right w:val="nil"/>
            </w:tcBorders>
          </w:tcPr>
          <w:p w14:paraId="54D1695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23</w:t>
            </w:r>
          </w:p>
        </w:tc>
        <w:tc>
          <w:tcPr>
            <w:tcW w:w="1304" w:type="dxa"/>
            <w:tcBorders>
              <w:top w:val="single" w:sz="6" w:space="0" w:color="auto"/>
              <w:left w:val="single" w:sz="6" w:space="0" w:color="auto"/>
              <w:bottom w:val="single" w:sz="6" w:space="0" w:color="auto"/>
              <w:right w:val="single" w:sz="6" w:space="0" w:color="auto"/>
            </w:tcBorders>
          </w:tcPr>
          <w:p w14:paraId="00C30F0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w:t>
            </w:r>
          </w:p>
        </w:tc>
      </w:tr>
      <w:tr w:rsidR="00E00878" w:rsidRPr="00F53E25" w14:paraId="4E4ED3C6" w14:textId="77777777" w:rsidTr="0076398C">
        <w:tc>
          <w:tcPr>
            <w:tcW w:w="3457" w:type="dxa"/>
            <w:tcBorders>
              <w:top w:val="nil"/>
              <w:left w:val="single" w:sz="6" w:space="0" w:color="auto"/>
              <w:bottom w:val="nil"/>
              <w:right w:val="nil"/>
            </w:tcBorders>
            <w:shd w:val="clear" w:color="auto" w:fill="EAF1DD" w:themeFill="accent3" w:themeFillTint="33"/>
          </w:tcPr>
          <w:p w14:paraId="20E08175"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 xml:space="preserve">J.  </w:t>
            </w:r>
            <w:r w:rsidRPr="00F53E25">
              <w:rPr>
                <w:rFonts w:asciiTheme="minorHAnsi" w:hAnsiTheme="minorHAnsi"/>
                <w:bCs/>
                <w:sz w:val="20"/>
                <w:szCs w:val="20"/>
              </w:rPr>
              <w:t>Gastos por servicios administrativos de la UICN (máximo)</w:t>
            </w:r>
          </w:p>
        </w:tc>
        <w:tc>
          <w:tcPr>
            <w:tcW w:w="1304" w:type="dxa"/>
            <w:tcBorders>
              <w:top w:val="nil"/>
              <w:left w:val="single" w:sz="6" w:space="0" w:color="auto"/>
              <w:bottom w:val="nil"/>
              <w:right w:val="single" w:sz="6" w:space="0" w:color="auto"/>
            </w:tcBorders>
            <w:shd w:val="clear" w:color="auto" w:fill="EAF1DD" w:themeFill="accent3" w:themeFillTint="33"/>
          </w:tcPr>
          <w:p w14:paraId="5FD3238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529</w:t>
            </w:r>
          </w:p>
        </w:tc>
        <w:tc>
          <w:tcPr>
            <w:tcW w:w="1304" w:type="dxa"/>
            <w:tcBorders>
              <w:top w:val="nil"/>
              <w:left w:val="single" w:sz="6" w:space="0" w:color="auto"/>
              <w:bottom w:val="nil"/>
              <w:right w:val="single" w:sz="6" w:space="0" w:color="auto"/>
            </w:tcBorders>
            <w:shd w:val="clear" w:color="auto" w:fill="EAF1DD" w:themeFill="accent3" w:themeFillTint="33"/>
          </w:tcPr>
          <w:p w14:paraId="4207749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3311CB8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4CB9FD1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162F4FA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300F432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529</w:t>
            </w:r>
          </w:p>
        </w:tc>
        <w:tc>
          <w:tcPr>
            <w:tcW w:w="1304" w:type="dxa"/>
            <w:tcBorders>
              <w:top w:val="nil"/>
              <w:left w:val="nil"/>
              <w:bottom w:val="nil"/>
              <w:right w:val="nil"/>
            </w:tcBorders>
            <w:shd w:val="clear" w:color="auto" w:fill="EAF1DD" w:themeFill="accent3" w:themeFillTint="33"/>
          </w:tcPr>
          <w:p w14:paraId="54913E8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529</w:t>
            </w:r>
          </w:p>
        </w:tc>
        <w:tc>
          <w:tcPr>
            <w:tcW w:w="1304" w:type="dxa"/>
            <w:tcBorders>
              <w:top w:val="nil"/>
              <w:left w:val="single" w:sz="6" w:space="0" w:color="auto"/>
              <w:bottom w:val="nil"/>
              <w:right w:val="single" w:sz="6" w:space="0" w:color="auto"/>
            </w:tcBorders>
            <w:shd w:val="clear" w:color="auto" w:fill="EAF1DD" w:themeFill="accent3" w:themeFillTint="33"/>
          </w:tcPr>
          <w:p w14:paraId="6318ED2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274F2261" w14:textId="77777777" w:rsidTr="0076398C">
        <w:tc>
          <w:tcPr>
            <w:tcW w:w="3457" w:type="dxa"/>
            <w:tcBorders>
              <w:top w:val="single" w:sz="6" w:space="0" w:color="auto"/>
              <w:left w:val="single" w:sz="6" w:space="0" w:color="auto"/>
              <w:bottom w:val="single" w:sz="6" w:space="0" w:color="auto"/>
              <w:right w:val="nil"/>
            </w:tcBorders>
          </w:tcPr>
          <w:p w14:paraId="411F2E44"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Administración, RR.HH., finanzas y servicios informáticos</w:t>
            </w:r>
          </w:p>
        </w:tc>
        <w:tc>
          <w:tcPr>
            <w:tcW w:w="1304" w:type="dxa"/>
            <w:tcBorders>
              <w:top w:val="single" w:sz="6" w:space="0" w:color="auto"/>
              <w:left w:val="single" w:sz="6" w:space="0" w:color="auto"/>
              <w:bottom w:val="single" w:sz="6" w:space="0" w:color="auto"/>
              <w:right w:val="single" w:sz="6" w:space="0" w:color="auto"/>
            </w:tcBorders>
          </w:tcPr>
          <w:p w14:paraId="643ED0A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529</w:t>
            </w:r>
          </w:p>
        </w:tc>
        <w:tc>
          <w:tcPr>
            <w:tcW w:w="1304" w:type="dxa"/>
            <w:tcBorders>
              <w:top w:val="single" w:sz="6" w:space="0" w:color="auto"/>
              <w:left w:val="single" w:sz="6" w:space="0" w:color="auto"/>
              <w:bottom w:val="single" w:sz="6" w:space="0" w:color="auto"/>
              <w:right w:val="single" w:sz="6" w:space="0" w:color="auto"/>
            </w:tcBorders>
          </w:tcPr>
          <w:p w14:paraId="58D76A5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B18478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D7BF1E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6FC4D8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8367A9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529</w:t>
            </w:r>
          </w:p>
        </w:tc>
        <w:tc>
          <w:tcPr>
            <w:tcW w:w="1304" w:type="dxa"/>
            <w:tcBorders>
              <w:top w:val="single" w:sz="6" w:space="0" w:color="auto"/>
              <w:left w:val="nil"/>
              <w:bottom w:val="single" w:sz="6" w:space="0" w:color="auto"/>
              <w:right w:val="nil"/>
            </w:tcBorders>
          </w:tcPr>
          <w:p w14:paraId="1D09270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529</w:t>
            </w:r>
          </w:p>
        </w:tc>
        <w:tc>
          <w:tcPr>
            <w:tcW w:w="1304" w:type="dxa"/>
            <w:tcBorders>
              <w:top w:val="single" w:sz="6" w:space="0" w:color="auto"/>
              <w:left w:val="single" w:sz="6" w:space="0" w:color="auto"/>
              <w:bottom w:val="single" w:sz="6" w:space="0" w:color="auto"/>
              <w:right w:val="single" w:sz="6" w:space="0" w:color="auto"/>
            </w:tcBorders>
          </w:tcPr>
          <w:p w14:paraId="032B184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r>
      <w:tr w:rsidR="00E00878" w:rsidRPr="00F53E25" w14:paraId="777A8C8A" w14:textId="77777777" w:rsidTr="0076398C">
        <w:tc>
          <w:tcPr>
            <w:tcW w:w="3457" w:type="dxa"/>
            <w:tcBorders>
              <w:top w:val="nil"/>
              <w:left w:val="single" w:sz="6" w:space="0" w:color="auto"/>
              <w:bottom w:val="nil"/>
              <w:right w:val="nil"/>
            </w:tcBorders>
            <w:shd w:val="clear" w:color="auto" w:fill="EAF1DD" w:themeFill="accent3" w:themeFillTint="33"/>
          </w:tcPr>
          <w:p w14:paraId="21E69AC4" w14:textId="60EB8AFD"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 xml:space="preserve">K.  </w:t>
            </w:r>
            <w:r w:rsidRPr="00F53E25">
              <w:rPr>
                <w:rFonts w:asciiTheme="minorHAnsi" w:hAnsiTheme="minorHAnsi"/>
                <w:bCs/>
                <w:sz w:val="20"/>
                <w:szCs w:val="20"/>
              </w:rPr>
              <w:t xml:space="preserve">Varios – </w:t>
            </w:r>
            <w:r w:rsidR="00D00A15" w:rsidRPr="00F53E25">
              <w:rPr>
                <w:rFonts w:asciiTheme="minorHAnsi" w:hAnsiTheme="minorHAnsi"/>
                <w:bCs/>
                <w:sz w:val="20"/>
                <w:szCs w:val="20"/>
              </w:rPr>
              <w:t>Fondo de res</w:t>
            </w:r>
            <w:r w:rsidR="006E0A51" w:rsidRPr="00F53E25">
              <w:rPr>
                <w:rFonts w:asciiTheme="minorHAnsi" w:hAnsiTheme="minorHAnsi"/>
                <w:bCs/>
                <w:sz w:val="20"/>
                <w:szCs w:val="20"/>
              </w:rPr>
              <w:t>erva</w:t>
            </w:r>
          </w:p>
        </w:tc>
        <w:tc>
          <w:tcPr>
            <w:tcW w:w="1304" w:type="dxa"/>
            <w:tcBorders>
              <w:top w:val="nil"/>
              <w:left w:val="single" w:sz="6" w:space="0" w:color="auto"/>
              <w:bottom w:val="nil"/>
              <w:right w:val="single" w:sz="6" w:space="0" w:color="auto"/>
            </w:tcBorders>
            <w:shd w:val="clear" w:color="auto" w:fill="EAF1DD" w:themeFill="accent3" w:themeFillTint="33"/>
          </w:tcPr>
          <w:p w14:paraId="26CC0C2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349</w:t>
            </w:r>
          </w:p>
        </w:tc>
        <w:tc>
          <w:tcPr>
            <w:tcW w:w="1304" w:type="dxa"/>
            <w:tcBorders>
              <w:top w:val="nil"/>
              <w:left w:val="single" w:sz="6" w:space="0" w:color="auto"/>
              <w:bottom w:val="nil"/>
              <w:right w:val="single" w:sz="6" w:space="0" w:color="auto"/>
            </w:tcBorders>
            <w:shd w:val="clear" w:color="auto" w:fill="EAF1DD" w:themeFill="accent3" w:themeFillTint="33"/>
          </w:tcPr>
          <w:p w14:paraId="7CFBCBF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62CC0C8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nil"/>
              <w:left w:val="single" w:sz="6" w:space="0" w:color="auto"/>
              <w:bottom w:val="nil"/>
              <w:right w:val="single" w:sz="6" w:space="0" w:color="auto"/>
            </w:tcBorders>
            <w:shd w:val="clear" w:color="auto" w:fill="EAF1DD" w:themeFill="accent3" w:themeFillTint="33"/>
          </w:tcPr>
          <w:p w14:paraId="490A975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665</w:t>
            </w:r>
          </w:p>
        </w:tc>
        <w:tc>
          <w:tcPr>
            <w:tcW w:w="1304" w:type="dxa"/>
            <w:tcBorders>
              <w:top w:val="nil"/>
              <w:left w:val="single" w:sz="6" w:space="0" w:color="auto"/>
              <w:bottom w:val="nil"/>
              <w:right w:val="single" w:sz="6" w:space="0" w:color="auto"/>
            </w:tcBorders>
            <w:shd w:val="clear" w:color="auto" w:fill="EAF1DD" w:themeFill="accent3" w:themeFillTint="33"/>
          </w:tcPr>
          <w:p w14:paraId="365D238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(20)</w:t>
            </w:r>
          </w:p>
        </w:tc>
        <w:tc>
          <w:tcPr>
            <w:tcW w:w="1304" w:type="dxa"/>
            <w:tcBorders>
              <w:top w:val="nil"/>
              <w:left w:val="single" w:sz="6" w:space="0" w:color="auto"/>
              <w:bottom w:val="nil"/>
              <w:right w:val="single" w:sz="6" w:space="0" w:color="auto"/>
            </w:tcBorders>
            <w:shd w:val="clear" w:color="auto" w:fill="EAF1DD" w:themeFill="accent3" w:themeFillTint="33"/>
          </w:tcPr>
          <w:p w14:paraId="2E289EA0" w14:textId="1697AB62"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019</w:t>
            </w:r>
          </w:p>
        </w:tc>
        <w:tc>
          <w:tcPr>
            <w:tcW w:w="1304" w:type="dxa"/>
            <w:tcBorders>
              <w:top w:val="nil"/>
              <w:left w:val="nil"/>
              <w:bottom w:val="nil"/>
              <w:right w:val="nil"/>
            </w:tcBorders>
            <w:shd w:val="clear" w:color="auto" w:fill="EAF1DD" w:themeFill="accent3" w:themeFillTint="33"/>
          </w:tcPr>
          <w:p w14:paraId="675A3CE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176</w:t>
            </w:r>
          </w:p>
        </w:tc>
        <w:tc>
          <w:tcPr>
            <w:tcW w:w="1304" w:type="dxa"/>
            <w:tcBorders>
              <w:top w:val="nil"/>
              <w:left w:val="single" w:sz="6" w:space="0" w:color="auto"/>
              <w:bottom w:val="nil"/>
              <w:right w:val="single" w:sz="6" w:space="0" w:color="auto"/>
            </w:tcBorders>
            <w:shd w:val="clear" w:color="auto" w:fill="EAF1DD" w:themeFill="accent3" w:themeFillTint="33"/>
          </w:tcPr>
          <w:p w14:paraId="0BDEA55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843</w:t>
            </w:r>
          </w:p>
        </w:tc>
      </w:tr>
      <w:tr w:rsidR="006E0A51" w:rsidRPr="00F53E25" w14:paraId="40880C64" w14:textId="77777777" w:rsidTr="0076398C">
        <w:tc>
          <w:tcPr>
            <w:tcW w:w="3457" w:type="dxa"/>
            <w:tcBorders>
              <w:top w:val="single" w:sz="6" w:space="0" w:color="auto"/>
              <w:left w:val="single" w:sz="6" w:space="0" w:color="auto"/>
              <w:bottom w:val="single" w:sz="6" w:space="0" w:color="auto"/>
              <w:right w:val="nil"/>
            </w:tcBorders>
          </w:tcPr>
          <w:p w14:paraId="336E8D55" w14:textId="17F6E0AC" w:rsidR="00E00878" w:rsidRPr="00F53E25" w:rsidRDefault="00E00878" w:rsidP="0076398C">
            <w:pPr>
              <w:autoSpaceDE w:val="0"/>
              <w:autoSpaceDN w:val="0"/>
              <w:adjustRightInd w:val="0"/>
              <w:ind w:left="0" w:firstLine="0"/>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 xml:space="preserve">Provisiones </w:t>
            </w:r>
            <w:r w:rsidR="006E0A51" w:rsidRPr="00F53E25">
              <w:rPr>
                <w:rFonts w:asciiTheme="minorHAnsi" w:eastAsiaTheme="minorHAnsi" w:hAnsiTheme="minorHAnsi" w:cstheme="minorHAnsi"/>
                <w:color w:val="000000" w:themeColor="text1"/>
                <w:sz w:val="20"/>
                <w:szCs w:val="20"/>
              </w:rPr>
              <w:t>correspondientes al personal</w:t>
            </w:r>
          </w:p>
        </w:tc>
        <w:tc>
          <w:tcPr>
            <w:tcW w:w="1304" w:type="dxa"/>
            <w:tcBorders>
              <w:top w:val="single" w:sz="6" w:space="0" w:color="auto"/>
              <w:left w:val="single" w:sz="6" w:space="0" w:color="auto"/>
              <w:bottom w:val="single" w:sz="6" w:space="0" w:color="auto"/>
              <w:right w:val="single" w:sz="6" w:space="0" w:color="auto"/>
            </w:tcBorders>
          </w:tcPr>
          <w:p w14:paraId="3330D1D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50</w:t>
            </w:r>
          </w:p>
        </w:tc>
        <w:tc>
          <w:tcPr>
            <w:tcW w:w="1304" w:type="dxa"/>
            <w:tcBorders>
              <w:top w:val="single" w:sz="6" w:space="0" w:color="auto"/>
              <w:left w:val="single" w:sz="6" w:space="0" w:color="auto"/>
              <w:bottom w:val="single" w:sz="6" w:space="0" w:color="auto"/>
              <w:right w:val="single" w:sz="6" w:space="0" w:color="auto"/>
            </w:tcBorders>
          </w:tcPr>
          <w:p w14:paraId="72EE13E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27E114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969CFF3"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B5B5A1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A9D1D9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50</w:t>
            </w:r>
          </w:p>
        </w:tc>
        <w:tc>
          <w:tcPr>
            <w:tcW w:w="1304" w:type="dxa"/>
            <w:tcBorders>
              <w:top w:val="single" w:sz="6" w:space="0" w:color="auto"/>
              <w:left w:val="nil"/>
              <w:bottom w:val="single" w:sz="6" w:space="0" w:color="auto"/>
              <w:right w:val="nil"/>
            </w:tcBorders>
          </w:tcPr>
          <w:p w14:paraId="588625B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(23)</w:t>
            </w:r>
          </w:p>
        </w:tc>
        <w:tc>
          <w:tcPr>
            <w:tcW w:w="1304" w:type="dxa"/>
            <w:tcBorders>
              <w:top w:val="single" w:sz="6" w:space="0" w:color="auto"/>
              <w:left w:val="single" w:sz="6" w:space="0" w:color="auto"/>
              <w:bottom w:val="single" w:sz="6" w:space="0" w:color="auto"/>
              <w:right w:val="single" w:sz="6" w:space="0" w:color="auto"/>
            </w:tcBorders>
          </w:tcPr>
          <w:p w14:paraId="2D62C0B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73</w:t>
            </w:r>
          </w:p>
        </w:tc>
      </w:tr>
      <w:tr w:rsidR="006E0A51" w:rsidRPr="00F53E25" w14:paraId="385CE1F8" w14:textId="77777777" w:rsidTr="0076398C">
        <w:tc>
          <w:tcPr>
            <w:tcW w:w="3457" w:type="dxa"/>
            <w:tcBorders>
              <w:top w:val="single" w:sz="6" w:space="0" w:color="auto"/>
              <w:left w:val="single" w:sz="6" w:space="0" w:color="auto"/>
              <w:bottom w:val="single" w:sz="6" w:space="0" w:color="auto"/>
              <w:right w:val="nil"/>
            </w:tcBorders>
          </w:tcPr>
          <w:p w14:paraId="3E501EFC" w14:textId="0FBB0A11" w:rsidR="00E00878" w:rsidRPr="00F53E25" w:rsidRDefault="00E00878" w:rsidP="0076398C">
            <w:pPr>
              <w:autoSpaceDE w:val="0"/>
              <w:autoSpaceDN w:val="0"/>
              <w:adjustRightInd w:val="0"/>
              <w:ind w:left="0" w:firstLine="0"/>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lastRenderedPageBreak/>
              <w:t>Provision</w:t>
            </w:r>
            <w:r w:rsidR="006E0A51" w:rsidRPr="00F53E25">
              <w:rPr>
                <w:rFonts w:asciiTheme="minorHAnsi" w:eastAsiaTheme="minorHAnsi" w:hAnsiTheme="minorHAnsi" w:cstheme="minorHAnsi"/>
                <w:color w:val="000000" w:themeColor="text1"/>
                <w:sz w:val="20"/>
                <w:szCs w:val="20"/>
              </w:rPr>
              <w:t>es</w:t>
            </w:r>
            <w:r w:rsidRPr="00F53E25">
              <w:rPr>
                <w:rFonts w:asciiTheme="minorHAnsi" w:eastAsiaTheme="minorHAnsi" w:hAnsiTheme="minorHAnsi" w:cstheme="minorHAnsi"/>
                <w:color w:val="000000" w:themeColor="text1"/>
                <w:sz w:val="20"/>
                <w:szCs w:val="20"/>
              </w:rPr>
              <w:t xml:space="preserve"> </w:t>
            </w:r>
            <w:r w:rsidR="006E0A51" w:rsidRPr="00F53E25">
              <w:rPr>
                <w:rFonts w:asciiTheme="minorHAnsi" w:eastAsiaTheme="minorHAnsi" w:hAnsiTheme="minorHAnsi" w:cstheme="minorHAnsi"/>
                <w:color w:val="000000" w:themeColor="text1"/>
                <w:sz w:val="20"/>
                <w:szCs w:val="20"/>
              </w:rPr>
              <w:t>correspondientes a las contribuciones pendientes</w:t>
            </w:r>
          </w:p>
        </w:tc>
        <w:tc>
          <w:tcPr>
            <w:tcW w:w="1304" w:type="dxa"/>
            <w:tcBorders>
              <w:top w:val="single" w:sz="6" w:space="0" w:color="auto"/>
              <w:left w:val="single" w:sz="6" w:space="0" w:color="auto"/>
              <w:bottom w:val="single" w:sz="6" w:space="0" w:color="auto"/>
              <w:right w:val="single" w:sz="6" w:space="0" w:color="auto"/>
            </w:tcBorders>
          </w:tcPr>
          <w:p w14:paraId="22C18E6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680CB9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6109A8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605325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162</w:t>
            </w:r>
          </w:p>
        </w:tc>
        <w:tc>
          <w:tcPr>
            <w:tcW w:w="1304" w:type="dxa"/>
            <w:tcBorders>
              <w:top w:val="single" w:sz="6" w:space="0" w:color="auto"/>
              <w:left w:val="single" w:sz="6" w:space="0" w:color="auto"/>
              <w:bottom w:val="single" w:sz="6" w:space="0" w:color="auto"/>
              <w:right w:val="single" w:sz="6" w:space="0" w:color="auto"/>
            </w:tcBorders>
          </w:tcPr>
          <w:p w14:paraId="106912C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A01B6E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162</w:t>
            </w:r>
          </w:p>
        </w:tc>
        <w:tc>
          <w:tcPr>
            <w:tcW w:w="1304" w:type="dxa"/>
            <w:tcBorders>
              <w:top w:val="single" w:sz="6" w:space="0" w:color="auto"/>
              <w:left w:val="nil"/>
              <w:bottom w:val="single" w:sz="6" w:space="0" w:color="auto"/>
              <w:right w:val="nil"/>
            </w:tcBorders>
          </w:tcPr>
          <w:p w14:paraId="1ED2A39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94</w:t>
            </w:r>
          </w:p>
        </w:tc>
        <w:tc>
          <w:tcPr>
            <w:tcW w:w="1304" w:type="dxa"/>
            <w:tcBorders>
              <w:top w:val="single" w:sz="6" w:space="0" w:color="auto"/>
              <w:left w:val="single" w:sz="6" w:space="0" w:color="auto"/>
              <w:bottom w:val="single" w:sz="6" w:space="0" w:color="auto"/>
              <w:right w:val="single" w:sz="6" w:space="0" w:color="auto"/>
            </w:tcBorders>
          </w:tcPr>
          <w:p w14:paraId="11DBCD3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themeColor="text1"/>
                <w:sz w:val="20"/>
                <w:szCs w:val="20"/>
              </w:rPr>
            </w:pPr>
            <w:r w:rsidRPr="00F53E25">
              <w:rPr>
                <w:rFonts w:asciiTheme="minorHAnsi" w:eastAsiaTheme="minorHAnsi" w:hAnsiTheme="minorHAnsi" w:cstheme="minorHAnsi"/>
                <w:color w:val="000000" w:themeColor="text1"/>
                <w:sz w:val="20"/>
                <w:szCs w:val="20"/>
              </w:rPr>
              <w:t>68</w:t>
            </w:r>
          </w:p>
        </w:tc>
      </w:tr>
      <w:tr w:rsidR="00E00878" w:rsidRPr="00F53E25" w14:paraId="48FB909F" w14:textId="77777777" w:rsidTr="0076398C">
        <w:tc>
          <w:tcPr>
            <w:tcW w:w="3457" w:type="dxa"/>
            <w:tcBorders>
              <w:top w:val="single" w:sz="6" w:space="0" w:color="auto"/>
              <w:left w:val="single" w:sz="6" w:space="0" w:color="auto"/>
              <w:bottom w:val="single" w:sz="6" w:space="0" w:color="auto"/>
              <w:right w:val="nil"/>
            </w:tcBorders>
          </w:tcPr>
          <w:p w14:paraId="5E55ADE6" w14:textId="5C5D934A" w:rsidR="00E00878" w:rsidRPr="00F53E25" w:rsidRDefault="006E0A51" w:rsidP="0076398C">
            <w:pPr>
              <w:autoSpaceDE w:val="0"/>
              <w:autoSpaceDN w:val="0"/>
              <w:adjustRightInd w:val="0"/>
              <w:ind w:left="0" w:firstLine="0"/>
              <w:rPr>
                <w:rFonts w:asciiTheme="minorHAnsi" w:eastAsiaTheme="minorHAnsi" w:hAnsiTheme="minorHAnsi" w:cstheme="minorHAnsi"/>
                <w:color w:val="FF0000"/>
                <w:sz w:val="20"/>
                <w:szCs w:val="20"/>
              </w:rPr>
            </w:pPr>
            <w:r w:rsidRPr="00F53E25">
              <w:rPr>
                <w:rFonts w:asciiTheme="minorHAnsi" w:hAnsiTheme="minorHAnsi"/>
                <w:sz w:val="20"/>
                <w:szCs w:val="20"/>
              </w:rPr>
              <w:t xml:space="preserve">Presupuesto aprobado por la reunión SC58 y </w:t>
            </w:r>
            <w:r w:rsidRPr="00F53E25">
              <w:rPr>
                <w:rFonts w:asciiTheme="minorHAnsi" w:hAnsiTheme="minorHAnsi"/>
                <w:color w:val="000000" w:themeColor="text1"/>
                <w:sz w:val="20"/>
                <w:szCs w:val="20"/>
              </w:rPr>
              <w:t>ahorros no comprometidos traspasados al año siguiente</w:t>
            </w:r>
          </w:p>
        </w:tc>
        <w:tc>
          <w:tcPr>
            <w:tcW w:w="1304" w:type="dxa"/>
            <w:tcBorders>
              <w:top w:val="single" w:sz="6" w:space="0" w:color="auto"/>
              <w:left w:val="single" w:sz="6" w:space="0" w:color="auto"/>
              <w:bottom w:val="single" w:sz="6" w:space="0" w:color="auto"/>
              <w:right w:val="single" w:sz="6" w:space="0" w:color="auto"/>
            </w:tcBorders>
          </w:tcPr>
          <w:p w14:paraId="17FD435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240</w:t>
            </w:r>
          </w:p>
        </w:tc>
        <w:tc>
          <w:tcPr>
            <w:tcW w:w="1304" w:type="dxa"/>
            <w:tcBorders>
              <w:top w:val="single" w:sz="6" w:space="0" w:color="auto"/>
              <w:left w:val="single" w:sz="6" w:space="0" w:color="auto"/>
              <w:bottom w:val="single" w:sz="6" w:space="0" w:color="auto"/>
              <w:right w:val="single" w:sz="6" w:space="0" w:color="auto"/>
            </w:tcBorders>
          </w:tcPr>
          <w:p w14:paraId="6A0D6B4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FDA24C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EC14B1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489</w:t>
            </w:r>
          </w:p>
        </w:tc>
        <w:tc>
          <w:tcPr>
            <w:tcW w:w="1304" w:type="dxa"/>
            <w:tcBorders>
              <w:top w:val="single" w:sz="6" w:space="0" w:color="auto"/>
              <w:left w:val="single" w:sz="6" w:space="0" w:color="auto"/>
              <w:bottom w:val="single" w:sz="6" w:space="0" w:color="auto"/>
              <w:right w:val="single" w:sz="6" w:space="0" w:color="auto"/>
            </w:tcBorders>
          </w:tcPr>
          <w:p w14:paraId="286AB40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(20)</w:t>
            </w:r>
          </w:p>
        </w:tc>
        <w:tc>
          <w:tcPr>
            <w:tcW w:w="1304" w:type="dxa"/>
            <w:tcBorders>
              <w:top w:val="single" w:sz="6" w:space="0" w:color="auto"/>
              <w:left w:val="single" w:sz="6" w:space="0" w:color="auto"/>
              <w:bottom w:val="single" w:sz="6" w:space="0" w:color="auto"/>
              <w:right w:val="single" w:sz="6" w:space="0" w:color="auto"/>
            </w:tcBorders>
          </w:tcPr>
          <w:p w14:paraId="2089685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709</w:t>
            </w:r>
          </w:p>
        </w:tc>
        <w:tc>
          <w:tcPr>
            <w:tcW w:w="1304" w:type="dxa"/>
            <w:tcBorders>
              <w:top w:val="single" w:sz="6" w:space="0" w:color="auto"/>
              <w:left w:val="nil"/>
              <w:bottom w:val="single" w:sz="6" w:space="0" w:color="auto"/>
              <w:right w:val="nil"/>
            </w:tcBorders>
          </w:tcPr>
          <w:p w14:paraId="52752F8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4ADC21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709</w:t>
            </w:r>
          </w:p>
        </w:tc>
      </w:tr>
      <w:tr w:rsidR="00E00878" w:rsidRPr="00F53E25" w14:paraId="4D81BD81" w14:textId="77777777" w:rsidTr="0076398C">
        <w:tc>
          <w:tcPr>
            <w:tcW w:w="3457" w:type="dxa"/>
            <w:tcBorders>
              <w:top w:val="nil"/>
              <w:left w:val="single" w:sz="6" w:space="0" w:color="auto"/>
              <w:bottom w:val="nil"/>
              <w:right w:val="nil"/>
            </w:tcBorders>
          </w:tcPr>
          <w:p w14:paraId="75E7FA4D" w14:textId="4A9C4D4E"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Ganancias/pérdidas por fluctuaciones del tipo de cambio</w:t>
            </w:r>
          </w:p>
        </w:tc>
        <w:tc>
          <w:tcPr>
            <w:tcW w:w="1304" w:type="dxa"/>
            <w:tcBorders>
              <w:top w:val="nil"/>
              <w:left w:val="single" w:sz="6" w:space="0" w:color="auto"/>
              <w:bottom w:val="nil"/>
              <w:right w:val="single" w:sz="6" w:space="0" w:color="auto"/>
            </w:tcBorders>
          </w:tcPr>
          <w:p w14:paraId="5F7A544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30129B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EAB766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2EB1F1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(29)</w:t>
            </w:r>
          </w:p>
        </w:tc>
        <w:tc>
          <w:tcPr>
            <w:tcW w:w="1304" w:type="dxa"/>
            <w:tcBorders>
              <w:top w:val="nil"/>
              <w:left w:val="single" w:sz="6" w:space="0" w:color="auto"/>
              <w:bottom w:val="nil"/>
              <w:right w:val="single" w:sz="6" w:space="0" w:color="auto"/>
            </w:tcBorders>
          </w:tcPr>
          <w:p w14:paraId="7115B4D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8C7680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(29)</w:t>
            </w:r>
          </w:p>
        </w:tc>
        <w:tc>
          <w:tcPr>
            <w:tcW w:w="1304" w:type="dxa"/>
            <w:tcBorders>
              <w:top w:val="nil"/>
              <w:left w:val="nil"/>
              <w:bottom w:val="nil"/>
              <w:right w:val="nil"/>
            </w:tcBorders>
          </w:tcPr>
          <w:p w14:paraId="44EDEEB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65</w:t>
            </w:r>
          </w:p>
        </w:tc>
        <w:tc>
          <w:tcPr>
            <w:tcW w:w="1304" w:type="dxa"/>
            <w:tcBorders>
              <w:top w:val="nil"/>
              <w:left w:val="single" w:sz="6" w:space="0" w:color="auto"/>
              <w:bottom w:val="nil"/>
              <w:right w:val="single" w:sz="6" w:space="0" w:color="auto"/>
            </w:tcBorders>
          </w:tcPr>
          <w:p w14:paraId="76EBC21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(94)</w:t>
            </w:r>
          </w:p>
        </w:tc>
      </w:tr>
      <w:tr w:rsidR="00E00878" w:rsidRPr="00F53E25" w14:paraId="23FE4F53" w14:textId="77777777" w:rsidTr="0076398C">
        <w:tc>
          <w:tcPr>
            <w:tcW w:w="3457" w:type="dxa"/>
            <w:tcBorders>
              <w:top w:val="single" w:sz="6" w:space="0" w:color="auto"/>
              <w:left w:val="single" w:sz="6" w:space="0" w:color="auto"/>
              <w:bottom w:val="single" w:sz="6" w:space="0" w:color="auto"/>
              <w:right w:val="nil"/>
            </w:tcBorders>
          </w:tcPr>
          <w:p w14:paraId="054FCCEB"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hAnsiTheme="minorHAnsi"/>
                <w:bCs/>
                <w:sz w:val="20"/>
                <w:szCs w:val="20"/>
              </w:rPr>
              <w:t>Servicios jurídicos</w:t>
            </w:r>
          </w:p>
        </w:tc>
        <w:tc>
          <w:tcPr>
            <w:tcW w:w="1304" w:type="dxa"/>
            <w:tcBorders>
              <w:top w:val="single" w:sz="6" w:space="0" w:color="auto"/>
              <w:left w:val="single" w:sz="6" w:space="0" w:color="auto"/>
              <w:bottom w:val="single" w:sz="6" w:space="0" w:color="auto"/>
              <w:right w:val="single" w:sz="6" w:space="0" w:color="auto"/>
            </w:tcBorders>
          </w:tcPr>
          <w:p w14:paraId="6174F8A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59</w:t>
            </w:r>
          </w:p>
        </w:tc>
        <w:tc>
          <w:tcPr>
            <w:tcW w:w="1304" w:type="dxa"/>
            <w:tcBorders>
              <w:top w:val="single" w:sz="6" w:space="0" w:color="auto"/>
              <w:left w:val="single" w:sz="6" w:space="0" w:color="auto"/>
              <w:bottom w:val="single" w:sz="6" w:space="0" w:color="auto"/>
              <w:right w:val="single" w:sz="6" w:space="0" w:color="auto"/>
            </w:tcBorders>
          </w:tcPr>
          <w:p w14:paraId="5F753CF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FAFF4E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25</w:t>
            </w:r>
          </w:p>
        </w:tc>
        <w:tc>
          <w:tcPr>
            <w:tcW w:w="1304" w:type="dxa"/>
            <w:tcBorders>
              <w:top w:val="single" w:sz="6" w:space="0" w:color="auto"/>
              <w:left w:val="single" w:sz="6" w:space="0" w:color="auto"/>
              <w:bottom w:val="single" w:sz="6" w:space="0" w:color="auto"/>
              <w:right w:val="single" w:sz="6" w:space="0" w:color="auto"/>
            </w:tcBorders>
          </w:tcPr>
          <w:p w14:paraId="0C53AF8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43</w:t>
            </w:r>
          </w:p>
        </w:tc>
        <w:tc>
          <w:tcPr>
            <w:tcW w:w="1304" w:type="dxa"/>
            <w:tcBorders>
              <w:top w:val="single" w:sz="6" w:space="0" w:color="auto"/>
              <w:left w:val="single" w:sz="6" w:space="0" w:color="auto"/>
              <w:bottom w:val="single" w:sz="6" w:space="0" w:color="auto"/>
              <w:right w:val="single" w:sz="6" w:space="0" w:color="auto"/>
            </w:tcBorders>
          </w:tcPr>
          <w:p w14:paraId="0181341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4B9429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127</w:t>
            </w:r>
          </w:p>
        </w:tc>
        <w:tc>
          <w:tcPr>
            <w:tcW w:w="1304" w:type="dxa"/>
            <w:tcBorders>
              <w:top w:val="single" w:sz="6" w:space="0" w:color="auto"/>
              <w:left w:val="nil"/>
              <w:bottom w:val="single" w:sz="6" w:space="0" w:color="auto"/>
              <w:right w:val="nil"/>
            </w:tcBorders>
          </w:tcPr>
          <w:p w14:paraId="623C263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40</w:t>
            </w:r>
          </w:p>
        </w:tc>
        <w:tc>
          <w:tcPr>
            <w:tcW w:w="1304" w:type="dxa"/>
            <w:tcBorders>
              <w:top w:val="single" w:sz="6" w:space="0" w:color="auto"/>
              <w:left w:val="single" w:sz="6" w:space="0" w:color="auto"/>
              <w:bottom w:val="single" w:sz="6" w:space="0" w:color="auto"/>
              <w:right w:val="single" w:sz="6" w:space="0" w:color="auto"/>
            </w:tcBorders>
          </w:tcPr>
          <w:p w14:paraId="3894153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87</w:t>
            </w:r>
          </w:p>
        </w:tc>
      </w:tr>
      <w:tr w:rsidR="00E00878" w:rsidRPr="00F53E25" w14:paraId="7B7B33B9" w14:textId="77777777" w:rsidTr="0076398C">
        <w:tc>
          <w:tcPr>
            <w:tcW w:w="3457" w:type="dxa"/>
            <w:tcBorders>
              <w:top w:val="nil"/>
              <w:left w:val="single" w:sz="6" w:space="0" w:color="auto"/>
              <w:bottom w:val="nil"/>
              <w:right w:val="nil"/>
            </w:tcBorders>
            <w:shd w:val="clear" w:color="auto" w:fill="D6E3BC" w:themeFill="accent3" w:themeFillTint="66"/>
          </w:tcPr>
          <w:p w14:paraId="6E35D80D"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TOTAL, GASTOS</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2AE4DB4" w14:textId="72BAD33B"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081</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3E7CA4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76</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3E48087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588</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C79B50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919</w:t>
            </w:r>
          </w:p>
        </w:tc>
        <w:tc>
          <w:tcPr>
            <w:tcW w:w="1304" w:type="dxa"/>
            <w:tcBorders>
              <w:top w:val="single" w:sz="6" w:space="0" w:color="auto"/>
              <w:left w:val="nil"/>
              <w:bottom w:val="single" w:sz="6" w:space="0" w:color="auto"/>
              <w:right w:val="single" w:sz="6" w:space="0" w:color="auto"/>
            </w:tcBorders>
            <w:shd w:val="clear" w:color="auto" w:fill="D6E3BC" w:themeFill="accent3" w:themeFillTint="66"/>
          </w:tcPr>
          <w:p w14:paraId="14232B7C"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447E86C" w14:textId="1BD76E9B"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6</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664</w:t>
            </w:r>
          </w:p>
        </w:tc>
        <w:tc>
          <w:tcPr>
            <w:tcW w:w="1304" w:type="dxa"/>
            <w:tcBorders>
              <w:top w:val="nil"/>
              <w:left w:val="nil"/>
              <w:bottom w:val="nil"/>
              <w:right w:val="nil"/>
            </w:tcBorders>
            <w:shd w:val="clear" w:color="auto" w:fill="D6E3BC" w:themeFill="accent3" w:themeFillTint="66"/>
          </w:tcPr>
          <w:p w14:paraId="75AC4FCC" w14:textId="4B1F9562"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4</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363</w:t>
            </w:r>
          </w:p>
        </w:tc>
        <w:tc>
          <w:tcPr>
            <w:tcW w:w="1304" w:type="dxa"/>
            <w:tcBorders>
              <w:top w:val="nil"/>
              <w:left w:val="nil"/>
              <w:bottom w:val="nil"/>
              <w:right w:val="nil"/>
            </w:tcBorders>
            <w:shd w:val="clear" w:color="auto" w:fill="D6E3BC" w:themeFill="accent3" w:themeFillTint="66"/>
          </w:tcPr>
          <w:p w14:paraId="6E7E39C5" w14:textId="03699568"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2</w:t>
            </w:r>
            <w:r w:rsidR="006972B4" w:rsidRPr="00F53E25">
              <w:rPr>
                <w:rFonts w:asciiTheme="minorHAnsi" w:eastAsiaTheme="minorHAnsi" w:hAnsiTheme="minorHAnsi" w:cstheme="minorHAnsi"/>
                <w:color w:val="000000"/>
                <w:sz w:val="20"/>
                <w:szCs w:val="20"/>
              </w:rPr>
              <w:t xml:space="preserve"> </w:t>
            </w:r>
            <w:r w:rsidRPr="00F53E25">
              <w:rPr>
                <w:rFonts w:asciiTheme="minorHAnsi" w:eastAsiaTheme="minorHAnsi" w:hAnsiTheme="minorHAnsi" w:cstheme="minorHAnsi"/>
                <w:color w:val="000000"/>
                <w:sz w:val="20"/>
                <w:szCs w:val="20"/>
              </w:rPr>
              <w:t>301</w:t>
            </w:r>
          </w:p>
        </w:tc>
      </w:tr>
      <w:tr w:rsidR="00E00878" w:rsidRPr="00F53E25" w14:paraId="0A4D6856" w14:textId="77777777" w:rsidTr="0076398C">
        <w:tc>
          <w:tcPr>
            <w:tcW w:w="3457" w:type="dxa"/>
            <w:tcBorders>
              <w:top w:val="single" w:sz="6" w:space="0" w:color="auto"/>
              <w:left w:val="single" w:sz="6" w:space="0" w:color="auto"/>
              <w:bottom w:val="single" w:sz="6" w:space="0" w:color="auto"/>
              <w:right w:val="nil"/>
            </w:tcBorders>
          </w:tcPr>
          <w:p w14:paraId="407C357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781C20C5"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6A22202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3A3831F0"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18E09FC1"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7C5D613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25684ED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2DA5FE6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single" w:sz="6" w:space="0" w:color="auto"/>
              <w:bottom w:val="single" w:sz="6" w:space="0" w:color="auto"/>
              <w:right w:val="single" w:sz="6" w:space="0" w:color="auto"/>
            </w:tcBorders>
          </w:tcPr>
          <w:p w14:paraId="541D7CE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E00878" w:rsidRPr="00F53E25" w14:paraId="08463B2A" w14:textId="77777777" w:rsidTr="0076398C">
        <w:tc>
          <w:tcPr>
            <w:tcW w:w="3457" w:type="dxa"/>
            <w:tcBorders>
              <w:top w:val="nil"/>
              <w:left w:val="single" w:sz="6" w:space="0" w:color="auto"/>
              <w:bottom w:val="nil"/>
              <w:right w:val="nil"/>
            </w:tcBorders>
            <w:shd w:val="clear" w:color="auto" w:fill="D6E3BC" w:themeFill="accent3" w:themeFillTint="66"/>
          </w:tcPr>
          <w:p w14:paraId="56A86A7B" w14:textId="77777777" w:rsidR="00E00878" w:rsidRPr="00F53E25" w:rsidRDefault="00E00878" w:rsidP="0076398C">
            <w:pPr>
              <w:autoSpaceDE w:val="0"/>
              <w:autoSpaceDN w:val="0"/>
              <w:adjustRightInd w:val="0"/>
              <w:ind w:left="0" w:firstLine="0"/>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Subtotal, EXCEDENTE/(DÉFICIT)</w:t>
            </w:r>
          </w:p>
        </w:tc>
        <w:tc>
          <w:tcPr>
            <w:tcW w:w="1304" w:type="dxa"/>
            <w:tcBorders>
              <w:top w:val="single" w:sz="6" w:space="0" w:color="auto"/>
              <w:left w:val="single" w:sz="6" w:space="0" w:color="auto"/>
              <w:bottom w:val="single" w:sz="6" w:space="0" w:color="auto"/>
              <w:right w:val="nil"/>
            </w:tcBorders>
            <w:shd w:val="clear" w:color="auto" w:fill="D6E3BC" w:themeFill="accent3" w:themeFillTint="66"/>
          </w:tcPr>
          <w:p w14:paraId="1609D63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126BB42E"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48EC050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2189BFD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3C91CDA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408BA07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797C76D"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671</w:t>
            </w:r>
          </w:p>
        </w:tc>
        <w:tc>
          <w:tcPr>
            <w:tcW w:w="1304" w:type="dxa"/>
            <w:tcBorders>
              <w:top w:val="nil"/>
              <w:left w:val="single" w:sz="6" w:space="0" w:color="auto"/>
              <w:bottom w:val="nil"/>
              <w:right w:val="single" w:sz="6" w:space="0" w:color="auto"/>
            </w:tcBorders>
            <w:shd w:val="clear" w:color="auto" w:fill="D6E3BC" w:themeFill="accent3" w:themeFillTint="66"/>
          </w:tcPr>
          <w:p w14:paraId="24CA8467" w14:textId="72AA1CB0"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2</w:t>
            </w:r>
            <w:r w:rsidR="006972B4" w:rsidRPr="00F53E25">
              <w:rPr>
                <w:rFonts w:asciiTheme="minorHAnsi" w:eastAsiaTheme="minorHAnsi" w:hAnsiTheme="minorHAnsi" w:cstheme="minorHAnsi"/>
                <w:b/>
                <w:bCs/>
                <w:color w:val="000000"/>
                <w:sz w:val="20"/>
                <w:szCs w:val="20"/>
              </w:rPr>
              <w:t xml:space="preserve"> </w:t>
            </w:r>
            <w:r w:rsidRPr="00F53E25">
              <w:rPr>
                <w:rFonts w:asciiTheme="minorHAnsi" w:eastAsiaTheme="minorHAnsi" w:hAnsiTheme="minorHAnsi" w:cstheme="minorHAnsi"/>
                <w:b/>
                <w:bCs/>
                <w:color w:val="000000"/>
                <w:sz w:val="20"/>
                <w:szCs w:val="20"/>
              </w:rPr>
              <w:t>254</w:t>
            </w:r>
          </w:p>
        </w:tc>
      </w:tr>
      <w:tr w:rsidR="00E00878" w:rsidRPr="00F53E25" w14:paraId="32E390E2" w14:textId="77777777" w:rsidTr="0076398C">
        <w:tc>
          <w:tcPr>
            <w:tcW w:w="3457" w:type="dxa"/>
            <w:tcBorders>
              <w:top w:val="single" w:sz="6" w:space="0" w:color="auto"/>
              <w:left w:val="single" w:sz="6" w:space="0" w:color="auto"/>
              <w:bottom w:val="nil"/>
              <w:right w:val="nil"/>
            </w:tcBorders>
          </w:tcPr>
          <w:p w14:paraId="09586246" w14:textId="77777777" w:rsidR="00E00878" w:rsidRPr="00F53E25" w:rsidRDefault="00E00878" w:rsidP="0076398C">
            <w:pPr>
              <w:autoSpaceDE w:val="0"/>
              <w:autoSpaceDN w:val="0"/>
              <w:adjustRightInd w:val="0"/>
              <w:ind w:left="0" w:firstLine="0"/>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Correcciones por redondeo</w:t>
            </w:r>
          </w:p>
        </w:tc>
        <w:tc>
          <w:tcPr>
            <w:tcW w:w="1304" w:type="dxa"/>
            <w:tcBorders>
              <w:top w:val="single" w:sz="6" w:space="0" w:color="auto"/>
              <w:left w:val="nil"/>
              <w:bottom w:val="single" w:sz="6" w:space="0" w:color="auto"/>
              <w:right w:val="nil"/>
            </w:tcBorders>
          </w:tcPr>
          <w:p w14:paraId="1EBECAC2"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1875383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63FA513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150BD1BB"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1799F5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31E3A7F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5AFD899"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p>
        </w:tc>
        <w:tc>
          <w:tcPr>
            <w:tcW w:w="1304" w:type="dxa"/>
            <w:tcBorders>
              <w:top w:val="single" w:sz="6" w:space="0" w:color="auto"/>
              <w:left w:val="single" w:sz="6" w:space="0" w:color="auto"/>
              <w:bottom w:val="single" w:sz="6" w:space="0" w:color="auto"/>
              <w:right w:val="single" w:sz="6" w:space="0" w:color="auto"/>
            </w:tcBorders>
          </w:tcPr>
          <w:p w14:paraId="46151C18"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color w:val="000000"/>
                <w:sz w:val="20"/>
                <w:szCs w:val="20"/>
              </w:rPr>
            </w:pPr>
            <w:r w:rsidRPr="00F53E25">
              <w:rPr>
                <w:rFonts w:asciiTheme="minorHAnsi" w:eastAsiaTheme="minorHAnsi" w:hAnsiTheme="minorHAnsi" w:cstheme="minorHAnsi"/>
                <w:color w:val="000000"/>
                <w:sz w:val="20"/>
                <w:szCs w:val="20"/>
              </w:rPr>
              <w:t>1</w:t>
            </w:r>
          </w:p>
        </w:tc>
      </w:tr>
      <w:tr w:rsidR="00E00878" w:rsidRPr="00F53E25" w14:paraId="093EE30E" w14:textId="77777777" w:rsidTr="0076398C">
        <w:tc>
          <w:tcPr>
            <w:tcW w:w="3457" w:type="dxa"/>
            <w:tcBorders>
              <w:top w:val="single" w:sz="6" w:space="0" w:color="auto"/>
              <w:left w:val="single" w:sz="6" w:space="0" w:color="auto"/>
              <w:bottom w:val="single" w:sz="6" w:space="0" w:color="auto"/>
              <w:right w:val="nil"/>
            </w:tcBorders>
            <w:shd w:val="clear" w:color="auto" w:fill="D6E3BC" w:themeFill="accent3" w:themeFillTint="66"/>
          </w:tcPr>
          <w:p w14:paraId="5F3A0D42" w14:textId="33ADBC53" w:rsidR="00E00878" w:rsidRPr="00F53E25" w:rsidRDefault="006E0A51" w:rsidP="0076398C">
            <w:pPr>
              <w:autoSpaceDE w:val="0"/>
              <w:autoSpaceDN w:val="0"/>
              <w:adjustRightInd w:val="0"/>
              <w:ind w:left="0" w:firstLine="0"/>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Excedente t</w:t>
            </w:r>
            <w:r w:rsidR="00E00878" w:rsidRPr="00F53E25">
              <w:rPr>
                <w:rFonts w:asciiTheme="minorHAnsi" w:eastAsiaTheme="minorHAnsi" w:hAnsiTheme="minorHAnsi" w:cstheme="minorHAnsi"/>
                <w:b/>
                <w:bCs/>
                <w:color w:val="000000"/>
                <w:sz w:val="20"/>
                <w:szCs w:val="20"/>
              </w:rPr>
              <w:t>otal</w:t>
            </w:r>
          </w:p>
        </w:tc>
        <w:tc>
          <w:tcPr>
            <w:tcW w:w="1304" w:type="dxa"/>
            <w:tcBorders>
              <w:top w:val="nil"/>
              <w:left w:val="single" w:sz="6" w:space="0" w:color="auto"/>
              <w:bottom w:val="single" w:sz="6" w:space="0" w:color="auto"/>
              <w:right w:val="nil"/>
            </w:tcBorders>
            <w:shd w:val="clear" w:color="auto" w:fill="D6E3BC" w:themeFill="accent3" w:themeFillTint="66"/>
          </w:tcPr>
          <w:p w14:paraId="511B910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2998145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4A50E9B4"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1D227CA7"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4F14D97A"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single" w:sz="6" w:space="0" w:color="auto"/>
            </w:tcBorders>
            <w:shd w:val="clear" w:color="auto" w:fill="D6E3BC" w:themeFill="accent3" w:themeFillTint="66"/>
          </w:tcPr>
          <w:p w14:paraId="6DE7E9BF"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74FF28B6" w14:textId="77777777"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670</w:t>
            </w:r>
          </w:p>
        </w:tc>
        <w:tc>
          <w:tcPr>
            <w:tcW w:w="1304" w:type="dxa"/>
            <w:tcBorders>
              <w:top w:val="single" w:sz="6" w:space="0" w:color="auto"/>
              <w:left w:val="nil"/>
              <w:bottom w:val="single" w:sz="6" w:space="0" w:color="auto"/>
              <w:right w:val="nil"/>
            </w:tcBorders>
            <w:shd w:val="clear" w:color="auto" w:fill="D6E3BC" w:themeFill="accent3" w:themeFillTint="66"/>
          </w:tcPr>
          <w:p w14:paraId="7BC9D6B5" w14:textId="53E1A721" w:rsidR="00E00878" w:rsidRPr="00F53E25" w:rsidRDefault="00E00878" w:rsidP="0076398C">
            <w:pPr>
              <w:autoSpaceDE w:val="0"/>
              <w:autoSpaceDN w:val="0"/>
              <w:adjustRightInd w:val="0"/>
              <w:ind w:left="0" w:firstLine="0"/>
              <w:jc w:val="right"/>
              <w:rPr>
                <w:rFonts w:asciiTheme="minorHAnsi" w:eastAsiaTheme="minorHAnsi" w:hAnsiTheme="minorHAnsi" w:cstheme="minorHAnsi"/>
                <w:b/>
                <w:bCs/>
                <w:color w:val="000000"/>
                <w:sz w:val="20"/>
                <w:szCs w:val="20"/>
              </w:rPr>
            </w:pPr>
            <w:r w:rsidRPr="00F53E25">
              <w:rPr>
                <w:rFonts w:asciiTheme="minorHAnsi" w:eastAsiaTheme="minorHAnsi" w:hAnsiTheme="minorHAnsi" w:cstheme="minorHAnsi"/>
                <w:b/>
                <w:bCs/>
                <w:color w:val="000000"/>
                <w:sz w:val="20"/>
                <w:szCs w:val="20"/>
              </w:rPr>
              <w:t>2</w:t>
            </w:r>
            <w:r w:rsidR="006972B4" w:rsidRPr="00F53E25">
              <w:rPr>
                <w:rFonts w:asciiTheme="minorHAnsi" w:eastAsiaTheme="minorHAnsi" w:hAnsiTheme="minorHAnsi" w:cstheme="minorHAnsi"/>
                <w:b/>
                <w:bCs/>
                <w:color w:val="000000"/>
                <w:sz w:val="20"/>
                <w:szCs w:val="20"/>
              </w:rPr>
              <w:t xml:space="preserve"> </w:t>
            </w:r>
            <w:r w:rsidRPr="00F53E25">
              <w:rPr>
                <w:rFonts w:asciiTheme="minorHAnsi" w:eastAsiaTheme="minorHAnsi" w:hAnsiTheme="minorHAnsi" w:cstheme="minorHAnsi"/>
                <w:b/>
                <w:bCs/>
                <w:color w:val="000000"/>
                <w:sz w:val="20"/>
                <w:szCs w:val="20"/>
              </w:rPr>
              <w:t>253</w:t>
            </w:r>
          </w:p>
        </w:tc>
      </w:tr>
    </w:tbl>
    <w:p w14:paraId="48060A1C" w14:textId="77777777" w:rsidR="00E00878" w:rsidRPr="00F53E25" w:rsidRDefault="00E00878" w:rsidP="001404C4">
      <w:pPr>
        <w:pStyle w:val="NoSpacing"/>
        <w:ind w:left="0" w:firstLine="0"/>
        <w:rPr>
          <w:rFonts w:asciiTheme="minorHAnsi" w:eastAsia="Times New Roman" w:hAnsiTheme="minorHAnsi" w:cs="Arial"/>
          <w:bCs/>
          <w:i/>
          <w:sz w:val="20"/>
          <w:szCs w:val="20"/>
        </w:rPr>
      </w:pPr>
    </w:p>
    <w:p w14:paraId="1275BE2D" w14:textId="77777777" w:rsidR="001404C4" w:rsidRPr="00F53E25" w:rsidRDefault="001404C4" w:rsidP="001404C4">
      <w:pPr>
        <w:pStyle w:val="NoSpacing"/>
        <w:ind w:left="0" w:firstLine="0"/>
        <w:rPr>
          <w:rFonts w:asciiTheme="minorHAnsi" w:eastAsia="Times New Roman" w:hAnsiTheme="minorHAnsi" w:cs="Arial"/>
          <w:bCs/>
          <w:i/>
          <w:sz w:val="20"/>
          <w:szCs w:val="20"/>
          <w:lang w:eastAsia="en-GB"/>
        </w:rPr>
      </w:pPr>
    </w:p>
    <w:p w14:paraId="20F9A29F" w14:textId="19582912" w:rsidR="001404C4" w:rsidRPr="00F53E25" w:rsidRDefault="001404C4" w:rsidP="00FD07C4">
      <w:pPr>
        <w:pStyle w:val="NoSpacing"/>
        <w:ind w:left="-426" w:firstLine="426"/>
        <w:rPr>
          <w:rFonts w:asciiTheme="minorHAnsi" w:hAnsiTheme="minorHAnsi"/>
          <w:bCs/>
          <w:sz w:val="20"/>
          <w:szCs w:val="20"/>
        </w:rPr>
      </w:pPr>
      <w:r w:rsidRPr="00F53E25">
        <w:rPr>
          <w:rFonts w:asciiTheme="minorHAnsi" w:hAnsiTheme="minorHAnsi"/>
          <w:bCs/>
          <w:sz w:val="20"/>
          <w:szCs w:val="20"/>
        </w:rPr>
        <w:t>Notas:</w:t>
      </w:r>
    </w:p>
    <w:p w14:paraId="4DBC5950" w14:textId="619194E6" w:rsidR="00E00878" w:rsidRPr="00F53E25" w:rsidRDefault="00E00878" w:rsidP="00E00878">
      <w:pPr>
        <w:ind w:left="426" w:hanging="426"/>
        <w:rPr>
          <w:rFonts w:eastAsia="Times New Roman" w:cs="Calibri"/>
          <w:color w:val="000000" w:themeColor="text1"/>
          <w:sz w:val="20"/>
          <w:szCs w:val="20"/>
          <w:lang w:eastAsia="en-GB"/>
        </w:rPr>
      </w:pPr>
      <w:r w:rsidRPr="00F53E25">
        <w:rPr>
          <w:rFonts w:eastAsia="Times New Roman" w:cs="Calibri"/>
          <w:color w:val="000000" w:themeColor="text1"/>
          <w:sz w:val="20"/>
          <w:szCs w:val="20"/>
          <w:lang w:eastAsia="en-GB"/>
        </w:rPr>
        <w:t>1)</w:t>
      </w:r>
      <w:r w:rsidRPr="00F53E25">
        <w:rPr>
          <w:rFonts w:eastAsia="Times New Roman" w:cs="Calibri"/>
          <w:color w:val="000000" w:themeColor="text1"/>
          <w:sz w:val="20"/>
          <w:szCs w:val="20"/>
          <w:lang w:eastAsia="en-GB"/>
        </w:rPr>
        <w:tab/>
      </w:r>
      <w:r w:rsidR="006E0A51" w:rsidRPr="00F53E25">
        <w:rPr>
          <w:rFonts w:eastAsia="Times New Roman" w:cs="Calibri"/>
          <w:color w:val="000000" w:themeColor="text1"/>
          <w:sz w:val="20"/>
          <w:szCs w:val="20"/>
          <w:lang w:eastAsia="en-GB"/>
        </w:rPr>
        <w:t xml:space="preserve">Fondos </w:t>
      </w:r>
      <w:r w:rsidR="00404FE5" w:rsidRPr="00F53E25">
        <w:rPr>
          <w:rFonts w:eastAsia="Times New Roman" w:cs="Calibri"/>
          <w:color w:val="000000" w:themeColor="text1"/>
          <w:sz w:val="20"/>
          <w:szCs w:val="20"/>
          <w:lang w:eastAsia="en-GB"/>
        </w:rPr>
        <w:t>traspasados</w:t>
      </w:r>
      <w:r w:rsidR="006E0A51" w:rsidRPr="00F53E25">
        <w:rPr>
          <w:rFonts w:eastAsia="Times New Roman" w:cs="Calibri"/>
          <w:color w:val="000000" w:themeColor="text1"/>
          <w:sz w:val="20"/>
          <w:szCs w:val="20"/>
          <w:lang w:eastAsia="en-GB"/>
        </w:rPr>
        <w:t xml:space="preserve"> al año siguiente en la misma partida presupuestaria con arreglo a la Decisión </w:t>
      </w:r>
      <w:r w:rsidRPr="00F53E25">
        <w:rPr>
          <w:rFonts w:eastAsia="Times New Roman" w:cs="Calibri"/>
          <w:color w:val="000000" w:themeColor="text1"/>
          <w:sz w:val="20"/>
          <w:szCs w:val="20"/>
          <w:lang w:eastAsia="en-GB"/>
        </w:rPr>
        <w:t>SC57-50</w:t>
      </w:r>
      <w:r w:rsidR="006E0A51" w:rsidRPr="00F53E25">
        <w:rPr>
          <w:rFonts w:eastAsia="Times New Roman" w:cs="Calibri"/>
          <w:color w:val="000000" w:themeColor="text1"/>
          <w:sz w:val="20"/>
          <w:szCs w:val="20"/>
          <w:lang w:eastAsia="en-GB"/>
        </w:rPr>
        <w:t xml:space="preserve"> del Comité Permanente.</w:t>
      </w:r>
    </w:p>
    <w:p w14:paraId="4DBB2CCD" w14:textId="27842D5E" w:rsidR="00E00878" w:rsidRPr="00F53E25" w:rsidRDefault="00E00878" w:rsidP="00E00878">
      <w:pPr>
        <w:ind w:left="426" w:hanging="426"/>
        <w:rPr>
          <w:rFonts w:eastAsia="Times New Roman" w:cs="Calibri"/>
          <w:color w:val="000000" w:themeColor="text1"/>
          <w:sz w:val="20"/>
          <w:szCs w:val="20"/>
          <w:lang w:eastAsia="en-GB"/>
        </w:rPr>
      </w:pPr>
      <w:r w:rsidRPr="00F53E25">
        <w:rPr>
          <w:rFonts w:eastAsia="Times New Roman" w:cs="Calibri"/>
          <w:color w:val="000000" w:themeColor="text1"/>
          <w:sz w:val="20"/>
          <w:szCs w:val="20"/>
          <w:lang w:eastAsia="en-GB"/>
        </w:rPr>
        <w:t>2)</w:t>
      </w:r>
      <w:r w:rsidRPr="00F53E25">
        <w:rPr>
          <w:rFonts w:eastAsia="Times New Roman" w:cs="Calibri"/>
          <w:color w:val="000000" w:themeColor="text1"/>
          <w:sz w:val="20"/>
          <w:szCs w:val="20"/>
          <w:lang w:eastAsia="en-GB"/>
        </w:rPr>
        <w:tab/>
      </w:r>
      <w:r w:rsidR="006E0A51" w:rsidRPr="00F53E25">
        <w:rPr>
          <w:rFonts w:eastAsia="Times New Roman" w:cs="Calibri"/>
          <w:color w:val="000000" w:themeColor="text1"/>
          <w:sz w:val="20"/>
          <w:szCs w:val="20"/>
          <w:lang w:eastAsia="en-GB"/>
        </w:rPr>
        <w:t>Decisiones</w:t>
      </w:r>
      <w:r w:rsidR="00FD07C4" w:rsidRPr="00F53E25">
        <w:rPr>
          <w:rFonts w:eastAsia="Times New Roman" w:cs="Calibri"/>
          <w:color w:val="000000" w:themeColor="text1"/>
          <w:sz w:val="20"/>
          <w:szCs w:val="20"/>
          <w:lang w:eastAsia="en-GB"/>
        </w:rPr>
        <w:t xml:space="preserve"> aprobadas</w:t>
      </w:r>
      <w:r w:rsidR="00FD07C4" w:rsidRPr="00F53E25">
        <w:rPr>
          <w:rFonts w:ascii="Times New Roman" w:eastAsia="Times New Roman" w:hAnsi="Times New Roman"/>
          <w:color w:val="000000" w:themeColor="text1"/>
          <w:sz w:val="20"/>
          <w:szCs w:val="20"/>
          <w:lang w:eastAsia="en-GB"/>
        </w:rPr>
        <w:t xml:space="preserve"> </w:t>
      </w:r>
      <w:r w:rsidR="00FD07C4" w:rsidRPr="00F53E25">
        <w:rPr>
          <w:rFonts w:eastAsia="Times New Roman" w:cs="Calibri"/>
          <w:color w:val="000000" w:themeColor="text1"/>
          <w:sz w:val="20"/>
          <w:szCs w:val="20"/>
          <w:lang w:eastAsia="en-GB"/>
        </w:rPr>
        <w:t xml:space="preserve">por la reunión </w:t>
      </w:r>
      <w:r w:rsidRPr="00F53E25">
        <w:rPr>
          <w:rFonts w:eastAsia="Times New Roman" w:cs="Calibri"/>
          <w:color w:val="000000" w:themeColor="text1"/>
          <w:sz w:val="20"/>
          <w:szCs w:val="20"/>
          <w:lang w:eastAsia="en-GB"/>
        </w:rPr>
        <w:t xml:space="preserve">SC58 </w:t>
      </w:r>
      <w:r w:rsidR="00FD07C4" w:rsidRPr="00F53E25">
        <w:rPr>
          <w:rFonts w:eastAsia="Times New Roman" w:cs="Calibri"/>
          <w:color w:val="000000" w:themeColor="text1"/>
          <w:sz w:val="20"/>
          <w:szCs w:val="20"/>
          <w:lang w:eastAsia="en-GB"/>
        </w:rPr>
        <w:t>entre períodos de sesiones.</w:t>
      </w:r>
    </w:p>
    <w:p w14:paraId="7526EE7D" w14:textId="3B4A4F6E" w:rsidR="001404C4" w:rsidRPr="00F53E25" w:rsidRDefault="00E00878" w:rsidP="00FD07C4">
      <w:pPr>
        <w:ind w:left="426" w:hanging="426"/>
        <w:rPr>
          <w:rFonts w:asciiTheme="minorHAnsi" w:hAnsiTheme="minorHAnsi"/>
          <w:bCs/>
          <w:color w:val="000000" w:themeColor="text1"/>
          <w:sz w:val="20"/>
          <w:szCs w:val="20"/>
        </w:rPr>
      </w:pPr>
      <w:r w:rsidRPr="00F53E25">
        <w:rPr>
          <w:rFonts w:eastAsia="Times New Roman" w:cs="Calibri"/>
          <w:color w:val="000000" w:themeColor="text1"/>
          <w:sz w:val="20"/>
          <w:szCs w:val="20"/>
          <w:lang w:eastAsia="en-GB"/>
        </w:rPr>
        <w:t>3)</w:t>
      </w:r>
      <w:r w:rsidRPr="00F53E25">
        <w:rPr>
          <w:rFonts w:eastAsia="Times New Roman" w:cs="Calibri"/>
          <w:color w:val="000000" w:themeColor="text1"/>
          <w:sz w:val="20"/>
          <w:szCs w:val="20"/>
          <w:lang w:eastAsia="en-GB"/>
        </w:rPr>
        <w:tab/>
      </w:r>
      <w:r w:rsidR="00FD07C4" w:rsidRPr="00F53E25">
        <w:rPr>
          <w:rFonts w:eastAsia="Times New Roman" w:cs="Calibri"/>
          <w:color w:val="000000" w:themeColor="text1"/>
          <w:sz w:val="20"/>
          <w:szCs w:val="20"/>
          <w:lang w:eastAsia="en-GB"/>
        </w:rPr>
        <w:t xml:space="preserve">Véase el Cuadro 1 para obtener </w:t>
      </w:r>
      <w:r w:rsidRPr="00F53E25">
        <w:rPr>
          <w:rFonts w:asciiTheme="minorHAnsi" w:hAnsiTheme="minorHAnsi"/>
          <w:bCs/>
          <w:color w:val="000000" w:themeColor="text1"/>
          <w:sz w:val="20"/>
          <w:szCs w:val="20"/>
        </w:rPr>
        <w:t>detalles de las cantidades previamente comprometidas para 20</w:t>
      </w:r>
      <w:r w:rsidR="00FD07C4" w:rsidRPr="00F53E25">
        <w:rPr>
          <w:rFonts w:asciiTheme="minorHAnsi" w:hAnsiTheme="minorHAnsi"/>
          <w:bCs/>
          <w:color w:val="000000" w:themeColor="text1"/>
          <w:sz w:val="20"/>
          <w:szCs w:val="20"/>
        </w:rPr>
        <w:t>21</w:t>
      </w:r>
      <w:r w:rsidRPr="00F53E25">
        <w:rPr>
          <w:rFonts w:asciiTheme="minorHAnsi" w:hAnsiTheme="minorHAnsi"/>
          <w:bCs/>
          <w:color w:val="000000" w:themeColor="text1"/>
          <w:sz w:val="20"/>
          <w:szCs w:val="20"/>
        </w:rPr>
        <w:t xml:space="preserve"> a gastar en 202</w:t>
      </w:r>
      <w:r w:rsidR="00FD07C4" w:rsidRPr="00F53E25">
        <w:rPr>
          <w:rFonts w:asciiTheme="minorHAnsi" w:hAnsiTheme="minorHAnsi"/>
          <w:bCs/>
          <w:color w:val="000000" w:themeColor="text1"/>
          <w:sz w:val="20"/>
          <w:szCs w:val="20"/>
        </w:rPr>
        <w:t>1.</w:t>
      </w:r>
    </w:p>
    <w:p w14:paraId="04E9CDDF" w14:textId="77777777" w:rsidR="00E00878" w:rsidRPr="00F53E25" w:rsidRDefault="00E00878" w:rsidP="001404C4">
      <w:pPr>
        <w:pStyle w:val="NoSpacing"/>
        <w:ind w:left="-426" w:firstLine="0"/>
        <w:rPr>
          <w:rFonts w:asciiTheme="minorHAnsi" w:eastAsia="Times New Roman" w:hAnsiTheme="minorHAnsi" w:cs="Arial"/>
          <w:bCs/>
          <w:color w:val="000000" w:themeColor="text1"/>
          <w:sz w:val="20"/>
          <w:szCs w:val="20"/>
        </w:rPr>
      </w:pPr>
    </w:p>
    <w:p w14:paraId="61F0A043" w14:textId="77777777" w:rsidR="006C4A6A" w:rsidRDefault="006C4A6A">
      <w:pPr>
        <w:rPr>
          <w:rFonts w:asciiTheme="minorHAnsi" w:hAnsiTheme="minorHAnsi"/>
          <w:b/>
          <w:bCs/>
          <w:sz w:val="24"/>
          <w:szCs w:val="24"/>
        </w:rPr>
        <w:sectPr w:rsidR="006C4A6A" w:rsidSect="006C4A6A">
          <w:footerReference w:type="default" r:id="rId9"/>
          <w:pgSz w:w="16838" w:h="11906" w:orient="landscape" w:code="9"/>
          <w:pgMar w:top="1440" w:right="1440" w:bottom="1440" w:left="1440" w:header="709" w:footer="709" w:gutter="0"/>
          <w:cols w:space="708"/>
          <w:docGrid w:linePitch="360"/>
        </w:sectPr>
      </w:pPr>
    </w:p>
    <w:p w14:paraId="0B2A0F52" w14:textId="57EA5E06" w:rsidR="00BA0F3C" w:rsidRPr="00F53E25" w:rsidRDefault="001458BE" w:rsidP="007114B2">
      <w:pPr>
        <w:ind w:left="0" w:firstLine="0"/>
        <w:rPr>
          <w:rFonts w:asciiTheme="minorHAnsi" w:eastAsia="Times New Roman" w:hAnsiTheme="minorHAnsi" w:cs="Arial"/>
          <w:b/>
          <w:bCs/>
          <w:sz w:val="24"/>
          <w:szCs w:val="24"/>
        </w:rPr>
      </w:pPr>
      <w:r w:rsidRPr="00F53E25">
        <w:rPr>
          <w:rFonts w:asciiTheme="minorHAnsi" w:hAnsiTheme="minorHAnsi"/>
          <w:b/>
          <w:bCs/>
          <w:sz w:val="24"/>
          <w:szCs w:val="24"/>
        </w:rPr>
        <w:lastRenderedPageBreak/>
        <w:t>Anexo 3</w:t>
      </w:r>
    </w:p>
    <w:p w14:paraId="098F563F" w14:textId="5BBDBC59" w:rsidR="00330040" w:rsidRPr="00F53E25" w:rsidRDefault="001458BE" w:rsidP="007114B2">
      <w:pPr>
        <w:ind w:left="0" w:firstLine="0"/>
        <w:rPr>
          <w:rFonts w:asciiTheme="minorHAnsi" w:eastAsia="Times New Roman" w:hAnsiTheme="minorHAnsi" w:cs="Arial"/>
          <w:b/>
          <w:bCs/>
        </w:rPr>
      </w:pPr>
      <w:r w:rsidRPr="00F53E25">
        <w:rPr>
          <w:rFonts w:asciiTheme="minorHAnsi" w:hAnsiTheme="minorHAnsi"/>
          <w:b/>
          <w:bCs/>
        </w:rPr>
        <w:t>Proyectos financiados por fondos de uso restringido para el período comprendido entre el 1 de enero de 20</w:t>
      </w:r>
      <w:r w:rsidR="00E00878" w:rsidRPr="00F53E25">
        <w:rPr>
          <w:rFonts w:asciiTheme="minorHAnsi" w:hAnsiTheme="minorHAnsi"/>
          <w:b/>
          <w:bCs/>
        </w:rPr>
        <w:t>20</w:t>
      </w:r>
      <w:r w:rsidRPr="00F53E25">
        <w:rPr>
          <w:rFonts w:asciiTheme="minorHAnsi" w:hAnsiTheme="minorHAnsi"/>
          <w:b/>
          <w:bCs/>
        </w:rPr>
        <w:t xml:space="preserve"> y el 31 de diciembre de 20</w:t>
      </w:r>
      <w:r w:rsidR="00E00878" w:rsidRPr="00F53E25">
        <w:rPr>
          <w:rFonts w:asciiTheme="minorHAnsi" w:hAnsiTheme="minorHAnsi"/>
          <w:b/>
          <w:bCs/>
        </w:rPr>
        <w:t>20</w:t>
      </w:r>
    </w:p>
    <w:p w14:paraId="2A9B630D" w14:textId="4CB4D91A" w:rsidR="00413AEE" w:rsidRPr="00F53E25" w:rsidRDefault="001458BE" w:rsidP="007114B2">
      <w:pPr>
        <w:ind w:left="0" w:firstLine="0"/>
        <w:rPr>
          <w:rFonts w:asciiTheme="minorHAnsi" w:eastAsia="Times New Roman" w:hAnsiTheme="minorHAnsi" w:cs="Arial"/>
          <w:bCs/>
          <w:i/>
          <w:sz w:val="20"/>
          <w:szCs w:val="20"/>
        </w:rPr>
      </w:pPr>
      <w:r w:rsidRPr="00F53E25">
        <w:rPr>
          <w:rFonts w:asciiTheme="minorHAnsi" w:hAnsiTheme="minorHAnsi"/>
          <w:bCs/>
          <w:i/>
          <w:sz w:val="20"/>
          <w:szCs w:val="20"/>
        </w:rPr>
        <w:t>(en miles de francos suizos, con posibles diferencias por redondeo)</w:t>
      </w:r>
    </w:p>
    <w:p w14:paraId="50F98C31" w14:textId="77777777" w:rsidR="001404C4" w:rsidRPr="00F53E25" w:rsidRDefault="001404C4" w:rsidP="007114B2">
      <w:pPr>
        <w:ind w:left="0" w:firstLine="0"/>
        <w:rPr>
          <w:rFonts w:asciiTheme="minorHAnsi" w:eastAsia="Times New Roman" w:hAnsiTheme="minorHAnsi" w:cs="Arial"/>
          <w:bCs/>
          <w:i/>
          <w:sz w:val="20"/>
          <w:szCs w:val="20"/>
          <w:lang w:eastAsia="en-GB"/>
        </w:rPr>
      </w:pPr>
    </w:p>
    <w:tbl>
      <w:tblPr>
        <w:tblW w:w="9576" w:type="dxa"/>
        <w:tblInd w:w="-30" w:type="dxa"/>
        <w:tblLayout w:type="fixed"/>
        <w:tblLook w:val="0000" w:firstRow="0" w:lastRow="0" w:firstColumn="0" w:lastColumn="0" w:noHBand="0" w:noVBand="0"/>
      </w:tblPr>
      <w:tblGrid>
        <w:gridCol w:w="1306"/>
        <w:gridCol w:w="709"/>
        <w:gridCol w:w="2375"/>
        <w:gridCol w:w="1140"/>
        <w:gridCol w:w="1005"/>
        <w:gridCol w:w="1006"/>
        <w:gridCol w:w="1005"/>
        <w:gridCol w:w="1030"/>
      </w:tblGrid>
      <w:tr w:rsidR="00E00878" w:rsidRPr="00F53E25" w14:paraId="43EB03B0" w14:textId="77777777" w:rsidTr="0076398C">
        <w:tc>
          <w:tcPr>
            <w:tcW w:w="1306" w:type="dxa"/>
            <w:tcBorders>
              <w:top w:val="single" w:sz="12" w:space="0" w:color="auto"/>
              <w:left w:val="nil"/>
              <w:bottom w:val="nil"/>
              <w:right w:val="nil"/>
            </w:tcBorders>
            <w:shd w:val="clear" w:color="auto" w:fill="D6E3BC" w:themeFill="accent3" w:themeFillTint="66"/>
          </w:tcPr>
          <w:p w14:paraId="0D155B78" w14:textId="77777777" w:rsidR="00E00878" w:rsidRPr="00F53E25" w:rsidRDefault="00E00878" w:rsidP="0076398C">
            <w:pPr>
              <w:autoSpaceDE w:val="0"/>
              <w:autoSpaceDN w:val="0"/>
              <w:adjustRightInd w:val="0"/>
              <w:ind w:left="0" w:firstLine="0"/>
              <w:jc w:val="center"/>
              <w:rPr>
                <w:rFonts w:eastAsiaTheme="minorHAnsi" w:cs="Calibri"/>
                <w:b/>
                <w:bCs/>
                <w:color w:val="000000"/>
                <w:sz w:val="20"/>
                <w:szCs w:val="20"/>
              </w:rPr>
            </w:pPr>
            <w:r w:rsidRPr="00F53E25">
              <w:rPr>
                <w:rFonts w:eastAsiaTheme="minorHAnsi" w:cs="Calibri"/>
                <w:b/>
                <w:bCs/>
                <w:color w:val="000000"/>
                <w:sz w:val="20"/>
                <w:szCs w:val="20"/>
              </w:rPr>
              <w:t>Número de proyecto</w:t>
            </w:r>
          </w:p>
        </w:tc>
        <w:tc>
          <w:tcPr>
            <w:tcW w:w="3084" w:type="dxa"/>
            <w:gridSpan w:val="2"/>
            <w:tcBorders>
              <w:top w:val="single" w:sz="12" w:space="0" w:color="auto"/>
              <w:left w:val="nil"/>
              <w:bottom w:val="nil"/>
              <w:right w:val="nil"/>
            </w:tcBorders>
            <w:shd w:val="clear" w:color="auto" w:fill="D6E3BC" w:themeFill="accent3" w:themeFillTint="66"/>
          </w:tcPr>
          <w:p w14:paraId="0762CA83" w14:textId="77777777" w:rsidR="00E00878" w:rsidRPr="00F53E25" w:rsidRDefault="00E00878" w:rsidP="0076398C">
            <w:pPr>
              <w:autoSpaceDE w:val="0"/>
              <w:autoSpaceDN w:val="0"/>
              <w:adjustRightInd w:val="0"/>
              <w:ind w:left="0" w:firstLine="0"/>
              <w:jc w:val="center"/>
              <w:rPr>
                <w:rFonts w:eastAsiaTheme="minorHAnsi" w:cs="Calibri"/>
                <w:b/>
                <w:bCs/>
                <w:color w:val="000000"/>
                <w:sz w:val="20"/>
                <w:szCs w:val="20"/>
              </w:rPr>
            </w:pPr>
            <w:r w:rsidRPr="00F53E25">
              <w:rPr>
                <w:rFonts w:eastAsiaTheme="minorHAnsi" w:cs="Calibri"/>
                <w:b/>
                <w:bCs/>
                <w:color w:val="000000"/>
                <w:sz w:val="20"/>
                <w:szCs w:val="20"/>
              </w:rPr>
              <w:t>Nombre del proyecto</w:t>
            </w:r>
          </w:p>
        </w:tc>
        <w:tc>
          <w:tcPr>
            <w:tcW w:w="2145" w:type="dxa"/>
            <w:gridSpan w:val="2"/>
            <w:tcBorders>
              <w:top w:val="single" w:sz="12" w:space="0" w:color="auto"/>
              <w:left w:val="nil"/>
              <w:bottom w:val="nil"/>
              <w:right w:val="nil"/>
            </w:tcBorders>
            <w:shd w:val="clear" w:color="auto" w:fill="D6E3BC" w:themeFill="accent3" w:themeFillTint="66"/>
          </w:tcPr>
          <w:p w14:paraId="73FFB4BD" w14:textId="77777777" w:rsidR="00E00878" w:rsidRPr="00F53E25" w:rsidRDefault="00E00878" w:rsidP="0076398C">
            <w:pPr>
              <w:autoSpaceDE w:val="0"/>
              <w:autoSpaceDN w:val="0"/>
              <w:adjustRightInd w:val="0"/>
              <w:ind w:left="0" w:firstLine="0"/>
              <w:jc w:val="center"/>
              <w:rPr>
                <w:rFonts w:eastAsiaTheme="minorHAnsi" w:cs="Calibri"/>
                <w:b/>
                <w:bCs/>
                <w:color w:val="000000"/>
                <w:sz w:val="20"/>
                <w:szCs w:val="20"/>
              </w:rPr>
            </w:pPr>
            <w:r w:rsidRPr="00F53E25">
              <w:rPr>
                <w:rFonts w:eastAsiaTheme="minorHAnsi" w:cs="Calibri"/>
                <w:b/>
                <w:bCs/>
                <w:color w:val="000000"/>
                <w:sz w:val="20"/>
                <w:szCs w:val="20"/>
              </w:rPr>
              <w:t xml:space="preserve">Saldo (déficit) al 31 de diciembre </w:t>
            </w:r>
            <w:r w:rsidRPr="00F53E25">
              <w:rPr>
                <w:rFonts w:eastAsiaTheme="minorHAnsi" w:cs="Calibri"/>
                <w:b/>
                <w:bCs/>
                <w:color w:val="000000" w:themeColor="text1"/>
                <w:sz w:val="20"/>
                <w:szCs w:val="20"/>
              </w:rPr>
              <w:t>de 2019</w:t>
            </w:r>
          </w:p>
        </w:tc>
        <w:tc>
          <w:tcPr>
            <w:tcW w:w="3041" w:type="dxa"/>
            <w:gridSpan w:val="3"/>
            <w:tcBorders>
              <w:top w:val="single" w:sz="12" w:space="0" w:color="auto"/>
              <w:left w:val="nil"/>
              <w:bottom w:val="nil"/>
              <w:right w:val="nil"/>
            </w:tcBorders>
            <w:shd w:val="clear" w:color="auto" w:fill="D6E3BC" w:themeFill="accent3" w:themeFillTint="66"/>
          </w:tcPr>
          <w:p w14:paraId="33C5BCDC" w14:textId="77777777" w:rsidR="00E00878" w:rsidRPr="00F53E25" w:rsidRDefault="00E00878" w:rsidP="0076398C">
            <w:pPr>
              <w:autoSpaceDE w:val="0"/>
              <w:autoSpaceDN w:val="0"/>
              <w:adjustRightInd w:val="0"/>
              <w:ind w:left="0" w:firstLine="0"/>
              <w:jc w:val="center"/>
              <w:rPr>
                <w:rFonts w:eastAsiaTheme="minorHAnsi" w:cs="Calibri"/>
                <w:b/>
                <w:bCs/>
                <w:color w:val="000000"/>
                <w:sz w:val="20"/>
                <w:szCs w:val="20"/>
              </w:rPr>
            </w:pPr>
            <w:r w:rsidRPr="00F53E25">
              <w:rPr>
                <w:rFonts w:eastAsiaTheme="minorHAnsi" w:cs="Calibri"/>
                <w:b/>
                <w:bCs/>
                <w:color w:val="000000"/>
                <w:sz w:val="20"/>
                <w:szCs w:val="20"/>
              </w:rPr>
              <w:t>Gastos durante 2020</w:t>
            </w:r>
          </w:p>
        </w:tc>
      </w:tr>
      <w:tr w:rsidR="00E00878" w:rsidRPr="00F53E25" w14:paraId="5D87A26A" w14:textId="77777777" w:rsidTr="0076398C">
        <w:tc>
          <w:tcPr>
            <w:tcW w:w="1306" w:type="dxa"/>
            <w:tcBorders>
              <w:top w:val="nil"/>
              <w:left w:val="nil"/>
              <w:bottom w:val="single" w:sz="12" w:space="0" w:color="auto"/>
              <w:right w:val="nil"/>
            </w:tcBorders>
            <w:shd w:val="clear" w:color="auto" w:fill="D6E3BC" w:themeFill="accent3" w:themeFillTint="66"/>
          </w:tcPr>
          <w:p w14:paraId="29F94085"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single" w:sz="12" w:space="0" w:color="auto"/>
              <w:right w:val="nil"/>
            </w:tcBorders>
            <w:shd w:val="clear" w:color="auto" w:fill="D6E3BC" w:themeFill="accent3" w:themeFillTint="66"/>
          </w:tcPr>
          <w:p w14:paraId="5A2CF007"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single" w:sz="12" w:space="0" w:color="auto"/>
              <w:right w:val="nil"/>
            </w:tcBorders>
            <w:shd w:val="clear" w:color="auto" w:fill="D6E3BC" w:themeFill="accent3" w:themeFillTint="66"/>
          </w:tcPr>
          <w:p w14:paraId="090121DA" w14:textId="77777777" w:rsidR="00E00878" w:rsidRPr="00F53E25" w:rsidRDefault="00E00878" w:rsidP="0076398C">
            <w:pPr>
              <w:autoSpaceDE w:val="0"/>
              <w:autoSpaceDN w:val="0"/>
              <w:adjustRightInd w:val="0"/>
              <w:ind w:left="0" w:firstLine="0"/>
              <w:jc w:val="center"/>
              <w:rPr>
                <w:rFonts w:eastAsiaTheme="minorHAnsi" w:cs="Calibri"/>
                <w:color w:val="000000"/>
                <w:sz w:val="20"/>
                <w:szCs w:val="20"/>
              </w:rPr>
            </w:pPr>
            <w:r w:rsidRPr="00F53E25">
              <w:rPr>
                <w:rFonts w:eastAsiaTheme="minorHAnsi" w:cs="Calibri"/>
                <w:color w:val="000000"/>
                <w:sz w:val="20"/>
                <w:szCs w:val="20"/>
              </w:rPr>
              <w:t>(DR)/CR</w:t>
            </w:r>
          </w:p>
        </w:tc>
        <w:tc>
          <w:tcPr>
            <w:tcW w:w="1005" w:type="dxa"/>
            <w:tcBorders>
              <w:top w:val="nil"/>
              <w:left w:val="nil"/>
              <w:bottom w:val="single" w:sz="12" w:space="0" w:color="auto"/>
              <w:right w:val="nil"/>
            </w:tcBorders>
            <w:shd w:val="clear" w:color="auto" w:fill="D6E3BC" w:themeFill="accent3" w:themeFillTint="66"/>
          </w:tcPr>
          <w:p w14:paraId="0B7C4B7D" w14:textId="77777777" w:rsidR="00E00878" w:rsidRPr="00F53E25" w:rsidRDefault="00E00878" w:rsidP="0076398C">
            <w:pPr>
              <w:autoSpaceDE w:val="0"/>
              <w:autoSpaceDN w:val="0"/>
              <w:adjustRightInd w:val="0"/>
              <w:ind w:left="0" w:firstLine="0"/>
              <w:jc w:val="center"/>
              <w:rPr>
                <w:rFonts w:eastAsiaTheme="minorHAnsi" w:cs="Calibri"/>
                <w:color w:val="000000"/>
                <w:sz w:val="20"/>
                <w:szCs w:val="20"/>
              </w:rPr>
            </w:pPr>
            <w:r w:rsidRPr="00F53E25">
              <w:rPr>
                <w:rFonts w:eastAsiaTheme="minorHAnsi" w:cs="Calibri"/>
                <w:color w:val="000000"/>
                <w:sz w:val="20"/>
                <w:szCs w:val="20"/>
              </w:rPr>
              <w:t>(DR)/CR</w:t>
            </w:r>
          </w:p>
        </w:tc>
        <w:tc>
          <w:tcPr>
            <w:tcW w:w="1006" w:type="dxa"/>
            <w:tcBorders>
              <w:top w:val="nil"/>
              <w:left w:val="nil"/>
              <w:bottom w:val="single" w:sz="12" w:space="0" w:color="auto"/>
              <w:right w:val="nil"/>
            </w:tcBorders>
            <w:shd w:val="clear" w:color="auto" w:fill="D6E3BC" w:themeFill="accent3" w:themeFillTint="66"/>
          </w:tcPr>
          <w:p w14:paraId="3A68C317"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(DR)/CR</w:t>
            </w:r>
          </w:p>
        </w:tc>
        <w:tc>
          <w:tcPr>
            <w:tcW w:w="1005" w:type="dxa"/>
            <w:tcBorders>
              <w:top w:val="nil"/>
              <w:left w:val="nil"/>
              <w:bottom w:val="single" w:sz="12" w:space="0" w:color="auto"/>
              <w:right w:val="nil"/>
            </w:tcBorders>
            <w:shd w:val="clear" w:color="auto" w:fill="D6E3BC" w:themeFill="accent3" w:themeFillTint="66"/>
          </w:tcPr>
          <w:p w14:paraId="60112A89"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(DR)/CR</w:t>
            </w:r>
          </w:p>
        </w:tc>
        <w:tc>
          <w:tcPr>
            <w:tcW w:w="1030" w:type="dxa"/>
            <w:tcBorders>
              <w:top w:val="nil"/>
              <w:left w:val="nil"/>
              <w:bottom w:val="single" w:sz="12" w:space="0" w:color="auto"/>
              <w:right w:val="nil"/>
            </w:tcBorders>
            <w:shd w:val="clear" w:color="auto" w:fill="D6E3BC" w:themeFill="accent3" w:themeFillTint="66"/>
          </w:tcPr>
          <w:p w14:paraId="0D99BA2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(DR)/CR</w:t>
            </w:r>
          </w:p>
        </w:tc>
      </w:tr>
      <w:tr w:rsidR="00E00878" w:rsidRPr="00F53E25" w14:paraId="2D6B42F3" w14:textId="77777777" w:rsidTr="0076398C">
        <w:tc>
          <w:tcPr>
            <w:tcW w:w="1306" w:type="dxa"/>
            <w:tcBorders>
              <w:top w:val="single" w:sz="12" w:space="0" w:color="auto"/>
              <w:left w:val="nil"/>
              <w:bottom w:val="nil"/>
              <w:right w:val="nil"/>
            </w:tcBorders>
          </w:tcPr>
          <w:p w14:paraId="376EAF73"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p>
        </w:tc>
        <w:tc>
          <w:tcPr>
            <w:tcW w:w="3084" w:type="dxa"/>
            <w:gridSpan w:val="2"/>
            <w:tcBorders>
              <w:top w:val="single" w:sz="12" w:space="0" w:color="auto"/>
              <w:left w:val="nil"/>
              <w:bottom w:val="nil"/>
              <w:right w:val="nil"/>
            </w:tcBorders>
          </w:tcPr>
          <w:p w14:paraId="2C4D9AAE"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p>
        </w:tc>
        <w:tc>
          <w:tcPr>
            <w:tcW w:w="1140" w:type="dxa"/>
            <w:tcBorders>
              <w:top w:val="single" w:sz="12" w:space="0" w:color="auto"/>
              <w:left w:val="nil"/>
              <w:bottom w:val="nil"/>
              <w:right w:val="nil"/>
            </w:tcBorders>
          </w:tcPr>
          <w:p w14:paraId="3833DF20"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single" w:sz="12" w:space="0" w:color="auto"/>
              <w:left w:val="nil"/>
              <w:bottom w:val="nil"/>
              <w:right w:val="nil"/>
            </w:tcBorders>
          </w:tcPr>
          <w:p w14:paraId="3903A744"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nil"/>
              <w:right w:val="nil"/>
            </w:tcBorders>
          </w:tcPr>
          <w:p w14:paraId="5C34B0F8"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single" w:sz="12" w:space="0" w:color="auto"/>
              <w:left w:val="nil"/>
              <w:bottom w:val="nil"/>
              <w:right w:val="nil"/>
            </w:tcBorders>
          </w:tcPr>
          <w:p w14:paraId="6C760F0E"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082C7AAF"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06E07C7A" w14:textId="77777777" w:rsidTr="0076398C">
        <w:tc>
          <w:tcPr>
            <w:tcW w:w="4390" w:type="dxa"/>
            <w:gridSpan w:val="3"/>
            <w:tcBorders>
              <w:top w:val="nil"/>
              <w:left w:val="nil"/>
              <w:bottom w:val="nil"/>
              <w:right w:val="nil"/>
            </w:tcBorders>
          </w:tcPr>
          <w:p w14:paraId="06F420AC" w14:textId="77777777" w:rsidR="00E00878" w:rsidRPr="00F53E25" w:rsidRDefault="00E00878" w:rsidP="0076398C">
            <w:pPr>
              <w:autoSpaceDE w:val="0"/>
              <w:autoSpaceDN w:val="0"/>
              <w:adjustRightInd w:val="0"/>
              <w:ind w:left="0" w:firstLine="0"/>
              <w:rPr>
                <w:rFonts w:eastAsiaTheme="minorHAnsi" w:cs="Calibri"/>
                <w:b/>
                <w:bCs/>
                <w:color w:val="000000"/>
                <w:sz w:val="20"/>
                <w:szCs w:val="20"/>
                <w:u w:val="single"/>
              </w:rPr>
            </w:pPr>
            <w:r w:rsidRPr="00F53E25">
              <w:rPr>
                <w:rFonts w:eastAsiaTheme="minorHAnsi" w:cs="Calibri"/>
                <w:b/>
                <w:bCs/>
                <w:color w:val="000000"/>
                <w:sz w:val="20"/>
                <w:szCs w:val="20"/>
                <w:u w:val="single"/>
              </w:rPr>
              <w:t>Cooperación internacional</w:t>
            </w:r>
          </w:p>
        </w:tc>
        <w:tc>
          <w:tcPr>
            <w:tcW w:w="1140" w:type="dxa"/>
            <w:tcBorders>
              <w:top w:val="nil"/>
              <w:left w:val="nil"/>
              <w:bottom w:val="nil"/>
              <w:right w:val="nil"/>
            </w:tcBorders>
          </w:tcPr>
          <w:p w14:paraId="5E962965"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41BEE966"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540CC27F"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088E772E"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5C7EC88C"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7FF9ADD2" w14:textId="77777777" w:rsidTr="0076398C">
        <w:tc>
          <w:tcPr>
            <w:tcW w:w="1306" w:type="dxa"/>
            <w:tcBorders>
              <w:top w:val="nil"/>
              <w:left w:val="nil"/>
              <w:bottom w:val="nil"/>
              <w:right w:val="nil"/>
            </w:tcBorders>
          </w:tcPr>
          <w:p w14:paraId="6D14111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R100163</w:t>
            </w:r>
          </w:p>
        </w:tc>
        <w:tc>
          <w:tcPr>
            <w:tcW w:w="3084" w:type="dxa"/>
            <w:gridSpan w:val="2"/>
            <w:tcBorders>
              <w:top w:val="nil"/>
              <w:left w:val="nil"/>
              <w:bottom w:val="nil"/>
              <w:right w:val="nil"/>
            </w:tcBorders>
          </w:tcPr>
          <w:p w14:paraId="35E05EBF"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SGF-2009-2020</w:t>
            </w:r>
          </w:p>
        </w:tc>
        <w:tc>
          <w:tcPr>
            <w:tcW w:w="1140" w:type="dxa"/>
            <w:tcBorders>
              <w:top w:val="nil"/>
              <w:left w:val="nil"/>
              <w:bottom w:val="nil"/>
              <w:right w:val="nil"/>
            </w:tcBorders>
          </w:tcPr>
          <w:p w14:paraId="7B9F92A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56</w:t>
            </w:r>
          </w:p>
        </w:tc>
        <w:tc>
          <w:tcPr>
            <w:tcW w:w="1005" w:type="dxa"/>
            <w:tcBorders>
              <w:top w:val="nil"/>
              <w:left w:val="nil"/>
              <w:bottom w:val="nil"/>
              <w:right w:val="nil"/>
            </w:tcBorders>
          </w:tcPr>
          <w:p w14:paraId="33C95B78"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4EC6E5E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w:t>
            </w:r>
          </w:p>
        </w:tc>
        <w:tc>
          <w:tcPr>
            <w:tcW w:w="1005" w:type="dxa"/>
            <w:tcBorders>
              <w:top w:val="nil"/>
              <w:left w:val="nil"/>
              <w:bottom w:val="nil"/>
              <w:right w:val="nil"/>
            </w:tcBorders>
          </w:tcPr>
          <w:p w14:paraId="3F6FC56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3DF520D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54</w:t>
            </w:r>
          </w:p>
        </w:tc>
      </w:tr>
      <w:tr w:rsidR="00E00878" w:rsidRPr="00F53E25" w14:paraId="6C47C169" w14:textId="77777777" w:rsidTr="0076398C">
        <w:tc>
          <w:tcPr>
            <w:tcW w:w="1306" w:type="dxa"/>
            <w:tcBorders>
              <w:top w:val="nil"/>
              <w:left w:val="nil"/>
              <w:bottom w:val="nil"/>
              <w:right w:val="nil"/>
            </w:tcBorders>
          </w:tcPr>
          <w:p w14:paraId="288E49B3"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R100265</w:t>
            </w:r>
          </w:p>
        </w:tc>
        <w:tc>
          <w:tcPr>
            <w:tcW w:w="3084" w:type="dxa"/>
            <w:gridSpan w:val="2"/>
            <w:tcBorders>
              <w:top w:val="nil"/>
              <w:left w:val="nil"/>
              <w:bottom w:val="nil"/>
              <w:right w:val="nil"/>
            </w:tcBorders>
          </w:tcPr>
          <w:p w14:paraId="75AE2DF8"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SGA-Pre-2016</w:t>
            </w:r>
          </w:p>
        </w:tc>
        <w:tc>
          <w:tcPr>
            <w:tcW w:w="1140" w:type="dxa"/>
            <w:tcBorders>
              <w:top w:val="nil"/>
              <w:left w:val="nil"/>
              <w:bottom w:val="nil"/>
              <w:right w:val="nil"/>
            </w:tcBorders>
          </w:tcPr>
          <w:p w14:paraId="36266A0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231</w:t>
            </w:r>
          </w:p>
        </w:tc>
        <w:tc>
          <w:tcPr>
            <w:tcW w:w="1005" w:type="dxa"/>
            <w:tcBorders>
              <w:top w:val="nil"/>
              <w:left w:val="nil"/>
              <w:bottom w:val="nil"/>
              <w:right w:val="nil"/>
            </w:tcBorders>
          </w:tcPr>
          <w:p w14:paraId="7ABF180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0091A2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483C6BA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50FBF08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231</w:t>
            </w:r>
          </w:p>
        </w:tc>
      </w:tr>
      <w:tr w:rsidR="00E00878" w:rsidRPr="00F53E25" w14:paraId="24A9AA8D" w14:textId="77777777" w:rsidTr="0076398C">
        <w:tc>
          <w:tcPr>
            <w:tcW w:w="1306" w:type="dxa"/>
            <w:tcBorders>
              <w:top w:val="nil"/>
              <w:left w:val="nil"/>
              <w:bottom w:val="nil"/>
              <w:right w:val="nil"/>
            </w:tcBorders>
          </w:tcPr>
          <w:p w14:paraId="17D3CCD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R100266</w:t>
            </w:r>
          </w:p>
        </w:tc>
        <w:tc>
          <w:tcPr>
            <w:tcW w:w="3084" w:type="dxa"/>
            <w:gridSpan w:val="2"/>
            <w:tcBorders>
              <w:top w:val="nil"/>
              <w:left w:val="nil"/>
              <w:bottom w:val="nil"/>
              <w:right w:val="nil"/>
            </w:tcBorders>
          </w:tcPr>
          <w:p w14:paraId="3365F29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SGA-2016</w:t>
            </w:r>
          </w:p>
        </w:tc>
        <w:tc>
          <w:tcPr>
            <w:tcW w:w="1140" w:type="dxa"/>
            <w:tcBorders>
              <w:top w:val="nil"/>
              <w:left w:val="nil"/>
              <w:bottom w:val="nil"/>
              <w:right w:val="nil"/>
            </w:tcBorders>
          </w:tcPr>
          <w:p w14:paraId="6918D50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22</w:t>
            </w:r>
          </w:p>
        </w:tc>
        <w:tc>
          <w:tcPr>
            <w:tcW w:w="1005" w:type="dxa"/>
            <w:tcBorders>
              <w:top w:val="nil"/>
              <w:left w:val="nil"/>
              <w:bottom w:val="nil"/>
              <w:right w:val="nil"/>
            </w:tcBorders>
          </w:tcPr>
          <w:p w14:paraId="78B0B07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2D6F10B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18E1E30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2CCF382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22</w:t>
            </w:r>
          </w:p>
        </w:tc>
      </w:tr>
      <w:tr w:rsidR="00E00878" w:rsidRPr="00F53E25" w14:paraId="6FCF253F" w14:textId="77777777" w:rsidTr="0076398C">
        <w:tc>
          <w:tcPr>
            <w:tcW w:w="1306" w:type="dxa"/>
            <w:tcBorders>
              <w:top w:val="nil"/>
              <w:left w:val="nil"/>
              <w:bottom w:val="nil"/>
              <w:right w:val="nil"/>
            </w:tcBorders>
          </w:tcPr>
          <w:p w14:paraId="1C00A529"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R100364</w:t>
            </w:r>
          </w:p>
        </w:tc>
        <w:tc>
          <w:tcPr>
            <w:tcW w:w="3084" w:type="dxa"/>
            <w:gridSpan w:val="2"/>
            <w:tcBorders>
              <w:top w:val="nil"/>
              <w:left w:val="nil"/>
              <w:bottom w:val="nil"/>
              <w:right w:val="nil"/>
            </w:tcBorders>
          </w:tcPr>
          <w:p w14:paraId="5FCCE9BD"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WFF-2014</w:t>
            </w:r>
          </w:p>
        </w:tc>
        <w:tc>
          <w:tcPr>
            <w:tcW w:w="1140" w:type="dxa"/>
            <w:tcBorders>
              <w:top w:val="nil"/>
              <w:left w:val="nil"/>
              <w:bottom w:val="nil"/>
              <w:right w:val="nil"/>
            </w:tcBorders>
          </w:tcPr>
          <w:p w14:paraId="532FDB5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18</w:t>
            </w:r>
          </w:p>
        </w:tc>
        <w:tc>
          <w:tcPr>
            <w:tcW w:w="1005" w:type="dxa"/>
            <w:tcBorders>
              <w:top w:val="nil"/>
              <w:left w:val="nil"/>
              <w:bottom w:val="nil"/>
              <w:right w:val="nil"/>
            </w:tcBorders>
          </w:tcPr>
          <w:p w14:paraId="6DFD7C3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3093BA0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8</w:t>
            </w:r>
          </w:p>
        </w:tc>
        <w:tc>
          <w:tcPr>
            <w:tcW w:w="1005" w:type="dxa"/>
            <w:tcBorders>
              <w:top w:val="nil"/>
              <w:left w:val="nil"/>
              <w:bottom w:val="nil"/>
              <w:right w:val="nil"/>
            </w:tcBorders>
          </w:tcPr>
          <w:p w14:paraId="2E555DA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1BF70D8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26</w:t>
            </w:r>
          </w:p>
        </w:tc>
      </w:tr>
      <w:tr w:rsidR="00E00878" w:rsidRPr="00F53E25" w14:paraId="6DE7DABB" w14:textId="77777777" w:rsidTr="0076398C">
        <w:tc>
          <w:tcPr>
            <w:tcW w:w="1306" w:type="dxa"/>
            <w:tcBorders>
              <w:top w:val="nil"/>
              <w:left w:val="nil"/>
              <w:bottom w:val="nil"/>
              <w:right w:val="nil"/>
            </w:tcBorders>
          </w:tcPr>
          <w:p w14:paraId="78D4D1F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R100365</w:t>
            </w:r>
          </w:p>
        </w:tc>
        <w:tc>
          <w:tcPr>
            <w:tcW w:w="3084" w:type="dxa"/>
            <w:gridSpan w:val="2"/>
            <w:tcBorders>
              <w:top w:val="nil"/>
              <w:left w:val="nil"/>
              <w:bottom w:val="nil"/>
              <w:right w:val="nil"/>
            </w:tcBorders>
          </w:tcPr>
          <w:p w14:paraId="178859D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WFF - 2015-2017</w:t>
            </w:r>
          </w:p>
        </w:tc>
        <w:tc>
          <w:tcPr>
            <w:tcW w:w="1140" w:type="dxa"/>
            <w:tcBorders>
              <w:top w:val="nil"/>
              <w:left w:val="nil"/>
              <w:bottom w:val="nil"/>
              <w:right w:val="nil"/>
            </w:tcBorders>
          </w:tcPr>
          <w:p w14:paraId="64EB1D8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208</w:t>
            </w:r>
          </w:p>
        </w:tc>
        <w:tc>
          <w:tcPr>
            <w:tcW w:w="1005" w:type="dxa"/>
            <w:tcBorders>
              <w:top w:val="nil"/>
              <w:left w:val="nil"/>
              <w:bottom w:val="nil"/>
              <w:right w:val="nil"/>
            </w:tcBorders>
          </w:tcPr>
          <w:p w14:paraId="2AD8225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26</w:t>
            </w:r>
          </w:p>
        </w:tc>
        <w:tc>
          <w:tcPr>
            <w:tcW w:w="1006" w:type="dxa"/>
            <w:tcBorders>
              <w:top w:val="nil"/>
              <w:left w:val="nil"/>
              <w:bottom w:val="nil"/>
              <w:right w:val="nil"/>
            </w:tcBorders>
          </w:tcPr>
          <w:p w14:paraId="40A9AE08"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(43)</w:t>
            </w:r>
          </w:p>
        </w:tc>
        <w:tc>
          <w:tcPr>
            <w:tcW w:w="1005" w:type="dxa"/>
            <w:tcBorders>
              <w:top w:val="nil"/>
              <w:left w:val="nil"/>
              <w:bottom w:val="nil"/>
              <w:right w:val="nil"/>
            </w:tcBorders>
          </w:tcPr>
          <w:p w14:paraId="4886479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w:t>
            </w:r>
          </w:p>
        </w:tc>
        <w:tc>
          <w:tcPr>
            <w:tcW w:w="1030" w:type="dxa"/>
            <w:tcBorders>
              <w:top w:val="nil"/>
              <w:left w:val="nil"/>
              <w:bottom w:val="nil"/>
              <w:right w:val="nil"/>
            </w:tcBorders>
          </w:tcPr>
          <w:p w14:paraId="627642A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188</w:t>
            </w:r>
          </w:p>
        </w:tc>
      </w:tr>
      <w:tr w:rsidR="00E00878" w:rsidRPr="00F53E25" w14:paraId="6EFC94A2" w14:textId="77777777" w:rsidTr="0076398C">
        <w:tc>
          <w:tcPr>
            <w:tcW w:w="1306" w:type="dxa"/>
            <w:tcBorders>
              <w:top w:val="nil"/>
              <w:left w:val="nil"/>
              <w:bottom w:val="nil"/>
              <w:right w:val="nil"/>
            </w:tcBorders>
          </w:tcPr>
          <w:p w14:paraId="72BF1E82"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R100407</w:t>
            </w:r>
          </w:p>
        </w:tc>
        <w:tc>
          <w:tcPr>
            <w:tcW w:w="3084" w:type="dxa"/>
            <w:gridSpan w:val="2"/>
            <w:tcBorders>
              <w:top w:val="nil"/>
              <w:left w:val="nil"/>
              <w:bottom w:val="nil"/>
              <w:right w:val="nil"/>
            </w:tcBorders>
          </w:tcPr>
          <w:p w14:paraId="290254B1"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IRR Asia Central (Noruega)</w:t>
            </w:r>
          </w:p>
        </w:tc>
        <w:tc>
          <w:tcPr>
            <w:tcW w:w="1140" w:type="dxa"/>
            <w:tcBorders>
              <w:top w:val="nil"/>
              <w:left w:val="nil"/>
              <w:bottom w:val="nil"/>
              <w:right w:val="nil"/>
            </w:tcBorders>
          </w:tcPr>
          <w:p w14:paraId="5977E0B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w:t>
            </w:r>
          </w:p>
        </w:tc>
        <w:tc>
          <w:tcPr>
            <w:tcW w:w="1005" w:type="dxa"/>
            <w:tcBorders>
              <w:top w:val="nil"/>
              <w:left w:val="nil"/>
              <w:bottom w:val="nil"/>
              <w:right w:val="nil"/>
            </w:tcBorders>
          </w:tcPr>
          <w:p w14:paraId="66F3D0B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329A3A2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61B666F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2D99591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w:t>
            </w:r>
          </w:p>
        </w:tc>
      </w:tr>
      <w:tr w:rsidR="00E00878" w:rsidRPr="00F53E25" w14:paraId="077416D7" w14:textId="77777777" w:rsidTr="0076398C">
        <w:tc>
          <w:tcPr>
            <w:tcW w:w="1306" w:type="dxa"/>
            <w:tcBorders>
              <w:top w:val="nil"/>
              <w:left w:val="nil"/>
              <w:bottom w:val="nil"/>
              <w:right w:val="nil"/>
            </w:tcBorders>
          </w:tcPr>
          <w:p w14:paraId="6ADF08A7"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R100408</w:t>
            </w:r>
          </w:p>
        </w:tc>
        <w:tc>
          <w:tcPr>
            <w:tcW w:w="3084" w:type="dxa"/>
            <w:gridSpan w:val="2"/>
            <w:tcBorders>
              <w:top w:val="nil"/>
              <w:left w:val="nil"/>
              <w:bottom w:val="nil"/>
              <w:right w:val="nil"/>
            </w:tcBorders>
          </w:tcPr>
          <w:p w14:paraId="095BEDF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Fondo Nagao para los Humedales (NEF Japón)</w:t>
            </w:r>
          </w:p>
        </w:tc>
        <w:tc>
          <w:tcPr>
            <w:tcW w:w="1140" w:type="dxa"/>
            <w:tcBorders>
              <w:top w:val="nil"/>
              <w:left w:val="nil"/>
              <w:bottom w:val="nil"/>
              <w:right w:val="nil"/>
            </w:tcBorders>
          </w:tcPr>
          <w:p w14:paraId="26C5345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178</w:t>
            </w:r>
          </w:p>
        </w:tc>
        <w:tc>
          <w:tcPr>
            <w:tcW w:w="1005" w:type="dxa"/>
            <w:tcBorders>
              <w:top w:val="nil"/>
              <w:left w:val="nil"/>
              <w:bottom w:val="nil"/>
              <w:right w:val="nil"/>
            </w:tcBorders>
          </w:tcPr>
          <w:p w14:paraId="7674A62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7416C56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(19)</w:t>
            </w:r>
          </w:p>
        </w:tc>
        <w:tc>
          <w:tcPr>
            <w:tcW w:w="1005" w:type="dxa"/>
            <w:tcBorders>
              <w:top w:val="nil"/>
              <w:left w:val="nil"/>
              <w:bottom w:val="nil"/>
              <w:right w:val="nil"/>
            </w:tcBorders>
          </w:tcPr>
          <w:p w14:paraId="28A0439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274E71E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159</w:t>
            </w:r>
          </w:p>
        </w:tc>
      </w:tr>
      <w:tr w:rsidR="00E00878" w:rsidRPr="00F53E25" w14:paraId="7774D8C1" w14:textId="77777777" w:rsidTr="0076398C">
        <w:tc>
          <w:tcPr>
            <w:tcW w:w="1306" w:type="dxa"/>
            <w:tcBorders>
              <w:top w:val="nil"/>
              <w:left w:val="nil"/>
              <w:bottom w:val="single" w:sz="12" w:space="0" w:color="auto"/>
              <w:right w:val="nil"/>
            </w:tcBorders>
          </w:tcPr>
          <w:p w14:paraId="0B9CF5DF"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single" w:sz="12" w:space="0" w:color="auto"/>
              <w:right w:val="nil"/>
            </w:tcBorders>
          </w:tcPr>
          <w:p w14:paraId="1F913598"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single" w:sz="12" w:space="0" w:color="auto"/>
              <w:right w:val="nil"/>
            </w:tcBorders>
          </w:tcPr>
          <w:p w14:paraId="20C1C9EF"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456C94C4"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nil"/>
              <w:left w:val="nil"/>
              <w:bottom w:val="single" w:sz="12" w:space="0" w:color="auto"/>
              <w:right w:val="nil"/>
            </w:tcBorders>
          </w:tcPr>
          <w:p w14:paraId="7193ECDB"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52F27C9A"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nil"/>
              <w:left w:val="nil"/>
              <w:bottom w:val="single" w:sz="12" w:space="0" w:color="auto"/>
              <w:right w:val="nil"/>
            </w:tcBorders>
          </w:tcPr>
          <w:p w14:paraId="3BA30147"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5B22E490" w14:textId="77777777" w:rsidTr="0076398C">
        <w:tc>
          <w:tcPr>
            <w:tcW w:w="4390" w:type="dxa"/>
            <w:gridSpan w:val="3"/>
            <w:tcBorders>
              <w:top w:val="single" w:sz="12" w:space="0" w:color="auto"/>
              <w:left w:val="nil"/>
              <w:bottom w:val="single" w:sz="12" w:space="0" w:color="auto"/>
              <w:right w:val="nil"/>
            </w:tcBorders>
            <w:shd w:val="clear" w:color="auto" w:fill="EAF1DD" w:themeFill="accent3" w:themeFillTint="33"/>
          </w:tcPr>
          <w:p w14:paraId="58AC6DC1" w14:textId="77777777" w:rsidR="00E00878" w:rsidRPr="00F53E25" w:rsidRDefault="00E00878" w:rsidP="0076398C">
            <w:pPr>
              <w:autoSpaceDE w:val="0"/>
              <w:autoSpaceDN w:val="0"/>
              <w:adjustRightInd w:val="0"/>
              <w:ind w:left="0" w:firstLine="0"/>
              <w:rPr>
                <w:rFonts w:eastAsiaTheme="minorHAnsi" w:cs="Calibri"/>
                <w:b/>
                <w:bCs/>
                <w:color w:val="000000"/>
                <w:sz w:val="20"/>
                <w:szCs w:val="20"/>
              </w:rPr>
            </w:pPr>
            <w:r w:rsidRPr="00F53E25">
              <w:rPr>
                <w:rFonts w:eastAsiaTheme="minorHAnsi" w:cs="Calibri"/>
                <w:b/>
                <w:bCs/>
                <w:color w:val="000000"/>
                <w:sz w:val="20"/>
                <w:szCs w:val="20"/>
              </w:rPr>
              <w:t>Total, cooperación internacional</w:t>
            </w:r>
          </w:p>
        </w:tc>
        <w:tc>
          <w:tcPr>
            <w:tcW w:w="1140" w:type="dxa"/>
            <w:tcBorders>
              <w:top w:val="nil"/>
              <w:left w:val="nil"/>
              <w:bottom w:val="single" w:sz="12" w:space="0" w:color="auto"/>
              <w:right w:val="nil"/>
            </w:tcBorders>
            <w:shd w:val="clear" w:color="auto" w:fill="EAF1DD" w:themeFill="accent3" w:themeFillTint="33"/>
          </w:tcPr>
          <w:p w14:paraId="69FB78E0"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715</w:t>
            </w:r>
          </w:p>
        </w:tc>
        <w:tc>
          <w:tcPr>
            <w:tcW w:w="1005" w:type="dxa"/>
            <w:tcBorders>
              <w:top w:val="nil"/>
              <w:left w:val="nil"/>
              <w:bottom w:val="single" w:sz="12" w:space="0" w:color="auto"/>
              <w:right w:val="nil"/>
            </w:tcBorders>
            <w:shd w:val="clear" w:color="auto" w:fill="EAF1DD" w:themeFill="accent3" w:themeFillTint="33"/>
          </w:tcPr>
          <w:p w14:paraId="6F591B90"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26</w:t>
            </w:r>
          </w:p>
        </w:tc>
        <w:tc>
          <w:tcPr>
            <w:tcW w:w="1006" w:type="dxa"/>
            <w:tcBorders>
              <w:top w:val="single" w:sz="12" w:space="0" w:color="auto"/>
              <w:left w:val="nil"/>
              <w:bottom w:val="single" w:sz="12" w:space="0" w:color="auto"/>
              <w:right w:val="nil"/>
            </w:tcBorders>
            <w:shd w:val="clear" w:color="auto" w:fill="EAF1DD" w:themeFill="accent3" w:themeFillTint="33"/>
          </w:tcPr>
          <w:p w14:paraId="48835C9F"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(57)</w:t>
            </w:r>
          </w:p>
        </w:tc>
        <w:tc>
          <w:tcPr>
            <w:tcW w:w="1005" w:type="dxa"/>
            <w:tcBorders>
              <w:top w:val="single" w:sz="12" w:space="0" w:color="auto"/>
              <w:left w:val="nil"/>
              <w:bottom w:val="single" w:sz="12" w:space="0" w:color="auto"/>
              <w:right w:val="nil"/>
            </w:tcBorders>
            <w:shd w:val="clear" w:color="auto" w:fill="EAF1DD" w:themeFill="accent3" w:themeFillTint="33"/>
          </w:tcPr>
          <w:p w14:paraId="72851C98"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(3)</w:t>
            </w:r>
          </w:p>
        </w:tc>
        <w:tc>
          <w:tcPr>
            <w:tcW w:w="1030" w:type="dxa"/>
            <w:tcBorders>
              <w:top w:val="single" w:sz="12" w:space="0" w:color="auto"/>
              <w:left w:val="nil"/>
              <w:bottom w:val="single" w:sz="12" w:space="0" w:color="auto"/>
              <w:right w:val="nil"/>
            </w:tcBorders>
            <w:shd w:val="clear" w:color="auto" w:fill="EAF1DD" w:themeFill="accent3" w:themeFillTint="33"/>
          </w:tcPr>
          <w:p w14:paraId="77A6F571"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681</w:t>
            </w:r>
          </w:p>
        </w:tc>
      </w:tr>
      <w:tr w:rsidR="00E00878" w:rsidRPr="00F53E25" w14:paraId="064B8805" w14:textId="77777777" w:rsidTr="0076398C">
        <w:tc>
          <w:tcPr>
            <w:tcW w:w="1306" w:type="dxa"/>
            <w:tcBorders>
              <w:top w:val="nil"/>
              <w:left w:val="nil"/>
              <w:bottom w:val="nil"/>
              <w:right w:val="nil"/>
            </w:tcBorders>
          </w:tcPr>
          <w:p w14:paraId="64A75388"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nil"/>
              <w:right w:val="nil"/>
            </w:tcBorders>
          </w:tcPr>
          <w:p w14:paraId="023C85D7"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66E73F20"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506DAD68"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nil"/>
              <w:right w:val="nil"/>
            </w:tcBorders>
          </w:tcPr>
          <w:p w14:paraId="1AA24626"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single" w:sz="12" w:space="0" w:color="auto"/>
              <w:left w:val="nil"/>
              <w:bottom w:val="nil"/>
              <w:right w:val="nil"/>
            </w:tcBorders>
          </w:tcPr>
          <w:p w14:paraId="5E69F1B3"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216A4E53"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1FCA53BC" w14:textId="77777777" w:rsidTr="0076398C">
        <w:tc>
          <w:tcPr>
            <w:tcW w:w="1306" w:type="dxa"/>
            <w:tcBorders>
              <w:top w:val="nil"/>
              <w:left w:val="nil"/>
              <w:bottom w:val="nil"/>
              <w:right w:val="nil"/>
            </w:tcBorders>
          </w:tcPr>
          <w:p w14:paraId="1AADCE55" w14:textId="77777777" w:rsidR="00E00878" w:rsidRPr="00F53E25" w:rsidRDefault="00E00878" w:rsidP="0076398C">
            <w:pPr>
              <w:autoSpaceDE w:val="0"/>
              <w:autoSpaceDN w:val="0"/>
              <w:adjustRightInd w:val="0"/>
              <w:ind w:left="0" w:firstLine="0"/>
              <w:rPr>
                <w:rFonts w:eastAsiaTheme="minorHAnsi" w:cs="Calibri"/>
                <w:b/>
                <w:bCs/>
                <w:color w:val="000000"/>
                <w:sz w:val="20"/>
                <w:szCs w:val="20"/>
                <w:u w:val="single"/>
              </w:rPr>
            </w:pPr>
            <w:r w:rsidRPr="00F53E25">
              <w:rPr>
                <w:rFonts w:eastAsiaTheme="minorHAnsi" w:cs="Calibri"/>
                <w:b/>
                <w:bCs/>
                <w:color w:val="000000"/>
                <w:sz w:val="20"/>
                <w:szCs w:val="20"/>
                <w:u w:val="single"/>
              </w:rPr>
              <w:t>Sitios Ramsar</w:t>
            </w:r>
          </w:p>
        </w:tc>
        <w:tc>
          <w:tcPr>
            <w:tcW w:w="3084" w:type="dxa"/>
            <w:gridSpan w:val="2"/>
            <w:tcBorders>
              <w:top w:val="nil"/>
              <w:left w:val="nil"/>
              <w:bottom w:val="nil"/>
              <w:right w:val="nil"/>
            </w:tcBorders>
          </w:tcPr>
          <w:p w14:paraId="18D1544B"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u w:val="single"/>
              </w:rPr>
            </w:pPr>
          </w:p>
        </w:tc>
        <w:tc>
          <w:tcPr>
            <w:tcW w:w="1140" w:type="dxa"/>
            <w:tcBorders>
              <w:top w:val="nil"/>
              <w:left w:val="nil"/>
              <w:bottom w:val="nil"/>
              <w:right w:val="nil"/>
            </w:tcBorders>
          </w:tcPr>
          <w:p w14:paraId="319B8AAD"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3723E8FD"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77ADF917"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6839D69F"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0DEB87ED"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519F3AA7" w14:textId="77777777" w:rsidTr="0076398C">
        <w:tc>
          <w:tcPr>
            <w:tcW w:w="1306" w:type="dxa"/>
            <w:tcBorders>
              <w:top w:val="nil"/>
              <w:left w:val="nil"/>
              <w:bottom w:val="nil"/>
              <w:right w:val="nil"/>
            </w:tcBorders>
          </w:tcPr>
          <w:p w14:paraId="2FFB157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R100110</w:t>
            </w:r>
          </w:p>
        </w:tc>
        <w:tc>
          <w:tcPr>
            <w:tcW w:w="3084" w:type="dxa"/>
            <w:gridSpan w:val="2"/>
            <w:tcBorders>
              <w:top w:val="nil"/>
              <w:left w:val="nil"/>
              <w:bottom w:val="nil"/>
              <w:right w:val="nil"/>
            </w:tcBorders>
          </w:tcPr>
          <w:p w14:paraId="4E731241"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Misión Ramsar de Asesoramiento (RAM)</w:t>
            </w:r>
          </w:p>
        </w:tc>
        <w:tc>
          <w:tcPr>
            <w:tcW w:w="1140" w:type="dxa"/>
            <w:tcBorders>
              <w:top w:val="nil"/>
              <w:left w:val="nil"/>
              <w:bottom w:val="nil"/>
              <w:right w:val="nil"/>
            </w:tcBorders>
          </w:tcPr>
          <w:p w14:paraId="2F901EE8"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77</w:t>
            </w:r>
          </w:p>
        </w:tc>
        <w:tc>
          <w:tcPr>
            <w:tcW w:w="1005" w:type="dxa"/>
            <w:tcBorders>
              <w:top w:val="nil"/>
              <w:left w:val="nil"/>
              <w:bottom w:val="nil"/>
              <w:right w:val="nil"/>
            </w:tcBorders>
          </w:tcPr>
          <w:p w14:paraId="46FE753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w:t>
            </w:r>
          </w:p>
        </w:tc>
        <w:tc>
          <w:tcPr>
            <w:tcW w:w="1006" w:type="dxa"/>
            <w:tcBorders>
              <w:top w:val="nil"/>
              <w:left w:val="nil"/>
              <w:bottom w:val="nil"/>
              <w:right w:val="nil"/>
            </w:tcBorders>
          </w:tcPr>
          <w:p w14:paraId="2AE364A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(18)</w:t>
            </w:r>
          </w:p>
        </w:tc>
        <w:tc>
          <w:tcPr>
            <w:tcW w:w="1005" w:type="dxa"/>
            <w:tcBorders>
              <w:top w:val="nil"/>
              <w:left w:val="nil"/>
              <w:bottom w:val="nil"/>
              <w:right w:val="nil"/>
            </w:tcBorders>
          </w:tcPr>
          <w:p w14:paraId="7099DBF8"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(10)</w:t>
            </w:r>
          </w:p>
        </w:tc>
        <w:tc>
          <w:tcPr>
            <w:tcW w:w="1030" w:type="dxa"/>
            <w:tcBorders>
              <w:top w:val="nil"/>
              <w:left w:val="nil"/>
              <w:bottom w:val="nil"/>
              <w:right w:val="nil"/>
            </w:tcBorders>
          </w:tcPr>
          <w:p w14:paraId="5998AFD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53</w:t>
            </w:r>
          </w:p>
        </w:tc>
      </w:tr>
      <w:tr w:rsidR="00E00878" w:rsidRPr="00F53E25" w14:paraId="7669DF6B" w14:textId="77777777" w:rsidTr="0076398C">
        <w:tc>
          <w:tcPr>
            <w:tcW w:w="1306" w:type="dxa"/>
            <w:tcBorders>
              <w:top w:val="nil"/>
              <w:left w:val="nil"/>
              <w:bottom w:val="single" w:sz="12" w:space="0" w:color="auto"/>
              <w:right w:val="nil"/>
            </w:tcBorders>
          </w:tcPr>
          <w:p w14:paraId="6499E731"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single" w:sz="12" w:space="0" w:color="auto"/>
              <w:right w:val="nil"/>
            </w:tcBorders>
          </w:tcPr>
          <w:p w14:paraId="7F472A6C"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single" w:sz="12" w:space="0" w:color="auto"/>
              <w:right w:val="nil"/>
            </w:tcBorders>
          </w:tcPr>
          <w:p w14:paraId="68337974"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19C739AD"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nil"/>
              <w:left w:val="nil"/>
              <w:bottom w:val="single" w:sz="12" w:space="0" w:color="auto"/>
              <w:right w:val="nil"/>
            </w:tcBorders>
          </w:tcPr>
          <w:p w14:paraId="0AFC4FDB"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0C904C45"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nil"/>
              <w:left w:val="nil"/>
              <w:bottom w:val="single" w:sz="12" w:space="0" w:color="auto"/>
              <w:right w:val="nil"/>
            </w:tcBorders>
          </w:tcPr>
          <w:p w14:paraId="16CAA007"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6BA4317E" w14:textId="77777777" w:rsidTr="0076398C">
        <w:tc>
          <w:tcPr>
            <w:tcW w:w="1306" w:type="dxa"/>
            <w:tcBorders>
              <w:top w:val="single" w:sz="12" w:space="0" w:color="auto"/>
              <w:left w:val="nil"/>
              <w:bottom w:val="single" w:sz="12" w:space="0" w:color="auto"/>
              <w:right w:val="nil"/>
            </w:tcBorders>
            <w:shd w:val="clear" w:color="auto" w:fill="EAF1DD" w:themeFill="accent3" w:themeFillTint="33"/>
          </w:tcPr>
          <w:p w14:paraId="56ACF286" w14:textId="77777777" w:rsidR="00E00878" w:rsidRPr="00F53E25" w:rsidRDefault="00E00878" w:rsidP="0076398C">
            <w:pPr>
              <w:autoSpaceDE w:val="0"/>
              <w:autoSpaceDN w:val="0"/>
              <w:adjustRightInd w:val="0"/>
              <w:ind w:left="0" w:firstLine="0"/>
              <w:rPr>
                <w:rFonts w:eastAsiaTheme="minorHAnsi" w:cs="Calibri"/>
                <w:b/>
                <w:bCs/>
                <w:color w:val="000000"/>
                <w:sz w:val="20"/>
                <w:szCs w:val="20"/>
              </w:rPr>
            </w:pPr>
            <w:r w:rsidRPr="00F53E25">
              <w:rPr>
                <w:rFonts w:eastAsiaTheme="minorHAnsi" w:cs="Calibri"/>
                <w:b/>
                <w:bCs/>
                <w:color w:val="000000"/>
                <w:sz w:val="20"/>
                <w:szCs w:val="20"/>
              </w:rPr>
              <w:t>Total, sitios Ramsar</w:t>
            </w:r>
          </w:p>
        </w:tc>
        <w:tc>
          <w:tcPr>
            <w:tcW w:w="3084" w:type="dxa"/>
            <w:gridSpan w:val="2"/>
            <w:tcBorders>
              <w:top w:val="single" w:sz="12" w:space="0" w:color="auto"/>
              <w:left w:val="nil"/>
              <w:bottom w:val="single" w:sz="12" w:space="0" w:color="auto"/>
              <w:right w:val="nil"/>
            </w:tcBorders>
            <w:shd w:val="clear" w:color="auto" w:fill="EAF1DD" w:themeFill="accent3" w:themeFillTint="33"/>
          </w:tcPr>
          <w:p w14:paraId="43E0D2D3"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p>
        </w:tc>
        <w:tc>
          <w:tcPr>
            <w:tcW w:w="1140" w:type="dxa"/>
            <w:tcBorders>
              <w:top w:val="nil"/>
              <w:left w:val="nil"/>
              <w:bottom w:val="single" w:sz="12" w:space="0" w:color="auto"/>
              <w:right w:val="nil"/>
            </w:tcBorders>
            <w:shd w:val="clear" w:color="auto" w:fill="EAF1DD" w:themeFill="accent3" w:themeFillTint="33"/>
          </w:tcPr>
          <w:p w14:paraId="2304C1D2"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77</w:t>
            </w:r>
          </w:p>
        </w:tc>
        <w:tc>
          <w:tcPr>
            <w:tcW w:w="1005" w:type="dxa"/>
            <w:tcBorders>
              <w:top w:val="nil"/>
              <w:left w:val="nil"/>
              <w:bottom w:val="single" w:sz="12" w:space="0" w:color="auto"/>
              <w:right w:val="nil"/>
            </w:tcBorders>
            <w:shd w:val="clear" w:color="auto" w:fill="EAF1DD" w:themeFill="accent3" w:themeFillTint="33"/>
          </w:tcPr>
          <w:p w14:paraId="088C4E9D"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5</w:t>
            </w:r>
          </w:p>
        </w:tc>
        <w:tc>
          <w:tcPr>
            <w:tcW w:w="1006" w:type="dxa"/>
            <w:tcBorders>
              <w:top w:val="single" w:sz="12" w:space="0" w:color="auto"/>
              <w:left w:val="nil"/>
              <w:bottom w:val="single" w:sz="12" w:space="0" w:color="auto"/>
              <w:right w:val="nil"/>
            </w:tcBorders>
            <w:shd w:val="clear" w:color="auto" w:fill="EAF1DD" w:themeFill="accent3" w:themeFillTint="33"/>
          </w:tcPr>
          <w:p w14:paraId="09B08ECB"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(18)</w:t>
            </w:r>
          </w:p>
        </w:tc>
        <w:tc>
          <w:tcPr>
            <w:tcW w:w="1005" w:type="dxa"/>
            <w:tcBorders>
              <w:top w:val="nil"/>
              <w:left w:val="nil"/>
              <w:bottom w:val="single" w:sz="12" w:space="0" w:color="auto"/>
              <w:right w:val="nil"/>
            </w:tcBorders>
            <w:shd w:val="clear" w:color="auto" w:fill="EAF1DD" w:themeFill="accent3" w:themeFillTint="33"/>
          </w:tcPr>
          <w:p w14:paraId="5562A63C"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(10)</w:t>
            </w:r>
          </w:p>
        </w:tc>
        <w:tc>
          <w:tcPr>
            <w:tcW w:w="1030" w:type="dxa"/>
            <w:tcBorders>
              <w:top w:val="single" w:sz="12" w:space="0" w:color="auto"/>
              <w:left w:val="nil"/>
              <w:bottom w:val="single" w:sz="12" w:space="0" w:color="auto"/>
              <w:right w:val="nil"/>
            </w:tcBorders>
            <w:shd w:val="clear" w:color="auto" w:fill="EAF1DD" w:themeFill="accent3" w:themeFillTint="33"/>
          </w:tcPr>
          <w:p w14:paraId="4490373E"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53</w:t>
            </w:r>
          </w:p>
        </w:tc>
      </w:tr>
      <w:tr w:rsidR="00E00878" w:rsidRPr="00F53E25" w14:paraId="5D6D2FED" w14:textId="77777777" w:rsidTr="0076398C">
        <w:tc>
          <w:tcPr>
            <w:tcW w:w="1306" w:type="dxa"/>
            <w:tcBorders>
              <w:top w:val="nil"/>
              <w:left w:val="nil"/>
              <w:bottom w:val="nil"/>
              <w:right w:val="nil"/>
            </w:tcBorders>
          </w:tcPr>
          <w:p w14:paraId="150BA52A" w14:textId="77777777" w:rsidR="00E00878" w:rsidRPr="00F53E25" w:rsidRDefault="00E00878" w:rsidP="0076398C">
            <w:pPr>
              <w:autoSpaceDE w:val="0"/>
              <w:autoSpaceDN w:val="0"/>
              <w:adjustRightInd w:val="0"/>
              <w:ind w:left="0" w:firstLine="0"/>
              <w:rPr>
                <w:rFonts w:eastAsiaTheme="minorHAnsi" w:cs="Calibri"/>
                <w:b/>
                <w:bCs/>
                <w:color w:val="000000"/>
                <w:sz w:val="20"/>
                <w:szCs w:val="20"/>
                <w:u w:val="single"/>
              </w:rPr>
            </w:pPr>
            <w:r w:rsidRPr="00F53E25">
              <w:rPr>
                <w:rFonts w:eastAsiaTheme="minorHAnsi" w:cs="Calibri"/>
                <w:b/>
                <w:bCs/>
                <w:color w:val="000000"/>
                <w:sz w:val="20"/>
                <w:szCs w:val="20"/>
                <w:u w:val="single"/>
              </w:rPr>
              <w:t>Otros</w:t>
            </w:r>
          </w:p>
        </w:tc>
        <w:tc>
          <w:tcPr>
            <w:tcW w:w="3084" w:type="dxa"/>
            <w:gridSpan w:val="2"/>
            <w:tcBorders>
              <w:top w:val="nil"/>
              <w:left w:val="nil"/>
              <w:bottom w:val="nil"/>
              <w:right w:val="nil"/>
            </w:tcBorders>
          </w:tcPr>
          <w:p w14:paraId="7ACBEF6E"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7CAD517C"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201BEC13"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6A3C4946"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25D4015C"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5144F4B9"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62DF3C2D" w14:textId="77777777" w:rsidTr="0076398C">
        <w:tc>
          <w:tcPr>
            <w:tcW w:w="1306" w:type="dxa"/>
            <w:tcBorders>
              <w:top w:val="nil"/>
              <w:left w:val="nil"/>
              <w:bottom w:val="nil"/>
              <w:right w:val="nil"/>
            </w:tcBorders>
          </w:tcPr>
          <w:p w14:paraId="40D48551"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R100100</w:t>
            </w:r>
          </w:p>
        </w:tc>
        <w:tc>
          <w:tcPr>
            <w:tcW w:w="3084" w:type="dxa"/>
            <w:gridSpan w:val="2"/>
            <w:tcBorders>
              <w:top w:val="nil"/>
              <w:left w:val="nil"/>
              <w:bottom w:val="nil"/>
              <w:right w:val="nil"/>
            </w:tcBorders>
          </w:tcPr>
          <w:p w14:paraId="340B55AF"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Admin.</w:t>
            </w:r>
          </w:p>
        </w:tc>
        <w:tc>
          <w:tcPr>
            <w:tcW w:w="1140" w:type="dxa"/>
            <w:tcBorders>
              <w:top w:val="nil"/>
              <w:left w:val="nil"/>
              <w:bottom w:val="nil"/>
              <w:right w:val="nil"/>
            </w:tcBorders>
          </w:tcPr>
          <w:p w14:paraId="31E2EB9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377</w:t>
            </w:r>
          </w:p>
        </w:tc>
        <w:tc>
          <w:tcPr>
            <w:tcW w:w="1005" w:type="dxa"/>
            <w:tcBorders>
              <w:top w:val="nil"/>
              <w:left w:val="nil"/>
              <w:bottom w:val="nil"/>
              <w:right w:val="nil"/>
            </w:tcBorders>
          </w:tcPr>
          <w:p w14:paraId="6974277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2819E70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04BFD9B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19</w:t>
            </w:r>
          </w:p>
        </w:tc>
        <w:tc>
          <w:tcPr>
            <w:tcW w:w="1030" w:type="dxa"/>
            <w:tcBorders>
              <w:top w:val="nil"/>
              <w:left w:val="nil"/>
              <w:bottom w:val="nil"/>
              <w:right w:val="nil"/>
            </w:tcBorders>
          </w:tcPr>
          <w:p w14:paraId="4F1139B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396</w:t>
            </w:r>
          </w:p>
        </w:tc>
      </w:tr>
      <w:tr w:rsidR="00E00878" w:rsidRPr="00F53E25" w14:paraId="20C11CBC" w14:textId="77777777" w:rsidTr="0076398C">
        <w:tc>
          <w:tcPr>
            <w:tcW w:w="1306" w:type="dxa"/>
            <w:tcBorders>
              <w:top w:val="nil"/>
              <w:left w:val="nil"/>
              <w:bottom w:val="nil"/>
              <w:right w:val="nil"/>
            </w:tcBorders>
          </w:tcPr>
          <w:p w14:paraId="2914745F"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R100102</w:t>
            </w:r>
          </w:p>
        </w:tc>
        <w:tc>
          <w:tcPr>
            <w:tcW w:w="3084" w:type="dxa"/>
            <w:gridSpan w:val="2"/>
            <w:tcBorders>
              <w:top w:val="nil"/>
              <w:left w:val="nil"/>
              <w:bottom w:val="nil"/>
              <w:right w:val="nil"/>
            </w:tcBorders>
          </w:tcPr>
          <w:p w14:paraId="10C13B2E"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Remodelación del SISR</w:t>
            </w:r>
          </w:p>
        </w:tc>
        <w:tc>
          <w:tcPr>
            <w:tcW w:w="1140" w:type="dxa"/>
            <w:tcBorders>
              <w:top w:val="nil"/>
              <w:left w:val="nil"/>
              <w:bottom w:val="nil"/>
              <w:right w:val="nil"/>
            </w:tcBorders>
          </w:tcPr>
          <w:p w14:paraId="6007FEF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39</w:t>
            </w:r>
          </w:p>
        </w:tc>
        <w:tc>
          <w:tcPr>
            <w:tcW w:w="1005" w:type="dxa"/>
            <w:tcBorders>
              <w:top w:val="nil"/>
              <w:left w:val="nil"/>
              <w:bottom w:val="nil"/>
              <w:right w:val="nil"/>
            </w:tcBorders>
          </w:tcPr>
          <w:p w14:paraId="2DCC5C5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3FF219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w:t>
            </w:r>
          </w:p>
        </w:tc>
        <w:tc>
          <w:tcPr>
            <w:tcW w:w="1005" w:type="dxa"/>
            <w:tcBorders>
              <w:top w:val="nil"/>
              <w:left w:val="nil"/>
              <w:bottom w:val="nil"/>
              <w:right w:val="nil"/>
            </w:tcBorders>
          </w:tcPr>
          <w:p w14:paraId="3DB8693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66A9F24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38</w:t>
            </w:r>
          </w:p>
        </w:tc>
      </w:tr>
      <w:tr w:rsidR="00E00878" w:rsidRPr="00F53E25" w14:paraId="08E43EAA" w14:textId="77777777" w:rsidTr="0076398C">
        <w:tc>
          <w:tcPr>
            <w:tcW w:w="1306" w:type="dxa"/>
            <w:tcBorders>
              <w:top w:val="nil"/>
              <w:left w:val="nil"/>
              <w:bottom w:val="nil"/>
              <w:right w:val="nil"/>
            </w:tcBorders>
          </w:tcPr>
          <w:p w14:paraId="2B782AF2"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R100103</w:t>
            </w:r>
          </w:p>
        </w:tc>
        <w:tc>
          <w:tcPr>
            <w:tcW w:w="3084" w:type="dxa"/>
            <w:gridSpan w:val="2"/>
            <w:tcBorders>
              <w:top w:val="nil"/>
              <w:left w:val="nil"/>
              <w:bottom w:val="nil"/>
              <w:right w:val="nil"/>
            </w:tcBorders>
          </w:tcPr>
          <w:p w14:paraId="3C1446CD"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Remodelación del sitio web</w:t>
            </w:r>
          </w:p>
        </w:tc>
        <w:tc>
          <w:tcPr>
            <w:tcW w:w="1140" w:type="dxa"/>
            <w:tcBorders>
              <w:top w:val="nil"/>
              <w:left w:val="nil"/>
              <w:bottom w:val="nil"/>
              <w:right w:val="nil"/>
            </w:tcBorders>
          </w:tcPr>
          <w:p w14:paraId="70ED0BD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64</w:t>
            </w:r>
          </w:p>
        </w:tc>
        <w:tc>
          <w:tcPr>
            <w:tcW w:w="1005" w:type="dxa"/>
            <w:tcBorders>
              <w:top w:val="nil"/>
              <w:left w:val="nil"/>
              <w:bottom w:val="nil"/>
              <w:right w:val="nil"/>
            </w:tcBorders>
          </w:tcPr>
          <w:p w14:paraId="50EC7AD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B308ED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30E4FC6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5BB34ED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64</w:t>
            </w:r>
          </w:p>
        </w:tc>
      </w:tr>
      <w:tr w:rsidR="00E00878" w:rsidRPr="00F53E25" w14:paraId="3E93B904" w14:textId="77777777" w:rsidTr="0076398C">
        <w:tc>
          <w:tcPr>
            <w:tcW w:w="1306" w:type="dxa"/>
            <w:tcBorders>
              <w:top w:val="nil"/>
              <w:left w:val="nil"/>
              <w:bottom w:val="nil"/>
              <w:right w:val="nil"/>
            </w:tcBorders>
          </w:tcPr>
          <w:p w14:paraId="3744A7D8"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R100104</w:t>
            </w:r>
          </w:p>
        </w:tc>
        <w:tc>
          <w:tcPr>
            <w:tcW w:w="3084" w:type="dxa"/>
            <w:gridSpan w:val="2"/>
            <w:tcBorders>
              <w:top w:val="nil"/>
              <w:left w:val="nil"/>
              <w:bottom w:val="nil"/>
              <w:right w:val="nil"/>
            </w:tcBorders>
          </w:tcPr>
          <w:p w14:paraId="5FE7EA20"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Desarrollo</w:t>
            </w:r>
          </w:p>
        </w:tc>
        <w:tc>
          <w:tcPr>
            <w:tcW w:w="1140" w:type="dxa"/>
            <w:tcBorders>
              <w:top w:val="nil"/>
              <w:left w:val="nil"/>
              <w:bottom w:val="nil"/>
              <w:right w:val="nil"/>
            </w:tcBorders>
          </w:tcPr>
          <w:p w14:paraId="5F0DB39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27</w:t>
            </w:r>
          </w:p>
        </w:tc>
        <w:tc>
          <w:tcPr>
            <w:tcW w:w="1005" w:type="dxa"/>
            <w:tcBorders>
              <w:top w:val="nil"/>
              <w:left w:val="nil"/>
              <w:bottom w:val="nil"/>
              <w:right w:val="nil"/>
            </w:tcBorders>
          </w:tcPr>
          <w:p w14:paraId="2BAFFCF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987E69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0DA639C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3D0331A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27</w:t>
            </w:r>
          </w:p>
        </w:tc>
      </w:tr>
      <w:tr w:rsidR="00E00878" w:rsidRPr="00F53E25" w14:paraId="440E8CDE" w14:textId="77777777" w:rsidTr="0076398C">
        <w:tc>
          <w:tcPr>
            <w:tcW w:w="1306" w:type="dxa"/>
            <w:tcBorders>
              <w:top w:val="nil"/>
              <w:left w:val="nil"/>
              <w:bottom w:val="nil"/>
              <w:right w:val="nil"/>
            </w:tcBorders>
          </w:tcPr>
          <w:p w14:paraId="442DABE4"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R100105</w:t>
            </w:r>
          </w:p>
        </w:tc>
        <w:tc>
          <w:tcPr>
            <w:tcW w:w="3084" w:type="dxa"/>
            <w:gridSpan w:val="2"/>
            <w:tcBorders>
              <w:top w:val="nil"/>
              <w:left w:val="nil"/>
              <w:bottom w:val="nil"/>
              <w:right w:val="nil"/>
            </w:tcBorders>
          </w:tcPr>
          <w:p w14:paraId="272810B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Examen científico</w:t>
            </w:r>
          </w:p>
        </w:tc>
        <w:tc>
          <w:tcPr>
            <w:tcW w:w="1140" w:type="dxa"/>
            <w:tcBorders>
              <w:top w:val="nil"/>
              <w:left w:val="nil"/>
              <w:bottom w:val="nil"/>
              <w:right w:val="nil"/>
            </w:tcBorders>
          </w:tcPr>
          <w:p w14:paraId="4715E98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33</w:t>
            </w:r>
          </w:p>
        </w:tc>
        <w:tc>
          <w:tcPr>
            <w:tcW w:w="1005" w:type="dxa"/>
            <w:tcBorders>
              <w:top w:val="nil"/>
              <w:left w:val="nil"/>
              <w:bottom w:val="nil"/>
              <w:right w:val="nil"/>
            </w:tcBorders>
          </w:tcPr>
          <w:p w14:paraId="2EAC26C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D5942A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045E61F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33E06EF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33</w:t>
            </w:r>
          </w:p>
        </w:tc>
      </w:tr>
      <w:tr w:rsidR="00E00878" w:rsidRPr="00F53E25" w14:paraId="11D74276" w14:textId="77777777" w:rsidTr="0076398C">
        <w:tc>
          <w:tcPr>
            <w:tcW w:w="1306" w:type="dxa"/>
            <w:tcBorders>
              <w:top w:val="nil"/>
              <w:left w:val="nil"/>
              <w:bottom w:val="nil"/>
              <w:right w:val="nil"/>
            </w:tcBorders>
          </w:tcPr>
          <w:p w14:paraId="7D3EF9E2"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R100106</w:t>
            </w:r>
          </w:p>
        </w:tc>
        <w:tc>
          <w:tcPr>
            <w:tcW w:w="3084" w:type="dxa"/>
            <w:gridSpan w:val="2"/>
            <w:tcBorders>
              <w:top w:val="nil"/>
              <w:left w:val="nil"/>
              <w:bottom w:val="nil"/>
              <w:right w:val="nil"/>
            </w:tcBorders>
          </w:tcPr>
          <w:p w14:paraId="7405601D"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Plan Estratégico 2016</w:t>
            </w:r>
          </w:p>
        </w:tc>
        <w:tc>
          <w:tcPr>
            <w:tcW w:w="1140" w:type="dxa"/>
            <w:tcBorders>
              <w:top w:val="nil"/>
              <w:left w:val="nil"/>
              <w:bottom w:val="nil"/>
              <w:right w:val="nil"/>
            </w:tcBorders>
          </w:tcPr>
          <w:p w14:paraId="0D45330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18</w:t>
            </w:r>
          </w:p>
        </w:tc>
        <w:tc>
          <w:tcPr>
            <w:tcW w:w="1005" w:type="dxa"/>
            <w:tcBorders>
              <w:top w:val="nil"/>
              <w:left w:val="nil"/>
              <w:bottom w:val="nil"/>
              <w:right w:val="nil"/>
            </w:tcBorders>
          </w:tcPr>
          <w:p w14:paraId="32C4063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2530127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404099C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09580C2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18</w:t>
            </w:r>
          </w:p>
        </w:tc>
      </w:tr>
      <w:tr w:rsidR="00E00878" w:rsidRPr="00F53E25" w14:paraId="54D29E29" w14:textId="77777777" w:rsidTr="0076398C">
        <w:tc>
          <w:tcPr>
            <w:tcW w:w="1306" w:type="dxa"/>
            <w:tcBorders>
              <w:top w:val="nil"/>
              <w:left w:val="nil"/>
              <w:bottom w:val="nil"/>
              <w:right w:val="nil"/>
            </w:tcBorders>
          </w:tcPr>
          <w:p w14:paraId="0A1D59E0"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R100108</w:t>
            </w:r>
          </w:p>
        </w:tc>
        <w:tc>
          <w:tcPr>
            <w:tcW w:w="3084" w:type="dxa"/>
            <w:gridSpan w:val="2"/>
            <w:tcBorders>
              <w:top w:val="nil"/>
              <w:left w:val="nil"/>
              <w:bottom w:val="nil"/>
              <w:right w:val="nil"/>
            </w:tcBorders>
          </w:tcPr>
          <w:p w14:paraId="230D91E9"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Traducciones para la COP12 (FOEN-CH)</w:t>
            </w:r>
          </w:p>
        </w:tc>
        <w:tc>
          <w:tcPr>
            <w:tcW w:w="1140" w:type="dxa"/>
            <w:tcBorders>
              <w:top w:val="nil"/>
              <w:left w:val="nil"/>
              <w:bottom w:val="nil"/>
              <w:right w:val="nil"/>
            </w:tcBorders>
          </w:tcPr>
          <w:p w14:paraId="5AA35F9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45</w:t>
            </w:r>
          </w:p>
        </w:tc>
        <w:tc>
          <w:tcPr>
            <w:tcW w:w="1005" w:type="dxa"/>
            <w:tcBorders>
              <w:top w:val="nil"/>
              <w:left w:val="nil"/>
              <w:bottom w:val="nil"/>
              <w:right w:val="nil"/>
            </w:tcBorders>
          </w:tcPr>
          <w:p w14:paraId="489672A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4EB8575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10FC729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3FC3C7B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45</w:t>
            </w:r>
          </w:p>
        </w:tc>
      </w:tr>
      <w:tr w:rsidR="00E00878" w:rsidRPr="00F53E25" w14:paraId="01FB1B9C" w14:textId="77777777" w:rsidTr="0076398C">
        <w:tc>
          <w:tcPr>
            <w:tcW w:w="1306" w:type="dxa"/>
            <w:tcBorders>
              <w:top w:val="nil"/>
              <w:left w:val="nil"/>
              <w:bottom w:val="nil"/>
              <w:right w:val="nil"/>
            </w:tcBorders>
          </w:tcPr>
          <w:p w14:paraId="2F0A7871"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R100190</w:t>
            </w:r>
          </w:p>
        </w:tc>
        <w:tc>
          <w:tcPr>
            <w:tcW w:w="3084" w:type="dxa"/>
            <w:gridSpan w:val="2"/>
            <w:tcBorders>
              <w:top w:val="nil"/>
              <w:left w:val="nil"/>
              <w:bottom w:val="nil"/>
              <w:right w:val="nil"/>
            </w:tcBorders>
          </w:tcPr>
          <w:p w14:paraId="3FBB4FF5"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Ciclo hidrológico</w:t>
            </w:r>
          </w:p>
        </w:tc>
        <w:tc>
          <w:tcPr>
            <w:tcW w:w="1140" w:type="dxa"/>
            <w:tcBorders>
              <w:top w:val="nil"/>
              <w:left w:val="nil"/>
              <w:bottom w:val="nil"/>
              <w:right w:val="nil"/>
            </w:tcBorders>
          </w:tcPr>
          <w:p w14:paraId="0FF739B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11</w:t>
            </w:r>
          </w:p>
        </w:tc>
        <w:tc>
          <w:tcPr>
            <w:tcW w:w="1005" w:type="dxa"/>
            <w:tcBorders>
              <w:top w:val="nil"/>
              <w:left w:val="nil"/>
              <w:bottom w:val="nil"/>
              <w:right w:val="nil"/>
            </w:tcBorders>
          </w:tcPr>
          <w:p w14:paraId="1A6E789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B15723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20CC037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4DAD073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11</w:t>
            </w:r>
          </w:p>
        </w:tc>
      </w:tr>
      <w:tr w:rsidR="00E00878" w:rsidRPr="00F53E25" w14:paraId="71403959" w14:textId="77777777" w:rsidTr="0076398C">
        <w:tc>
          <w:tcPr>
            <w:tcW w:w="1306" w:type="dxa"/>
            <w:tcBorders>
              <w:top w:val="nil"/>
              <w:left w:val="nil"/>
              <w:bottom w:val="nil"/>
              <w:right w:val="nil"/>
            </w:tcBorders>
          </w:tcPr>
          <w:p w14:paraId="195ED37E"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R100311</w:t>
            </w:r>
          </w:p>
        </w:tc>
        <w:tc>
          <w:tcPr>
            <w:tcW w:w="3084" w:type="dxa"/>
            <w:gridSpan w:val="2"/>
            <w:tcBorders>
              <w:top w:val="nil"/>
              <w:left w:val="nil"/>
              <w:bottom w:val="nil"/>
              <w:right w:val="nil"/>
            </w:tcBorders>
          </w:tcPr>
          <w:p w14:paraId="65E43582"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themeColor="text1"/>
                <w:sz w:val="20"/>
                <w:szCs w:val="20"/>
              </w:rPr>
              <w:t xml:space="preserve">Río </w:t>
            </w:r>
            <w:r w:rsidRPr="00F53E25">
              <w:rPr>
                <w:rFonts w:eastAsiaTheme="minorHAnsi" w:cs="Calibri"/>
                <w:color w:val="000000"/>
                <w:sz w:val="20"/>
                <w:szCs w:val="20"/>
              </w:rPr>
              <w:t>Cruces</w:t>
            </w:r>
          </w:p>
        </w:tc>
        <w:tc>
          <w:tcPr>
            <w:tcW w:w="1140" w:type="dxa"/>
            <w:tcBorders>
              <w:top w:val="nil"/>
              <w:left w:val="nil"/>
              <w:bottom w:val="nil"/>
              <w:right w:val="nil"/>
            </w:tcBorders>
          </w:tcPr>
          <w:p w14:paraId="7EE5979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52</w:t>
            </w:r>
          </w:p>
        </w:tc>
        <w:tc>
          <w:tcPr>
            <w:tcW w:w="1005" w:type="dxa"/>
            <w:tcBorders>
              <w:top w:val="nil"/>
              <w:left w:val="nil"/>
              <w:bottom w:val="nil"/>
              <w:right w:val="nil"/>
            </w:tcBorders>
          </w:tcPr>
          <w:p w14:paraId="48F4594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6111332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6BE575B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5CE250B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52</w:t>
            </w:r>
          </w:p>
        </w:tc>
      </w:tr>
      <w:tr w:rsidR="00E00878" w:rsidRPr="00F53E25" w14:paraId="63BF1D6A" w14:textId="77777777" w:rsidTr="0076398C">
        <w:tc>
          <w:tcPr>
            <w:tcW w:w="1306" w:type="dxa"/>
            <w:tcBorders>
              <w:top w:val="nil"/>
              <w:left w:val="nil"/>
              <w:bottom w:val="nil"/>
              <w:right w:val="nil"/>
            </w:tcBorders>
          </w:tcPr>
          <w:p w14:paraId="47E5119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R100640</w:t>
            </w:r>
          </w:p>
        </w:tc>
        <w:tc>
          <w:tcPr>
            <w:tcW w:w="3084" w:type="dxa"/>
            <w:gridSpan w:val="2"/>
            <w:tcBorders>
              <w:top w:val="nil"/>
              <w:left w:val="nil"/>
              <w:bottom w:val="nil"/>
              <w:right w:val="nil"/>
            </w:tcBorders>
          </w:tcPr>
          <w:p w14:paraId="39E12DF7"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COP14 - China</w:t>
            </w:r>
          </w:p>
        </w:tc>
        <w:tc>
          <w:tcPr>
            <w:tcW w:w="1140" w:type="dxa"/>
            <w:tcBorders>
              <w:top w:val="nil"/>
              <w:left w:val="nil"/>
              <w:bottom w:val="nil"/>
              <w:right w:val="nil"/>
            </w:tcBorders>
          </w:tcPr>
          <w:p w14:paraId="0EAD419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(4)</w:t>
            </w:r>
          </w:p>
        </w:tc>
        <w:tc>
          <w:tcPr>
            <w:tcW w:w="1005" w:type="dxa"/>
            <w:tcBorders>
              <w:top w:val="nil"/>
              <w:left w:val="nil"/>
              <w:bottom w:val="nil"/>
              <w:right w:val="nil"/>
            </w:tcBorders>
          </w:tcPr>
          <w:p w14:paraId="27B9DDB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207AFD7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29596A4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664E452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(4)</w:t>
            </w:r>
          </w:p>
        </w:tc>
      </w:tr>
      <w:tr w:rsidR="00E00878" w:rsidRPr="00F53E25" w14:paraId="31349BAF" w14:textId="77777777" w:rsidTr="0076398C">
        <w:tc>
          <w:tcPr>
            <w:tcW w:w="1306" w:type="dxa"/>
            <w:tcBorders>
              <w:top w:val="nil"/>
              <w:left w:val="nil"/>
              <w:bottom w:val="nil"/>
              <w:right w:val="nil"/>
            </w:tcBorders>
          </w:tcPr>
          <w:p w14:paraId="35D8533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R100700</w:t>
            </w:r>
          </w:p>
        </w:tc>
        <w:tc>
          <w:tcPr>
            <w:tcW w:w="3084" w:type="dxa"/>
            <w:gridSpan w:val="2"/>
            <w:tcBorders>
              <w:top w:val="nil"/>
              <w:left w:val="nil"/>
              <w:bottom w:val="nil"/>
              <w:right w:val="nil"/>
            </w:tcBorders>
          </w:tcPr>
          <w:p w14:paraId="46FD0114"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CECoP</w:t>
            </w:r>
          </w:p>
        </w:tc>
        <w:tc>
          <w:tcPr>
            <w:tcW w:w="1140" w:type="dxa"/>
            <w:tcBorders>
              <w:top w:val="nil"/>
              <w:left w:val="nil"/>
              <w:bottom w:val="nil"/>
              <w:right w:val="nil"/>
            </w:tcBorders>
          </w:tcPr>
          <w:p w14:paraId="731F3A8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8</w:t>
            </w:r>
          </w:p>
        </w:tc>
        <w:tc>
          <w:tcPr>
            <w:tcW w:w="1005" w:type="dxa"/>
            <w:tcBorders>
              <w:top w:val="nil"/>
              <w:left w:val="nil"/>
              <w:bottom w:val="nil"/>
              <w:right w:val="nil"/>
            </w:tcBorders>
          </w:tcPr>
          <w:p w14:paraId="101513D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13A75EB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w:t>
            </w:r>
          </w:p>
        </w:tc>
        <w:tc>
          <w:tcPr>
            <w:tcW w:w="1005" w:type="dxa"/>
            <w:tcBorders>
              <w:top w:val="nil"/>
              <w:left w:val="nil"/>
              <w:bottom w:val="nil"/>
              <w:right w:val="nil"/>
            </w:tcBorders>
          </w:tcPr>
          <w:p w14:paraId="16E8BDF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79CC646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11</w:t>
            </w:r>
          </w:p>
        </w:tc>
      </w:tr>
      <w:tr w:rsidR="00E00878" w:rsidRPr="00F53E25" w14:paraId="738A4510" w14:textId="77777777" w:rsidTr="0076398C">
        <w:tc>
          <w:tcPr>
            <w:tcW w:w="1306" w:type="dxa"/>
            <w:tcBorders>
              <w:top w:val="nil"/>
              <w:left w:val="nil"/>
              <w:bottom w:val="nil"/>
              <w:right w:val="nil"/>
            </w:tcBorders>
          </w:tcPr>
          <w:p w14:paraId="4A456184"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R100816</w:t>
            </w:r>
          </w:p>
        </w:tc>
        <w:tc>
          <w:tcPr>
            <w:tcW w:w="3084" w:type="dxa"/>
            <w:gridSpan w:val="2"/>
            <w:tcBorders>
              <w:top w:val="nil"/>
              <w:left w:val="nil"/>
              <w:bottom w:val="nil"/>
              <w:right w:val="nil"/>
            </w:tcBorders>
          </w:tcPr>
          <w:p w14:paraId="62BACFBB"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Danone 2016-2020</w:t>
            </w:r>
          </w:p>
        </w:tc>
        <w:tc>
          <w:tcPr>
            <w:tcW w:w="1140" w:type="dxa"/>
            <w:tcBorders>
              <w:top w:val="nil"/>
              <w:left w:val="nil"/>
              <w:bottom w:val="nil"/>
              <w:right w:val="nil"/>
            </w:tcBorders>
          </w:tcPr>
          <w:p w14:paraId="33C01D6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204</w:t>
            </w:r>
          </w:p>
        </w:tc>
        <w:tc>
          <w:tcPr>
            <w:tcW w:w="1005" w:type="dxa"/>
            <w:tcBorders>
              <w:top w:val="nil"/>
              <w:left w:val="nil"/>
              <w:bottom w:val="nil"/>
              <w:right w:val="nil"/>
            </w:tcBorders>
          </w:tcPr>
          <w:p w14:paraId="6C35353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504834C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(67)</w:t>
            </w:r>
          </w:p>
        </w:tc>
        <w:tc>
          <w:tcPr>
            <w:tcW w:w="1005" w:type="dxa"/>
            <w:tcBorders>
              <w:top w:val="nil"/>
              <w:left w:val="nil"/>
              <w:bottom w:val="nil"/>
              <w:right w:val="nil"/>
            </w:tcBorders>
          </w:tcPr>
          <w:p w14:paraId="7D1EC65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(6)</w:t>
            </w:r>
          </w:p>
        </w:tc>
        <w:tc>
          <w:tcPr>
            <w:tcW w:w="1030" w:type="dxa"/>
            <w:tcBorders>
              <w:top w:val="nil"/>
              <w:left w:val="nil"/>
              <w:bottom w:val="nil"/>
              <w:right w:val="nil"/>
            </w:tcBorders>
          </w:tcPr>
          <w:p w14:paraId="20ABA29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131</w:t>
            </w:r>
          </w:p>
        </w:tc>
      </w:tr>
      <w:tr w:rsidR="00E00878" w:rsidRPr="00F53E25" w14:paraId="464C0EDA" w14:textId="77777777" w:rsidTr="0076398C">
        <w:tc>
          <w:tcPr>
            <w:tcW w:w="1306" w:type="dxa"/>
            <w:tcBorders>
              <w:top w:val="nil"/>
              <w:left w:val="nil"/>
              <w:bottom w:val="nil"/>
              <w:right w:val="nil"/>
            </w:tcBorders>
          </w:tcPr>
          <w:p w14:paraId="1A886376"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R100904</w:t>
            </w:r>
          </w:p>
        </w:tc>
        <w:tc>
          <w:tcPr>
            <w:tcW w:w="3084" w:type="dxa"/>
            <w:gridSpan w:val="2"/>
            <w:tcBorders>
              <w:top w:val="nil"/>
              <w:left w:val="nil"/>
              <w:bottom w:val="nil"/>
              <w:right w:val="nil"/>
            </w:tcBorders>
          </w:tcPr>
          <w:p w14:paraId="7D5C6807"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GECT, NO BÁSICO</w:t>
            </w:r>
          </w:p>
        </w:tc>
        <w:tc>
          <w:tcPr>
            <w:tcW w:w="1140" w:type="dxa"/>
            <w:tcBorders>
              <w:top w:val="nil"/>
              <w:left w:val="nil"/>
              <w:bottom w:val="nil"/>
              <w:right w:val="nil"/>
            </w:tcBorders>
          </w:tcPr>
          <w:p w14:paraId="5D0FBD4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145</w:t>
            </w:r>
          </w:p>
        </w:tc>
        <w:tc>
          <w:tcPr>
            <w:tcW w:w="1005" w:type="dxa"/>
            <w:tcBorders>
              <w:top w:val="nil"/>
              <w:left w:val="nil"/>
              <w:bottom w:val="nil"/>
              <w:right w:val="nil"/>
            </w:tcBorders>
          </w:tcPr>
          <w:p w14:paraId="3FDDBDB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38C2E1C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275D5FA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442B258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145</w:t>
            </w:r>
          </w:p>
        </w:tc>
      </w:tr>
      <w:tr w:rsidR="00E00878" w:rsidRPr="00F53E25" w14:paraId="05D1D0F9" w14:textId="77777777" w:rsidTr="0076398C">
        <w:tc>
          <w:tcPr>
            <w:tcW w:w="1306" w:type="dxa"/>
            <w:tcBorders>
              <w:top w:val="nil"/>
              <w:left w:val="nil"/>
              <w:bottom w:val="nil"/>
              <w:right w:val="nil"/>
            </w:tcBorders>
          </w:tcPr>
          <w:p w14:paraId="6EE2945D"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R100915</w:t>
            </w:r>
          </w:p>
        </w:tc>
        <w:tc>
          <w:tcPr>
            <w:tcW w:w="3084" w:type="dxa"/>
            <w:gridSpan w:val="2"/>
            <w:tcBorders>
              <w:top w:val="nil"/>
              <w:left w:val="nil"/>
              <w:bottom w:val="nil"/>
              <w:right w:val="nil"/>
            </w:tcBorders>
          </w:tcPr>
          <w:p w14:paraId="0562A575"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TRABAJO SOBRE GÉNERO</w:t>
            </w:r>
          </w:p>
        </w:tc>
        <w:tc>
          <w:tcPr>
            <w:tcW w:w="1140" w:type="dxa"/>
            <w:tcBorders>
              <w:top w:val="nil"/>
              <w:left w:val="nil"/>
              <w:bottom w:val="nil"/>
              <w:right w:val="nil"/>
            </w:tcBorders>
          </w:tcPr>
          <w:p w14:paraId="34721BB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43</w:t>
            </w:r>
          </w:p>
        </w:tc>
        <w:tc>
          <w:tcPr>
            <w:tcW w:w="1005" w:type="dxa"/>
            <w:tcBorders>
              <w:top w:val="nil"/>
              <w:left w:val="nil"/>
              <w:bottom w:val="nil"/>
              <w:right w:val="nil"/>
            </w:tcBorders>
          </w:tcPr>
          <w:p w14:paraId="189F489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31B10A19"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(32)</w:t>
            </w:r>
          </w:p>
        </w:tc>
        <w:tc>
          <w:tcPr>
            <w:tcW w:w="1005" w:type="dxa"/>
            <w:tcBorders>
              <w:top w:val="nil"/>
              <w:left w:val="nil"/>
              <w:bottom w:val="nil"/>
              <w:right w:val="nil"/>
            </w:tcBorders>
          </w:tcPr>
          <w:p w14:paraId="6FDD25D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120285C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11</w:t>
            </w:r>
          </w:p>
        </w:tc>
      </w:tr>
      <w:tr w:rsidR="00E00878" w:rsidRPr="00F53E25" w14:paraId="7E718C93" w14:textId="77777777" w:rsidTr="0076398C">
        <w:tc>
          <w:tcPr>
            <w:tcW w:w="1306" w:type="dxa"/>
            <w:tcBorders>
              <w:top w:val="nil"/>
              <w:left w:val="nil"/>
              <w:bottom w:val="nil"/>
              <w:right w:val="nil"/>
            </w:tcBorders>
          </w:tcPr>
          <w:p w14:paraId="5D4A991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R101001</w:t>
            </w:r>
          </w:p>
        </w:tc>
        <w:tc>
          <w:tcPr>
            <w:tcW w:w="3084" w:type="dxa"/>
            <w:gridSpan w:val="2"/>
            <w:tcBorders>
              <w:top w:val="nil"/>
              <w:left w:val="nil"/>
              <w:bottom w:val="nil"/>
              <w:right w:val="nil"/>
            </w:tcBorders>
          </w:tcPr>
          <w:p w14:paraId="11E06093"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WCMC, Formato de informe nacional en línea</w:t>
            </w:r>
          </w:p>
        </w:tc>
        <w:tc>
          <w:tcPr>
            <w:tcW w:w="1140" w:type="dxa"/>
            <w:tcBorders>
              <w:top w:val="nil"/>
              <w:left w:val="nil"/>
              <w:bottom w:val="nil"/>
              <w:right w:val="nil"/>
            </w:tcBorders>
          </w:tcPr>
          <w:p w14:paraId="67E5B0FB"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w:t>
            </w:r>
          </w:p>
        </w:tc>
        <w:tc>
          <w:tcPr>
            <w:tcW w:w="1005" w:type="dxa"/>
            <w:tcBorders>
              <w:top w:val="nil"/>
              <w:left w:val="nil"/>
              <w:bottom w:val="nil"/>
              <w:right w:val="nil"/>
            </w:tcBorders>
          </w:tcPr>
          <w:p w14:paraId="71C3754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72764A4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w:t>
            </w:r>
          </w:p>
        </w:tc>
        <w:tc>
          <w:tcPr>
            <w:tcW w:w="1005" w:type="dxa"/>
            <w:tcBorders>
              <w:top w:val="nil"/>
              <w:left w:val="nil"/>
              <w:bottom w:val="nil"/>
              <w:right w:val="nil"/>
            </w:tcBorders>
          </w:tcPr>
          <w:p w14:paraId="3F0C75D0"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5C10755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r>
      <w:tr w:rsidR="00E00878" w:rsidRPr="00F53E25" w14:paraId="7FFCC0BA" w14:textId="77777777" w:rsidTr="0076398C">
        <w:tc>
          <w:tcPr>
            <w:tcW w:w="1306" w:type="dxa"/>
            <w:tcBorders>
              <w:top w:val="nil"/>
              <w:left w:val="nil"/>
              <w:bottom w:val="nil"/>
              <w:right w:val="nil"/>
            </w:tcBorders>
          </w:tcPr>
          <w:p w14:paraId="652ACFAC"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R101003</w:t>
            </w:r>
          </w:p>
        </w:tc>
        <w:tc>
          <w:tcPr>
            <w:tcW w:w="3084" w:type="dxa"/>
            <w:gridSpan w:val="2"/>
            <w:tcBorders>
              <w:top w:val="nil"/>
              <w:left w:val="nil"/>
              <w:bottom w:val="nil"/>
              <w:right w:val="nil"/>
            </w:tcBorders>
          </w:tcPr>
          <w:p w14:paraId="366DE575"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MAVA 13-32</w:t>
            </w:r>
          </w:p>
        </w:tc>
        <w:tc>
          <w:tcPr>
            <w:tcW w:w="1140" w:type="dxa"/>
            <w:tcBorders>
              <w:top w:val="nil"/>
              <w:left w:val="nil"/>
              <w:bottom w:val="nil"/>
              <w:right w:val="nil"/>
            </w:tcBorders>
          </w:tcPr>
          <w:p w14:paraId="3108898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7</w:t>
            </w:r>
          </w:p>
        </w:tc>
        <w:tc>
          <w:tcPr>
            <w:tcW w:w="1005" w:type="dxa"/>
            <w:tcBorders>
              <w:top w:val="nil"/>
              <w:left w:val="nil"/>
              <w:bottom w:val="nil"/>
              <w:right w:val="nil"/>
            </w:tcBorders>
          </w:tcPr>
          <w:p w14:paraId="2F90D99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62F8054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(7)</w:t>
            </w:r>
          </w:p>
        </w:tc>
        <w:tc>
          <w:tcPr>
            <w:tcW w:w="1005" w:type="dxa"/>
            <w:tcBorders>
              <w:top w:val="nil"/>
              <w:left w:val="nil"/>
              <w:bottom w:val="nil"/>
              <w:right w:val="nil"/>
            </w:tcBorders>
          </w:tcPr>
          <w:p w14:paraId="5FEFD1C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0E4ECC3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r>
      <w:tr w:rsidR="00E00878" w:rsidRPr="00F53E25" w14:paraId="4E16928A" w14:textId="77777777" w:rsidTr="0076398C">
        <w:tc>
          <w:tcPr>
            <w:tcW w:w="1306" w:type="dxa"/>
            <w:tcBorders>
              <w:top w:val="nil"/>
              <w:left w:val="nil"/>
              <w:bottom w:val="nil"/>
              <w:right w:val="nil"/>
            </w:tcBorders>
          </w:tcPr>
          <w:p w14:paraId="1E7A979C"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R101006</w:t>
            </w:r>
          </w:p>
        </w:tc>
        <w:tc>
          <w:tcPr>
            <w:tcW w:w="3084" w:type="dxa"/>
            <w:gridSpan w:val="2"/>
            <w:tcBorders>
              <w:top w:val="nil"/>
              <w:left w:val="nil"/>
              <w:bottom w:val="nil"/>
              <w:right w:val="nil"/>
            </w:tcBorders>
          </w:tcPr>
          <w:p w14:paraId="6016EED9"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Cambio climático</w:t>
            </w:r>
          </w:p>
        </w:tc>
        <w:tc>
          <w:tcPr>
            <w:tcW w:w="1140" w:type="dxa"/>
            <w:tcBorders>
              <w:top w:val="nil"/>
              <w:left w:val="nil"/>
              <w:bottom w:val="nil"/>
              <w:right w:val="nil"/>
            </w:tcBorders>
          </w:tcPr>
          <w:p w14:paraId="6AD5D6F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51</w:t>
            </w:r>
          </w:p>
        </w:tc>
        <w:tc>
          <w:tcPr>
            <w:tcW w:w="1005" w:type="dxa"/>
            <w:tcBorders>
              <w:top w:val="nil"/>
              <w:left w:val="nil"/>
              <w:bottom w:val="nil"/>
              <w:right w:val="nil"/>
            </w:tcBorders>
          </w:tcPr>
          <w:p w14:paraId="28A5B826"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7896569A"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(22)</w:t>
            </w:r>
          </w:p>
        </w:tc>
        <w:tc>
          <w:tcPr>
            <w:tcW w:w="1005" w:type="dxa"/>
            <w:tcBorders>
              <w:top w:val="nil"/>
              <w:left w:val="nil"/>
              <w:bottom w:val="nil"/>
              <w:right w:val="nil"/>
            </w:tcBorders>
          </w:tcPr>
          <w:p w14:paraId="3A85591E"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28B8A173"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28</w:t>
            </w:r>
          </w:p>
        </w:tc>
      </w:tr>
      <w:tr w:rsidR="00E00878" w:rsidRPr="00F53E25" w14:paraId="188363FF" w14:textId="77777777" w:rsidTr="0076398C">
        <w:tc>
          <w:tcPr>
            <w:tcW w:w="1306" w:type="dxa"/>
            <w:tcBorders>
              <w:top w:val="nil"/>
              <w:left w:val="nil"/>
              <w:bottom w:val="nil"/>
              <w:right w:val="nil"/>
            </w:tcBorders>
          </w:tcPr>
          <w:p w14:paraId="5300A933"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R101007</w:t>
            </w:r>
          </w:p>
        </w:tc>
        <w:tc>
          <w:tcPr>
            <w:tcW w:w="3084" w:type="dxa"/>
            <w:gridSpan w:val="2"/>
            <w:tcBorders>
              <w:top w:val="nil"/>
              <w:left w:val="nil"/>
              <w:bottom w:val="nil"/>
              <w:right w:val="nil"/>
            </w:tcBorders>
          </w:tcPr>
          <w:p w14:paraId="5B67E709"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Turberas tropicales</w:t>
            </w:r>
          </w:p>
        </w:tc>
        <w:tc>
          <w:tcPr>
            <w:tcW w:w="1140" w:type="dxa"/>
            <w:tcBorders>
              <w:top w:val="nil"/>
              <w:left w:val="nil"/>
              <w:bottom w:val="nil"/>
              <w:right w:val="nil"/>
            </w:tcBorders>
          </w:tcPr>
          <w:p w14:paraId="3C17387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65</w:t>
            </w:r>
          </w:p>
        </w:tc>
        <w:tc>
          <w:tcPr>
            <w:tcW w:w="1005" w:type="dxa"/>
            <w:tcBorders>
              <w:top w:val="nil"/>
              <w:left w:val="nil"/>
              <w:bottom w:val="nil"/>
              <w:right w:val="nil"/>
            </w:tcBorders>
          </w:tcPr>
          <w:p w14:paraId="61DEBC5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38EB765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(12)</w:t>
            </w:r>
          </w:p>
        </w:tc>
        <w:tc>
          <w:tcPr>
            <w:tcW w:w="1005" w:type="dxa"/>
            <w:tcBorders>
              <w:top w:val="nil"/>
              <w:left w:val="nil"/>
              <w:bottom w:val="nil"/>
              <w:right w:val="nil"/>
            </w:tcBorders>
          </w:tcPr>
          <w:p w14:paraId="3C28F98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0AF9497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53</w:t>
            </w:r>
          </w:p>
        </w:tc>
      </w:tr>
      <w:tr w:rsidR="00E00878" w:rsidRPr="00F53E25" w14:paraId="65A7EF2C" w14:textId="77777777" w:rsidTr="0076398C">
        <w:tc>
          <w:tcPr>
            <w:tcW w:w="1306" w:type="dxa"/>
            <w:tcBorders>
              <w:top w:val="nil"/>
              <w:left w:val="nil"/>
              <w:bottom w:val="nil"/>
              <w:right w:val="nil"/>
            </w:tcBorders>
          </w:tcPr>
          <w:p w14:paraId="039FEF5A"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R101108</w:t>
            </w:r>
          </w:p>
        </w:tc>
        <w:tc>
          <w:tcPr>
            <w:tcW w:w="3084" w:type="dxa"/>
            <w:gridSpan w:val="2"/>
            <w:tcBorders>
              <w:top w:val="nil"/>
              <w:left w:val="nil"/>
              <w:bottom w:val="nil"/>
              <w:right w:val="nil"/>
            </w:tcBorders>
          </w:tcPr>
          <w:p w14:paraId="29AE0EA3" w14:textId="045B6EAE"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 xml:space="preserve">50º </w:t>
            </w:r>
            <w:r w:rsidR="007F3AAE" w:rsidRPr="00F53E25">
              <w:rPr>
                <w:rFonts w:eastAsiaTheme="minorHAnsi" w:cs="Calibri"/>
                <w:color w:val="000000"/>
                <w:sz w:val="20"/>
                <w:szCs w:val="20"/>
              </w:rPr>
              <w:t>a</w:t>
            </w:r>
            <w:r w:rsidRPr="00F53E25">
              <w:rPr>
                <w:rFonts w:eastAsiaTheme="minorHAnsi" w:cs="Calibri"/>
                <w:color w:val="000000"/>
                <w:sz w:val="20"/>
                <w:szCs w:val="20"/>
              </w:rPr>
              <w:t>niversario de Ramsar 2021</w:t>
            </w:r>
          </w:p>
        </w:tc>
        <w:tc>
          <w:tcPr>
            <w:tcW w:w="1140" w:type="dxa"/>
            <w:tcBorders>
              <w:top w:val="nil"/>
              <w:left w:val="nil"/>
              <w:bottom w:val="single" w:sz="12" w:space="0" w:color="auto"/>
              <w:right w:val="nil"/>
            </w:tcBorders>
          </w:tcPr>
          <w:p w14:paraId="15744CDF"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single" w:sz="12" w:space="0" w:color="auto"/>
              <w:right w:val="nil"/>
            </w:tcBorders>
          </w:tcPr>
          <w:p w14:paraId="29B5CFB2"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16</w:t>
            </w:r>
          </w:p>
        </w:tc>
        <w:tc>
          <w:tcPr>
            <w:tcW w:w="1006" w:type="dxa"/>
            <w:tcBorders>
              <w:top w:val="nil"/>
              <w:left w:val="nil"/>
              <w:bottom w:val="single" w:sz="12" w:space="0" w:color="auto"/>
              <w:right w:val="nil"/>
            </w:tcBorders>
          </w:tcPr>
          <w:p w14:paraId="3EED9A7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single" w:sz="12" w:space="0" w:color="auto"/>
              <w:right w:val="nil"/>
            </w:tcBorders>
          </w:tcPr>
          <w:p w14:paraId="3C4C511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single" w:sz="12" w:space="0" w:color="auto"/>
              <w:right w:val="nil"/>
            </w:tcBorders>
          </w:tcPr>
          <w:p w14:paraId="56CF316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16</w:t>
            </w:r>
          </w:p>
        </w:tc>
      </w:tr>
      <w:tr w:rsidR="00E00878" w:rsidRPr="00F53E25" w14:paraId="1B04FC05" w14:textId="77777777" w:rsidTr="0076398C">
        <w:tc>
          <w:tcPr>
            <w:tcW w:w="1306" w:type="dxa"/>
            <w:tcBorders>
              <w:top w:val="single" w:sz="12" w:space="0" w:color="auto"/>
              <w:left w:val="nil"/>
              <w:bottom w:val="single" w:sz="12" w:space="0" w:color="auto"/>
              <w:right w:val="nil"/>
            </w:tcBorders>
            <w:shd w:val="clear" w:color="auto" w:fill="EAF1DD" w:themeFill="accent3" w:themeFillTint="33"/>
          </w:tcPr>
          <w:p w14:paraId="768F5D3F" w14:textId="77777777" w:rsidR="00E00878" w:rsidRPr="00F53E25" w:rsidRDefault="00E00878" w:rsidP="0076398C">
            <w:pPr>
              <w:autoSpaceDE w:val="0"/>
              <w:autoSpaceDN w:val="0"/>
              <w:adjustRightInd w:val="0"/>
              <w:ind w:left="0" w:firstLine="0"/>
              <w:rPr>
                <w:rFonts w:eastAsiaTheme="minorHAnsi" w:cs="Calibri"/>
                <w:b/>
                <w:bCs/>
                <w:color w:val="000000"/>
                <w:sz w:val="20"/>
                <w:szCs w:val="20"/>
              </w:rPr>
            </w:pPr>
            <w:r w:rsidRPr="00F53E25">
              <w:rPr>
                <w:rFonts w:eastAsiaTheme="minorHAnsi" w:cs="Calibri"/>
                <w:b/>
                <w:bCs/>
                <w:color w:val="000000"/>
                <w:sz w:val="20"/>
                <w:szCs w:val="20"/>
              </w:rPr>
              <w:t>Total, Otros</w:t>
            </w:r>
          </w:p>
        </w:tc>
        <w:tc>
          <w:tcPr>
            <w:tcW w:w="3084" w:type="dxa"/>
            <w:gridSpan w:val="2"/>
            <w:tcBorders>
              <w:top w:val="single" w:sz="12" w:space="0" w:color="auto"/>
              <w:left w:val="nil"/>
              <w:bottom w:val="single" w:sz="12" w:space="0" w:color="auto"/>
              <w:right w:val="nil"/>
            </w:tcBorders>
            <w:shd w:val="clear" w:color="auto" w:fill="EAF1DD" w:themeFill="accent3" w:themeFillTint="33"/>
          </w:tcPr>
          <w:p w14:paraId="74F93A29"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p>
        </w:tc>
        <w:tc>
          <w:tcPr>
            <w:tcW w:w="1140" w:type="dxa"/>
            <w:tcBorders>
              <w:top w:val="nil"/>
              <w:left w:val="nil"/>
              <w:bottom w:val="single" w:sz="12" w:space="0" w:color="auto"/>
              <w:right w:val="nil"/>
            </w:tcBorders>
            <w:shd w:val="clear" w:color="auto" w:fill="EAF1DD" w:themeFill="accent3" w:themeFillTint="33"/>
          </w:tcPr>
          <w:p w14:paraId="183935E7" w14:textId="3D99808C"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w:t>
            </w:r>
            <w:r w:rsidR="00B90FB6" w:rsidRPr="00F53E25">
              <w:rPr>
                <w:rFonts w:eastAsiaTheme="minorHAnsi" w:cs="Calibri"/>
                <w:b/>
                <w:bCs/>
                <w:color w:val="000000"/>
                <w:sz w:val="20"/>
                <w:szCs w:val="20"/>
              </w:rPr>
              <w:t xml:space="preserve"> </w:t>
            </w:r>
            <w:r w:rsidRPr="00F53E25">
              <w:rPr>
                <w:rFonts w:eastAsiaTheme="minorHAnsi" w:cs="Calibri"/>
                <w:b/>
                <w:bCs/>
                <w:color w:val="000000"/>
                <w:sz w:val="20"/>
                <w:szCs w:val="20"/>
              </w:rPr>
              <w:t>189</w:t>
            </w:r>
          </w:p>
        </w:tc>
        <w:tc>
          <w:tcPr>
            <w:tcW w:w="1005" w:type="dxa"/>
            <w:tcBorders>
              <w:top w:val="nil"/>
              <w:left w:val="nil"/>
              <w:bottom w:val="single" w:sz="12" w:space="0" w:color="auto"/>
              <w:right w:val="nil"/>
            </w:tcBorders>
            <w:shd w:val="clear" w:color="auto" w:fill="EAF1DD" w:themeFill="accent3" w:themeFillTint="33"/>
          </w:tcPr>
          <w:p w14:paraId="65D58DE5"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16</w:t>
            </w:r>
          </w:p>
        </w:tc>
        <w:tc>
          <w:tcPr>
            <w:tcW w:w="1006" w:type="dxa"/>
            <w:tcBorders>
              <w:top w:val="single" w:sz="12" w:space="0" w:color="auto"/>
              <w:left w:val="nil"/>
              <w:bottom w:val="single" w:sz="12" w:space="0" w:color="auto"/>
              <w:right w:val="nil"/>
            </w:tcBorders>
            <w:shd w:val="clear" w:color="auto" w:fill="EAF1DD" w:themeFill="accent3" w:themeFillTint="33"/>
          </w:tcPr>
          <w:p w14:paraId="4CB1861F"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(142)</w:t>
            </w:r>
          </w:p>
        </w:tc>
        <w:tc>
          <w:tcPr>
            <w:tcW w:w="1005" w:type="dxa"/>
            <w:tcBorders>
              <w:top w:val="single" w:sz="12" w:space="0" w:color="auto"/>
              <w:left w:val="nil"/>
              <w:bottom w:val="single" w:sz="12" w:space="0" w:color="auto"/>
              <w:right w:val="nil"/>
            </w:tcBorders>
            <w:shd w:val="clear" w:color="auto" w:fill="EAF1DD" w:themeFill="accent3" w:themeFillTint="33"/>
          </w:tcPr>
          <w:p w14:paraId="51733DBC"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13</w:t>
            </w:r>
          </w:p>
        </w:tc>
        <w:tc>
          <w:tcPr>
            <w:tcW w:w="1030" w:type="dxa"/>
            <w:tcBorders>
              <w:top w:val="single" w:sz="12" w:space="0" w:color="auto"/>
              <w:left w:val="nil"/>
              <w:bottom w:val="single" w:sz="12" w:space="0" w:color="auto"/>
              <w:right w:val="nil"/>
            </w:tcBorders>
            <w:shd w:val="clear" w:color="auto" w:fill="EAF1DD" w:themeFill="accent3" w:themeFillTint="33"/>
          </w:tcPr>
          <w:p w14:paraId="4D143368" w14:textId="6EB1D65A"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w:t>
            </w:r>
            <w:r w:rsidR="00B90FB6" w:rsidRPr="00F53E25">
              <w:rPr>
                <w:rFonts w:eastAsiaTheme="minorHAnsi" w:cs="Calibri"/>
                <w:b/>
                <w:bCs/>
                <w:color w:val="000000"/>
                <w:sz w:val="20"/>
                <w:szCs w:val="20"/>
              </w:rPr>
              <w:t xml:space="preserve"> </w:t>
            </w:r>
            <w:r w:rsidRPr="00F53E25">
              <w:rPr>
                <w:rFonts w:eastAsiaTheme="minorHAnsi" w:cs="Calibri"/>
                <w:b/>
                <w:bCs/>
                <w:color w:val="000000"/>
                <w:sz w:val="20"/>
                <w:szCs w:val="20"/>
              </w:rPr>
              <w:t>076</w:t>
            </w:r>
          </w:p>
        </w:tc>
      </w:tr>
      <w:tr w:rsidR="00E00878" w:rsidRPr="00F53E25" w14:paraId="74A7A7DC" w14:textId="77777777" w:rsidTr="0076398C">
        <w:tc>
          <w:tcPr>
            <w:tcW w:w="1306" w:type="dxa"/>
            <w:tcBorders>
              <w:top w:val="nil"/>
              <w:left w:val="nil"/>
              <w:bottom w:val="nil"/>
              <w:right w:val="nil"/>
            </w:tcBorders>
          </w:tcPr>
          <w:p w14:paraId="2944FA20"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nil"/>
              <w:right w:val="nil"/>
            </w:tcBorders>
          </w:tcPr>
          <w:p w14:paraId="563C5AD7"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6475D34E"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17383214"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nil"/>
              <w:right w:val="nil"/>
            </w:tcBorders>
          </w:tcPr>
          <w:p w14:paraId="61E5DB77" w14:textId="77777777" w:rsidR="00E00878" w:rsidRPr="00F53E25" w:rsidRDefault="00E00878" w:rsidP="0076398C">
            <w:pPr>
              <w:autoSpaceDE w:val="0"/>
              <w:autoSpaceDN w:val="0"/>
              <w:adjustRightInd w:val="0"/>
              <w:ind w:left="0" w:firstLine="0"/>
              <w:jc w:val="right"/>
              <w:rPr>
                <w:rFonts w:ascii="Arial" w:eastAsiaTheme="minorHAnsi" w:hAnsi="Arial" w:cs="Arial"/>
                <w:color w:val="000000"/>
                <w:sz w:val="20"/>
                <w:szCs w:val="20"/>
              </w:rPr>
            </w:pPr>
          </w:p>
        </w:tc>
        <w:tc>
          <w:tcPr>
            <w:tcW w:w="1005" w:type="dxa"/>
            <w:tcBorders>
              <w:top w:val="single" w:sz="12" w:space="0" w:color="auto"/>
              <w:left w:val="nil"/>
              <w:bottom w:val="nil"/>
              <w:right w:val="nil"/>
            </w:tcBorders>
          </w:tcPr>
          <w:p w14:paraId="4A2158E5"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7C5C1BE9" w14:textId="77777777" w:rsidR="00E00878" w:rsidRPr="00F53E25" w:rsidRDefault="00E00878" w:rsidP="0076398C">
            <w:pPr>
              <w:autoSpaceDE w:val="0"/>
              <w:autoSpaceDN w:val="0"/>
              <w:adjustRightInd w:val="0"/>
              <w:ind w:left="0" w:firstLine="0"/>
              <w:jc w:val="right"/>
              <w:rPr>
                <w:rFonts w:ascii="Arial" w:eastAsiaTheme="minorHAnsi" w:hAnsi="Arial" w:cs="Arial"/>
                <w:color w:val="000000"/>
                <w:sz w:val="20"/>
                <w:szCs w:val="20"/>
              </w:rPr>
            </w:pPr>
          </w:p>
        </w:tc>
      </w:tr>
      <w:tr w:rsidR="00E00878" w:rsidRPr="00F53E25" w14:paraId="22D3BB7F" w14:textId="77777777" w:rsidTr="0076398C">
        <w:tc>
          <w:tcPr>
            <w:tcW w:w="2015" w:type="dxa"/>
            <w:gridSpan w:val="2"/>
            <w:tcBorders>
              <w:top w:val="nil"/>
              <w:left w:val="nil"/>
              <w:bottom w:val="nil"/>
              <w:right w:val="nil"/>
            </w:tcBorders>
          </w:tcPr>
          <w:p w14:paraId="5EDFAA9E" w14:textId="77777777" w:rsidR="00E00878" w:rsidRPr="00F53E25" w:rsidRDefault="00E00878" w:rsidP="0076398C">
            <w:pPr>
              <w:autoSpaceDE w:val="0"/>
              <w:autoSpaceDN w:val="0"/>
              <w:adjustRightInd w:val="0"/>
              <w:ind w:left="0" w:firstLine="0"/>
              <w:rPr>
                <w:rFonts w:eastAsiaTheme="minorHAnsi" w:cs="Calibri"/>
                <w:b/>
                <w:bCs/>
                <w:color w:val="000000"/>
                <w:sz w:val="20"/>
                <w:szCs w:val="20"/>
                <w:u w:val="single"/>
              </w:rPr>
            </w:pPr>
            <w:r w:rsidRPr="00F53E25">
              <w:rPr>
                <w:rFonts w:eastAsiaTheme="minorHAnsi" w:cs="Calibri"/>
                <w:b/>
                <w:bCs/>
                <w:color w:val="000000"/>
                <w:sz w:val="20"/>
                <w:szCs w:val="20"/>
                <w:u w:val="single"/>
              </w:rPr>
              <w:t>Iniciativas regionales</w:t>
            </w:r>
          </w:p>
        </w:tc>
        <w:tc>
          <w:tcPr>
            <w:tcW w:w="2375" w:type="dxa"/>
            <w:tcBorders>
              <w:top w:val="nil"/>
              <w:left w:val="nil"/>
              <w:bottom w:val="nil"/>
              <w:right w:val="nil"/>
            </w:tcBorders>
          </w:tcPr>
          <w:p w14:paraId="45A14770"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u w:val="single"/>
              </w:rPr>
            </w:pPr>
          </w:p>
        </w:tc>
        <w:tc>
          <w:tcPr>
            <w:tcW w:w="1140" w:type="dxa"/>
            <w:tcBorders>
              <w:top w:val="nil"/>
              <w:left w:val="nil"/>
              <w:bottom w:val="nil"/>
              <w:right w:val="nil"/>
            </w:tcBorders>
          </w:tcPr>
          <w:p w14:paraId="573E7DEF"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13722965"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1DAACCED"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3C8473A5"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405548B9"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0861C9A2" w14:textId="77777777" w:rsidTr="0076398C">
        <w:tc>
          <w:tcPr>
            <w:tcW w:w="1306" w:type="dxa"/>
            <w:tcBorders>
              <w:top w:val="nil"/>
              <w:left w:val="nil"/>
              <w:bottom w:val="nil"/>
              <w:right w:val="nil"/>
            </w:tcBorders>
          </w:tcPr>
          <w:p w14:paraId="2FCCCC42"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t>R100146</w:t>
            </w:r>
          </w:p>
        </w:tc>
        <w:tc>
          <w:tcPr>
            <w:tcW w:w="3084" w:type="dxa"/>
            <w:gridSpan w:val="2"/>
            <w:tcBorders>
              <w:top w:val="nil"/>
              <w:left w:val="nil"/>
              <w:bottom w:val="nil"/>
              <w:right w:val="nil"/>
            </w:tcBorders>
          </w:tcPr>
          <w:p w14:paraId="5EC4C0A3" w14:textId="77777777" w:rsidR="00E00878" w:rsidRPr="00F53E25" w:rsidRDefault="00E00878" w:rsidP="0076398C">
            <w:pPr>
              <w:autoSpaceDE w:val="0"/>
              <w:autoSpaceDN w:val="0"/>
              <w:adjustRightInd w:val="0"/>
              <w:ind w:left="0" w:firstLine="0"/>
              <w:rPr>
                <w:rFonts w:eastAsiaTheme="minorHAnsi" w:cs="Calibri"/>
                <w:color w:val="000000" w:themeColor="text1"/>
                <w:sz w:val="20"/>
                <w:szCs w:val="20"/>
              </w:rPr>
            </w:pPr>
            <w:r w:rsidRPr="00F53E25">
              <w:rPr>
                <w:rFonts w:eastAsiaTheme="minorHAnsi" w:cs="Calibri"/>
                <w:color w:val="000000" w:themeColor="text1"/>
                <w:sz w:val="20"/>
                <w:szCs w:val="20"/>
              </w:rPr>
              <w:t>Humedales del Caribe</w:t>
            </w:r>
          </w:p>
        </w:tc>
        <w:tc>
          <w:tcPr>
            <w:tcW w:w="1140" w:type="dxa"/>
            <w:tcBorders>
              <w:top w:val="nil"/>
              <w:left w:val="nil"/>
              <w:bottom w:val="nil"/>
              <w:right w:val="nil"/>
            </w:tcBorders>
          </w:tcPr>
          <w:p w14:paraId="3D1F240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5" w:type="dxa"/>
            <w:tcBorders>
              <w:top w:val="nil"/>
              <w:left w:val="nil"/>
              <w:bottom w:val="nil"/>
              <w:right w:val="nil"/>
            </w:tcBorders>
          </w:tcPr>
          <w:p w14:paraId="6EB6E3B5"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06" w:type="dxa"/>
            <w:tcBorders>
              <w:top w:val="nil"/>
              <w:left w:val="nil"/>
              <w:bottom w:val="nil"/>
              <w:right w:val="nil"/>
            </w:tcBorders>
          </w:tcPr>
          <w:p w14:paraId="794A808D"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w:t>
            </w:r>
          </w:p>
        </w:tc>
        <w:tc>
          <w:tcPr>
            <w:tcW w:w="1005" w:type="dxa"/>
            <w:tcBorders>
              <w:top w:val="nil"/>
              <w:left w:val="nil"/>
              <w:bottom w:val="nil"/>
              <w:right w:val="nil"/>
            </w:tcBorders>
          </w:tcPr>
          <w:p w14:paraId="3A328D58"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40654701"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(2)</w:t>
            </w:r>
          </w:p>
        </w:tc>
      </w:tr>
      <w:tr w:rsidR="00E00878" w:rsidRPr="00F53E25" w14:paraId="28749660" w14:textId="77777777" w:rsidTr="0076398C">
        <w:tc>
          <w:tcPr>
            <w:tcW w:w="1306" w:type="dxa"/>
            <w:tcBorders>
              <w:top w:val="nil"/>
              <w:left w:val="nil"/>
              <w:bottom w:val="nil"/>
              <w:right w:val="nil"/>
            </w:tcBorders>
          </w:tcPr>
          <w:p w14:paraId="2A80FE48" w14:textId="77777777" w:rsidR="00E00878" w:rsidRPr="00F53E25" w:rsidRDefault="00E00878" w:rsidP="0076398C">
            <w:pPr>
              <w:autoSpaceDE w:val="0"/>
              <w:autoSpaceDN w:val="0"/>
              <w:adjustRightInd w:val="0"/>
              <w:ind w:left="0" w:firstLine="0"/>
              <w:rPr>
                <w:rFonts w:eastAsiaTheme="minorHAnsi" w:cs="Calibri"/>
                <w:color w:val="000000"/>
                <w:sz w:val="20"/>
                <w:szCs w:val="20"/>
              </w:rPr>
            </w:pPr>
            <w:r w:rsidRPr="00F53E25">
              <w:rPr>
                <w:rFonts w:eastAsiaTheme="minorHAnsi" w:cs="Calibri"/>
                <w:color w:val="000000"/>
                <w:sz w:val="20"/>
                <w:szCs w:val="20"/>
              </w:rPr>
              <w:lastRenderedPageBreak/>
              <w:t>R100200</w:t>
            </w:r>
          </w:p>
        </w:tc>
        <w:tc>
          <w:tcPr>
            <w:tcW w:w="3084" w:type="dxa"/>
            <w:gridSpan w:val="2"/>
            <w:tcBorders>
              <w:top w:val="nil"/>
              <w:left w:val="nil"/>
              <w:bottom w:val="nil"/>
              <w:right w:val="nil"/>
            </w:tcBorders>
          </w:tcPr>
          <w:p w14:paraId="31A7CD00" w14:textId="382C6934" w:rsidR="00E00878" w:rsidRPr="00F53E25" w:rsidRDefault="00B90FB6" w:rsidP="0076398C">
            <w:pPr>
              <w:autoSpaceDE w:val="0"/>
              <w:autoSpaceDN w:val="0"/>
              <w:adjustRightInd w:val="0"/>
              <w:ind w:left="0" w:firstLine="0"/>
              <w:rPr>
                <w:rFonts w:eastAsiaTheme="minorHAnsi" w:cs="Calibri"/>
                <w:color w:val="000000" w:themeColor="text1"/>
                <w:sz w:val="20"/>
                <w:szCs w:val="20"/>
              </w:rPr>
            </w:pPr>
            <w:r w:rsidRPr="00F53E25">
              <w:rPr>
                <w:rFonts w:eastAsiaTheme="minorHAnsi" w:cs="Calibri"/>
                <w:color w:val="000000" w:themeColor="text1"/>
                <w:sz w:val="20"/>
                <w:szCs w:val="20"/>
              </w:rPr>
              <w:t>Contribuciones voluntarias africanas</w:t>
            </w:r>
            <w:r w:rsidR="00E00878" w:rsidRPr="00F53E25">
              <w:rPr>
                <w:rFonts w:eastAsiaTheme="minorHAnsi" w:cs="Calibri"/>
                <w:color w:val="000000" w:themeColor="text1"/>
                <w:sz w:val="20"/>
                <w:szCs w:val="20"/>
              </w:rPr>
              <w:t>, iniciativas regionales africanas</w:t>
            </w:r>
          </w:p>
        </w:tc>
        <w:tc>
          <w:tcPr>
            <w:tcW w:w="1140" w:type="dxa"/>
            <w:tcBorders>
              <w:top w:val="nil"/>
              <w:left w:val="nil"/>
              <w:bottom w:val="single" w:sz="12" w:space="0" w:color="auto"/>
              <w:right w:val="nil"/>
            </w:tcBorders>
          </w:tcPr>
          <w:p w14:paraId="0D703F5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93</w:t>
            </w:r>
          </w:p>
        </w:tc>
        <w:tc>
          <w:tcPr>
            <w:tcW w:w="1005" w:type="dxa"/>
            <w:tcBorders>
              <w:top w:val="nil"/>
              <w:left w:val="nil"/>
              <w:bottom w:val="single" w:sz="12" w:space="0" w:color="auto"/>
              <w:right w:val="nil"/>
            </w:tcBorders>
          </w:tcPr>
          <w:p w14:paraId="263B7567"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12</w:t>
            </w:r>
          </w:p>
        </w:tc>
        <w:tc>
          <w:tcPr>
            <w:tcW w:w="1006" w:type="dxa"/>
            <w:tcBorders>
              <w:top w:val="nil"/>
              <w:left w:val="nil"/>
              <w:bottom w:val="single" w:sz="12" w:space="0" w:color="auto"/>
              <w:right w:val="nil"/>
            </w:tcBorders>
          </w:tcPr>
          <w:p w14:paraId="5213C71C"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(37)</w:t>
            </w:r>
          </w:p>
        </w:tc>
        <w:tc>
          <w:tcPr>
            <w:tcW w:w="1005" w:type="dxa"/>
            <w:tcBorders>
              <w:top w:val="nil"/>
              <w:left w:val="nil"/>
              <w:bottom w:val="single" w:sz="12" w:space="0" w:color="auto"/>
              <w:right w:val="nil"/>
            </w:tcBorders>
          </w:tcPr>
          <w:p w14:paraId="5BCA5D14"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w:t>
            </w:r>
          </w:p>
        </w:tc>
        <w:tc>
          <w:tcPr>
            <w:tcW w:w="1030" w:type="dxa"/>
            <w:tcBorders>
              <w:top w:val="nil"/>
              <w:left w:val="nil"/>
              <w:bottom w:val="nil"/>
              <w:right w:val="nil"/>
            </w:tcBorders>
          </w:tcPr>
          <w:p w14:paraId="7D61B548" w14:textId="77777777" w:rsidR="00E00878" w:rsidRPr="00F53E25" w:rsidRDefault="00E00878" w:rsidP="0076398C">
            <w:pPr>
              <w:autoSpaceDE w:val="0"/>
              <w:autoSpaceDN w:val="0"/>
              <w:adjustRightInd w:val="0"/>
              <w:ind w:left="0" w:firstLine="0"/>
              <w:jc w:val="right"/>
              <w:rPr>
                <w:rFonts w:eastAsiaTheme="minorHAnsi" w:cs="Calibri"/>
                <w:color w:val="000000"/>
                <w:sz w:val="20"/>
                <w:szCs w:val="20"/>
              </w:rPr>
            </w:pPr>
            <w:r w:rsidRPr="00F53E25">
              <w:rPr>
                <w:rFonts w:eastAsiaTheme="minorHAnsi" w:cs="Calibri"/>
                <w:color w:val="000000"/>
                <w:sz w:val="20"/>
                <w:szCs w:val="20"/>
              </w:rPr>
              <w:t>68</w:t>
            </w:r>
          </w:p>
        </w:tc>
      </w:tr>
      <w:tr w:rsidR="00E00878" w:rsidRPr="00F53E25" w14:paraId="1CAACBF6" w14:textId="77777777" w:rsidTr="0076398C">
        <w:tc>
          <w:tcPr>
            <w:tcW w:w="4390" w:type="dxa"/>
            <w:gridSpan w:val="3"/>
            <w:tcBorders>
              <w:top w:val="single" w:sz="12" w:space="0" w:color="auto"/>
              <w:left w:val="nil"/>
              <w:bottom w:val="single" w:sz="12" w:space="0" w:color="auto"/>
              <w:right w:val="nil"/>
            </w:tcBorders>
            <w:shd w:val="clear" w:color="auto" w:fill="EAF1DD" w:themeFill="accent3" w:themeFillTint="33"/>
          </w:tcPr>
          <w:p w14:paraId="1BB9A73C" w14:textId="77777777" w:rsidR="00E00878" w:rsidRPr="00F53E25" w:rsidRDefault="00E00878" w:rsidP="0076398C">
            <w:pPr>
              <w:autoSpaceDE w:val="0"/>
              <w:autoSpaceDN w:val="0"/>
              <w:adjustRightInd w:val="0"/>
              <w:ind w:left="0" w:firstLine="0"/>
              <w:rPr>
                <w:rFonts w:eastAsiaTheme="minorHAnsi" w:cs="Calibri"/>
                <w:b/>
                <w:bCs/>
                <w:color w:val="000000"/>
                <w:sz w:val="20"/>
                <w:szCs w:val="20"/>
              </w:rPr>
            </w:pPr>
            <w:r w:rsidRPr="00F53E25">
              <w:rPr>
                <w:rFonts w:eastAsiaTheme="minorHAnsi" w:cs="Calibri"/>
                <w:b/>
                <w:bCs/>
                <w:color w:val="000000"/>
                <w:sz w:val="20"/>
                <w:szCs w:val="20"/>
              </w:rPr>
              <w:t>Total, iniciativas regionales</w:t>
            </w:r>
          </w:p>
        </w:tc>
        <w:tc>
          <w:tcPr>
            <w:tcW w:w="1140" w:type="dxa"/>
            <w:tcBorders>
              <w:top w:val="nil"/>
              <w:left w:val="nil"/>
              <w:bottom w:val="single" w:sz="12" w:space="0" w:color="auto"/>
              <w:right w:val="nil"/>
            </w:tcBorders>
            <w:shd w:val="clear" w:color="auto" w:fill="EAF1DD" w:themeFill="accent3" w:themeFillTint="33"/>
          </w:tcPr>
          <w:p w14:paraId="3C5171C7"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93</w:t>
            </w:r>
          </w:p>
        </w:tc>
        <w:tc>
          <w:tcPr>
            <w:tcW w:w="1005" w:type="dxa"/>
            <w:tcBorders>
              <w:top w:val="nil"/>
              <w:left w:val="nil"/>
              <w:bottom w:val="single" w:sz="12" w:space="0" w:color="auto"/>
              <w:right w:val="nil"/>
            </w:tcBorders>
            <w:shd w:val="clear" w:color="auto" w:fill="EAF1DD" w:themeFill="accent3" w:themeFillTint="33"/>
          </w:tcPr>
          <w:p w14:paraId="1B86B5FD"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12</w:t>
            </w:r>
          </w:p>
        </w:tc>
        <w:tc>
          <w:tcPr>
            <w:tcW w:w="1006" w:type="dxa"/>
            <w:tcBorders>
              <w:top w:val="nil"/>
              <w:left w:val="nil"/>
              <w:bottom w:val="single" w:sz="12" w:space="0" w:color="auto"/>
              <w:right w:val="nil"/>
            </w:tcBorders>
            <w:shd w:val="clear" w:color="auto" w:fill="EAF1DD" w:themeFill="accent3" w:themeFillTint="33"/>
          </w:tcPr>
          <w:p w14:paraId="1A006475"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(38)</w:t>
            </w:r>
          </w:p>
        </w:tc>
        <w:tc>
          <w:tcPr>
            <w:tcW w:w="1005" w:type="dxa"/>
            <w:tcBorders>
              <w:top w:val="nil"/>
              <w:left w:val="nil"/>
              <w:bottom w:val="single" w:sz="12" w:space="0" w:color="auto"/>
              <w:right w:val="nil"/>
            </w:tcBorders>
            <w:shd w:val="clear" w:color="auto" w:fill="EAF1DD" w:themeFill="accent3" w:themeFillTint="33"/>
          </w:tcPr>
          <w:p w14:paraId="1C1AA32A"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w:t>
            </w:r>
          </w:p>
        </w:tc>
        <w:tc>
          <w:tcPr>
            <w:tcW w:w="1030" w:type="dxa"/>
            <w:tcBorders>
              <w:top w:val="single" w:sz="12" w:space="0" w:color="auto"/>
              <w:left w:val="nil"/>
              <w:bottom w:val="single" w:sz="12" w:space="0" w:color="auto"/>
              <w:right w:val="nil"/>
            </w:tcBorders>
            <w:shd w:val="clear" w:color="auto" w:fill="EAF1DD" w:themeFill="accent3" w:themeFillTint="33"/>
          </w:tcPr>
          <w:p w14:paraId="44F240BF"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66</w:t>
            </w:r>
          </w:p>
        </w:tc>
      </w:tr>
      <w:tr w:rsidR="00E00878" w:rsidRPr="00F53E25" w14:paraId="37949B5C" w14:textId="77777777" w:rsidTr="0076398C">
        <w:tc>
          <w:tcPr>
            <w:tcW w:w="1306" w:type="dxa"/>
            <w:tcBorders>
              <w:top w:val="nil"/>
              <w:left w:val="nil"/>
              <w:bottom w:val="nil"/>
              <w:right w:val="nil"/>
            </w:tcBorders>
          </w:tcPr>
          <w:p w14:paraId="5F5F5769"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nil"/>
              <w:right w:val="nil"/>
            </w:tcBorders>
          </w:tcPr>
          <w:p w14:paraId="67A93614"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618C7C6C"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658E2F4C"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double" w:sz="6" w:space="0" w:color="auto"/>
              <w:right w:val="nil"/>
            </w:tcBorders>
          </w:tcPr>
          <w:p w14:paraId="1AB95E50"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5463E586" w14:textId="77777777" w:rsidR="00E00878" w:rsidRPr="00F53E25" w:rsidRDefault="00E00878" w:rsidP="0076398C">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176923F1" w14:textId="77777777" w:rsidR="00E00878" w:rsidRPr="00F53E25" w:rsidRDefault="00E00878" w:rsidP="0076398C">
            <w:pPr>
              <w:autoSpaceDE w:val="0"/>
              <w:autoSpaceDN w:val="0"/>
              <w:adjustRightInd w:val="0"/>
              <w:ind w:left="0" w:firstLine="0"/>
              <w:jc w:val="right"/>
              <w:rPr>
                <w:rFonts w:eastAsiaTheme="minorHAnsi" w:cs="Calibri"/>
                <w:color w:val="000000"/>
              </w:rPr>
            </w:pPr>
          </w:p>
        </w:tc>
      </w:tr>
      <w:tr w:rsidR="00E00878" w:rsidRPr="00F53E25" w14:paraId="6648D0AA" w14:textId="77777777" w:rsidTr="0076398C">
        <w:tc>
          <w:tcPr>
            <w:tcW w:w="1306" w:type="dxa"/>
            <w:tcBorders>
              <w:top w:val="double" w:sz="6" w:space="0" w:color="auto"/>
              <w:left w:val="nil"/>
              <w:bottom w:val="double" w:sz="6" w:space="0" w:color="auto"/>
              <w:right w:val="nil"/>
            </w:tcBorders>
            <w:shd w:val="clear" w:color="auto" w:fill="D6E3BC" w:themeFill="accent3" w:themeFillTint="66"/>
          </w:tcPr>
          <w:p w14:paraId="5B18E4D9" w14:textId="77777777" w:rsidR="00E00878" w:rsidRPr="00F53E25" w:rsidRDefault="00E00878" w:rsidP="0076398C">
            <w:pPr>
              <w:autoSpaceDE w:val="0"/>
              <w:autoSpaceDN w:val="0"/>
              <w:adjustRightInd w:val="0"/>
              <w:ind w:left="0" w:firstLine="0"/>
              <w:rPr>
                <w:rFonts w:eastAsiaTheme="minorHAnsi" w:cs="Calibri"/>
                <w:b/>
                <w:bCs/>
                <w:color w:val="000000"/>
                <w:sz w:val="20"/>
                <w:szCs w:val="20"/>
              </w:rPr>
            </w:pPr>
            <w:r w:rsidRPr="00F53E25">
              <w:rPr>
                <w:rFonts w:eastAsiaTheme="minorHAnsi" w:cs="Calibri"/>
                <w:b/>
                <w:bCs/>
                <w:color w:val="000000"/>
                <w:sz w:val="20"/>
                <w:szCs w:val="20"/>
              </w:rPr>
              <w:t>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14:paraId="65103D29"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p>
        </w:tc>
        <w:tc>
          <w:tcPr>
            <w:tcW w:w="1140" w:type="dxa"/>
            <w:tcBorders>
              <w:top w:val="double" w:sz="6" w:space="0" w:color="auto"/>
              <w:left w:val="nil"/>
              <w:bottom w:val="double" w:sz="6" w:space="0" w:color="auto"/>
              <w:right w:val="nil"/>
            </w:tcBorders>
            <w:shd w:val="clear" w:color="auto" w:fill="D6E3BC" w:themeFill="accent3" w:themeFillTint="66"/>
          </w:tcPr>
          <w:p w14:paraId="3B07300D" w14:textId="3A1102E3"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2</w:t>
            </w:r>
            <w:r w:rsidR="00B90FB6" w:rsidRPr="00F53E25">
              <w:rPr>
                <w:rFonts w:eastAsiaTheme="minorHAnsi" w:cs="Calibri"/>
                <w:b/>
                <w:bCs/>
                <w:color w:val="000000"/>
                <w:sz w:val="20"/>
                <w:szCs w:val="20"/>
              </w:rPr>
              <w:t xml:space="preserve"> </w:t>
            </w:r>
            <w:r w:rsidRPr="00F53E25">
              <w:rPr>
                <w:rFonts w:eastAsiaTheme="minorHAnsi" w:cs="Calibri"/>
                <w:b/>
                <w:bCs/>
                <w:color w:val="000000"/>
                <w:sz w:val="20"/>
                <w:szCs w:val="20"/>
              </w:rPr>
              <w:t>073</w:t>
            </w:r>
          </w:p>
        </w:tc>
        <w:tc>
          <w:tcPr>
            <w:tcW w:w="1005" w:type="dxa"/>
            <w:tcBorders>
              <w:top w:val="double" w:sz="6" w:space="0" w:color="auto"/>
              <w:left w:val="nil"/>
              <w:bottom w:val="double" w:sz="6" w:space="0" w:color="auto"/>
              <w:right w:val="nil"/>
            </w:tcBorders>
            <w:shd w:val="clear" w:color="auto" w:fill="D6E3BC" w:themeFill="accent3" w:themeFillTint="66"/>
          </w:tcPr>
          <w:p w14:paraId="1DCB3A9E"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59</w:t>
            </w:r>
          </w:p>
        </w:tc>
        <w:tc>
          <w:tcPr>
            <w:tcW w:w="1006" w:type="dxa"/>
            <w:tcBorders>
              <w:top w:val="double" w:sz="6" w:space="0" w:color="auto"/>
              <w:left w:val="nil"/>
              <w:bottom w:val="double" w:sz="6" w:space="0" w:color="auto"/>
              <w:right w:val="nil"/>
            </w:tcBorders>
            <w:shd w:val="clear" w:color="auto" w:fill="D6E3BC" w:themeFill="accent3" w:themeFillTint="66"/>
          </w:tcPr>
          <w:p w14:paraId="18947559"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(256)</w:t>
            </w:r>
          </w:p>
        </w:tc>
        <w:tc>
          <w:tcPr>
            <w:tcW w:w="1005" w:type="dxa"/>
            <w:tcBorders>
              <w:top w:val="double" w:sz="6" w:space="0" w:color="auto"/>
              <w:left w:val="nil"/>
              <w:bottom w:val="double" w:sz="6" w:space="0" w:color="auto"/>
              <w:right w:val="nil"/>
            </w:tcBorders>
            <w:shd w:val="clear" w:color="auto" w:fill="D6E3BC" w:themeFill="accent3" w:themeFillTint="66"/>
          </w:tcPr>
          <w:p w14:paraId="1266A8C8" w14:textId="77777777"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w:t>
            </w:r>
          </w:p>
        </w:tc>
        <w:tc>
          <w:tcPr>
            <w:tcW w:w="1030" w:type="dxa"/>
            <w:tcBorders>
              <w:top w:val="double" w:sz="6" w:space="0" w:color="auto"/>
              <w:left w:val="nil"/>
              <w:bottom w:val="double" w:sz="6" w:space="0" w:color="auto"/>
              <w:right w:val="nil"/>
            </w:tcBorders>
            <w:shd w:val="clear" w:color="auto" w:fill="D6E3BC" w:themeFill="accent3" w:themeFillTint="66"/>
          </w:tcPr>
          <w:p w14:paraId="0765C525" w14:textId="12AB883D" w:rsidR="00E00878" w:rsidRPr="00F53E25" w:rsidRDefault="00E00878" w:rsidP="0076398C">
            <w:pPr>
              <w:autoSpaceDE w:val="0"/>
              <w:autoSpaceDN w:val="0"/>
              <w:adjustRightInd w:val="0"/>
              <w:ind w:left="0" w:firstLine="0"/>
              <w:jc w:val="right"/>
              <w:rPr>
                <w:rFonts w:eastAsiaTheme="minorHAnsi" w:cs="Calibri"/>
                <w:b/>
                <w:bCs/>
                <w:color w:val="000000"/>
                <w:sz w:val="20"/>
                <w:szCs w:val="20"/>
              </w:rPr>
            </w:pPr>
            <w:r w:rsidRPr="00F53E25">
              <w:rPr>
                <w:rFonts w:eastAsiaTheme="minorHAnsi" w:cs="Calibri"/>
                <w:b/>
                <w:bCs/>
                <w:color w:val="000000"/>
                <w:sz w:val="20"/>
                <w:szCs w:val="20"/>
              </w:rPr>
              <w:t>1</w:t>
            </w:r>
            <w:r w:rsidR="00B90FB6" w:rsidRPr="00F53E25">
              <w:rPr>
                <w:rFonts w:eastAsiaTheme="minorHAnsi" w:cs="Calibri"/>
                <w:b/>
                <w:bCs/>
                <w:color w:val="000000"/>
                <w:sz w:val="20"/>
                <w:szCs w:val="20"/>
              </w:rPr>
              <w:t xml:space="preserve"> </w:t>
            </w:r>
            <w:r w:rsidRPr="00F53E25">
              <w:rPr>
                <w:rFonts w:eastAsiaTheme="minorHAnsi" w:cs="Calibri"/>
                <w:b/>
                <w:bCs/>
                <w:color w:val="000000"/>
                <w:sz w:val="20"/>
                <w:szCs w:val="20"/>
              </w:rPr>
              <w:t>876</w:t>
            </w:r>
          </w:p>
        </w:tc>
      </w:tr>
    </w:tbl>
    <w:p w14:paraId="41F42725" w14:textId="77777777" w:rsidR="006C4A6A" w:rsidRDefault="006C4A6A" w:rsidP="00D23BF5">
      <w:pPr>
        <w:ind w:left="0" w:firstLine="0"/>
        <w:sectPr w:rsidR="006C4A6A" w:rsidSect="006C4A6A">
          <w:footerReference w:type="default" r:id="rId10"/>
          <w:pgSz w:w="11906" w:h="16838" w:code="9"/>
          <w:pgMar w:top="1440" w:right="1440" w:bottom="1440" w:left="1440" w:header="709" w:footer="709" w:gutter="0"/>
          <w:cols w:space="708"/>
          <w:docGrid w:linePitch="360"/>
        </w:sectPr>
      </w:pPr>
    </w:p>
    <w:p w14:paraId="3DF4A4BD" w14:textId="2FF8F2C4" w:rsidR="0074567B" w:rsidRPr="00F53E25" w:rsidRDefault="0035205F" w:rsidP="00FB7D22">
      <w:pPr>
        <w:ind w:left="0" w:firstLine="0"/>
        <w:rPr>
          <w:rFonts w:asciiTheme="minorHAnsi" w:eastAsia="Times New Roman" w:hAnsiTheme="minorHAnsi" w:cs="Arial"/>
          <w:b/>
          <w:bCs/>
          <w:sz w:val="24"/>
          <w:szCs w:val="24"/>
        </w:rPr>
      </w:pPr>
      <w:r w:rsidRPr="00F53E25">
        <w:rPr>
          <w:rFonts w:asciiTheme="minorHAnsi" w:hAnsiTheme="minorHAnsi"/>
          <w:b/>
          <w:bCs/>
          <w:sz w:val="24"/>
          <w:szCs w:val="24"/>
        </w:rPr>
        <w:lastRenderedPageBreak/>
        <w:t>Anexo 4</w:t>
      </w:r>
    </w:p>
    <w:p w14:paraId="76CB7523" w14:textId="166B607E" w:rsidR="001404C4" w:rsidRPr="00F53E25" w:rsidRDefault="0035205F" w:rsidP="00E42F5B">
      <w:pPr>
        <w:ind w:left="0" w:firstLine="0"/>
        <w:rPr>
          <w:rFonts w:asciiTheme="minorHAnsi" w:eastAsia="Times New Roman" w:hAnsiTheme="minorHAnsi" w:cs="Arial"/>
          <w:b/>
          <w:bCs/>
          <w:sz w:val="24"/>
          <w:szCs w:val="24"/>
        </w:rPr>
      </w:pPr>
      <w:r w:rsidRPr="00F53E25">
        <w:rPr>
          <w:rFonts w:asciiTheme="minorHAnsi" w:hAnsiTheme="minorHAnsi"/>
          <w:b/>
          <w:bCs/>
          <w:sz w:val="24"/>
          <w:szCs w:val="24"/>
        </w:rPr>
        <w:t>Presupuesto básico propuesto para 202</w:t>
      </w:r>
      <w:r w:rsidR="00BB29EB" w:rsidRPr="00F53E25">
        <w:rPr>
          <w:rFonts w:asciiTheme="minorHAnsi" w:hAnsiTheme="minorHAnsi"/>
          <w:b/>
          <w:bCs/>
          <w:sz w:val="24"/>
          <w:szCs w:val="24"/>
        </w:rPr>
        <w:t>1</w:t>
      </w:r>
      <w:r w:rsidRPr="00F53E25">
        <w:rPr>
          <w:rFonts w:asciiTheme="minorHAnsi" w:hAnsiTheme="minorHAnsi"/>
          <w:b/>
          <w:bCs/>
          <w:sz w:val="24"/>
          <w:szCs w:val="24"/>
        </w:rPr>
        <w:t xml:space="preserve"> </w:t>
      </w:r>
    </w:p>
    <w:p w14:paraId="0A68605A" w14:textId="154E4576" w:rsidR="006A5240" w:rsidRPr="00F53E25" w:rsidRDefault="00330040" w:rsidP="00E42F5B">
      <w:pPr>
        <w:ind w:left="0" w:firstLine="0"/>
        <w:rPr>
          <w:rFonts w:asciiTheme="minorHAnsi" w:eastAsia="Times New Roman" w:hAnsiTheme="minorHAnsi" w:cs="Arial"/>
          <w:bCs/>
          <w:i/>
          <w:sz w:val="20"/>
          <w:szCs w:val="20"/>
        </w:rPr>
      </w:pPr>
      <w:r w:rsidRPr="00F53E25">
        <w:rPr>
          <w:rFonts w:asciiTheme="minorHAnsi" w:hAnsiTheme="minorHAnsi"/>
          <w:bCs/>
          <w:i/>
          <w:sz w:val="20"/>
          <w:szCs w:val="20"/>
        </w:rPr>
        <w:t>(en miles de francos suizos, con posibles diferencias por redondeo)</w:t>
      </w:r>
    </w:p>
    <w:tbl>
      <w:tblPr>
        <w:tblW w:w="14312" w:type="dxa"/>
        <w:tblLayout w:type="fixed"/>
        <w:tblLook w:val="04A0" w:firstRow="1" w:lastRow="0" w:firstColumn="1" w:lastColumn="0" w:noHBand="0" w:noVBand="1"/>
      </w:tblPr>
      <w:tblGrid>
        <w:gridCol w:w="4983"/>
        <w:gridCol w:w="1554"/>
        <w:gridCol w:w="1555"/>
        <w:gridCol w:w="1555"/>
        <w:gridCol w:w="1555"/>
        <w:gridCol w:w="1555"/>
        <w:gridCol w:w="1555"/>
      </w:tblGrid>
      <w:tr w:rsidR="00614CE1" w:rsidRPr="00F53E25" w14:paraId="3397B3D1" w14:textId="77777777" w:rsidTr="0076398C">
        <w:trPr>
          <w:cantSplit/>
          <w:tblHeader/>
        </w:trPr>
        <w:tc>
          <w:tcPr>
            <w:tcW w:w="4983" w:type="dxa"/>
            <w:tcBorders>
              <w:top w:val="single" w:sz="4" w:space="0" w:color="auto"/>
              <w:left w:val="single" w:sz="4" w:space="0" w:color="auto"/>
              <w:bottom w:val="nil"/>
              <w:right w:val="nil"/>
            </w:tcBorders>
            <w:shd w:val="clear" w:color="000000" w:fill="D6E3BC"/>
            <w:vAlign w:val="center"/>
            <w:hideMark/>
          </w:tcPr>
          <w:p w14:paraId="7ABA75D9" w14:textId="77777777" w:rsidR="00614CE1" w:rsidRPr="00F53E25" w:rsidRDefault="00614CE1" w:rsidP="00614CE1">
            <w:pPr>
              <w:ind w:left="0" w:firstLine="0"/>
              <w:jc w:val="center"/>
              <w:rPr>
                <w:b/>
                <w:bCs/>
                <w:color w:val="000000"/>
                <w:sz w:val="20"/>
                <w:szCs w:val="20"/>
              </w:rPr>
            </w:pPr>
            <w:r w:rsidRPr="00F53E25">
              <w:rPr>
                <w:b/>
                <w:bCs/>
                <w:color w:val="000000"/>
                <w:sz w:val="20"/>
                <w:szCs w:val="20"/>
              </w:rPr>
              <w:t>Presupuesto de Ramsar para 2021</w:t>
            </w:r>
            <w:r w:rsidRPr="00F53E25">
              <w:rPr>
                <w:b/>
                <w:bCs/>
                <w:color w:val="000000"/>
                <w:sz w:val="20"/>
                <w:szCs w:val="20"/>
              </w:rPr>
              <w:br/>
            </w:r>
            <w:r w:rsidRPr="00F53E25">
              <w:rPr>
                <w:b/>
                <w:bCs/>
                <w:color w:val="000000"/>
                <w:sz w:val="20"/>
                <w:szCs w:val="20"/>
              </w:rPr>
              <w:br/>
              <w:t>aprobado por la COP13</w:t>
            </w:r>
          </w:p>
          <w:p w14:paraId="09BDD43C" w14:textId="77777777" w:rsidR="00614CE1" w:rsidRPr="00F53E25" w:rsidRDefault="00614CE1" w:rsidP="00614CE1">
            <w:pPr>
              <w:ind w:left="0" w:firstLine="0"/>
              <w:jc w:val="center"/>
              <w:rPr>
                <w:b/>
                <w:bCs/>
                <w:color w:val="000000"/>
                <w:sz w:val="20"/>
                <w:szCs w:val="20"/>
              </w:rPr>
            </w:pPr>
          </w:p>
          <w:p w14:paraId="7295F323" w14:textId="3CED9C2C" w:rsidR="00614CE1" w:rsidRPr="00F53E25" w:rsidRDefault="00614CE1" w:rsidP="00614CE1">
            <w:pPr>
              <w:ind w:left="0" w:firstLine="0"/>
              <w:jc w:val="center"/>
              <w:rPr>
                <w:rFonts w:eastAsia="Times New Roman" w:cs="Calibri"/>
                <w:b/>
                <w:bCs/>
                <w:color w:val="000000"/>
                <w:sz w:val="20"/>
                <w:szCs w:val="20"/>
                <w:lang w:eastAsia="en-GB"/>
              </w:rPr>
            </w:pPr>
            <w:r w:rsidRPr="00F53E25">
              <w:rPr>
                <w:b/>
                <w:bCs/>
                <w:color w:val="000000"/>
                <w:sz w:val="20"/>
                <w:szCs w:val="20"/>
              </w:rPr>
              <w:t>en miles de francos suizos</w:t>
            </w:r>
          </w:p>
        </w:tc>
        <w:tc>
          <w:tcPr>
            <w:tcW w:w="1554" w:type="dxa"/>
            <w:tcBorders>
              <w:top w:val="single" w:sz="4" w:space="0" w:color="auto"/>
              <w:left w:val="single" w:sz="4" w:space="0" w:color="auto"/>
              <w:bottom w:val="nil"/>
              <w:right w:val="single" w:sz="4" w:space="0" w:color="auto"/>
            </w:tcBorders>
            <w:shd w:val="clear" w:color="000000" w:fill="D6E3BC"/>
            <w:vAlign w:val="center"/>
            <w:hideMark/>
          </w:tcPr>
          <w:p w14:paraId="7D9D7355" w14:textId="41DDCC8A" w:rsidR="00614CE1" w:rsidRPr="00F53E25" w:rsidRDefault="00614CE1" w:rsidP="00614CE1">
            <w:pPr>
              <w:ind w:left="0" w:firstLine="0"/>
              <w:jc w:val="center"/>
              <w:rPr>
                <w:rFonts w:eastAsia="Times New Roman" w:cs="Calibri"/>
                <w:b/>
                <w:bCs/>
                <w:color w:val="000000"/>
                <w:sz w:val="20"/>
                <w:szCs w:val="20"/>
                <w:lang w:eastAsia="en-GB"/>
              </w:rPr>
            </w:pPr>
            <w:r w:rsidRPr="00F53E25">
              <w:rPr>
                <w:b/>
                <w:bCs/>
                <w:color w:val="000000"/>
                <w:sz w:val="20"/>
                <w:szCs w:val="20"/>
              </w:rPr>
              <w:t>Presupuesto aprobado (por la COP13</w:t>
            </w:r>
          </w:p>
        </w:tc>
        <w:tc>
          <w:tcPr>
            <w:tcW w:w="1555" w:type="dxa"/>
            <w:tcBorders>
              <w:top w:val="single" w:sz="4" w:space="0" w:color="auto"/>
              <w:left w:val="nil"/>
              <w:bottom w:val="nil"/>
              <w:right w:val="single" w:sz="4" w:space="0" w:color="auto"/>
            </w:tcBorders>
            <w:shd w:val="clear" w:color="000000" w:fill="D6E3BC"/>
            <w:vAlign w:val="center"/>
            <w:hideMark/>
          </w:tcPr>
          <w:p w14:paraId="1C5E7A31" w14:textId="301784B0" w:rsidR="00614CE1" w:rsidRPr="00F53E25" w:rsidRDefault="00614CE1" w:rsidP="00614CE1">
            <w:pPr>
              <w:ind w:left="0" w:firstLine="0"/>
              <w:jc w:val="center"/>
              <w:rPr>
                <w:rFonts w:eastAsia="Times New Roman" w:cs="Calibri"/>
                <w:b/>
                <w:bCs/>
                <w:color w:val="000000"/>
                <w:sz w:val="20"/>
                <w:szCs w:val="20"/>
                <w:lang w:eastAsia="en-GB"/>
              </w:rPr>
            </w:pPr>
            <w:r w:rsidRPr="00F53E25">
              <w:rPr>
                <w:b/>
                <w:bCs/>
                <w:color w:val="000000"/>
                <w:sz w:val="20"/>
                <w:szCs w:val="20"/>
              </w:rPr>
              <w:t>Uso del excedente autorizado por la COP13 XIII.2 (para 2020)</w:t>
            </w:r>
          </w:p>
        </w:tc>
        <w:tc>
          <w:tcPr>
            <w:tcW w:w="1555" w:type="dxa"/>
            <w:tcBorders>
              <w:top w:val="single" w:sz="4" w:space="0" w:color="auto"/>
              <w:left w:val="single" w:sz="4" w:space="0" w:color="auto"/>
              <w:bottom w:val="nil"/>
              <w:right w:val="single" w:sz="4" w:space="0" w:color="auto"/>
            </w:tcBorders>
            <w:shd w:val="clear" w:color="000000" w:fill="D6E3BC"/>
            <w:vAlign w:val="center"/>
            <w:hideMark/>
          </w:tcPr>
          <w:p w14:paraId="6F827C72" w14:textId="1389A9E8" w:rsidR="00614CE1" w:rsidRPr="00F53E25" w:rsidRDefault="00614CE1" w:rsidP="00614CE1">
            <w:pPr>
              <w:ind w:left="0" w:firstLine="0"/>
              <w:jc w:val="center"/>
              <w:rPr>
                <w:rFonts w:eastAsia="Times New Roman" w:cs="Calibri"/>
                <w:b/>
                <w:bCs/>
                <w:sz w:val="20"/>
                <w:szCs w:val="20"/>
                <w:lang w:eastAsia="en-GB"/>
              </w:rPr>
            </w:pPr>
            <w:r w:rsidRPr="00F53E25">
              <w:rPr>
                <w:b/>
                <w:bCs/>
                <w:sz w:val="20"/>
                <w:szCs w:val="20"/>
              </w:rPr>
              <w:t>Fondos previamente comprome</w:t>
            </w:r>
            <w:r w:rsidRPr="00F53E25">
              <w:rPr>
                <w:b/>
                <w:bCs/>
                <w:sz w:val="20"/>
                <w:szCs w:val="20"/>
              </w:rPr>
              <w:softHyphen/>
              <w:t xml:space="preserve">tidos de 2020 a gastar en </w:t>
            </w:r>
            <w:r w:rsidRPr="00F53E25">
              <w:rPr>
                <w:rFonts w:eastAsia="Times New Roman" w:cs="Calibri"/>
                <w:b/>
                <w:bCs/>
                <w:sz w:val="20"/>
                <w:szCs w:val="20"/>
                <w:lang w:eastAsia="en-GB"/>
              </w:rPr>
              <w:t>2021</w:t>
            </w:r>
          </w:p>
        </w:tc>
        <w:tc>
          <w:tcPr>
            <w:tcW w:w="1555" w:type="dxa"/>
            <w:tcBorders>
              <w:top w:val="single" w:sz="4" w:space="0" w:color="auto"/>
              <w:left w:val="nil"/>
              <w:bottom w:val="nil"/>
              <w:right w:val="single" w:sz="4" w:space="0" w:color="auto"/>
            </w:tcBorders>
            <w:shd w:val="clear" w:color="000000" w:fill="D6E3BC"/>
            <w:vAlign w:val="center"/>
            <w:hideMark/>
          </w:tcPr>
          <w:p w14:paraId="7BED08A9" w14:textId="280F12C8" w:rsidR="00614CE1" w:rsidRPr="00F53E25" w:rsidRDefault="00614CE1" w:rsidP="00614CE1">
            <w:pPr>
              <w:ind w:left="0" w:firstLine="0"/>
              <w:jc w:val="center"/>
              <w:rPr>
                <w:rFonts w:eastAsia="Times New Roman" w:cs="Calibri"/>
                <w:b/>
                <w:bCs/>
                <w:sz w:val="20"/>
                <w:szCs w:val="20"/>
                <w:lang w:eastAsia="en-GB"/>
              </w:rPr>
            </w:pPr>
            <w:r w:rsidRPr="00F53E25">
              <w:rPr>
                <w:b/>
                <w:bCs/>
                <w:color w:val="000000"/>
                <w:sz w:val="20"/>
                <w:szCs w:val="20"/>
              </w:rPr>
              <w:t>Ahorros no comprome</w:t>
            </w:r>
            <w:r w:rsidRPr="00F53E25">
              <w:rPr>
                <w:b/>
                <w:bCs/>
                <w:color w:val="000000"/>
                <w:sz w:val="20"/>
                <w:szCs w:val="20"/>
              </w:rPr>
              <w:softHyphen/>
              <w:t xml:space="preserve">tidos en 2020 </w:t>
            </w:r>
            <w:r w:rsidR="00404FE5" w:rsidRPr="00F53E25">
              <w:rPr>
                <w:b/>
                <w:bCs/>
                <w:color w:val="000000"/>
                <w:sz w:val="20"/>
                <w:szCs w:val="20"/>
              </w:rPr>
              <w:t>traspasados</w:t>
            </w:r>
            <w:r w:rsidRPr="00F53E25">
              <w:rPr>
                <w:b/>
                <w:bCs/>
                <w:color w:val="000000"/>
                <w:sz w:val="20"/>
                <w:szCs w:val="20"/>
              </w:rPr>
              <w:t xml:space="preserve"> a 2021</w:t>
            </w:r>
          </w:p>
        </w:tc>
        <w:tc>
          <w:tcPr>
            <w:tcW w:w="1555" w:type="dxa"/>
            <w:tcBorders>
              <w:top w:val="single" w:sz="4" w:space="0" w:color="auto"/>
              <w:left w:val="nil"/>
              <w:bottom w:val="nil"/>
              <w:right w:val="single" w:sz="4" w:space="0" w:color="auto"/>
            </w:tcBorders>
            <w:shd w:val="clear" w:color="000000" w:fill="D6E3BC"/>
            <w:vAlign w:val="center"/>
            <w:hideMark/>
          </w:tcPr>
          <w:p w14:paraId="4F724749" w14:textId="7A556D82" w:rsidR="00614CE1" w:rsidRPr="00F53E25" w:rsidRDefault="00614CE1" w:rsidP="00614CE1">
            <w:pPr>
              <w:ind w:left="0" w:firstLine="0"/>
              <w:jc w:val="center"/>
              <w:rPr>
                <w:rFonts w:eastAsia="Times New Roman" w:cs="Calibri"/>
                <w:b/>
                <w:bCs/>
                <w:sz w:val="20"/>
                <w:szCs w:val="20"/>
                <w:lang w:eastAsia="en-GB"/>
              </w:rPr>
            </w:pPr>
            <w:r w:rsidRPr="00F53E25">
              <w:rPr>
                <w:rFonts w:eastAsia="Times New Roman" w:cs="Calibri"/>
                <w:b/>
                <w:bCs/>
                <w:color w:val="000000" w:themeColor="text1"/>
                <w:sz w:val="20"/>
                <w:szCs w:val="20"/>
                <w:lang w:eastAsia="en-GB"/>
              </w:rPr>
              <w:t>Ajustes propuestos por la Secretaría al presupuesto aprobado por la COP13 para 2021</w:t>
            </w:r>
            <w:r w:rsidRPr="00F53E25">
              <w:rPr>
                <w:rFonts w:eastAsia="Times New Roman" w:cs="Calibri"/>
                <w:b/>
                <w:bCs/>
                <w:sz w:val="20"/>
                <w:szCs w:val="20"/>
                <w:lang w:eastAsia="en-GB"/>
              </w:rPr>
              <w:t>*</w:t>
            </w:r>
          </w:p>
        </w:tc>
        <w:tc>
          <w:tcPr>
            <w:tcW w:w="1555" w:type="dxa"/>
            <w:tcBorders>
              <w:top w:val="single" w:sz="4" w:space="0" w:color="auto"/>
              <w:left w:val="nil"/>
              <w:bottom w:val="nil"/>
              <w:right w:val="single" w:sz="4" w:space="0" w:color="auto"/>
            </w:tcBorders>
            <w:shd w:val="clear" w:color="000000" w:fill="D6E3BC"/>
            <w:vAlign w:val="center"/>
            <w:hideMark/>
          </w:tcPr>
          <w:p w14:paraId="6E259A27" w14:textId="41EC2812" w:rsidR="00614CE1" w:rsidRPr="00F53E25" w:rsidRDefault="00614CE1" w:rsidP="00614CE1">
            <w:pPr>
              <w:ind w:left="0" w:firstLine="0"/>
              <w:jc w:val="center"/>
              <w:rPr>
                <w:rFonts w:eastAsia="Times New Roman" w:cs="Calibri"/>
                <w:b/>
                <w:bCs/>
                <w:sz w:val="20"/>
                <w:szCs w:val="20"/>
                <w:lang w:eastAsia="en-GB"/>
              </w:rPr>
            </w:pPr>
            <w:r w:rsidRPr="00F53E25">
              <w:rPr>
                <w:rFonts w:eastAsia="Times New Roman" w:cs="Calibri"/>
                <w:b/>
                <w:bCs/>
                <w:sz w:val="20"/>
                <w:szCs w:val="20"/>
                <w:lang w:eastAsia="en-GB"/>
              </w:rPr>
              <w:t xml:space="preserve">Presupuesto total para 2021 (con los fondos no comprometidos </w:t>
            </w:r>
            <w:r w:rsidRPr="00F53E25">
              <w:rPr>
                <w:rFonts w:eastAsia="Times New Roman" w:cs="Calibri"/>
                <w:b/>
                <w:bCs/>
                <w:color w:val="000000" w:themeColor="text1"/>
                <w:sz w:val="20"/>
                <w:szCs w:val="20"/>
                <w:lang w:eastAsia="en-GB"/>
              </w:rPr>
              <w:t>traspasados</w:t>
            </w:r>
            <w:r w:rsidRPr="00F53E25">
              <w:rPr>
                <w:rFonts w:eastAsia="Times New Roman" w:cs="Calibri"/>
                <w:b/>
                <w:bCs/>
                <w:sz w:val="20"/>
                <w:szCs w:val="20"/>
                <w:lang w:eastAsia="en-GB"/>
              </w:rPr>
              <w:t>)</w:t>
            </w:r>
          </w:p>
        </w:tc>
      </w:tr>
      <w:tr w:rsidR="00614CE1" w:rsidRPr="00F53E25" w14:paraId="2E73C4C3" w14:textId="77777777" w:rsidTr="0076398C">
        <w:trPr>
          <w:cantSplit/>
          <w:tblHeader/>
        </w:trPr>
        <w:tc>
          <w:tcPr>
            <w:tcW w:w="4983" w:type="dxa"/>
            <w:tcBorders>
              <w:top w:val="nil"/>
              <w:left w:val="single" w:sz="4" w:space="0" w:color="auto"/>
              <w:right w:val="nil"/>
            </w:tcBorders>
            <w:shd w:val="clear" w:color="000000" w:fill="D6E3BC"/>
            <w:vAlign w:val="center"/>
            <w:hideMark/>
          </w:tcPr>
          <w:p w14:paraId="5DDA3742" w14:textId="0D0EA44D"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 </w:t>
            </w:r>
          </w:p>
        </w:tc>
        <w:tc>
          <w:tcPr>
            <w:tcW w:w="1554" w:type="dxa"/>
            <w:tcBorders>
              <w:top w:val="nil"/>
              <w:left w:val="single" w:sz="4" w:space="0" w:color="auto"/>
              <w:bottom w:val="single" w:sz="4" w:space="0" w:color="000000"/>
              <w:right w:val="single" w:sz="4" w:space="0" w:color="auto"/>
            </w:tcBorders>
            <w:shd w:val="clear" w:color="000000" w:fill="D6E3BC"/>
            <w:vAlign w:val="center"/>
            <w:hideMark/>
          </w:tcPr>
          <w:p w14:paraId="1786D31E" w14:textId="77777777"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(A)</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2A5DEE35" w14:textId="77777777"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(B)</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70882597" w14:textId="77777777"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(C)</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321716DB" w14:textId="77777777"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(D)</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3AD492EB" w14:textId="77777777"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(E)</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08152687" w14:textId="77777777" w:rsidR="00614CE1" w:rsidRPr="00F53E25" w:rsidRDefault="00614CE1" w:rsidP="00614CE1">
            <w:pPr>
              <w:ind w:left="0" w:firstLine="0"/>
              <w:jc w:val="center"/>
              <w:rPr>
                <w:rFonts w:eastAsia="Times New Roman" w:cs="Calibri"/>
                <w:b/>
                <w:bCs/>
                <w:color w:val="000000"/>
                <w:sz w:val="20"/>
                <w:szCs w:val="20"/>
                <w:lang w:eastAsia="en-GB"/>
              </w:rPr>
            </w:pPr>
            <w:r w:rsidRPr="00F53E25">
              <w:rPr>
                <w:rFonts w:eastAsia="Times New Roman" w:cs="Calibri"/>
                <w:b/>
                <w:bCs/>
                <w:color w:val="000000"/>
                <w:sz w:val="20"/>
                <w:szCs w:val="20"/>
                <w:lang w:eastAsia="en-GB"/>
              </w:rPr>
              <w:t>(F=A+B+C+D+E)</w:t>
            </w:r>
          </w:p>
        </w:tc>
      </w:tr>
      <w:tr w:rsidR="00614CE1" w:rsidRPr="00F53E25" w14:paraId="690C49D4" w14:textId="77777777" w:rsidTr="0076398C">
        <w:trPr>
          <w:trHeight w:val="270"/>
        </w:trPr>
        <w:tc>
          <w:tcPr>
            <w:tcW w:w="4983" w:type="dxa"/>
            <w:tcBorders>
              <w:top w:val="single" w:sz="4" w:space="0" w:color="auto"/>
              <w:left w:val="single" w:sz="4" w:space="0" w:color="auto"/>
              <w:bottom w:val="single" w:sz="4" w:space="0" w:color="auto"/>
              <w:right w:val="nil"/>
            </w:tcBorders>
            <w:shd w:val="clear" w:color="auto" w:fill="auto"/>
            <w:noWrap/>
            <w:vAlign w:val="center"/>
            <w:hideMark/>
          </w:tcPr>
          <w:p w14:paraId="2A503DC4" w14:textId="76934F24" w:rsidR="00614CE1" w:rsidRPr="00F53E25" w:rsidRDefault="00614CE1" w:rsidP="0076398C">
            <w:pPr>
              <w:ind w:left="0" w:firstLine="0"/>
              <w:rPr>
                <w:rFonts w:eastAsia="Times New Roman" w:cs="Calibri"/>
                <w:b/>
                <w:bCs/>
                <w:color w:val="000000"/>
                <w:sz w:val="20"/>
                <w:szCs w:val="20"/>
                <w:lang w:eastAsia="en-GB"/>
              </w:rPr>
            </w:pPr>
            <w:r w:rsidRPr="00F53E25">
              <w:rPr>
                <w:rFonts w:eastAsia="Times New Roman" w:cs="Calibri"/>
                <w:b/>
                <w:bCs/>
                <w:color w:val="000000"/>
                <w:sz w:val="20"/>
                <w:szCs w:val="20"/>
                <w:lang w:eastAsia="en-GB"/>
              </w:rPr>
              <w:t>INGRESOS</w:t>
            </w:r>
          </w:p>
        </w:tc>
        <w:tc>
          <w:tcPr>
            <w:tcW w:w="1554" w:type="dxa"/>
            <w:tcBorders>
              <w:top w:val="nil"/>
              <w:left w:val="nil"/>
              <w:bottom w:val="nil"/>
              <w:right w:val="nil"/>
            </w:tcBorders>
            <w:shd w:val="clear" w:color="auto" w:fill="auto"/>
            <w:noWrap/>
            <w:vAlign w:val="center"/>
            <w:hideMark/>
          </w:tcPr>
          <w:p w14:paraId="635E4245" w14:textId="77777777" w:rsidR="00614CE1" w:rsidRPr="00F53E25" w:rsidRDefault="00614CE1" w:rsidP="0076398C">
            <w:pPr>
              <w:ind w:left="0" w:firstLine="0"/>
              <w:rPr>
                <w:rFonts w:eastAsia="Times New Roman" w:cs="Calibri"/>
                <w:b/>
                <w:bCs/>
                <w:color w:val="000000"/>
                <w:sz w:val="20"/>
                <w:szCs w:val="20"/>
                <w:lang w:eastAsia="en-GB"/>
              </w:rPr>
            </w:pPr>
          </w:p>
        </w:tc>
        <w:tc>
          <w:tcPr>
            <w:tcW w:w="1555" w:type="dxa"/>
            <w:tcBorders>
              <w:top w:val="nil"/>
              <w:left w:val="nil"/>
              <w:bottom w:val="nil"/>
              <w:right w:val="nil"/>
            </w:tcBorders>
            <w:shd w:val="clear" w:color="auto" w:fill="auto"/>
            <w:noWrap/>
            <w:vAlign w:val="center"/>
            <w:hideMark/>
          </w:tcPr>
          <w:p w14:paraId="32214881" w14:textId="77777777" w:rsidR="00614CE1" w:rsidRPr="00F53E25" w:rsidRDefault="00614CE1" w:rsidP="0076398C">
            <w:pPr>
              <w:ind w:left="0" w:firstLine="0"/>
              <w:rPr>
                <w:rFonts w:ascii="Times New Roman" w:eastAsia="Times New Roman" w:hAnsi="Times New Roman"/>
                <w:sz w:val="20"/>
                <w:szCs w:val="20"/>
                <w:lang w:eastAsia="en-GB"/>
              </w:rPr>
            </w:pPr>
          </w:p>
        </w:tc>
        <w:tc>
          <w:tcPr>
            <w:tcW w:w="1555" w:type="dxa"/>
            <w:tcBorders>
              <w:top w:val="nil"/>
              <w:left w:val="single" w:sz="4" w:space="0" w:color="auto"/>
              <w:bottom w:val="nil"/>
              <w:right w:val="nil"/>
            </w:tcBorders>
            <w:shd w:val="clear" w:color="auto" w:fill="auto"/>
            <w:noWrap/>
            <w:vAlign w:val="bottom"/>
            <w:hideMark/>
          </w:tcPr>
          <w:p w14:paraId="41E744DF" w14:textId="77777777" w:rsidR="00614CE1" w:rsidRPr="00F53E25" w:rsidRDefault="00614CE1" w:rsidP="007639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c>
          <w:tcPr>
            <w:tcW w:w="1555" w:type="dxa"/>
            <w:tcBorders>
              <w:top w:val="nil"/>
              <w:left w:val="nil"/>
              <w:bottom w:val="nil"/>
              <w:right w:val="nil"/>
            </w:tcBorders>
            <w:shd w:val="clear" w:color="auto" w:fill="auto"/>
            <w:noWrap/>
            <w:vAlign w:val="bottom"/>
            <w:hideMark/>
          </w:tcPr>
          <w:p w14:paraId="6049E7D7" w14:textId="77777777" w:rsidR="00614CE1" w:rsidRPr="00F53E25" w:rsidRDefault="00614CE1" w:rsidP="0076398C">
            <w:pPr>
              <w:ind w:left="0" w:firstLine="0"/>
              <w:rPr>
                <w:rFonts w:ascii="Arial" w:eastAsia="Times New Roman" w:hAnsi="Arial" w:cs="Arial"/>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0E50123A" w14:textId="77777777" w:rsidR="00614CE1" w:rsidRPr="00F53E25" w:rsidRDefault="00614CE1" w:rsidP="0076398C">
            <w:pPr>
              <w:ind w:left="0" w:firstLine="0"/>
              <w:rPr>
                <w:rFonts w:ascii="Times New Roman" w:eastAsia="Times New Roman" w:hAnsi="Times New Roman"/>
                <w:sz w:val="20"/>
                <w:szCs w:val="20"/>
                <w:lang w:eastAsia="en-GB"/>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30D7FCDC" w14:textId="77777777" w:rsidR="00614CE1" w:rsidRPr="00F53E25" w:rsidRDefault="00614CE1" w:rsidP="007639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r>
      <w:tr w:rsidR="00614CE1" w:rsidRPr="00F53E25" w14:paraId="53327DD6"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77935EA" w14:textId="7179F86B" w:rsidR="00614CE1" w:rsidRPr="00F53E25" w:rsidRDefault="00614CE1" w:rsidP="0076398C">
            <w:pPr>
              <w:ind w:left="0" w:firstLine="0"/>
              <w:rPr>
                <w:rFonts w:eastAsia="Times New Roman" w:cs="Calibri"/>
                <w:color w:val="000000"/>
                <w:sz w:val="20"/>
                <w:szCs w:val="20"/>
                <w:lang w:eastAsia="en-GB"/>
              </w:rPr>
            </w:pPr>
            <w:r w:rsidRPr="00F53E25">
              <w:rPr>
                <w:color w:val="000000"/>
                <w:sz w:val="20"/>
              </w:rPr>
              <w:t>Contribuciones de las Partes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20161B11" w14:textId="5A122931"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w:t>
            </w:r>
            <w:r w:rsidR="00B732B4" w:rsidRPr="00F53E25">
              <w:rPr>
                <w:rFonts w:eastAsia="Times New Roman" w:cs="Calibri"/>
                <w:color w:val="000000"/>
                <w:sz w:val="20"/>
                <w:szCs w:val="20"/>
                <w:lang w:eastAsia="en-GB"/>
              </w:rPr>
              <w:t xml:space="preserve"> </w:t>
            </w:r>
            <w:r w:rsidRPr="00F53E25">
              <w:rPr>
                <w:rFonts w:eastAsia="Times New Roman" w:cs="Calibri"/>
                <w:color w:val="000000"/>
                <w:sz w:val="20"/>
                <w:szCs w:val="20"/>
                <w:lang w:eastAsia="en-GB"/>
              </w:rPr>
              <w:t>779</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B19127A"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687BE"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5F2716B"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0F5F734"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7195DDB" w14:textId="7C309836"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w:t>
            </w:r>
            <w:r w:rsidR="00B732B4" w:rsidRPr="00F53E25">
              <w:rPr>
                <w:rFonts w:eastAsia="Times New Roman" w:cs="Calibri"/>
                <w:color w:val="000000"/>
                <w:sz w:val="20"/>
                <w:szCs w:val="20"/>
                <w:lang w:eastAsia="en-GB"/>
              </w:rPr>
              <w:t xml:space="preserve"> </w:t>
            </w:r>
            <w:r w:rsidRPr="00F53E25">
              <w:rPr>
                <w:rFonts w:eastAsia="Times New Roman" w:cs="Calibri"/>
                <w:color w:val="000000"/>
                <w:sz w:val="20"/>
                <w:szCs w:val="20"/>
                <w:lang w:eastAsia="en-GB"/>
              </w:rPr>
              <w:t>779</w:t>
            </w:r>
          </w:p>
        </w:tc>
      </w:tr>
      <w:tr w:rsidR="00614CE1" w:rsidRPr="00F53E25" w14:paraId="222B231A"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3126E6E" w14:textId="001EEDB9" w:rsidR="00614CE1" w:rsidRPr="00F53E25" w:rsidRDefault="00FC5D8C" w:rsidP="0076398C">
            <w:pPr>
              <w:ind w:left="0" w:firstLine="0"/>
              <w:rPr>
                <w:rFonts w:eastAsia="Times New Roman" w:cs="Calibri"/>
                <w:color w:val="000000"/>
                <w:sz w:val="20"/>
                <w:szCs w:val="20"/>
                <w:lang w:eastAsia="en-GB"/>
              </w:rPr>
            </w:pPr>
            <w:r w:rsidRPr="00F53E25">
              <w:rPr>
                <w:color w:val="000000"/>
                <w:sz w:val="20"/>
              </w:rPr>
              <w:t>Contribuciones voluntarias</w:t>
            </w:r>
          </w:p>
        </w:tc>
        <w:tc>
          <w:tcPr>
            <w:tcW w:w="1554" w:type="dxa"/>
            <w:tcBorders>
              <w:top w:val="nil"/>
              <w:left w:val="nil"/>
              <w:bottom w:val="single" w:sz="4" w:space="0" w:color="auto"/>
              <w:right w:val="single" w:sz="4" w:space="0" w:color="auto"/>
            </w:tcBorders>
            <w:shd w:val="clear" w:color="auto" w:fill="auto"/>
            <w:noWrap/>
            <w:vAlign w:val="center"/>
            <w:hideMark/>
          </w:tcPr>
          <w:p w14:paraId="05235D30" w14:textId="2B929D5C"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w:t>
            </w:r>
            <w:r w:rsidR="00B732B4" w:rsidRPr="00F53E25">
              <w:rPr>
                <w:rFonts w:eastAsia="Times New Roman" w:cs="Calibri"/>
                <w:color w:val="000000"/>
                <w:sz w:val="20"/>
                <w:szCs w:val="20"/>
                <w:lang w:eastAsia="en-GB"/>
              </w:rPr>
              <w:t xml:space="preserve"> </w:t>
            </w:r>
            <w:r w:rsidRPr="00F53E25">
              <w:rPr>
                <w:rFonts w:eastAsia="Times New Roman" w:cs="Calibri"/>
                <w:color w:val="000000"/>
                <w:sz w:val="20"/>
                <w:szCs w:val="20"/>
                <w:lang w:eastAsia="en-GB"/>
              </w:rPr>
              <w:t>065</w:t>
            </w:r>
          </w:p>
        </w:tc>
        <w:tc>
          <w:tcPr>
            <w:tcW w:w="1555" w:type="dxa"/>
            <w:tcBorders>
              <w:top w:val="nil"/>
              <w:left w:val="nil"/>
              <w:bottom w:val="single" w:sz="4" w:space="0" w:color="auto"/>
              <w:right w:val="single" w:sz="4" w:space="0" w:color="auto"/>
            </w:tcBorders>
            <w:shd w:val="clear" w:color="auto" w:fill="auto"/>
            <w:noWrap/>
            <w:vAlign w:val="center"/>
            <w:hideMark/>
          </w:tcPr>
          <w:p w14:paraId="38BAAB24"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446076"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6358DA6"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F87D9AC"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9B65016" w14:textId="5C1AEE6B"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w:t>
            </w:r>
            <w:r w:rsidR="00B732B4" w:rsidRPr="00F53E25">
              <w:rPr>
                <w:rFonts w:eastAsia="Times New Roman" w:cs="Calibri"/>
                <w:color w:val="000000"/>
                <w:sz w:val="20"/>
                <w:szCs w:val="20"/>
                <w:lang w:eastAsia="en-GB"/>
              </w:rPr>
              <w:t xml:space="preserve"> </w:t>
            </w:r>
            <w:r w:rsidRPr="00F53E25">
              <w:rPr>
                <w:rFonts w:eastAsia="Times New Roman" w:cs="Calibri"/>
                <w:color w:val="000000"/>
                <w:sz w:val="20"/>
                <w:szCs w:val="20"/>
                <w:lang w:eastAsia="en-GB"/>
              </w:rPr>
              <w:t>065</w:t>
            </w:r>
          </w:p>
        </w:tc>
      </w:tr>
      <w:tr w:rsidR="00614CE1" w:rsidRPr="00F53E25" w14:paraId="605E30D4"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BEE5E61" w14:textId="6E4FEEF4" w:rsidR="00614CE1" w:rsidRPr="00F53E25" w:rsidRDefault="00FC5D8C" w:rsidP="0076398C">
            <w:pPr>
              <w:ind w:left="0" w:firstLine="0"/>
              <w:rPr>
                <w:rFonts w:eastAsia="Times New Roman" w:cs="Calibri"/>
                <w:color w:val="000000"/>
                <w:sz w:val="20"/>
                <w:szCs w:val="20"/>
                <w:lang w:eastAsia="en-GB"/>
              </w:rPr>
            </w:pPr>
            <w:r w:rsidRPr="00F53E25">
              <w:rPr>
                <w:color w:val="000000"/>
                <w:sz w:val="20"/>
              </w:rPr>
              <w:t>Impuesto sobre la renta</w:t>
            </w:r>
          </w:p>
        </w:tc>
        <w:tc>
          <w:tcPr>
            <w:tcW w:w="1554" w:type="dxa"/>
            <w:tcBorders>
              <w:top w:val="nil"/>
              <w:left w:val="nil"/>
              <w:bottom w:val="single" w:sz="4" w:space="0" w:color="auto"/>
              <w:right w:val="single" w:sz="4" w:space="0" w:color="auto"/>
            </w:tcBorders>
            <w:shd w:val="clear" w:color="auto" w:fill="auto"/>
            <w:noWrap/>
            <w:vAlign w:val="center"/>
            <w:hideMark/>
          </w:tcPr>
          <w:p w14:paraId="32A7A973"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225</w:t>
            </w:r>
          </w:p>
        </w:tc>
        <w:tc>
          <w:tcPr>
            <w:tcW w:w="1555" w:type="dxa"/>
            <w:tcBorders>
              <w:top w:val="nil"/>
              <w:left w:val="nil"/>
              <w:bottom w:val="single" w:sz="4" w:space="0" w:color="auto"/>
              <w:right w:val="single" w:sz="4" w:space="0" w:color="auto"/>
            </w:tcBorders>
            <w:shd w:val="clear" w:color="auto" w:fill="auto"/>
            <w:noWrap/>
            <w:vAlign w:val="center"/>
            <w:hideMark/>
          </w:tcPr>
          <w:p w14:paraId="651C5E24"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548238"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1144A7B"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27A03A3"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DEA4B79" w14:textId="77777777" w:rsidR="00614CE1" w:rsidRPr="00F53E25" w:rsidRDefault="00614CE1" w:rsidP="007639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225</w:t>
            </w:r>
          </w:p>
        </w:tc>
      </w:tr>
      <w:tr w:rsidR="00FC5D8C" w:rsidRPr="00F53E25" w14:paraId="07927B9D"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88426FC" w14:textId="1DBF30CD" w:rsidR="00FC5D8C" w:rsidRPr="00F53E25" w:rsidRDefault="00FC5D8C" w:rsidP="00FC5D8C">
            <w:pPr>
              <w:ind w:left="0" w:firstLine="0"/>
              <w:rPr>
                <w:rFonts w:eastAsia="Times New Roman" w:cs="Calibri"/>
                <w:color w:val="000000"/>
                <w:sz w:val="20"/>
                <w:szCs w:val="20"/>
                <w:lang w:eastAsia="en-GB"/>
              </w:rPr>
            </w:pPr>
            <w:r w:rsidRPr="00F53E25">
              <w:rPr>
                <w:color w:val="000000"/>
                <w:sz w:val="20"/>
              </w:rPr>
              <w:t>Otros ingresos (incluyendo ingresos por intereses)</w:t>
            </w:r>
          </w:p>
        </w:tc>
        <w:tc>
          <w:tcPr>
            <w:tcW w:w="1554" w:type="dxa"/>
            <w:tcBorders>
              <w:top w:val="nil"/>
              <w:left w:val="nil"/>
              <w:bottom w:val="single" w:sz="4" w:space="0" w:color="auto"/>
              <w:right w:val="single" w:sz="4" w:space="0" w:color="auto"/>
            </w:tcBorders>
            <w:shd w:val="clear" w:color="auto" w:fill="auto"/>
            <w:noWrap/>
            <w:vAlign w:val="center"/>
            <w:hideMark/>
          </w:tcPr>
          <w:p w14:paraId="20D84F97"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2572169E"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DA7F2C"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D4D714E"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F00B1A0"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8AB1D5E"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12</w:t>
            </w:r>
          </w:p>
        </w:tc>
      </w:tr>
      <w:tr w:rsidR="00FC5D8C" w:rsidRPr="00F53E25" w14:paraId="43C5C8C2"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199CEF0F" w14:textId="76CA0CAB" w:rsidR="00FC5D8C" w:rsidRPr="00F53E25" w:rsidRDefault="00FC5D8C" w:rsidP="00FC5D8C">
            <w:pPr>
              <w:ind w:left="0" w:firstLine="0"/>
              <w:rPr>
                <w:rFonts w:eastAsia="Times New Roman" w:cs="Calibri"/>
                <w:b/>
                <w:bCs/>
                <w:color w:val="000000"/>
                <w:sz w:val="20"/>
                <w:szCs w:val="20"/>
                <w:lang w:eastAsia="en-GB"/>
              </w:rPr>
            </w:pPr>
            <w:r w:rsidRPr="00F53E25">
              <w:rPr>
                <w:rFonts w:eastAsia="Times New Roman" w:cs="Calibri"/>
                <w:b/>
                <w:bCs/>
                <w:color w:val="000000"/>
                <w:sz w:val="20"/>
                <w:szCs w:val="20"/>
                <w:lang w:eastAsia="en-GB"/>
              </w:rPr>
              <w:t>TOTAL, INGRESOS</w:t>
            </w:r>
          </w:p>
        </w:tc>
        <w:tc>
          <w:tcPr>
            <w:tcW w:w="1554" w:type="dxa"/>
            <w:tcBorders>
              <w:top w:val="nil"/>
              <w:left w:val="nil"/>
              <w:bottom w:val="single" w:sz="4" w:space="0" w:color="auto"/>
              <w:right w:val="single" w:sz="4" w:space="0" w:color="auto"/>
            </w:tcBorders>
            <w:shd w:val="clear" w:color="000000" w:fill="EAF1DD"/>
            <w:noWrap/>
            <w:vAlign w:val="center"/>
            <w:hideMark/>
          </w:tcPr>
          <w:p w14:paraId="348BCEB1" w14:textId="59BB1A40"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w:t>
            </w:r>
            <w:r w:rsidR="00B732B4" w:rsidRPr="00F53E25">
              <w:rPr>
                <w:rFonts w:eastAsia="Times New Roman" w:cs="Calibri"/>
                <w:b/>
                <w:bCs/>
                <w:color w:val="000000"/>
                <w:sz w:val="20"/>
                <w:szCs w:val="20"/>
                <w:lang w:eastAsia="en-GB"/>
              </w:rPr>
              <w:t xml:space="preserve"> </w:t>
            </w:r>
            <w:r w:rsidRPr="00F53E25">
              <w:rPr>
                <w:rFonts w:eastAsia="Times New Roman" w:cs="Calibri"/>
                <w:b/>
                <w:bCs/>
                <w:color w:val="000000"/>
                <w:sz w:val="20"/>
                <w:szCs w:val="20"/>
                <w:lang w:eastAsia="en-GB"/>
              </w:rPr>
              <w:t>081</w:t>
            </w:r>
          </w:p>
        </w:tc>
        <w:tc>
          <w:tcPr>
            <w:tcW w:w="1555" w:type="dxa"/>
            <w:tcBorders>
              <w:top w:val="nil"/>
              <w:left w:val="nil"/>
              <w:bottom w:val="single" w:sz="4" w:space="0" w:color="auto"/>
              <w:right w:val="single" w:sz="4" w:space="0" w:color="auto"/>
            </w:tcBorders>
            <w:shd w:val="clear" w:color="000000" w:fill="EAF1DD"/>
            <w:noWrap/>
            <w:vAlign w:val="center"/>
            <w:hideMark/>
          </w:tcPr>
          <w:p w14:paraId="728537A3"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7BB45229"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4FC0E91A"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36BB6E2D"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 </w:t>
            </w:r>
          </w:p>
        </w:tc>
        <w:tc>
          <w:tcPr>
            <w:tcW w:w="1555" w:type="dxa"/>
            <w:tcBorders>
              <w:top w:val="nil"/>
              <w:left w:val="nil"/>
              <w:bottom w:val="single" w:sz="4" w:space="0" w:color="auto"/>
              <w:right w:val="single" w:sz="4" w:space="0" w:color="auto"/>
            </w:tcBorders>
            <w:shd w:val="clear" w:color="000000" w:fill="EAF1DD"/>
            <w:noWrap/>
            <w:vAlign w:val="center"/>
            <w:hideMark/>
          </w:tcPr>
          <w:p w14:paraId="4F7E851F" w14:textId="05E16F34"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w:t>
            </w:r>
            <w:r w:rsidR="00B732B4" w:rsidRPr="00F53E25">
              <w:rPr>
                <w:rFonts w:eastAsia="Times New Roman" w:cs="Calibri"/>
                <w:b/>
                <w:bCs/>
                <w:color w:val="000000"/>
                <w:sz w:val="20"/>
                <w:szCs w:val="20"/>
                <w:lang w:eastAsia="en-GB"/>
              </w:rPr>
              <w:t xml:space="preserve"> </w:t>
            </w:r>
            <w:r w:rsidRPr="00F53E25">
              <w:rPr>
                <w:rFonts w:eastAsia="Times New Roman" w:cs="Calibri"/>
                <w:b/>
                <w:bCs/>
                <w:color w:val="000000"/>
                <w:sz w:val="20"/>
                <w:szCs w:val="20"/>
                <w:lang w:eastAsia="en-GB"/>
              </w:rPr>
              <w:t>081</w:t>
            </w:r>
          </w:p>
        </w:tc>
      </w:tr>
      <w:tr w:rsidR="00FC5D8C" w:rsidRPr="00F53E25" w14:paraId="23F514E3" w14:textId="77777777" w:rsidTr="0076398C">
        <w:trPr>
          <w:trHeight w:val="270"/>
        </w:trPr>
        <w:tc>
          <w:tcPr>
            <w:tcW w:w="4983" w:type="dxa"/>
            <w:tcBorders>
              <w:top w:val="nil"/>
              <w:left w:val="single" w:sz="4" w:space="0" w:color="auto"/>
              <w:bottom w:val="nil"/>
              <w:right w:val="nil"/>
            </w:tcBorders>
            <w:shd w:val="clear" w:color="auto" w:fill="auto"/>
            <w:noWrap/>
            <w:vAlign w:val="bottom"/>
            <w:hideMark/>
          </w:tcPr>
          <w:p w14:paraId="15B393CB"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c>
          <w:tcPr>
            <w:tcW w:w="1554" w:type="dxa"/>
            <w:tcBorders>
              <w:top w:val="nil"/>
              <w:left w:val="nil"/>
              <w:bottom w:val="nil"/>
              <w:right w:val="nil"/>
            </w:tcBorders>
            <w:shd w:val="clear" w:color="auto" w:fill="auto"/>
            <w:noWrap/>
            <w:vAlign w:val="bottom"/>
            <w:hideMark/>
          </w:tcPr>
          <w:p w14:paraId="25399A01" w14:textId="77777777" w:rsidR="00FC5D8C" w:rsidRPr="00F53E25" w:rsidRDefault="00FC5D8C" w:rsidP="00FC5D8C">
            <w:pPr>
              <w:ind w:left="0" w:firstLine="0"/>
              <w:rPr>
                <w:rFonts w:ascii="Arial" w:eastAsia="Times New Roman" w:hAnsi="Arial" w:cs="Arial"/>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2DD5E83D" w14:textId="77777777" w:rsidR="00FC5D8C" w:rsidRPr="00F53E25" w:rsidRDefault="00FC5D8C" w:rsidP="00FC5D8C">
            <w:pPr>
              <w:ind w:left="0" w:firstLine="0"/>
              <w:rPr>
                <w:rFonts w:ascii="Times New Roman" w:eastAsia="Times New Roman" w:hAnsi="Times New Roman"/>
                <w:sz w:val="20"/>
                <w:szCs w:val="20"/>
                <w:lang w:eastAsia="en-GB"/>
              </w:rPr>
            </w:pPr>
          </w:p>
        </w:tc>
        <w:tc>
          <w:tcPr>
            <w:tcW w:w="1555" w:type="dxa"/>
            <w:tcBorders>
              <w:top w:val="nil"/>
              <w:left w:val="single" w:sz="4" w:space="0" w:color="auto"/>
              <w:bottom w:val="nil"/>
              <w:right w:val="nil"/>
            </w:tcBorders>
            <w:shd w:val="clear" w:color="auto" w:fill="auto"/>
            <w:noWrap/>
            <w:vAlign w:val="bottom"/>
            <w:hideMark/>
          </w:tcPr>
          <w:p w14:paraId="023B37C4"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c>
          <w:tcPr>
            <w:tcW w:w="1555" w:type="dxa"/>
            <w:tcBorders>
              <w:top w:val="nil"/>
              <w:left w:val="single" w:sz="4" w:space="0" w:color="auto"/>
              <w:bottom w:val="nil"/>
              <w:right w:val="nil"/>
            </w:tcBorders>
            <w:shd w:val="clear" w:color="auto" w:fill="auto"/>
            <w:noWrap/>
            <w:vAlign w:val="bottom"/>
            <w:hideMark/>
          </w:tcPr>
          <w:p w14:paraId="34D7183F"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c>
          <w:tcPr>
            <w:tcW w:w="1555" w:type="dxa"/>
            <w:tcBorders>
              <w:top w:val="nil"/>
              <w:left w:val="single" w:sz="4" w:space="0" w:color="auto"/>
              <w:bottom w:val="nil"/>
              <w:right w:val="nil"/>
            </w:tcBorders>
            <w:shd w:val="clear" w:color="auto" w:fill="auto"/>
            <w:noWrap/>
            <w:vAlign w:val="bottom"/>
            <w:hideMark/>
          </w:tcPr>
          <w:p w14:paraId="3AC9EBA7"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c>
          <w:tcPr>
            <w:tcW w:w="1555" w:type="dxa"/>
            <w:tcBorders>
              <w:top w:val="nil"/>
              <w:left w:val="nil"/>
              <w:bottom w:val="nil"/>
              <w:right w:val="single" w:sz="4" w:space="0" w:color="auto"/>
            </w:tcBorders>
            <w:shd w:val="clear" w:color="auto" w:fill="auto"/>
            <w:noWrap/>
            <w:vAlign w:val="bottom"/>
            <w:hideMark/>
          </w:tcPr>
          <w:p w14:paraId="6F622A13"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r>
      <w:tr w:rsidR="00FC5D8C" w:rsidRPr="00F53E25" w14:paraId="139D60F3" w14:textId="77777777" w:rsidTr="0076398C">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0C2F1738" w14:textId="739F9155" w:rsidR="00FC5D8C" w:rsidRPr="00F53E25" w:rsidRDefault="00FC5D8C" w:rsidP="00FC5D8C">
            <w:pPr>
              <w:ind w:left="0" w:firstLine="0"/>
              <w:rPr>
                <w:rFonts w:eastAsia="Times New Roman" w:cs="Calibri"/>
                <w:b/>
                <w:bCs/>
                <w:color w:val="000000"/>
                <w:sz w:val="20"/>
                <w:szCs w:val="20"/>
                <w:lang w:eastAsia="en-GB"/>
              </w:rPr>
            </w:pPr>
            <w:r w:rsidRPr="00F53E25">
              <w:rPr>
                <w:rFonts w:eastAsia="Times New Roman" w:cs="Calibri"/>
                <w:b/>
                <w:bCs/>
                <w:color w:val="000000"/>
                <w:sz w:val="20"/>
                <w:szCs w:val="20"/>
                <w:lang w:eastAsia="en-GB"/>
              </w:rPr>
              <w:t>GASTOS</w:t>
            </w:r>
          </w:p>
        </w:tc>
        <w:tc>
          <w:tcPr>
            <w:tcW w:w="1554" w:type="dxa"/>
            <w:tcBorders>
              <w:top w:val="nil"/>
              <w:left w:val="nil"/>
              <w:bottom w:val="nil"/>
              <w:right w:val="nil"/>
            </w:tcBorders>
            <w:shd w:val="clear" w:color="auto" w:fill="auto"/>
            <w:noWrap/>
            <w:vAlign w:val="bottom"/>
            <w:hideMark/>
          </w:tcPr>
          <w:p w14:paraId="059A6F27" w14:textId="77777777" w:rsidR="00FC5D8C" w:rsidRPr="00F53E25" w:rsidRDefault="00FC5D8C" w:rsidP="00FC5D8C">
            <w:pPr>
              <w:ind w:left="0" w:firstLine="0"/>
              <w:rPr>
                <w:rFonts w:eastAsia="Times New Roman" w:cs="Calibri"/>
                <w:b/>
                <w:bCs/>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10A6DA4D" w14:textId="77777777" w:rsidR="00FC5D8C" w:rsidRPr="00F53E25" w:rsidRDefault="00FC5D8C" w:rsidP="00FC5D8C">
            <w:pPr>
              <w:ind w:left="0" w:firstLine="0"/>
              <w:rPr>
                <w:rFonts w:ascii="Times New Roman" w:eastAsia="Times New Roman" w:hAnsi="Times New Roman"/>
                <w:sz w:val="20"/>
                <w:szCs w:val="20"/>
                <w:lang w:eastAsia="en-GB"/>
              </w:rPr>
            </w:pPr>
          </w:p>
        </w:tc>
        <w:tc>
          <w:tcPr>
            <w:tcW w:w="1555" w:type="dxa"/>
            <w:tcBorders>
              <w:top w:val="nil"/>
              <w:left w:val="single" w:sz="4" w:space="0" w:color="auto"/>
              <w:bottom w:val="nil"/>
              <w:right w:val="nil"/>
            </w:tcBorders>
            <w:shd w:val="clear" w:color="auto" w:fill="auto"/>
            <w:noWrap/>
            <w:vAlign w:val="bottom"/>
            <w:hideMark/>
          </w:tcPr>
          <w:p w14:paraId="6C11791D"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c>
          <w:tcPr>
            <w:tcW w:w="1555" w:type="dxa"/>
            <w:tcBorders>
              <w:top w:val="nil"/>
              <w:left w:val="nil"/>
              <w:bottom w:val="nil"/>
              <w:right w:val="nil"/>
            </w:tcBorders>
            <w:shd w:val="clear" w:color="auto" w:fill="auto"/>
            <w:noWrap/>
            <w:vAlign w:val="bottom"/>
            <w:hideMark/>
          </w:tcPr>
          <w:p w14:paraId="75602FC3" w14:textId="77777777" w:rsidR="00FC5D8C" w:rsidRPr="00F53E25" w:rsidRDefault="00FC5D8C" w:rsidP="00FC5D8C">
            <w:pPr>
              <w:ind w:left="0" w:firstLine="0"/>
              <w:rPr>
                <w:rFonts w:ascii="Arial" w:eastAsia="Times New Roman" w:hAnsi="Arial" w:cs="Arial"/>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06155124" w14:textId="77777777" w:rsidR="00FC5D8C" w:rsidRPr="00F53E25" w:rsidRDefault="00FC5D8C" w:rsidP="00FC5D8C">
            <w:pPr>
              <w:ind w:left="0" w:firstLine="0"/>
              <w:rPr>
                <w:rFonts w:ascii="Times New Roman" w:eastAsia="Times New Roman" w:hAnsi="Times New Roman"/>
                <w:sz w:val="20"/>
                <w:szCs w:val="20"/>
                <w:lang w:eastAsia="en-GB"/>
              </w:rPr>
            </w:pPr>
          </w:p>
        </w:tc>
        <w:tc>
          <w:tcPr>
            <w:tcW w:w="1555" w:type="dxa"/>
            <w:tcBorders>
              <w:top w:val="nil"/>
              <w:left w:val="nil"/>
              <w:bottom w:val="single" w:sz="4" w:space="0" w:color="auto"/>
              <w:right w:val="single" w:sz="4" w:space="0" w:color="auto"/>
            </w:tcBorders>
            <w:shd w:val="clear" w:color="auto" w:fill="auto"/>
            <w:noWrap/>
            <w:vAlign w:val="bottom"/>
            <w:hideMark/>
          </w:tcPr>
          <w:p w14:paraId="7AD68AF2" w14:textId="77777777" w:rsidR="00FC5D8C" w:rsidRPr="00F53E25" w:rsidRDefault="00FC5D8C" w:rsidP="00FC5D8C">
            <w:pPr>
              <w:ind w:left="0" w:firstLine="0"/>
              <w:rPr>
                <w:rFonts w:ascii="Arial" w:eastAsia="Times New Roman" w:hAnsi="Arial" w:cs="Arial"/>
                <w:color w:val="000000"/>
                <w:sz w:val="20"/>
                <w:szCs w:val="20"/>
                <w:lang w:eastAsia="en-GB"/>
              </w:rPr>
            </w:pPr>
            <w:r w:rsidRPr="00F53E25">
              <w:rPr>
                <w:rFonts w:ascii="Arial" w:eastAsia="Times New Roman" w:hAnsi="Arial" w:cs="Arial"/>
                <w:color w:val="000000"/>
                <w:sz w:val="20"/>
                <w:szCs w:val="20"/>
                <w:lang w:eastAsia="en-GB"/>
              </w:rPr>
              <w:t> </w:t>
            </w:r>
          </w:p>
        </w:tc>
      </w:tr>
      <w:tr w:rsidR="00FC5D8C" w:rsidRPr="00F53E25" w14:paraId="40558E75"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179D07A5" w14:textId="3632CAFF" w:rsidR="00FC5D8C" w:rsidRPr="00F53E25" w:rsidRDefault="00FC5D8C" w:rsidP="00FC5D8C">
            <w:pPr>
              <w:ind w:left="0" w:firstLine="0"/>
              <w:rPr>
                <w:rFonts w:eastAsia="Times New Roman" w:cs="Calibri"/>
                <w:color w:val="000000"/>
                <w:sz w:val="20"/>
                <w:szCs w:val="20"/>
                <w:lang w:eastAsia="en-GB"/>
              </w:rPr>
            </w:pPr>
            <w:r w:rsidRPr="00F53E25">
              <w:rPr>
                <w:color w:val="000000" w:themeColor="text1"/>
                <w:sz w:val="20"/>
              </w:rPr>
              <w:t xml:space="preserve">A. </w:t>
            </w:r>
            <w:r w:rsidRPr="00F53E25">
              <w:rPr>
                <w:rFonts w:eastAsia="Times New Roman" w:cs="Calibri"/>
                <w:color w:val="000000" w:themeColor="text1"/>
                <w:sz w:val="20"/>
                <w:szCs w:val="20"/>
                <w:lang w:eastAsia="en-GB"/>
              </w:rPr>
              <w:t xml:space="preserve"> Personal directivo de la Secretaría y gobernanza</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7E3B15B6" w14:textId="45F699EB"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w:t>
            </w:r>
            <w:r w:rsidR="00B732B4" w:rsidRPr="00F53E25">
              <w:rPr>
                <w:rFonts w:eastAsia="Times New Roman" w:cs="Calibri"/>
                <w:b/>
                <w:bCs/>
                <w:color w:val="000000"/>
                <w:sz w:val="20"/>
                <w:szCs w:val="20"/>
                <w:lang w:eastAsia="en-GB"/>
              </w:rPr>
              <w:t xml:space="preserve"> </w:t>
            </w:r>
            <w:r w:rsidRPr="00F53E25">
              <w:rPr>
                <w:rFonts w:eastAsia="Times New Roman" w:cs="Calibri"/>
                <w:b/>
                <w:bCs/>
                <w:color w:val="000000"/>
                <w:sz w:val="20"/>
                <w:szCs w:val="20"/>
                <w:lang w:eastAsia="en-GB"/>
              </w:rPr>
              <w:t>033</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3BBCDFFA"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7E95335"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2D2A0CD8"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175</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413B8639" w14:textId="77777777"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18</w:t>
            </w:r>
          </w:p>
        </w:tc>
        <w:tc>
          <w:tcPr>
            <w:tcW w:w="1555" w:type="dxa"/>
            <w:tcBorders>
              <w:top w:val="nil"/>
              <w:left w:val="nil"/>
              <w:bottom w:val="single" w:sz="4" w:space="0" w:color="auto"/>
              <w:right w:val="single" w:sz="4" w:space="0" w:color="auto"/>
            </w:tcBorders>
            <w:shd w:val="clear" w:color="000000" w:fill="EAF1DD"/>
            <w:noWrap/>
            <w:vAlign w:val="center"/>
            <w:hideMark/>
          </w:tcPr>
          <w:p w14:paraId="239904B0" w14:textId="457896B3" w:rsidR="00FC5D8C" w:rsidRPr="00F53E25" w:rsidRDefault="00FC5D8C" w:rsidP="00FC5D8C">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w:t>
            </w:r>
            <w:r w:rsidR="00B732B4" w:rsidRPr="00F53E25">
              <w:rPr>
                <w:rFonts w:eastAsia="Times New Roman" w:cs="Calibri"/>
                <w:b/>
                <w:bCs/>
                <w:color w:val="000000"/>
                <w:sz w:val="20"/>
                <w:szCs w:val="20"/>
                <w:lang w:eastAsia="en-GB"/>
              </w:rPr>
              <w:t xml:space="preserve"> </w:t>
            </w:r>
            <w:r w:rsidRPr="00F53E25">
              <w:rPr>
                <w:rFonts w:eastAsia="Times New Roman" w:cs="Calibri"/>
                <w:b/>
                <w:bCs/>
                <w:color w:val="000000"/>
                <w:sz w:val="20"/>
                <w:szCs w:val="20"/>
                <w:lang w:eastAsia="en-GB"/>
              </w:rPr>
              <w:t>231</w:t>
            </w:r>
          </w:p>
        </w:tc>
      </w:tr>
      <w:tr w:rsidR="00FC5D8C" w:rsidRPr="00F53E25" w14:paraId="6A0CBF3B"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D46F306" w14:textId="7F93DD8B" w:rsidR="00FC5D8C" w:rsidRPr="00F53E25" w:rsidRDefault="00B732B4"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Salarios y gastos sociales</w:t>
            </w:r>
          </w:p>
        </w:tc>
        <w:tc>
          <w:tcPr>
            <w:tcW w:w="1554" w:type="dxa"/>
            <w:tcBorders>
              <w:top w:val="nil"/>
              <w:left w:val="nil"/>
              <w:bottom w:val="single" w:sz="4" w:space="0" w:color="auto"/>
              <w:right w:val="single" w:sz="4" w:space="0" w:color="auto"/>
            </w:tcBorders>
            <w:shd w:val="clear" w:color="auto" w:fill="auto"/>
            <w:noWrap/>
            <w:vAlign w:val="center"/>
            <w:hideMark/>
          </w:tcPr>
          <w:p w14:paraId="15E602D3"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942</w:t>
            </w:r>
          </w:p>
        </w:tc>
        <w:tc>
          <w:tcPr>
            <w:tcW w:w="1555" w:type="dxa"/>
            <w:tcBorders>
              <w:top w:val="nil"/>
              <w:left w:val="nil"/>
              <w:bottom w:val="single" w:sz="4" w:space="0" w:color="auto"/>
              <w:right w:val="single" w:sz="4" w:space="0" w:color="auto"/>
            </w:tcBorders>
            <w:shd w:val="clear" w:color="auto" w:fill="auto"/>
            <w:noWrap/>
            <w:vAlign w:val="center"/>
            <w:hideMark/>
          </w:tcPr>
          <w:p w14:paraId="340723BB"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0F296ED"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594BB58" w14:textId="77777777" w:rsidR="00FC5D8C" w:rsidRPr="00F53E25" w:rsidRDefault="00FC5D8C" w:rsidP="00FC5D8C">
            <w:pPr>
              <w:ind w:left="0" w:firstLine="0"/>
              <w:jc w:val="right"/>
              <w:rPr>
                <w:rFonts w:eastAsia="Times New Roman" w:cs="Calibri"/>
                <w:sz w:val="20"/>
                <w:szCs w:val="20"/>
                <w:lang w:eastAsia="en-GB"/>
              </w:rPr>
            </w:pPr>
            <w:r w:rsidRPr="00F53E25">
              <w:rPr>
                <w:rFonts w:eastAsia="Times New Roman" w:cs="Calibri"/>
                <w:sz w:val="20"/>
                <w:szCs w:val="20"/>
                <w:lang w:eastAsia="en-GB"/>
              </w:rPr>
              <w:t>101</w:t>
            </w:r>
          </w:p>
        </w:tc>
        <w:tc>
          <w:tcPr>
            <w:tcW w:w="1555" w:type="dxa"/>
            <w:tcBorders>
              <w:top w:val="nil"/>
              <w:left w:val="nil"/>
              <w:bottom w:val="single" w:sz="4" w:space="0" w:color="auto"/>
              <w:right w:val="single" w:sz="4" w:space="0" w:color="auto"/>
            </w:tcBorders>
            <w:shd w:val="clear" w:color="auto" w:fill="auto"/>
            <w:noWrap/>
            <w:vAlign w:val="center"/>
            <w:hideMark/>
          </w:tcPr>
          <w:p w14:paraId="75E3F01D" w14:textId="77777777" w:rsidR="00FC5D8C" w:rsidRPr="00F53E25" w:rsidRDefault="00FC5D8C" w:rsidP="00FC5D8C">
            <w:pPr>
              <w:ind w:left="0" w:firstLine="0"/>
              <w:jc w:val="right"/>
              <w:rPr>
                <w:rFonts w:eastAsia="Times New Roman" w:cs="Calibri"/>
                <w:sz w:val="20"/>
                <w:szCs w:val="20"/>
                <w:lang w:eastAsia="en-GB"/>
              </w:rPr>
            </w:pPr>
            <w:r w:rsidRPr="00F53E25">
              <w:rPr>
                <w:rFonts w:eastAsia="Times New Roman" w:cs="Calibri"/>
                <w:sz w:val="20"/>
                <w:szCs w:val="20"/>
                <w:lang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447F7DDF" w14:textId="58129DC0"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w:t>
            </w:r>
            <w:r w:rsidR="00B732B4" w:rsidRPr="00F53E25">
              <w:rPr>
                <w:rFonts w:eastAsia="Times New Roman" w:cs="Calibri"/>
                <w:color w:val="000000"/>
                <w:sz w:val="20"/>
                <w:szCs w:val="20"/>
                <w:lang w:eastAsia="en-GB"/>
              </w:rPr>
              <w:t xml:space="preserve"> </w:t>
            </w:r>
            <w:r w:rsidRPr="00F53E25">
              <w:rPr>
                <w:rFonts w:eastAsia="Times New Roman" w:cs="Calibri"/>
                <w:color w:val="000000"/>
                <w:sz w:val="20"/>
                <w:szCs w:val="20"/>
                <w:lang w:eastAsia="en-GB"/>
              </w:rPr>
              <w:t>103</w:t>
            </w:r>
          </w:p>
        </w:tc>
      </w:tr>
      <w:tr w:rsidR="00FC5D8C" w:rsidRPr="00F53E25" w14:paraId="3DB12B7E"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61137DE" w14:textId="422413AD" w:rsidR="00FC5D8C" w:rsidRPr="00F53E25" w:rsidRDefault="00B732B4"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Otras prestaciones laborales</w:t>
            </w:r>
          </w:p>
        </w:tc>
        <w:tc>
          <w:tcPr>
            <w:tcW w:w="1554" w:type="dxa"/>
            <w:tcBorders>
              <w:top w:val="nil"/>
              <w:left w:val="nil"/>
              <w:bottom w:val="single" w:sz="4" w:space="0" w:color="auto"/>
              <w:right w:val="single" w:sz="4" w:space="0" w:color="auto"/>
            </w:tcBorders>
            <w:shd w:val="clear" w:color="auto" w:fill="auto"/>
            <w:noWrap/>
            <w:vAlign w:val="center"/>
            <w:hideMark/>
          </w:tcPr>
          <w:p w14:paraId="5D98F5AC"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51</w:t>
            </w:r>
          </w:p>
        </w:tc>
        <w:tc>
          <w:tcPr>
            <w:tcW w:w="1555" w:type="dxa"/>
            <w:tcBorders>
              <w:top w:val="nil"/>
              <w:left w:val="nil"/>
              <w:bottom w:val="single" w:sz="4" w:space="0" w:color="auto"/>
              <w:right w:val="single" w:sz="4" w:space="0" w:color="auto"/>
            </w:tcBorders>
            <w:shd w:val="clear" w:color="auto" w:fill="auto"/>
            <w:noWrap/>
            <w:vAlign w:val="center"/>
            <w:hideMark/>
          </w:tcPr>
          <w:p w14:paraId="50159FE6"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A42147"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B9DA21E"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6961465E"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(42)</w:t>
            </w:r>
          </w:p>
        </w:tc>
        <w:tc>
          <w:tcPr>
            <w:tcW w:w="1555" w:type="dxa"/>
            <w:tcBorders>
              <w:top w:val="nil"/>
              <w:left w:val="nil"/>
              <w:bottom w:val="single" w:sz="4" w:space="0" w:color="auto"/>
              <w:right w:val="single" w:sz="4" w:space="0" w:color="auto"/>
            </w:tcBorders>
            <w:shd w:val="clear" w:color="auto" w:fill="auto"/>
            <w:noWrap/>
            <w:vAlign w:val="center"/>
            <w:hideMark/>
          </w:tcPr>
          <w:p w14:paraId="53D56C86"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59</w:t>
            </w:r>
          </w:p>
        </w:tc>
      </w:tr>
      <w:tr w:rsidR="00FC5D8C" w:rsidRPr="00F53E25" w14:paraId="5CEF1CAE"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0DE604E" w14:textId="06861C86" w:rsidR="00FC5D8C" w:rsidRPr="00F53E25" w:rsidRDefault="00B732B4"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Viajes</w:t>
            </w:r>
          </w:p>
        </w:tc>
        <w:tc>
          <w:tcPr>
            <w:tcW w:w="1554" w:type="dxa"/>
            <w:tcBorders>
              <w:top w:val="nil"/>
              <w:left w:val="nil"/>
              <w:bottom w:val="single" w:sz="4" w:space="0" w:color="auto"/>
              <w:right w:val="single" w:sz="4" w:space="0" w:color="auto"/>
            </w:tcBorders>
            <w:shd w:val="clear" w:color="auto" w:fill="auto"/>
            <w:noWrap/>
            <w:vAlign w:val="center"/>
            <w:hideMark/>
          </w:tcPr>
          <w:p w14:paraId="7E2180E0"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40</w:t>
            </w:r>
          </w:p>
        </w:tc>
        <w:tc>
          <w:tcPr>
            <w:tcW w:w="1555" w:type="dxa"/>
            <w:tcBorders>
              <w:top w:val="nil"/>
              <w:left w:val="nil"/>
              <w:bottom w:val="single" w:sz="4" w:space="0" w:color="auto"/>
              <w:right w:val="single" w:sz="4" w:space="0" w:color="auto"/>
            </w:tcBorders>
            <w:shd w:val="clear" w:color="auto" w:fill="auto"/>
            <w:noWrap/>
            <w:vAlign w:val="center"/>
            <w:hideMark/>
          </w:tcPr>
          <w:p w14:paraId="665A0AD5"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5E7827"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E3443C9"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24</w:t>
            </w:r>
          </w:p>
        </w:tc>
        <w:tc>
          <w:tcPr>
            <w:tcW w:w="1555" w:type="dxa"/>
            <w:tcBorders>
              <w:top w:val="nil"/>
              <w:left w:val="nil"/>
              <w:bottom w:val="single" w:sz="4" w:space="0" w:color="auto"/>
              <w:right w:val="single" w:sz="4" w:space="0" w:color="auto"/>
            </w:tcBorders>
            <w:shd w:val="clear" w:color="auto" w:fill="auto"/>
            <w:noWrap/>
            <w:vAlign w:val="center"/>
            <w:hideMark/>
          </w:tcPr>
          <w:p w14:paraId="66196B21" w14:textId="77777777" w:rsidR="00FC5D8C" w:rsidRPr="00F53E25" w:rsidRDefault="00FC5D8C"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82FCD97"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69</w:t>
            </w:r>
          </w:p>
        </w:tc>
      </w:tr>
      <w:tr w:rsidR="00B732B4" w:rsidRPr="00F53E25" w14:paraId="6976545E"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5C2C1EBE" w14:textId="57919C8B"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B.</w:t>
            </w:r>
            <w:r w:rsidRPr="00F53E25">
              <w:rPr>
                <w:rFonts w:eastAsia="Times New Roman" w:cs="Calibri"/>
                <w:color w:val="000000"/>
                <w:sz w:val="20"/>
                <w:szCs w:val="20"/>
                <w:lang w:eastAsia="en-GB"/>
              </w:rPr>
              <w:t xml:space="preserve"> </w:t>
            </w:r>
            <w:r w:rsidRPr="00F53E25">
              <w:rPr>
                <w:color w:val="000000"/>
                <w:sz w:val="20"/>
              </w:rPr>
              <w:t xml:space="preserve"> Movilización de recursos y promoción</w:t>
            </w:r>
          </w:p>
        </w:tc>
        <w:tc>
          <w:tcPr>
            <w:tcW w:w="1554" w:type="dxa"/>
            <w:tcBorders>
              <w:top w:val="nil"/>
              <w:left w:val="nil"/>
              <w:bottom w:val="single" w:sz="4" w:space="0" w:color="auto"/>
              <w:right w:val="single" w:sz="4" w:space="0" w:color="auto"/>
            </w:tcBorders>
            <w:shd w:val="clear" w:color="000000" w:fill="EAF1DD"/>
            <w:noWrap/>
            <w:vAlign w:val="center"/>
            <w:hideMark/>
          </w:tcPr>
          <w:p w14:paraId="23A44F91"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603</w:t>
            </w:r>
          </w:p>
        </w:tc>
        <w:tc>
          <w:tcPr>
            <w:tcW w:w="1555" w:type="dxa"/>
            <w:tcBorders>
              <w:top w:val="nil"/>
              <w:left w:val="nil"/>
              <w:bottom w:val="single" w:sz="4" w:space="0" w:color="auto"/>
              <w:right w:val="single" w:sz="4" w:space="0" w:color="auto"/>
            </w:tcBorders>
            <w:shd w:val="clear" w:color="000000" w:fill="EAF1DD"/>
            <w:noWrap/>
            <w:vAlign w:val="center"/>
            <w:hideMark/>
          </w:tcPr>
          <w:p w14:paraId="718D40C5"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45</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52FAB043"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164</w:t>
            </w:r>
          </w:p>
        </w:tc>
        <w:tc>
          <w:tcPr>
            <w:tcW w:w="1555" w:type="dxa"/>
            <w:tcBorders>
              <w:top w:val="nil"/>
              <w:left w:val="nil"/>
              <w:bottom w:val="single" w:sz="4" w:space="0" w:color="auto"/>
              <w:right w:val="single" w:sz="4" w:space="0" w:color="auto"/>
            </w:tcBorders>
            <w:shd w:val="clear" w:color="000000" w:fill="EAF1DD"/>
            <w:noWrap/>
            <w:vAlign w:val="center"/>
            <w:hideMark/>
          </w:tcPr>
          <w:p w14:paraId="7648ED5A"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50</w:t>
            </w:r>
          </w:p>
        </w:tc>
        <w:tc>
          <w:tcPr>
            <w:tcW w:w="1555" w:type="dxa"/>
            <w:tcBorders>
              <w:top w:val="nil"/>
              <w:left w:val="nil"/>
              <w:bottom w:val="single" w:sz="4" w:space="0" w:color="auto"/>
              <w:right w:val="single" w:sz="4" w:space="0" w:color="auto"/>
            </w:tcBorders>
            <w:shd w:val="clear" w:color="000000" w:fill="EAF1DD"/>
            <w:noWrap/>
            <w:vAlign w:val="center"/>
            <w:hideMark/>
          </w:tcPr>
          <w:p w14:paraId="66C68EED"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(70)</w:t>
            </w:r>
          </w:p>
        </w:tc>
        <w:tc>
          <w:tcPr>
            <w:tcW w:w="1555" w:type="dxa"/>
            <w:tcBorders>
              <w:top w:val="nil"/>
              <w:left w:val="nil"/>
              <w:bottom w:val="single" w:sz="4" w:space="0" w:color="auto"/>
              <w:right w:val="single" w:sz="4" w:space="0" w:color="auto"/>
            </w:tcBorders>
            <w:shd w:val="clear" w:color="000000" w:fill="EAF1DD"/>
            <w:noWrap/>
            <w:vAlign w:val="center"/>
            <w:hideMark/>
          </w:tcPr>
          <w:p w14:paraId="6A661667"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791</w:t>
            </w:r>
          </w:p>
        </w:tc>
      </w:tr>
      <w:tr w:rsidR="00FC5D8C" w:rsidRPr="00F53E25" w14:paraId="79005B8D"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B8F8A03" w14:textId="3639362F" w:rsidR="00FC5D8C" w:rsidRPr="00F53E25" w:rsidRDefault="00B732B4"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Salarios y gastos sociales</w:t>
            </w:r>
          </w:p>
        </w:tc>
        <w:tc>
          <w:tcPr>
            <w:tcW w:w="1554" w:type="dxa"/>
            <w:tcBorders>
              <w:top w:val="nil"/>
              <w:left w:val="nil"/>
              <w:bottom w:val="single" w:sz="4" w:space="0" w:color="auto"/>
              <w:right w:val="single" w:sz="4" w:space="0" w:color="auto"/>
            </w:tcBorders>
            <w:shd w:val="clear" w:color="auto" w:fill="auto"/>
            <w:noWrap/>
            <w:vAlign w:val="center"/>
            <w:hideMark/>
          </w:tcPr>
          <w:p w14:paraId="4CAE9C8F"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462</w:t>
            </w:r>
          </w:p>
        </w:tc>
        <w:tc>
          <w:tcPr>
            <w:tcW w:w="1555" w:type="dxa"/>
            <w:tcBorders>
              <w:top w:val="nil"/>
              <w:left w:val="nil"/>
              <w:bottom w:val="single" w:sz="4" w:space="0" w:color="auto"/>
              <w:right w:val="single" w:sz="4" w:space="0" w:color="auto"/>
            </w:tcBorders>
            <w:shd w:val="clear" w:color="auto" w:fill="auto"/>
            <w:noWrap/>
            <w:vAlign w:val="center"/>
            <w:hideMark/>
          </w:tcPr>
          <w:p w14:paraId="61B9035F"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1C34328"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AF421BD"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52BEF8B8"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(70)</w:t>
            </w:r>
          </w:p>
        </w:tc>
        <w:tc>
          <w:tcPr>
            <w:tcW w:w="1555" w:type="dxa"/>
            <w:tcBorders>
              <w:top w:val="nil"/>
              <w:left w:val="nil"/>
              <w:bottom w:val="single" w:sz="4" w:space="0" w:color="auto"/>
              <w:right w:val="single" w:sz="4" w:space="0" w:color="auto"/>
            </w:tcBorders>
            <w:shd w:val="clear" w:color="auto" w:fill="auto"/>
            <w:noWrap/>
            <w:vAlign w:val="center"/>
            <w:hideMark/>
          </w:tcPr>
          <w:p w14:paraId="0358995E"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427</w:t>
            </w:r>
          </w:p>
        </w:tc>
      </w:tr>
      <w:tr w:rsidR="00FC5D8C" w:rsidRPr="00F53E25" w14:paraId="343D89B2"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DC5171A" w14:textId="743DAA29" w:rsidR="00FC5D8C" w:rsidRPr="00F53E25" w:rsidRDefault="00B732B4"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Otras prestaciones laborales</w:t>
            </w:r>
          </w:p>
        </w:tc>
        <w:tc>
          <w:tcPr>
            <w:tcW w:w="1554" w:type="dxa"/>
            <w:tcBorders>
              <w:top w:val="nil"/>
              <w:left w:val="nil"/>
              <w:bottom w:val="single" w:sz="4" w:space="0" w:color="auto"/>
              <w:right w:val="single" w:sz="4" w:space="0" w:color="auto"/>
            </w:tcBorders>
            <w:shd w:val="clear" w:color="auto" w:fill="auto"/>
            <w:noWrap/>
            <w:vAlign w:val="center"/>
            <w:hideMark/>
          </w:tcPr>
          <w:p w14:paraId="2D14030F"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w:t>
            </w:r>
          </w:p>
        </w:tc>
        <w:tc>
          <w:tcPr>
            <w:tcW w:w="1555" w:type="dxa"/>
            <w:tcBorders>
              <w:top w:val="nil"/>
              <w:left w:val="nil"/>
              <w:bottom w:val="single" w:sz="4" w:space="0" w:color="auto"/>
              <w:right w:val="single" w:sz="4" w:space="0" w:color="auto"/>
            </w:tcBorders>
            <w:shd w:val="clear" w:color="auto" w:fill="auto"/>
            <w:noWrap/>
            <w:vAlign w:val="center"/>
            <w:hideMark/>
          </w:tcPr>
          <w:p w14:paraId="73C61C48"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237DB16"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3DCA83F"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432F36C7" w14:textId="77777777" w:rsidR="00FC5D8C" w:rsidRPr="00F53E25" w:rsidRDefault="00FC5D8C" w:rsidP="00FC5D8C">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05554B7C" w14:textId="77777777" w:rsidR="00FC5D8C" w:rsidRPr="00F53E25" w:rsidRDefault="00FC5D8C" w:rsidP="00FC5D8C">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14</w:t>
            </w:r>
          </w:p>
        </w:tc>
      </w:tr>
      <w:tr w:rsidR="00B732B4" w:rsidRPr="00F53E25" w14:paraId="466E3EC4" w14:textId="77777777" w:rsidTr="0076398C">
        <w:trPr>
          <w:trHeight w:val="24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7D84D9A" w14:textId="2D01EE85"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Programa de CECoP</w:t>
            </w:r>
          </w:p>
        </w:tc>
        <w:tc>
          <w:tcPr>
            <w:tcW w:w="1554" w:type="dxa"/>
            <w:tcBorders>
              <w:top w:val="nil"/>
              <w:left w:val="nil"/>
              <w:bottom w:val="single" w:sz="4" w:space="0" w:color="auto"/>
              <w:right w:val="single" w:sz="4" w:space="0" w:color="auto"/>
            </w:tcBorders>
            <w:shd w:val="clear" w:color="auto" w:fill="auto"/>
            <w:noWrap/>
            <w:vAlign w:val="center"/>
            <w:hideMark/>
          </w:tcPr>
          <w:p w14:paraId="0025E1E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30</w:t>
            </w:r>
          </w:p>
        </w:tc>
        <w:tc>
          <w:tcPr>
            <w:tcW w:w="1555" w:type="dxa"/>
            <w:tcBorders>
              <w:top w:val="nil"/>
              <w:left w:val="nil"/>
              <w:bottom w:val="single" w:sz="4" w:space="0" w:color="auto"/>
              <w:right w:val="single" w:sz="4" w:space="0" w:color="auto"/>
            </w:tcBorders>
            <w:shd w:val="clear" w:color="auto" w:fill="auto"/>
            <w:noWrap/>
            <w:vAlign w:val="center"/>
            <w:hideMark/>
          </w:tcPr>
          <w:p w14:paraId="4858A71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0F42CD"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53</w:t>
            </w:r>
          </w:p>
        </w:tc>
        <w:tc>
          <w:tcPr>
            <w:tcW w:w="1555" w:type="dxa"/>
            <w:tcBorders>
              <w:top w:val="nil"/>
              <w:left w:val="nil"/>
              <w:bottom w:val="single" w:sz="4" w:space="0" w:color="auto"/>
              <w:right w:val="single" w:sz="4" w:space="0" w:color="auto"/>
            </w:tcBorders>
            <w:shd w:val="clear" w:color="auto" w:fill="auto"/>
            <w:noWrap/>
            <w:vAlign w:val="center"/>
            <w:hideMark/>
          </w:tcPr>
          <w:p w14:paraId="408276BC"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811CFFA"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0E64A72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83</w:t>
            </w:r>
          </w:p>
        </w:tc>
      </w:tr>
      <w:tr w:rsidR="00B732B4" w:rsidRPr="00F53E25" w14:paraId="3EA0F995" w14:textId="77777777" w:rsidTr="0076398C">
        <w:trPr>
          <w:trHeight w:val="525"/>
        </w:trPr>
        <w:tc>
          <w:tcPr>
            <w:tcW w:w="4983" w:type="dxa"/>
            <w:tcBorders>
              <w:top w:val="nil"/>
              <w:left w:val="single" w:sz="4" w:space="0" w:color="auto"/>
              <w:bottom w:val="single" w:sz="4" w:space="0" w:color="auto"/>
              <w:right w:val="single" w:sz="4" w:space="0" w:color="auto"/>
            </w:tcBorders>
            <w:shd w:val="clear" w:color="auto" w:fill="auto"/>
            <w:vAlign w:val="center"/>
            <w:hideMark/>
          </w:tcPr>
          <w:p w14:paraId="0E6AC1BE" w14:textId="133793A3"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Comunicaciones, traducciones, publicaciones e informes sobre la aplicación</w:t>
            </w:r>
          </w:p>
        </w:tc>
        <w:tc>
          <w:tcPr>
            <w:tcW w:w="1554" w:type="dxa"/>
            <w:tcBorders>
              <w:top w:val="nil"/>
              <w:left w:val="nil"/>
              <w:bottom w:val="single" w:sz="4" w:space="0" w:color="auto"/>
              <w:right w:val="single" w:sz="4" w:space="0" w:color="auto"/>
            </w:tcBorders>
            <w:shd w:val="clear" w:color="auto" w:fill="auto"/>
            <w:noWrap/>
            <w:vAlign w:val="center"/>
            <w:hideMark/>
          </w:tcPr>
          <w:p w14:paraId="3097560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38CB8F9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44FD61D"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79</w:t>
            </w:r>
          </w:p>
        </w:tc>
        <w:tc>
          <w:tcPr>
            <w:tcW w:w="1555" w:type="dxa"/>
            <w:tcBorders>
              <w:top w:val="nil"/>
              <w:left w:val="nil"/>
              <w:bottom w:val="single" w:sz="4" w:space="0" w:color="auto"/>
              <w:right w:val="single" w:sz="4" w:space="0" w:color="auto"/>
            </w:tcBorders>
            <w:shd w:val="clear" w:color="auto" w:fill="auto"/>
            <w:noWrap/>
            <w:vAlign w:val="center"/>
            <w:hideMark/>
          </w:tcPr>
          <w:p w14:paraId="35D5FCF7"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D564EE5"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31D85C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179</w:t>
            </w:r>
          </w:p>
        </w:tc>
      </w:tr>
      <w:tr w:rsidR="00B732B4" w:rsidRPr="00F53E25" w14:paraId="754C3320" w14:textId="77777777" w:rsidTr="0076398C">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40939302" w14:textId="7885C44C"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DMH</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787B914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7827EE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4A6F42"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20</w:t>
            </w:r>
          </w:p>
        </w:tc>
        <w:tc>
          <w:tcPr>
            <w:tcW w:w="1555" w:type="dxa"/>
            <w:tcBorders>
              <w:top w:val="nil"/>
              <w:left w:val="nil"/>
              <w:bottom w:val="single" w:sz="4" w:space="0" w:color="auto"/>
              <w:right w:val="single" w:sz="4" w:space="0" w:color="auto"/>
            </w:tcBorders>
            <w:shd w:val="clear" w:color="auto" w:fill="auto"/>
            <w:noWrap/>
            <w:vAlign w:val="center"/>
            <w:hideMark/>
          </w:tcPr>
          <w:p w14:paraId="569AF192"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1324988"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13B919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20</w:t>
            </w:r>
          </w:p>
        </w:tc>
      </w:tr>
      <w:tr w:rsidR="00B732B4" w:rsidRPr="00F53E25" w14:paraId="0AEA2E4F" w14:textId="77777777" w:rsidTr="0076398C">
        <w:trPr>
          <w:trHeight w:val="270"/>
        </w:trPr>
        <w:tc>
          <w:tcPr>
            <w:tcW w:w="4983" w:type="dxa"/>
            <w:tcBorders>
              <w:top w:val="single" w:sz="4" w:space="0" w:color="auto"/>
              <w:left w:val="single" w:sz="4" w:space="0" w:color="auto"/>
              <w:bottom w:val="single" w:sz="4" w:space="0" w:color="auto"/>
              <w:right w:val="nil"/>
            </w:tcBorders>
            <w:shd w:val="clear" w:color="auto" w:fill="auto"/>
            <w:noWrap/>
            <w:vAlign w:val="center"/>
            <w:hideMark/>
          </w:tcPr>
          <w:p w14:paraId="07524F76" w14:textId="39BCE54C"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 xml:space="preserve">50º </w:t>
            </w:r>
            <w:r w:rsidR="007F3AAE" w:rsidRPr="00F53E25">
              <w:rPr>
                <w:color w:val="000000"/>
                <w:sz w:val="20"/>
              </w:rPr>
              <w:t>a</w:t>
            </w:r>
            <w:r w:rsidRPr="00F53E25">
              <w:rPr>
                <w:color w:val="000000"/>
                <w:sz w:val="20"/>
              </w:rPr>
              <w:t>niversario en 2021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F06A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A6F3BF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D348C"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8</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AB5BE52"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95312FF"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30CBE3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8</w:t>
            </w:r>
          </w:p>
        </w:tc>
      </w:tr>
      <w:tr w:rsidR="00B732B4" w:rsidRPr="00F53E25" w14:paraId="10483105" w14:textId="77777777" w:rsidTr="0076398C">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F3682" w14:textId="3CB1EC0E"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Apoyo y desarrollo del sitio web/servicios informáticos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5DDB00B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36</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5B6CD5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F3A53"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4</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49D47D6"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10D9B3BD"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AD108B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40</w:t>
            </w:r>
          </w:p>
        </w:tc>
      </w:tr>
      <w:tr w:rsidR="00B732B4" w:rsidRPr="00F53E25" w14:paraId="081A4697" w14:textId="77777777" w:rsidTr="00FC0F0E">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D4CCE" w14:textId="5AB767C9"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lastRenderedPageBreak/>
              <w:t>Viajes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13C8595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8177A8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66E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E50778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00733D1"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4F5B997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20</w:t>
            </w:r>
          </w:p>
        </w:tc>
      </w:tr>
      <w:tr w:rsidR="00B732B4" w:rsidRPr="00F53E25" w14:paraId="7E0D8B80" w14:textId="77777777" w:rsidTr="00FC0F0E">
        <w:trPr>
          <w:trHeight w:val="270"/>
        </w:trPr>
        <w:tc>
          <w:tcPr>
            <w:tcW w:w="498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7312CDB8" w14:textId="7FDF3894"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 xml:space="preserve">C. </w:t>
            </w:r>
            <w:r w:rsidRPr="00F53E25">
              <w:rPr>
                <w:rFonts w:eastAsia="Times New Roman" w:cs="Calibri"/>
                <w:color w:val="000000"/>
                <w:sz w:val="20"/>
                <w:szCs w:val="20"/>
                <w:lang w:eastAsia="en-GB"/>
              </w:rPr>
              <w:t xml:space="preserve"> </w:t>
            </w:r>
            <w:r w:rsidRPr="00F53E25">
              <w:rPr>
                <w:color w:val="000000"/>
                <w:sz w:val="20"/>
              </w:rPr>
              <w:t>Asesoramiento y apoyo regionales</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336AF4E5" w14:textId="3142596C"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1 361</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2941C225"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10</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5AC1CDD2"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96</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5801DCF6"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225</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5A86A3E1"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(45)</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7A49D8C2" w14:textId="145DD4D9"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1 647</w:t>
            </w:r>
          </w:p>
        </w:tc>
      </w:tr>
      <w:tr w:rsidR="00B732B4" w:rsidRPr="00F53E25" w14:paraId="0741C5A2"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8ADA59C" w14:textId="7D47D0FB"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Salarios y gastos sociales</w:t>
            </w:r>
          </w:p>
        </w:tc>
        <w:tc>
          <w:tcPr>
            <w:tcW w:w="1554" w:type="dxa"/>
            <w:tcBorders>
              <w:top w:val="nil"/>
              <w:left w:val="nil"/>
              <w:bottom w:val="single" w:sz="4" w:space="0" w:color="auto"/>
              <w:right w:val="single" w:sz="4" w:space="0" w:color="auto"/>
            </w:tcBorders>
            <w:shd w:val="clear" w:color="auto" w:fill="auto"/>
            <w:noWrap/>
            <w:vAlign w:val="center"/>
            <w:hideMark/>
          </w:tcPr>
          <w:p w14:paraId="68B7321A" w14:textId="50CDB275"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1 214</w:t>
            </w:r>
          </w:p>
        </w:tc>
        <w:tc>
          <w:tcPr>
            <w:tcW w:w="1555" w:type="dxa"/>
            <w:tcBorders>
              <w:top w:val="nil"/>
              <w:left w:val="nil"/>
              <w:bottom w:val="single" w:sz="4" w:space="0" w:color="auto"/>
              <w:right w:val="single" w:sz="4" w:space="0" w:color="auto"/>
            </w:tcBorders>
            <w:shd w:val="clear" w:color="auto" w:fill="auto"/>
            <w:noWrap/>
            <w:vAlign w:val="center"/>
            <w:hideMark/>
          </w:tcPr>
          <w:p w14:paraId="570A06E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6B6D41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EF3FF0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187</w:t>
            </w:r>
          </w:p>
        </w:tc>
        <w:tc>
          <w:tcPr>
            <w:tcW w:w="1555" w:type="dxa"/>
            <w:tcBorders>
              <w:top w:val="nil"/>
              <w:left w:val="nil"/>
              <w:bottom w:val="single" w:sz="4" w:space="0" w:color="auto"/>
              <w:right w:val="single" w:sz="4" w:space="0" w:color="auto"/>
            </w:tcBorders>
            <w:shd w:val="clear" w:color="auto" w:fill="auto"/>
            <w:noWrap/>
            <w:vAlign w:val="center"/>
            <w:hideMark/>
          </w:tcPr>
          <w:p w14:paraId="118A921F"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0C14710D" w14:textId="23F946DA"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1 366</w:t>
            </w:r>
          </w:p>
        </w:tc>
      </w:tr>
      <w:tr w:rsidR="00B732B4" w:rsidRPr="00F53E25" w14:paraId="4A0074DE"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1479D64" w14:textId="6A9A6E60"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Otras prestaciones laborales</w:t>
            </w:r>
          </w:p>
        </w:tc>
        <w:tc>
          <w:tcPr>
            <w:tcW w:w="1554" w:type="dxa"/>
            <w:tcBorders>
              <w:top w:val="nil"/>
              <w:left w:val="nil"/>
              <w:bottom w:val="single" w:sz="4" w:space="0" w:color="auto"/>
              <w:right w:val="single" w:sz="4" w:space="0" w:color="auto"/>
            </w:tcBorders>
            <w:shd w:val="clear" w:color="auto" w:fill="auto"/>
            <w:noWrap/>
            <w:vAlign w:val="center"/>
            <w:hideMark/>
          </w:tcPr>
          <w:p w14:paraId="336DA80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10D3A57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280209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86FD65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13</w:t>
            </w:r>
          </w:p>
        </w:tc>
        <w:tc>
          <w:tcPr>
            <w:tcW w:w="1555" w:type="dxa"/>
            <w:tcBorders>
              <w:top w:val="nil"/>
              <w:left w:val="nil"/>
              <w:bottom w:val="single" w:sz="4" w:space="0" w:color="auto"/>
              <w:right w:val="single" w:sz="4" w:space="0" w:color="auto"/>
            </w:tcBorders>
            <w:shd w:val="clear" w:color="auto" w:fill="auto"/>
            <w:noWrap/>
            <w:vAlign w:val="center"/>
            <w:hideMark/>
          </w:tcPr>
          <w:p w14:paraId="657F1C70" w14:textId="77777777" w:rsidR="00B732B4" w:rsidRPr="00F53E25" w:rsidRDefault="00B732B4" w:rsidP="00B732B4">
            <w:pPr>
              <w:ind w:left="0" w:firstLine="0"/>
              <w:rPr>
                <w:rFonts w:eastAsia="Times New Roman" w:cs="Calibri"/>
                <w:sz w:val="20"/>
                <w:szCs w:val="20"/>
                <w:lang w:eastAsia="en-GB"/>
              </w:rPr>
            </w:pPr>
            <w:r w:rsidRPr="00F53E25">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872DFC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84</w:t>
            </w:r>
          </w:p>
        </w:tc>
      </w:tr>
      <w:tr w:rsidR="00B732B4" w:rsidRPr="00F53E25" w14:paraId="60AC1DAE"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E9047BC" w14:textId="588753D9"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Viajes</w:t>
            </w:r>
          </w:p>
        </w:tc>
        <w:tc>
          <w:tcPr>
            <w:tcW w:w="1554" w:type="dxa"/>
            <w:tcBorders>
              <w:top w:val="nil"/>
              <w:left w:val="nil"/>
              <w:bottom w:val="single" w:sz="4" w:space="0" w:color="auto"/>
              <w:right w:val="single" w:sz="4" w:space="0" w:color="auto"/>
            </w:tcBorders>
            <w:shd w:val="clear" w:color="auto" w:fill="auto"/>
            <w:noWrap/>
            <w:vAlign w:val="center"/>
            <w:hideMark/>
          </w:tcPr>
          <w:p w14:paraId="501CBE0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75</w:t>
            </w:r>
          </w:p>
        </w:tc>
        <w:tc>
          <w:tcPr>
            <w:tcW w:w="1555" w:type="dxa"/>
            <w:tcBorders>
              <w:top w:val="nil"/>
              <w:left w:val="nil"/>
              <w:bottom w:val="single" w:sz="4" w:space="0" w:color="auto"/>
              <w:right w:val="single" w:sz="4" w:space="0" w:color="auto"/>
            </w:tcBorders>
            <w:shd w:val="clear" w:color="auto" w:fill="auto"/>
            <w:noWrap/>
            <w:vAlign w:val="center"/>
            <w:hideMark/>
          </w:tcPr>
          <w:p w14:paraId="79B2FE5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2D51E3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4F5C5B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03AF59EC"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919750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100</w:t>
            </w:r>
          </w:p>
        </w:tc>
      </w:tr>
      <w:tr w:rsidR="00B732B4" w:rsidRPr="00F53E25" w14:paraId="330D32FE"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5FB91A0" w14:textId="46D60846"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Misiones Ramsar de Asesoramiento</w:t>
            </w:r>
          </w:p>
        </w:tc>
        <w:tc>
          <w:tcPr>
            <w:tcW w:w="1554" w:type="dxa"/>
            <w:tcBorders>
              <w:top w:val="nil"/>
              <w:left w:val="nil"/>
              <w:bottom w:val="single" w:sz="4" w:space="0" w:color="auto"/>
              <w:right w:val="single" w:sz="4" w:space="0" w:color="auto"/>
            </w:tcBorders>
            <w:shd w:val="clear" w:color="auto" w:fill="auto"/>
            <w:noWrap/>
            <w:vAlign w:val="center"/>
            <w:hideMark/>
          </w:tcPr>
          <w:p w14:paraId="5F0E72C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8570DD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EBAFC7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96</w:t>
            </w:r>
          </w:p>
        </w:tc>
        <w:tc>
          <w:tcPr>
            <w:tcW w:w="1555" w:type="dxa"/>
            <w:tcBorders>
              <w:top w:val="nil"/>
              <w:left w:val="nil"/>
              <w:bottom w:val="single" w:sz="4" w:space="0" w:color="auto"/>
              <w:right w:val="single" w:sz="4" w:space="0" w:color="auto"/>
            </w:tcBorders>
            <w:shd w:val="clear" w:color="auto" w:fill="auto"/>
            <w:noWrap/>
            <w:vAlign w:val="center"/>
            <w:hideMark/>
          </w:tcPr>
          <w:p w14:paraId="7674821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EAFF89C" w14:textId="77777777" w:rsidR="00B732B4" w:rsidRPr="00F53E25" w:rsidRDefault="00B732B4" w:rsidP="00B732B4">
            <w:pPr>
              <w:ind w:left="0" w:firstLine="0"/>
              <w:rPr>
                <w:rFonts w:eastAsia="Times New Roman" w:cs="Calibri"/>
                <w:sz w:val="20"/>
                <w:szCs w:val="20"/>
                <w:lang w:eastAsia="en-GB"/>
              </w:rPr>
            </w:pPr>
            <w:r w:rsidRPr="00F53E25">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FE1588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96</w:t>
            </w:r>
          </w:p>
        </w:tc>
      </w:tr>
      <w:tr w:rsidR="00B732B4" w:rsidRPr="00F53E25" w14:paraId="37654949"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1C6A03EE" w14:textId="72D4B3F8"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D.</w:t>
            </w:r>
            <w:r w:rsidRPr="00F53E25">
              <w:rPr>
                <w:rFonts w:eastAsia="Times New Roman" w:cs="Calibri"/>
                <w:color w:val="000000"/>
                <w:sz w:val="20"/>
                <w:szCs w:val="20"/>
                <w:lang w:eastAsia="en-GB"/>
              </w:rPr>
              <w:t xml:space="preserve"> </w:t>
            </w:r>
            <w:r w:rsidRPr="00F53E25">
              <w:rPr>
                <w:color w:val="000000"/>
                <w:sz w:val="20"/>
              </w:rPr>
              <w:t xml:space="preserve"> Apoyo a las iniciativas regionales</w:t>
            </w:r>
          </w:p>
        </w:tc>
        <w:tc>
          <w:tcPr>
            <w:tcW w:w="1554" w:type="dxa"/>
            <w:tcBorders>
              <w:top w:val="nil"/>
              <w:left w:val="nil"/>
              <w:bottom w:val="single" w:sz="4" w:space="0" w:color="auto"/>
              <w:right w:val="single" w:sz="4" w:space="0" w:color="auto"/>
            </w:tcBorders>
            <w:shd w:val="clear" w:color="000000" w:fill="EAF1DD"/>
            <w:noWrap/>
            <w:vAlign w:val="center"/>
            <w:hideMark/>
          </w:tcPr>
          <w:p w14:paraId="2A258A25"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100</w:t>
            </w:r>
          </w:p>
        </w:tc>
        <w:tc>
          <w:tcPr>
            <w:tcW w:w="1555" w:type="dxa"/>
            <w:tcBorders>
              <w:top w:val="nil"/>
              <w:left w:val="nil"/>
              <w:bottom w:val="single" w:sz="4" w:space="0" w:color="auto"/>
              <w:right w:val="single" w:sz="4" w:space="0" w:color="auto"/>
            </w:tcBorders>
            <w:shd w:val="clear" w:color="000000" w:fill="EAF1DD"/>
            <w:noWrap/>
            <w:vAlign w:val="center"/>
            <w:hideMark/>
          </w:tcPr>
          <w:p w14:paraId="7D316842"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6B799C5E"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97</w:t>
            </w:r>
          </w:p>
        </w:tc>
        <w:tc>
          <w:tcPr>
            <w:tcW w:w="1555" w:type="dxa"/>
            <w:tcBorders>
              <w:top w:val="nil"/>
              <w:left w:val="nil"/>
              <w:bottom w:val="single" w:sz="4" w:space="0" w:color="auto"/>
              <w:right w:val="single" w:sz="4" w:space="0" w:color="auto"/>
            </w:tcBorders>
            <w:shd w:val="clear" w:color="000000" w:fill="EAF1DD"/>
            <w:noWrap/>
            <w:vAlign w:val="center"/>
            <w:hideMark/>
          </w:tcPr>
          <w:p w14:paraId="3370ADAC"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04C36C24"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58184D96"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197</w:t>
            </w:r>
          </w:p>
        </w:tc>
      </w:tr>
      <w:tr w:rsidR="00B732B4" w:rsidRPr="00F53E25" w14:paraId="47F4A5CC" w14:textId="77777777" w:rsidTr="0076398C">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43B94E89" w14:textId="58F2BFC9"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GT-IR, Res. XIII.9, párr.</w:t>
            </w:r>
            <w:r w:rsidRPr="00F53E25">
              <w:rPr>
                <w:rFonts w:eastAsia="Times New Roman" w:cs="Calibri"/>
                <w:color w:val="000000"/>
                <w:sz w:val="20"/>
                <w:szCs w:val="20"/>
                <w:lang w:eastAsia="en-GB"/>
              </w:rPr>
              <w:t xml:space="preserve"> 10</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3706AF8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6883B5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358362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21</w:t>
            </w:r>
          </w:p>
        </w:tc>
        <w:tc>
          <w:tcPr>
            <w:tcW w:w="1555" w:type="dxa"/>
            <w:tcBorders>
              <w:top w:val="nil"/>
              <w:left w:val="nil"/>
              <w:bottom w:val="single" w:sz="4" w:space="0" w:color="auto"/>
              <w:right w:val="single" w:sz="4" w:space="0" w:color="auto"/>
            </w:tcBorders>
            <w:shd w:val="clear" w:color="auto" w:fill="auto"/>
            <w:noWrap/>
            <w:vAlign w:val="center"/>
            <w:hideMark/>
          </w:tcPr>
          <w:p w14:paraId="6A22DBB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6551D34"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A4E468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21</w:t>
            </w:r>
          </w:p>
        </w:tc>
      </w:tr>
      <w:tr w:rsidR="00B732B4" w:rsidRPr="00F53E25" w14:paraId="34EC1259" w14:textId="77777777" w:rsidTr="0076398C">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0F896D83" w14:textId="5FF583D9"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themeColor="text1"/>
                <w:sz w:val="20"/>
                <w:szCs w:val="20"/>
                <w:lang w:eastAsia="en-GB"/>
              </w:rPr>
              <w:t>Redacción de propuestas para las IRR</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263AEB5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D64588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DA4212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C98E2A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03B384C"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AEB6E1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r>
      <w:tr w:rsidR="00B732B4" w:rsidRPr="00F53E25" w14:paraId="330488A4"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F88B107" w14:textId="043645C0"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Actividad 1: Cuenca del río Senegal</w:t>
            </w:r>
          </w:p>
        </w:tc>
        <w:tc>
          <w:tcPr>
            <w:tcW w:w="1554" w:type="dxa"/>
            <w:tcBorders>
              <w:top w:val="nil"/>
              <w:left w:val="nil"/>
              <w:bottom w:val="single" w:sz="4" w:space="0" w:color="auto"/>
              <w:right w:val="single" w:sz="4" w:space="0" w:color="auto"/>
            </w:tcBorders>
            <w:shd w:val="clear" w:color="auto" w:fill="auto"/>
            <w:noWrap/>
            <w:vAlign w:val="center"/>
            <w:hideMark/>
          </w:tcPr>
          <w:p w14:paraId="19FC4B7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7EE6BEC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53105B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4B55DC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CDA7CF8"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4F9176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r>
      <w:tr w:rsidR="00B732B4" w:rsidRPr="00F53E25" w14:paraId="45F4562D"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FFABF76" w14:textId="3B21FAAF"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Actividad 2: Cuenca del río Amazonas</w:t>
            </w:r>
          </w:p>
        </w:tc>
        <w:tc>
          <w:tcPr>
            <w:tcW w:w="1554" w:type="dxa"/>
            <w:tcBorders>
              <w:top w:val="nil"/>
              <w:left w:val="nil"/>
              <w:bottom w:val="single" w:sz="4" w:space="0" w:color="auto"/>
              <w:right w:val="single" w:sz="4" w:space="0" w:color="auto"/>
            </w:tcBorders>
            <w:shd w:val="clear" w:color="auto" w:fill="auto"/>
            <w:noWrap/>
            <w:vAlign w:val="center"/>
            <w:hideMark/>
          </w:tcPr>
          <w:p w14:paraId="6190016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6C93EAE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A83349"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76</w:t>
            </w:r>
          </w:p>
        </w:tc>
        <w:tc>
          <w:tcPr>
            <w:tcW w:w="1555" w:type="dxa"/>
            <w:tcBorders>
              <w:top w:val="nil"/>
              <w:left w:val="nil"/>
              <w:bottom w:val="single" w:sz="4" w:space="0" w:color="auto"/>
              <w:right w:val="single" w:sz="4" w:space="0" w:color="auto"/>
            </w:tcBorders>
            <w:shd w:val="clear" w:color="auto" w:fill="auto"/>
            <w:noWrap/>
            <w:vAlign w:val="center"/>
            <w:hideMark/>
          </w:tcPr>
          <w:p w14:paraId="2CC41904"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A006958"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CD657D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101</w:t>
            </w:r>
          </w:p>
        </w:tc>
      </w:tr>
      <w:tr w:rsidR="00B732B4" w:rsidRPr="00F53E25" w14:paraId="5218558C"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99AE76C" w14:textId="6056BEF6"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Actividad 3: Asia Central</w:t>
            </w:r>
          </w:p>
        </w:tc>
        <w:tc>
          <w:tcPr>
            <w:tcW w:w="1554" w:type="dxa"/>
            <w:tcBorders>
              <w:top w:val="nil"/>
              <w:left w:val="nil"/>
              <w:bottom w:val="single" w:sz="4" w:space="0" w:color="auto"/>
              <w:right w:val="single" w:sz="4" w:space="0" w:color="auto"/>
            </w:tcBorders>
            <w:shd w:val="clear" w:color="auto" w:fill="auto"/>
            <w:noWrap/>
            <w:vAlign w:val="center"/>
            <w:hideMark/>
          </w:tcPr>
          <w:p w14:paraId="56ACE35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419B4B6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A8F92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66BFAC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77F9C01"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590765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r>
      <w:tr w:rsidR="00B732B4" w:rsidRPr="00F53E25" w14:paraId="5376D407"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A96BE52" w14:textId="1CC7E244"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Actividad 4: Indo-Birmana</w:t>
            </w:r>
          </w:p>
        </w:tc>
        <w:tc>
          <w:tcPr>
            <w:tcW w:w="1554" w:type="dxa"/>
            <w:tcBorders>
              <w:top w:val="nil"/>
              <w:left w:val="nil"/>
              <w:bottom w:val="single" w:sz="4" w:space="0" w:color="auto"/>
              <w:right w:val="single" w:sz="4" w:space="0" w:color="auto"/>
            </w:tcBorders>
            <w:shd w:val="clear" w:color="auto" w:fill="auto"/>
            <w:noWrap/>
            <w:vAlign w:val="center"/>
            <w:hideMark/>
          </w:tcPr>
          <w:p w14:paraId="540FF6D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037CEED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AE3A76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A9A6A4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0EBAE1C"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C83483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r>
      <w:tr w:rsidR="00B732B4" w:rsidRPr="00F53E25" w14:paraId="5EBC27E4"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10B0ED3C" w14:textId="0C26D29B"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E.</w:t>
            </w:r>
            <w:r w:rsidRPr="00F53E25">
              <w:rPr>
                <w:rFonts w:eastAsia="Times New Roman" w:cs="Calibri"/>
                <w:color w:val="000000"/>
                <w:sz w:val="20"/>
                <w:szCs w:val="20"/>
                <w:lang w:eastAsia="en-GB"/>
              </w:rPr>
              <w:t xml:space="preserve"> </w:t>
            </w:r>
            <w:r w:rsidRPr="00F53E25">
              <w:rPr>
                <w:color w:val="000000"/>
                <w:sz w:val="20"/>
              </w:rPr>
              <w:t xml:space="preserve"> Servicios científicos y técnicos</w:t>
            </w:r>
          </w:p>
        </w:tc>
        <w:tc>
          <w:tcPr>
            <w:tcW w:w="1554" w:type="dxa"/>
            <w:tcBorders>
              <w:top w:val="nil"/>
              <w:left w:val="nil"/>
              <w:bottom w:val="single" w:sz="4" w:space="0" w:color="auto"/>
              <w:right w:val="single" w:sz="4" w:space="0" w:color="auto"/>
            </w:tcBorders>
            <w:shd w:val="clear" w:color="000000" w:fill="EAF1DD"/>
            <w:noWrap/>
            <w:vAlign w:val="center"/>
            <w:hideMark/>
          </w:tcPr>
          <w:p w14:paraId="6E89BE5B"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722</w:t>
            </w:r>
          </w:p>
        </w:tc>
        <w:tc>
          <w:tcPr>
            <w:tcW w:w="1555" w:type="dxa"/>
            <w:tcBorders>
              <w:top w:val="nil"/>
              <w:left w:val="nil"/>
              <w:bottom w:val="single" w:sz="4" w:space="0" w:color="auto"/>
              <w:right w:val="single" w:sz="4" w:space="0" w:color="auto"/>
            </w:tcBorders>
            <w:shd w:val="clear" w:color="000000" w:fill="EAF1DD"/>
            <w:noWrap/>
            <w:vAlign w:val="center"/>
            <w:hideMark/>
          </w:tcPr>
          <w:p w14:paraId="3558A5AA"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24D8474C"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114</w:t>
            </w:r>
          </w:p>
        </w:tc>
        <w:tc>
          <w:tcPr>
            <w:tcW w:w="1555" w:type="dxa"/>
            <w:tcBorders>
              <w:top w:val="nil"/>
              <w:left w:val="nil"/>
              <w:bottom w:val="single" w:sz="4" w:space="0" w:color="auto"/>
              <w:right w:val="single" w:sz="4" w:space="0" w:color="auto"/>
            </w:tcBorders>
            <w:shd w:val="clear" w:color="000000" w:fill="EAF1DD"/>
            <w:noWrap/>
            <w:vAlign w:val="center"/>
            <w:hideMark/>
          </w:tcPr>
          <w:p w14:paraId="1833EE9A"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328</w:t>
            </w:r>
          </w:p>
        </w:tc>
        <w:tc>
          <w:tcPr>
            <w:tcW w:w="1555" w:type="dxa"/>
            <w:tcBorders>
              <w:top w:val="nil"/>
              <w:left w:val="nil"/>
              <w:bottom w:val="single" w:sz="4" w:space="0" w:color="auto"/>
              <w:right w:val="single" w:sz="4" w:space="0" w:color="auto"/>
            </w:tcBorders>
            <w:shd w:val="clear" w:color="000000" w:fill="EAF1DD"/>
            <w:noWrap/>
            <w:vAlign w:val="center"/>
            <w:hideMark/>
          </w:tcPr>
          <w:p w14:paraId="1B554212"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52</w:t>
            </w:r>
          </w:p>
        </w:tc>
        <w:tc>
          <w:tcPr>
            <w:tcW w:w="1555" w:type="dxa"/>
            <w:tcBorders>
              <w:top w:val="nil"/>
              <w:left w:val="nil"/>
              <w:bottom w:val="single" w:sz="4" w:space="0" w:color="auto"/>
              <w:right w:val="single" w:sz="4" w:space="0" w:color="auto"/>
            </w:tcBorders>
            <w:shd w:val="clear" w:color="000000" w:fill="EAF1DD"/>
            <w:noWrap/>
            <w:vAlign w:val="center"/>
            <w:hideMark/>
          </w:tcPr>
          <w:p w14:paraId="30D461E4" w14:textId="39042842"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1 221</w:t>
            </w:r>
          </w:p>
        </w:tc>
      </w:tr>
      <w:tr w:rsidR="00B732B4" w:rsidRPr="00F53E25" w14:paraId="6EDCD16B"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3533B47" w14:textId="10E76A5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Salarios y gastos sociales</w:t>
            </w:r>
          </w:p>
        </w:tc>
        <w:tc>
          <w:tcPr>
            <w:tcW w:w="1554" w:type="dxa"/>
            <w:tcBorders>
              <w:top w:val="nil"/>
              <w:left w:val="nil"/>
              <w:bottom w:val="single" w:sz="4" w:space="0" w:color="auto"/>
              <w:right w:val="single" w:sz="4" w:space="0" w:color="auto"/>
            </w:tcBorders>
            <w:shd w:val="clear" w:color="auto" w:fill="auto"/>
            <w:noWrap/>
            <w:vAlign w:val="center"/>
            <w:hideMark/>
          </w:tcPr>
          <w:p w14:paraId="5B1610B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575</w:t>
            </w:r>
          </w:p>
        </w:tc>
        <w:tc>
          <w:tcPr>
            <w:tcW w:w="1555" w:type="dxa"/>
            <w:tcBorders>
              <w:top w:val="nil"/>
              <w:left w:val="nil"/>
              <w:bottom w:val="single" w:sz="4" w:space="0" w:color="auto"/>
              <w:right w:val="single" w:sz="4" w:space="0" w:color="auto"/>
            </w:tcBorders>
            <w:shd w:val="clear" w:color="auto" w:fill="auto"/>
            <w:noWrap/>
            <w:vAlign w:val="center"/>
            <w:hideMark/>
          </w:tcPr>
          <w:p w14:paraId="788D564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33313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3F4D66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226</w:t>
            </w:r>
          </w:p>
        </w:tc>
        <w:tc>
          <w:tcPr>
            <w:tcW w:w="1555" w:type="dxa"/>
            <w:tcBorders>
              <w:top w:val="nil"/>
              <w:left w:val="nil"/>
              <w:bottom w:val="single" w:sz="4" w:space="0" w:color="auto"/>
              <w:right w:val="single" w:sz="4" w:space="0" w:color="auto"/>
            </w:tcBorders>
            <w:shd w:val="clear" w:color="auto" w:fill="auto"/>
            <w:noWrap/>
            <w:vAlign w:val="center"/>
            <w:hideMark/>
          </w:tcPr>
          <w:p w14:paraId="62D17D03" w14:textId="77777777" w:rsidR="00B732B4" w:rsidRPr="00F53E25" w:rsidRDefault="00B732B4" w:rsidP="00B732B4">
            <w:pPr>
              <w:ind w:left="0" w:firstLine="0"/>
              <w:rPr>
                <w:rFonts w:eastAsia="Times New Roman" w:cs="Calibri"/>
                <w:sz w:val="20"/>
                <w:szCs w:val="20"/>
                <w:lang w:eastAsia="en-GB"/>
              </w:rPr>
            </w:pPr>
            <w:r w:rsidRPr="00F53E25">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9B5CF4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801</w:t>
            </w:r>
          </w:p>
        </w:tc>
      </w:tr>
      <w:tr w:rsidR="00B732B4" w:rsidRPr="00F53E25" w14:paraId="382C82EF"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85AE9C9" w14:textId="4D2B25F0"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Otras prestaciones laborales</w:t>
            </w:r>
          </w:p>
        </w:tc>
        <w:tc>
          <w:tcPr>
            <w:tcW w:w="1554" w:type="dxa"/>
            <w:tcBorders>
              <w:top w:val="nil"/>
              <w:left w:val="nil"/>
              <w:bottom w:val="single" w:sz="4" w:space="0" w:color="auto"/>
              <w:right w:val="single" w:sz="4" w:space="0" w:color="auto"/>
            </w:tcBorders>
            <w:shd w:val="clear" w:color="auto" w:fill="auto"/>
            <w:noWrap/>
            <w:vAlign w:val="center"/>
            <w:hideMark/>
          </w:tcPr>
          <w:p w14:paraId="42C79DD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7EFFD29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73EEA9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w:t>
            </w:r>
          </w:p>
        </w:tc>
        <w:tc>
          <w:tcPr>
            <w:tcW w:w="1555" w:type="dxa"/>
            <w:tcBorders>
              <w:top w:val="nil"/>
              <w:left w:val="nil"/>
              <w:bottom w:val="single" w:sz="4" w:space="0" w:color="auto"/>
              <w:right w:val="single" w:sz="4" w:space="0" w:color="auto"/>
            </w:tcBorders>
            <w:shd w:val="clear" w:color="auto" w:fill="auto"/>
            <w:noWrap/>
            <w:vAlign w:val="center"/>
            <w:hideMark/>
          </w:tcPr>
          <w:p w14:paraId="03BB30F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F52932E"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42</w:t>
            </w:r>
          </w:p>
        </w:tc>
        <w:tc>
          <w:tcPr>
            <w:tcW w:w="1555" w:type="dxa"/>
            <w:tcBorders>
              <w:top w:val="nil"/>
              <w:left w:val="nil"/>
              <w:bottom w:val="single" w:sz="4" w:space="0" w:color="auto"/>
              <w:right w:val="single" w:sz="4" w:space="0" w:color="auto"/>
            </w:tcBorders>
            <w:shd w:val="clear" w:color="auto" w:fill="auto"/>
            <w:noWrap/>
            <w:vAlign w:val="center"/>
            <w:hideMark/>
          </w:tcPr>
          <w:p w14:paraId="5DE5139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53</w:t>
            </w:r>
          </w:p>
        </w:tc>
      </w:tr>
      <w:tr w:rsidR="00B732B4" w:rsidRPr="00F53E25" w14:paraId="29A55C4C"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EA7DBD3" w14:textId="0D14750F"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Viajes</w:t>
            </w:r>
          </w:p>
        </w:tc>
        <w:tc>
          <w:tcPr>
            <w:tcW w:w="1554" w:type="dxa"/>
            <w:tcBorders>
              <w:top w:val="nil"/>
              <w:left w:val="nil"/>
              <w:bottom w:val="single" w:sz="4" w:space="0" w:color="auto"/>
              <w:right w:val="single" w:sz="4" w:space="0" w:color="auto"/>
            </w:tcBorders>
            <w:shd w:val="clear" w:color="auto" w:fill="auto"/>
            <w:noWrap/>
            <w:vAlign w:val="center"/>
            <w:hideMark/>
          </w:tcPr>
          <w:p w14:paraId="28A8EEB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3D9C94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50A8AF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0831E1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4126672B"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950BE6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24</w:t>
            </w:r>
          </w:p>
        </w:tc>
      </w:tr>
      <w:tr w:rsidR="00B732B4" w:rsidRPr="00F53E25" w14:paraId="06A8020D"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7D29238" w14:textId="2DBA4932"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 xml:space="preserve">Viajes de la </w:t>
            </w:r>
            <w:r w:rsidR="00A065EA" w:rsidRPr="00F53E25">
              <w:rPr>
                <w:color w:val="000000"/>
                <w:sz w:val="20"/>
              </w:rPr>
              <w:t>P</w:t>
            </w:r>
            <w:r w:rsidRPr="00F53E25">
              <w:rPr>
                <w:color w:val="000000"/>
                <w:sz w:val="20"/>
              </w:rPr>
              <w:t>residencia del GECT</w:t>
            </w:r>
          </w:p>
        </w:tc>
        <w:tc>
          <w:tcPr>
            <w:tcW w:w="1554" w:type="dxa"/>
            <w:tcBorders>
              <w:top w:val="nil"/>
              <w:left w:val="nil"/>
              <w:bottom w:val="single" w:sz="4" w:space="0" w:color="auto"/>
              <w:right w:val="single" w:sz="4" w:space="0" w:color="auto"/>
            </w:tcBorders>
            <w:shd w:val="clear" w:color="auto" w:fill="auto"/>
            <w:noWrap/>
            <w:vAlign w:val="center"/>
            <w:hideMark/>
          </w:tcPr>
          <w:p w14:paraId="74405A8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w:t>
            </w:r>
          </w:p>
        </w:tc>
        <w:tc>
          <w:tcPr>
            <w:tcW w:w="1555" w:type="dxa"/>
            <w:tcBorders>
              <w:top w:val="nil"/>
              <w:left w:val="nil"/>
              <w:bottom w:val="single" w:sz="4" w:space="0" w:color="auto"/>
              <w:right w:val="single" w:sz="4" w:space="0" w:color="auto"/>
            </w:tcBorders>
            <w:shd w:val="clear" w:color="auto" w:fill="auto"/>
            <w:noWrap/>
            <w:vAlign w:val="center"/>
            <w:hideMark/>
          </w:tcPr>
          <w:p w14:paraId="63DE450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0C441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E9BFE1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w:t>
            </w:r>
          </w:p>
        </w:tc>
        <w:tc>
          <w:tcPr>
            <w:tcW w:w="1555" w:type="dxa"/>
            <w:tcBorders>
              <w:top w:val="nil"/>
              <w:left w:val="nil"/>
              <w:bottom w:val="single" w:sz="4" w:space="0" w:color="auto"/>
              <w:right w:val="single" w:sz="4" w:space="0" w:color="auto"/>
            </w:tcBorders>
            <w:shd w:val="clear" w:color="auto" w:fill="auto"/>
            <w:noWrap/>
            <w:vAlign w:val="center"/>
            <w:hideMark/>
          </w:tcPr>
          <w:p w14:paraId="316EAD5D" w14:textId="77777777" w:rsidR="00B732B4" w:rsidRPr="00F53E25" w:rsidRDefault="00B732B4" w:rsidP="00B732B4">
            <w:pPr>
              <w:ind w:left="0" w:firstLine="0"/>
              <w:rPr>
                <w:rFonts w:eastAsia="Times New Roman" w:cs="Calibri"/>
                <w:sz w:val="20"/>
                <w:szCs w:val="20"/>
                <w:lang w:eastAsia="en-GB"/>
              </w:rPr>
            </w:pPr>
            <w:r w:rsidRPr="00F53E25">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DFDA4C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12</w:t>
            </w:r>
          </w:p>
        </w:tc>
      </w:tr>
      <w:tr w:rsidR="00B732B4" w:rsidRPr="00F53E25" w14:paraId="4C281953"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6635B66" w14:textId="122CABAE" w:rsidR="00B732B4" w:rsidRPr="00F53E25" w:rsidRDefault="00B732B4" w:rsidP="00B732B4">
            <w:pPr>
              <w:ind w:left="0" w:firstLine="0"/>
              <w:rPr>
                <w:rFonts w:eastAsia="Times New Roman" w:cs="Calibri"/>
                <w:color w:val="000000"/>
                <w:sz w:val="20"/>
                <w:szCs w:val="20"/>
                <w:lang w:eastAsia="en-GB"/>
              </w:rPr>
            </w:pPr>
            <w:r w:rsidRPr="00F53E25">
              <w:rPr>
                <w:color w:val="000000" w:themeColor="text1"/>
                <w:sz w:val="20"/>
              </w:rPr>
              <w:t xml:space="preserve">Trabajo del </w:t>
            </w:r>
            <w:r w:rsidRPr="00F53E25">
              <w:rPr>
                <w:color w:val="000000"/>
                <w:sz w:val="20"/>
              </w:rPr>
              <w:t>GECT</w:t>
            </w:r>
          </w:p>
        </w:tc>
        <w:tc>
          <w:tcPr>
            <w:tcW w:w="1554" w:type="dxa"/>
            <w:tcBorders>
              <w:top w:val="nil"/>
              <w:left w:val="nil"/>
              <w:bottom w:val="single" w:sz="4" w:space="0" w:color="auto"/>
              <w:right w:val="single" w:sz="4" w:space="0" w:color="auto"/>
            </w:tcBorders>
            <w:shd w:val="clear" w:color="auto" w:fill="auto"/>
            <w:noWrap/>
            <w:vAlign w:val="center"/>
            <w:hideMark/>
          </w:tcPr>
          <w:p w14:paraId="5CB65E7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5B53431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40A75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5F61598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24</w:t>
            </w:r>
          </w:p>
        </w:tc>
        <w:tc>
          <w:tcPr>
            <w:tcW w:w="1555" w:type="dxa"/>
            <w:tcBorders>
              <w:top w:val="nil"/>
              <w:left w:val="nil"/>
              <w:bottom w:val="single" w:sz="4" w:space="0" w:color="auto"/>
              <w:right w:val="single" w:sz="4" w:space="0" w:color="auto"/>
            </w:tcBorders>
            <w:shd w:val="clear" w:color="auto" w:fill="auto"/>
            <w:noWrap/>
            <w:vAlign w:val="center"/>
            <w:hideMark/>
          </w:tcPr>
          <w:p w14:paraId="34B35E9D"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041821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99</w:t>
            </w:r>
          </w:p>
        </w:tc>
      </w:tr>
      <w:tr w:rsidR="00B732B4" w:rsidRPr="00F53E25" w14:paraId="72DF119F"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96059BF" w14:textId="707252F8"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Reuniones del GECT</w:t>
            </w:r>
          </w:p>
        </w:tc>
        <w:tc>
          <w:tcPr>
            <w:tcW w:w="1554" w:type="dxa"/>
            <w:tcBorders>
              <w:top w:val="nil"/>
              <w:left w:val="nil"/>
              <w:bottom w:val="single" w:sz="4" w:space="0" w:color="auto"/>
              <w:right w:val="single" w:sz="4" w:space="0" w:color="auto"/>
            </w:tcBorders>
            <w:shd w:val="clear" w:color="auto" w:fill="auto"/>
            <w:noWrap/>
            <w:vAlign w:val="center"/>
            <w:hideMark/>
          </w:tcPr>
          <w:p w14:paraId="405FD10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36E1B3F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BC1985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CFF2A3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44</w:t>
            </w:r>
          </w:p>
        </w:tc>
        <w:tc>
          <w:tcPr>
            <w:tcW w:w="1555" w:type="dxa"/>
            <w:tcBorders>
              <w:top w:val="nil"/>
              <w:left w:val="nil"/>
              <w:bottom w:val="single" w:sz="4" w:space="0" w:color="auto"/>
              <w:right w:val="single" w:sz="4" w:space="0" w:color="auto"/>
            </w:tcBorders>
            <w:shd w:val="clear" w:color="auto" w:fill="auto"/>
            <w:noWrap/>
            <w:vAlign w:val="center"/>
            <w:hideMark/>
          </w:tcPr>
          <w:p w14:paraId="040422B5"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DB4243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94</w:t>
            </w:r>
          </w:p>
        </w:tc>
      </w:tr>
      <w:tr w:rsidR="00B732B4" w:rsidRPr="00F53E25" w14:paraId="75D073DD"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2B3FC51" w14:textId="5786F76E"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ODS 6.61 (inventarios)</w:t>
            </w:r>
          </w:p>
        </w:tc>
        <w:tc>
          <w:tcPr>
            <w:tcW w:w="1554" w:type="dxa"/>
            <w:tcBorders>
              <w:top w:val="nil"/>
              <w:left w:val="nil"/>
              <w:bottom w:val="single" w:sz="4" w:space="0" w:color="auto"/>
              <w:right w:val="single" w:sz="4" w:space="0" w:color="auto"/>
            </w:tcBorders>
            <w:shd w:val="clear" w:color="auto" w:fill="auto"/>
            <w:noWrap/>
            <w:vAlign w:val="center"/>
            <w:hideMark/>
          </w:tcPr>
          <w:p w14:paraId="7DE39D7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01DE48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D515B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4AADEA7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D079AF0"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7CFB14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72</w:t>
            </w:r>
          </w:p>
        </w:tc>
      </w:tr>
      <w:tr w:rsidR="00B732B4" w:rsidRPr="00F53E25" w14:paraId="481605C0"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8F9D05B" w14:textId="4725475B"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Servicio de Información sobre Sitios Ramsar (mantenimiento y desarrollo)</w:t>
            </w:r>
          </w:p>
        </w:tc>
        <w:tc>
          <w:tcPr>
            <w:tcW w:w="1554" w:type="dxa"/>
            <w:tcBorders>
              <w:top w:val="nil"/>
              <w:left w:val="nil"/>
              <w:bottom w:val="single" w:sz="4" w:space="0" w:color="auto"/>
              <w:right w:val="single" w:sz="4" w:space="0" w:color="auto"/>
            </w:tcBorders>
            <w:shd w:val="clear" w:color="auto" w:fill="auto"/>
            <w:noWrap/>
            <w:vAlign w:val="center"/>
            <w:hideMark/>
          </w:tcPr>
          <w:p w14:paraId="02BB22A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43</w:t>
            </w:r>
          </w:p>
        </w:tc>
        <w:tc>
          <w:tcPr>
            <w:tcW w:w="1555" w:type="dxa"/>
            <w:tcBorders>
              <w:top w:val="nil"/>
              <w:left w:val="nil"/>
              <w:bottom w:val="single" w:sz="4" w:space="0" w:color="auto"/>
              <w:right w:val="single" w:sz="4" w:space="0" w:color="auto"/>
            </w:tcBorders>
            <w:shd w:val="clear" w:color="auto" w:fill="auto"/>
            <w:noWrap/>
            <w:vAlign w:val="center"/>
            <w:hideMark/>
          </w:tcPr>
          <w:p w14:paraId="602C3FB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956FC2"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BED1DE6"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23</w:t>
            </w:r>
          </w:p>
        </w:tc>
        <w:tc>
          <w:tcPr>
            <w:tcW w:w="1555" w:type="dxa"/>
            <w:tcBorders>
              <w:top w:val="nil"/>
              <w:left w:val="nil"/>
              <w:bottom w:val="single" w:sz="4" w:space="0" w:color="auto"/>
              <w:right w:val="single" w:sz="4" w:space="0" w:color="auto"/>
            </w:tcBorders>
            <w:shd w:val="clear" w:color="auto" w:fill="auto"/>
            <w:noWrap/>
            <w:vAlign w:val="center"/>
            <w:hideMark/>
          </w:tcPr>
          <w:p w14:paraId="42A0D1C7"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E9C953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66</w:t>
            </w:r>
          </w:p>
        </w:tc>
      </w:tr>
      <w:tr w:rsidR="00B732B4" w:rsidRPr="00F53E25" w14:paraId="22D1C18F"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noWrap/>
            <w:vAlign w:val="center"/>
            <w:hideMark/>
          </w:tcPr>
          <w:p w14:paraId="0FE76042" w14:textId="54A272A1"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xml:space="preserve">G.  </w:t>
            </w:r>
            <w:r w:rsidRPr="00F53E25">
              <w:rPr>
                <w:color w:val="000000"/>
                <w:sz w:val="20"/>
              </w:rPr>
              <w:t>Administración/sitio web</w:t>
            </w:r>
          </w:p>
        </w:tc>
        <w:tc>
          <w:tcPr>
            <w:tcW w:w="1554" w:type="dxa"/>
            <w:tcBorders>
              <w:top w:val="nil"/>
              <w:left w:val="nil"/>
              <w:bottom w:val="single" w:sz="4" w:space="0" w:color="auto"/>
              <w:right w:val="single" w:sz="4" w:space="0" w:color="auto"/>
            </w:tcBorders>
            <w:shd w:val="clear" w:color="000000" w:fill="EAF1DD"/>
            <w:noWrap/>
            <w:vAlign w:val="center"/>
            <w:hideMark/>
          </w:tcPr>
          <w:p w14:paraId="3A647EB9"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444</w:t>
            </w:r>
          </w:p>
        </w:tc>
        <w:tc>
          <w:tcPr>
            <w:tcW w:w="1555" w:type="dxa"/>
            <w:tcBorders>
              <w:top w:val="nil"/>
              <w:left w:val="nil"/>
              <w:bottom w:val="single" w:sz="4" w:space="0" w:color="auto"/>
              <w:right w:val="single" w:sz="4" w:space="0" w:color="auto"/>
            </w:tcBorders>
            <w:shd w:val="clear" w:color="000000" w:fill="EAF1DD"/>
            <w:noWrap/>
            <w:vAlign w:val="center"/>
            <w:hideMark/>
          </w:tcPr>
          <w:p w14:paraId="3C5E4245"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11</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07211A5A"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95</w:t>
            </w:r>
          </w:p>
        </w:tc>
        <w:tc>
          <w:tcPr>
            <w:tcW w:w="1555" w:type="dxa"/>
            <w:tcBorders>
              <w:top w:val="nil"/>
              <w:left w:val="nil"/>
              <w:bottom w:val="single" w:sz="4" w:space="0" w:color="auto"/>
              <w:right w:val="single" w:sz="4" w:space="0" w:color="auto"/>
            </w:tcBorders>
            <w:shd w:val="clear" w:color="000000" w:fill="EAF1DD"/>
            <w:noWrap/>
            <w:vAlign w:val="center"/>
            <w:hideMark/>
          </w:tcPr>
          <w:p w14:paraId="1BFC9489"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16</w:t>
            </w:r>
          </w:p>
        </w:tc>
        <w:tc>
          <w:tcPr>
            <w:tcW w:w="1555" w:type="dxa"/>
            <w:tcBorders>
              <w:top w:val="nil"/>
              <w:left w:val="nil"/>
              <w:bottom w:val="single" w:sz="4" w:space="0" w:color="auto"/>
              <w:right w:val="single" w:sz="4" w:space="0" w:color="auto"/>
            </w:tcBorders>
            <w:shd w:val="clear" w:color="000000" w:fill="EAF1DD"/>
            <w:noWrap/>
            <w:vAlign w:val="center"/>
            <w:hideMark/>
          </w:tcPr>
          <w:p w14:paraId="43DB1B32"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45</w:t>
            </w:r>
          </w:p>
        </w:tc>
        <w:tc>
          <w:tcPr>
            <w:tcW w:w="1555" w:type="dxa"/>
            <w:tcBorders>
              <w:top w:val="nil"/>
              <w:left w:val="nil"/>
              <w:bottom w:val="single" w:sz="4" w:space="0" w:color="auto"/>
              <w:right w:val="single" w:sz="4" w:space="0" w:color="auto"/>
            </w:tcBorders>
            <w:shd w:val="clear" w:color="000000" w:fill="EAF1DD"/>
            <w:noWrap/>
            <w:vAlign w:val="center"/>
            <w:hideMark/>
          </w:tcPr>
          <w:p w14:paraId="47AF1552"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611</w:t>
            </w:r>
          </w:p>
        </w:tc>
      </w:tr>
      <w:tr w:rsidR="00B732B4" w:rsidRPr="00F53E25" w14:paraId="4C90185F"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3FB4B76" w14:textId="7AADF753"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Salarios y gastos sociales</w:t>
            </w:r>
          </w:p>
        </w:tc>
        <w:tc>
          <w:tcPr>
            <w:tcW w:w="1554" w:type="dxa"/>
            <w:tcBorders>
              <w:top w:val="nil"/>
              <w:left w:val="nil"/>
              <w:bottom w:val="single" w:sz="4" w:space="0" w:color="auto"/>
              <w:right w:val="single" w:sz="4" w:space="0" w:color="auto"/>
            </w:tcBorders>
            <w:shd w:val="clear" w:color="auto" w:fill="auto"/>
            <w:noWrap/>
            <w:vAlign w:val="center"/>
            <w:hideMark/>
          </w:tcPr>
          <w:p w14:paraId="3A8AD6C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323</w:t>
            </w:r>
          </w:p>
        </w:tc>
        <w:tc>
          <w:tcPr>
            <w:tcW w:w="1555" w:type="dxa"/>
            <w:tcBorders>
              <w:top w:val="nil"/>
              <w:left w:val="nil"/>
              <w:bottom w:val="single" w:sz="4" w:space="0" w:color="auto"/>
              <w:right w:val="single" w:sz="4" w:space="0" w:color="auto"/>
            </w:tcBorders>
            <w:shd w:val="clear" w:color="auto" w:fill="auto"/>
            <w:noWrap/>
            <w:vAlign w:val="center"/>
            <w:hideMark/>
          </w:tcPr>
          <w:p w14:paraId="7B5E026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0901F0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402830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w:t>
            </w:r>
          </w:p>
        </w:tc>
        <w:tc>
          <w:tcPr>
            <w:tcW w:w="1555" w:type="dxa"/>
            <w:tcBorders>
              <w:top w:val="nil"/>
              <w:left w:val="nil"/>
              <w:bottom w:val="single" w:sz="4" w:space="0" w:color="auto"/>
              <w:right w:val="single" w:sz="4" w:space="0" w:color="auto"/>
            </w:tcBorders>
            <w:shd w:val="clear" w:color="auto" w:fill="auto"/>
            <w:noWrap/>
            <w:vAlign w:val="center"/>
            <w:hideMark/>
          </w:tcPr>
          <w:p w14:paraId="3F6A056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615D1F8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336</w:t>
            </w:r>
          </w:p>
        </w:tc>
      </w:tr>
      <w:tr w:rsidR="00B732B4" w:rsidRPr="00F53E25" w14:paraId="5C6E3212" w14:textId="77777777" w:rsidTr="00FC0F0E">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3DE89" w14:textId="46EF98FE"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lastRenderedPageBreak/>
              <w:t>Otras prestaciones laborales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627D086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1B95BE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83F2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A6BB3E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0E08A32"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4122504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w:t>
            </w:r>
          </w:p>
        </w:tc>
      </w:tr>
      <w:tr w:rsidR="00B732B4" w:rsidRPr="00F53E25" w14:paraId="692CB91D" w14:textId="77777777" w:rsidTr="00FC0F0E">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3BB07" w14:textId="587CA697"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Costos de contratación y separación del personal</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7AAAB0E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25</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151014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A002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3D443A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133B265"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35</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174FBDB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70</w:t>
            </w:r>
          </w:p>
        </w:tc>
      </w:tr>
      <w:tr w:rsidR="00B732B4" w:rsidRPr="00F53E25" w14:paraId="416F76E4"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3C685DE" w14:textId="0FB1F9DA"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Viajes</w:t>
            </w:r>
          </w:p>
        </w:tc>
        <w:tc>
          <w:tcPr>
            <w:tcW w:w="1554" w:type="dxa"/>
            <w:tcBorders>
              <w:top w:val="nil"/>
              <w:left w:val="nil"/>
              <w:bottom w:val="single" w:sz="4" w:space="0" w:color="auto"/>
              <w:right w:val="single" w:sz="4" w:space="0" w:color="auto"/>
            </w:tcBorders>
            <w:shd w:val="clear" w:color="auto" w:fill="auto"/>
            <w:noWrap/>
            <w:vAlign w:val="center"/>
            <w:hideMark/>
          </w:tcPr>
          <w:p w14:paraId="220A8AE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97FF0D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46A2E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CE32526"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114D802"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7AF76D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r>
      <w:tr w:rsidR="00B732B4" w:rsidRPr="00F53E25" w14:paraId="5E2F9B18"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C30EB2B" w14:textId="4322CA3E"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Equipo/material de oficina</w:t>
            </w:r>
          </w:p>
        </w:tc>
        <w:tc>
          <w:tcPr>
            <w:tcW w:w="1554" w:type="dxa"/>
            <w:tcBorders>
              <w:top w:val="nil"/>
              <w:left w:val="nil"/>
              <w:bottom w:val="single" w:sz="4" w:space="0" w:color="auto"/>
              <w:right w:val="single" w:sz="4" w:space="0" w:color="auto"/>
            </w:tcBorders>
            <w:shd w:val="clear" w:color="auto" w:fill="auto"/>
            <w:noWrap/>
            <w:vAlign w:val="center"/>
            <w:hideMark/>
          </w:tcPr>
          <w:p w14:paraId="2BBACD2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95</w:t>
            </w:r>
          </w:p>
        </w:tc>
        <w:tc>
          <w:tcPr>
            <w:tcW w:w="1555" w:type="dxa"/>
            <w:tcBorders>
              <w:top w:val="nil"/>
              <w:left w:val="nil"/>
              <w:bottom w:val="single" w:sz="4" w:space="0" w:color="auto"/>
              <w:right w:val="single" w:sz="4" w:space="0" w:color="auto"/>
            </w:tcBorders>
            <w:shd w:val="clear" w:color="auto" w:fill="auto"/>
            <w:noWrap/>
            <w:vAlign w:val="center"/>
            <w:hideMark/>
          </w:tcPr>
          <w:p w14:paraId="385D26D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A6C4A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0D2A19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13</w:t>
            </w:r>
          </w:p>
        </w:tc>
        <w:tc>
          <w:tcPr>
            <w:tcW w:w="1555" w:type="dxa"/>
            <w:tcBorders>
              <w:top w:val="nil"/>
              <w:left w:val="nil"/>
              <w:bottom w:val="single" w:sz="4" w:space="0" w:color="auto"/>
              <w:right w:val="single" w:sz="4" w:space="0" w:color="auto"/>
            </w:tcBorders>
            <w:shd w:val="clear" w:color="auto" w:fill="auto"/>
            <w:noWrap/>
            <w:vAlign w:val="center"/>
            <w:hideMark/>
          </w:tcPr>
          <w:p w14:paraId="0B8D174A"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EC31CA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108</w:t>
            </w:r>
          </w:p>
        </w:tc>
      </w:tr>
      <w:tr w:rsidR="00B732B4" w:rsidRPr="00F53E25" w14:paraId="0DF18B74"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35DD2CA" w14:textId="66C49FA3"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Planificación y creación de capacidad</w:t>
            </w:r>
          </w:p>
        </w:tc>
        <w:tc>
          <w:tcPr>
            <w:tcW w:w="1554" w:type="dxa"/>
            <w:tcBorders>
              <w:top w:val="nil"/>
              <w:left w:val="nil"/>
              <w:bottom w:val="single" w:sz="4" w:space="0" w:color="auto"/>
              <w:right w:val="single" w:sz="4" w:space="0" w:color="auto"/>
            </w:tcBorders>
            <w:shd w:val="clear" w:color="auto" w:fill="auto"/>
            <w:noWrap/>
            <w:vAlign w:val="center"/>
            <w:hideMark/>
          </w:tcPr>
          <w:p w14:paraId="216C7EE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A4C3C0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11</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9A6CA08"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85</w:t>
            </w:r>
          </w:p>
        </w:tc>
        <w:tc>
          <w:tcPr>
            <w:tcW w:w="1555" w:type="dxa"/>
            <w:tcBorders>
              <w:top w:val="nil"/>
              <w:left w:val="nil"/>
              <w:bottom w:val="single" w:sz="4" w:space="0" w:color="auto"/>
              <w:right w:val="single" w:sz="4" w:space="0" w:color="auto"/>
            </w:tcBorders>
            <w:shd w:val="clear" w:color="auto" w:fill="auto"/>
            <w:noWrap/>
            <w:vAlign w:val="center"/>
            <w:hideMark/>
          </w:tcPr>
          <w:p w14:paraId="4EA15C50"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F5F46E0"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52EC2B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96</w:t>
            </w:r>
          </w:p>
        </w:tc>
      </w:tr>
      <w:tr w:rsidR="00B732B4" w:rsidRPr="00F53E25" w14:paraId="13DF7835" w14:textId="77777777" w:rsidTr="0076398C">
        <w:trPr>
          <w:trHeight w:val="270"/>
        </w:trPr>
        <w:tc>
          <w:tcPr>
            <w:tcW w:w="498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067F9CDD" w14:textId="4F40AF2B"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H. Servicios para el Comité Permanente</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68B174D8"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150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7ADC62E6"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73CB08FD"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17</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4F24C06E"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83</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4FF712CD"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54993051"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250</w:t>
            </w:r>
          </w:p>
        </w:tc>
      </w:tr>
      <w:tr w:rsidR="00B732B4" w:rsidRPr="00F53E25" w14:paraId="57C52D94"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F13487D" w14:textId="5662D770"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Apoyo a los delegados del Comité Permanente</w:t>
            </w:r>
          </w:p>
        </w:tc>
        <w:tc>
          <w:tcPr>
            <w:tcW w:w="1554" w:type="dxa"/>
            <w:tcBorders>
              <w:top w:val="nil"/>
              <w:left w:val="nil"/>
              <w:bottom w:val="single" w:sz="4" w:space="0" w:color="auto"/>
              <w:right w:val="single" w:sz="4" w:space="0" w:color="auto"/>
            </w:tcBorders>
            <w:shd w:val="clear" w:color="auto" w:fill="auto"/>
            <w:noWrap/>
            <w:vAlign w:val="center"/>
            <w:hideMark/>
          </w:tcPr>
          <w:p w14:paraId="21D0EF4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45</w:t>
            </w:r>
          </w:p>
        </w:tc>
        <w:tc>
          <w:tcPr>
            <w:tcW w:w="1555" w:type="dxa"/>
            <w:tcBorders>
              <w:top w:val="nil"/>
              <w:left w:val="nil"/>
              <w:bottom w:val="single" w:sz="4" w:space="0" w:color="auto"/>
              <w:right w:val="single" w:sz="4" w:space="0" w:color="auto"/>
            </w:tcBorders>
            <w:shd w:val="clear" w:color="auto" w:fill="auto"/>
            <w:noWrap/>
            <w:vAlign w:val="center"/>
            <w:hideMark/>
          </w:tcPr>
          <w:p w14:paraId="67793B9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0F092F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8429F3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51</w:t>
            </w:r>
          </w:p>
        </w:tc>
        <w:tc>
          <w:tcPr>
            <w:tcW w:w="1555" w:type="dxa"/>
            <w:tcBorders>
              <w:top w:val="nil"/>
              <w:left w:val="nil"/>
              <w:bottom w:val="single" w:sz="4" w:space="0" w:color="auto"/>
              <w:right w:val="single" w:sz="4" w:space="0" w:color="auto"/>
            </w:tcBorders>
            <w:shd w:val="clear" w:color="auto" w:fill="auto"/>
            <w:noWrap/>
            <w:vAlign w:val="center"/>
            <w:hideMark/>
          </w:tcPr>
          <w:p w14:paraId="4EE1DAA4"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98D962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96</w:t>
            </w:r>
          </w:p>
        </w:tc>
      </w:tr>
      <w:tr w:rsidR="00B732B4" w:rsidRPr="00F53E25" w14:paraId="0D4EA8F9"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2726C72" w14:textId="3BF5E5D4"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Reuniones del Comité Permanente</w:t>
            </w:r>
          </w:p>
        </w:tc>
        <w:tc>
          <w:tcPr>
            <w:tcW w:w="1554" w:type="dxa"/>
            <w:tcBorders>
              <w:top w:val="nil"/>
              <w:left w:val="nil"/>
              <w:bottom w:val="single" w:sz="4" w:space="0" w:color="auto"/>
              <w:right w:val="single" w:sz="4" w:space="0" w:color="auto"/>
            </w:tcBorders>
            <w:shd w:val="clear" w:color="auto" w:fill="auto"/>
            <w:noWrap/>
            <w:vAlign w:val="center"/>
            <w:hideMark/>
          </w:tcPr>
          <w:p w14:paraId="3AB7178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1D0F304D"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ABCB6A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4B8768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w:t>
            </w:r>
          </w:p>
        </w:tc>
        <w:tc>
          <w:tcPr>
            <w:tcW w:w="1555" w:type="dxa"/>
            <w:tcBorders>
              <w:top w:val="nil"/>
              <w:left w:val="nil"/>
              <w:bottom w:val="single" w:sz="4" w:space="0" w:color="auto"/>
              <w:right w:val="single" w:sz="4" w:space="0" w:color="auto"/>
            </w:tcBorders>
            <w:shd w:val="clear" w:color="auto" w:fill="auto"/>
            <w:noWrap/>
            <w:vAlign w:val="center"/>
            <w:hideMark/>
          </w:tcPr>
          <w:p w14:paraId="13A883B9"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2D1FFC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16</w:t>
            </w:r>
          </w:p>
        </w:tc>
      </w:tr>
      <w:tr w:rsidR="00B732B4" w:rsidRPr="00F53E25" w14:paraId="1AF98068"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DB521F7" w14:textId="0F6DC243"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Traducción para el CP</w:t>
            </w:r>
          </w:p>
        </w:tc>
        <w:tc>
          <w:tcPr>
            <w:tcW w:w="1554" w:type="dxa"/>
            <w:tcBorders>
              <w:top w:val="nil"/>
              <w:left w:val="nil"/>
              <w:bottom w:val="single" w:sz="4" w:space="0" w:color="auto"/>
              <w:right w:val="single" w:sz="4" w:space="0" w:color="auto"/>
            </w:tcBorders>
            <w:shd w:val="clear" w:color="auto" w:fill="auto"/>
            <w:noWrap/>
            <w:vAlign w:val="center"/>
            <w:hideMark/>
          </w:tcPr>
          <w:p w14:paraId="48E4BB7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09F8FA6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FAA4AE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3078C4E"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439E5BC3"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D330FF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64</w:t>
            </w:r>
          </w:p>
        </w:tc>
      </w:tr>
      <w:tr w:rsidR="00B732B4" w:rsidRPr="00F53E25" w14:paraId="006E9672"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0BFD64B" w14:textId="7724F780"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Interpretación simultánea en las reuniones del CP</w:t>
            </w:r>
          </w:p>
        </w:tc>
        <w:tc>
          <w:tcPr>
            <w:tcW w:w="1554" w:type="dxa"/>
            <w:tcBorders>
              <w:top w:val="nil"/>
              <w:left w:val="nil"/>
              <w:bottom w:val="single" w:sz="4" w:space="0" w:color="auto"/>
              <w:right w:val="single" w:sz="4" w:space="0" w:color="auto"/>
            </w:tcBorders>
            <w:shd w:val="clear" w:color="auto" w:fill="auto"/>
            <w:noWrap/>
            <w:vAlign w:val="center"/>
            <w:hideMark/>
          </w:tcPr>
          <w:p w14:paraId="0A8CE426"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5A1944A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6C3D2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1738DC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22</w:t>
            </w:r>
          </w:p>
        </w:tc>
        <w:tc>
          <w:tcPr>
            <w:tcW w:w="1555" w:type="dxa"/>
            <w:tcBorders>
              <w:top w:val="nil"/>
              <w:left w:val="nil"/>
              <w:bottom w:val="single" w:sz="4" w:space="0" w:color="auto"/>
              <w:right w:val="single" w:sz="4" w:space="0" w:color="auto"/>
            </w:tcBorders>
            <w:shd w:val="clear" w:color="auto" w:fill="auto"/>
            <w:noWrap/>
            <w:vAlign w:val="center"/>
            <w:hideMark/>
          </w:tcPr>
          <w:p w14:paraId="591338D3"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177EA9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57</w:t>
            </w:r>
          </w:p>
        </w:tc>
      </w:tr>
      <w:tr w:rsidR="00B732B4" w:rsidRPr="00F53E25" w14:paraId="2D5811DF"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D8E37C1" w14:textId="78BDD228"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Grupo de trabajo sobre la eficacia</w:t>
            </w:r>
          </w:p>
        </w:tc>
        <w:tc>
          <w:tcPr>
            <w:tcW w:w="1554" w:type="dxa"/>
            <w:tcBorders>
              <w:top w:val="nil"/>
              <w:left w:val="nil"/>
              <w:bottom w:val="single" w:sz="4" w:space="0" w:color="auto"/>
              <w:right w:val="single" w:sz="4" w:space="0" w:color="auto"/>
            </w:tcBorders>
            <w:shd w:val="clear" w:color="auto" w:fill="auto"/>
            <w:noWrap/>
            <w:vAlign w:val="center"/>
            <w:hideMark/>
          </w:tcPr>
          <w:p w14:paraId="43FDC4A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96D077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6C4B14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14</w:t>
            </w:r>
          </w:p>
        </w:tc>
        <w:tc>
          <w:tcPr>
            <w:tcW w:w="1555" w:type="dxa"/>
            <w:tcBorders>
              <w:top w:val="nil"/>
              <w:left w:val="nil"/>
              <w:bottom w:val="single" w:sz="4" w:space="0" w:color="auto"/>
              <w:right w:val="single" w:sz="4" w:space="0" w:color="auto"/>
            </w:tcBorders>
            <w:shd w:val="clear" w:color="auto" w:fill="auto"/>
            <w:noWrap/>
            <w:vAlign w:val="center"/>
            <w:hideMark/>
          </w:tcPr>
          <w:p w14:paraId="22D1E89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9D546CA"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609B456"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14</w:t>
            </w:r>
          </w:p>
        </w:tc>
      </w:tr>
      <w:tr w:rsidR="00B732B4" w:rsidRPr="00F53E25" w14:paraId="764D5B6E"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6B26E8E" w14:textId="56B4CD01"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 xml:space="preserve">Examen de las resoluciones </w:t>
            </w:r>
            <w:r w:rsidRPr="00F53E25">
              <w:rPr>
                <w:color w:val="000000"/>
                <w:sz w:val="20"/>
              </w:rPr>
              <w:t>(Res. XIII.4)</w:t>
            </w:r>
          </w:p>
        </w:tc>
        <w:tc>
          <w:tcPr>
            <w:tcW w:w="1554" w:type="dxa"/>
            <w:tcBorders>
              <w:top w:val="nil"/>
              <w:left w:val="nil"/>
              <w:bottom w:val="single" w:sz="4" w:space="0" w:color="auto"/>
              <w:right w:val="single" w:sz="4" w:space="0" w:color="auto"/>
            </w:tcBorders>
            <w:shd w:val="clear" w:color="auto" w:fill="auto"/>
            <w:noWrap/>
            <w:vAlign w:val="center"/>
            <w:hideMark/>
          </w:tcPr>
          <w:p w14:paraId="26480F8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589AFD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E2BFBEF"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3</w:t>
            </w:r>
          </w:p>
        </w:tc>
        <w:tc>
          <w:tcPr>
            <w:tcW w:w="1555" w:type="dxa"/>
            <w:tcBorders>
              <w:top w:val="nil"/>
              <w:left w:val="nil"/>
              <w:bottom w:val="single" w:sz="4" w:space="0" w:color="auto"/>
              <w:right w:val="single" w:sz="4" w:space="0" w:color="auto"/>
            </w:tcBorders>
            <w:shd w:val="clear" w:color="auto" w:fill="auto"/>
            <w:noWrap/>
            <w:vAlign w:val="center"/>
            <w:hideMark/>
          </w:tcPr>
          <w:p w14:paraId="786CF36F"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6C3F405" w14:textId="77777777" w:rsidR="00B732B4" w:rsidRPr="00F53E25" w:rsidRDefault="00B732B4" w:rsidP="00B732B4">
            <w:pPr>
              <w:ind w:left="0" w:firstLine="0"/>
              <w:rPr>
                <w:rFonts w:eastAsia="Times New Roman" w:cs="Calibri"/>
                <w:color w:val="0070C0"/>
                <w:sz w:val="20"/>
                <w:szCs w:val="20"/>
                <w:lang w:eastAsia="en-GB"/>
              </w:rPr>
            </w:pPr>
            <w:r w:rsidRPr="00F53E25">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6751FB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3</w:t>
            </w:r>
          </w:p>
        </w:tc>
      </w:tr>
      <w:tr w:rsidR="00B732B4" w:rsidRPr="00F53E25" w14:paraId="2E63457B" w14:textId="77777777" w:rsidTr="0076398C">
        <w:trPr>
          <w:trHeight w:val="255"/>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10B98985" w14:textId="635DA96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xml:space="preserve">J.  </w:t>
            </w:r>
            <w:r w:rsidRPr="00F53E25">
              <w:rPr>
                <w:color w:val="000000"/>
                <w:sz w:val="20"/>
                <w:szCs w:val="20"/>
              </w:rPr>
              <w:t>Gastos por servicios administrativos de la UICN (máximo)</w:t>
            </w:r>
          </w:p>
        </w:tc>
        <w:tc>
          <w:tcPr>
            <w:tcW w:w="1554" w:type="dxa"/>
            <w:tcBorders>
              <w:top w:val="nil"/>
              <w:left w:val="nil"/>
              <w:bottom w:val="single" w:sz="4" w:space="0" w:color="auto"/>
              <w:right w:val="single" w:sz="4" w:space="0" w:color="auto"/>
            </w:tcBorders>
            <w:shd w:val="clear" w:color="000000" w:fill="EAF1DD"/>
            <w:noWrap/>
            <w:vAlign w:val="center"/>
            <w:hideMark/>
          </w:tcPr>
          <w:p w14:paraId="38DD5EDA"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560</w:t>
            </w:r>
          </w:p>
        </w:tc>
        <w:tc>
          <w:tcPr>
            <w:tcW w:w="1555" w:type="dxa"/>
            <w:tcBorders>
              <w:top w:val="nil"/>
              <w:left w:val="nil"/>
              <w:bottom w:val="single" w:sz="4" w:space="0" w:color="auto"/>
              <w:right w:val="single" w:sz="4" w:space="0" w:color="auto"/>
            </w:tcBorders>
            <w:shd w:val="clear" w:color="000000" w:fill="EAF1DD"/>
            <w:noWrap/>
            <w:vAlign w:val="center"/>
            <w:hideMark/>
          </w:tcPr>
          <w:p w14:paraId="1F8C9921"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6FDB48D9"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4A86A012"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29B7BA77"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08793E9A"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560</w:t>
            </w:r>
          </w:p>
        </w:tc>
      </w:tr>
      <w:tr w:rsidR="00B732B4" w:rsidRPr="00F53E25" w14:paraId="4BE66EC7"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16D479E" w14:textId="085EB405"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Administración, RR.HH., finanzas y servicios informáticos</w:t>
            </w:r>
          </w:p>
        </w:tc>
        <w:tc>
          <w:tcPr>
            <w:tcW w:w="1554" w:type="dxa"/>
            <w:tcBorders>
              <w:top w:val="nil"/>
              <w:left w:val="nil"/>
              <w:bottom w:val="single" w:sz="4" w:space="0" w:color="auto"/>
              <w:right w:val="single" w:sz="4" w:space="0" w:color="auto"/>
            </w:tcBorders>
            <w:shd w:val="clear" w:color="auto" w:fill="auto"/>
            <w:noWrap/>
            <w:vAlign w:val="center"/>
            <w:hideMark/>
          </w:tcPr>
          <w:p w14:paraId="48613A4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560</w:t>
            </w:r>
          </w:p>
        </w:tc>
        <w:tc>
          <w:tcPr>
            <w:tcW w:w="1555" w:type="dxa"/>
            <w:tcBorders>
              <w:top w:val="nil"/>
              <w:left w:val="nil"/>
              <w:bottom w:val="single" w:sz="4" w:space="0" w:color="auto"/>
              <w:right w:val="single" w:sz="4" w:space="0" w:color="auto"/>
            </w:tcBorders>
            <w:shd w:val="clear" w:color="auto" w:fill="auto"/>
            <w:noWrap/>
            <w:vAlign w:val="center"/>
            <w:hideMark/>
          </w:tcPr>
          <w:p w14:paraId="5504E937"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73CAC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D363DE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4F1C76C"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A7C416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560</w:t>
            </w:r>
          </w:p>
        </w:tc>
      </w:tr>
      <w:tr w:rsidR="00B732B4" w:rsidRPr="00F53E25" w14:paraId="1405D315" w14:textId="77777777" w:rsidTr="0076398C">
        <w:trPr>
          <w:trHeight w:val="270"/>
        </w:trPr>
        <w:tc>
          <w:tcPr>
            <w:tcW w:w="4983" w:type="dxa"/>
            <w:tcBorders>
              <w:top w:val="nil"/>
              <w:left w:val="single" w:sz="4" w:space="0" w:color="auto"/>
              <w:bottom w:val="single" w:sz="4" w:space="0" w:color="auto"/>
              <w:right w:val="single" w:sz="4" w:space="0" w:color="auto"/>
            </w:tcBorders>
            <w:shd w:val="clear" w:color="000000" w:fill="EAF1DD"/>
            <w:noWrap/>
            <w:vAlign w:val="center"/>
            <w:hideMark/>
          </w:tcPr>
          <w:p w14:paraId="62349804" w14:textId="73786B75"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K.  Varios – Fondo de reserva</w:t>
            </w:r>
          </w:p>
        </w:tc>
        <w:tc>
          <w:tcPr>
            <w:tcW w:w="1554" w:type="dxa"/>
            <w:tcBorders>
              <w:top w:val="nil"/>
              <w:left w:val="nil"/>
              <w:bottom w:val="single" w:sz="4" w:space="0" w:color="auto"/>
              <w:right w:val="single" w:sz="4" w:space="0" w:color="auto"/>
            </w:tcBorders>
            <w:shd w:val="clear" w:color="000000" w:fill="EAF1DD"/>
            <w:noWrap/>
            <w:vAlign w:val="center"/>
            <w:hideMark/>
          </w:tcPr>
          <w:p w14:paraId="16B8B57C"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109</w:t>
            </w:r>
          </w:p>
        </w:tc>
        <w:tc>
          <w:tcPr>
            <w:tcW w:w="1555" w:type="dxa"/>
            <w:tcBorders>
              <w:top w:val="nil"/>
              <w:left w:val="nil"/>
              <w:bottom w:val="single" w:sz="4" w:space="0" w:color="auto"/>
              <w:right w:val="single" w:sz="4" w:space="0" w:color="auto"/>
            </w:tcBorders>
            <w:shd w:val="clear" w:color="000000" w:fill="EAF1DD"/>
            <w:noWrap/>
            <w:vAlign w:val="center"/>
            <w:hideMark/>
          </w:tcPr>
          <w:p w14:paraId="47171C54"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5CA6AAE4"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129</w:t>
            </w:r>
          </w:p>
        </w:tc>
        <w:tc>
          <w:tcPr>
            <w:tcW w:w="1555" w:type="dxa"/>
            <w:tcBorders>
              <w:top w:val="nil"/>
              <w:left w:val="nil"/>
              <w:bottom w:val="single" w:sz="4" w:space="0" w:color="auto"/>
              <w:right w:val="single" w:sz="4" w:space="0" w:color="auto"/>
            </w:tcBorders>
            <w:shd w:val="clear" w:color="000000" w:fill="EAF1DD"/>
            <w:noWrap/>
            <w:vAlign w:val="center"/>
            <w:hideMark/>
          </w:tcPr>
          <w:p w14:paraId="00F6C7A5"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714</w:t>
            </w:r>
          </w:p>
        </w:tc>
        <w:tc>
          <w:tcPr>
            <w:tcW w:w="1555" w:type="dxa"/>
            <w:tcBorders>
              <w:top w:val="nil"/>
              <w:left w:val="nil"/>
              <w:bottom w:val="single" w:sz="4" w:space="0" w:color="auto"/>
              <w:right w:val="single" w:sz="4" w:space="0" w:color="auto"/>
            </w:tcBorders>
            <w:shd w:val="clear" w:color="000000" w:fill="EAF1DD"/>
            <w:noWrap/>
            <w:vAlign w:val="center"/>
            <w:hideMark/>
          </w:tcPr>
          <w:p w14:paraId="1655BE1D"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726B28B6"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951</w:t>
            </w:r>
          </w:p>
        </w:tc>
      </w:tr>
      <w:tr w:rsidR="00B732B4" w:rsidRPr="00F53E25" w14:paraId="4FEB398A"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E7F795D" w14:textId="0D577FDF"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Provisiones correspondientes al personal</w:t>
            </w:r>
          </w:p>
        </w:tc>
        <w:tc>
          <w:tcPr>
            <w:tcW w:w="1554" w:type="dxa"/>
            <w:tcBorders>
              <w:top w:val="nil"/>
              <w:left w:val="nil"/>
              <w:bottom w:val="single" w:sz="4" w:space="0" w:color="auto"/>
              <w:right w:val="single" w:sz="4" w:space="0" w:color="auto"/>
            </w:tcBorders>
            <w:shd w:val="clear" w:color="auto" w:fill="auto"/>
            <w:noWrap/>
            <w:vAlign w:val="center"/>
            <w:hideMark/>
          </w:tcPr>
          <w:p w14:paraId="3B5FA91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5FE7D6E9"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2CA1E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74B0A8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73</w:t>
            </w:r>
          </w:p>
        </w:tc>
        <w:tc>
          <w:tcPr>
            <w:tcW w:w="1555" w:type="dxa"/>
            <w:tcBorders>
              <w:top w:val="nil"/>
              <w:left w:val="nil"/>
              <w:bottom w:val="single" w:sz="4" w:space="0" w:color="auto"/>
              <w:right w:val="single" w:sz="4" w:space="0" w:color="auto"/>
            </w:tcBorders>
            <w:shd w:val="clear" w:color="auto" w:fill="auto"/>
            <w:noWrap/>
            <w:vAlign w:val="center"/>
            <w:hideMark/>
          </w:tcPr>
          <w:p w14:paraId="54DFDC6C"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B17ECF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123</w:t>
            </w:r>
          </w:p>
        </w:tc>
      </w:tr>
      <w:tr w:rsidR="00B732B4" w:rsidRPr="00F53E25" w14:paraId="62AB039B" w14:textId="77777777" w:rsidTr="0076398C">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0E0B539B" w14:textId="50288240"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Provisiones correspondientes a las contribuciones pendientes</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63930712"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A832C5C"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4991B3"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68</w:t>
            </w:r>
          </w:p>
        </w:tc>
        <w:tc>
          <w:tcPr>
            <w:tcW w:w="1555" w:type="dxa"/>
            <w:tcBorders>
              <w:top w:val="nil"/>
              <w:left w:val="nil"/>
              <w:bottom w:val="single" w:sz="4" w:space="0" w:color="auto"/>
              <w:right w:val="single" w:sz="4" w:space="0" w:color="auto"/>
            </w:tcBorders>
            <w:shd w:val="clear" w:color="auto" w:fill="auto"/>
            <w:noWrap/>
            <w:vAlign w:val="center"/>
            <w:hideMark/>
          </w:tcPr>
          <w:p w14:paraId="6267566B" w14:textId="77777777" w:rsidR="00B732B4" w:rsidRPr="00F53E25" w:rsidRDefault="00B732B4" w:rsidP="00B732B4">
            <w:pPr>
              <w:ind w:left="0" w:firstLine="0"/>
              <w:jc w:val="right"/>
              <w:rPr>
                <w:rFonts w:eastAsia="Times New Roman" w:cs="Calibri"/>
                <w:sz w:val="20"/>
                <w:szCs w:val="20"/>
                <w:lang w:eastAsia="en-GB"/>
              </w:rPr>
            </w:pPr>
            <w:r w:rsidRPr="00F53E25">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16B3145" w14:textId="77777777" w:rsidR="00B732B4" w:rsidRPr="00F53E25" w:rsidRDefault="00B732B4" w:rsidP="00B732B4">
            <w:pPr>
              <w:ind w:left="0" w:firstLine="0"/>
              <w:rPr>
                <w:rFonts w:eastAsia="Times New Roman" w:cs="Calibri"/>
                <w:sz w:val="20"/>
                <w:szCs w:val="20"/>
                <w:lang w:eastAsia="en-GB"/>
              </w:rPr>
            </w:pPr>
            <w:r w:rsidRPr="00F53E25">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84DFB3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68</w:t>
            </w:r>
          </w:p>
        </w:tc>
      </w:tr>
      <w:tr w:rsidR="00B732B4" w:rsidRPr="00F53E25" w14:paraId="4523A7B0" w14:textId="77777777" w:rsidTr="0076398C">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55B64C1D" w14:textId="6A0A6068" w:rsidR="00B732B4" w:rsidRPr="00F53E25" w:rsidRDefault="00B732B4" w:rsidP="00B732B4">
            <w:pPr>
              <w:ind w:left="0" w:firstLine="0"/>
              <w:rPr>
                <w:rFonts w:eastAsia="Times New Roman" w:cs="Calibri"/>
                <w:color w:val="000000"/>
                <w:sz w:val="20"/>
                <w:szCs w:val="20"/>
                <w:lang w:eastAsia="en-GB"/>
              </w:rPr>
            </w:pPr>
            <w:r w:rsidRPr="00F53E25">
              <w:rPr>
                <w:rFonts w:asciiTheme="minorHAnsi" w:hAnsiTheme="minorHAnsi"/>
                <w:sz w:val="20"/>
                <w:szCs w:val="20"/>
              </w:rPr>
              <w:t xml:space="preserve">Presupuesto aprobado por la reunión SC58 y </w:t>
            </w:r>
            <w:r w:rsidRPr="00F53E25">
              <w:rPr>
                <w:rFonts w:asciiTheme="minorHAnsi" w:hAnsiTheme="minorHAnsi"/>
                <w:color w:val="000000" w:themeColor="text1"/>
                <w:sz w:val="20"/>
                <w:szCs w:val="20"/>
              </w:rPr>
              <w:t>ahorros no comprometidos traspasados al año siguiente</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4D92E993"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8177B9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7ED9C8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19BFD14"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709</w:t>
            </w:r>
          </w:p>
        </w:tc>
        <w:tc>
          <w:tcPr>
            <w:tcW w:w="1555" w:type="dxa"/>
            <w:tcBorders>
              <w:top w:val="nil"/>
              <w:left w:val="nil"/>
              <w:bottom w:val="single" w:sz="4" w:space="0" w:color="auto"/>
              <w:right w:val="single" w:sz="4" w:space="0" w:color="auto"/>
            </w:tcBorders>
            <w:shd w:val="clear" w:color="auto" w:fill="auto"/>
            <w:noWrap/>
            <w:vAlign w:val="center"/>
            <w:hideMark/>
          </w:tcPr>
          <w:p w14:paraId="6848CE04"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C1462E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709</w:t>
            </w:r>
          </w:p>
        </w:tc>
      </w:tr>
      <w:tr w:rsidR="00B732B4" w:rsidRPr="00F53E25" w14:paraId="0A0C1CF6"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3E4EE5F" w14:textId="40353473" w:rsidR="00B732B4" w:rsidRPr="00F53E25" w:rsidRDefault="00B732B4" w:rsidP="00B732B4">
            <w:pPr>
              <w:ind w:left="0" w:firstLine="0"/>
              <w:rPr>
                <w:rFonts w:eastAsia="Times New Roman" w:cs="Calibri"/>
                <w:color w:val="000000"/>
                <w:sz w:val="20"/>
                <w:szCs w:val="20"/>
                <w:lang w:eastAsia="en-GB"/>
              </w:rPr>
            </w:pPr>
            <w:r w:rsidRPr="00F53E25">
              <w:rPr>
                <w:color w:val="000000"/>
                <w:sz w:val="20"/>
                <w:szCs w:val="20"/>
              </w:rPr>
              <w:t>Ganancias/pérdidas por fluctuaciones del tipo de cambio</w:t>
            </w:r>
          </w:p>
        </w:tc>
        <w:tc>
          <w:tcPr>
            <w:tcW w:w="1554" w:type="dxa"/>
            <w:tcBorders>
              <w:top w:val="nil"/>
              <w:left w:val="nil"/>
              <w:bottom w:val="single" w:sz="4" w:space="0" w:color="auto"/>
              <w:right w:val="single" w:sz="4" w:space="0" w:color="auto"/>
            </w:tcBorders>
            <w:shd w:val="clear" w:color="auto" w:fill="auto"/>
            <w:noWrap/>
            <w:vAlign w:val="center"/>
            <w:hideMark/>
          </w:tcPr>
          <w:p w14:paraId="0099676A"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8210A2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8E4571"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B0AE0E5"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(94)</w:t>
            </w:r>
          </w:p>
        </w:tc>
        <w:tc>
          <w:tcPr>
            <w:tcW w:w="1555" w:type="dxa"/>
            <w:tcBorders>
              <w:top w:val="nil"/>
              <w:left w:val="nil"/>
              <w:bottom w:val="single" w:sz="4" w:space="0" w:color="auto"/>
              <w:right w:val="single" w:sz="4" w:space="0" w:color="auto"/>
            </w:tcBorders>
            <w:shd w:val="clear" w:color="auto" w:fill="auto"/>
            <w:noWrap/>
            <w:vAlign w:val="center"/>
            <w:hideMark/>
          </w:tcPr>
          <w:p w14:paraId="4B629572"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00C119B"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(94)</w:t>
            </w:r>
          </w:p>
        </w:tc>
      </w:tr>
      <w:tr w:rsidR="00B732B4" w:rsidRPr="00F53E25" w14:paraId="5FADFCB6" w14:textId="77777777" w:rsidTr="0076398C">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DBFBEF2" w14:textId="540B73E6" w:rsidR="00B732B4" w:rsidRPr="00F53E25" w:rsidRDefault="00B732B4" w:rsidP="00B732B4">
            <w:pPr>
              <w:ind w:left="0" w:firstLine="0"/>
              <w:rPr>
                <w:rFonts w:eastAsia="Times New Roman" w:cs="Calibri"/>
                <w:color w:val="000000"/>
                <w:sz w:val="20"/>
                <w:szCs w:val="20"/>
                <w:lang w:eastAsia="en-GB"/>
              </w:rPr>
            </w:pPr>
            <w:r w:rsidRPr="00F53E25">
              <w:rPr>
                <w:color w:val="000000"/>
                <w:sz w:val="20"/>
              </w:rPr>
              <w:t>Servicios jurídicos</w:t>
            </w:r>
          </w:p>
        </w:tc>
        <w:tc>
          <w:tcPr>
            <w:tcW w:w="1554" w:type="dxa"/>
            <w:tcBorders>
              <w:top w:val="nil"/>
              <w:left w:val="nil"/>
              <w:bottom w:val="single" w:sz="4" w:space="0" w:color="auto"/>
              <w:right w:val="single" w:sz="4" w:space="0" w:color="auto"/>
            </w:tcBorders>
            <w:shd w:val="clear" w:color="auto" w:fill="auto"/>
            <w:noWrap/>
            <w:vAlign w:val="center"/>
            <w:hideMark/>
          </w:tcPr>
          <w:p w14:paraId="100CF886"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59</w:t>
            </w:r>
          </w:p>
        </w:tc>
        <w:tc>
          <w:tcPr>
            <w:tcW w:w="1555" w:type="dxa"/>
            <w:tcBorders>
              <w:top w:val="nil"/>
              <w:left w:val="nil"/>
              <w:bottom w:val="single" w:sz="4" w:space="0" w:color="auto"/>
              <w:right w:val="single" w:sz="4" w:space="0" w:color="auto"/>
            </w:tcBorders>
            <w:shd w:val="clear" w:color="auto" w:fill="auto"/>
            <w:noWrap/>
            <w:vAlign w:val="center"/>
            <w:hideMark/>
          </w:tcPr>
          <w:p w14:paraId="5CA6DF68"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8D57180"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61</w:t>
            </w:r>
          </w:p>
        </w:tc>
        <w:tc>
          <w:tcPr>
            <w:tcW w:w="1555" w:type="dxa"/>
            <w:tcBorders>
              <w:top w:val="nil"/>
              <w:left w:val="nil"/>
              <w:bottom w:val="single" w:sz="4" w:space="0" w:color="auto"/>
              <w:right w:val="single" w:sz="4" w:space="0" w:color="auto"/>
            </w:tcBorders>
            <w:shd w:val="clear" w:color="auto" w:fill="auto"/>
            <w:noWrap/>
            <w:vAlign w:val="center"/>
            <w:hideMark/>
          </w:tcPr>
          <w:p w14:paraId="7F6FF15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26</w:t>
            </w:r>
          </w:p>
        </w:tc>
        <w:tc>
          <w:tcPr>
            <w:tcW w:w="1555" w:type="dxa"/>
            <w:tcBorders>
              <w:top w:val="nil"/>
              <w:left w:val="nil"/>
              <w:bottom w:val="single" w:sz="4" w:space="0" w:color="auto"/>
              <w:right w:val="single" w:sz="4" w:space="0" w:color="auto"/>
            </w:tcBorders>
            <w:shd w:val="clear" w:color="auto" w:fill="auto"/>
            <w:noWrap/>
            <w:vAlign w:val="center"/>
            <w:hideMark/>
          </w:tcPr>
          <w:p w14:paraId="048BBA5C" w14:textId="77777777" w:rsidR="00B732B4" w:rsidRPr="00F53E25" w:rsidRDefault="00B732B4" w:rsidP="00B732B4">
            <w:pPr>
              <w:ind w:left="0" w:firstLine="0"/>
              <w:rPr>
                <w:rFonts w:eastAsia="Times New Roman" w:cs="Calibri"/>
                <w:color w:val="000000"/>
                <w:sz w:val="20"/>
                <w:szCs w:val="20"/>
                <w:lang w:eastAsia="en-GB"/>
              </w:rPr>
            </w:pPr>
            <w:r w:rsidRPr="00F53E25">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F78FDCF" w14:textId="77777777" w:rsidR="00B732B4" w:rsidRPr="00F53E25" w:rsidRDefault="00B732B4" w:rsidP="00B732B4">
            <w:pPr>
              <w:ind w:left="0" w:firstLine="0"/>
              <w:jc w:val="right"/>
              <w:rPr>
                <w:rFonts w:eastAsia="Times New Roman" w:cs="Calibri"/>
                <w:color w:val="000000"/>
                <w:sz w:val="20"/>
                <w:szCs w:val="20"/>
                <w:lang w:eastAsia="en-GB"/>
              </w:rPr>
            </w:pPr>
            <w:r w:rsidRPr="00F53E25">
              <w:rPr>
                <w:rFonts w:eastAsia="Times New Roman" w:cs="Calibri"/>
                <w:color w:val="000000"/>
                <w:sz w:val="20"/>
                <w:szCs w:val="20"/>
                <w:lang w:eastAsia="en-GB"/>
              </w:rPr>
              <w:t>145</w:t>
            </w:r>
          </w:p>
        </w:tc>
      </w:tr>
      <w:tr w:rsidR="00B732B4" w:rsidRPr="00F53E25" w14:paraId="79D8282C" w14:textId="77777777" w:rsidTr="0076398C">
        <w:trPr>
          <w:trHeight w:val="300"/>
        </w:trPr>
        <w:tc>
          <w:tcPr>
            <w:tcW w:w="4983" w:type="dxa"/>
            <w:tcBorders>
              <w:top w:val="nil"/>
              <w:left w:val="single" w:sz="4" w:space="0" w:color="auto"/>
              <w:bottom w:val="single" w:sz="4" w:space="0" w:color="auto"/>
              <w:right w:val="single" w:sz="4" w:space="0" w:color="auto"/>
            </w:tcBorders>
            <w:shd w:val="clear" w:color="000000" w:fill="D6E3BC"/>
            <w:noWrap/>
            <w:vAlign w:val="center"/>
            <w:hideMark/>
          </w:tcPr>
          <w:p w14:paraId="30C4BE8A" w14:textId="52AB1D32" w:rsidR="00B732B4" w:rsidRPr="00F53E25" w:rsidRDefault="00B732B4" w:rsidP="00B732B4">
            <w:pPr>
              <w:ind w:left="0" w:firstLine="0"/>
              <w:rPr>
                <w:rFonts w:eastAsia="Times New Roman" w:cs="Calibri"/>
                <w:b/>
                <w:bCs/>
                <w:color w:val="000000"/>
                <w:sz w:val="20"/>
                <w:szCs w:val="20"/>
                <w:lang w:eastAsia="en-GB"/>
              </w:rPr>
            </w:pPr>
            <w:r w:rsidRPr="00F53E25">
              <w:rPr>
                <w:rFonts w:eastAsia="Times New Roman" w:cs="Calibri"/>
                <w:b/>
                <w:bCs/>
                <w:color w:val="000000"/>
                <w:sz w:val="20"/>
                <w:szCs w:val="20"/>
                <w:lang w:eastAsia="en-GB"/>
              </w:rPr>
              <w:t>TOTAL, GASTOS</w:t>
            </w:r>
          </w:p>
        </w:tc>
        <w:tc>
          <w:tcPr>
            <w:tcW w:w="1554" w:type="dxa"/>
            <w:tcBorders>
              <w:top w:val="nil"/>
              <w:left w:val="nil"/>
              <w:bottom w:val="single" w:sz="4" w:space="0" w:color="auto"/>
              <w:right w:val="single" w:sz="4" w:space="0" w:color="auto"/>
            </w:tcBorders>
            <w:shd w:val="clear" w:color="000000" w:fill="D6E3BC"/>
            <w:noWrap/>
            <w:vAlign w:val="center"/>
            <w:hideMark/>
          </w:tcPr>
          <w:p w14:paraId="06CE879B" w14:textId="00E36D9E"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5 081</w:t>
            </w:r>
          </w:p>
        </w:tc>
        <w:tc>
          <w:tcPr>
            <w:tcW w:w="1555" w:type="dxa"/>
            <w:tcBorders>
              <w:top w:val="nil"/>
              <w:left w:val="nil"/>
              <w:bottom w:val="single" w:sz="4" w:space="0" w:color="auto"/>
              <w:right w:val="single" w:sz="4" w:space="0" w:color="auto"/>
            </w:tcBorders>
            <w:shd w:val="clear" w:color="000000" w:fill="D6E3BC"/>
            <w:noWrap/>
            <w:vAlign w:val="center"/>
            <w:hideMark/>
          </w:tcPr>
          <w:p w14:paraId="3C35061F"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76</w:t>
            </w:r>
          </w:p>
        </w:tc>
        <w:tc>
          <w:tcPr>
            <w:tcW w:w="1555" w:type="dxa"/>
            <w:tcBorders>
              <w:top w:val="nil"/>
              <w:left w:val="single" w:sz="4" w:space="0" w:color="auto"/>
              <w:bottom w:val="single" w:sz="4" w:space="0" w:color="auto"/>
              <w:right w:val="single" w:sz="4" w:space="0" w:color="auto"/>
            </w:tcBorders>
            <w:shd w:val="clear" w:color="000000" w:fill="D6E3BC"/>
            <w:noWrap/>
            <w:vAlign w:val="center"/>
            <w:hideMark/>
          </w:tcPr>
          <w:p w14:paraId="5938B1AC"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712</w:t>
            </w:r>
          </w:p>
        </w:tc>
        <w:tc>
          <w:tcPr>
            <w:tcW w:w="1555" w:type="dxa"/>
            <w:tcBorders>
              <w:top w:val="nil"/>
              <w:left w:val="nil"/>
              <w:bottom w:val="single" w:sz="4" w:space="0" w:color="auto"/>
              <w:right w:val="single" w:sz="4" w:space="0" w:color="auto"/>
            </w:tcBorders>
            <w:shd w:val="clear" w:color="000000" w:fill="D6E3BC"/>
            <w:noWrap/>
            <w:vAlign w:val="center"/>
            <w:hideMark/>
          </w:tcPr>
          <w:p w14:paraId="6F04E83A" w14:textId="4BC2CBA2"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1 590</w:t>
            </w:r>
          </w:p>
        </w:tc>
        <w:tc>
          <w:tcPr>
            <w:tcW w:w="1555" w:type="dxa"/>
            <w:tcBorders>
              <w:top w:val="nil"/>
              <w:left w:val="nil"/>
              <w:bottom w:val="single" w:sz="4" w:space="0" w:color="auto"/>
              <w:right w:val="single" w:sz="4" w:space="0" w:color="auto"/>
            </w:tcBorders>
            <w:shd w:val="clear" w:color="000000" w:fill="D6E3BC"/>
            <w:noWrap/>
            <w:vAlign w:val="center"/>
            <w:hideMark/>
          </w:tcPr>
          <w:p w14:paraId="2A4DE39F" w14:textId="77777777"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D6E3BC"/>
            <w:noWrap/>
            <w:vAlign w:val="center"/>
            <w:hideMark/>
          </w:tcPr>
          <w:p w14:paraId="092209A1" w14:textId="3B106CA1" w:rsidR="00B732B4" w:rsidRPr="00F53E25" w:rsidRDefault="00B732B4" w:rsidP="00B732B4">
            <w:pPr>
              <w:ind w:left="0" w:firstLine="0"/>
              <w:jc w:val="right"/>
              <w:rPr>
                <w:rFonts w:eastAsia="Times New Roman" w:cs="Calibri"/>
                <w:b/>
                <w:bCs/>
                <w:color w:val="000000"/>
                <w:sz w:val="20"/>
                <w:szCs w:val="20"/>
                <w:lang w:eastAsia="en-GB"/>
              </w:rPr>
            </w:pPr>
            <w:r w:rsidRPr="00F53E25">
              <w:rPr>
                <w:rFonts w:eastAsia="Times New Roman" w:cs="Calibri"/>
                <w:b/>
                <w:bCs/>
                <w:color w:val="000000"/>
                <w:sz w:val="20"/>
                <w:szCs w:val="20"/>
                <w:lang w:eastAsia="en-GB"/>
              </w:rPr>
              <w:t>7 459</w:t>
            </w:r>
          </w:p>
        </w:tc>
      </w:tr>
    </w:tbl>
    <w:p w14:paraId="663C2241" w14:textId="7890EC42" w:rsidR="001E1E31" w:rsidRPr="00F53E25" w:rsidRDefault="001E1E31" w:rsidP="001E1E31">
      <w:pPr>
        <w:ind w:left="0" w:firstLine="0"/>
        <w:rPr>
          <w:rFonts w:asciiTheme="minorHAnsi" w:eastAsia="Times New Roman" w:hAnsiTheme="minorHAnsi" w:cstheme="minorHAnsi"/>
          <w:b/>
          <w:bCs/>
          <w:lang w:eastAsia="en-GB"/>
        </w:rPr>
      </w:pPr>
      <w:r w:rsidRPr="00F53E25">
        <w:rPr>
          <w:rFonts w:asciiTheme="minorHAnsi" w:eastAsia="Times New Roman" w:hAnsiTheme="minorHAnsi" w:cstheme="minorHAnsi"/>
          <w:b/>
          <w:bCs/>
          <w:color w:val="000000"/>
          <w:sz w:val="20"/>
          <w:szCs w:val="20"/>
          <w:lang w:eastAsia="en-GB"/>
        </w:rPr>
        <w:t>Not</w:t>
      </w:r>
      <w:r w:rsidR="007F3AAE" w:rsidRPr="00F53E25">
        <w:rPr>
          <w:rFonts w:asciiTheme="minorHAnsi" w:eastAsia="Times New Roman" w:hAnsiTheme="minorHAnsi" w:cstheme="minorHAnsi"/>
          <w:b/>
          <w:bCs/>
          <w:color w:val="000000"/>
          <w:sz w:val="20"/>
          <w:szCs w:val="20"/>
          <w:lang w:eastAsia="en-GB"/>
        </w:rPr>
        <w:t>a</w:t>
      </w:r>
      <w:r w:rsidRPr="00F53E25">
        <w:rPr>
          <w:rFonts w:asciiTheme="minorHAnsi" w:eastAsia="Times New Roman" w:hAnsiTheme="minorHAnsi" w:cstheme="minorHAnsi"/>
          <w:b/>
          <w:bCs/>
          <w:color w:val="000000"/>
          <w:sz w:val="20"/>
          <w:szCs w:val="20"/>
          <w:lang w:eastAsia="en-GB"/>
        </w:rPr>
        <w:t>:</w:t>
      </w:r>
    </w:p>
    <w:p w14:paraId="2BFAFECB" w14:textId="759A60CE" w:rsidR="001E1E31" w:rsidRPr="00F53E25" w:rsidRDefault="001E1E31" w:rsidP="001E1E31">
      <w:pPr>
        <w:ind w:left="0" w:firstLine="0"/>
        <w:rPr>
          <w:rFonts w:asciiTheme="minorHAnsi" w:eastAsia="Times New Roman" w:hAnsiTheme="minorHAnsi" w:cstheme="minorHAnsi"/>
          <w:color w:val="000000"/>
          <w:sz w:val="20"/>
          <w:szCs w:val="20"/>
          <w:lang w:eastAsia="en-GB"/>
        </w:rPr>
      </w:pPr>
      <w:r w:rsidRPr="00F53E25">
        <w:rPr>
          <w:rFonts w:asciiTheme="minorHAnsi" w:eastAsia="Times New Roman" w:hAnsiTheme="minorHAnsi" w:cstheme="minorHAnsi"/>
          <w:color w:val="000000"/>
          <w:sz w:val="20"/>
          <w:szCs w:val="20"/>
          <w:lang w:eastAsia="en-GB"/>
        </w:rPr>
        <w:t>*</w:t>
      </w:r>
      <w:r w:rsidR="007F3AAE" w:rsidRPr="00F53E25">
        <w:rPr>
          <w:rFonts w:asciiTheme="minorHAnsi" w:eastAsia="Times New Roman" w:hAnsiTheme="minorHAnsi" w:cstheme="minorHAnsi"/>
          <w:color w:val="000000"/>
          <w:sz w:val="20"/>
          <w:szCs w:val="20"/>
          <w:lang w:eastAsia="en-GB"/>
        </w:rPr>
        <w:t xml:space="preserve">Se han realizado ajustes en el presupuesto aprobado por la COP13 entre las partidas presupuestarias existentes y no en los fondos </w:t>
      </w:r>
      <w:r w:rsidR="00404FE5" w:rsidRPr="00F53E25">
        <w:rPr>
          <w:rFonts w:asciiTheme="minorHAnsi" w:eastAsia="Times New Roman" w:hAnsiTheme="minorHAnsi" w:cstheme="minorHAnsi"/>
          <w:color w:val="000000"/>
          <w:sz w:val="20"/>
          <w:szCs w:val="20"/>
          <w:lang w:eastAsia="en-GB"/>
        </w:rPr>
        <w:t>traspasados</w:t>
      </w:r>
      <w:r w:rsidR="007F3AAE" w:rsidRPr="00F53E25">
        <w:rPr>
          <w:rFonts w:asciiTheme="minorHAnsi" w:eastAsia="Times New Roman" w:hAnsiTheme="minorHAnsi" w:cstheme="minorHAnsi"/>
          <w:color w:val="000000"/>
          <w:sz w:val="20"/>
          <w:szCs w:val="20"/>
          <w:lang w:eastAsia="en-GB"/>
        </w:rPr>
        <w:t xml:space="preserve"> </w:t>
      </w:r>
      <w:r w:rsidR="00A065EA" w:rsidRPr="00F53E25">
        <w:rPr>
          <w:rFonts w:asciiTheme="minorHAnsi" w:eastAsia="Times New Roman" w:hAnsiTheme="minorHAnsi" w:cstheme="minorHAnsi"/>
          <w:color w:val="000000"/>
          <w:sz w:val="20"/>
          <w:szCs w:val="20"/>
          <w:lang w:eastAsia="en-GB"/>
        </w:rPr>
        <w:t>al año siguiente</w:t>
      </w:r>
      <w:r w:rsidR="007F3AAE" w:rsidRPr="00F53E25">
        <w:rPr>
          <w:rFonts w:asciiTheme="minorHAnsi" w:eastAsia="Times New Roman" w:hAnsiTheme="minorHAnsi" w:cstheme="minorHAnsi"/>
          <w:color w:val="000000"/>
          <w:sz w:val="20"/>
          <w:szCs w:val="20"/>
          <w:lang w:eastAsia="en-GB"/>
        </w:rPr>
        <w:t>.</w:t>
      </w:r>
    </w:p>
    <w:p w14:paraId="769FFC10" w14:textId="77777777" w:rsidR="00614CE1" w:rsidRPr="00F53E25" w:rsidRDefault="00614CE1" w:rsidP="00E42F5B">
      <w:pPr>
        <w:ind w:left="0" w:firstLine="0"/>
        <w:rPr>
          <w:rFonts w:asciiTheme="minorHAnsi" w:eastAsia="Times New Roman" w:hAnsiTheme="minorHAnsi" w:cs="Arial"/>
          <w:b/>
          <w:bCs/>
          <w:lang w:eastAsia="en-GB"/>
        </w:rPr>
      </w:pPr>
      <w:bookmarkStart w:id="0" w:name="_GoBack"/>
      <w:bookmarkEnd w:id="0"/>
    </w:p>
    <w:sectPr w:rsidR="00614CE1" w:rsidRPr="00F53E25" w:rsidSect="006C4A6A">
      <w:footerReference w:type="default" r:id="rId11"/>
      <w:pgSz w:w="16838" w:h="11906" w:orient="landscape"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9FC53" w16cex:dateUtc="2021-05-27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00D6F8" w16cid:durableId="2459FC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AF5A4" w14:textId="77777777" w:rsidR="0076398C" w:rsidRDefault="0076398C" w:rsidP="00DF2386">
      <w:r>
        <w:separator/>
      </w:r>
    </w:p>
  </w:endnote>
  <w:endnote w:type="continuationSeparator" w:id="0">
    <w:p w14:paraId="068A4BC7" w14:textId="77777777" w:rsidR="0076398C" w:rsidRDefault="0076398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7C3FF600" w:rsidR="0076398C" w:rsidRDefault="0076398C" w:rsidP="002137E0">
    <w:pPr>
      <w:pStyle w:val="Header"/>
      <w:rPr>
        <w:noProof/>
      </w:rPr>
    </w:pPr>
    <w:r>
      <w:rPr>
        <w:sz w:val="20"/>
        <w:szCs w:val="20"/>
      </w:rPr>
      <w:t>SC59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C0F0E">
          <w:rPr>
            <w:noProof/>
            <w:sz w:val="20"/>
            <w:szCs w:val="20"/>
          </w:rPr>
          <w:t>15</w:t>
        </w:r>
        <w:r w:rsidRPr="00F344D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97BA" w14:textId="5F47F8BD" w:rsidR="0076398C" w:rsidRDefault="0076398C" w:rsidP="006C4A6A">
    <w:pPr>
      <w:pStyle w:val="Header"/>
      <w:tabs>
        <w:tab w:val="clear" w:pos="9026"/>
        <w:tab w:val="left" w:pos="13750"/>
      </w:tabs>
      <w:rPr>
        <w:noProof/>
      </w:rPr>
    </w:pPr>
    <w:r>
      <w:rPr>
        <w:sz w:val="20"/>
        <w:szCs w:val="20"/>
      </w:rPr>
      <w:t>SC59 Doc.8.1</w:t>
    </w:r>
    <w:r>
      <w:tab/>
    </w:r>
    <w:r>
      <w:tab/>
    </w:r>
    <w:sdt>
      <w:sdtPr>
        <w:id w:val="-1679500441"/>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C0F0E">
          <w:rPr>
            <w:noProof/>
            <w:sz w:val="20"/>
            <w:szCs w:val="20"/>
          </w:rPr>
          <w:t>19</w:t>
        </w:r>
        <w:r w:rsidRPr="00F344DE">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4F2A" w14:textId="6534FF93" w:rsidR="0076398C" w:rsidRDefault="0076398C" w:rsidP="002137E0">
    <w:pPr>
      <w:pStyle w:val="Header"/>
      <w:rPr>
        <w:noProof/>
      </w:rPr>
    </w:pPr>
    <w:r>
      <w:rPr>
        <w:sz w:val="20"/>
        <w:szCs w:val="20"/>
      </w:rPr>
      <w:t>SC59 Doc.8.1</w:t>
    </w:r>
    <w:r>
      <w:tab/>
    </w:r>
    <w:r>
      <w:tab/>
    </w:r>
    <w:sdt>
      <w:sdtPr>
        <w:id w:val="68495125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C0F0E">
          <w:rPr>
            <w:noProof/>
            <w:sz w:val="20"/>
            <w:szCs w:val="20"/>
          </w:rPr>
          <w:t>21</w:t>
        </w:r>
        <w:r w:rsidRPr="00F344DE">
          <w:rPr>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4917E" w14:textId="11C9B19C" w:rsidR="0076398C" w:rsidRDefault="0076398C" w:rsidP="006C4A6A">
    <w:pPr>
      <w:pStyle w:val="Header"/>
      <w:tabs>
        <w:tab w:val="clear" w:pos="9026"/>
        <w:tab w:val="right" w:pos="13892"/>
      </w:tabs>
      <w:rPr>
        <w:noProof/>
      </w:rPr>
    </w:pPr>
    <w:r>
      <w:rPr>
        <w:sz w:val="20"/>
        <w:szCs w:val="20"/>
      </w:rPr>
      <w:t>SC59 Doc.8.1</w:t>
    </w:r>
    <w:r>
      <w:tab/>
    </w:r>
    <w:r>
      <w:tab/>
    </w:r>
    <w:sdt>
      <w:sdtPr>
        <w:id w:val="79687757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FC0F0E">
          <w:rPr>
            <w:noProof/>
            <w:sz w:val="20"/>
            <w:szCs w:val="20"/>
          </w:rPr>
          <w:t>24</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9D56A" w14:textId="77777777" w:rsidR="0076398C" w:rsidRDefault="0076398C" w:rsidP="00DF2386">
      <w:r>
        <w:separator/>
      </w:r>
    </w:p>
  </w:footnote>
  <w:footnote w:type="continuationSeparator" w:id="0">
    <w:p w14:paraId="48AFC5B2" w14:textId="77777777" w:rsidR="0076398C" w:rsidRDefault="0076398C" w:rsidP="00DF2386">
      <w:r>
        <w:continuationSeparator/>
      </w:r>
    </w:p>
  </w:footnote>
  <w:footnote w:id="1">
    <w:p w14:paraId="3815565D" w14:textId="36159F95" w:rsidR="0076398C" w:rsidRPr="00ED25F1" w:rsidRDefault="0076398C" w:rsidP="00BD4287">
      <w:pPr>
        <w:pStyle w:val="FootnoteText"/>
        <w:spacing w:line="240" w:lineRule="atLeast"/>
        <w:rPr>
          <w:rFonts w:asciiTheme="minorHAnsi" w:hAnsiTheme="minorHAnsi" w:cstheme="minorHAnsi"/>
        </w:rPr>
      </w:pPr>
      <w:r w:rsidRPr="00BD4287">
        <w:rPr>
          <w:rStyle w:val="FootnoteReference"/>
          <w:rFonts w:asciiTheme="minorHAnsi" w:hAnsiTheme="minorHAnsi" w:cstheme="minorHAnsi"/>
        </w:rPr>
        <w:footnoteRef/>
      </w:r>
      <w:r w:rsidRPr="00BD4287">
        <w:rPr>
          <w:rFonts w:asciiTheme="minorHAnsi" w:hAnsiTheme="minorHAnsi" w:cstheme="minorHAnsi"/>
          <w:lang w:val="fr-FR"/>
        </w:rPr>
        <w:t xml:space="preserve"> </w:t>
      </w:r>
      <w:r w:rsidRPr="00ED25F1">
        <w:rPr>
          <w:rFonts w:asciiTheme="minorHAnsi" w:hAnsiTheme="minorHAnsi" w:cstheme="minorHAnsi"/>
        </w:rPr>
        <w:t xml:space="preserve">Véase </w:t>
      </w:r>
      <w:hyperlink r:id="rId1" w:history="1">
        <w:r w:rsidRPr="00ED25F1">
          <w:rPr>
            <w:rStyle w:val="Hyperlink"/>
            <w:rFonts w:asciiTheme="minorHAnsi" w:hAnsiTheme="minorHAnsi" w:cstheme="minorHAnsi"/>
          </w:rPr>
          <w:t>https://www.ramsar.org/sites/default/files/documents/library/report_auditor_ramsar_2019_e.pdf</w:t>
        </w:r>
      </w:hyperlink>
      <w:r w:rsidRPr="00ED25F1">
        <w:rPr>
          <w:rFonts w:asciiTheme="minorHAnsi" w:hAnsiTheme="minorHAnsi" w:cstheme="minorHAnsi"/>
        </w:rPr>
        <w:t>.</w:t>
      </w:r>
    </w:p>
  </w:footnote>
  <w:footnote w:id="2">
    <w:p w14:paraId="7B1EDCF8" w14:textId="6DAED969" w:rsidR="0076398C" w:rsidRPr="00ED25F1" w:rsidRDefault="0076398C" w:rsidP="00BD4287">
      <w:pPr>
        <w:pStyle w:val="NormalWeb"/>
        <w:spacing w:before="0" w:beforeAutospacing="0" w:after="0" w:afterAutospacing="0" w:line="240" w:lineRule="atLeast"/>
        <w:rPr>
          <w:rFonts w:asciiTheme="minorHAnsi" w:hAnsiTheme="minorHAnsi" w:cstheme="minorHAnsi"/>
        </w:rPr>
      </w:pPr>
      <w:r w:rsidRPr="00ED25F1">
        <w:rPr>
          <w:rStyle w:val="FootnoteReference"/>
          <w:rFonts w:asciiTheme="minorHAnsi" w:hAnsiTheme="minorHAnsi" w:cstheme="minorHAnsi"/>
          <w:sz w:val="20"/>
          <w:szCs w:val="20"/>
        </w:rPr>
        <w:footnoteRef/>
      </w:r>
      <w:r w:rsidRPr="00ED25F1">
        <w:rPr>
          <w:rFonts w:asciiTheme="minorHAnsi" w:hAnsiTheme="minorHAnsi" w:cstheme="minorHAnsi"/>
        </w:rPr>
        <w:t xml:space="preserve"> </w:t>
      </w:r>
      <w:r w:rsidRPr="00ED25F1">
        <w:rPr>
          <w:rFonts w:asciiTheme="minorHAnsi" w:eastAsia="Calibri" w:hAnsiTheme="minorHAnsi" w:cstheme="minorHAnsi"/>
          <w:sz w:val="20"/>
          <w:szCs w:val="20"/>
          <w:lang w:eastAsia="en-US"/>
        </w:rPr>
        <w:t xml:space="preserve">Decisión SC57-50: “De acuerdo con las responsabilidades definidas en la Resolución 5.2, </w:t>
      </w:r>
      <w:r w:rsidRPr="00ED25F1">
        <w:rPr>
          <w:rFonts w:asciiTheme="minorHAnsi" w:eastAsia="Calibri" w:hAnsiTheme="minorHAnsi" w:cstheme="minorHAnsi"/>
          <w:i/>
          <w:iCs/>
          <w:sz w:val="20"/>
          <w:szCs w:val="20"/>
          <w:lang w:eastAsia="en-US"/>
        </w:rPr>
        <w:t>Asuntos financieros y presupuestarios</w:t>
      </w:r>
      <w:r w:rsidRPr="00ED25F1">
        <w:rPr>
          <w:rFonts w:asciiTheme="minorHAnsi" w:eastAsia="Calibri" w:hAnsiTheme="minorHAnsi" w:cstheme="minorHAnsi"/>
          <w:sz w:val="20"/>
          <w:szCs w:val="20"/>
          <w:lang w:eastAsia="en-US"/>
        </w:rPr>
        <w:t>, Anexo 3, párrafo 8, el Comité Permanente acordó que los saldos no comprometidos o no gastados de las partidas presupuestarias se podrían transferir al año siguiente dentro del trienio y presentar a la siguiente reunión del Subgrupo de Finanzas</w:t>
      </w:r>
      <w:r w:rsidRPr="00ED25F1">
        <w:rPr>
          <w:rFonts w:asciiTheme="minorHAnsi" w:hAnsiTheme="minorHAnsi" w:cstheme="minorHAnsi"/>
        </w:rPr>
        <w:t>”.</w:t>
      </w:r>
    </w:p>
  </w:footnote>
  <w:footnote w:id="3">
    <w:p w14:paraId="17D96BD3" w14:textId="77777777" w:rsidR="0076398C" w:rsidRDefault="0076398C" w:rsidP="00642D1E">
      <w:pPr>
        <w:pStyle w:val="FootnoteText"/>
        <w:ind w:left="0" w:firstLine="0"/>
      </w:pPr>
      <w:r>
        <w:rPr>
          <w:rStyle w:val="FootnoteReference"/>
        </w:rPr>
        <w:footnoteRef/>
      </w:r>
      <w:r>
        <w:t xml:space="preserve"> Véase el párrafo 23 de la Resolución X.2 sobre </w:t>
      </w:r>
      <w:r>
        <w:rPr>
          <w:i/>
          <w:iCs/>
        </w:rPr>
        <w:t>Asuntos financieros y presupuestarios</w:t>
      </w:r>
      <w:r>
        <w:t xml:space="preserve">, </w:t>
      </w:r>
      <w:hyperlink r:id="rId2" w:history="1">
        <w:r>
          <w:rPr>
            <w:rStyle w:val="Hyperlink"/>
          </w:rPr>
          <w:t>https://www.ramsar.org/es/documento/resolucion-x2-asuntos-financieros-y-presupuestarios</w:t>
        </w:r>
      </w:hyperlink>
      <w:r>
        <w:t>.</w:t>
      </w:r>
    </w:p>
  </w:footnote>
  <w:footnote w:id="4">
    <w:p w14:paraId="3B65AE23" w14:textId="302A5129" w:rsidR="0076398C" w:rsidRDefault="0076398C" w:rsidP="00B50C21">
      <w:pPr>
        <w:pStyle w:val="FootnoteText"/>
        <w:ind w:left="0" w:firstLine="0"/>
      </w:pPr>
      <w:r>
        <w:rPr>
          <w:rStyle w:val="FootnoteReference"/>
        </w:rPr>
        <w:footnoteRef/>
      </w:r>
      <w:r>
        <w:t xml:space="preserve"> Véase </w:t>
      </w:r>
      <w:hyperlink r:id="rId3" w:history="1">
        <w:r>
          <w:rPr>
            <w:rStyle w:val="Hyperlink"/>
          </w:rPr>
          <w:t>https://www.ramsar.org/es/documento/sc55-doc82-examen-financiero-de-los-fondos-complementarios-por-la-uicn</w:t>
        </w:r>
      </w:hyperlink>
    </w:p>
  </w:footnote>
  <w:footnote w:id="5">
    <w:p w14:paraId="75CD008C" w14:textId="6015DB48" w:rsidR="0076398C" w:rsidRDefault="0076398C" w:rsidP="006A24F1">
      <w:pPr>
        <w:pStyle w:val="FootnoteText"/>
        <w:ind w:left="0" w:firstLine="0"/>
      </w:pPr>
      <w:r>
        <w:rPr>
          <w:rStyle w:val="FootnoteReference"/>
        </w:rPr>
        <w:footnoteRef/>
      </w:r>
      <w:r>
        <w:t xml:space="preserve"> Véanse las notas de los estados auditados en </w:t>
      </w:r>
      <w:hyperlink r:id="rId4" w:history="1">
        <w:r>
          <w:rPr>
            <w:rStyle w:val="Hyperlink"/>
          </w:rPr>
          <w:t>https://www.ramsar.org/sites/default/files/documents/library/report_auditor_ramsar_2019_e.pdf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4293F"/>
    <w:multiLevelType w:val="hybridMultilevel"/>
    <w:tmpl w:val="0BEEFB76"/>
    <w:lvl w:ilvl="0" w:tplc="27D4725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9" w15:restartNumberingAfterBreak="0">
    <w:nsid w:val="5C8F23D4"/>
    <w:multiLevelType w:val="hybridMultilevel"/>
    <w:tmpl w:val="481CAB88"/>
    <w:lvl w:ilvl="0" w:tplc="6694B6B8">
      <w:start w:val="1"/>
      <w:numFmt w:val="decimal"/>
      <w:lvlText w:val="%1."/>
      <w:lvlJc w:val="left"/>
      <w:pPr>
        <w:ind w:left="780" w:hanging="4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D43B1A"/>
    <w:multiLevelType w:val="hybridMultilevel"/>
    <w:tmpl w:val="D9AA09B4"/>
    <w:lvl w:ilvl="0" w:tplc="F306DFD6">
      <w:start w:val="5"/>
      <w:numFmt w:val="bullet"/>
      <w:lvlText w:val="-"/>
      <w:lvlJc w:val="left"/>
      <w:pPr>
        <w:ind w:left="420" w:hanging="360"/>
      </w:pPr>
      <w:rPr>
        <w:rFonts w:ascii="Calibri" w:eastAsia="Calibri" w:hAnsi="Calibri" w:cs="Calibri" w:hint="default"/>
      </w:rPr>
    </w:lvl>
    <w:lvl w:ilvl="1" w:tplc="040A0003" w:tentative="1">
      <w:start w:val="1"/>
      <w:numFmt w:val="bullet"/>
      <w:lvlText w:val="o"/>
      <w:lvlJc w:val="left"/>
      <w:pPr>
        <w:ind w:left="1140" w:hanging="360"/>
      </w:pPr>
      <w:rPr>
        <w:rFonts w:ascii="Courier New" w:hAnsi="Courier New" w:cs="Courier New" w:hint="default"/>
      </w:rPr>
    </w:lvl>
    <w:lvl w:ilvl="2" w:tplc="040A0005" w:tentative="1">
      <w:start w:val="1"/>
      <w:numFmt w:val="bullet"/>
      <w:lvlText w:val=""/>
      <w:lvlJc w:val="left"/>
      <w:pPr>
        <w:ind w:left="1860" w:hanging="360"/>
      </w:pPr>
      <w:rPr>
        <w:rFonts w:ascii="Wingdings" w:hAnsi="Wingdings" w:hint="default"/>
      </w:rPr>
    </w:lvl>
    <w:lvl w:ilvl="3" w:tplc="040A0001" w:tentative="1">
      <w:start w:val="1"/>
      <w:numFmt w:val="bullet"/>
      <w:lvlText w:val=""/>
      <w:lvlJc w:val="left"/>
      <w:pPr>
        <w:ind w:left="2580" w:hanging="360"/>
      </w:pPr>
      <w:rPr>
        <w:rFonts w:ascii="Symbol" w:hAnsi="Symbol" w:hint="default"/>
      </w:rPr>
    </w:lvl>
    <w:lvl w:ilvl="4" w:tplc="040A0003" w:tentative="1">
      <w:start w:val="1"/>
      <w:numFmt w:val="bullet"/>
      <w:lvlText w:val="o"/>
      <w:lvlJc w:val="left"/>
      <w:pPr>
        <w:ind w:left="3300" w:hanging="360"/>
      </w:pPr>
      <w:rPr>
        <w:rFonts w:ascii="Courier New" w:hAnsi="Courier New" w:cs="Courier New" w:hint="default"/>
      </w:rPr>
    </w:lvl>
    <w:lvl w:ilvl="5" w:tplc="040A0005" w:tentative="1">
      <w:start w:val="1"/>
      <w:numFmt w:val="bullet"/>
      <w:lvlText w:val=""/>
      <w:lvlJc w:val="left"/>
      <w:pPr>
        <w:ind w:left="4020" w:hanging="360"/>
      </w:pPr>
      <w:rPr>
        <w:rFonts w:ascii="Wingdings" w:hAnsi="Wingdings" w:hint="default"/>
      </w:rPr>
    </w:lvl>
    <w:lvl w:ilvl="6" w:tplc="040A0001" w:tentative="1">
      <w:start w:val="1"/>
      <w:numFmt w:val="bullet"/>
      <w:lvlText w:val=""/>
      <w:lvlJc w:val="left"/>
      <w:pPr>
        <w:ind w:left="4740" w:hanging="360"/>
      </w:pPr>
      <w:rPr>
        <w:rFonts w:ascii="Symbol" w:hAnsi="Symbol" w:hint="default"/>
      </w:rPr>
    </w:lvl>
    <w:lvl w:ilvl="7" w:tplc="040A0003" w:tentative="1">
      <w:start w:val="1"/>
      <w:numFmt w:val="bullet"/>
      <w:lvlText w:val="o"/>
      <w:lvlJc w:val="left"/>
      <w:pPr>
        <w:ind w:left="5460" w:hanging="360"/>
      </w:pPr>
      <w:rPr>
        <w:rFonts w:ascii="Courier New" w:hAnsi="Courier New" w:cs="Courier New" w:hint="default"/>
      </w:rPr>
    </w:lvl>
    <w:lvl w:ilvl="8" w:tplc="040A0005" w:tentative="1">
      <w:start w:val="1"/>
      <w:numFmt w:val="bullet"/>
      <w:lvlText w:val=""/>
      <w:lvlJc w:val="left"/>
      <w:pPr>
        <w:ind w:left="6180" w:hanging="360"/>
      </w:pPr>
      <w:rPr>
        <w:rFonts w:ascii="Wingdings" w:hAnsi="Wingdings" w:hint="default"/>
      </w:rPr>
    </w:lvl>
  </w:abstractNum>
  <w:abstractNum w:abstractNumId="12"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8"/>
  </w:num>
  <w:num w:numId="6">
    <w:abstractNumId w:val="2"/>
  </w:num>
  <w:num w:numId="7">
    <w:abstractNumId w:val="1"/>
  </w:num>
  <w:num w:numId="8">
    <w:abstractNumId w:val="5"/>
  </w:num>
  <w:num w:numId="9">
    <w:abstractNumId w:val="4"/>
  </w:num>
  <w:num w:numId="10">
    <w:abstractNumId w:val="12"/>
  </w:num>
  <w:num w:numId="11">
    <w:abstractNumId w:val="9"/>
  </w:num>
  <w:num w:numId="12">
    <w:abstractNumId w:val="7"/>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es-ES" w:vendorID="64" w:dllVersion="4096" w:nlCheck="1" w:checkStyle="0"/>
  <w:activeWritingStyle w:appName="MSWord" w:lang="fr-FR" w:vendorID="64" w:dllVersion="4096" w:nlCheck="1" w:checkStyle="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2551"/>
    <w:rsid w:val="00004171"/>
    <w:rsid w:val="00005D80"/>
    <w:rsid w:val="00006CF6"/>
    <w:rsid w:val="00007309"/>
    <w:rsid w:val="00007908"/>
    <w:rsid w:val="0001295D"/>
    <w:rsid w:val="00012A03"/>
    <w:rsid w:val="00013B5D"/>
    <w:rsid w:val="00014168"/>
    <w:rsid w:val="00014DD6"/>
    <w:rsid w:val="00017583"/>
    <w:rsid w:val="00017A16"/>
    <w:rsid w:val="00020298"/>
    <w:rsid w:val="00020C2D"/>
    <w:rsid w:val="00020C56"/>
    <w:rsid w:val="00021F0E"/>
    <w:rsid w:val="00024104"/>
    <w:rsid w:val="0002452B"/>
    <w:rsid w:val="00024537"/>
    <w:rsid w:val="00024832"/>
    <w:rsid w:val="00024E01"/>
    <w:rsid w:val="00025210"/>
    <w:rsid w:val="0002530E"/>
    <w:rsid w:val="00026E09"/>
    <w:rsid w:val="0002761D"/>
    <w:rsid w:val="000279C5"/>
    <w:rsid w:val="00027FCD"/>
    <w:rsid w:val="000308AC"/>
    <w:rsid w:val="000308D5"/>
    <w:rsid w:val="00030DC9"/>
    <w:rsid w:val="00031058"/>
    <w:rsid w:val="00031851"/>
    <w:rsid w:val="0003253E"/>
    <w:rsid w:val="0003279A"/>
    <w:rsid w:val="00032E44"/>
    <w:rsid w:val="000341C3"/>
    <w:rsid w:val="00034C8A"/>
    <w:rsid w:val="00037CE0"/>
    <w:rsid w:val="0004214F"/>
    <w:rsid w:val="00044E37"/>
    <w:rsid w:val="00047393"/>
    <w:rsid w:val="000506B6"/>
    <w:rsid w:val="00050984"/>
    <w:rsid w:val="000512D7"/>
    <w:rsid w:val="000518FC"/>
    <w:rsid w:val="00053743"/>
    <w:rsid w:val="00053929"/>
    <w:rsid w:val="00056AA6"/>
    <w:rsid w:val="000575AD"/>
    <w:rsid w:val="0006178A"/>
    <w:rsid w:val="00062093"/>
    <w:rsid w:val="00062906"/>
    <w:rsid w:val="0006294A"/>
    <w:rsid w:val="00062A46"/>
    <w:rsid w:val="0006326D"/>
    <w:rsid w:val="00063485"/>
    <w:rsid w:val="00063F47"/>
    <w:rsid w:val="00064E24"/>
    <w:rsid w:val="00064EA7"/>
    <w:rsid w:val="00065B4A"/>
    <w:rsid w:val="00065E42"/>
    <w:rsid w:val="00067EDC"/>
    <w:rsid w:val="000702B3"/>
    <w:rsid w:val="000732F2"/>
    <w:rsid w:val="00073C7E"/>
    <w:rsid w:val="00073E51"/>
    <w:rsid w:val="00074DE8"/>
    <w:rsid w:val="000776EE"/>
    <w:rsid w:val="00082297"/>
    <w:rsid w:val="0008231A"/>
    <w:rsid w:val="0008295B"/>
    <w:rsid w:val="00082D5E"/>
    <w:rsid w:val="000844F9"/>
    <w:rsid w:val="00084D33"/>
    <w:rsid w:val="0008758E"/>
    <w:rsid w:val="000875B8"/>
    <w:rsid w:val="00095913"/>
    <w:rsid w:val="00095B36"/>
    <w:rsid w:val="00096FAE"/>
    <w:rsid w:val="00097AE5"/>
    <w:rsid w:val="00097C4A"/>
    <w:rsid w:val="000A0568"/>
    <w:rsid w:val="000A156E"/>
    <w:rsid w:val="000A212C"/>
    <w:rsid w:val="000A236E"/>
    <w:rsid w:val="000A3E3E"/>
    <w:rsid w:val="000B0EA8"/>
    <w:rsid w:val="000B13F3"/>
    <w:rsid w:val="000B16B8"/>
    <w:rsid w:val="000B1951"/>
    <w:rsid w:val="000B2366"/>
    <w:rsid w:val="000B2759"/>
    <w:rsid w:val="000B2D8F"/>
    <w:rsid w:val="000B380C"/>
    <w:rsid w:val="000B4332"/>
    <w:rsid w:val="000B6881"/>
    <w:rsid w:val="000C10F5"/>
    <w:rsid w:val="000C2046"/>
    <w:rsid w:val="000C240E"/>
    <w:rsid w:val="000C2489"/>
    <w:rsid w:val="000C3829"/>
    <w:rsid w:val="000C3FCA"/>
    <w:rsid w:val="000C57BA"/>
    <w:rsid w:val="000C5FFB"/>
    <w:rsid w:val="000C6755"/>
    <w:rsid w:val="000C786F"/>
    <w:rsid w:val="000D1BFA"/>
    <w:rsid w:val="000D3FBF"/>
    <w:rsid w:val="000D46E7"/>
    <w:rsid w:val="000D5C76"/>
    <w:rsid w:val="000D6AC7"/>
    <w:rsid w:val="000E18F4"/>
    <w:rsid w:val="000E2FA0"/>
    <w:rsid w:val="000E34D0"/>
    <w:rsid w:val="000E47E9"/>
    <w:rsid w:val="000E6DC0"/>
    <w:rsid w:val="000E7FB6"/>
    <w:rsid w:val="000F001B"/>
    <w:rsid w:val="000F051B"/>
    <w:rsid w:val="000F05DB"/>
    <w:rsid w:val="000F4030"/>
    <w:rsid w:val="000F435C"/>
    <w:rsid w:val="000F5372"/>
    <w:rsid w:val="000F547A"/>
    <w:rsid w:val="000F55F2"/>
    <w:rsid w:val="000F5E23"/>
    <w:rsid w:val="000F66B9"/>
    <w:rsid w:val="000F710F"/>
    <w:rsid w:val="001002FA"/>
    <w:rsid w:val="00103196"/>
    <w:rsid w:val="001032EA"/>
    <w:rsid w:val="00103B40"/>
    <w:rsid w:val="00105960"/>
    <w:rsid w:val="00105D6D"/>
    <w:rsid w:val="001068D9"/>
    <w:rsid w:val="00106C18"/>
    <w:rsid w:val="00107704"/>
    <w:rsid w:val="00107F64"/>
    <w:rsid w:val="00107FE6"/>
    <w:rsid w:val="0011042A"/>
    <w:rsid w:val="00110B4F"/>
    <w:rsid w:val="00110C51"/>
    <w:rsid w:val="00112016"/>
    <w:rsid w:val="0011271D"/>
    <w:rsid w:val="00112F62"/>
    <w:rsid w:val="00114BA0"/>
    <w:rsid w:val="00115F0E"/>
    <w:rsid w:val="00120823"/>
    <w:rsid w:val="0012096C"/>
    <w:rsid w:val="00122175"/>
    <w:rsid w:val="0012223B"/>
    <w:rsid w:val="0012252E"/>
    <w:rsid w:val="0012277D"/>
    <w:rsid w:val="00123E7D"/>
    <w:rsid w:val="0012507E"/>
    <w:rsid w:val="00125D3D"/>
    <w:rsid w:val="00126808"/>
    <w:rsid w:val="0012722A"/>
    <w:rsid w:val="00127828"/>
    <w:rsid w:val="00127B41"/>
    <w:rsid w:val="001319B8"/>
    <w:rsid w:val="0013219D"/>
    <w:rsid w:val="00133C51"/>
    <w:rsid w:val="0013410C"/>
    <w:rsid w:val="00134BDB"/>
    <w:rsid w:val="0013536D"/>
    <w:rsid w:val="0014045A"/>
    <w:rsid w:val="001404C4"/>
    <w:rsid w:val="00140EA0"/>
    <w:rsid w:val="001419BE"/>
    <w:rsid w:val="001438BD"/>
    <w:rsid w:val="00143C80"/>
    <w:rsid w:val="00144820"/>
    <w:rsid w:val="00145434"/>
    <w:rsid w:val="001458BE"/>
    <w:rsid w:val="0014780D"/>
    <w:rsid w:val="00147DAD"/>
    <w:rsid w:val="001504A4"/>
    <w:rsid w:val="00150C96"/>
    <w:rsid w:val="00150E18"/>
    <w:rsid w:val="00150F4B"/>
    <w:rsid w:val="00151B98"/>
    <w:rsid w:val="00152AA1"/>
    <w:rsid w:val="0015502B"/>
    <w:rsid w:val="00155171"/>
    <w:rsid w:val="00155710"/>
    <w:rsid w:val="00155F5F"/>
    <w:rsid w:val="001571E1"/>
    <w:rsid w:val="001614FA"/>
    <w:rsid w:val="00161BDA"/>
    <w:rsid w:val="00162710"/>
    <w:rsid w:val="00162EE8"/>
    <w:rsid w:val="00163F72"/>
    <w:rsid w:val="00164326"/>
    <w:rsid w:val="001649E7"/>
    <w:rsid w:val="001653A7"/>
    <w:rsid w:val="00165F44"/>
    <w:rsid w:val="001670DE"/>
    <w:rsid w:val="00167681"/>
    <w:rsid w:val="001709AB"/>
    <w:rsid w:val="00171618"/>
    <w:rsid w:val="00172AC9"/>
    <w:rsid w:val="001730E3"/>
    <w:rsid w:val="001748F5"/>
    <w:rsid w:val="00174E4A"/>
    <w:rsid w:val="00175433"/>
    <w:rsid w:val="001757C1"/>
    <w:rsid w:val="00175897"/>
    <w:rsid w:val="00175B8C"/>
    <w:rsid w:val="00176A64"/>
    <w:rsid w:val="00176B34"/>
    <w:rsid w:val="001808B3"/>
    <w:rsid w:val="001819B1"/>
    <w:rsid w:val="00181A6C"/>
    <w:rsid w:val="00182B75"/>
    <w:rsid w:val="00183EDE"/>
    <w:rsid w:val="0018460B"/>
    <w:rsid w:val="00184E6B"/>
    <w:rsid w:val="0018553C"/>
    <w:rsid w:val="001855E9"/>
    <w:rsid w:val="00186339"/>
    <w:rsid w:val="00186F3E"/>
    <w:rsid w:val="00187421"/>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A664B"/>
    <w:rsid w:val="001B20EC"/>
    <w:rsid w:val="001B3288"/>
    <w:rsid w:val="001B51D2"/>
    <w:rsid w:val="001B551E"/>
    <w:rsid w:val="001B5DAB"/>
    <w:rsid w:val="001B6041"/>
    <w:rsid w:val="001B67AA"/>
    <w:rsid w:val="001B6A54"/>
    <w:rsid w:val="001B73C2"/>
    <w:rsid w:val="001C0243"/>
    <w:rsid w:val="001C11BE"/>
    <w:rsid w:val="001C5386"/>
    <w:rsid w:val="001C5E41"/>
    <w:rsid w:val="001C77BC"/>
    <w:rsid w:val="001D0741"/>
    <w:rsid w:val="001D0B77"/>
    <w:rsid w:val="001D1E46"/>
    <w:rsid w:val="001D2107"/>
    <w:rsid w:val="001D3678"/>
    <w:rsid w:val="001D3FD1"/>
    <w:rsid w:val="001D48BB"/>
    <w:rsid w:val="001D58A8"/>
    <w:rsid w:val="001D5B80"/>
    <w:rsid w:val="001D71EF"/>
    <w:rsid w:val="001D72F3"/>
    <w:rsid w:val="001E00E3"/>
    <w:rsid w:val="001E0171"/>
    <w:rsid w:val="001E0361"/>
    <w:rsid w:val="001E1873"/>
    <w:rsid w:val="001E1A30"/>
    <w:rsid w:val="001E1E31"/>
    <w:rsid w:val="001E2987"/>
    <w:rsid w:val="001E45FF"/>
    <w:rsid w:val="001E7677"/>
    <w:rsid w:val="001E7894"/>
    <w:rsid w:val="001E7ADD"/>
    <w:rsid w:val="001E7B2D"/>
    <w:rsid w:val="001E7E9C"/>
    <w:rsid w:val="001E7FA6"/>
    <w:rsid w:val="001F0844"/>
    <w:rsid w:val="001F1A2B"/>
    <w:rsid w:val="001F1F7D"/>
    <w:rsid w:val="001F2349"/>
    <w:rsid w:val="001F34DB"/>
    <w:rsid w:val="001F3DC3"/>
    <w:rsid w:val="001F4117"/>
    <w:rsid w:val="001F4497"/>
    <w:rsid w:val="001F6253"/>
    <w:rsid w:val="001F657E"/>
    <w:rsid w:val="001F7360"/>
    <w:rsid w:val="001F79E9"/>
    <w:rsid w:val="002005D2"/>
    <w:rsid w:val="00201722"/>
    <w:rsid w:val="00201A04"/>
    <w:rsid w:val="002021BF"/>
    <w:rsid w:val="0020298B"/>
    <w:rsid w:val="002038EA"/>
    <w:rsid w:val="0020415A"/>
    <w:rsid w:val="00206111"/>
    <w:rsid w:val="002064A3"/>
    <w:rsid w:val="00206AF7"/>
    <w:rsid w:val="00207D6C"/>
    <w:rsid w:val="0021024C"/>
    <w:rsid w:val="00211A70"/>
    <w:rsid w:val="00212942"/>
    <w:rsid w:val="002137E0"/>
    <w:rsid w:val="00213C8C"/>
    <w:rsid w:val="00215D0B"/>
    <w:rsid w:val="00216155"/>
    <w:rsid w:val="002174A1"/>
    <w:rsid w:val="00220A4E"/>
    <w:rsid w:val="002214D7"/>
    <w:rsid w:val="0022294E"/>
    <w:rsid w:val="00222BB0"/>
    <w:rsid w:val="002238A2"/>
    <w:rsid w:val="002249B1"/>
    <w:rsid w:val="002253A7"/>
    <w:rsid w:val="00225A7C"/>
    <w:rsid w:val="002262FE"/>
    <w:rsid w:val="0023074E"/>
    <w:rsid w:val="0023128B"/>
    <w:rsid w:val="002314B9"/>
    <w:rsid w:val="00231F97"/>
    <w:rsid w:val="002324F0"/>
    <w:rsid w:val="00235E12"/>
    <w:rsid w:val="0023713D"/>
    <w:rsid w:val="002412F8"/>
    <w:rsid w:val="00241BD9"/>
    <w:rsid w:val="00242921"/>
    <w:rsid w:val="00242C38"/>
    <w:rsid w:val="00243C9A"/>
    <w:rsid w:val="00245529"/>
    <w:rsid w:val="002468FA"/>
    <w:rsid w:val="002473AC"/>
    <w:rsid w:val="0024781C"/>
    <w:rsid w:val="00254016"/>
    <w:rsid w:val="00254205"/>
    <w:rsid w:val="00255D02"/>
    <w:rsid w:val="00255EF0"/>
    <w:rsid w:val="002569BC"/>
    <w:rsid w:val="0025754C"/>
    <w:rsid w:val="00257DB6"/>
    <w:rsid w:val="00264303"/>
    <w:rsid w:val="00264D73"/>
    <w:rsid w:val="00265738"/>
    <w:rsid w:val="002657EF"/>
    <w:rsid w:val="002702BA"/>
    <w:rsid w:val="00270C34"/>
    <w:rsid w:val="00271D3D"/>
    <w:rsid w:val="00272226"/>
    <w:rsid w:val="00273609"/>
    <w:rsid w:val="00273B0B"/>
    <w:rsid w:val="00273EDF"/>
    <w:rsid w:val="002741AC"/>
    <w:rsid w:val="00275C41"/>
    <w:rsid w:val="00275D94"/>
    <w:rsid w:val="00275F13"/>
    <w:rsid w:val="0027691D"/>
    <w:rsid w:val="00280B31"/>
    <w:rsid w:val="002819C0"/>
    <w:rsid w:val="00284478"/>
    <w:rsid w:val="00284E2E"/>
    <w:rsid w:val="00285887"/>
    <w:rsid w:val="00285981"/>
    <w:rsid w:val="00285F05"/>
    <w:rsid w:val="002875B4"/>
    <w:rsid w:val="00290674"/>
    <w:rsid w:val="00295556"/>
    <w:rsid w:val="00295BB5"/>
    <w:rsid w:val="00295BEE"/>
    <w:rsid w:val="002A1371"/>
    <w:rsid w:val="002A1A4B"/>
    <w:rsid w:val="002A1BB6"/>
    <w:rsid w:val="002A1D70"/>
    <w:rsid w:val="002A3250"/>
    <w:rsid w:val="002A427A"/>
    <w:rsid w:val="002A5615"/>
    <w:rsid w:val="002A5A4D"/>
    <w:rsid w:val="002A5B1A"/>
    <w:rsid w:val="002A5F1E"/>
    <w:rsid w:val="002A6728"/>
    <w:rsid w:val="002A76E0"/>
    <w:rsid w:val="002B0D26"/>
    <w:rsid w:val="002B10BB"/>
    <w:rsid w:val="002B1727"/>
    <w:rsid w:val="002B18A7"/>
    <w:rsid w:val="002B27B1"/>
    <w:rsid w:val="002B402A"/>
    <w:rsid w:val="002B419F"/>
    <w:rsid w:val="002B4262"/>
    <w:rsid w:val="002B478C"/>
    <w:rsid w:val="002B4EEA"/>
    <w:rsid w:val="002B503B"/>
    <w:rsid w:val="002B58A7"/>
    <w:rsid w:val="002B60B8"/>
    <w:rsid w:val="002B670A"/>
    <w:rsid w:val="002B7803"/>
    <w:rsid w:val="002B7987"/>
    <w:rsid w:val="002C0F62"/>
    <w:rsid w:val="002C1ED4"/>
    <w:rsid w:val="002C293C"/>
    <w:rsid w:val="002C37CC"/>
    <w:rsid w:val="002C38F3"/>
    <w:rsid w:val="002C443F"/>
    <w:rsid w:val="002C4FFE"/>
    <w:rsid w:val="002C5FB7"/>
    <w:rsid w:val="002C7B1B"/>
    <w:rsid w:val="002D04F2"/>
    <w:rsid w:val="002D25A8"/>
    <w:rsid w:val="002D3CC9"/>
    <w:rsid w:val="002D5184"/>
    <w:rsid w:val="002D5A4D"/>
    <w:rsid w:val="002D6DD5"/>
    <w:rsid w:val="002D76F8"/>
    <w:rsid w:val="002E0DFE"/>
    <w:rsid w:val="002E1255"/>
    <w:rsid w:val="002E22AF"/>
    <w:rsid w:val="002E2EC4"/>
    <w:rsid w:val="002E3398"/>
    <w:rsid w:val="002E3C7E"/>
    <w:rsid w:val="002E586C"/>
    <w:rsid w:val="002E5B1D"/>
    <w:rsid w:val="002E6166"/>
    <w:rsid w:val="002E7D4F"/>
    <w:rsid w:val="002F0826"/>
    <w:rsid w:val="002F2543"/>
    <w:rsid w:val="002F2BB4"/>
    <w:rsid w:val="002F2D08"/>
    <w:rsid w:val="002F312A"/>
    <w:rsid w:val="002F4CFC"/>
    <w:rsid w:val="002F5B7C"/>
    <w:rsid w:val="002F6793"/>
    <w:rsid w:val="002F6A98"/>
    <w:rsid w:val="002F777D"/>
    <w:rsid w:val="003014F2"/>
    <w:rsid w:val="00301BD4"/>
    <w:rsid w:val="00301DF1"/>
    <w:rsid w:val="00302FEE"/>
    <w:rsid w:val="00302FF3"/>
    <w:rsid w:val="0030357A"/>
    <w:rsid w:val="00304F7C"/>
    <w:rsid w:val="00305FC7"/>
    <w:rsid w:val="00306F34"/>
    <w:rsid w:val="0031018C"/>
    <w:rsid w:val="00310E68"/>
    <w:rsid w:val="00311940"/>
    <w:rsid w:val="00311E13"/>
    <w:rsid w:val="00314586"/>
    <w:rsid w:val="00315503"/>
    <w:rsid w:val="003165A3"/>
    <w:rsid w:val="0031679A"/>
    <w:rsid w:val="00317471"/>
    <w:rsid w:val="003204BB"/>
    <w:rsid w:val="00320D9B"/>
    <w:rsid w:val="003218F4"/>
    <w:rsid w:val="00321AAD"/>
    <w:rsid w:val="00321C39"/>
    <w:rsid w:val="00321D0D"/>
    <w:rsid w:val="003236D1"/>
    <w:rsid w:val="00324398"/>
    <w:rsid w:val="003243FB"/>
    <w:rsid w:val="00324E91"/>
    <w:rsid w:val="003254DB"/>
    <w:rsid w:val="00325502"/>
    <w:rsid w:val="00326625"/>
    <w:rsid w:val="00326C78"/>
    <w:rsid w:val="00327DAF"/>
    <w:rsid w:val="00330040"/>
    <w:rsid w:val="00330F27"/>
    <w:rsid w:val="003323B0"/>
    <w:rsid w:val="00332FCB"/>
    <w:rsid w:val="003330A8"/>
    <w:rsid w:val="00333BAF"/>
    <w:rsid w:val="003350DB"/>
    <w:rsid w:val="00335206"/>
    <w:rsid w:val="00335504"/>
    <w:rsid w:val="003367D4"/>
    <w:rsid w:val="00336A77"/>
    <w:rsid w:val="00337CA6"/>
    <w:rsid w:val="0034053B"/>
    <w:rsid w:val="00340811"/>
    <w:rsid w:val="00341810"/>
    <w:rsid w:val="00342C26"/>
    <w:rsid w:val="00343932"/>
    <w:rsid w:val="003439AE"/>
    <w:rsid w:val="0034574A"/>
    <w:rsid w:val="00345828"/>
    <w:rsid w:val="00346BD5"/>
    <w:rsid w:val="00347439"/>
    <w:rsid w:val="0035205F"/>
    <w:rsid w:val="003523B0"/>
    <w:rsid w:val="003531DE"/>
    <w:rsid w:val="00354A66"/>
    <w:rsid w:val="00354F4E"/>
    <w:rsid w:val="00355FC7"/>
    <w:rsid w:val="003562A0"/>
    <w:rsid w:val="00357790"/>
    <w:rsid w:val="0036085B"/>
    <w:rsid w:val="00363545"/>
    <w:rsid w:val="00363DE6"/>
    <w:rsid w:val="00364316"/>
    <w:rsid w:val="003644C5"/>
    <w:rsid w:val="00364A91"/>
    <w:rsid w:val="00364E8B"/>
    <w:rsid w:val="00365F8A"/>
    <w:rsid w:val="003667FF"/>
    <w:rsid w:val="003672B9"/>
    <w:rsid w:val="00370A11"/>
    <w:rsid w:val="0037103C"/>
    <w:rsid w:val="003736CC"/>
    <w:rsid w:val="00373FD6"/>
    <w:rsid w:val="00376478"/>
    <w:rsid w:val="00377657"/>
    <w:rsid w:val="00377D33"/>
    <w:rsid w:val="00380059"/>
    <w:rsid w:val="003802F2"/>
    <w:rsid w:val="00380EF7"/>
    <w:rsid w:val="0038188C"/>
    <w:rsid w:val="0038245C"/>
    <w:rsid w:val="00383EED"/>
    <w:rsid w:val="00383F07"/>
    <w:rsid w:val="00384FC3"/>
    <w:rsid w:val="00385FC5"/>
    <w:rsid w:val="003906A4"/>
    <w:rsid w:val="00390ED1"/>
    <w:rsid w:val="0039249B"/>
    <w:rsid w:val="003956B3"/>
    <w:rsid w:val="00396ABD"/>
    <w:rsid w:val="003A0924"/>
    <w:rsid w:val="003A0DBF"/>
    <w:rsid w:val="003A168F"/>
    <w:rsid w:val="003A3804"/>
    <w:rsid w:val="003A3AE1"/>
    <w:rsid w:val="003A415A"/>
    <w:rsid w:val="003A52BE"/>
    <w:rsid w:val="003A5866"/>
    <w:rsid w:val="003A6989"/>
    <w:rsid w:val="003A6E9F"/>
    <w:rsid w:val="003B0AD8"/>
    <w:rsid w:val="003B0BC9"/>
    <w:rsid w:val="003B2F42"/>
    <w:rsid w:val="003B392E"/>
    <w:rsid w:val="003B4658"/>
    <w:rsid w:val="003B4987"/>
    <w:rsid w:val="003C048D"/>
    <w:rsid w:val="003C0ACD"/>
    <w:rsid w:val="003C2E56"/>
    <w:rsid w:val="003C35D2"/>
    <w:rsid w:val="003C4036"/>
    <w:rsid w:val="003C4700"/>
    <w:rsid w:val="003C5CE3"/>
    <w:rsid w:val="003D02F4"/>
    <w:rsid w:val="003D0862"/>
    <w:rsid w:val="003D1E05"/>
    <w:rsid w:val="003D45C0"/>
    <w:rsid w:val="003D4B82"/>
    <w:rsid w:val="003D4CD6"/>
    <w:rsid w:val="003D5354"/>
    <w:rsid w:val="003D548E"/>
    <w:rsid w:val="003D6105"/>
    <w:rsid w:val="003D733E"/>
    <w:rsid w:val="003E07A7"/>
    <w:rsid w:val="003E0E6D"/>
    <w:rsid w:val="003E2167"/>
    <w:rsid w:val="003E3555"/>
    <w:rsid w:val="003E44D9"/>
    <w:rsid w:val="003E4F49"/>
    <w:rsid w:val="003E63A7"/>
    <w:rsid w:val="003E7324"/>
    <w:rsid w:val="003E762E"/>
    <w:rsid w:val="003F135F"/>
    <w:rsid w:val="003F3307"/>
    <w:rsid w:val="003F55A0"/>
    <w:rsid w:val="003F621E"/>
    <w:rsid w:val="003F65E9"/>
    <w:rsid w:val="003F7DF4"/>
    <w:rsid w:val="00400F6E"/>
    <w:rsid w:val="00401624"/>
    <w:rsid w:val="0040226B"/>
    <w:rsid w:val="0040314A"/>
    <w:rsid w:val="0040340A"/>
    <w:rsid w:val="00404FE5"/>
    <w:rsid w:val="0040500A"/>
    <w:rsid w:val="00405D78"/>
    <w:rsid w:val="0041005A"/>
    <w:rsid w:val="00411932"/>
    <w:rsid w:val="00413AEE"/>
    <w:rsid w:val="00413BA7"/>
    <w:rsid w:val="00413EC4"/>
    <w:rsid w:val="004142A8"/>
    <w:rsid w:val="00414B55"/>
    <w:rsid w:val="00414EAE"/>
    <w:rsid w:val="0041534E"/>
    <w:rsid w:val="00416735"/>
    <w:rsid w:val="0042091F"/>
    <w:rsid w:val="00421152"/>
    <w:rsid w:val="004228C7"/>
    <w:rsid w:val="00425178"/>
    <w:rsid w:val="0042566B"/>
    <w:rsid w:val="0042598C"/>
    <w:rsid w:val="0042798B"/>
    <w:rsid w:val="0043030E"/>
    <w:rsid w:val="00432A60"/>
    <w:rsid w:val="00432D03"/>
    <w:rsid w:val="0043385E"/>
    <w:rsid w:val="00434024"/>
    <w:rsid w:val="00434913"/>
    <w:rsid w:val="00435DEA"/>
    <w:rsid w:val="00435F43"/>
    <w:rsid w:val="00440644"/>
    <w:rsid w:val="004410EB"/>
    <w:rsid w:val="00441474"/>
    <w:rsid w:val="004426DF"/>
    <w:rsid w:val="00443003"/>
    <w:rsid w:val="00443025"/>
    <w:rsid w:val="0044415F"/>
    <w:rsid w:val="00444598"/>
    <w:rsid w:val="00444A1F"/>
    <w:rsid w:val="00445E61"/>
    <w:rsid w:val="004474F8"/>
    <w:rsid w:val="004479ED"/>
    <w:rsid w:val="00450A97"/>
    <w:rsid w:val="00451361"/>
    <w:rsid w:val="00453196"/>
    <w:rsid w:val="00453C82"/>
    <w:rsid w:val="00453CBF"/>
    <w:rsid w:val="00457280"/>
    <w:rsid w:val="00457C23"/>
    <w:rsid w:val="00460135"/>
    <w:rsid w:val="00460BC0"/>
    <w:rsid w:val="00463CEC"/>
    <w:rsid w:val="00463E7C"/>
    <w:rsid w:val="00464D2B"/>
    <w:rsid w:val="00465271"/>
    <w:rsid w:val="00465EA7"/>
    <w:rsid w:val="004669A9"/>
    <w:rsid w:val="00466E1C"/>
    <w:rsid w:val="00467887"/>
    <w:rsid w:val="00467A9F"/>
    <w:rsid w:val="00467C90"/>
    <w:rsid w:val="00472509"/>
    <w:rsid w:val="0047303C"/>
    <w:rsid w:val="00473B7E"/>
    <w:rsid w:val="0047485C"/>
    <w:rsid w:val="004749C1"/>
    <w:rsid w:val="00474E0B"/>
    <w:rsid w:val="004753C0"/>
    <w:rsid w:val="0047725A"/>
    <w:rsid w:val="00477550"/>
    <w:rsid w:val="00483069"/>
    <w:rsid w:val="00483569"/>
    <w:rsid w:val="00483CE3"/>
    <w:rsid w:val="004844A8"/>
    <w:rsid w:val="00484987"/>
    <w:rsid w:val="0048657F"/>
    <w:rsid w:val="00486F1A"/>
    <w:rsid w:val="00487D67"/>
    <w:rsid w:val="00492724"/>
    <w:rsid w:val="00492D48"/>
    <w:rsid w:val="004930A1"/>
    <w:rsid w:val="00495842"/>
    <w:rsid w:val="0049606F"/>
    <w:rsid w:val="00496196"/>
    <w:rsid w:val="00496317"/>
    <w:rsid w:val="004963DA"/>
    <w:rsid w:val="00496803"/>
    <w:rsid w:val="0049688C"/>
    <w:rsid w:val="00496914"/>
    <w:rsid w:val="00497A5D"/>
    <w:rsid w:val="004A1211"/>
    <w:rsid w:val="004A1C0C"/>
    <w:rsid w:val="004A2ABC"/>
    <w:rsid w:val="004A2F10"/>
    <w:rsid w:val="004A3FFD"/>
    <w:rsid w:val="004A48FE"/>
    <w:rsid w:val="004A4983"/>
    <w:rsid w:val="004A50E5"/>
    <w:rsid w:val="004A565C"/>
    <w:rsid w:val="004A61B3"/>
    <w:rsid w:val="004A763B"/>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CBA"/>
    <w:rsid w:val="004C504A"/>
    <w:rsid w:val="004C6D8E"/>
    <w:rsid w:val="004C7297"/>
    <w:rsid w:val="004C7511"/>
    <w:rsid w:val="004C798D"/>
    <w:rsid w:val="004D0395"/>
    <w:rsid w:val="004D0F14"/>
    <w:rsid w:val="004D0F32"/>
    <w:rsid w:val="004D203A"/>
    <w:rsid w:val="004D20BE"/>
    <w:rsid w:val="004D23F7"/>
    <w:rsid w:val="004D25A8"/>
    <w:rsid w:val="004D30AB"/>
    <w:rsid w:val="004D419B"/>
    <w:rsid w:val="004D426C"/>
    <w:rsid w:val="004D4506"/>
    <w:rsid w:val="004D7734"/>
    <w:rsid w:val="004D7E5C"/>
    <w:rsid w:val="004E01FE"/>
    <w:rsid w:val="004E06D3"/>
    <w:rsid w:val="004E1047"/>
    <w:rsid w:val="004E1C7E"/>
    <w:rsid w:val="004E1F30"/>
    <w:rsid w:val="004E1F42"/>
    <w:rsid w:val="004E30C5"/>
    <w:rsid w:val="004E391E"/>
    <w:rsid w:val="004E59AF"/>
    <w:rsid w:val="004E68DE"/>
    <w:rsid w:val="004E6A21"/>
    <w:rsid w:val="004E7A42"/>
    <w:rsid w:val="004E7F8B"/>
    <w:rsid w:val="004F058A"/>
    <w:rsid w:val="004F24E7"/>
    <w:rsid w:val="004F250A"/>
    <w:rsid w:val="004F30F2"/>
    <w:rsid w:val="004F31FF"/>
    <w:rsid w:val="004F4ED1"/>
    <w:rsid w:val="004F5397"/>
    <w:rsid w:val="004F6BEB"/>
    <w:rsid w:val="00500CA7"/>
    <w:rsid w:val="00501D4A"/>
    <w:rsid w:val="00502524"/>
    <w:rsid w:val="00502C54"/>
    <w:rsid w:val="00504DE2"/>
    <w:rsid w:val="00507CA3"/>
    <w:rsid w:val="00510BD7"/>
    <w:rsid w:val="005113AA"/>
    <w:rsid w:val="00511834"/>
    <w:rsid w:val="005127EC"/>
    <w:rsid w:val="00513689"/>
    <w:rsid w:val="00513871"/>
    <w:rsid w:val="005139ED"/>
    <w:rsid w:val="00515275"/>
    <w:rsid w:val="00516ECE"/>
    <w:rsid w:val="00517760"/>
    <w:rsid w:val="005202CD"/>
    <w:rsid w:val="00520788"/>
    <w:rsid w:val="00520A09"/>
    <w:rsid w:val="005210D8"/>
    <w:rsid w:val="005215EB"/>
    <w:rsid w:val="005219FC"/>
    <w:rsid w:val="0052275F"/>
    <w:rsid w:val="0052399E"/>
    <w:rsid w:val="005244A4"/>
    <w:rsid w:val="005247E1"/>
    <w:rsid w:val="00526B39"/>
    <w:rsid w:val="0052703D"/>
    <w:rsid w:val="005271A6"/>
    <w:rsid w:val="0052720A"/>
    <w:rsid w:val="005273D4"/>
    <w:rsid w:val="005276E3"/>
    <w:rsid w:val="00527783"/>
    <w:rsid w:val="00527FC1"/>
    <w:rsid w:val="005315C8"/>
    <w:rsid w:val="005360D1"/>
    <w:rsid w:val="00540CB6"/>
    <w:rsid w:val="00540FEB"/>
    <w:rsid w:val="00541B20"/>
    <w:rsid w:val="00541F61"/>
    <w:rsid w:val="005423C8"/>
    <w:rsid w:val="00542521"/>
    <w:rsid w:val="00542F90"/>
    <w:rsid w:val="00543775"/>
    <w:rsid w:val="00544E1D"/>
    <w:rsid w:val="00545537"/>
    <w:rsid w:val="00545582"/>
    <w:rsid w:val="005456F3"/>
    <w:rsid w:val="00545B60"/>
    <w:rsid w:val="00547422"/>
    <w:rsid w:val="0055175A"/>
    <w:rsid w:val="00552061"/>
    <w:rsid w:val="00555956"/>
    <w:rsid w:val="00555CC4"/>
    <w:rsid w:val="00560E97"/>
    <w:rsid w:val="0056228F"/>
    <w:rsid w:val="00562F9E"/>
    <w:rsid w:val="005679B4"/>
    <w:rsid w:val="00567A71"/>
    <w:rsid w:val="005716E7"/>
    <w:rsid w:val="00573F8B"/>
    <w:rsid w:val="00580141"/>
    <w:rsid w:val="00580695"/>
    <w:rsid w:val="00580871"/>
    <w:rsid w:val="005814B5"/>
    <w:rsid w:val="00581829"/>
    <w:rsid w:val="00582723"/>
    <w:rsid w:val="0058392B"/>
    <w:rsid w:val="0058398D"/>
    <w:rsid w:val="00583E4B"/>
    <w:rsid w:val="00586667"/>
    <w:rsid w:val="00586A7E"/>
    <w:rsid w:val="00586C35"/>
    <w:rsid w:val="00591F68"/>
    <w:rsid w:val="00592B40"/>
    <w:rsid w:val="005951D6"/>
    <w:rsid w:val="005953C4"/>
    <w:rsid w:val="005975E2"/>
    <w:rsid w:val="005A313D"/>
    <w:rsid w:val="005A3804"/>
    <w:rsid w:val="005A4408"/>
    <w:rsid w:val="005A4CF1"/>
    <w:rsid w:val="005A5AD3"/>
    <w:rsid w:val="005A7A18"/>
    <w:rsid w:val="005B6CE5"/>
    <w:rsid w:val="005C102F"/>
    <w:rsid w:val="005C136E"/>
    <w:rsid w:val="005C2D72"/>
    <w:rsid w:val="005C353C"/>
    <w:rsid w:val="005C4B91"/>
    <w:rsid w:val="005C509C"/>
    <w:rsid w:val="005C53F3"/>
    <w:rsid w:val="005C665A"/>
    <w:rsid w:val="005D00D4"/>
    <w:rsid w:val="005D0F51"/>
    <w:rsid w:val="005D3AFC"/>
    <w:rsid w:val="005D3E9D"/>
    <w:rsid w:val="005D43A8"/>
    <w:rsid w:val="005D4EFF"/>
    <w:rsid w:val="005D5242"/>
    <w:rsid w:val="005D70F2"/>
    <w:rsid w:val="005D7E5B"/>
    <w:rsid w:val="005E160C"/>
    <w:rsid w:val="005E2844"/>
    <w:rsid w:val="005E297F"/>
    <w:rsid w:val="005E321B"/>
    <w:rsid w:val="005E4B12"/>
    <w:rsid w:val="005E64D3"/>
    <w:rsid w:val="005E6796"/>
    <w:rsid w:val="005E6E2E"/>
    <w:rsid w:val="005E761F"/>
    <w:rsid w:val="005E7E5D"/>
    <w:rsid w:val="005F093A"/>
    <w:rsid w:val="005F0DF6"/>
    <w:rsid w:val="005F24BB"/>
    <w:rsid w:val="005F3A8D"/>
    <w:rsid w:val="005F6D4D"/>
    <w:rsid w:val="00600BDE"/>
    <w:rsid w:val="00600E5B"/>
    <w:rsid w:val="00601130"/>
    <w:rsid w:val="00601404"/>
    <w:rsid w:val="006032A6"/>
    <w:rsid w:val="006041A2"/>
    <w:rsid w:val="006137D4"/>
    <w:rsid w:val="00614CE1"/>
    <w:rsid w:val="00616014"/>
    <w:rsid w:val="00617E8B"/>
    <w:rsid w:val="00620208"/>
    <w:rsid w:val="00620DE3"/>
    <w:rsid w:val="0062158F"/>
    <w:rsid w:val="00624B6F"/>
    <w:rsid w:val="006256D3"/>
    <w:rsid w:val="00625846"/>
    <w:rsid w:val="00625BC9"/>
    <w:rsid w:val="00626AAF"/>
    <w:rsid w:val="00626ACC"/>
    <w:rsid w:val="006270A9"/>
    <w:rsid w:val="00627BB7"/>
    <w:rsid w:val="00627E65"/>
    <w:rsid w:val="00627F3F"/>
    <w:rsid w:val="00630583"/>
    <w:rsid w:val="006308CF"/>
    <w:rsid w:val="00633900"/>
    <w:rsid w:val="00633CFE"/>
    <w:rsid w:val="00633DD5"/>
    <w:rsid w:val="00636B62"/>
    <w:rsid w:val="0064183C"/>
    <w:rsid w:val="00642D1E"/>
    <w:rsid w:val="00643592"/>
    <w:rsid w:val="00644238"/>
    <w:rsid w:val="006443D2"/>
    <w:rsid w:val="00644A13"/>
    <w:rsid w:val="00645C8C"/>
    <w:rsid w:val="0064639B"/>
    <w:rsid w:val="006464E3"/>
    <w:rsid w:val="00647C3C"/>
    <w:rsid w:val="00650B72"/>
    <w:rsid w:val="0065127D"/>
    <w:rsid w:val="0065136E"/>
    <w:rsid w:val="00652E0C"/>
    <w:rsid w:val="006559BB"/>
    <w:rsid w:val="006567F6"/>
    <w:rsid w:val="00656BBF"/>
    <w:rsid w:val="006574AD"/>
    <w:rsid w:val="00660691"/>
    <w:rsid w:val="00661E90"/>
    <w:rsid w:val="006631A2"/>
    <w:rsid w:val="00663780"/>
    <w:rsid w:val="006646B9"/>
    <w:rsid w:val="006656E1"/>
    <w:rsid w:val="00665B62"/>
    <w:rsid w:val="006674A7"/>
    <w:rsid w:val="00667E1E"/>
    <w:rsid w:val="00670D71"/>
    <w:rsid w:val="00671ED8"/>
    <w:rsid w:val="006731A9"/>
    <w:rsid w:val="00674A48"/>
    <w:rsid w:val="00676267"/>
    <w:rsid w:val="00676B0D"/>
    <w:rsid w:val="00676F93"/>
    <w:rsid w:val="00677029"/>
    <w:rsid w:val="00680FBF"/>
    <w:rsid w:val="0068105F"/>
    <w:rsid w:val="006819FA"/>
    <w:rsid w:val="006821F4"/>
    <w:rsid w:val="006835EB"/>
    <w:rsid w:val="0068385F"/>
    <w:rsid w:val="006874C9"/>
    <w:rsid w:val="006923A9"/>
    <w:rsid w:val="006924D5"/>
    <w:rsid w:val="00692FBD"/>
    <w:rsid w:val="006941B2"/>
    <w:rsid w:val="00695735"/>
    <w:rsid w:val="00696CD3"/>
    <w:rsid w:val="006972B4"/>
    <w:rsid w:val="006A0B54"/>
    <w:rsid w:val="006A102F"/>
    <w:rsid w:val="006A24F1"/>
    <w:rsid w:val="006A2C8D"/>
    <w:rsid w:val="006A4032"/>
    <w:rsid w:val="006A4C5B"/>
    <w:rsid w:val="006A5240"/>
    <w:rsid w:val="006A7C3C"/>
    <w:rsid w:val="006A7F7E"/>
    <w:rsid w:val="006B1364"/>
    <w:rsid w:val="006B2AFB"/>
    <w:rsid w:val="006B42D7"/>
    <w:rsid w:val="006B595B"/>
    <w:rsid w:val="006B6981"/>
    <w:rsid w:val="006B74A1"/>
    <w:rsid w:val="006C0D7B"/>
    <w:rsid w:val="006C120C"/>
    <w:rsid w:val="006C15C3"/>
    <w:rsid w:val="006C1657"/>
    <w:rsid w:val="006C3F1C"/>
    <w:rsid w:val="006C4A6A"/>
    <w:rsid w:val="006C4E73"/>
    <w:rsid w:val="006C72B2"/>
    <w:rsid w:val="006C79A5"/>
    <w:rsid w:val="006C7F1C"/>
    <w:rsid w:val="006D1624"/>
    <w:rsid w:val="006D27CC"/>
    <w:rsid w:val="006D32FC"/>
    <w:rsid w:val="006D37D1"/>
    <w:rsid w:val="006D4727"/>
    <w:rsid w:val="006D4FE3"/>
    <w:rsid w:val="006D57CA"/>
    <w:rsid w:val="006D5829"/>
    <w:rsid w:val="006D6A50"/>
    <w:rsid w:val="006D777A"/>
    <w:rsid w:val="006D7EBC"/>
    <w:rsid w:val="006E0A51"/>
    <w:rsid w:val="006E10B2"/>
    <w:rsid w:val="006E13F3"/>
    <w:rsid w:val="006E322F"/>
    <w:rsid w:val="006E3E7E"/>
    <w:rsid w:val="006E414B"/>
    <w:rsid w:val="006E53B3"/>
    <w:rsid w:val="006E735B"/>
    <w:rsid w:val="006E73DA"/>
    <w:rsid w:val="006E7DCE"/>
    <w:rsid w:val="006F00F3"/>
    <w:rsid w:val="006F17E1"/>
    <w:rsid w:val="006F21D2"/>
    <w:rsid w:val="006F3FA5"/>
    <w:rsid w:val="006F4CE4"/>
    <w:rsid w:val="006F5710"/>
    <w:rsid w:val="006F57A0"/>
    <w:rsid w:val="006F5D9A"/>
    <w:rsid w:val="00701409"/>
    <w:rsid w:val="0070238D"/>
    <w:rsid w:val="00703094"/>
    <w:rsid w:val="00703304"/>
    <w:rsid w:val="00703560"/>
    <w:rsid w:val="007050FF"/>
    <w:rsid w:val="00706EAB"/>
    <w:rsid w:val="007107C4"/>
    <w:rsid w:val="00710D2E"/>
    <w:rsid w:val="007114B2"/>
    <w:rsid w:val="00711BC0"/>
    <w:rsid w:val="007124BD"/>
    <w:rsid w:val="00713E0D"/>
    <w:rsid w:val="00714563"/>
    <w:rsid w:val="00714E11"/>
    <w:rsid w:val="00715CB9"/>
    <w:rsid w:val="00716705"/>
    <w:rsid w:val="00720451"/>
    <w:rsid w:val="00720947"/>
    <w:rsid w:val="00720F75"/>
    <w:rsid w:val="007221A9"/>
    <w:rsid w:val="0072227C"/>
    <w:rsid w:val="0072232A"/>
    <w:rsid w:val="00722C56"/>
    <w:rsid w:val="00722C82"/>
    <w:rsid w:val="007231DF"/>
    <w:rsid w:val="00723515"/>
    <w:rsid w:val="007239DA"/>
    <w:rsid w:val="00725C22"/>
    <w:rsid w:val="007314CE"/>
    <w:rsid w:val="007319CE"/>
    <w:rsid w:val="00732405"/>
    <w:rsid w:val="00732B82"/>
    <w:rsid w:val="00735327"/>
    <w:rsid w:val="00736511"/>
    <w:rsid w:val="00736E0B"/>
    <w:rsid w:val="0073706F"/>
    <w:rsid w:val="00744554"/>
    <w:rsid w:val="0074567B"/>
    <w:rsid w:val="00747E18"/>
    <w:rsid w:val="00750416"/>
    <w:rsid w:val="00751B3E"/>
    <w:rsid w:val="00751CEA"/>
    <w:rsid w:val="00752764"/>
    <w:rsid w:val="0075376A"/>
    <w:rsid w:val="00753CDA"/>
    <w:rsid w:val="00755504"/>
    <w:rsid w:val="007558F4"/>
    <w:rsid w:val="00755F14"/>
    <w:rsid w:val="00756669"/>
    <w:rsid w:val="00756E28"/>
    <w:rsid w:val="00757143"/>
    <w:rsid w:val="00757D03"/>
    <w:rsid w:val="007610F9"/>
    <w:rsid w:val="00761FB6"/>
    <w:rsid w:val="007632DC"/>
    <w:rsid w:val="0076398C"/>
    <w:rsid w:val="007644D6"/>
    <w:rsid w:val="007650B5"/>
    <w:rsid w:val="00766186"/>
    <w:rsid w:val="00766962"/>
    <w:rsid w:val="007672B7"/>
    <w:rsid w:val="0076745F"/>
    <w:rsid w:val="00770462"/>
    <w:rsid w:val="00771645"/>
    <w:rsid w:val="00772106"/>
    <w:rsid w:val="00772619"/>
    <w:rsid w:val="0077267E"/>
    <w:rsid w:val="00772F09"/>
    <w:rsid w:val="007740B7"/>
    <w:rsid w:val="007743CD"/>
    <w:rsid w:val="00774E4C"/>
    <w:rsid w:val="00775287"/>
    <w:rsid w:val="0077681D"/>
    <w:rsid w:val="007768A1"/>
    <w:rsid w:val="00776C90"/>
    <w:rsid w:val="00776FB3"/>
    <w:rsid w:val="0078135F"/>
    <w:rsid w:val="00782645"/>
    <w:rsid w:val="00784C15"/>
    <w:rsid w:val="00785623"/>
    <w:rsid w:val="0078678C"/>
    <w:rsid w:val="007867BB"/>
    <w:rsid w:val="00787E33"/>
    <w:rsid w:val="00790432"/>
    <w:rsid w:val="00790C01"/>
    <w:rsid w:val="00792EB2"/>
    <w:rsid w:val="007933C8"/>
    <w:rsid w:val="0079366D"/>
    <w:rsid w:val="00793F47"/>
    <w:rsid w:val="00795936"/>
    <w:rsid w:val="00796924"/>
    <w:rsid w:val="00796EB4"/>
    <w:rsid w:val="00797BC5"/>
    <w:rsid w:val="007A0716"/>
    <w:rsid w:val="007A1335"/>
    <w:rsid w:val="007A2A6E"/>
    <w:rsid w:val="007A2D1C"/>
    <w:rsid w:val="007A3CB6"/>
    <w:rsid w:val="007A4875"/>
    <w:rsid w:val="007A4B33"/>
    <w:rsid w:val="007A4ECA"/>
    <w:rsid w:val="007A6CC3"/>
    <w:rsid w:val="007A7DAB"/>
    <w:rsid w:val="007B18DD"/>
    <w:rsid w:val="007B1E33"/>
    <w:rsid w:val="007B228B"/>
    <w:rsid w:val="007B2601"/>
    <w:rsid w:val="007B2641"/>
    <w:rsid w:val="007B26DA"/>
    <w:rsid w:val="007B531C"/>
    <w:rsid w:val="007B7720"/>
    <w:rsid w:val="007C01AC"/>
    <w:rsid w:val="007C1B02"/>
    <w:rsid w:val="007C3013"/>
    <w:rsid w:val="007C37F9"/>
    <w:rsid w:val="007C47AE"/>
    <w:rsid w:val="007C5105"/>
    <w:rsid w:val="007C58CE"/>
    <w:rsid w:val="007C5D3E"/>
    <w:rsid w:val="007C6E09"/>
    <w:rsid w:val="007C7095"/>
    <w:rsid w:val="007D02A0"/>
    <w:rsid w:val="007D0AE2"/>
    <w:rsid w:val="007D188B"/>
    <w:rsid w:val="007D33F4"/>
    <w:rsid w:val="007D3C31"/>
    <w:rsid w:val="007D3C57"/>
    <w:rsid w:val="007D5070"/>
    <w:rsid w:val="007D6DA7"/>
    <w:rsid w:val="007D6EB5"/>
    <w:rsid w:val="007D744B"/>
    <w:rsid w:val="007E0A1A"/>
    <w:rsid w:val="007E0EA4"/>
    <w:rsid w:val="007E2D4B"/>
    <w:rsid w:val="007E33F7"/>
    <w:rsid w:val="007E3BFD"/>
    <w:rsid w:val="007E471B"/>
    <w:rsid w:val="007F0728"/>
    <w:rsid w:val="007F0A14"/>
    <w:rsid w:val="007F3094"/>
    <w:rsid w:val="007F3AAE"/>
    <w:rsid w:val="007F3ABE"/>
    <w:rsid w:val="007F3E4C"/>
    <w:rsid w:val="007F501B"/>
    <w:rsid w:val="007F5D74"/>
    <w:rsid w:val="007F6533"/>
    <w:rsid w:val="00801256"/>
    <w:rsid w:val="00801FCF"/>
    <w:rsid w:val="00802289"/>
    <w:rsid w:val="00802652"/>
    <w:rsid w:val="00802C57"/>
    <w:rsid w:val="00805B32"/>
    <w:rsid w:val="00807A78"/>
    <w:rsid w:val="0081351B"/>
    <w:rsid w:val="00814C9F"/>
    <w:rsid w:val="0081667C"/>
    <w:rsid w:val="00816808"/>
    <w:rsid w:val="008173F3"/>
    <w:rsid w:val="00822751"/>
    <w:rsid w:val="00823903"/>
    <w:rsid w:val="00823FF6"/>
    <w:rsid w:val="00824E43"/>
    <w:rsid w:val="00824F48"/>
    <w:rsid w:val="00825424"/>
    <w:rsid w:val="008254A2"/>
    <w:rsid w:val="00825A5B"/>
    <w:rsid w:val="008276E8"/>
    <w:rsid w:val="00827D03"/>
    <w:rsid w:val="008328E9"/>
    <w:rsid w:val="00834967"/>
    <w:rsid w:val="00834C83"/>
    <w:rsid w:val="00835082"/>
    <w:rsid w:val="0083589B"/>
    <w:rsid w:val="00835BCB"/>
    <w:rsid w:val="00835CDC"/>
    <w:rsid w:val="0083786B"/>
    <w:rsid w:val="00840536"/>
    <w:rsid w:val="008424C6"/>
    <w:rsid w:val="00842E75"/>
    <w:rsid w:val="00845248"/>
    <w:rsid w:val="00845CBE"/>
    <w:rsid w:val="0084654B"/>
    <w:rsid w:val="00847570"/>
    <w:rsid w:val="00847625"/>
    <w:rsid w:val="008508CC"/>
    <w:rsid w:val="00850B09"/>
    <w:rsid w:val="0085126E"/>
    <w:rsid w:val="00852801"/>
    <w:rsid w:val="00853C6D"/>
    <w:rsid w:val="0085489C"/>
    <w:rsid w:val="0085742B"/>
    <w:rsid w:val="0086106F"/>
    <w:rsid w:val="0086116F"/>
    <w:rsid w:val="0086165A"/>
    <w:rsid w:val="00862105"/>
    <w:rsid w:val="00862FC2"/>
    <w:rsid w:val="0086305C"/>
    <w:rsid w:val="00863425"/>
    <w:rsid w:val="00863B9D"/>
    <w:rsid w:val="00863BE6"/>
    <w:rsid w:val="00864934"/>
    <w:rsid w:val="0086541E"/>
    <w:rsid w:val="008662B7"/>
    <w:rsid w:val="00866F17"/>
    <w:rsid w:val="0086769E"/>
    <w:rsid w:val="00870CB6"/>
    <w:rsid w:val="00872444"/>
    <w:rsid w:val="00872B40"/>
    <w:rsid w:val="008737DE"/>
    <w:rsid w:val="008775BC"/>
    <w:rsid w:val="00877FE8"/>
    <w:rsid w:val="00880FB8"/>
    <w:rsid w:val="00881800"/>
    <w:rsid w:val="008825A0"/>
    <w:rsid w:val="00882609"/>
    <w:rsid w:val="00882F1B"/>
    <w:rsid w:val="00883712"/>
    <w:rsid w:val="00884A5D"/>
    <w:rsid w:val="008855BC"/>
    <w:rsid w:val="00886131"/>
    <w:rsid w:val="00886249"/>
    <w:rsid w:val="00886C90"/>
    <w:rsid w:val="0089261A"/>
    <w:rsid w:val="00892CE9"/>
    <w:rsid w:val="0089302E"/>
    <w:rsid w:val="00893636"/>
    <w:rsid w:val="008940A6"/>
    <w:rsid w:val="00894C5C"/>
    <w:rsid w:val="00894CE5"/>
    <w:rsid w:val="0089506B"/>
    <w:rsid w:val="00895280"/>
    <w:rsid w:val="00896D37"/>
    <w:rsid w:val="008A1F61"/>
    <w:rsid w:val="008A23C2"/>
    <w:rsid w:val="008A347C"/>
    <w:rsid w:val="008A3B21"/>
    <w:rsid w:val="008A4B2A"/>
    <w:rsid w:val="008A4E59"/>
    <w:rsid w:val="008A70CE"/>
    <w:rsid w:val="008A73A2"/>
    <w:rsid w:val="008A73C8"/>
    <w:rsid w:val="008A7E5E"/>
    <w:rsid w:val="008B1247"/>
    <w:rsid w:val="008B157F"/>
    <w:rsid w:val="008B2ABF"/>
    <w:rsid w:val="008B2B9E"/>
    <w:rsid w:val="008C0483"/>
    <w:rsid w:val="008C0AA6"/>
    <w:rsid w:val="008C18DC"/>
    <w:rsid w:val="008C22B4"/>
    <w:rsid w:val="008C25E4"/>
    <w:rsid w:val="008C2DAE"/>
    <w:rsid w:val="008C35B8"/>
    <w:rsid w:val="008C4848"/>
    <w:rsid w:val="008C6372"/>
    <w:rsid w:val="008C703C"/>
    <w:rsid w:val="008C7774"/>
    <w:rsid w:val="008D106E"/>
    <w:rsid w:val="008D245F"/>
    <w:rsid w:val="008D35AB"/>
    <w:rsid w:val="008D5BB1"/>
    <w:rsid w:val="008D6157"/>
    <w:rsid w:val="008D6398"/>
    <w:rsid w:val="008D76BB"/>
    <w:rsid w:val="008E00BF"/>
    <w:rsid w:val="008E3029"/>
    <w:rsid w:val="008E48BA"/>
    <w:rsid w:val="008E55BA"/>
    <w:rsid w:val="008E683D"/>
    <w:rsid w:val="008E6995"/>
    <w:rsid w:val="008F027B"/>
    <w:rsid w:val="008F1C5D"/>
    <w:rsid w:val="008F4B8B"/>
    <w:rsid w:val="008F4DA8"/>
    <w:rsid w:val="008F4DF9"/>
    <w:rsid w:val="008F5C19"/>
    <w:rsid w:val="008F5CCF"/>
    <w:rsid w:val="008F5E92"/>
    <w:rsid w:val="00900074"/>
    <w:rsid w:val="00900459"/>
    <w:rsid w:val="00900A1A"/>
    <w:rsid w:val="00900C65"/>
    <w:rsid w:val="0090114F"/>
    <w:rsid w:val="00902261"/>
    <w:rsid w:val="00903E7A"/>
    <w:rsid w:val="00904C0A"/>
    <w:rsid w:val="009059A9"/>
    <w:rsid w:val="0090753F"/>
    <w:rsid w:val="00910060"/>
    <w:rsid w:val="00910C00"/>
    <w:rsid w:val="00911363"/>
    <w:rsid w:val="009151C4"/>
    <w:rsid w:val="009153D4"/>
    <w:rsid w:val="009154DA"/>
    <w:rsid w:val="00916078"/>
    <w:rsid w:val="00917B9D"/>
    <w:rsid w:val="00917DF5"/>
    <w:rsid w:val="0092194F"/>
    <w:rsid w:val="009223BB"/>
    <w:rsid w:val="009232F2"/>
    <w:rsid w:val="009238C5"/>
    <w:rsid w:val="00923B9F"/>
    <w:rsid w:val="009244AD"/>
    <w:rsid w:val="0092515E"/>
    <w:rsid w:val="00927A2B"/>
    <w:rsid w:val="00930BA2"/>
    <w:rsid w:val="0093328F"/>
    <w:rsid w:val="0093362F"/>
    <w:rsid w:val="00934BF9"/>
    <w:rsid w:val="00934D5D"/>
    <w:rsid w:val="00936293"/>
    <w:rsid w:val="009364F7"/>
    <w:rsid w:val="0093795D"/>
    <w:rsid w:val="009379C8"/>
    <w:rsid w:val="009401C8"/>
    <w:rsid w:val="00940C29"/>
    <w:rsid w:val="0094138F"/>
    <w:rsid w:val="00941945"/>
    <w:rsid w:val="00941E7E"/>
    <w:rsid w:val="00941F90"/>
    <w:rsid w:val="00942026"/>
    <w:rsid w:val="00942840"/>
    <w:rsid w:val="00942FBD"/>
    <w:rsid w:val="009433D2"/>
    <w:rsid w:val="0094770B"/>
    <w:rsid w:val="00947DA1"/>
    <w:rsid w:val="0095098C"/>
    <w:rsid w:val="00952D57"/>
    <w:rsid w:val="00954029"/>
    <w:rsid w:val="00954B84"/>
    <w:rsid w:val="0095500A"/>
    <w:rsid w:val="00955C94"/>
    <w:rsid w:val="00957F77"/>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E61"/>
    <w:rsid w:val="00976533"/>
    <w:rsid w:val="00976D55"/>
    <w:rsid w:val="00983E8B"/>
    <w:rsid w:val="00987AA8"/>
    <w:rsid w:val="00990677"/>
    <w:rsid w:val="00991A7D"/>
    <w:rsid w:val="009924BD"/>
    <w:rsid w:val="00993751"/>
    <w:rsid w:val="00993B5C"/>
    <w:rsid w:val="00993E40"/>
    <w:rsid w:val="00994DA5"/>
    <w:rsid w:val="00995C3B"/>
    <w:rsid w:val="0099736D"/>
    <w:rsid w:val="0099769F"/>
    <w:rsid w:val="00997B4C"/>
    <w:rsid w:val="00997B52"/>
    <w:rsid w:val="00997D8E"/>
    <w:rsid w:val="009A14E0"/>
    <w:rsid w:val="009A176F"/>
    <w:rsid w:val="009A25E0"/>
    <w:rsid w:val="009A26DA"/>
    <w:rsid w:val="009A29FB"/>
    <w:rsid w:val="009A2EFB"/>
    <w:rsid w:val="009A36BC"/>
    <w:rsid w:val="009A3C86"/>
    <w:rsid w:val="009A3EEF"/>
    <w:rsid w:val="009A4759"/>
    <w:rsid w:val="009A51C2"/>
    <w:rsid w:val="009A65E1"/>
    <w:rsid w:val="009A7727"/>
    <w:rsid w:val="009B0982"/>
    <w:rsid w:val="009B2267"/>
    <w:rsid w:val="009B3163"/>
    <w:rsid w:val="009B3310"/>
    <w:rsid w:val="009B44BD"/>
    <w:rsid w:val="009B5C76"/>
    <w:rsid w:val="009B6273"/>
    <w:rsid w:val="009B7477"/>
    <w:rsid w:val="009B75F1"/>
    <w:rsid w:val="009C1677"/>
    <w:rsid w:val="009C4D29"/>
    <w:rsid w:val="009C4E55"/>
    <w:rsid w:val="009C5461"/>
    <w:rsid w:val="009C55B1"/>
    <w:rsid w:val="009C5F3E"/>
    <w:rsid w:val="009D09AD"/>
    <w:rsid w:val="009D0B87"/>
    <w:rsid w:val="009D13E0"/>
    <w:rsid w:val="009D1EC5"/>
    <w:rsid w:val="009D2783"/>
    <w:rsid w:val="009D2CC9"/>
    <w:rsid w:val="009D425A"/>
    <w:rsid w:val="009D5002"/>
    <w:rsid w:val="009D7BD2"/>
    <w:rsid w:val="009D7CF3"/>
    <w:rsid w:val="009E0AE8"/>
    <w:rsid w:val="009E0E95"/>
    <w:rsid w:val="009E4AA0"/>
    <w:rsid w:val="009E4DC7"/>
    <w:rsid w:val="009E5117"/>
    <w:rsid w:val="009E5374"/>
    <w:rsid w:val="009E5BDE"/>
    <w:rsid w:val="009E699F"/>
    <w:rsid w:val="009E7D0C"/>
    <w:rsid w:val="009F2A50"/>
    <w:rsid w:val="009F322A"/>
    <w:rsid w:val="009F345D"/>
    <w:rsid w:val="009F372A"/>
    <w:rsid w:val="009F406C"/>
    <w:rsid w:val="009F5180"/>
    <w:rsid w:val="009F5383"/>
    <w:rsid w:val="009F57D2"/>
    <w:rsid w:val="009F5E65"/>
    <w:rsid w:val="00A0143B"/>
    <w:rsid w:val="00A0434C"/>
    <w:rsid w:val="00A043B5"/>
    <w:rsid w:val="00A04BB1"/>
    <w:rsid w:val="00A04F22"/>
    <w:rsid w:val="00A050C4"/>
    <w:rsid w:val="00A065EA"/>
    <w:rsid w:val="00A105B6"/>
    <w:rsid w:val="00A10F42"/>
    <w:rsid w:val="00A1302C"/>
    <w:rsid w:val="00A13218"/>
    <w:rsid w:val="00A134D2"/>
    <w:rsid w:val="00A136F7"/>
    <w:rsid w:val="00A146A7"/>
    <w:rsid w:val="00A14AD4"/>
    <w:rsid w:val="00A154A5"/>
    <w:rsid w:val="00A167E4"/>
    <w:rsid w:val="00A17890"/>
    <w:rsid w:val="00A17CF2"/>
    <w:rsid w:val="00A20021"/>
    <w:rsid w:val="00A205DC"/>
    <w:rsid w:val="00A22579"/>
    <w:rsid w:val="00A227A3"/>
    <w:rsid w:val="00A22823"/>
    <w:rsid w:val="00A234FD"/>
    <w:rsid w:val="00A245AB"/>
    <w:rsid w:val="00A24A70"/>
    <w:rsid w:val="00A250D6"/>
    <w:rsid w:val="00A27E73"/>
    <w:rsid w:val="00A31010"/>
    <w:rsid w:val="00A3128F"/>
    <w:rsid w:val="00A31490"/>
    <w:rsid w:val="00A32455"/>
    <w:rsid w:val="00A32C9A"/>
    <w:rsid w:val="00A32EA1"/>
    <w:rsid w:val="00A342A6"/>
    <w:rsid w:val="00A35D43"/>
    <w:rsid w:val="00A36110"/>
    <w:rsid w:val="00A36407"/>
    <w:rsid w:val="00A36C33"/>
    <w:rsid w:val="00A3777C"/>
    <w:rsid w:val="00A40A36"/>
    <w:rsid w:val="00A4108E"/>
    <w:rsid w:val="00A4183B"/>
    <w:rsid w:val="00A42238"/>
    <w:rsid w:val="00A446A5"/>
    <w:rsid w:val="00A47386"/>
    <w:rsid w:val="00A47D17"/>
    <w:rsid w:val="00A51FC7"/>
    <w:rsid w:val="00A523BE"/>
    <w:rsid w:val="00A5297A"/>
    <w:rsid w:val="00A53625"/>
    <w:rsid w:val="00A53F01"/>
    <w:rsid w:val="00A5575A"/>
    <w:rsid w:val="00A558E3"/>
    <w:rsid w:val="00A55E34"/>
    <w:rsid w:val="00A5646F"/>
    <w:rsid w:val="00A56C67"/>
    <w:rsid w:val="00A57073"/>
    <w:rsid w:val="00A5797D"/>
    <w:rsid w:val="00A57A90"/>
    <w:rsid w:val="00A60B73"/>
    <w:rsid w:val="00A61887"/>
    <w:rsid w:val="00A64F9C"/>
    <w:rsid w:val="00A653DC"/>
    <w:rsid w:val="00A67F12"/>
    <w:rsid w:val="00A70BAE"/>
    <w:rsid w:val="00A71BFB"/>
    <w:rsid w:val="00A72C87"/>
    <w:rsid w:val="00A7307F"/>
    <w:rsid w:val="00A734D2"/>
    <w:rsid w:val="00A73D5D"/>
    <w:rsid w:val="00A74727"/>
    <w:rsid w:val="00A74D4B"/>
    <w:rsid w:val="00A74FCD"/>
    <w:rsid w:val="00A74FF1"/>
    <w:rsid w:val="00A75267"/>
    <w:rsid w:val="00A76D19"/>
    <w:rsid w:val="00A7701F"/>
    <w:rsid w:val="00A77200"/>
    <w:rsid w:val="00A772AB"/>
    <w:rsid w:val="00A779A7"/>
    <w:rsid w:val="00A80080"/>
    <w:rsid w:val="00A81018"/>
    <w:rsid w:val="00A82238"/>
    <w:rsid w:val="00A85520"/>
    <w:rsid w:val="00A8663A"/>
    <w:rsid w:val="00A86DA6"/>
    <w:rsid w:val="00A8724D"/>
    <w:rsid w:val="00A87BA0"/>
    <w:rsid w:val="00A87D6D"/>
    <w:rsid w:val="00A900E8"/>
    <w:rsid w:val="00A90341"/>
    <w:rsid w:val="00A90C75"/>
    <w:rsid w:val="00A93AD5"/>
    <w:rsid w:val="00A9471F"/>
    <w:rsid w:val="00A960C8"/>
    <w:rsid w:val="00A968DF"/>
    <w:rsid w:val="00AA024A"/>
    <w:rsid w:val="00AA0A72"/>
    <w:rsid w:val="00AA14FC"/>
    <w:rsid w:val="00AA3DF1"/>
    <w:rsid w:val="00AA5751"/>
    <w:rsid w:val="00AA5AB6"/>
    <w:rsid w:val="00AA69CE"/>
    <w:rsid w:val="00AA7AFA"/>
    <w:rsid w:val="00AB0CA9"/>
    <w:rsid w:val="00AB0E73"/>
    <w:rsid w:val="00AB232A"/>
    <w:rsid w:val="00AB3BAD"/>
    <w:rsid w:val="00AB4519"/>
    <w:rsid w:val="00AB4541"/>
    <w:rsid w:val="00AB4951"/>
    <w:rsid w:val="00AB49AB"/>
    <w:rsid w:val="00AB4C0D"/>
    <w:rsid w:val="00AB5653"/>
    <w:rsid w:val="00AB61F8"/>
    <w:rsid w:val="00AC1C79"/>
    <w:rsid w:val="00AC323D"/>
    <w:rsid w:val="00AC3603"/>
    <w:rsid w:val="00AC5BA6"/>
    <w:rsid w:val="00AC6729"/>
    <w:rsid w:val="00AC6B8A"/>
    <w:rsid w:val="00AD0595"/>
    <w:rsid w:val="00AD0650"/>
    <w:rsid w:val="00AD0AE9"/>
    <w:rsid w:val="00AD3CE9"/>
    <w:rsid w:val="00AD3EB7"/>
    <w:rsid w:val="00AD6525"/>
    <w:rsid w:val="00AD6EB6"/>
    <w:rsid w:val="00AE09C3"/>
    <w:rsid w:val="00AE109C"/>
    <w:rsid w:val="00AE14CA"/>
    <w:rsid w:val="00AE2219"/>
    <w:rsid w:val="00AE2D1A"/>
    <w:rsid w:val="00AE2EA2"/>
    <w:rsid w:val="00AE402D"/>
    <w:rsid w:val="00AE43C7"/>
    <w:rsid w:val="00AE5291"/>
    <w:rsid w:val="00AE6660"/>
    <w:rsid w:val="00AE672A"/>
    <w:rsid w:val="00AF0D9D"/>
    <w:rsid w:val="00AF27AC"/>
    <w:rsid w:val="00AF3C32"/>
    <w:rsid w:val="00AF4483"/>
    <w:rsid w:val="00AF4D09"/>
    <w:rsid w:val="00AF539B"/>
    <w:rsid w:val="00AF5B5A"/>
    <w:rsid w:val="00AF5F70"/>
    <w:rsid w:val="00AF67BE"/>
    <w:rsid w:val="00AF749F"/>
    <w:rsid w:val="00AF7B2E"/>
    <w:rsid w:val="00B00E07"/>
    <w:rsid w:val="00B025DD"/>
    <w:rsid w:val="00B03C55"/>
    <w:rsid w:val="00B04516"/>
    <w:rsid w:val="00B054BE"/>
    <w:rsid w:val="00B062DC"/>
    <w:rsid w:val="00B075A9"/>
    <w:rsid w:val="00B101C9"/>
    <w:rsid w:val="00B108EC"/>
    <w:rsid w:val="00B10EA9"/>
    <w:rsid w:val="00B119AF"/>
    <w:rsid w:val="00B11ECC"/>
    <w:rsid w:val="00B13A85"/>
    <w:rsid w:val="00B14F8E"/>
    <w:rsid w:val="00B153DB"/>
    <w:rsid w:val="00B202F5"/>
    <w:rsid w:val="00B205B9"/>
    <w:rsid w:val="00B2068E"/>
    <w:rsid w:val="00B21D97"/>
    <w:rsid w:val="00B22316"/>
    <w:rsid w:val="00B23624"/>
    <w:rsid w:val="00B24EE0"/>
    <w:rsid w:val="00B25892"/>
    <w:rsid w:val="00B25A6A"/>
    <w:rsid w:val="00B25F54"/>
    <w:rsid w:val="00B2601D"/>
    <w:rsid w:val="00B26242"/>
    <w:rsid w:val="00B27B64"/>
    <w:rsid w:val="00B3105C"/>
    <w:rsid w:val="00B315A0"/>
    <w:rsid w:val="00B32336"/>
    <w:rsid w:val="00B33709"/>
    <w:rsid w:val="00B33898"/>
    <w:rsid w:val="00B34756"/>
    <w:rsid w:val="00B34A18"/>
    <w:rsid w:val="00B35466"/>
    <w:rsid w:val="00B35FF3"/>
    <w:rsid w:val="00B36288"/>
    <w:rsid w:val="00B362A8"/>
    <w:rsid w:val="00B3694E"/>
    <w:rsid w:val="00B45795"/>
    <w:rsid w:val="00B4584B"/>
    <w:rsid w:val="00B460F5"/>
    <w:rsid w:val="00B468CE"/>
    <w:rsid w:val="00B47A2B"/>
    <w:rsid w:val="00B50C21"/>
    <w:rsid w:val="00B5204A"/>
    <w:rsid w:val="00B5318A"/>
    <w:rsid w:val="00B5364F"/>
    <w:rsid w:val="00B55BCE"/>
    <w:rsid w:val="00B579CB"/>
    <w:rsid w:val="00B60835"/>
    <w:rsid w:val="00B60B96"/>
    <w:rsid w:val="00B61B3F"/>
    <w:rsid w:val="00B6236E"/>
    <w:rsid w:val="00B62468"/>
    <w:rsid w:val="00B626CD"/>
    <w:rsid w:val="00B639A9"/>
    <w:rsid w:val="00B6428C"/>
    <w:rsid w:val="00B677D9"/>
    <w:rsid w:val="00B67EE6"/>
    <w:rsid w:val="00B70083"/>
    <w:rsid w:val="00B717B4"/>
    <w:rsid w:val="00B71B58"/>
    <w:rsid w:val="00B732B4"/>
    <w:rsid w:val="00B7366D"/>
    <w:rsid w:val="00B75CAF"/>
    <w:rsid w:val="00B76F2A"/>
    <w:rsid w:val="00B77030"/>
    <w:rsid w:val="00B77650"/>
    <w:rsid w:val="00B77808"/>
    <w:rsid w:val="00B8005A"/>
    <w:rsid w:val="00B821BB"/>
    <w:rsid w:val="00B82EC1"/>
    <w:rsid w:val="00B837A3"/>
    <w:rsid w:val="00B83AD6"/>
    <w:rsid w:val="00B8400C"/>
    <w:rsid w:val="00B84445"/>
    <w:rsid w:val="00B84ABF"/>
    <w:rsid w:val="00B8707C"/>
    <w:rsid w:val="00B90FB6"/>
    <w:rsid w:val="00B9530B"/>
    <w:rsid w:val="00B96DF7"/>
    <w:rsid w:val="00B97377"/>
    <w:rsid w:val="00BA0F3C"/>
    <w:rsid w:val="00BA2789"/>
    <w:rsid w:val="00BA2947"/>
    <w:rsid w:val="00BA5048"/>
    <w:rsid w:val="00BA5C94"/>
    <w:rsid w:val="00BA6557"/>
    <w:rsid w:val="00BA70A8"/>
    <w:rsid w:val="00BA7107"/>
    <w:rsid w:val="00BA73D5"/>
    <w:rsid w:val="00BA7542"/>
    <w:rsid w:val="00BB1A0B"/>
    <w:rsid w:val="00BB22EA"/>
    <w:rsid w:val="00BB28F6"/>
    <w:rsid w:val="00BB295B"/>
    <w:rsid w:val="00BB29EB"/>
    <w:rsid w:val="00BB455D"/>
    <w:rsid w:val="00BB4A2E"/>
    <w:rsid w:val="00BB515E"/>
    <w:rsid w:val="00BB5CF1"/>
    <w:rsid w:val="00BB6CC5"/>
    <w:rsid w:val="00BB7AF1"/>
    <w:rsid w:val="00BC088A"/>
    <w:rsid w:val="00BC0EEC"/>
    <w:rsid w:val="00BC1123"/>
    <w:rsid w:val="00BC2609"/>
    <w:rsid w:val="00BC2EB0"/>
    <w:rsid w:val="00BC32DC"/>
    <w:rsid w:val="00BC431C"/>
    <w:rsid w:val="00BC5A2F"/>
    <w:rsid w:val="00BC617C"/>
    <w:rsid w:val="00BD196C"/>
    <w:rsid w:val="00BD1DFC"/>
    <w:rsid w:val="00BD239B"/>
    <w:rsid w:val="00BD2756"/>
    <w:rsid w:val="00BD2863"/>
    <w:rsid w:val="00BD4287"/>
    <w:rsid w:val="00BD60E7"/>
    <w:rsid w:val="00BD6DB2"/>
    <w:rsid w:val="00BD75DB"/>
    <w:rsid w:val="00BD778B"/>
    <w:rsid w:val="00BE05CF"/>
    <w:rsid w:val="00BE0A0F"/>
    <w:rsid w:val="00BE27BC"/>
    <w:rsid w:val="00BE3240"/>
    <w:rsid w:val="00BE4F80"/>
    <w:rsid w:val="00BE67F0"/>
    <w:rsid w:val="00BF09C3"/>
    <w:rsid w:val="00BF0D31"/>
    <w:rsid w:val="00BF2BE8"/>
    <w:rsid w:val="00BF306E"/>
    <w:rsid w:val="00BF3B3A"/>
    <w:rsid w:val="00BF4AFD"/>
    <w:rsid w:val="00BF4DB0"/>
    <w:rsid w:val="00BF5F30"/>
    <w:rsid w:val="00BF7BCA"/>
    <w:rsid w:val="00C00919"/>
    <w:rsid w:val="00C00A25"/>
    <w:rsid w:val="00C00B4D"/>
    <w:rsid w:val="00C0185E"/>
    <w:rsid w:val="00C02579"/>
    <w:rsid w:val="00C0268B"/>
    <w:rsid w:val="00C02E87"/>
    <w:rsid w:val="00C03255"/>
    <w:rsid w:val="00C0407F"/>
    <w:rsid w:val="00C04BC6"/>
    <w:rsid w:val="00C06E57"/>
    <w:rsid w:val="00C07033"/>
    <w:rsid w:val="00C07DBD"/>
    <w:rsid w:val="00C1039F"/>
    <w:rsid w:val="00C10514"/>
    <w:rsid w:val="00C13145"/>
    <w:rsid w:val="00C13B23"/>
    <w:rsid w:val="00C13F4F"/>
    <w:rsid w:val="00C14316"/>
    <w:rsid w:val="00C14B83"/>
    <w:rsid w:val="00C14D49"/>
    <w:rsid w:val="00C16883"/>
    <w:rsid w:val="00C17496"/>
    <w:rsid w:val="00C2010A"/>
    <w:rsid w:val="00C22215"/>
    <w:rsid w:val="00C23752"/>
    <w:rsid w:val="00C2406E"/>
    <w:rsid w:val="00C2427E"/>
    <w:rsid w:val="00C26062"/>
    <w:rsid w:val="00C3045E"/>
    <w:rsid w:val="00C309E0"/>
    <w:rsid w:val="00C31C53"/>
    <w:rsid w:val="00C32EAE"/>
    <w:rsid w:val="00C33E5A"/>
    <w:rsid w:val="00C342C9"/>
    <w:rsid w:val="00C34538"/>
    <w:rsid w:val="00C34747"/>
    <w:rsid w:val="00C35A35"/>
    <w:rsid w:val="00C36222"/>
    <w:rsid w:val="00C363FB"/>
    <w:rsid w:val="00C36C76"/>
    <w:rsid w:val="00C378FE"/>
    <w:rsid w:val="00C42674"/>
    <w:rsid w:val="00C42F6F"/>
    <w:rsid w:val="00C43428"/>
    <w:rsid w:val="00C43683"/>
    <w:rsid w:val="00C4545A"/>
    <w:rsid w:val="00C45606"/>
    <w:rsid w:val="00C467C8"/>
    <w:rsid w:val="00C473F6"/>
    <w:rsid w:val="00C501D4"/>
    <w:rsid w:val="00C50540"/>
    <w:rsid w:val="00C50729"/>
    <w:rsid w:val="00C518C9"/>
    <w:rsid w:val="00C51F45"/>
    <w:rsid w:val="00C52970"/>
    <w:rsid w:val="00C52BA8"/>
    <w:rsid w:val="00C5381B"/>
    <w:rsid w:val="00C54315"/>
    <w:rsid w:val="00C543C6"/>
    <w:rsid w:val="00C54D5B"/>
    <w:rsid w:val="00C5516D"/>
    <w:rsid w:val="00C57513"/>
    <w:rsid w:val="00C5783B"/>
    <w:rsid w:val="00C57BA5"/>
    <w:rsid w:val="00C57F39"/>
    <w:rsid w:val="00C61174"/>
    <w:rsid w:val="00C62007"/>
    <w:rsid w:val="00C62065"/>
    <w:rsid w:val="00C62675"/>
    <w:rsid w:val="00C70D1A"/>
    <w:rsid w:val="00C710C1"/>
    <w:rsid w:val="00C713AE"/>
    <w:rsid w:val="00C730BF"/>
    <w:rsid w:val="00C73471"/>
    <w:rsid w:val="00C74DB0"/>
    <w:rsid w:val="00C75087"/>
    <w:rsid w:val="00C81415"/>
    <w:rsid w:val="00C819DA"/>
    <w:rsid w:val="00C820C3"/>
    <w:rsid w:val="00C8303A"/>
    <w:rsid w:val="00C865B8"/>
    <w:rsid w:val="00C86979"/>
    <w:rsid w:val="00C908C0"/>
    <w:rsid w:val="00C911FC"/>
    <w:rsid w:val="00C91784"/>
    <w:rsid w:val="00C93113"/>
    <w:rsid w:val="00C93379"/>
    <w:rsid w:val="00C93FA8"/>
    <w:rsid w:val="00C946CD"/>
    <w:rsid w:val="00C94A20"/>
    <w:rsid w:val="00C94D44"/>
    <w:rsid w:val="00C954AB"/>
    <w:rsid w:val="00C96788"/>
    <w:rsid w:val="00CA08CF"/>
    <w:rsid w:val="00CA0E3E"/>
    <w:rsid w:val="00CA1EF7"/>
    <w:rsid w:val="00CA4BD3"/>
    <w:rsid w:val="00CA6702"/>
    <w:rsid w:val="00CB0294"/>
    <w:rsid w:val="00CB0514"/>
    <w:rsid w:val="00CB1C4F"/>
    <w:rsid w:val="00CB6134"/>
    <w:rsid w:val="00CC01F6"/>
    <w:rsid w:val="00CC0661"/>
    <w:rsid w:val="00CC217C"/>
    <w:rsid w:val="00CC24F5"/>
    <w:rsid w:val="00CC3282"/>
    <w:rsid w:val="00CC3682"/>
    <w:rsid w:val="00CC3A48"/>
    <w:rsid w:val="00CC555A"/>
    <w:rsid w:val="00CD1D81"/>
    <w:rsid w:val="00CD27F9"/>
    <w:rsid w:val="00CD3D1A"/>
    <w:rsid w:val="00CD426B"/>
    <w:rsid w:val="00CE1715"/>
    <w:rsid w:val="00CE1D0B"/>
    <w:rsid w:val="00CE2725"/>
    <w:rsid w:val="00CE5656"/>
    <w:rsid w:val="00CE5886"/>
    <w:rsid w:val="00CE73B9"/>
    <w:rsid w:val="00CE750F"/>
    <w:rsid w:val="00CE7B3E"/>
    <w:rsid w:val="00CF0FD2"/>
    <w:rsid w:val="00CF1355"/>
    <w:rsid w:val="00CF138C"/>
    <w:rsid w:val="00CF2C6E"/>
    <w:rsid w:val="00CF3397"/>
    <w:rsid w:val="00CF43B6"/>
    <w:rsid w:val="00CF5595"/>
    <w:rsid w:val="00CF5D9F"/>
    <w:rsid w:val="00CF61FB"/>
    <w:rsid w:val="00CF62A2"/>
    <w:rsid w:val="00CF67EB"/>
    <w:rsid w:val="00CF7979"/>
    <w:rsid w:val="00D00038"/>
    <w:rsid w:val="00D00A15"/>
    <w:rsid w:val="00D02F95"/>
    <w:rsid w:val="00D103B6"/>
    <w:rsid w:val="00D10CBB"/>
    <w:rsid w:val="00D1107C"/>
    <w:rsid w:val="00D160CB"/>
    <w:rsid w:val="00D16F43"/>
    <w:rsid w:val="00D17B8F"/>
    <w:rsid w:val="00D2050B"/>
    <w:rsid w:val="00D206C3"/>
    <w:rsid w:val="00D228D2"/>
    <w:rsid w:val="00D22DA6"/>
    <w:rsid w:val="00D23BF5"/>
    <w:rsid w:val="00D23E63"/>
    <w:rsid w:val="00D245A1"/>
    <w:rsid w:val="00D24D73"/>
    <w:rsid w:val="00D25CC8"/>
    <w:rsid w:val="00D268F3"/>
    <w:rsid w:val="00D276D0"/>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2055"/>
    <w:rsid w:val="00D43C97"/>
    <w:rsid w:val="00D4539F"/>
    <w:rsid w:val="00D4727D"/>
    <w:rsid w:val="00D475F4"/>
    <w:rsid w:val="00D50BB9"/>
    <w:rsid w:val="00D51685"/>
    <w:rsid w:val="00D52AA9"/>
    <w:rsid w:val="00D534C9"/>
    <w:rsid w:val="00D535A9"/>
    <w:rsid w:val="00D54A47"/>
    <w:rsid w:val="00D57862"/>
    <w:rsid w:val="00D57AB8"/>
    <w:rsid w:val="00D629B8"/>
    <w:rsid w:val="00D633E7"/>
    <w:rsid w:val="00D647C3"/>
    <w:rsid w:val="00D67522"/>
    <w:rsid w:val="00D677A7"/>
    <w:rsid w:val="00D70D8F"/>
    <w:rsid w:val="00D72430"/>
    <w:rsid w:val="00D72DC8"/>
    <w:rsid w:val="00D73142"/>
    <w:rsid w:val="00D73DDA"/>
    <w:rsid w:val="00D7462E"/>
    <w:rsid w:val="00D751EA"/>
    <w:rsid w:val="00D755B7"/>
    <w:rsid w:val="00D75AFF"/>
    <w:rsid w:val="00D75D67"/>
    <w:rsid w:val="00D76256"/>
    <w:rsid w:val="00D76E4A"/>
    <w:rsid w:val="00D7776A"/>
    <w:rsid w:val="00D803EF"/>
    <w:rsid w:val="00D812B8"/>
    <w:rsid w:val="00D8194D"/>
    <w:rsid w:val="00D82516"/>
    <w:rsid w:val="00D82766"/>
    <w:rsid w:val="00D84D91"/>
    <w:rsid w:val="00D852AF"/>
    <w:rsid w:val="00D86E6F"/>
    <w:rsid w:val="00D87A0A"/>
    <w:rsid w:val="00D90262"/>
    <w:rsid w:val="00D90922"/>
    <w:rsid w:val="00D92B35"/>
    <w:rsid w:val="00D938AB"/>
    <w:rsid w:val="00D95CBC"/>
    <w:rsid w:val="00D960A0"/>
    <w:rsid w:val="00D9633A"/>
    <w:rsid w:val="00D9670C"/>
    <w:rsid w:val="00D96755"/>
    <w:rsid w:val="00D96DE7"/>
    <w:rsid w:val="00D9712F"/>
    <w:rsid w:val="00D97360"/>
    <w:rsid w:val="00D97394"/>
    <w:rsid w:val="00D97CAE"/>
    <w:rsid w:val="00DA0CF6"/>
    <w:rsid w:val="00DA12D0"/>
    <w:rsid w:val="00DA2B5B"/>
    <w:rsid w:val="00DA2E72"/>
    <w:rsid w:val="00DA46C2"/>
    <w:rsid w:val="00DA578B"/>
    <w:rsid w:val="00DA5D46"/>
    <w:rsid w:val="00DA6127"/>
    <w:rsid w:val="00DA6FAA"/>
    <w:rsid w:val="00DA7BE0"/>
    <w:rsid w:val="00DB2B39"/>
    <w:rsid w:val="00DB442F"/>
    <w:rsid w:val="00DB598B"/>
    <w:rsid w:val="00DB623C"/>
    <w:rsid w:val="00DB7060"/>
    <w:rsid w:val="00DB787B"/>
    <w:rsid w:val="00DC0921"/>
    <w:rsid w:val="00DC0D32"/>
    <w:rsid w:val="00DC10B9"/>
    <w:rsid w:val="00DC1D97"/>
    <w:rsid w:val="00DC30C3"/>
    <w:rsid w:val="00DC40CE"/>
    <w:rsid w:val="00DC49DD"/>
    <w:rsid w:val="00DC5FC9"/>
    <w:rsid w:val="00DC6804"/>
    <w:rsid w:val="00DC6EAD"/>
    <w:rsid w:val="00DC7020"/>
    <w:rsid w:val="00DC7204"/>
    <w:rsid w:val="00DD0118"/>
    <w:rsid w:val="00DD02FD"/>
    <w:rsid w:val="00DD06AD"/>
    <w:rsid w:val="00DD11D8"/>
    <w:rsid w:val="00DD24F7"/>
    <w:rsid w:val="00DD6086"/>
    <w:rsid w:val="00DD65A4"/>
    <w:rsid w:val="00DD71E2"/>
    <w:rsid w:val="00DE0698"/>
    <w:rsid w:val="00DE0F22"/>
    <w:rsid w:val="00DE1179"/>
    <w:rsid w:val="00DE43CA"/>
    <w:rsid w:val="00DE5D75"/>
    <w:rsid w:val="00DE5EF1"/>
    <w:rsid w:val="00DE6208"/>
    <w:rsid w:val="00DE6299"/>
    <w:rsid w:val="00DE63F0"/>
    <w:rsid w:val="00DE6D22"/>
    <w:rsid w:val="00DF0404"/>
    <w:rsid w:val="00DF1D6D"/>
    <w:rsid w:val="00DF2386"/>
    <w:rsid w:val="00DF47CD"/>
    <w:rsid w:val="00DF64E5"/>
    <w:rsid w:val="00DF7FE7"/>
    <w:rsid w:val="00E00083"/>
    <w:rsid w:val="00E00878"/>
    <w:rsid w:val="00E02B6E"/>
    <w:rsid w:val="00E03835"/>
    <w:rsid w:val="00E10665"/>
    <w:rsid w:val="00E1551C"/>
    <w:rsid w:val="00E15F60"/>
    <w:rsid w:val="00E16CC2"/>
    <w:rsid w:val="00E21282"/>
    <w:rsid w:val="00E215B3"/>
    <w:rsid w:val="00E2327D"/>
    <w:rsid w:val="00E246D8"/>
    <w:rsid w:val="00E253A0"/>
    <w:rsid w:val="00E25888"/>
    <w:rsid w:val="00E27915"/>
    <w:rsid w:val="00E27D44"/>
    <w:rsid w:val="00E27EBA"/>
    <w:rsid w:val="00E3014F"/>
    <w:rsid w:val="00E308E6"/>
    <w:rsid w:val="00E3154B"/>
    <w:rsid w:val="00E32440"/>
    <w:rsid w:val="00E337BF"/>
    <w:rsid w:val="00E33B83"/>
    <w:rsid w:val="00E35DD4"/>
    <w:rsid w:val="00E37BA7"/>
    <w:rsid w:val="00E37FD9"/>
    <w:rsid w:val="00E42115"/>
    <w:rsid w:val="00E42F5B"/>
    <w:rsid w:val="00E43E6D"/>
    <w:rsid w:val="00E43F8B"/>
    <w:rsid w:val="00E46367"/>
    <w:rsid w:val="00E472B8"/>
    <w:rsid w:val="00E509AF"/>
    <w:rsid w:val="00E523FF"/>
    <w:rsid w:val="00E526F8"/>
    <w:rsid w:val="00E53377"/>
    <w:rsid w:val="00E53B79"/>
    <w:rsid w:val="00E53EFF"/>
    <w:rsid w:val="00E57506"/>
    <w:rsid w:val="00E61CC2"/>
    <w:rsid w:val="00E625A0"/>
    <w:rsid w:val="00E62DAF"/>
    <w:rsid w:val="00E63F0B"/>
    <w:rsid w:val="00E64581"/>
    <w:rsid w:val="00E64BA3"/>
    <w:rsid w:val="00E6689D"/>
    <w:rsid w:val="00E6749C"/>
    <w:rsid w:val="00E675AE"/>
    <w:rsid w:val="00E7033E"/>
    <w:rsid w:val="00E71602"/>
    <w:rsid w:val="00E72C60"/>
    <w:rsid w:val="00E736EE"/>
    <w:rsid w:val="00E74FC5"/>
    <w:rsid w:val="00E755EA"/>
    <w:rsid w:val="00E7726B"/>
    <w:rsid w:val="00E772E5"/>
    <w:rsid w:val="00E8159A"/>
    <w:rsid w:val="00E822EB"/>
    <w:rsid w:val="00E84205"/>
    <w:rsid w:val="00E8596C"/>
    <w:rsid w:val="00E86878"/>
    <w:rsid w:val="00E911FD"/>
    <w:rsid w:val="00E9130A"/>
    <w:rsid w:val="00E91F83"/>
    <w:rsid w:val="00E921A2"/>
    <w:rsid w:val="00E92342"/>
    <w:rsid w:val="00E92DCD"/>
    <w:rsid w:val="00E93B56"/>
    <w:rsid w:val="00E93BB6"/>
    <w:rsid w:val="00E94759"/>
    <w:rsid w:val="00E950BB"/>
    <w:rsid w:val="00E95665"/>
    <w:rsid w:val="00E95F52"/>
    <w:rsid w:val="00EA0263"/>
    <w:rsid w:val="00EA0987"/>
    <w:rsid w:val="00EA13DA"/>
    <w:rsid w:val="00EA1FF6"/>
    <w:rsid w:val="00EA2765"/>
    <w:rsid w:val="00EA33CB"/>
    <w:rsid w:val="00EA3A7F"/>
    <w:rsid w:val="00EA3FC2"/>
    <w:rsid w:val="00EA444A"/>
    <w:rsid w:val="00EA44B5"/>
    <w:rsid w:val="00EA4DD8"/>
    <w:rsid w:val="00EA683B"/>
    <w:rsid w:val="00EB151B"/>
    <w:rsid w:val="00EB2FE6"/>
    <w:rsid w:val="00EB4CBD"/>
    <w:rsid w:val="00EB642F"/>
    <w:rsid w:val="00EB7D58"/>
    <w:rsid w:val="00EB7DA6"/>
    <w:rsid w:val="00EC0504"/>
    <w:rsid w:val="00EC0525"/>
    <w:rsid w:val="00EC1205"/>
    <w:rsid w:val="00EC13B3"/>
    <w:rsid w:val="00EC1696"/>
    <w:rsid w:val="00EC1AA4"/>
    <w:rsid w:val="00EC2A8D"/>
    <w:rsid w:val="00EC2A94"/>
    <w:rsid w:val="00EC32C4"/>
    <w:rsid w:val="00EC3671"/>
    <w:rsid w:val="00EC61E0"/>
    <w:rsid w:val="00EC6CBC"/>
    <w:rsid w:val="00EC72B0"/>
    <w:rsid w:val="00ED018D"/>
    <w:rsid w:val="00ED13F4"/>
    <w:rsid w:val="00ED1F5E"/>
    <w:rsid w:val="00ED25F1"/>
    <w:rsid w:val="00ED36F8"/>
    <w:rsid w:val="00ED49D6"/>
    <w:rsid w:val="00ED555B"/>
    <w:rsid w:val="00ED6057"/>
    <w:rsid w:val="00ED64A9"/>
    <w:rsid w:val="00ED64C2"/>
    <w:rsid w:val="00EE0EB6"/>
    <w:rsid w:val="00EE309D"/>
    <w:rsid w:val="00EE458C"/>
    <w:rsid w:val="00EE484E"/>
    <w:rsid w:val="00EE4EE3"/>
    <w:rsid w:val="00EE63B0"/>
    <w:rsid w:val="00EE7199"/>
    <w:rsid w:val="00EF0AB8"/>
    <w:rsid w:val="00EF17AC"/>
    <w:rsid w:val="00EF1AF5"/>
    <w:rsid w:val="00EF1E7D"/>
    <w:rsid w:val="00EF29EA"/>
    <w:rsid w:val="00EF5A19"/>
    <w:rsid w:val="00EF5C41"/>
    <w:rsid w:val="00EF5C9D"/>
    <w:rsid w:val="00EF5E91"/>
    <w:rsid w:val="00EF666E"/>
    <w:rsid w:val="00F02473"/>
    <w:rsid w:val="00F02552"/>
    <w:rsid w:val="00F03C83"/>
    <w:rsid w:val="00F04266"/>
    <w:rsid w:val="00F05E48"/>
    <w:rsid w:val="00F05E6F"/>
    <w:rsid w:val="00F078F1"/>
    <w:rsid w:val="00F1054B"/>
    <w:rsid w:val="00F117D1"/>
    <w:rsid w:val="00F1291E"/>
    <w:rsid w:val="00F12D14"/>
    <w:rsid w:val="00F12DEB"/>
    <w:rsid w:val="00F1556C"/>
    <w:rsid w:val="00F175F5"/>
    <w:rsid w:val="00F204C2"/>
    <w:rsid w:val="00F20B19"/>
    <w:rsid w:val="00F20FCC"/>
    <w:rsid w:val="00F212AF"/>
    <w:rsid w:val="00F228A7"/>
    <w:rsid w:val="00F253B4"/>
    <w:rsid w:val="00F25C8E"/>
    <w:rsid w:val="00F26404"/>
    <w:rsid w:val="00F27F55"/>
    <w:rsid w:val="00F30BFA"/>
    <w:rsid w:val="00F32065"/>
    <w:rsid w:val="00F32D03"/>
    <w:rsid w:val="00F3443C"/>
    <w:rsid w:val="00F344DE"/>
    <w:rsid w:val="00F36780"/>
    <w:rsid w:val="00F36F5F"/>
    <w:rsid w:val="00F376CC"/>
    <w:rsid w:val="00F43CEA"/>
    <w:rsid w:val="00F440F9"/>
    <w:rsid w:val="00F442BD"/>
    <w:rsid w:val="00F44D2C"/>
    <w:rsid w:val="00F45CC2"/>
    <w:rsid w:val="00F51DFC"/>
    <w:rsid w:val="00F51E7B"/>
    <w:rsid w:val="00F53E25"/>
    <w:rsid w:val="00F53F39"/>
    <w:rsid w:val="00F547A8"/>
    <w:rsid w:val="00F54855"/>
    <w:rsid w:val="00F55052"/>
    <w:rsid w:val="00F551D6"/>
    <w:rsid w:val="00F553CC"/>
    <w:rsid w:val="00F55684"/>
    <w:rsid w:val="00F573D2"/>
    <w:rsid w:val="00F60C5C"/>
    <w:rsid w:val="00F62079"/>
    <w:rsid w:val="00F62368"/>
    <w:rsid w:val="00F624C0"/>
    <w:rsid w:val="00F64385"/>
    <w:rsid w:val="00F6516D"/>
    <w:rsid w:val="00F6652D"/>
    <w:rsid w:val="00F66F94"/>
    <w:rsid w:val="00F70A79"/>
    <w:rsid w:val="00F70F19"/>
    <w:rsid w:val="00F71EAD"/>
    <w:rsid w:val="00F72237"/>
    <w:rsid w:val="00F72F74"/>
    <w:rsid w:val="00F73E71"/>
    <w:rsid w:val="00F7408E"/>
    <w:rsid w:val="00F74893"/>
    <w:rsid w:val="00F76A53"/>
    <w:rsid w:val="00F77AAA"/>
    <w:rsid w:val="00F81721"/>
    <w:rsid w:val="00F82F05"/>
    <w:rsid w:val="00F83EC8"/>
    <w:rsid w:val="00F84BD4"/>
    <w:rsid w:val="00F852B9"/>
    <w:rsid w:val="00F861A9"/>
    <w:rsid w:val="00F86933"/>
    <w:rsid w:val="00F9197D"/>
    <w:rsid w:val="00F91BD4"/>
    <w:rsid w:val="00F93170"/>
    <w:rsid w:val="00F93D83"/>
    <w:rsid w:val="00F95CA0"/>
    <w:rsid w:val="00F96BA5"/>
    <w:rsid w:val="00F973A1"/>
    <w:rsid w:val="00F97495"/>
    <w:rsid w:val="00F9777B"/>
    <w:rsid w:val="00FA030D"/>
    <w:rsid w:val="00FA0633"/>
    <w:rsid w:val="00FA07D3"/>
    <w:rsid w:val="00FA0846"/>
    <w:rsid w:val="00FA10E7"/>
    <w:rsid w:val="00FA1C88"/>
    <w:rsid w:val="00FA229C"/>
    <w:rsid w:val="00FA374C"/>
    <w:rsid w:val="00FA42D8"/>
    <w:rsid w:val="00FA44F9"/>
    <w:rsid w:val="00FA553B"/>
    <w:rsid w:val="00FA68E4"/>
    <w:rsid w:val="00FA7271"/>
    <w:rsid w:val="00FB03BD"/>
    <w:rsid w:val="00FB187B"/>
    <w:rsid w:val="00FB19B9"/>
    <w:rsid w:val="00FB1F2D"/>
    <w:rsid w:val="00FB2057"/>
    <w:rsid w:val="00FB41AD"/>
    <w:rsid w:val="00FB5403"/>
    <w:rsid w:val="00FB5632"/>
    <w:rsid w:val="00FB584E"/>
    <w:rsid w:val="00FB5B4B"/>
    <w:rsid w:val="00FB620F"/>
    <w:rsid w:val="00FB7688"/>
    <w:rsid w:val="00FB7B82"/>
    <w:rsid w:val="00FB7D22"/>
    <w:rsid w:val="00FC0BF5"/>
    <w:rsid w:val="00FC0F0E"/>
    <w:rsid w:val="00FC192D"/>
    <w:rsid w:val="00FC2C2C"/>
    <w:rsid w:val="00FC306F"/>
    <w:rsid w:val="00FC40CB"/>
    <w:rsid w:val="00FC45EA"/>
    <w:rsid w:val="00FC462B"/>
    <w:rsid w:val="00FC51FB"/>
    <w:rsid w:val="00FC5AAA"/>
    <w:rsid w:val="00FC5D8C"/>
    <w:rsid w:val="00FC68A4"/>
    <w:rsid w:val="00FD07C4"/>
    <w:rsid w:val="00FD1416"/>
    <w:rsid w:val="00FD2E2F"/>
    <w:rsid w:val="00FD3719"/>
    <w:rsid w:val="00FD47F3"/>
    <w:rsid w:val="00FD4F37"/>
    <w:rsid w:val="00FD67D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8A7"/>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s-E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 w:type="paragraph" w:styleId="NormalWeb">
    <w:name w:val="Normal (Web)"/>
    <w:basedOn w:val="Normal"/>
    <w:uiPriority w:val="99"/>
    <w:unhideWhenUsed/>
    <w:rsid w:val="00BD4287"/>
    <w:pPr>
      <w:spacing w:before="100" w:beforeAutospacing="1" w:after="100" w:afterAutospacing="1"/>
      <w:ind w:left="0" w:firstLine="0"/>
    </w:pPr>
    <w:rPr>
      <w:rFonts w:ascii="Times New Roman" w:eastAsia="Times New Roman" w:hAnsi="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47191449">
      <w:bodyDiv w:val="1"/>
      <w:marLeft w:val="0"/>
      <w:marRight w:val="0"/>
      <w:marTop w:val="0"/>
      <w:marBottom w:val="0"/>
      <w:divBdr>
        <w:top w:val="none" w:sz="0" w:space="0" w:color="auto"/>
        <w:left w:val="none" w:sz="0" w:space="0" w:color="auto"/>
        <w:bottom w:val="none" w:sz="0" w:space="0" w:color="auto"/>
        <w:right w:val="none" w:sz="0" w:space="0" w:color="auto"/>
      </w:divBdr>
      <w:divsChild>
        <w:div w:id="1598905516">
          <w:marLeft w:val="0"/>
          <w:marRight w:val="0"/>
          <w:marTop w:val="0"/>
          <w:marBottom w:val="0"/>
          <w:divBdr>
            <w:top w:val="none" w:sz="0" w:space="0" w:color="auto"/>
            <w:left w:val="none" w:sz="0" w:space="0" w:color="auto"/>
            <w:bottom w:val="none" w:sz="0" w:space="0" w:color="auto"/>
            <w:right w:val="none" w:sz="0" w:space="0" w:color="auto"/>
          </w:divBdr>
          <w:divsChild>
            <w:div w:id="948315815">
              <w:marLeft w:val="0"/>
              <w:marRight w:val="0"/>
              <w:marTop w:val="0"/>
              <w:marBottom w:val="0"/>
              <w:divBdr>
                <w:top w:val="none" w:sz="0" w:space="0" w:color="auto"/>
                <w:left w:val="none" w:sz="0" w:space="0" w:color="auto"/>
                <w:bottom w:val="none" w:sz="0" w:space="0" w:color="auto"/>
                <w:right w:val="none" w:sz="0" w:space="0" w:color="auto"/>
              </w:divBdr>
              <w:divsChild>
                <w:div w:id="1539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79800522">
      <w:bodyDiv w:val="1"/>
      <w:marLeft w:val="0"/>
      <w:marRight w:val="0"/>
      <w:marTop w:val="0"/>
      <w:marBottom w:val="0"/>
      <w:divBdr>
        <w:top w:val="none" w:sz="0" w:space="0" w:color="auto"/>
        <w:left w:val="none" w:sz="0" w:space="0" w:color="auto"/>
        <w:bottom w:val="none" w:sz="0" w:space="0" w:color="auto"/>
        <w:right w:val="none" w:sz="0" w:space="0" w:color="auto"/>
      </w:divBdr>
      <w:divsChild>
        <w:div w:id="817915621">
          <w:marLeft w:val="0"/>
          <w:marRight w:val="0"/>
          <w:marTop w:val="0"/>
          <w:marBottom w:val="0"/>
          <w:divBdr>
            <w:top w:val="none" w:sz="0" w:space="0" w:color="auto"/>
            <w:left w:val="none" w:sz="0" w:space="0" w:color="auto"/>
            <w:bottom w:val="none" w:sz="0" w:space="0" w:color="auto"/>
            <w:right w:val="none" w:sz="0" w:space="0" w:color="auto"/>
          </w:divBdr>
          <w:divsChild>
            <w:div w:id="1786995964">
              <w:marLeft w:val="0"/>
              <w:marRight w:val="0"/>
              <w:marTop w:val="0"/>
              <w:marBottom w:val="0"/>
              <w:divBdr>
                <w:top w:val="none" w:sz="0" w:space="0" w:color="auto"/>
                <w:left w:val="none" w:sz="0" w:space="0" w:color="auto"/>
                <w:bottom w:val="none" w:sz="0" w:space="0" w:color="auto"/>
                <w:right w:val="none" w:sz="0" w:space="0" w:color="auto"/>
              </w:divBdr>
              <w:divsChild>
                <w:div w:id="623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es/documento/sc55-doc82-examen-financiero-de-los-fondos-complementarios-por-la-uicn" TargetMode="External"/><Relationship Id="rId2" Type="http://schemas.openxmlformats.org/officeDocument/2006/relationships/hyperlink" Target="https://www.ramsar.org/es/documento/resolucion-x2-asuntos-financieros-y-presupuestarios" TargetMode="External"/><Relationship Id="rId1" Type="http://schemas.openxmlformats.org/officeDocument/2006/relationships/hyperlink" Target="https://www.ramsar.org/sites/default/files/documents/library/report_auditor_ramsar_2019_e.pdf" TargetMode="External"/><Relationship Id="rId4" Type="http://schemas.openxmlformats.org/officeDocument/2006/relationships/hyperlink" Target="https://www.ramsar.org/sites/default/files/documents/library/report_auditor_ramsar_2019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0659-D9CB-40C0-987E-BA92D41F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24</Pages>
  <Words>7367</Words>
  <Characters>41995</Characters>
  <Application>Microsoft Office Word</Application>
  <DocSecurity>0</DocSecurity>
  <Lines>349</Lines>
  <Paragraphs>98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4</cp:revision>
  <cp:lastPrinted>2021-05-25T07:29:00Z</cp:lastPrinted>
  <dcterms:created xsi:type="dcterms:W3CDTF">2021-05-28T07:46:00Z</dcterms:created>
  <dcterms:modified xsi:type="dcterms:W3CDTF">2021-05-28T08:23:00Z</dcterms:modified>
</cp:coreProperties>
</file>