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ACD13" w14:textId="5A807EA4" w:rsidR="00275F13" w:rsidRPr="00C93379" w:rsidRDefault="00C93379" w:rsidP="003439AE">
      <w:pPr>
        <w:pBdr>
          <w:top w:val="single" w:sz="12" w:space="0" w:color="auto" w:shadow="1"/>
          <w:left w:val="single" w:sz="12" w:space="4" w:color="auto" w:shadow="1"/>
          <w:bottom w:val="single" w:sz="12" w:space="1" w:color="auto" w:shadow="1"/>
          <w:right w:val="single" w:sz="4" w:space="1" w:color="auto"/>
        </w:pBdr>
        <w:ind w:right="2790"/>
        <w:rPr>
          <w:bCs/>
        </w:rPr>
      </w:pPr>
      <w:r>
        <w:rPr>
          <w:bCs/>
        </w:rPr>
        <w:t>THE</w:t>
      </w:r>
      <w:r w:rsidR="00275F13" w:rsidRPr="00C93379">
        <w:rPr>
          <w:bCs/>
        </w:rPr>
        <w:t xml:space="preserve"> </w:t>
      </w:r>
      <w:r w:rsidR="00E10D99">
        <w:rPr>
          <w:bCs/>
        </w:rPr>
        <w:t>CONVENTION ON WETLANDS</w:t>
      </w:r>
    </w:p>
    <w:p w14:paraId="00EA38A3" w14:textId="53E7F358" w:rsidR="00DF2386" w:rsidRPr="00C93379" w:rsidRDefault="00FE0913" w:rsidP="003439AE">
      <w:pPr>
        <w:pBdr>
          <w:top w:val="single" w:sz="12" w:space="0" w:color="auto" w:shadow="1"/>
          <w:left w:val="single" w:sz="12" w:space="4" w:color="auto" w:shadow="1"/>
          <w:bottom w:val="single" w:sz="12" w:space="1" w:color="auto" w:shadow="1"/>
          <w:right w:val="single" w:sz="4" w:space="1" w:color="auto"/>
        </w:pBdr>
        <w:ind w:right="2790"/>
        <w:rPr>
          <w:bCs/>
        </w:rPr>
      </w:pPr>
      <w:r w:rsidRPr="00C93379">
        <w:rPr>
          <w:bCs/>
        </w:rPr>
        <w:t>5</w:t>
      </w:r>
      <w:r>
        <w:rPr>
          <w:bCs/>
        </w:rPr>
        <w:t>9</w:t>
      </w:r>
      <w:r w:rsidRPr="00C93379">
        <w:rPr>
          <w:bCs/>
        </w:rPr>
        <w:t xml:space="preserve">th </w:t>
      </w:r>
      <w:r w:rsidR="00DF2386" w:rsidRPr="00C93379">
        <w:rPr>
          <w:bCs/>
        </w:rPr>
        <w:t>Meeting of the Standing Committee</w:t>
      </w:r>
    </w:p>
    <w:p w14:paraId="348B6A75" w14:textId="1B13117B" w:rsidR="00DF2386" w:rsidRPr="005277E7" w:rsidRDefault="00DF2386" w:rsidP="003439AE">
      <w:pPr>
        <w:pBdr>
          <w:top w:val="single" w:sz="12" w:space="0" w:color="auto" w:shadow="1"/>
          <w:left w:val="single" w:sz="12" w:space="4" w:color="auto" w:shadow="1"/>
          <w:bottom w:val="single" w:sz="12" w:space="1" w:color="auto" w:shadow="1"/>
          <w:right w:val="single" w:sz="4" w:space="1" w:color="auto"/>
        </w:pBdr>
        <w:ind w:right="2790"/>
        <w:rPr>
          <w:bCs/>
          <w:lang w:val="de-CH"/>
        </w:rPr>
      </w:pPr>
      <w:r w:rsidRPr="005277E7">
        <w:rPr>
          <w:bCs/>
          <w:lang w:val="de-CH"/>
        </w:rPr>
        <w:t xml:space="preserve">Gland, Switzerland, </w:t>
      </w:r>
      <w:r w:rsidR="00FE0913" w:rsidRPr="005277E7">
        <w:rPr>
          <w:bCs/>
          <w:lang w:val="de-CH"/>
        </w:rPr>
        <w:t xml:space="preserve">21 </w:t>
      </w:r>
      <w:r w:rsidR="00C93379" w:rsidRPr="005277E7">
        <w:rPr>
          <w:bCs/>
          <w:lang w:val="de-CH"/>
        </w:rPr>
        <w:t xml:space="preserve">– </w:t>
      </w:r>
      <w:r w:rsidR="00FE0913" w:rsidRPr="005277E7">
        <w:rPr>
          <w:bCs/>
          <w:lang w:val="de-CH"/>
        </w:rPr>
        <w:t>25 June 2021</w:t>
      </w:r>
    </w:p>
    <w:p w14:paraId="637FC88B" w14:textId="77777777" w:rsidR="00DF2386" w:rsidRPr="005277E7" w:rsidRDefault="00DF2386" w:rsidP="00633DD5">
      <w:pPr>
        <w:outlineLvl w:val="0"/>
        <w:rPr>
          <w:b/>
          <w:lang w:val="de-CH"/>
        </w:rPr>
      </w:pPr>
    </w:p>
    <w:p w14:paraId="383D711F" w14:textId="5D64F242" w:rsidR="00DF2386" w:rsidRPr="005277E7" w:rsidRDefault="00FE0913" w:rsidP="00633DD5">
      <w:pPr>
        <w:jc w:val="right"/>
        <w:rPr>
          <w:rFonts w:cs="Arial"/>
          <w:sz w:val="28"/>
          <w:szCs w:val="28"/>
          <w:lang w:val="de-CH"/>
        </w:rPr>
      </w:pPr>
      <w:r w:rsidRPr="005277E7">
        <w:rPr>
          <w:rFonts w:cs="Arial"/>
          <w:b/>
          <w:sz w:val="28"/>
          <w:szCs w:val="28"/>
          <w:lang w:val="de-CH"/>
        </w:rPr>
        <w:t xml:space="preserve">SC59 </w:t>
      </w:r>
      <w:r w:rsidR="009D425A" w:rsidRPr="005277E7">
        <w:rPr>
          <w:rFonts w:cs="Arial"/>
          <w:b/>
          <w:sz w:val="28"/>
          <w:szCs w:val="28"/>
          <w:lang w:val="de-CH"/>
        </w:rPr>
        <w:t>Doc.</w:t>
      </w:r>
      <w:r w:rsidR="003F621E" w:rsidRPr="005277E7">
        <w:rPr>
          <w:rFonts w:cs="Arial"/>
          <w:b/>
          <w:sz w:val="28"/>
          <w:szCs w:val="28"/>
          <w:lang w:val="de-CH"/>
        </w:rPr>
        <w:t>8</w:t>
      </w:r>
      <w:r w:rsidR="00DE5D75" w:rsidRPr="005277E7">
        <w:rPr>
          <w:rFonts w:cs="Arial"/>
          <w:b/>
          <w:sz w:val="28"/>
          <w:szCs w:val="28"/>
          <w:lang w:val="de-CH"/>
        </w:rPr>
        <w:t>.</w:t>
      </w:r>
      <w:r w:rsidRPr="005277E7">
        <w:rPr>
          <w:rFonts w:cs="Arial"/>
          <w:b/>
          <w:sz w:val="28"/>
          <w:szCs w:val="28"/>
          <w:lang w:val="de-CH"/>
        </w:rPr>
        <w:t>1</w:t>
      </w:r>
    </w:p>
    <w:p w14:paraId="282994B8" w14:textId="77777777" w:rsidR="00DF2386" w:rsidRPr="005277E7" w:rsidRDefault="00DF2386" w:rsidP="00633DD5">
      <w:pPr>
        <w:rPr>
          <w:rFonts w:cs="Arial"/>
          <w:b/>
          <w:sz w:val="28"/>
          <w:szCs w:val="28"/>
          <w:lang w:val="de-CH"/>
        </w:rPr>
      </w:pPr>
    </w:p>
    <w:p w14:paraId="1DEA50B7" w14:textId="3BF5A843" w:rsidR="00DF2386" w:rsidRPr="00421152" w:rsidRDefault="00A31490" w:rsidP="00633DD5">
      <w:pPr>
        <w:ind w:left="0" w:firstLine="0"/>
        <w:jc w:val="center"/>
        <w:rPr>
          <w:rFonts w:cs="Arial"/>
          <w:b/>
          <w:sz w:val="28"/>
          <w:szCs w:val="28"/>
        </w:rPr>
      </w:pPr>
      <w:r w:rsidRPr="00421152">
        <w:rPr>
          <w:rFonts w:cs="Arial"/>
          <w:b/>
          <w:sz w:val="28"/>
          <w:szCs w:val="28"/>
        </w:rPr>
        <w:t xml:space="preserve">Report on </w:t>
      </w:r>
      <w:r w:rsidR="00E6689D" w:rsidRPr="00421152">
        <w:rPr>
          <w:rFonts w:cs="Arial"/>
          <w:b/>
          <w:sz w:val="28"/>
          <w:szCs w:val="28"/>
        </w:rPr>
        <w:t xml:space="preserve">financial matters </w:t>
      </w:r>
      <w:r w:rsidR="009D425A" w:rsidRPr="00421152">
        <w:rPr>
          <w:rFonts w:cs="Arial"/>
          <w:b/>
          <w:sz w:val="28"/>
          <w:szCs w:val="28"/>
        </w:rPr>
        <w:t xml:space="preserve">for </w:t>
      </w:r>
      <w:r w:rsidR="003F621E" w:rsidRPr="005A5AD3">
        <w:rPr>
          <w:rFonts w:cs="Arial"/>
          <w:b/>
          <w:sz w:val="28"/>
          <w:szCs w:val="28"/>
        </w:rPr>
        <w:t>2019</w:t>
      </w:r>
      <w:r w:rsidR="00FD30C7">
        <w:rPr>
          <w:rFonts w:cs="Arial"/>
          <w:b/>
          <w:sz w:val="28"/>
          <w:szCs w:val="28"/>
        </w:rPr>
        <w:t>,</w:t>
      </w:r>
      <w:r w:rsidR="004A50E5" w:rsidRPr="005A5AD3">
        <w:rPr>
          <w:rFonts w:cs="Arial"/>
          <w:b/>
          <w:sz w:val="28"/>
          <w:szCs w:val="28"/>
        </w:rPr>
        <w:t xml:space="preserve"> </w:t>
      </w:r>
      <w:r w:rsidR="003F621E" w:rsidRPr="00421152">
        <w:rPr>
          <w:rFonts w:cs="Arial"/>
          <w:b/>
          <w:sz w:val="28"/>
          <w:szCs w:val="28"/>
        </w:rPr>
        <w:t>20</w:t>
      </w:r>
      <w:r w:rsidR="003F621E">
        <w:rPr>
          <w:rFonts w:cs="Arial"/>
          <w:b/>
          <w:sz w:val="28"/>
          <w:szCs w:val="28"/>
        </w:rPr>
        <w:t>20</w:t>
      </w:r>
      <w:r w:rsidR="00FD30C7">
        <w:rPr>
          <w:rFonts w:cs="Arial"/>
          <w:b/>
          <w:sz w:val="28"/>
          <w:szCs w:val="28"/>
        </w:rPr>
        <w:t xml:space="preserve"> and 2021</w:t>
      </w:r>
    </w:p>
    <w:p w14:paraId="41274F6D" w14:textId="79329CCA" w:rsidR="00DF2386" w:rsidRPr="00E10D99" w:rsidRDefault="00DF2386" w:rsidP="00633DD5">
      <w:pPr>
        <w:rPr>
          <w:rFonts w:ascii="Garamond" w:hAnsi="Garamond" w:cs="Arial"/>
          <w:sz w:val="28"/>
          <w:szCs w:val="28"/>
        </w:rPr>
      </w:pPr>
    </w:p>
    <w:p w14:paraId="1C1EE55D" w14:textId="3B1B288A" w:rsidR="000C2489" w:rsidRPr="00421152" w:rsidRDefault="000C2489" w:rsidP="00633DD5">
      <w:pPr>
        <w:autoSpaceDE w:val="0"/>
        <w:autoSpaceDN w:val="0"/>
        <w:adjustRightInd w:val="0"/>
        <w:rPr>
          <w:rFonts w:asciiTheme="minorHAnsi" w:eastAsiaTheme="minorHAnsi" w:hAnsiTheme="minorHAnsi" w:cs="Calibri-Bold"/>
          <w:b/>
          <w:bCs/>
        </w:rPr>
      </w:pPr>
      <w:r w:rsidRPr="00421152">
        <w:rPr>
          <w:noProof/>
          <w:lang w:eastAsia="en-GB"/>
        </w:rPr>
        <mc:AlternateContent>
          <mc:Choice Requires="wps">
            <w:drawing>
              <wp:inline distT="0" distB="0" distL="0" distR="0" wp14:anchorId="0606A690" wp14:editId="12F1B9D3">
                <wp:extent cx="5895975" cy="6019800"/>
                <wp:effectExtent l="0" t="0" r="28575" b="1905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019800"/>
                        </a:xfrm>
                        <a:prstGeom prst="rect">
                          <a:avLst/>
                        </a:prstGeom>
                        <a:solidFill>
                          <a:srgbClr val="FFFFFF"/>
                        </a:solidFill>
                        <a:ln w="9525">
                          <a:solidFill>
                            <a:srgbClr val="000000"/>
                          </a:solidFill>
                          <a:miter lim="800000"/>
                          <a:headEnd/>
                          <a:tailEnd/>
                        </a:ln>
                      </wps:spPr>
                      <wps:txbx>
                        <w:txbxContent>
                          <w:p w14:paraId="042A6F62" w14:textId="77777777" w:rsidR="00ED620B" w:rsidRPr="00340E62" w:rsidRDefault="00ED620B" w:rsidP="000C2489">
                            <w:pPr>
                              <w:rPr>
                                <w:b/>
                                <w:bCs/>
                              </w:rPr>
                            </w:pPr>
                            <w:r w:rsidRPr="00340E62">
                              <w:rPr>
                                <w:b/>
                                <w:bCs/>
                              </w:rPr>
                              <w:t xml:space="preserve">Actions requested: </w:t>
                            </w:r>
                          </w:p>
                          <w:p w14:paraId="6AFFC31D" w14:textId="77777777" w:rsidR="00ED620B" w:rsidRPr="00340E62" w:rsidRDefault="00ED620B" w:rsidP="000C2489">
                            <w:pPr>
                              <w:pStyle w:val="ColorfulList-Accent11"/>
                              <w:ind w:left="0"/>
                            </w:pPr>
                          </w:p>
                          <w:p w14:paraId="70ED186F" w14:textId="6C0C2A3B" w:rsidR="00ED620B" w:rsidRPr="00340E62" w:rsidRDefault="00ED620B" w:rsidP="00275F13">
                            <w:pPr>
                              <w:pStyle w:val="ColorfulList-Accent11"/>
                              <w:ind w:left="0" w:firstLine="0"/>
                              <w:rPr>
                                <w:rFonts w:cs="Calibri"/>
                              </w:rPr>
                            </w:pPr>
                            <w:r w:rsidRPr="00340E62">
                              <w:t xml:space="preserve">The Standing Committee is </w:t>
                            </w:r>
                            <w:r w:rsidRPr="00340E62">
                              <w:rPr>
                                <w:rFonts w:cs="Calibri"/>
                              </w:rPr>
                              <w:t>invited to:</w:t>
                            </w:r>
                          </w:p>
                          <w:p w14:paraId="52CF3F8D" w14:textId="77777777" w:rsidR="00ED620B" w:rsidRPr="00340E62" w:rsidRDefault="00ED620B" w:rsidP="000C2489">
                            <w:pPr>
                              <w:pStyle w:val="ColorfulList-Accent11"/>
                              <w:ind w:left="0"/>
                              <w:rPr>
                                <w:rFonts w:cs="Calibri"/>
                              </w:rPr>
                            </w:pPr>
                          </w:p>
                          <w:p w14:paraId="73C5ED58" w14:textId="593EA99F" w:rsidR="00ED620B" w:rsidRPr="00340E62" w:rsidRDefault="00ED620B" w:rsidP="009C55B1">
                            <w:pPr>
                              <w:pStyle w:val="ColorfulList-Accent11"/>
                              <w:ind w:left="425"/>
                              <w:rPr>
                                <w:rFonts w:cs="Calibri"/>
                              </w:rPr>
                            </w:pPr>
                            <w:r w:rsidRPr="00340E62">
                              <w:rPr>
                                <w:rFonts w:cs="Calibri"/>
                              </w:rPr>
                              <w:t>i.</w:t>
                            </w:r>
                            <w:r w:rsidRPr="00340E62">
                              <w:rPr>
                                <w:rFonts w:cs="Calibri"/>
                              </w:rPr>
                              <w:tab/>
                              <w:t>review and accept the 2020 audited financial statements as of 31 December 2020;</w:t>
                            </w:r>
                          </w:p>
                          <w:p w14:paraId="4FA92D9D" w14:textId="77777777" w:rsidR="00ED620B" w:rsidRPr="00340E62" w:rsidRDefault="00ED620B" w:rsidP="009C55B1">
                            <w:pPr>
                              <w:pStyle w:val="ColorfulList-Accent11"/>
                              <w:ind w:left="425"/>
                              <w:rPr>
                                <w:rFonts w:cs="Calibri"/>
                              </w:rPr>
                            </w:pPr>
                          </w:p>
                          <w:p w14:paraId="2F2E1948" w14:textId="53FE1F90" w:rsidR="00ED620B" w:rsidRPr="00340E62" w:rsidRDefault="00ED620B" w:rsidP="00AE43C7">
                            <w:pPr>
                              <w:pStyle w:val="ColorfulList-Accent11"/>
                              <w:ind w:left="425"/>
                              <w:rPr>
                                <w:rFonts w:cs="Calibri"/>
                              </w:rPr>
                            </w:pPr>
                            <w:r w:rsidRPr="00340E62">
                              <w:rPr>
                                <w:rFonts w:cs="Calibri"/>
                              </w:rPr>
                              <w:t>ii.</w:t>
                            </w:r>
                            <w:r w:rsidRPr="00340E62">
                              <w:rPr>
                                <w:rFonts w:cs="Calibri"/>
                              </w:rPr>
                              <w:tab/>
                              <w:t>note the core budget results for 2020;</w:t>
                            </w:r>
                          </w:p>
                          <w:p w14:paraId="79859B48" w14:textId="77777777" w:rsidR="00ED620B" w:rsidRPr="00340E62" w:rsidRDefault="00ED620B" w:rsidP="009C55B1">
                            <w:pPr>
                              <w:pStyle w:val="ColorfulList-Accent11"/>
                              <w:ind w:left="425"/>
                              <w:rPr>
                                <w:rFonts w:cs="Calibri"/>
                              </w:rPr>
                            </w:pPr>
                          </w:p>
                          <w:p w14:paraId="168CBB05" w14:textId="0C73FDFE" w:rsidR="00ED620B" w:rsidRPr="00340E62" w:rsidRDefault="00ED620B" w:rsidP="009C55B1">
                            <w:pPr>
                              <w:pStyle w:val="ColorfulList-Accent11"/>
                              <w:ind w:left="425"/>
                              <w:rPr>
                                <w:rFonts w:cs="Calibri"/>
                              </w:rPr>
                            </w:pPr>
                            <w:r w:rsidRPr="00340E62">
                              <w:rPr>
                                <w:rFonts w:cs="Calibri"/>
                              </w:rPr>
                              <w:t>iii.</w:t>
                            </w:r>
                            <w:r w:rsidRPr="00340E62">
                              <w:rPr>
                                <w:rFonts w:cs="Calibri"/>
                              </w:rPr>
                              <w:tab/>
                              <w:t xml:space="preserve">note the status of the non-core budget and voluntary contributions for 2020; </w:t>
                            </w:r>
                          </w:p>
                          <w:p w14:paraId="6FEB9E62" w14:textId="34733469" w:rsidR="00ED620B" w:rsidRPr="00340E62" w:rsidRDefault="00ED620B" w:rsidP="009C55B1">
                            <w:pPr>
                              <w:pStyle w:val="ColorfulList-Accent11"/>
                              <w:ind w:left="425"/>
                              <w:rPr>
                                <w:rFonts w:cs="Calibri"/>
                              </w:rPr>
                            </w:pPr>
                          </w:p>
                          <w:p w14:paraId="42AE6FCB" w14:textId="289AEF70" w:rsidR="00ED620B" w:rsidRPr="00340E62" w:rsidRDefault="00ED620B" w:rsidP="00E10D99">
                            <w:pPr>
                              <w:pStyle w:val="ColorfulList-Accent11"/>
                              <w:ind w:left="425"/>
                              <w:rPr>
                                <w:rFonts w:cs="Calibri"/>
                              </w:rPr>
                            </w:pPr>
                            <w:r w:rsidRPr="00340E62">
                              <w:rPr>
                                <w:rFonts w:cs="Calibri"/>
                              </w:rPr>
                              <w:t>iv.</w:t>
                            </w:r>
                            <w:r w:rsidRPr="00340E62">
                              <w:rPr>
                                <w:rFonts w:cs="Calibri"/>
                              </w:rPr>
                              <w:tab/>
                              <w:t>note the unspent/uncommitted balances that are carried forward from 2020 to 2021, as described in paragraph 21;</w:t>
                            </w:r>
                          </w:p>
                          <w:p w14:paraId="72B93D48" w14:textId="77777777" w:rsidR="00ED620B" w:rsidRPr="00340E62" w:rsidRDefault="00ED620B" w:rsidP="009C55B1">
                            <w:pPr>
                              <w:pStyle w:val="ColorfulList-Accent11"/>
                              <w:ind w:left="425"/>
                              <w:rPr>
                                <w:rFonts w:cs="Calibri"/>
                              </w:rPr>
                            </w:pPr>
                          </w:p>
                          <w:p w14:paraId="6C875C39" w14:textId="0A355691" w:rsidR="00ED620B" w:rsidRPr="00340E62" w:rsidRDefault="00ED620B" w:rsidP="00BA6543">
                            <w:pPr>
                              <w:pStyle w:val="ColorfulList-Accent11"/>
                              <w:ind w:left="425"/>
                              <w:rPr>
                                <w:rFonts w:cs="Calibri"/>
                              </w:rPr>
                            </w:pPr>
                            <w:r w:rsidRPr="00340E62">
                              <w:rPr>
                                <w:rFonts w:cs="Calibri"/>
                              </w:rPr>
                              <w:t>v.</w:t>
                            </w:r>
                            <w:r w:rsidRPr="00340E62">
                              <w:rPr>
                                <w:rFonts w:cs="Calibri"/>
                              </w:rPr>
                              <w:tab/>
                              <w:t xml:space="preserve">approve the allocation under core budget line D “Support to Regional Initiatives” of CHF 25K to </w:t>
                            </w:r>
                            <w:r w:rsidRPr="00340E62">
                              <w:t>each of the four eligible RRIs</w:t>
                            </w:r>
                            <w:r w:rsidRPr="00340E62">
                              <w:rPr>
                                <w:rFonts w:cs="Calibri"/>
                              </w:rPr>
                              <w:t xml:space="preserve">, as well as an additional CHF 10K each for two RRIs as described in paragraph </w:t>
                            </w:r>
                            <w:r w:rsidR="00D81FD6" w:rsidRPr="00340E62">
                              <w:rPr>
                                <w:rFonts w:cs="Calibri"/>
                              </w:rPr>
                              <w:t>3</w:t>
                            </w:r>
                            <w:r w:rsidR="00D81FD6">
                              <w:rPr>
                                <w:rFonts w:cs="Calibri"/>
                              </w:rPr>
                              <w:t>4</w:t>
                            </w:r>
                            <w:r w:rsidRPr="00340E62">
                              <w:rPr>
                                <w:rFonts w:cs="Calibri"/>
                              </w:rPr>
                              <w:t>;</w:t>
                            </w:r>
                          </w:p>
                          <w:p w14:paraId="513DE586" w14:textId="77777777" w:rsidR="00ED620B" w:rsidRPr="00340E62" w:rsidRDefault="00ED620B" w:rsidP="009C55B1">
                            <w:pPr>
                              <w:pStyle w:val="ColorfulList-Accent11"/>
                              <w:ind w:left="425"/>
                              <w:rPr>
                                <w:rFonts w:cs="Calibri"/>
                              </w:rPr>
                            </w:pPr>
                          </w:p>
                          <w:p w14:paraId="1487F626" w14:textId="2327303F" w:rsidR="00ED620B" w:rsidRPr="00340E62" w:rsidRDefault="00ED620B" w:rsidP="00A94C44">
                            <w:pPr>
                              <w:pStyle w:val="ColorfulList-Accent11"/>
                              <w:ind w:left="425"/>
                              <w:rPr>
                                <w:rFonts w:cs="Calibri"/>
                                <w:spacing w:val="-2"/>
                              </w:rPr>
                            </w:pPr>
                            <w:r w:rsidRPr="00340E62">
                              <w:rPr>
                                <w:rFonts w:cs="Calibri"/>
                                <w:spacing w:val="-2"/>
                              </w:rPr>
                              <w:t>vi.</w:t>
                            </w:r>
                            <w:r w:rsidRPr="00340E62">
                              <w:rPr>
                                <w:rFonts w:cs="Calibri"/>
                                <w:spacing w:val="-2"/>
                              </w:rPr>
                              <w:tab/>
                              <w:t xml:space="preserve">approve and note the Secretariat’s proposed adjustments to the COP13-approved core budget for 2021, as described in paragraphs </w:t>
                            </w:r>
                            <w:r w:rsidR="00D81FD6" w:rsidRPr="00340E62">
                              <w:rPr>
                                <w:rFonts w:cs="Calibri"/>
                                <w:spacing w:val="-2"/>
                              </w:rPr>
                              <w:t>3</w:t>
                            </w:r>
                            <w:r w:rsidR="00D81FD6">
                              <w:rPr>
                                <w:rFonts w:cs="Calibri"/>
                                <w:spacing w:val="-2"/>
                              </w:rPr>
                              <w:t>5</w:t>
                            </w:r>
                            <w:r w:rsidR="00D81FD6" w:rsidRPr="00340E62">
                              <w:rPr>
                                <w:rFonts w:cs="Calibri"/>
                                <w:spacing w:val="-2"/>
                              </w:rPr>
                              <w:t xml:space="preserve"> </w:t>
                            </w:r>
                            <w:r w:rsidRPr="00340E62">
                              <w:rPr>
                                <w:rFonts w:cs="Calibri"/>
                                <w:spacing w:val="-2"/>
                              </w:rPr>
                              <w:t xml:space="preserve">and </w:t>
                            </w:r>
                            <w:r w:rsidR="00D81FD6" w:rsidRPr="00340E62">
                              <w:rPr>
                                <w:rFonts w:cs="Calibri"/>
                                <w:spacing w:val="-2"/>
                              </w:rPr>
                              <w:t>3</w:t>
                            </w:r>
                            <w:r w:rsidR="00D81FD6">
                              <w:rPr>
                                <w:rFonts w:cs="Calibri"/>
                                <w:spacing w:val="-2"/>
                              </w:rPr>
                              <w:t>6</w:t>
                            </w:r>
                            <w:r w:rsidR="00D81FD6" w:rsidRPr="00340E62">
                              <w:rPr>
                                <w:rFonts w:cs="Calibri"/>
                                <w:spacing w:val="-2"/>
                              </w:rPr>
                              <w:t xml:space="preserve"> </w:t>
                            </w:r>
                            <w:r w:rsidRPr="00340E62">
                              <w:rPr>
                                <w:rFonts w:cs="Calibri"/>
                                <w:spacing w:val="-2"/>
                              </w:rPr>
                              <w:t>and presented in column E of the table in Annex 4;</w:t>
                            </w:r>
                          </w:p>
                          <w:p w14:paraId="1385F72F" w14:textId="77777777" w:rsidR="00ED620B" w:rsidRPr="00340E62" w:rsidRDefault="00ED620B" w:rsidP="00A94C44">
                            <w:pPr>
                              <w:pStyle w:val="ColorfulList-Accent11"/>
                              <w:ind w:left="425"/>
                              <w:rPr>
                                <w:rFonts w:cs="Calibri"/>
                              </w:rPr>
                            </w:pPr>
                          </w:p>
                          <w:p w14:paraId="70E7E04D" w14:textId="3172963D" w:rsidR="00ED620B" w:rsidRPr="00340E62" w:rsidRDefault="00ED620B" w:rsidP="00A94C44">
                            <w:pPr>
                              <w:pStyle w:val="ColorfulList-Accent11"/>
                              <w:ind w:left="425"/>
                              <w:rPr>
                                <w:rFonts w:cs="Calibri"/>
                              </w:rPr>
                            </w:pPr>
                            <w:r w:rsidRPr="00340E62">
                              <w:rPr>
                                <w:rFonts w:cs="Calibri"/>
                              </w:rPr>
                              <w:t xml:space="preserve">vii. </w:t>
                            </w:r>
                            <w:r w:rsidRPr="00340E62">
                              <w:rPr>
                                <w:rFonts w:cs="Calibri"/>
                              </w:rPr>
                              <w:tab/>
                              <w:t xml:space="preserve">approve the presentation of the “other benefits” in one single budget line in the budget for the next triennium, as described in paragraph </w:t>
                            </w:r>
                            <w:r w:rsidR="00D81FD6" w:rsidRPr="00340E62">
                              <w:rPr>
                                <w:rFonts w:cs="Calibri"/>
                              </w:rPr>
                              <w:t>3</w:t>
                            </w:r>
                            <w:r w:rsidR="00D81FD6">
                              <w:rPr>
                                <w:rFonts w:cs="Calibri"/>
                              </w:rPr>
                              <w:t>7</w:t>
                            </w:r>
                            <w:r w:rsidRPr="00340E62">
                              <w:rPr>
                                <w:rFonts w:cs="Calibri"/>
                              </w:rPr>
                              <w:t>;</w:t>
                            </w:r>
                          </w:p>
                          <w:p w14:paraId="5BF04D5F" w14:textId="4306F385" w:rsidR="00ED620B" w:rsidRPr="00340E62" w:rsidRDefault="00ED620B" w:rsidP="00F32A17">
                            <w:pPr>
                              <w:pStyle w:val="ColorfulList-Accent11"/>
                              <w:ind w:left="0" w:firstLine="0"/>
                              <w:rPr>
                                <w:rFonts w:cs="Calibri"/>
                              </w:rPr>
                            </w:pPr>
                          </w:p>
                          <w:p w14:paraId="437701CA" w14:textId="13FA623A" w:rsidR="00ED620B" w:rsidRPr="00340E62" w:rsidRDefault="00ED620B" w:rsidP="00495842">
                            <w:pPr>
                              <w:pStyle w:val="ColorfulList-Accent11"/>
                              <w:ind w:left="425"/>
                              <w:rPr>
                                <w:rFonts w:cs="Calibri"/>
                              </w:rPr>
                            </w:pPr>
                            <w:r w:rsidRPr="00340E62">
                              <w:rPr>
                                <w:rFonts w:cs="Calibri"/>
                              </w:rPr>
                              <w:t>viii.</w:t>
                            </w:r>
                            <w:r w:rsidRPr="00340E62">
                              <w:rPr>
                                <w:rFonts w:cs="Calibri"/>
                              </w:rPr>
                              <w:tab/>
                              <w:t xml:space="preserve">approve the allocation of savings in the core budget of CHF 12K for the review of Resolutions, as described in paragraph </w:t>
                            </w:r>
                            <w:r w:rsidR="00D81FD6" w:rsidRPr="00340E62">
                              <w:rPr>
                                <w:rFonts w:cs="Calibri"/>
                              </w:rPr>
                              <w:t>3</w:t>
                            </w:r>
                            <w:r w:rsidR="00D81FD6">
                              <w:rPr>
                                <w:rFonts w:cs="Calibri"/>
                              </w:rPr>
                              <w:t>8</w:t>
                            </w:r>
                            <w:r w:rsidRPr="00340E62">
                              <w:rPr>
                                <w:rFonts w:cs="Calibri"/>
                              </w:rPr>
                              <w:t>;</w:t>
                            </w:r>
                          </w:p>
                          <w:p w14:paraId="6806A3ED" w14:textId="78C315AD" w:rsidR="00ED620B" w:rsidRPr="00340E62" w:rsidRDefault="00ED620B" w:rsidP="00495842">
                            <w:pPr>
                              <w:pStyle w:val="ColorfulList-Accent11"/>
                              <w:ind w:left="425"/>
                              <w:rPr>
                                <w:rFonts w:cs="Calibri"/>
                              </w:rPr>
                            </w:pPr>
                          </w:p>
                          <w:p w14:paraId="6F2387D4" w14:textId="07970A2A" w:rsidR="00ED620B" w:rsidRPr="00340E62" w:rsidRDefault="00ED620B" w:rsidP="00495842">
                            <w:pPr>
                              <w:pStyle w:val="ColorfulList-Accent11"/>
                              <w:ind w:left="425"/>
                              <w:rPr>
                                <w:rFonts w:cs="Calibri"/>
                              </w:rPr>
                            </w:pPr>
                            <w:r w:rsidRPr="00340E62">
                              <w:rPr>
                                <w:rFonts w:cs="Calibri"/>
                              </w:rPr>
                              <w:t>ix.</w:t>
                            </w:r>
                            <w:r w:rsidRPr="00340E62">
                              <w:rPr>
                                <w:rFonts w:cs="Calibri"/>
                              </w:rPr>
                              <w:tab/>
                              <w:t xml:space="preserve">approve the allocation of savings in the core budget of CHF 90K for the work of the Working Group on the Review of the Strategic Plan, as described in paragraph </w:t>
                            </w:r>
                            <w:r w:rsidR="00D81FD6">
                              <w:rPr>
                                <w:rFonts w:cs="Calibri"/>
                              </w:rPr>
                              <w:t>39</w:t>
                            </w:r>
                            <w:r w:rsidRPr="00340E62">
                              <w:rPr>
                                <w:rFonts w:cs="Calibri"/>
                              </w:rPr>
                              <w:t>;</w:t>
                            </w:r>
                          </w:p>
                          <w:p w14:paraId="2B3ABC3D" w14:textId="732471F5" w:rsidR="00ED620B" w:rsidRPr="00340E62" w:rsidRDefault="00ED620B" w:rsidP="008A1922">
                            <w:pPr>
                              <w:pStyle w:val="ColorfulList-Accent11"/>
                              <w:ind w:left="425"/>
                              <w:rPr>
                                <w:rFonts w:cs="Calibri"/>
                              </w:rPr>
                            </w:pPr>
                            <w:r w:rsidRPr="00340E62">
                              <w:rPr>
                                <w:rFonts w:cs="Calibri"/>
                              </w:rPr>
                              <w:t xml:space="preserve"> </w:t>
                            </w:r>
                          </w:p>
                          <w:p w14:paraId="25D5D9CC" w14:textId="486D9E7C" w:rsidR="00ED620B" w:rsidRPr="00340E62" w:rsidRDefault="00ED620B" w:rsidP="009F0B00">
                            <w:pPr>
                              <w:pStyle w:val="ColorfulList-Accent11"/>
                              <w:ind w:left="425"/>
                              <w:rPr>
                                <w:rFonts w:cs="Calibri"/>
                              </w:rPr>
                            </w:pPr>
                            <w:r w:rsidRPr="00340E62">
                              <w:rPr>
                                <w:rFonts w:cs="Calibri"/>
                              </w:rPr>
                              <w:t>x.</w:t>
                            </w:r>
                            <w:r w:rsidRPr="00340E62">
                              <w:rPr>
                                <w:rFonts w:cs="Calibri"/>
                              </w:rPr>
                              <w:tab/>
                              <w:t xml:space="preserve">approve an increase in the provision for outstanding contributions of up to CHF 72K, as described in paragraph </w:t>
                            </w:r>
                            <w:r w:rsidR="00D81FD6" w:rsidRPr="00340E62">
                              <w:rPr>
                                <w:rFonts w:cs="Calibri"/>
                              </w:rPr>
                              <w:t>4</w:t>
                            </w:r>
                            <w:r w:rsidR="00D81FD6">
                              <w:rPr>
                                <w:rFonts w:cs="Calibri"/>
                              </w:rPr>
                              <w:t>0</w:t>
                            </w:r>
                            <w:r w:rsidRPr="00340E62">
                              <w:rPr>
                                <w:rFonts w:cs="Calibri"/>
                              </w:rPr>
                              <w:t xml:space="preserve">; and </w:t>
                            </w:r>
                          </w:p>
                          <w:p w14:paraId="2AA68A7C" w14:textId="70C8F86E" w:rsidR="00ED620B" w:rsidRPr="00340E62" w:rsidRDefault="00ED620B" w:rsidP="009C55B1">
                            <w:pPr>
                              <w:pStyle w:val="ColorfulList-Accent11"/>
                              <w:ind w:left="425"/>
                              <w:rPr>
                                <w:rFonts w:cs="Calibri"/>
                              </w:rPr>
                            </w:pPr>
                          </w:p>
                          <w:p w14:paraId="06DCBDC2" w14:textId="563750D6" w:rsidR="00ED620B" w:rsidRPr="001730E3" w:rsidRDefault="00ED620B" w:rsidP="00E10D99">
                            <w:pPr>
                              <w:pStyle w:val="ColorfulList-Accent11"/>
                              <w:ind w:left="425"/>
                              <w:rPr>
                                <w:rFonts w:cs="Calibri"/>
                              </w:rPr>
                            </w:pPr>
                            <w:r w:rsidRPr="00340E62">
                              <w:rPr>
                                <w:rFonts w:cs="Calibri"/>
                              </w:rPr>
                              <w:t>xi.</w:t>
                            </w:r>
                            <w:r w:rsidRPr="00340E62">
                              <w:rPr>
                                <w:rFonts w:cs="Calibri"/>
                              </w:rPr>
                              <w:tab/>
                              <w:t xml:space="preserve">consider the options suggested by the Secretariat for possible use of 2020 savings as described in paragraph </w:t>
                            </w:r>
                            <w:r w:rsidR="00D81FD6" w:rsidRPr="00340E62">
                              <w:rPr>
                                <w:rFonts w:cs="Calibri"/>
                              </w:rPr>
                              <w:t>4</w:t>
                            </w:r>
                            <w:r w:rsidR="00D81FD6">
                              <w:rPr>
                                <w:rFonts w:cs="Calibri"/>
                              </w:rPr>
                              <w:t>2</w:t>
                            </w:r>
                            <w:r w:rsidR="00CB627D">
                              <w:rPr>
                                <w:rFonts w:cs="Calibri"/>
                              </w:rPr>
                              <w:t>.</w:t>
                            </w:r>
                            <w:bookmarkStart w:id="0" w:name="_GoBack"/>
                            <w:bookmarkEnd w:id="0"/>
                          </w:p>
                        </w:txbxContent>
                      </wps:txbx>
                      <wps:bodyPr rot="0" vert="horz" wrap="square" lIns="91440" tIns="45720" rIns="91440" bIns="45720" anchor="t" anchorCtr="0" upright="1">
                        <a:noAutofit/>
                      </wps:bodyPr>
                    </wps:wsp>
                  </a:graphicData>
                </a:graphic>
              </wp:inline>
            </w:drawing>
          </mc:Choice>
          <mc:Fallback>
            <w:pict>
              <v:shapetype w14:anchorId="0606A690" id="_x0000_t202" coordsize="21600,21600" o:spt="202" path="m,l,21600r21600,l21600,xe">
                <v:stroke joinstyle="miter"/>
                <v:path gradientshapeok="t" o:connecttype="rect"/>
              </v:shapetype>
              <v:shape id="Text Box 1" o:spid="_x0000_s1026" type="#_x0000_t202" style="width:464.25pt;height:4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BSLwIAAFE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">
                <v:textbox>
                  <w:txbxContent>
                    <w:p w14:paraId="042A6F62" w14:textId="77777777" w:rsidR="00ED620B" w:rsidRPr="00340E62" w:rsidRDefault="00ED620B" w:rsidP="000C2489">
                      <w:pPr>
                        <w:rPr>
                          <w:b/>
                          <w:bCs/>
                        </w:rPr>
                      </w:pPr>
                      <w:r w:rsidRPr="00340E62">
                        <w:rPr>
                          <w:b/>
                          <w:bCs/>
                        </w:rPr>
                        <w:t xml:space="preserve">Actions requested: </w:t>
                      </w:r>
                    </w:p>
                    <w:p w14:paraId="6AFFC31D" w14:textId="77777777" w:rsidR="00ED620B" w:rsidRPr="00340E62" w:rsidRDefault="00ED620B" w:rsidP="000C2489">
                      <w:pPr>
                        <w:pStyle w:val="ColorfulList-Accent11"/>
                        <w:ind w:left="0"/>
                      </w:pPr>
                    </w:p>
                    <w:p w14:paraId="70ED186F" w14:textId="6C0C2A3B" w:rsidR="00ED620B" w:rsidRPr="00340E62" w:rsidRDefault="00ED620B" w:rsidP="00275F13">
                      <w:pPr>
                        <w:pStyle w:val="ColorfulList-Accent11"/>
                        <w:ind w:left="0" w:firstLine="0"/>
                        <w:rPr>
                          <w:rFonts w:cs="Calibri"/>
                        </w:rPr>
                      </w:pPr>
                      <w:r w:rsidRPr="00340E62">
                        <w:t xml:space="preserve">The Standing Committee is </w:t>
                      </w:r>
                      <w:r w:rsidRPr="00340E62">
                        <w:rPr>
                          <w:rFonts w:cs="Calibri"/>
                        </w:rPr>
                        <w:t>invited to:</w:t>
                      </w:r>
                    </w:p>
                    <w:p w14:paraId="52CF3F8D" w14:textId="77777777" w:rsidR="00ED620B" w:rsidRPr="00340E62" w:rsidRDefault="00ED620B" w:rsidP="000C2489">
                      <w:pPr>
                        <w:pStyle w:val="ColorfulList-Accent11"/>
                        <w:ind w:left="0"/>
                        <w:rPr>
                          <w:rFonts w:cs="Calibri"/>
                        </w:rPr>
                      </w:pPr>
                    </w:p>
                    <w:p w14:paraId="73C5ED58" w14:textId="593EA99F" w:rsidR="00ED620B" w:rsidRPr="00340E62" w:rsidRDefault="00ED620B" w:rsidP="009C55B1">
                      <w:pPr>
                        <w:pStyle w:val="ColorfulList-Accent11"/>
                        <w:ind w:left="425"/>
                        <w:rPr>
                          <w:rFonts w:cs="Calibri"/>
                        </w:rPr>
                      </w:pPr>
                      <w:r w:rsidRPr="00340E62">
                        <w:rPr>
                          <w:rFonts w:cs="Calibri"/>
                        </w:rPr>
                        <w:t>i.</w:t>
                      </w:r>
                      <w:r w:rsidRPr="00340E62">
                        <w:rPr>
                          <w:rFonts w:cs="Calibri"/>
                        </w:rPr>
                        <w:tab/>
                        <w:t>review and accept the 2020 audited financial statements as of 31 December 2020;</w:t>
                      </w:r>
                    </w:p>
                    <w:p w14:paraId="4FA92D9D" w14:textId="77777777" w:rsidR="00ED620B" w:rsidRPr="00340E62" w:rsidRDefault="00ED620B" w:rsidP="009C55B1">
                      <w:pPr>
                        <w:pStyle w:val="ColorfulList-Accent11"/>
                        <w:ind w:left="425"/>
                        <w:rPr>
                          <w:rFonts w:cs="Calibri"/>
                        </w:rPr>
                      </w:pPr>
                    </w:p>
                    <w:p w14:paraId="2F2E1948" w14:textId="53FE1F90" w:rsidR="00ED620B" w:rsidRPr="00340E62" w:rsidRDefault="00ED620B" w:rsidP="00AE43C7">
                      <w:pPr>
                        <w:pStyle w:val="ColorfulList-Accent11"/>
                        <w:ind w:left="425"/>
                        <w:rPr>
                          <w:rFonts w:cs="Calibri"/>
                        </w:rPr>
                      </w:pPr>
                      <w:r w:rsidRPr="00340E62">
                        <w:rPr>
                          <w:rFonts w:cs="Calibri"/>
                        </w:rPr>
                        <w:t>ii.</w:t>
                      </w:r>
                      <w:r w:rsidRPr="00340E62">
                        <w:rPr>
                          <w:rFonts w:cs="Calibri"/>
                        </w:rPr>
                        <w:tab/>
                        <w:t>note the core budget results for 2020;</w:t>
                      </w:r>
                    </w:p>
                    <w:p w14:paraId="79859B48" w14:textId="77777777" w:rsidR="00ED620B" w:rsidRPr="00340E62" w:rsidRDefault="00ED620B" w:rsidP="009C55B1">
                      <w:pPr>
                        <w:pStyle w:val="ColorfulList-Accent11"/>
                        <w:ind w:left="425"/>
                        <w:rPr>
                          <w:rFonts w:cs="Calibri"/>
                        </w:rPr>
                      </w:pPr>
                    </w:p>
                    <w:p w14:paraId="168CBB05" w14:textId="0C73FDFE" w:rsidR="00ED620B" w:rsidRPr="00340E62" w:rsidRDefault="00ED620B" w:rsidP="009C55B1">
                      <w:pPr>
                        <w:pStyle w:val="ColorfulList-Accent11"/>
                        <w:ind w:left="425"/>
                        <w:rPr>
                          <w:rFonts w:cs="Calibri"/>
                        </w:rPr>
                      </w:pPr>
                      <w:r w:rsidRPr="00340E62">
                        <w:rPr>
                          <w:rFonts w:cs="Calibri"/>
                        </w:rPr>
                        <w:t>iii.</w:t>
                      </w:r>
                      <w:r w:rsidRPr="00340E62">
                        <w:rPr>
                          <w:rFonts w:cs="Calibri"/>
                        </w:rPr>
                        <w:tab/>
                        <w:t xml:space="preserve">note the status of the non-core budget and voluntary contributions for 2020; </w:t>
                      </w:r>
                    </w:p>
                    <w:p w14:paraId="6FEB9E62" w14:textId="34733469" w:rsidR="00ED620B" w:rsidRPr="00340E62" w:rsidRDefault="00ED620B" w:rsidP="009C55B1">
                      <w:pPr>
                        <w:pStyle w:val="ColorfulList-Accent11"/>
                        <w:ind w:left="425"/>
                        <w:rPr>
                          <w:rFonts w:cs="Calibri"/>
                        </w:rPr>
                      </w:pPr>
                    </w:p>
                    <w:p w14:paraId="42AE6FCB" w14:textId="289AEF70" w:rsidR="00ED620B" w:rsidRPr="00340E62" w:rsidRDefault="00ED620B" w:rsidP="00E10D99">
                      <w:pPr>
                        <w:pStyle w:val="ColorfulList-Accent11"/>
                        <w:ind w:left="425"/>
                        <w:rPr>
                          <w:rFonts w:cs="Calibri"/>
                        </w:rPr>
                      </w:pPr>
                      <w:r w:rsidRPr="00340E62">
                        <w:rPr>
                          <w:rFonts w:cs="Calibri"/>
                        </w:rPr>
                        <w:t>iv.</w:t>
                      </w:r>
                      <w:r w:rsidRPr="00340E62">
                        <w:rPr>
                          <w:rFonts w:cs="Calibri"/>
                        </w:rPr>
                        <w:tab/>
                        <w:t>note the unspent/uncommitted balances that are carried forward from 2020 to 2021, as described in paragraph 21;</w:t>
                      </w:r>
                    </w:p>
                    <w:p w14:paraId="72B93D48" w14:textId="77777777" w:rsidR="00ED620B" w:rsidRPr="00340E62" w:rsidRDefault="00ED620B" w:rsidP="009C55B1">
                      <w:pPr>
                        <w:pStyle w:val="ColorfulList-Accent11"/>
                        <w:ind w:left="425"/>
                        <w:rPr>
                          <w:rFonts w:cs="Calibri"/>
                        </w:rPr>
                      </w:pPr>
                    </w:p>
                    <w:p w14:paraId="6C875C39" w14:textId="0A355691" w:rsidR="00ED620B" w:rsidRPr="00340E62" w:rsidRDefault="00ED620B" w:rsidP="00BA6543">
                      <w:pPr>
                        <w:pStyle w:val="ColorfulList-Accent11"/>
                        <w:ind w:left="425"/>
                        <w:rPr>
                          <w:rFonts w:cs="Calibri"/>
                        </w:rPr>
                      </w:pPr>
                      <w:r w:rsidRPr="00340E62">
                        <w:rPr>
                          <w:rFonts w:cs="Calibri"/>
                        </w:rPr>
                        <w:t>v.</w:t>
                      </w:r>
                      <w:r w:rsidRPr="00340E62">
                        <w:rPr>
                          <w:rFonts w:cs="Calibri"/>
                        </w:rPr>
                        <w:tab/>
                        <w:t xml:space="preserve">approve the allocation under core budget line D “Support to Regional Initiatives” of CHF 25K to </w:t>
                      </w:r>
                      <w:r w:rsidRPr="00340E62">
                        <w:t>each of the four eligible RRIs</w:t>
                      </w:r>
                      <w:r w:rsidRPr="00340E62">
                        <w:rPr>
                          <w:rFonts w:cs="Calibri"/>
                        </w:rPr>
                        <w:t xml:space="preserve">, as well as an additional CHF 10K each for two RRIs as described in paragraph </w:t>
                      </w:r>
                      <w:r w:rsidR="00D81FD6" w:rsidRPr="00340E62">
                        <w:rPr>
                          <w:rFonts w:cs="Calibri"/>
                        </w:rPr>
                        <w:t>3</w:t>
                      </w:r>
                      <w:r w:rsidR="00D81FD6">
                        <w:rPr>
                          <w:rFonts w:cs="Calibri"/>
                        </w:rPr>
                        <w:t>4</w:t>
                      </w:r>
                      <w:r w:rsidRPr="00340E62">
                        <w:rPr>
                          <w:rFonts w:cs="Calibri"/>
                        </w:rPr>
                        <w:t>;</w:t>
                      </w:r>
                    </w:p>
                    <w:p w14:paraId="513DE586" w14:textId="77777777" w:rsidR="00ED620B" w:rsidRPr="00340E62" w:rsidRDefault="00ED620B" w:rsidP="009C55B1">
                      <w:pPr>
                        <w:pStyle w:val="ColorfulList-Accent11"/>
                        <w:ind w:left="425"/>
                        <w:rPr>
                          <w:rFonts w:cs="Calibri"/>
                        </w:rPr>
                      </w:pPr>
                    </w:p>
                    <w:p w14:paraId="1487F626" w14:textId="2327303F" w:rsidR="00ED620B" w:rsidRPr="00340E62" w:rsidRDefault="00ED620B" w:rsidP="00A94C44">
                      <w:pPr>
                        <w:pStyle w:val="ColorfulList-Accent11"/>
                        <w:ind w:left="425"/>
                        <w:rPr>
                          <w:rFonts w:cs="Calibri"/>
                          <w:spacing w:val="-2"/>
                        </w:rPr>
                      </w:pPr>
                      <w:r w:rsidRPr="00340E62">
                        <w:rPr>
                          <w:rFonts w:cs="Calibri"/>
                          <w:spacing w:val="-2"/>
                        </w:rPr>
                        <w:t>vi.</w:t>
                      </w:r>
                      <w:r w:rsidRPr="00340E62">
                        <w:rPr>
                          <w:rFonts w:cs="Calibri"/>
                          <w:spacing w:val="-2"/>
                        </w:rPr>
                        <w:tab/>
                        <w:t xml:space="preserve">approve and note the Secretariat’s proposed adjustments to the COP13-approved core budget for 2021, as described in paragraphs </w:t>
                      </w:r>
                      <w:r w:rsidR="00D81FD6" w:rsidRPr="00340E62">
                        <w:rPr>
                          <w:rFonts w:cs="Calibri"/>
                          <w:spacing w:val="-2"/>
                        </w:rPr>
                        <w:t>3</w:t>
                      </w:r>
                      <w:r w:rsidR="00D81FD6">
                        <w:rPr>
                          <w:rFonts w:cs="Calibri"/>
                          <w:spacing w:val="-2"/>
                        </w:rPr>
                        <w:t>5</w:t>
                      </w:r>
                      <w:r w:rsidR="00D81FD6" w:rsidRPr="00340E62">
                        <w:rPr>
                          <w:rFonts w:cs="Calibri"/>
                          <w:spacing w:val="-2"/>
                        </w:rPr>
                        <w:t xml:space="preserve"> </w:t>
                      </w:r>
                      <w:r w:rsidRPr="00340E62">
                        <w:rPr>
                          <w:rFonts w:cs="Calibri"/>
                          <w:spacing w:val="-2"/>
                        </w:rPr>
                        <w:t xml:space="preserve">and </w:t>
                      </w:r>
                      <w:r w:rsidR="00D81FD6" w:rsidRPr="00340E62">
                        <w:rPr>
                          <w:rFonts w:cs="Calibri"/>
                          <w:spacing w:val="-2"/>
                        </w:rPr>
                        <w:t>3</w:t>
                      </w:r>
                      <w:r w:rsidR="00D81FD6">
                        <w:rPr>
                          <w:rFonts w:cs="Calibri"/>
                          <w:spacing w:val="-2"/>
                        </w:rPr>
                        <w:t>6</w:t>
                      </w:r>
                      <w:r w:rsidR="00D81FD6" w:rsidRPr="00340E62">
                        <w:rPr>
                          <w:rFonts w:cs="Calibri"/>
                          <w:spacing w:val="-2"/>
                        </w:rPr>
                        <w:t xml:space="preserve"> </w:t>
                      </w:r>
                      <w:r w:rsidRPr="00340E62">
                        <w:rPr>
                          <w:rFonts w:cs="Calibri"/>
                          <w:spacing w:val="-2"/>
                        </w:rPr>
                        <w:t>and presented in column E of the table in Annex 4;</w:t>
                      </w:r>
                    </w:p>
                    <w:p w14:paraId="1385F72F" w14:textId="77777777" w:rsidR="00ED620B" w:rsidRPr="00340E62" w:rsidRDefault="00ED620B" w:rsidP="00A94C44">
                      <w:pPr>
                        <w:pStyle w:val="ColorfulList-Accent11"/>
                        <w:ind w:left="425"/>
                        <w:rPr>
                          <w:rFonts w:cs="Calibri"/>
                        </w:rPr>
                      </w:pPr>
                    </w:p>
                    <w:p w14:paraId="70E7E04D" w14:textId="3172963D" w:rsidR="00ED620B" w:rsidRPr="00340E62" w:rsidRDefault="00ED620B" w:rsidP="00A94C44">
                      <w:pPr>
                        <w:pStyle w:val="ColorfulList-Accent11"/>
                        <w:ind w:left="425"/>
                        <w:rPr>
                          <w:rFonts w:cs="Calibri"/>
                        </w:rPr>
                      </w:pPr>
                      <w:r w:rsidRPr="00340E62">
                        <w:rPr>
                          <w:rFonts w:cs="Calibri"/>
                        </w:rPr>
                        <w:t xml:space="preserve">vii. </w:t>
                      </w:r>
                      <w:r w:rsidRPr="00340E62">
                        <w:rPr>
                          <w:rFonts w:cs="Calibri"/>
                        </w:rPr>
                        <w:tab/>
                        <w:t xml:space="preserve">approve the presentation of the “other benefits” in one single budget line in the budget for the next triennium, as described in paragraph </w:t>
                      </w:r>
                      <w:r w:rsidR="00D81FD6" w:rsidRPr="00340E62">
                        <w:rPr>
                          <w:rFonts w:cs="Calibri"/>
                        </w:rPr>
                        <w:t>3</w:t>
                      </w:r>
                      <w:r w:rsidR="00D81FD6">
                        <w:rPr>
                          <w:rFonts w:cs="Calibri"/>
                        </w:rPr>
                        <w:t>7</w:t>
                      </w:r>
                      <w:r w:rsidRPr="00340E62">
                        <w:rPr>
                          <w:rFonts w:cs="Calibri"/>
                        </w:rPr>
                        <w:t>;</w:t>
                      </w:r>
                    </w:p>
                    <w:p w14:paraId="5BF04D5F" w14:textId="4306F385" w:rsidR="00ED620B" w:rsidRPr="00340E62" w:rsidRDefault="00ED620B" w:rsidP="00F32A17">
                      <w:pPr>
                        <w:pStyle w:val="ColorfulList-Accent11"/>
                        <w:ind w:left="0" w:firstLine="0"/>
                        <w:rPr>
                          <w:rFonts w:cs="Calibri"/>
                        </w:rPr>
                      </w:pPr>
                    </w:p>
                    <w:p w14:paraId="437701CA" w14:textId="13FA623A" w:rsidR="00ED620B" w:rsidRPr="00340E62" w:rsidRDefault="00ED620B" w:rsidP="00495842">
                      <w:pPr>
                        <w:pStyle w:val="ColorfulList-Accent11"/>
                        <w:ind w:left="425"/>
                        <w:rPr>
                          <w:rFonts w:cs="Calibri"/>
                        </w:rPr>
                      </w:pPr>
                      <w:r w:rsidRPr="00340E62">
                        <w:rPr>
                          <w:rFonts w:cs="Calibri"/>
                        </w:rPr>
                        <w:t>viii.</w:t>
                      </w:r>
                      <w:r w:rsidRPr="00340E62">
                        <w:rPr>
                          <w:rFonts w:cs="Calibri"/>
                        </w:rPr>
                        <w:tab/>
                        <w:t xml:space="preserve">approve the allocation of savings in the core budget of CHF 12K for the review of Resolutions, as described in paragraph </w:t>
                      </w:r>
                      <w:r w:rsidR="00D81FD6" w:rsidRPr="00340E62">
                        <w:rPr>
                          <w:rFonts w:cs="Calibri"/>
                        </w:rPr>
                        <w:t>3</w:t>
                      </w:r>
                      <w:r w:rsidR="00D81FD6">
                        <w:rPr>
                          <w:rFonts w:cs="Calibri"/>
                        </w:rPr>
                        <w:t>8</w:t>
                      </w:r>
                      <w:r w:rsidRPr="00340E62">
                        <w:rPr>
                          <w:rFonts w:cs="Calibri"/>
                        </w:rPr>
                        <w:t>;</w:t>
                      </w:r>
                    </w:p>
                    <w:p w14:paraId="6806A3ED" w14:textId="78C315AD" w:rsidR="00ED620B" w:rsidRPr="00340E62" w:rsidRDefault="00ED620B" w:rsidP="00495842">
                      <w:pPr>
                        <w:pStyle w:val="ColorfulList-Accent11"/>
                        <w:ind w:left="425"/>
                        <w:rPr>
                          <w:rFonts w:cs="Calibri"/>
                        </w:rPr>
                      </w:pPr>
                    </w:p>
                    <w:p w14:paraId="6F2387D4" w14:textId="07970A2A" w:rsidR="00ED620B" w:rsidRPr="00340E62" w:rsidRDefault="00ED620B" w:rsidP="00495842">
                      <w:pPr>
                        <w:pStyle w:val="ColorfulList-Accent11"/>
                        <w:ind w:left="425"/>
                        <w:rPr>
                          <w:rFonts w:cs="Calibri"/>
                        </w:rPr>
                      </w:pPr>
                      <w:r w:rsidRPr="00340E62">
                        <w:rPr>
                          <w:rFonts w:cs="Calibri"/>
                        </w:rPr>
                        <w:t>ix.</w:t>
                      </w:r>
                      <w:r w:rsidRPr="00340E62">
                        <w:rPr>
                          <w:rFonts w:cs="Calibri"/>
                        </w:rPr>
                        <w:tab/>
                        <w:t xml:space="preserve">approve the allocation of savings in the core budget of CHF 90K for the work of the Working Group on the Review of the Strategic Plan, as described in paragraph </w:t>
                      </w:r>
                      <w:r w:rsidR="00D81FD6">
                        <w:rPr>
                          <w:rFonts w:cs="Calibri"/>
                        </w:rPr>
                        <w:t>39</w:t>
                      </w:r>
                      <w:r w:rsidRPr="00340E62">
                        <w:rPr>
                          <w:rFonts w:cs="Calibri"/>
                        </w:rPr>
                        <w:t>;</w:t>
                      </w:r>
                    </w:p>
                    <w:p w14:paraId="2B3ABC3D" w14:textId="732471F5" w:rsidR="00ED620B" w:rsidRPr="00340E62" w:rsidRDefault="00ED620B" w:rsidP="008A1922">
                      <w:pPr>
                        <w:pStyle w:val="ColorfulList-Accent11"/>
                        <w:ind w:left="425"/>
                        <w:rPr>
                          <w:rFonts w:cs="Calibri"/>
                        </w:rPr>
                      </w:pPr>
                      <w:r w:rsidRPr="00340E62">
                        <w:rPr>
                          <w:rFonts w:cs="Calibri"/>
                        </w:rPr>
                        <w:t xml:space="preserve"> </w:t>
                      </w:r>
                    </w:p>
                    <w:p w14:paraId="25D5D9CC" w14:textId="486D9E7C" w:rsidR="00ED620B" w:rsidRPr="00340E62" w:rsidRDefault="00ED620B" w:rsidP="009F0B00">
                      <w:pPr>
                        <w:pStyle w:val="ColorfulList-Accent11"/>
                        <w:ind w:left="425"/>
                        <w:rPr>
                          <w:rFonts w:cs="Calibri"/>
                        </w:rPr>
                      </w:pPr>
                      <w:r w:rsidRPr="00340E62">
                        <w:rPr>
                          <w:rFonts w:cs="Calibri"/>
                        </w:rPr>
                        <w:t>x.</w:t>
                      </w:r>
                      <w:r w:rsidRPr="00340E62">
                        <w:rPr>
                          <w:rFonts w:cs="Calibri"/>
                        </w:rPr>
                        <w:tab/>
                        <w:t xml:space="preserve">approve an increase in the provision for outstanding contributions of up to CHF 72K, as described in paragraph </w:t>
                      </w:r>
                      <w:r w:rsidR="00D81FD6" w:rsidRPr="00340E62">
                        <w:rPr>
                          <w:rFonts w:cs="Calibri"/>
                        </w:rPr>
                        <w:t>4</w:t>
                      </w:r>
                      <w:r w:rsidR="00D81FD6">
                        <w:rPr>
                          <w:rFonts w:cs="Calibri"/>
                        </w:rPr>
                        <w:t>0</w:t>
                      </w:r>
                      <w:r w:rsidRPr="00340E62">
                        <w:rPr>
                          <w:rFonts w:cs="Calibri"/>
                        </w:rPr>
                        <w:t xml:space="preserve">; and </w:t>
                      </w:r>
                    </w:p>
                    <w:p w14:paraId="2AA68A7C" w14:textId="70C8F86E" w:rsidR="00ED620B" w:rsidRPr="00340E62" w:rsidRDefault="00ED620B" w:rsidP="009C55B1">
                      <w:pPr>
                        <w:pStyle w:val="ColorfulList-Accent11"/>
                        <w:ind w:left="425"/>
                        <w:rPr>
                          <w:rFonts w:cs="Calibri"/>
                        </w:rPr>
                      </w:pPr>
                    </w:p>
                    <w:p w14:paraId="06DCBDC2" w14:textId="563750D6" w:rsidR="00ED620B" w:rsidRPr="001730E3" w:rsidRDefault="00ED620B" w:rsidP="00E10D99">
                      <w:pPr>
                        <w:pStyle w:val="ColorfulList-Accent11"/>
                        <w:ind w:left="425"/>
                        <w:rPr>
                          <w:rFonts w:cs="Calibri"/>
                        </w:rPr>
                      </w:pPr>
                      <w:r w:rsidRPr="00340E62">
                        <w:rPr>
                          <w:rFonts w:cs="Calibri"/>
                        </w:rPr>
                        <w:t>xi.</w:t>
                      </w:r>
                      <w:r w:rsidRPr="00340E62">
                        <w:rPr>
                          <w:rFonts w:cs="Calibri"/>
                        </w:rPr>
                        <w:tab/>
                        <w:t xml:space="preserve">consider the options suggested by the Secretariat for possible use of 2020 savings as described in paragraph </w:t>
                      </w:r>
                      <w:r w:rsidR="00D81FD6" w:rsidRPr="00340E62">
                        <w:rPr>
                          <w:rFonts w:cs="Calibri"/>
                        </w:rPr>
                        <w:t>4</w:t>
                      </w:r>
                      <w:r w:rsidR="00D81FD6">
                        <w:rPr>
                          <w:rFonts w:cs="Calibri"/>
                        </w:rPr>
                        <w:t>2</w:t>
                      </w:r>
                      <w:r w:rsidR="00CB627D">
                        <w:rPr>
                          <w:rFonts w:cs="Calibri"/>
                        </w:rPr>
                        <w:t>.</w:t>
                      </w:r>
                      <w:bookmarkStart w:id="1" w:name="_GoBack"/>
                      <w:bookmarkEnd w:id="1"/>
                    </w:p>
                  </w:txbxContent>
                </v:textbox>
                <w10:anchorlock/>
              </v:shape>
            </w:pict>
          </mc:Fallback>
        </mc:AlternateContent>
      </w:r>
    </w:p>
    <w:p w14:paraId="33012F70" w14:textId="099D9261" w:rsidR="001B7279" w:rsidRDefault="001B7279" w:rsidP="00162710">
      <w:pPr>
        <w:rPr>
          <w:rFonts w:cs="Arial"/>
          <w:b/>
        </w:rPr>
      </w:pPr>
    </w:p>
    <w:p w14:paraId="7D053B9F" w14:textId="77777777" w:rsidR="00E10D99" w:rsidRPr="00162710" w:rsidRDefault="00E10D99" w:rsidP="00162710">
      <w:pPr>
        <w:rPr>
          <w:rFonts w:cs="Arial"/>
          <w:b/>
        </w:rPr>
      </w:pPr>
    </w:p>
    <w:p w14:paraId="669F5FB2" w14:textId="77777777" w:rsidR="00EE484E" w:rsidRPr="00A31010" w:rsidRDefault="00EE484E" w:rsidP="00162710">
      <w:pPr>
        <w:rPr>
          <w:rFonts w:cs="Arial"/>
          <w:b/>
        </w:rPr>
      </w:pPr>
      <w:r w:rsidRPr="00421152">
        <w:rPr>
          <w:rFonts w:cs="Arial"/>
          <w:b/>
        </w:rPr>
        <w:t>Background</w:t>
      </w:r>
    </w:p>
    <w:p w14:paraId="0B270B88" w14:textId="77777777" w:rsidR="00A31490" w:rsidRPr="00421152" w:rsidRDefault="00A31490" w:rsidP="00162710">
      <w:pPr>
        <w:rPr>
          <w:rFonts w:cs="Arial"/>
        </w:rPr>
      </w:pPr>
    </w:p>
    <w:p w14:paraId="73F2080A" w14:textId="4C54DC51" w:rsidR="00B60B96" w:rsidRPr="00421152" w:rsidRDefault="00112F62" w:rsidP="005A324D">
      <w:pPr>
        <w:rPr>
          <w:rFonts w:cs="Arial"/>
        </w:rPr>
      </w:pPr>
      <w:r w:rsidRPr="00421152">
        <w:t>1.</w:t>
      </w:r>
      <w:r w:rsidRPr="00421152">
        <w:tab/>
      </w:r>
      <w:r w:rsidR="00ED1F5E" w:rsidRPr="00421152">
        <w:t>This report addresses</w:t>
      </w:r>
      <w:r w:rsidR="00DE1179" w:rsidRPr="00421152">
        <w:t xml:space="preserve"> financial matters concerning the</w:t>
      </w:r>
      <w:r w:rsidR="00E86878">
        <w:t xml:space="preserve"> </w:t>
      </w:r>
      <w:r w:rsidR="00014DD6">
        <w:t>Convention on Wetland</w:t>
      </w:r>
      <w:r w:rsidR="00F27F55">
        <w:t>s</w:t>
      </w:r>
      <w:r w:rsidR="00014DD6">
        <w:t>’</w:t>
      </w:r>
      <w:r w:rsidR="00020C2D" w:rsidRPr="00421152">
        <w:t xml:space="preserve"> </w:t>
      </w:r>
      <w:r w:rsidR="00DE1179" w:rsidRPr="00421152">
        <w:t xml:space="preserve">core and </w:t>
      </w:r>
      <w:r w:rsidR="00DE1179" w:rsidRPr="00284E2E">
        <w:t xml:space="preserve">non-core </w:t>
      </w:r>
      <w:r w:rsidR="00624F62">
        <w:t xml:space="preserve">budget </w:t>
      </w:r>
      <w:r w:rsidR="008E36DB">
        <w:t>results for 2020</w:t>
      </w:r>
      <w:r w:rsidR="005A324D">
        <w:t xml:space="preserve">, </w:t>
      </w:r>
      <w:r w:rsidR="002135D9">
        <w:t xml:space="preserve">the balance carried </w:t>
      </w:r>
      <w:r w:rsidR="008E36DB">
        <w:t>forward</w:t>
      </w:r>
      <w:r w:rsidR="002135D9">
        <w:t xml:space="preserve"> from</w:t>
      </w:r>
      <w:r w:rsidR="008E36DB">
        <w:t xml:space="preserve"> 2020 to 2021</w:t>
      </w:r>
      <w:r w:rsidR="002135D9">
        <w:t>,</w:t>
      </w:r>
      <w:r w:rsidR="005A324D">
        <w:t xml:space="preserve"> </w:t>
      </w:r>
      <w:r w:rsidR="008E36DB">
        <w:t xml:space="preserve">and </w:t>
      </w:r>
      <w:r w:rsidR="002135D9">
        <w:t xml:space="preserve">the </w:t>
      </w:r>
      <w:r w:rsidR="005A324D">
        <w:t>b</w:t>
      </w:r>
      <w:r w:rsidR="006646B9" w:rsidRPr="00284E2E">
        <w:t>udget</w:t>
      </w:r>
      <w:r w:rsidR="008E36DB">
        <w:t xml:space="preserve"> </w:t>
      </w:r>
      <w:r w:rsidR="00DE1179" w:rsidRPr="00421152">
        <w:t xml:space="preserve">for </w:t>
      </w:r>
      <w:r w:rsidR="00FE0913" w:rsidRPr="00421152">
        <w:t>20</w:t>
      </w:r>
      <w:r w:rsidR="00FE0913">
        <w:t>21</w:t>
      </w:r>
      <w:r w:rsidR="008E36DB">
        <w:t>.</w:t>
      </w:r>
      <w:r w:rsidR="004E7A42">
        <w:t xml:space="preserve"> </w:t>
      </w:r>
    </w:p>
    <w:p w14:paraId="272B6B35" w14:textId="77777777" w:rsidR="00A31490" w:rsidRPr="00421152" w:rsidRDefault="00A31490" w:rsidP="00162710">
      <w:pPr>
        <w:rPr>
          <w:rFonts w:cs="Arial"/>
        </w:rPr>
      </w:pPr>
    </w:p>
    <w:p w14:paraId="47BCA898" w14:textId="671FE1DD" w:rsidR="001730E3" w:rsidRPr="00421152" w:rsidRDefault="00112F62" w:rsidP="00162710">
      <w:pPr>
        <w:rPr>
          <w:rFonts w:cs="Arial"/>
        </w:rPr>
      </w:pPr>
      <w:r w:rsidRPr="00421152">
        <w:t>2.</w:t>
      </w:r>
      <w:r w:rsidRPr="00421152">
        <w:tab/>
      </w:r>
      <w:r w:rsidR="00904C0A">
        <w:t>Further i</w:t>
      </w:r>
      <w:r w:rsidR="008C18DC" w:rsidRPr="00421152">
        <w:t>mprovements in t</w:t>
      </w:r>
      <w:r w:rsidR="001730E3" w:rsidRPr="00421152">
        <w:t xml:space="preserve">he financial management of the Secretariat </w:t>
      </w:r>
      <w:r w:rsidR="008C18DC" w:rsidRPr="00421152">
        <w:t xml:space="preserve">have been </w:t>
      </w:r>
      <w:r w:rsidR="001730E3" w:rsidRPr="00421152">
        <w:t>validated by the external auditors</w:t>
      </w:r>
      <w:r w:rsidR="00140EA0">
        <w:t xml:space="preserve">, with all issues that were open </w:t>
      </w:r>
      <w:r w:rsidR="00E7726B">
        <w:t>prior to the S</w:t>
      </w:r>
      <w:r w:rsidR="00F27F55">
        <w:t xml:space="preserve">ecretary </w:t>
      </w:r>
      <w:r w:rsidR="00E7726B">
        <w:t>G</w:t>
      </w:r>
      <w:r w:rsidR="00F27F55">
        <w:t>eneral</w:t>
      </w:r>
      <w:r w:rsidR="00E7726B">
        <w:t xml:space="preserve"> taking office in</w:t>
      </w:r>
      <w:r w:rsidR="00140EA0">
        <w:t xml:space="preserve"> 2016</w:t>
      </w:r>
      <w:r w:rsidR="002135D9">
        <w:t xml:space="preserve"> </w:t>
      </w:r>
      <w:r w:rsidR="00E2282D">
        <w:t>hav</w:t>
      </w:r>
      <w:r w:rsidR="008E36DB">
        <w:t>ing</w:t>
      </w:r>
      <w:r w:rsidR="00E2282D">
        <w:t xml:space="preserve"> been</w:t>
      </w:r>
      <w:r w:rsidR="00571C21">
        <w:t xml:space="preserve"> </w:t>
      </w:r>
      <w:r w:rsidR="00140EA0">
        <w:t>closed</w:t>
      </w:r>
      <w:r w:rsidR="00F15D4B">
        <w:t xml:space="preserve"> </w:t>
      </w:r>
      <w:r w:rsidR="002135D9">
        <w:t>in</w:t>
      </w:r>
      <w:r w:rsidR="008E36DB">
        <w:t xml:space="preserve"> </w:t>
      </w:r>
      <w:r w:rsidR="00F15D4B">
        <w:t xml:space="preserve">the </w:t>
      </w:r>
      <w:r w:rsidR="00577361">
        <w:t xml:space="preserve">2019 </w:t>
      </w:r>
      <w:r w:rsidR="00F15D4B">
        <w:t>audit</w:t>
      </w:r>
      <w:r w:rsidR="00E2282D">
        <w:t xml:space="preserve"> </w:t>
      </w:r>
      <w:r w:rsidR="00960BF3">
        <w:t>and</w:t>
      </w:r>
      <w:r w:rsidR="008E36DB">
        <w:t xml:space="preserve"> </w:t>
      </w:r>
      <w:r w:rsidR="00E2282D">
        <w:t>no new issues</w:t>
      </w:r>
      <w:r w:rsidR="008E36DB">
        <w:t xml:space="preserve"> </w:t>
      </w:r>
      <w:r w:rsidR="00E2282D">
        <w:t>raised by the auditors.</w:t>
      </w:r>
      <w:r w:rsidR="00571C21">
        <w:t xml:space="preserve"> </w:t>
      </w:r>
      <w:r w:rsidR="00140EA0">
        <w:t xml:space="preserve">Positive results from the </w:t>
      </w:r>
      <w:r w:rsidR="00F51E7B" w:rsidRPr="00710D2E">
        <w:rPr>
          <w:i/>
        </w:rPr>
        <w:t xml:space="preserve">Financial </w:t>
      </w:r>
      <w:r w:rsidR="00710D2E" w:rsidRPr="00710D2E">
        <w:rPr>
          <w:rFonts w:cs="Calibri"/>
          <w:i/>
        </w:rPr>
        <w:t xml:space="preserve">Management </w:t>
      </w:r>
      <w:r w:rsidR="00F51E7B" w:rsidRPr="00710D2E">
        <w:rPr>
          <w:i/>
        </w:rPr>
        <w:t>R</w:t>
      </w:r>
      <w:r w:rsidR="0064183C" w:rsidRPr="00710D2E">
        <w:rPr>
          <w:i/>
        </w:rPr>
        <w:t xml:space="preserve">eview of </w:t>
      </w:r>
      <w:r w:rsidR="00F51E7B" w:rsidRPr="00710D2E">
        <w:rPr>
          <w:i/>
        </w:rPr>
        <w:t>N</w:t>
      </w:r>
      <w:r w:rsidR="0064183C" w:rsidRPr="00710D2E">
        <w:rPr>
          <w:i/>
        </w:rPr>
        <w:t xml:space="preserve">on-core </w:t>
      </w:r>
      <w:r w:rsidR="004D7734" w:rsidRPr="00710D2E">
        <w:rPr>
          <w:i/>
        </w:rPr>
        <w:t xml:space="preserve">(Restricted) </w:t>
      </w:r>
      <w:r w:rsidR="00F51E7B" w:rsidRPr="00710D2E">
        <w:rPr>
          <w:i/>
        </w:rPr>
        <w:t>F</w:t>
      </w:r>
      <w:r w:rsidR="0064183C" w:rsidRPr="00710D2E">
        <w:rPr>
          <w:i/>
        </w:rPr>
        <w:t>und</w:t>
      </w:r>
      <w:r w:rsidR="004D7734" w:rsidRPr="00710D2E">
        <w:rPr>
          <w:i/>
        </w:rPr>
        <w:t xml:space="preserve"> Account</w:t>
      </w:r>
      <w:r w:rsidR="0064183C" w:rsidRPr="00710D2E">
        <w:rPr>
          <w:i/>
        </w:rPr>
        <w:t>s</w:t>
      </w:r>
      <w:r w:rsidR="0064183C" w:rsidRPr="00421152">
        <w:t xml:space="preserve"> conducted by the IUCN Oversight Unit</w:t>
      </w:r>
      <w:r w:rsidR="00F51E7B" w:rsidRPr="00421152">
        <w:t xml:space="preserve"> and submitted to the Standing Committee at its 55</w:t>
      </w:r>
      <w:r w:rsidR="00F51E7B" w:rsidRPr="00710D2E">
        <w:t>th</w:t>
      </w:r>
      <w:r w:rsidR="00F51E7B" w:rsidRPr="00421152">
        <w:t xml:space="preserve"> meeting</w:t>
      </w:r>
      <w:r w:rsidR="00710D2E">
        <w:t xml:space="preserve"> (SC55)</w:t>
      </w:r>
      <w:r w:rsidR="00140EA0">
        <w:t xml:space="preserve"> </w:t>
      </w:r>
      <w:r w:rsidR="002E5F9E">
        <w:t>have also be</w:t>
      </w:r>
      <w:r w:rsidR="00672A78">
        <w:t>en implemented with one issue pending on developments in IUCN</w:t>
      </w:r>
      <w:r w:rsidR="00735327">
        <w:t xml:space="preserve"> (see paragraph </w:t>
      </w:r>
      <w:r w:rsidR="001B7279">
        <w:t>45</w:t>
      </w:r>
      <w:r w:rsidR="00735327">
        <w:t>)</w:t>
      </w:r>
      <w:r w:rsidR="001730E3" w:rsidRPr="00421152">
        <w:t xml:space="preserve">. </w:t>
      </w:r>
      <w:r w:rsidR="00735327" w:rsidRPr="00495842">
        <w:t xml:space="preserve">The internal responsibilities and allocation </w:t>
      </w:r>
      <w:r w:rsidR="006E10B2">
        <w:t xml:space="preserve">of </w:t>
      </w:r>
      <w:r w:rsidR="006E10B2" w:rsidRPr="00495842">
        <w:t xml:space="preserve">controls </w:t>
      </w:r>
      <w:r w:rsidR="00735327" w:rsidRPr="00495842">
        <w:t>between IUCN and the Secretariat have been updated.</w:t>
      </w:r>
      <w:r w:rsidR="00AF5B5A">
        <w:t xml:space="preserve"> </w:t>
      </w:r>
      <w:r w:rsidR="00175897">
        <w:t>P</w:t>
      </w:r>
      <w:r w:rsidR="005210D8" w:rsidRPr="00421152">
        <w:t>rocesses</w:t>
      </w:r>
      <w:r w:rsidR="00175897">
        <w:t xml:space="preserve"> </w:t>
      </w:r>
      <w:r w:rsidR="008E36DB">
        <w:t xml:space="preserve">for financial management in the Secretariat </w:t>
      </w:r>
      <w:r w:rsidR="00175897">
        <w:t>have been further improved</w:t>
      </w:r>
      <w:r w:rsidR="00F44D2C">
        <w:t xml:space="preserve"> and guid</w:t>
      </w:r>
      <w:r w:rsidR="00175897">
        <w:t>ance developed</w:t>
      </w:r>
      <w:r w:rsidR="00377D33">
        <w:t>,</w:t>
      </w:r>
      <w:r w:rsidR="00F44D2C">
        <w:t xml:space="preserve"> </w:t>
      </w:r>
      <w:r w:rsidR="007A2D1C" w:rsidRPr="00421152">
        <w:t xml:space="preserve">in </w:t>
      </w:r>
      <w:r w:rsidR="001730E3" w:rsidRPr="00421152">
        <w:t>compliance with IUCN policies and procedures where applicable</w:t>
      </w:r>
      <w:r w:rsidR="00D37A5C">
        <w:t>.</w:t>
      </w:r>
      <w:r w:rsidR="001730E3" w:rsidRPr="00421152">
        <w:t xml:space="preserve"> </w:t>
      </w:r>
    </w:p>
    <w:p w14:paraId="42319817" w14:textId="3E91157C" w:rsidR="00FC40CB" w:rsidRDefault="00FC40CB" w:rsidP="00FC40CB">
      <w:pPr>
        <w:keepNext/>
        <w:ind w:left="0" w:firstLine="0"/>
        <w:rPr>
          <w:rFonts w:cs="Arial"/>
          <w:b/>
        </w:rPr>
      </w:pPr>
    </w:p>
    <w:p w14:paraId="5EF21893" w14:textId="19A6FC3B" w:rsidR="005538B2" w:rsidRPr="006C4234" w:rsidRDefault="008F7FC4" w:rsidP="008F7FC4">
      <w:pPr>
        <w:keepNext/>
        <w:rPr>
          <w:rFonts w:cs="Arial"/>
        </w:rPr>
      </w:pPr>
      <w:r>
        <w:rPr>
          <w:rFonts w:cs="Arial"/>
        </w:rPr>
        <w:t>3.</w:t>
      </w:r>
      <w:r>
        <w:rPr>
          <w:rFonts w:cs="Arial"/>
        </w:rPr>
        <w:tab/>
      </w:r>
      <w:r w:rsidR="006C4234" w:rsidRPr="005E2F27">
        <w:rPr>
          <w:rFonts w:cs="Arial"/>
        </w:rPr>
        <w:t xml:space="preserve">2020 was a </w:t>
      </w:r>
      <w:r w:rsidR="005538B2" w:rsidRPr="005E2F27">
        <w:rPr>
          <w:rFonts w:cs="Arial"/>
        </w:rPr>
        <w:t xml:space="preserve">particular </w:t>
      </w:r>
      <w:r w:rsidR="006C4234" w:rsidRPr="005E2F27">
        <w:rPr>
          <w:rFonts w:cs="Arial"/>
        </w:rPr>
        <w:t xml:space="preserve">year marked </w:t>
      </w:r>
      <w:r w:rsidR="008E36DB" w:rsidRPr="005E2F27">
        <w:rPr>
          <w:rFonts w:cs="Arial"/>
        </w:rPr>
        <w:t xml:space="preserve">by </w:t>
      </w:r>
      <w:r w:rsidR="006C4234" w:rsidRPr="005E2F27">
        <w:rPr>
          <w:rFonts w:cs="Arial"/>
        </w:rPr>
        <w:t>the C</w:t>
      </w:r>
      <w:r w:rsidR="003B5828" w:rsidRPr="005E2F27">
        <w:rPr>
          <w:rFonts w:cs="Arial"/>
        </w:rPr>
        <w:t>OVID</w:t>
      </w:r>
      <w:r w:rsidR="006C4234" w:rsidRPr="005E2F27">
        <w:rPr>
          <w:rFonts w:cs="Arial"/>
        </w:rPr>
        <w:t>-</w:t>
      </w:r>
      <w:r w:rsidR="006C4234" w:rsidRPr="00340E62">
        <w:rPr>
          <w:rFonts w:cs="Arial"/>
        </w:rPr>
        <w:t>19</w:t>
      </w:r>
      <w:r w:rsidR="005538B2" w:rsidRPr="00340E62">
        <w:rPr>
          <w:rFonts w:cs="Arial"/>
        </w:rPr>
        <w:t xml:space="preserve"> pandemic </w:t>
      </w:r>
      <w:r w:rsidR="006C4234" w:rsidRPr="00340E62">
        <w:rPr>
          <w:rFonts w:cs="Arial"/>
        </w:rPr>
        <w:t xml:space="preserve">outbreak, which </w:t>
      </w:r>
      <w:r w:rsidR="005538B2" w:rsidRPr="00340E62">
        <w:rPr>
          <w:rFonts w:cs="Arial"/>
        </w:rPr>
        <w:t xml:space="preserve">had </w:t>
      </w:r>
      <w:r w:rsidR="006C4234" w:rsidRPr="00340E62">
        <w:rPr>
          <w:rFonts w:cs="Arial"/>
        </w:rPr>
        <w:t xml:space="preserve">an </w:t>
      </w:r>
      <w:r w:rsidR="005538B2" w:rsidRPr="00340E62">
        <w:rPr>
          <w:rFonts w:cs="Arial"/>
        </w:rPr>
        <w:t xml:space="preserve">impact on the </w:t>
      </w:r>
      <w:r w:rsidR="006C4234" w:rsidRPr="00340E62">
        <w:rPr>
          <w:rFonts w:cs="Arial"/>
        </w:rPr>
        <w:t>Secretariat</w:t>
      </w:r>
      <w:r w:rsidR="008E36DB" w:rsidRPr="00340E62">
        <w:rPr>
          <w:rFonts w:cs="Arial"/>
        </w:rPr>
        <w:t>’s</w:t>
      </w:r>
      <w:r w:rsidR="006C4234" w:rsidRPr="00340E62">
        <w:rPr>
          <w:rFonts w:cs="Arial"/>
        </w:rPr>
        <w:t xml:space="preserve"> </w:t>
      </w:r>
      <w:r w:rsidR="00E10D99" w:rsidRPr="00340E62">
        <w:rPr>
          <w:rFonts w:cs="Arial"/>
        </w:rPr>
        <w:t>implementation of its workplan</w:t>
      </w:r>
      <w:r w:rsidR="006C4234" w:rsidRPr="00340E62">
        <w:rPr>
          <w:rFonts w:cs="Arial"/>
        </w:rPr>
        <w:t xml:space="preserve"> and the </w:t>
      </w:r>
      <w:r w:rsidR="00672A78" w:rsidRPr="00340E62">
        <w:rPr>
          <w:rFonts w:cs="Arial"/>
        </w:rPr>
        <w:t xml:space="preserve">Convention’s </w:t>
      </w:r>
      <w:r w:rsidR="005538B2" w:rsidRPr="00340E62">
        <w:rPr>
          <w:rFonts w:cs="Arial"/>
        </w:rPr>
        <w:t>budget</w:t>
      </w:r>
      <w:r w:rsidR="00920FA8" w:rsidRPr="00340E62">
        <w:rPr>
          <w:rFonts w:cs="Arial"/>
        </w:rPr>
        <w:t>,</w:t>
      </w:r>
      <w:r w:rsidR="000F23C3" w:rsidRPr="00340E62">
        <w:rPr>
          <w:rFonts w:cs="Arial"/>
        </w:rPr>
        <w:t xml:space="preserve"> resulting in lower implementation of </w:t>
      </w:r>
      <w:r w:rsidR="00672A78" w:rsidRPr="00340E62">
        <w:rPr>
          <w:rFonts w:cs="Arial"/>
        </w:rPr>
        <w:t xml:space="preserve">budget lines </w:t>
      </w:r>
      <w:r w:rsidR="008E36DB" w:rsidRPr="00340E62">
        <w:rPr>
          <w:rFonts w:cs="Arial"/>
        </w:rPr>
        <w:t xml:space="preserve">especially those requiring travel, such as meetings of governing and subsidiary </w:t>
      </w:r>
      <w:r w:rsidR="002135D9" w:rsidRPr="00340E62">
        <w:rPr>
          <w:rFonts w:cs="Arial"/>
        </w:rPr>
        <w:t>bodies</w:t>
      </w:r>
      <w:r w:rsidR="008E36DB" w:rsidRPr="00340E62">
        <w:rPr>
          <w:rFonts w:cs="Arial"/>
        </w:rPr>
        <w:t xml:space="preserve"> and Secretariat travel</w:t>
      </w:r>
      <w:r w:rsidR="00672A78" w:rsidRPr="00340E62">
        <w:rPr>
          <w:rFonts w:cs="Arial"/>
        </w:rPr>
        <w:t xml:space="preserve">, </w:t>
      </w:r>
      <w:r w:rsidR="00851E50" w:rsidRPr="00340E62">
        <w:rPr>
          <w:rFonts w:cs="Arial"/>
        </w:rPr>
        <w:t>resulting</w:t>
      </w:r>
      <w:r w:rsidR="002135D9" w:rsidRPr="00340E62">
        <w:rPr>
          <w:rFonts w:cs="Arial"/>
        </w:rPr>
        <w:t xml:space="preserve"> </w:t>
      </w:r>
      <w:r w:rsidR="00672A78" w:rsidRPr="00340E62">
        <w:rPr>
          <w:rFonts w:cs="Arial"/>
        </w:rPr>
        <w:t xml:space="preserve">in </w:t>
      </w:r>
      <w:r w:rsidR="000F23C3" w:rsidRPr="00340E62">
        <w:rPr>
          <w:rFonts w:cs="Arial"/>
        </w:rPr>
        <w:t>budget savings</w:t>
      </w:r>
      <w:r w:rsidR="005538B2" w:rsidRPr="00340E62">
        <w:rPr>
          <w:rFonts w:cs="Arial"/>
        </w:rPr>
        <w:t xml:space="preserve">. </w:t>
      </w:r>
      <w:r w:rsidR="008E36DB" w:rsidRPr="00340E62">
        <w:rPr>
          <w:rFonts w:cs="Arial"/>
        </w:rPr>
        <w:t xml:space="preserve">The </w:t>
      </w:r>
      <w:r w:rsidR="006C4234" w:rsidRPr="00340E62">
        <w:rPr>
          <w:rFonts w:cs="Arial"/>
        </w:rPr>
        <w:t xml:space="preserve">Subgroup on </w:t>
      </w:r>
      <w:r w:rsidR="005538B2" w:rsidRPr="00340E62">
        <w:rPr>
          <w:rFonts w:cs="Arial"/>
        </w:rPr>
        <w:t>Finance</w:t>
      </w:r>
      <w:r w:rsidR="000F23C3" w:rsidRPr="00340E62">
        <w:rPr>
          <w:rFonts w:cs="Arial"/>
        </w:rPr>
        <w:t xml:space="preserve"> </w:t>
      </w:r>
      <w:r w:rsidR="008E36DB" w:rsidRPr="00340E62">
        <w:rPr>
          <w:rFonts w:cs="Arial"/>
        </w:rPr>
        <w:t xml:space="preserve">reviewed the </w:t>
      </w:r>
      <w:r w:rsidR="000F23C3" w:rsidRPr="00340E62">
        <w:rPr>
          <w:rFonts w:cs="Arial"/>
        </w:rPr>
        <w:t xml:space="preserve">2020 budget </w:t>
      </w:r>
      <w:r w:rsidR="008E36DB" w:rsidRPr="00340E62">
        <w:rPr>
          <w:rFonts w:cs="Arial"/>
        </w:rPr>
        <w:t xml:space="preserve">and made </w:t>
      </w:r>
      <w:r w:rsidR="000B2A00" w:rsidRPr="00340E62">
        <w:rPr>
          <w:rFonts w:cs="Arial"/>
        </w:rPr>
        <w:t xml:space="preserve">changes </w:t>
      </w:r>
      <w:r w:rsidR="000F23C3" w:rsidRPr="00340E62">
        <w:rPr>
          <w:rFonts w:cs="Arial"/>
        </w:rPr>
        <w:t xml:space="preserve">during </w:t>
      </w:r>
      <w:r w:rsidR="00A315EE" w:rsidRPr="00340E62">
        <w:rPr>
          <w:rFonts w:cs="Arial"/>
        </w:rPr>
        <w:t>its</w:t>
      </w:r>
      <w:r w:rsidR="000F23C3" w:rsidRPr="00340E62">
        <w:rPr>
          <w:rFonts w:cs="Arial"/>
        </w:rPr>
        <w:t xml:space="preserve"> meetings on 15 June 2020 and 13 January 2021</w:t>
      </w:r>
      <w:r w:rsidR="00A315EE" w:rsidRPr="00340E62">
        <w:rPr>
          <w:rFonts w:cs="Arial"/>
        </w:rPr>
        <w:t>,</w:t>
      </w:r>
      <w:r w:rsidR="00920FA8" w:rsidRPr="00340E62">
        <w:rPr>
          <w:rFonts w:cs="Arial"/>
        </w:rPr>
        <w:t xml:space="preserve"> and </w:t>
      </w:r>
      <w:r w:rsidR="00FD7E3B" w:rsidRPr="00340E62">
        <w:rPr>
          <w:rFonts w:cs="Arial"/>
        </w:rPr>
        <w:t xml:space="preserve">continues to monitor </w:t>
      </w:r>
      <w:r w:rsidR="008E36DB" w:rsidRPr="00340E62">
        <w:rPr>
          <w:rFonts w:cs="Arial"/>
        </w:rPr>
        <w:t xml:space="preserve">the </w:t>
      </w:r>
      <w:r w:rsidR="00FD7E3B" w:rsidRPr="00340E62">
        <w:rPr>
          <w:rFonts w:cs="Arial"/>
        </w:rPr>
        <w:t xml:space="preserve">implementation of the </w:t>
      </w:r>
      <w:r w:rsidR="008E36DB" w:rsidRPr="00340E62">
        <w:rPr>
          <w:rFonts w:cs="Arial"/>
        </w:rPr>
        <w:t xml:space="preserve">budget by the </w:t>
      </w:r>
      <w:r w:rsidR="00F95092" w:rsidRPr="00340E62">
        <w:rPr>
          <w:rFonts w:cs="Arial"/>
        </w:rPr>
        <w:t xml:space="preserve">Secretariat </w:t>
      </w:r>
      <w:r w:rsidR="00FD7E3B" w:rsidRPr="00340E62">
        <w:rPr>
          <w:rFonts w:cs="Arial"/>
        </w:rPr>
        <w:t>(</w:t>
      </w:r>
      <w:r w:rsidR="00960BF3" w:rsidRPr="00340E62">
        <w:rPr>
          <w:rFonts w:cs="Arial"/>
        </w:rPr>
        <w:t xml:space="preserve">in accordance with </w:t>
      </w:r>
      <w:r w:rsidR="00FD7E3B" w:rsidRPr="00340E62">
        <w:rPr>
          <w:rFonts w:cs="Arial"/>
        </w:rPr>
        <w:t>Decision SC58-30).</w:t>
      </w:r>
    </w:p>
    <w:p w14:paraId="3F1932D3" w14:textId="77777777" w:rsidR="005538B2" w:rsidRDefault="005538B2" w:rsidP="00FC40CB">
      <w:pPr>
        <w:keepNext/>
        <w:ind w:left="0" w:firstLine="0"/>
        <w:rPr>
          <w:rFonts w:cs="Arial"/>
          <w:b/>
        </w:rPr>
      </w:pPr>
    </w:p>
    <w:p w14:paraId="34F18BE8" w14:textId="3CA2DB06" w:rsidR="006656E1" w:rsidRPr="00AC6B8A" w:rsidRDefault="00F15D4B" w:rsidP="00FC40CB">
      <w:pPr>
        <w:keepNext/>
        <w:ind w:left="0" w:firstLine="0"/>
        <w:rPr>
          <w:rFonts w:cs="Arial"/>
          <w:b/>
        </w:rPr>
      </w:pPr>
      <w:r w:rsidRPr="00421152">
        <w:rPr>
          <w:rFonts w:cs="Arial"/>
          <w:b/>
        </w:rPr>
        <w:t>20</w:t>
      </w:r>
      <w:r>
        <w:rPr>
          <w:rFonts w:cs="Arial"/>
          <w:b/>
        </w:rPr>
        <w:t>20</w:t>
      </w:r>
      <w:r w:rsidRPr="00421152">
        <w:rPr>
          <w:rFonts w:cs="Arial"/>
          <w:b/>
        </w:rPr>
        <w:t xml:space="preserve"> </w:t>
      </w:r>
      <w:r w:rsidR="00BB5CF1" w:rsidRPr="00421152">
        <w:rPr>
          <w:rFonts w:cs="Arial"/>
          <w:b/>
        </w:rPr>
        <w:t>results</w:t>
      </w:r>
      <w:r w:rsidR="00F27F55">
        <w:rPr>
          <w:rFonts w:cs="Arial"/>
          <w:b/>
        </w:rPr>
        <w:t>:</w:t>
      </w:r>
      <w:r w:rsidR="00BB5CF1" w:rsidRPr="00421152">
        <w:rPr>
          <w:rFonts w:cs="Arial"/>
          <w:b/>
        </w:rPr>
        <w:t xml:space="preserve"> core</w:t>
      </w:r>
      <w:r w:rsidR="00FF0082" w:rsidRPr="00421152">
        <w:rPr>
          <w:rFonts w:cs="Arial"/>
          <w:b/>
        </w:rPr>
        <w:t xml:space="preserve"> budget</w:t>
      </w:r>
    </w:p>
    <w:p w14:paraId="31910A04" w14:textId="26441FE7" w:rsidR="002F2543" w:rsidRPr="00421152" w:rsidRDefault="002F2543" w:rsidP="00162710">
      <w:pPr>
        <w:pStyle w:val="NoSpacing"/>
        <w:rPr>
          <w:b/>
        </w:rPr>
      </w:pPr>
    </w:p>
    <w:p w14:paraId="201077DF" w14:textId="77777777" w:rsidR="00672A78" w:rsidRDefault="008F7FC4" w:rsidP="00162710">
      <w:r>
        <w:t>4</w:t>
      </w:r>
      <w:r w:rsidR="00112F62" w:rsidRPr="00421152">
        <w:t>.</w:t>
      </w:r>
      <w:r w:rsidR="00112F62" w:rsidRPr="00421152">
        <w:tab/>
      </w:r>
      <w:r w:rsidR="00965839">
        <w:t xml:space="preserve">The </w:t>
      </w:r>
      <w:r w:rsidR="00F15D4B" w:rsidRPr="00942026">
        <w:t>20</w:t>
      </w:r>
      <w:r w:rsidR="00F15D4B">
        <w:t>20</w:t>
      </w:r>
      <w:r w:rsidR="00F15D4B" w:rsidRPr="00942026">
        <w:t xml:space="preserve"> </w:t>
      </w:r>
      <w:r w:rsidR="00965839" w:rsidRPr="00942026">
        <w:t xml:space="preserve">audited financial statements </w:t>
      </w:r>
      <w:r w:rsidR="00965839">
        <w:t xml:space="preserve">are </w:t>
      </w:r>
      <w:r w:rsidR="00965839" w:rsidRPr="00942026">
        <w:t>included at Annex 1</w:t>
      </w:r>
      <w:r w:rsidR="00965839">
        <w:t xml:space="preserve">. </w:t>
      </w:r>
    </w:p>
    <w:p w14:paraId="76472697" w14:textId="77777777" w:rsidR="00672A78" w:rsidRDefault="00672A78" w:rsidP="00162710"/>
    <w:p w14:paraId="6F87BFEA" w14:textId="0FD04BAA" w:rsidR="00EC32C4" w:rsidRPr="00DB52BE" w:rsidRDefault="008F7FC4" w:rsidP="00672A78">
      <w:r w:rsidRPr="00DE37B5">
        <w:t>5</w:t>
      </w:r>
      <w:r w:rsidR="00FC40CB" w:rsidRPr="00DE37B5">
        <w:t>.</w:t>
      </w:r>
      <w:r w:rsidR="00FC40CB" w:rsidRPr="00DE37B5">
        <w:tab/>
      </w:r>
      <w:r w:rsidR="00672A78" w:rsidRPr="00DE37B5">
        <w:t xml:space="preserve">A summary of the 2020 core budget results is attached in Annex 2. It shows in column A the budget for 2020 of CHF 5,081K approved through Resolution XIII.2 on </w:t>
      </w:r>
      <w:r w:rsidR="00672A78" w:rsidRPr="00DE37B5">
        <w:rPr>
          <w:i/>
        </w:rPr>
        <w:t>Financial and budgetary matters</w:t>
      </w:r>
      <w:r w:rsidR="00672A78" w:rsidRPr="00DE37B5">
        <w:t xml:space="preserve">. </w:t>
      </w:r>
      <w:r w:rsidR="00504DE2" w:rsidRPr="00DE37B5">
        <w:t xml:space="preserve">Column </w:t>
      </w:r>
      <w:r w:rsidR="000F051B" w:rsidRPr="00DE37B5">
        <w:t xml:space="preserve">B </w:t>
      </w:r>
      <w:r w:rsidR="00504DE2" w:rsidRPr="00DE37B5">
        <w:t>of</w:t>
      </w:r>
      <w:r w:rsidR="00960BF3" w:rsidRPr="00DE37B5">
        <w:t xml:space="preserve"> </w:t>
      </w:r>
      <w:r w:rsidR="00F174F3" w:rsidRPr="00DE37B5">
        <w:t xml:space="preserve">the </w:t>
      </w:r>
      <w:r w:rsidR="00672A78" w:rsidRPr="00DE37B5">
        <w:t>same</w:t>
      </w:r>
      <w:r w:rsidR="00F174F3" w:rsidRPr="00DE37B5">
        <w:t xml:space="preserve"> table</w:t>
      </w:r>
      <w:r w:rsidR="00504DE2" w:rsidRPr="00DE37B5">
        <w:t xml:space="preserve"> </w:t>
      </w:r>
      <w:r w:rsidR="00EC32C4" w:rsidRPr="00DE37B5">
        <w:t xml:space="preserve">shows the authorized use of CHF 76K </w:t>
      </w:r>
      <w:r w:rsidR="00960BF3" w:rsidRPr="00DE37B5">
        <w:t xml:space="preserve">of surplus funds </w:t>
      </w:r>
      <w:r w:rsidR="00BB7AF1" w:rsidRPr="00DE37B5">
        <w:t xml:space="preserve">during the </w:t>
      </w:r>
      <w:r w:rsidR="00EC32C4" w:rsidRPr="00DE37B5">
        <w:t>year</w:t>
      </w:r>
      <w:r w:rsidR="005219C4" w:rsidRPr="00DE37B5">
        <w:t xml:space="preserve"> to cover the budget gap created with the recruitment of the Finance</w:t>
      </w:r>
      <w:r w:rsidR="00F21C3F" w:rsidRPr="00DE37B5">
        <w:t xml:space="preserve"> and Accounting</w:t>
      </w:r>
      <w:r w:rsidR="005219C4" w:rsidRPr="00DE37B5">
        <w:t xml:space="preserve"> Assistant</w:t>
      </w:r>
      <w:r w:rsidR="00D72430" w:rsidRPr="00DE37B5">
        <w:t>,</w:t>
      </w:r>
      <w:r w:rsidR="00EC32C4" w:rsidRPr="00DE37B5">
        <w:t xml:space="preserve"> </w:t>
      </w:r>
      <w:r w:rsidR="00D72430" w:rsidRPr="00DE37B5">
        <w:t>in accordance with</w:t>
      </w:r>
      <w:r w:rsidR="00EC32C4" w:rsidRPr="00DE37B5">
        <w:t xml:space="preserve"> </w:t>
      </w:r>
      <w:r w:rsidR="00D72430" w:rsidRPr="00DE37B5">
        <w:t xml:space="preserve">paragraph 15 of </w:t>
      </w:r>
      <w:r w:rsidR="009E4DC7" w:rsidRPr="00DE37B5">
        <w:t>R</w:t>
      </w:r>
      <w:r w:rsidR="00EC32C4" w:rsidRPr="00DE37B5">
        <w:t>esolution XII</w:t>
      </w:r>
      <w:r w:rsidR="009E4DC7" w:rsidRPr="00DE37B5">
        <w:t>I</w:t>
      </w:r>
      <w:r w:rsidR="00EC32C4" w:rsidRPr="00DE37B5">
        <w:t>.2</w:t>
      </w:r>
      <w:r w:rsidR="002174A1" w:rsidRPr="00DE37B5">
        <w:t>,</w:t>
      </w:r>
      <w:r w:rsidR="00EC32C4" w:rsidRPr="00DE37B5">
        <w:t xml:space="preserve"> </w:t>
      </w:r>
      <w:r w:rsidR="00BB7AF1" w:rsidRPr="00DE37B5">
        <w:t>while</w:t>
      </w:r>
      <w:r w:rsidR="00EC32C4" w:rsidRPr="00DE37B5">
        <w:t xml:space="preserve"> </w:t>
      </w:r>
      <w:r w:rsidR="00AC6729" w:rsidRPr="00DE37B5">
        <w:t xml:space="preserve">column C shows </w:t>
      </w:r>
      <w:r w:rsidR="002B4F3C" w:rsidRPr="00DE37B5">
        <w:t xml:space="preserve">2019 </w:t>
      </w:r>
      <w:r w:rsidR="00EC32C4" w:rsidRPr="00DE37B5">
        <w:t xml:space="preserve">committed balances and </w:t>
      </w:r>
      <w:r w:rsidR="00BB7AF1" w:rsidRPr="00DE37B5">
        <w:t xml:space="preserve">authorized </w:t>
      </w:r>
      <w:r w:rsidR="00EC32C4" w:rsidRPr="00DE37B5">
        <w:t>use of surpluses</w:t>
      </w:r>
      <w:r w:rsidR="004B3048" w:rsidRPr="00DE37B5">
        <w:t xml:space="preserve"> for a</w:t>
      </w:r>
      <w:r w:rsidR="00EC32C4" w:rsidRPr="00DE37B5">
        <w:t xml:space="preserve"> total of CHF </w:t>
      </w:r>
      <w:r w:rsidR="002B4F3C" w:rsidRPr="00DE37B5">
        <w:t>588K</w:t>
      </w:r>
      <w:r w:rsidR="00EC32C4" w:rsidRPr="00DE37B5">
        <w:t xml:space="preserve">. This total includes the </w:t>
      </w:r>
      <w:r w:rsidR="00140EA0" w:rsidRPr="00DE37B5">
        <w:t xml:space="preserve">use of funds </w:t>
      </w:r>
      <w:r w:rsidR="00AC6729" w:rsidRPr="00DE37B5">
        <w:t xml:space="preserve">approved </w:t>
      </w:r>
      <w:r w:rsidR="00140EA0" w:rsidRPr="00DE37B5">
        <w:t>in previous years for the following</w:t>
      </w:r>
      <w:r w:rsidR="00AC6729" w:rsidRPr="00DE37B5">
        <w:t xml:space="preserve"> items</w:t>
      </w:r>
      <w:r w:rsidR="00EC32C4" w:rsidRPr="00DE37B5">
        <w:t>: Effectiveness Working Group</w:t>
      </w:r>
      <w:r w:rsidR="002174A1" w:rsidRPr="00DE37B5">
        <w:t xml:space="preserve"> (Resolution XIII.2, paragraph 16)</w:t>
      </w:r>
      <w:r w:rsidR="00AC6729" w:rsidRPr="00DE37B5">
        <w:t>;</w:t>
      </w:r>
      <w:r w:rsidR="00DA7BE0" w:rsidRPr="00DE37B5">
        <w:t xml:space="preserve"> c</w:t>
      </w:r>
      <w:r w:rsidR="00EC32C4" w:rsidRPr="00DE37B5">
        <w:t xml:space="preserve">ommitments from </w:t>
      </w:r>
      <w:r w:rsidR="00AC6729" w:rsidRPr="00DE37B5">
        <w:t xml:space="preserve">the </w:t>
      </w:r>
      <w:r w:rsidR="00EC32C4" w:rsidRPr="00DE37B5">
        <w:t>2018 budget (carr</w:t>
      </w:r>
      <w:r w:rsidR="00CB6FE0" w:rsidRPr="00DE37B5">
        <w:t xml:space="preserve">ied </w:t>
      </w:r>
      <w:r w:rsidR="00EC32C4" w:rsidRPr="00DE37B5">
        <w:t>over to 2019)</w:t>
      </w:r>
      <w:r w:rsidR="00AC6729" w:rsidRPr="00DE37B5">
        <w:t xml:space="preserve">; SC57-authorized </w:t>
      </w:r>
      <w:r w:rsidR="00EC32C4" w:rsidRPr="00DE37B5">
        <w:t xml:space="preserve">use of surplus (see </w:t>
      </w:r>
      <w:r w:rsidR="00D52AA9" w:rsidRPr="00DE37B5">
        <w:t xml:space="preserve">Annex 9.2 of </w:t>
      </w:r>
      <w:r w:rsidR="006E10B2" w:rsidRPr="00DE37B5">
        <w:t xml:space="preserve">the </w:t>
      </w:r>
      <w:r w:rsidR="00EC32C4" w:rsidRPr="00DE37B5">
        <w:t xml:space="preserve">Report </w:t>
      </w:r>
      <w:r w:rsidR="009E4DC7" w:rsidRPr="00DE37B5">
        <w:t xml:space="preserve">of SC57, </w:t>
      </w:r>
      <w:r w:rsidR="00D52AA9" w:rsidRPr="00DE37B5">
        <w:t xml:space="preserve">approved </w:t>
      </w:r>
      <w:r w:rsidR="00BB7AF1" w:rsidRPr="00DE37B5">
        <w:t xml:space="preserve">through </w:t>
      </w:r>
      <w:r w:rsidR="00D52AA9" w:rsidRPr="00DE37B5">
        <w:t xml:space="preserve">Decision </w:t>
      </w:r>
      <w:r w:rsidR="00672A78" w:rsidRPr="00DE37B5">
        <w:t>SC</w:t>
      </w:r>
      <w:r w:rsidR="00D52AA9" w:rsidRPr="00DE37B5">
        <w:t>57</w:t>
      </w:r>
      <w:r w:rsidR="00451361" w:rsidRPr="00DE37B5">
        <w:t>-47</w:t>
      </w:r>
      <w:r w:rsidR="00EC32C4" w:rsidRPr="00DE37B5">
        <w:t>)</w:t>
      </w:r>
      <w:r w:rsidR="00920FA8" w:rsidRPr="00DE37B5">
        <w:t xml:space="preserve">. Column D shows </w:t>
      </w:r>
      <w:r w:rsidR="006F4FD1" w:rsidRPr="00DE37B5">
        <w:t xml:space="preserve">uncommitted </w:t>
      </w:r>
      <w:r w:rsidR="00CB6FE0" w:rsidRPr="00DE37B5">
        <w:t xml:space="preserve">funds carried </w:t>
      </w:r>
      <w:r w:rsidR="006F4FD1" w:rsidRPr="00DE37B5">
        <w:t xml:space="preserve">forward </w:t>
      </w:r>
      <w:r w:rsidR="00CB6FE0" w:rsidRPr="00DE37B5">
        <w:t xml:space="preserve">from </w:t>
      </w:r>
      <w:r w:rsidR="006F4FD1" w:rsidRPr="00DE37B5">
        <w:t>2019 to 2020 approved</w:t>
      </w:r>
      <w:r w:rsidR="00672A78" w:rsidRPr="00DE37B5">
        <w:t xml:space="preserve"> in the SC58 virtual meeting</w:t>
      </w:r>
      <w:r w:rsidR="006F4FD1" w:rsidRPr="00DE37B5">
        <w:t xml:space="preserve"> </w:t>
      </w:r>
      <w:r w:rsidR="0053102E" w:rsidRPr="00DE37B5">
        <w:t>in June 2020</w:t>
      </w:r>
      <w:r w:rsidR="00CB6FE0" w:rsidRPr="00DE37B5">
        <w:t>,</w:t>
      </w:r>
      <w:r w:rsidR="006F4FD1" w:rsidRPr="00DE37B5">
        <w:t xml:space="preserve"> and column E shows </w:t>
      </w:r>
      <w:r w:rsidR="00CB6FE0" w:rsidRPr="00DE37B5">
        <w:t xml:space="preserve">the </w:t>
      </w:r>
      <w:r w:rsidR="005F28AE" w:rsidRPr="00DE37B5">
        <w:t>allocations</w:t>
      </w:r>
      <w:r w:rsidR="006F4FD1" w:rsidRPr="00DE37B5">
        <w:t xml:space="preserve"> approved</w:t>
      </w:r>
      <w:r w:rsidR="005F28AE" w:rsidRPr="00DE37B5">
        <w:t xml:space="preserve"> by the Standing Committee </w:t>
      </w:r>
      <w:r w:rsidR="0053102E" w:rsidRPr="00DE37B5">
        <w:t>intersessional</w:t>
      </w:r>
      <w:r w:rsidR="00CB6FE0" w:rsidRPr="00DE37B5">
        <w:t>l</w:t>
      </w:r>
      <w:r w:rsidR="0053102E" w:rsidRPr="00DE37B5">
        <w:t>y in February 2021.</w:t>
      </w:r>
    </w:p>
    <w:p w14:paraId="6630D111" w14:textId="3DE62E48" w:rsidR="002B4F3C" w:rsidRPr="00DB52BE" w:rsidRDefault="002B4F3C" w:rsidP="002B4F3C"/>
    <w:p w14:paraId="28360078" w14:textId="501309F8" w:rsidR="0018037B" w:rsidRPr="00DB52BE" w:rsidRDefault="008F7FC4" w:rsidP="002C6BA6">
      <w:r w:rsidRPr="00DE37B5">
        <w:t>6.</w:t>
      </w:r>
      <w:r w:rsidR="002C6BA6" w:rsidRPr="00DE37B5">
        <w:tab/>
      </w:r>
      <w:r w:rsidR="004144E2" w:rsidRPr="00DE37B5">
        <w:t xml:space="preserve">In accordance with the instructions of the Standing Committee at its </w:t>
      </w:r>
      <w:r w:rsidR="005277E7" w:rsidRPr="00DE37B5">
        <w:t>virtual</w:t>
      </w:r>
      <w:r w:rsidR="002B4F3C" w:rsidRPr="00DE37B5">
        <w:t xml:space="preserve"> </w:t>
      </w:r>
      <w:r w:rsidR="004144E2" w:rsidRPr="00DE37B5">
        <w:t xml:space="preserve">58th </w:t>
      </w:r>
      <w:r w:rsidR="002B4F3C" w:rsidRPr="00DE37B5">
        <w:t>meeting</w:t>
      </w:r>
      <w:r w:rsidR="00C263E4" w:rsidRPr="00DE37B5">
        <w:t xml:space="preserve"> (Annex 4 of the Report of SC58, approved through Decision SC58-30)</w:t>
      </w:r>
      <w:r w:rsidR="002B4F3C" w:rsidRPr="00DE37B5">
        <w:t xml:space="preserve">, the 2020 </w:t>
      </w:r>
      <w:r w:rsidR="00291E74" w:rsidRPr="00DE37B5">
        <w:t xml:space="preserve">core </w:t>
      </w:r>
      <w:r w:rsidR="002B4F3C" w:rsidRPr="00DE37B5">
        <w:t xml:space="preserve">budget </w:t>
      </w:r>
      <w:r w:rsidR="004144E2" w:rsidRPr="00DE37B5">
        <w:t>was</w:t>
      </w:r>
      <w:r w:rsidR="002B4F3C" w:rsidRPr="00DE37B5">
        <w:t xml:space="preserve"> </w:t>
      </w:r>
      <w:r w:rsidR="005F28AE" w:rsidRPr="00DE37B5">
        <w:t xml:space="preserve">revised </w:t>
      </w:r>
      <w:r w:rsidR="002B4F3C" w:rsidRPr="00DE37B5">
        <w:t xml:space="preserve">to </w:t>
      </w:r>
      <w:r w:rsidR="00E658F0" w:rsidRPr="00DE37B5">
        <w:t>recognize savings made in dif</w:t>
      </w:r>
      <w:r w:rsidR="003B5828" w:rsidRPr="00DE37B5">
        <w:t xml:space="preserve">ferent budget lines </w:t>
      </w:r>
      <w:r w:rsidR="004144E2" w:rsidRPr="00DE37B5">
        <w:t>because of</w:t>
      </w:r>
      <w:r w:rsidR="003B5828" w:rsidRPr="00DE37B5">
        <w:t xml:space="preserve"> </w:t>
      </w:r>
      <w:r w:rsidR="004144E2" w:rsidRPr="00DE37B5">
        <w:t xml:space="preserve">the </w:t>
      </w:r>
      <w:r w:rsidR="003B5828" w:rsidRPr="00DE37B5">
        <w:t>COVID</w:t>
      </w:r>
      <w:r w:rsidR="00E658F0" w:rsidRPr="00DE37B5">
        <w:t xml:space="preserve">-19 pandemic that affected </w:t>
      </w:r>
      <w:r w:rsidR="003F3DE5" w:rsidRPr="00DE37B5">
        <w:t>planned</w:t>
      </w:r>
      <w:r w:rsidR="00E658F0" w:rsidRPr="00DE37B5">
        <w:t xml:space="preserve"> activities, such </w:t>
      </w:r>
      <w:r w:rsidR="004144E2" w:rsidRPr="00DE37B5">
        <w:t>as</w:t>
      </w:r>
      <w:r w:rsidR="00E658F0" w:rsidRPr="00DE37B5">
        <w:t xml:space="preserve"> travel, meetings, </w:t>
      </w:r>
      <w:r w:rsidR="004144E2" w:rsidRPr="00DE37B5">
        <w:t>and the</w:t>
      </w:r>
      <w:r w:rsidR="00E658F0" w:rsidRPr="00DE37B5">
        <w:t xml:space="preserve"> implementation of activities by the R</w:t>
      </w:r>
      <w:r w:rsidR="003F3DE5" w:rsidRPr="00DE37B5">
        <w:t>amsar Regional Initiatives (R</w:t>
      </w:r>
      <w:r w:rsidR="00E658F0" w:rsidRPr="00DE37B5">
        <w:t>RIs</w:t>
      </w:r>
      <w:r w:rsidR="003F3DE5" w:rsidRPr="00DE37B5">
        <w:t>)</w:t>
      </w:r>
      <w:r w:rsidR="00E658F0" w:rsidRPr="00DE37B5">
        <w:t xml:space="preserve">. </w:t>
      </w:r>
      <w:r w:rsidR="00624F62" w:rsidRPr="00DE37B5">
        <w:t>S</w:t>
      </w:r>
      <w:r w:rsidR="0018037B" w:rsidRPr="00DE37B5">
        <w:t xml:space="preserve">avings </w:t>
      </w:r>
      <w:r w:rsidR="001C3229" w:rsidRPr="00DE37B5">
        <w:t>of CHF 240K</w:t>
      </w:r>
      <w:r w:rsidR="00624F62" w:rsidRPr="00DE37B5">
        <w:t xml:space="preserve"> made against </w:t>
      </w:r>
      <w:r w:rsidR="0018037B" w:rsidRPr="00DE37B5">
        <w:t xml:space="preserve">the </w:t>
      </w:r>
      <w:r w:rsidR="00E658F0" w:rsidRPr="00DE37B5">
        <w:t>original COP13</w:t>
      </w:r>
      <w:r w:rsidR="004144E2" w:rsidRPr="00DE37B5">
        <w:t>-</w:t>
      </w:r>
      <w:r w:rsidR="00E658F0" w:rsidRPr="00DE37B5">
        <w:t xml:space="preserve">approved budget and savings </w:t>
      </w:r>
      <w:r w:rsidR="001C3229" w:rsidRPr="00DE37B5">
        <w:t xml:space="preserve">of CHF 489K </w:t>
      </w:r>
      <w:r w:rsidR="00E658F0" w:rsidRPr="00DE37B5">
        <w:t xml:space="preserve">unspent </w:t>
      </w:r>
      <w:r w:rsidR="008A63B8" w:rsidRPr="00DE37B5">
        <w:t>in</w:t>
      </w:r>
      <w:r w:rsidR="00E658F0" w:rsidRPr="00DE37B5">
        <w:t xml:space="preserve"> 2019</w:t>
      </w:r>
      <w:r w:rsidR="008A63B8" w:rsidRPr="00DE37B5">
        <w:t xml:space="preserve"> </w:t>
      </w:r>
      <w:r w:rsidR="001C3229" w:rsidRPr="00DE37B5">
        <w:t>and</w:t>
      </w:r>
      <w:r w:rsidR="008A63B8" w:rsidRPr="00DE37B5">
        <w:t xml:space="preserve"> carried forward</w:t>
      </w:r>
      <w:r w:rsidR="00E658F0" w:rsidRPr="00DE37B5">
        <w:t xml:space="preserve"> to 2020 </w:t>
      </w:r>
      <w:r w:rsidR="0018037B" w:rsidRPr="00DE37B5">
        <w:t xml:space="preserve"> </w:t>
      </w:r>
      <w:r w:rsidR="001C3229" w:rsidRPr="00DE37B5">
        <w:t xml:space="preserve">resulted </w:t>
      </w:r>
      <w:r w:rsidR="0018037B" w:rsidRPr="00DE37B5">
        <w:t>in</w:t>
      </w:r>
      <w:r w:rsidR="000F0730" w:rsidRPr="00DE37B5">
        <w:t xml:space="preserve"> approved total </w:t>
      </w:r>
      <w:r w:rsidR="0018037B" w:rsidRPr="00DE37B5">
        <w:t xml:space="preserve">savings </w:t>
      </w:r>
      <w:r w:rsidR="00571C21" w:rsidRPr="00DE37B5">
        <w:t>o</w:t>
      </w:r>
      <w:r w:rsidR="004144E2" w:rsidRPr="00DE37B5">
        <w:t>n the</w:t>
      </w:r>
      <w:r w:rsidR="00571C21" w:rsidRPr="00DE37B5">
        <w:t xml:space="preserve"> </w:t>
      </w:r>
      <w:r w:rsidR="0018037B" w:rsidRPr="00DE37B5">
        <w:t xml:space="preserve">2020 </w:t>
      </w:r>
      <w:r w:rsidR="00571C21" w:rsidRPr="00DE37B5">
        <w:t xml:space="preserve">core budget </w:t>
      </w:r>
      <w:r w:rsidR="0018037B" w:rsidRPr="00DE37B5">
        <w:t>of CHF 729</w:t>
      </w:r>
      <w:r w:rsidR="009B70F9" w:rsidRPr="00DE37B5">
        <w:t>K</w:t>
      </w:r>
      <w:r w:rsidR="0018037B" w:rsidRPr="00DE37B5">
        <w:t>.</w:t>
      </w:r>
    </w:p>
    <w:p w14:paraId="376FB0A7" w14:textId="3204EB93" w:rsidR="0018037B" w:rsidRPr="00DB52BE" w:rsidRDefault="0018037B" w:rsidP="0018037B">
      <w:pPr>
        <w:ind w:firstLine="0"/>
      </w:pPr>
    </w:p>
    <w:p w14:paraId="1E8230B3" w14:textId="36FB181D" w:rsidR="00E658F0" w:rsidRPr="00AC6729" w:rsidRDefault="008F7FC4" w:rsidP="002B4F3C">
      <w:r w:rsidRPr="00DE37B5">
        <w:t>7.</w:t>
      </w:r>
      <w:r w:rsidR="00E658F0" w:rsidRPr="00DE37B5">
        <w:tab/>
      </w:r>
      <w:r w:rsidR="005110EF" w:rsidRPr="00DE37B5">
        <w:t>In</w:t>
      </w:r>
      <w:r w:rsidR="0018037B" w:rsidRPr="00DE37B5">
        <w:t xml:space="preserve"> </w:t>
      </w:r>
      <w:r w:rsidR="005110EF" w:rsidRPr="00DE37B5">
        <w:t xml:space="preserve">February </w:t>
      </w:r>
      <w:r w:rsidR="0018037B" w:rsidRPr="00DE37B5">
        <w:t>2021</w:t>
      </w:r>
      <w:r w:rsidR="00CA3881" w:rsidRPr="00DE37B5">
        <w:t xml:space="preserve">, </w:t>
      </w:r>
      <w:r w:rsidR="00E658F0" w:rsidRPr="00DE37B5">
        <w:t xml:space="preserve">the </w:t>
      </w:r>
      <w:r w:rsidR="0018037B" w:rsidRPr="00DE37B5">
        <w:t>Standing Committee</w:t>
      </w:r>
      <w:r w:rsidR="00AE3C1B" w:rsidRPr="00DE37B5">
        <w:t xml:space="preserve"> approved </w:t>
      </w:r>
      <w:r w:rsidR="00DE37B5" w:rsidRPr="00DE37B5">
        <w:t>intersessionally</w:t>
      </w:r>
      <w:r w:rsidR="0018037B" w:rsidRPr="00DE37B5">
        <w:t xml:space="preserve"> </w:t>
      </w:r>
      <w:r w:rsidR="00DA6334" w:rsidRPr="00DE37B5">
        <w:t xml:space="preserve">a </w:t>
      </w:r>
      <w:r w:rsidR="0018037B" w:rsidRPr="00DE37B5">
        <w:t>further allocation</w:t>
      </w:r>
      <w:r w:rsidR="00EF08F0" w:rsidRPr="00DE37B5">
        <w:t xml:space="preserve"> </w:t>
      </w:r>
      <w:r w:rsidR="00405D9B" w:rsidRPr="00DE37B5">
        <w:t xml:space="preserve">of CHF 10K </w:t>
      </w:r>
      <w:r w:rsidR="00CA3881" w:rsidRPr="00DE37B5">
        <w:t xml:space="preserve">each </w:t>
      </w:r>
      <w:r w:rsidR="00EF08F0" w:rsidRPr="00DE37B5">
        <w:t>to two Ramsar Regional Initiatives</w:t>
      </w:r>
      <w:r w:rsidR="00CA3881" w:rsidRPr="00DE37B5">
        <w:t>, for a</w:t>
      </w:r>
      <w:r w:rsidR="0018037B" w:rsidRPr="00DE37B5">
        <w:t xml:space="preserve"> </w:t>
      </w:r>
      <w:r w:rsidR="00EF08F0" w:rsidRPr="00DE37B5">
        <w:t xml:space="preserve">total </w:t>
      </w:r>
      <w:r w:rsidR="0018037B" w:rsidRPr="00DE37B5">
        <w:t>of CHF</w:t>
      </w:r>
      <w:r w:rsidR="00CA3881" w:rsidRPr="00DE37B5">
        <w:t xml:space="preserve"> </w:t>
      </w:r>
      <w:r w:rsidR="0018037B" w:rsidRPr="00DE37B5">
        <w:t>20K</w:t>
      </w:r>
      <w:r w:rsidR="00E658F0" w:rsidRPr="00DE37B5">
        <w:t>.</w:t>
      </w:r>
      <w:r w:rsidR="0018037B" w:rsidRPr="00DB52BE">
        <w:t xml:space="preserve"> </w:t>
      </w:r>
      <w:r w:rsidR="00DD6B53" w:rsidRPr="00DB52BE">
        <w:t>As a result</w:t>
      </w:r>
      <w:r w:rsidR="0018037B" w:rsidRPr="00DB52BE">
        <w:t xml:space="preserve">, the </w:t>
      </w:r>
      <w:r w:rsidR="00E658F0" w:rsidRPr="00DB52BE">
        <w:t xml:space="preserve">amount of budgeted savings </w:t>
      </w:r>
      <w:r w:rsidR="00DA6334" w:rsidRPr="00DB52BE">
        <w:t xml:space="preserve">in </w:t>
      </w:r>
      <w:r w:rsidR="00E658F0" w:rsidRPr="00DB52BE">
        <w:t xml:space="preserve">2020 </w:t>
      </w:r>
      <w:r w:rsidR="003F3DE5" w:rsidRPr="00DB52BE">
        <w:t xml:space="preserve">was </w:t>
      </w:r>
      <w:r w:rsidR="0018037B" w:rsidRPr="00DB52BE">
        <w:t>reduced</w:t>
      </w:r>
      <w:r w:rsidR="00E658F0" w:rsidRPr="00DB52BE">
        <w:t xml:space="preserve"> to CHF</w:t>
      </w:r>
      <w:r w:rsidR="00CA3881">
        <w:t xml:space="preserve"> </w:t>
      </w:r>
      <w:r w:rsidR="0018037B" w:rsidRPr="00DB52BE">
        <w:t>220K</w:t>
      </w:r>
      <w:r w:rsidR="00DD6B53" w:rsidRPr="00DB52BE">
        <w:t xml:space="preserve">, </w:t>
      </w:r>
      <w:r w:rsidR="000F0730">
        <w:t xml:space="preserve">giving </w:t>
      </w:r>
      <w:r w:rsidR="002D31A7" w:rsidRPr="00DB52BE">
        <w:t>total savings</w:t>
      </w:r>
      <w:r w:rsidR="00405D9B" w:rsidRPr="00DB52BE">
        <w:t xml:space="preserve"> </w:t>
      </w:r>
      <w:r w:rsidR="000F0730">
        <w:t>on the</w:t>
      </w:r>
      <w:r w:rsidR="002D31A7" w:rsidRPr="00DB52BE">
        <w:t xml:space="preserve"> 2020 </w:t>
      </w:r>
      <w:r w:rsidR="00405D9B" w:rsidRPr="00DB52BE">
        <w:t xml:space="preserve">core budget </w:t>
      </w:r>
      <w:r w:rsidR="000F0730">
        <w:t>of</w:t>
      </w:r>
      <w:r w:rsidR="002D31A7" w:rsidRPr="00DB52BE">
        <w:t xml:space="preserve"> CHF 709K</w:t>
      </w:r>
      <w:r w:rsidR="00405D9B" w:rsidRPr="00DB52BE">
        <w:t>.</w:t>
      </w:r>
    </w:p>
    <w:p w14:paraId="455530B8" w14:textId="146A7EC7" w:rsidR="00504DE2" w:rsidRPr="002174A1" w:rsidRDefault="00504DE2" w:rsidP="00162710">
      <w:pPr>
        <w:ind w:left="0" w:firstLine="0"/>
      </w:pPr>
    </w:p>
    <w:p w14:paraId="11F5D800" w14:textId="37081B4B" w:rsidR="009B7477" w:rsidRPr="00340E62" w:rsidRDefault="008F7FC4" w:rsidP="00FC40CB">
      <w:r>
        <w:lastRenderedPageBreak/>
        <w:t>8</w:t>
      </w:r>
      <w:r w:rsidR="00FC40CB">
        <w:t>.</w:t>
      </w:r>
      <w:r w:rsidR="00FC40CB">
        <w:tab/>
      </w:r>
      <w:r w:rsidR="00B119AF" w:rsidRPr="00942026">
        <w:t>T</w:t>
      </w:r>
      <w:r w:rsidR="00AC6729">
        <w:t>he t</w:t>
      </w:r>
      <w:r w:rsidR="00D02F95" w:rsidRPr="00942026">
        <w:t>otal</w:t>
      </w:r>
      <w:r w:rsidR="003E63A7" w:rsidRPr="00942026">
        <w:t xml:space="preserve"> available budget </w:t>
      </w:r>
      <w:r w:rsidR="003E63A7" w:rsidRPr="00340E62">
        <w:t xml:space="preserve">for </w:t>
      </w:r>
      <w:r w:rsidR="00E658F0" w:rsidRPr="00340E62">
        <w:t xml:space="preserve">2020 </w:t>
      </w:r>
      <w:r w:rsidR="00513689" w:rsidRPr="00340E62">
        <w:t>was</w:t>
      </w:r>
      <w:r w:rsidR="00EC32C4" w:rsidRPr="00340E62">
        <w:t xml:space="preserve"> thus</w:t>
      </w:r>
      <w:r w:rsidR="00B119AF" w:rsidRPr="00340E62">
        <w:t xml:space="preserve"> </w:t>
      </w:r>
      <w:r w:rsidR="003E63A7" w:rsidRPr="00340E62">
        <w:t xml:space="preserve">CHF </w:t>
      </w:r>
      <w:r w:rsidR="002D31A7" w:rsidRPr="00340E62">
        <w:t>6,664</w:t>
      </w:r>
      <w:r w:rsidR="001C11BE" w:rsidRPr="00340E62">
        <w:t>K</w:t>
      </w:r>
      <w:r w:rsidR="00D02F95" w:rsidRPr="00340E62">
        <w:t>. Annex 2 also shows</w:t>
      </w:r>
      <w:r w:rsidR="00BB7AF1" w:rsidRPr="00340E62">
        <w:t xml:space="preserve"> the</w:t>
      </w:r>
      <w:r w:rsidR="00D02F95" w:rsidRPr="00340E62">
        <w:t xml:space="preserve"> </w:t>
      </w:r>
      <w:r w:rsidR="00176A64" w:rsidRPr="00340E62">
        <w:t xml:space="preserve">final </w:t>
      </w:r>
      <w:r w:rsidR="00C0407F" w:rsidRPr="00340E62">
        <w:t>income and expenditure</w:t>
      </w:r>
      <w:r w:rsidR="00176A64" w:rsidRPr="00340E62">
        <w:t xml:space="preserve"> in </w:t>
      </w:r>
      <w:r w:rsidR="00E658F0" w:rsidRPr="00340E62">
        <w:t xml:space="preserve">2020 </w:t>
      </w:r>
      <w:r w:rsidR="00176A64" w:rsidRPr="00340E62">
        <w:t>confirmed by the</w:t>
      </w:r>
      <w:r w:rsidR="00C62675" w:rsidRPr="00340E62">
        <w:t xml:space="preserve"> financial statements (Annex </w:t>
      </w:r>
      <w:r w:rsidR="00B8400C" w:rsidRPr="00340E62">
        <w:t>1</w:t>
      </w:r>
      <w:r w:rsidR="00C62675" w:rsidRPr="00340E62">
        <w:t>)</w:t>
      </w:r>
      <w:r w:rsidR="00DB7060" w:rsidRPr="00340E62">
        <w:t xml:space="preserve"> </w:t>
      </w:r>
      <w:r w:rsidR="00513689" w:rsidRPr="00340E62">
        <w:t>and</w:t>
      </w:r>
      <w:r w:rsidR="00D02F95" w:rsidRPr="00340E62">
        <w:t xml:space="preserve"> </w:t>
      </w:r>
      <w:r w:rsidR="00BC2EB0" w:rsidRPr="00340E62">
        <w:t>the</w:t>
      </w:r>
      <w:r w:rsidR="00E91F83" w:rsidRPr="00340E62">
        <w:t xml:space="preserve"> </w:t>
      </w:r>
      <w:r w:rsidR="00BB4A2E" w:rsidRPr="00340E62">
        <w:t xml:space="preserve">balance as </w:t>
      </w:r>
      <w:r w:rsidR="008C18DC" w:rsidRPr="00340E62">
        <w:t>of</w:t>
      </w:r>
      <w:r w:rsidR="00ED1F5E" w:rsidRPr="00340E62">
        <w:t xml:space="preserve"> 31 December </w:t>
      </w:r>
      <w:r w:rsidR="00E658F0" w:rsidRPr="00340E62">
        <w:t xml:space="preserve">2020 </w:t>
      </w:r>
      <w:r w:rsidR="0042091F" w:rsidRPr="00340E62">
        <w:t xml:space="preserve">for each </w:t>
      </w:r>
      <w:r w:rsidR="00B119AF" w:rsidRPr="00340E62">
        <w:t xml:space="preserve">budget line and </w:t>
      </w:r>
      <w:r w:rsidR="00513689" w:rsidRPr="00340E62">
        <w:t>category</w:t>
      </w:r>
      <w:r w:rsidR="00C54315" w:rsidRPr="00340E62">
        <w:t>.</w:t>
      </w:r>
    </w:p>
    <w:p w14:paraId="6041D318" w14:textId="46A189F6" w:rsidR="00CC24F5" w:rsidRPr="00340E62" w:rsidRDefault="00CC24F5" w:rsidP="00162710"/>
    <w:p w14:paraId="584C2180" w14:textId="235E3B49" w:rsidR="00C0407F" w:rsidRPr="00340E62" w:rsidRDefault="008F7FC4" w:rsidP="00162710">
      <w:r w:rsidRPr="00340E62">
        <w:t>9</w:t>
      </w:r>
      <w:r w:rsidR="00CC24F5" w:rsidRPr="00340E62">
        <w:t>.</w:t>
      </w:r>
      <w:r w:rsidR="00C42F6F" w:rsidRPr="00340E62">
        <w:tab/>
      </w:r>
      <w:r w:rsidR="009647EC" w:rsidRPr="00340E62">
        <w:t>The</w:t>
      </w:r>
      <w:r w:rsidR="00CC24F5" w:rsidRPr="00340E62">
        <w:t xml:space="preserve"> Standing Committee is invited to review and accept </w:t>
      </w:r>
      <w:r w:rsidR="00C52BA8" w:rsidRPr="00340E62">
        <w:t xml:space="preserve">the </w:t>
      </w:r>
      <w:r w:rsidR="00E658F0" w:rsidRPr="00340E62">
        <w:t xml:space="preserve">2020 </w:t>
      </w:r>
      <w:r w:rsidR="0044415F" w:rsidRPr="00340E62">
        <w:t xml:space="preserve">audited </w:t>
      </w:r>
      <w:r w:rsidR="00C52BA8" w:rsidRPr="00340E62">
        <w:t xml:space="preserve">financial statements </w:t>
      </w:r>
      <w:r w:rsidR="00965839" w:rsidRPr="00340E62">
        <w:t>(</w:t>
      </w:r>
      <w:r w:rsidR="00C52BA8" w:rsidRPr="00340E62">
        <w:t>Annex 1</w:t>
      </w:r>
      <w:r w:rsidR="00965839" w:rsidRPr="00340E62">
        <w:t>)</w:t>
      </w:r>
      <w:r w:rsidR="00CC24F5" w:rsidRPr="00340E62">
        <w:t>.</w:t>
      </w:r>
      <w:r w:rsidR="00CB6134" w:rsidRPr="00340E62">
        <w:t xml:space="preserve"> The full </w:t>
      </w:r>
      <w:r w:rsidR="00D434FB" w:rsidRPr="00340E62">
        <w:t xml:space="preserve">2020 </w:t>
      </w:r>
      <w:r w:rsidR="00CB6134" w:rsidRPr="00340E62">
        <w:t xml:space="preserve">audited financial statements including the notes and audit opinion </w:t>
      </w:r>
      <w:r w:rsidR="0047303C" w:rsidRPr="00340E62">
        <w:t>have been</w:t>
      </w:r>
      <w:r w:rsidR="00CB6134" w:rsidRPr="00340E62">
        <w:t xml:space="preserve"> published</w:t>
      </w:r>
      <w:r w:rsidR="00573F8B" w:rsidRPr="00340E62">
        <w:t xml:space="preserve"> on the Convention website</w:t>
      </w:r>
      <w:r w:rsidR="000F0730" w:rsidRPr="00340E62">
        <w:t>.</w:t>
      </w:r>
      <w:r w:rsidR="00CB6134" w:rsidRPr="00340E62">
        <w:rPr>
          <w:rStyle w:val="FootnoteReference"/>
        </w:rPr>
        <w:footnoteReference w:id="1"/>
      </w:r>
    </w:p>
    <w:p w14:paraId="2617A8F7" w14:textId="77777777" w:rsidR="004C6D8E" w:rsidRPr="00340E62" w:rsidRDefault="004C6D8E" w:rsidP="00162710"/>
    <w:p w14:paraId="1DBFA619" w14:textId="3BEB28A4" w:rsidR="00F1556C" w:rsidRDefault="008F7FC4" w:rsidP="00F1556C">
      <w:r w:rsidRPr="00340E62">
        <w:t>10</w:t>
      </w:r>
      <w:r w:rsidR="004C6D8E" w:rsidRPr="00340E62">
        <w:t>.</w:t>
      </w:r>
      <w:r w:rsidR="004C6D8E" w:rsidRPr="00340E62">
        <w:tab/>
        <w:t xml:space="preserve">At the end of </w:t>
      </w:r>
      <w:r w:rsidR="00D15AEB" w:rsidRPr="00340E62">
        <w:t>2020</w:t>
      </w:r>
      <w:r w:rsidR="004C6D8E" w:rsidRPr="00340E62">
        <w:t xml:space="preserve">, there was a core budget </w:t>
      </w:r>
      <w:r w:rsidR="00B26242" w:rsidRPr="00340E62">
        <w:t xml:space="preserve">balance </w:t>
      </w:r>
      <w:r w:rsidR="004C6D8E" w:rsidRPr="00340E62">
        <w:t xml:space="preserve">of CHF </w:t>
      </w:r>
      <w:r w:rsidR="00D15AEB" w:rsidRPr="00340E62">
        <w:t>2,</w:t>
      </w:r>
      <w:r w:rsidR="000B2A00" w:rsidRPr="00340E62">
        <w:t>253K</w:t>
      </w:r>
      <w:r w:rsidR="004C6D8E" w:rsidRPr="00340E62">
        <w:t xml:space="preserve">. This </w:t>
      </w:r>
      <w:r w:rsidR="00D97CAE" w:rsidRPr="00340E62">
        <w:t xml:space="preserve">included </w:t>
      </w:r>
      <w:r w:rsidR="004C6D8E" w:rsidRPr="00340E62">
        <w:t xml:space="preserve">CHF </w:t>
      </w:r>
      <w:r w:rsidR="0036778B" w:rsidRPr="00340E62">
        <w:t>712</w:t>
      </w:r>
      <w:r w:rsidR="00D15AEB" w:rsidRPr="00340E62">
        <w:t xml:space="preserve">K </w:t>
      </w:r>
      <w:r w:rsidR="00062A46" w:rsidRPr="00340E62">
        <w:t xml:space="preserve">of </w:t>
      </w:r>
      <w:r w:rsidR="00D15AEB" w:rsidRPr="00340E62">
        <w:t xml:space="preserve">2020 </w:t>
      </w:r>
      <w:r w:rsidR="00062A46" w:rsidRPr="00340E62">
        <w:t>pre-committed</w:t>
      </w:r>
      <w:r w:rsidR="00F5542F" w:rsidRPr="00340E62">
        <w:t>/planned</w:t>
      </w:r>
      <w:r w:rsidR="00062A46" w:rsidRPr="00340E62">
        <w:t xml:space="preserve"> </w:t>
      </w:r>
      <w:r w:rsidR="00827D03" w:rsidRPr="00340E62">
        <w:t xml:space="preserve">funds </w:t>
      </w:r>
      <w:r w:rsidR="00062A46" w:rsidRPr="00340E62">
        <w:t xml:space="preserve">to be </w:t>
      </w:r>
      <w:r w:rsidR="00D97CAE" w:rsidRPr="00340E62">
        <w:t xml:space="preserve">spent </w:t>
      </w:r>
      <w:r w:rsidR="00062A46" w:rsidRPr="00340E62">
        <w:t xml:space="preserve">in </w:t>
      </w:r>
      <w:r w:rsidR="00D15AEB" w:rsidRPr="00340E62">
        <w:t>2021</w:t>
      </w:r>
      <w:r w:rsidR="000F0730" w:rsidRPr="00340E62">
        <w:t xml:space="preserve">, </w:t>
      </w:r>
      <w:r w:rsidR="004C6D8E" w:rsidRPr="00340E62">
        <w:t>and</w:t>
      </w:r>
      <w:r w:rsidR="0019556E" w:rsidRPr="00340E62">
        <w:t xml:space="preserve"> </w:t>
      </w:r>
      <w:r w:rsidR="00827D03" w:rsidRPr="00340E62">
        <w:t xml:space="preserve">CHF </w:t>
      </w:r>
      <w:r w:rsidR="00D15AEB" w:rsidRPr="00340E62">
        <w:t>1,</w:t>
      </w:r>
      <w:r w:rsidR="00F5542F" w:rsidRPr="00340E62">
        <w:t xml:space="preserve">590K </w:t>
      </w:r>
      <w:r w:rsidR="006E10B2" w:rsidRPr="00340E62">
        <w:t xml:space="preserve">of </w:t>
      </w:r>
      <w:r w:rsidR="00EC61E0" w:rsidRPr="00340E62">
        <w:t>uncommitted</w:t>
      </w:r>
      <w:r w:rsidR="00B17032" w:rsidRPr="00340E62">
        <w:t xml:space="preserve"> and </w:t>
      </w:r>
      <w:r w:rsidR="001404C4" w:rsidRPr="00340E62">
        <w:t>unspent</w:t>
      </w:r>
      <w:r w:rsidR="00EA444A" w:rsidRPr="00340E62">
        <w:t xml:space="preserve"> </w:t>
      </w:r>
      <w:r w:rsidR="00827D03" w:rsidRPr="00340E62">
        <w:t>funds</w:t>
      </w:r>
      <w:r w:rsidR="008A63B8" w:rsidRPr="00340E62">
        <w:t xml:space="preserve">, minus the net shortfall </w:t>
      </w:r>
      <w:r w:rsidR="00946EF3" w:rsidRPr="00340E62">
        <w:t>in</w:t>
      </w:r>
      <w:r w:rsidR="008A63B8" w:rsidRPr="00340E62">
        <w:t xml:space="preserve"> income </w:t>
      </w:r>
      <w:r w:rsidR="00946EF3" w:rsidRPr="00340E62">
        <w:t xml:space="preserve">of </w:t>
      </w:r>
      <w:r w:rsidR="008A63B8" w:rsidRPr="00340E62">
        <w:t>CHF 47K</w:t>
      </w:r>
      <w:r w:rsidR="00827D03" w:rsidRPr="00340E62">
        <w:t>.</w:t>
      </w:r>
      <w:r w:rsidR="00F1556C" w:rsidRPr="00340E62">
        <w:t xml:space="preserve"> Table 1 below provides a summary of the pre-committed</w:t>
      </w:r>
      <w:r w:rsidR="00F5542F" w:rsidRPr="00340E62">
        <w:t>/planned</w:t>
      </w:r>
      <w:r w:rsidR="00F1556C" w:rsidRPr="00340E62">
        <w:t xml:space="preserve"> and uncommitted funds carried forward</w:t>
      </w:r>
      <w:r w:rsidR="00946EF3">
        <w:t xml:space="preserve"> from the 2020 core budget</w:t>
      </w:r>
      <w:r w:rsidR="00F1556C" w:rsidRPr="00421152">
        <w:t>.</w:t>
      </w:r>
    </w:p>
    <w:p w14:paraId="6F1E828A" w14:textId="3C263A87" w:rsidR="00882609" w:rsidRDefault="00882609" w:rsidP="00162710"/>
    <w:p w14:paraId="552CF735" w14:textId="68A00427" w:rsidR="00030DC9" w:rsidRDefault="008F7FC4" w:rsidP="00FC40CB">
      <w:r>
        <w:t>11</w:t>
      </w:r>
      <w:r w:rsidR="00FC40CB">
        <w:t>.</w:t>
      </w:r>
      <w:r w:rsidR="00FC40CB">
        <w:tab/>
      </w:r>
      <w:r w:rsidR="00202BE8">
        <w:t>T</w:t>
      </w:r>
      <w:r w:rsidR="00827D03">
        <w:t>he Standing Committee in Decision SC57-50</w:t>
      </w:r>
      <w:r w:rsidR="00202BE8">
        <w:rPr>
          <w:rStyle w:val="FootnoteReference"/>
        </w:rPr>
        <w:footnoteReference w:id="2"/>
      </w:r>
      <w:r w:rsidR="00827D03">
        <w:t xml:space="preserve"> decided that uncommitted/</w:t>
      </w:r>
      <w:r w:rsidR="001404C4">
        <w:t>unspent</w:t>
      </w:r>
      <w:r w:rsidR="00AE2EA2">
        <w:t xml:space="preserve"> </w:t>
      </w:r>
      <w:r w:rsidR="00827D03">
        <w:t>balances for budget lines can be carried forward to the next year within the triennium and presented to the following meeting of the Subgroup on Finance.</w:t>
      </w:r>
      <w:r w:rsidR="00573F8B">
        <w:t xml:space="preserve"> </w:t>
      </w:r>
      <w:r w:rsidR="00827D03">
        <w:t>Hence</w:t>
      </w:r>
      <w:r w:rsidR="00827D03" w:rsidRPr="00825A5B">
        <w:t xml:space="preserve">, the total of </w:t>
      </w:r>
      <w:r w:rsidR="00827D03">
        <w:t>uncommitted/</w:t>
      </w:r>
      <w:r w:rsidR="001404C4">
        <w:t xml:space="preserve">unspent </w:t>
      </w:r>
      <w:r w:rsidR="00827D03">
        <w:t xml:space="preserve">balances </w:t>
      </w:r>
      <w:r w:rsidR="00FB0D9D">
        <w:t>has been</w:t>
      </w:r>
      <w:r w:rsidR="00827D03">
        <w:t xml:space="preserve"> carried forward to </w:t>
      </w:r>
      <w:r w:rsidR="00200E88">
        <w:t>2021</w:t>
      </w:r>
      <w:r w:rsidR="00827D03">
        <w:t xml:space="preserve">. </w:t>
      </w:r>
    </w:p>
    <w:p w14:paraId="4E6C1B11" w14:textId="40E278BA" w:rsidR="00C730BF" w:rsidRDefault="00C730BF" w:rsidP="00162710"/>
    <w:p w14:paraId="679F885E" w14:textId="6BDFE66B" w:rsidR="00163F72" w:rsidRDefault="006712F6" w:rsidP="008F7FC4">
      <w:pPr>
        <w:ind w:left="0" w:firstLine="0"/>
        <w:rPr>
          <w:i/>
        </w:rPr>
      </w:pPr>
      <w:r w:rsidRPr="00825A5B">
        <w:rPr>
          <w:i/>
        </w:rPr>
        <w:t xml:space="preserve">Table 1: </w:t>
      </w:r>
      <w:r>
        <w:rPr>
          <w:i/>
        </w:rPr>
        <w:t>S</w:t>
      </w:r>
      <w:r w:rsidRPr="00825A5B">
        <w:rPr>
          <w:i/>
        </w:rPr>
        <w:t xml:space="preserve">ummary </w:t>
      </w:r>
      <w:r>
        <w:rPr>
          <w:i/>
        </w:rPr>
        <w:t xml:space="preserve">of </w:t>
      </w:r>
      <w:r w:rsidRPr="00825A5B">
        <w:rPr>
          <w:i/>
        </w:rPr>
        <w:t>20</w:t>
      </w:r>
      <w:r>
        <w:rPr>
          <w:i/>
        </w:rPr>
        <w:t>20</w:t>
      </w:r>
      <w:r w:rsidRPr="00825A5B">
        <w:rPr>
          <w:i/>
        </w:rPr>
        <w:t xml:space="preserve"> core budget</w:t>
      </w:r>
      <w:r>
        <w:rPr>
          <w:i/>
        </w:rPr>
        <w:t xml:space="preserve"> pre-committed and uncommitted</w:t>
      </w:r>
      <w:r w:rsidRPr="00825A5B">
        <w:rPr>
          <w:i/>
        </w:rPr>
        <w:t xml:space="preserve"> </w:t>
      </w:r>
      <w:r>
        <w:rPr>
          <w:i/>
        </w:rPr>
        <w:t>funds carried forward</w:t>
      </w:r>
      <w:r w:rsidRPr="00825A5B">
        <w:rPr>
          <w:i/>
        </w:rPr>
        <w:t xml:space="preserve"> </w:t>
      </w:r>
      <w:r w:rsidR="00FB0D9D">
        <w:rPr>
          <w:i/>
        </w:rPr>
        <w:br/>
      </w:r>
      <w:r w:rsidRPr="00825A5B">
        <w:rPr>
          <w:i/>
        </w:rPr>
        <w:t>(</w:t>
      </w:r>
      <w:r>
        <w:rPr>
          <w:i/>
        </w:rPr>
        <w:t xml:space="preserve">in </w:t>
      </w:r>
      <w:r w:rsidRPr="00825A5B">
        <w:rPr>
          <w:i/>
        </w:rPr>
        <w:t>‘000 CHF, includes possible rounding differences)</w:t>
      </w:r>
    </w:p>
    <w:tbl>
      <w:tblPr>
        <w:tblW w:w="9498" w:type="dxa"/>
        <w:tblInd w:w="-5" w:type="dxa"/>
        <w:tblLayout w:type="fixed"/>
        <w:tblLook w:val="04A0" w:firstRow="1" w:lastRow="0" w:firstColumn="1" w:lastColumn="0" w:noHBand="0" w:noVBand="1"/>
      </w:tblPr>
      <w:tblGrid>
        <w:gridCol w:w="1560"/>
        <w:gridCol w:w="1370"/>
        <w:gridCol w:w="1370"/>
        <w:gridCol w:w="1370"/>
        <w:gridCol w:w="3828"/>
      </w:tblGrid>
      <w:tr w:rsidR="006712F6" w:rsidRPr="006712F6" w14:paraId="621480AC" w14:textId="77777777" w:rsidTr="00146B5F">
        <w:trPr>
          <w:tblHeader/>
        </w:trPr>
        <w:tc>
          <w:tcPr>
            <w:tcW w:w="1560" w:type="dxa"/>
            <w:tcBorders>
              <w:top w:val="single" w:sz="4" w:space="0" w:color="auto"/>
              <w:left w:val="single" w:sz="4" w:space="0" w:color="auto"/>
              <w:bottom w:val="single" w:sz="4" w:space="0" w:color="auto"/>
              <w:right w:val="single" w:sz="4" w:space="0" w:color="auto"/>
            </w:tcBorders>
            <w:shd w:val="clear" w:color="000000" w:fill="DBE5F1"/>
            <w:noWrap/>
            <w:vAlign w:val="center"/>
            <w:hideMark/>
          </w:tcPr>
          <w:p w14:paraId="0DFCAF79" w14:textId="77777777" w:rsidR="006712F6" w:rsidRPr="006712F6" w:rsidRDefault="006712F6" w:rsidP="006712F6">
            <w:pPr>
              <w:ind w:left="0" w:firstLine="0"/>
              <w:jc w:val="center"/>
              <w:rPr>
                <w:rFonts w:eastAsia="Times New Roman" w:cs="Calibri"/>
                <w:b/>
                <w:bCs/>
                <w:color w:val="000000"/>
                <w:sz w:val="20"/>
                <w:szCs w:val="20"/>
                <w:lang w:eastAsia="en-GB"/>
              </w:rPr>
            </w:pPr>
            <w:r w:rsidRPr="006712F6">
              <w:rPr>
                <w:rFonts w:eastAsia="Times New Roman" w:cs="Calibri"/>
                <w:b/>
                <w:bCs/>
                <w:color w:val="000000"/>
                <w:sz w:val="20"/>
                <w:szCs w:val="20"/>
                <w:lang w:eastAsia="en-GB"/>
              </w:rPr>
              <w:t>Category / Department</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31E47F70" w14:textId="5AFB93BD" w:rsidR="006712F6" w:rsidRPr="006712F6" w:rsidRDefault="006712F6" w:rsidP="008F7FC4">
            <w:pPr>
              <w:ind w:left="0" w:firstLine="0"/>
              <w:jc w:val="center"/>
              <w:rPr>
                <w:rFonts w:eastAsia="Times New Roman" w:cs="Calibri"/>
                <w:b/>
                <w:bCs/>
                <w:sz w:val="20"/>
                <w:szCs w:val="20"/>
                <w:lang w:eastAsia="en-GB"/>
              </w:rPr>
            </w:pPr>
            <w:r w:rsidRPr="006712F6">
              <w:rPr>
                <w:rFonts w:eastAsia="Times New Roman" w:cs="Calibri"/>
                <w:b/>
                <w:bCs/>
                <w:sz w:val="20"/>
                <w:szCs w:val="20"/>
                <w:lang w:eastAsia="en-GB"/>
              </w:rPr>
              <w:t>Pre-committed</w:t>
            </w:r>
            <w:r>
              <w:rPr>
                <w:rFonts w:eastAsia="Times New Roman" w:cs="Calibri"/>
                <w:b/>
                <w:bCs/>
                <w:sz w:val="20"/>
                <w:szCs w:val="20"/>
                <w:lang w:eastAsia="en-GB"/>
              </w:rPr>
              <w:t xml:space="preserve"> </w:t>
            </w:r>
            <w:r w:rsidRPr="006712F6">
              <w:rPr>
                <w:rFonts w:eastAsia="Times New Roman" w:cs="Calibri"/>
                <w:b/>
                <w:bCs/>
                <w:sz w:val="20"/>
                <w:szCs w:val="20"/>
                <w:lang w:eastAsia="en-GB"/>
              </w:rPr>
              <w:t>/</w:t>
            </w:r>
            <w:r>
              <w:rPr>
                <w:rFonts w:eastAsia="Times New Roman" w:cs="Calibri"/>
                <w:b/>
                <w:bCs/>
                <w:sz w:val="20"/>
                <w:szCs w:val="20"/>
                <w:lang w:eastAsia="en-GB"/>
              </w:rPr>
              <w:t xml:space="preserve"> </w:t>
            </w:r>
            <w:r w:rsidRPr="006712F6">
              <w:rPr>
                <w:rFonts w:eastAsia="Times New Roman" w:cs="Calibri"/>
                <w:b/>
                <w:bCs/>
                <w:sz w:val="20"/>
                <w:szCs w:val="20"/>
                <w:lang w:eastAsia="en-GB"/>
              </w:rPr>
              <w:t>planned 2020 to be spent in 2021 (A)</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25F9B44C" w14:textId="7BFB3667" w:rsidR="006712F6" w:rsidRPr="006712F6" w:rsidRDefault="006712F6" w:rsidP="00FB0D9D">
            <w:pPr>
              <w:ind w:left="0" w:firstLine="0"/>
              <w:jc w:val="center"/>
              <w:rPr>
                <w:rFonts w:eastAsia="Times New Roman" w:cs="Calibri"/>
                <w:b/>
                <w:bCs/>
                <w:sz w:val="20"/>
                <w:szCs w:val="20"/>
                <w:lang w:eastAsia="en-GB"/>
              </w:rPr>
            </w:pPr>
            <w:r w:rsidRPr="006712F6">
              <w:rPr>
                <w:rFonts w:eastAsia="Times New Roman" w:cs="Calibri"/>
                <w:b/>
                <w:bCs/>
                <w:sz w:val="20"/>
                <w:szCs w:val="20"/>
                <w:lang w:eastAsia="en-GB"/>
              </w:rPr>
              <w:t>Uncommitted 2020 carr</w:t>
            </w:r>
            <w:r w:rsidR="00FB0D9D">
              <w:rPr>
                <w:rFonts w:eastAsia="Times New Roman" w:cs="Calibri"/>
                <w:b/>
                <w:bCs/>
                <w:sz w:val="20"/>
                <w:szCs w:val="20"/>
                <w:lang w:eastAsia="en-GB"/>
              </w:rPr>
              <w:t>ied</w:t>
            </w:r>
            <w:r w:rsidRPr="006712F6">
              <w:rPr>
                <w:rFonts w:eastAsia="Times New Roman" w:cs="Calibri"/>
                <w:b/>
                <w:bCs/>
                <w:sz w:val="20"/>
                <w:szCs w:val="20"/>
                <w:lang w:eastAsia="en-GB"/>
              </w:rPr>
              <w:t xml:space="preserve"> forward to 2021 (B)</w:t>
            </w:r>
          </w:p>
        </w:tc>
        <w:tc>
          <w:tcPr>
            <w:tcW w:w="1370" w:type="dxa"/>
            <w:tcBorders>
              <w:top w:val="single" w:sz="4" w:space="0" w:color="auto"/>
              <w:left w:val="nil"/>
              <w:bottom w:val="single" w:sz="4" w:space="0" w:color="auto"/>
              <w:right w:val="single" w:sz="4" w:space="0" w:color="auto"/>
            </w:tcBorders>
            <w:shd w:val="clear" w:color="000000" w:fill="DBE5F1"/>
            <w:vAlign w:val="center"/>
            <w:hideMark/>
          </w:tcPr>
          <w:p w14:paraId="77867B75" w14:textId="26F5763D" w:rsidR="006712F6" w:rsidRPr="006712F6" w:rsidRDefault="006712F6" w:rsidP="00FB0D9D">
            <w:pPr>
              <w:ind w:left="0" w:firstLine="0"/>
              <w:jc w:val="center"/>
              <w:rPr>
                <w:rFonts w:eastAsia="Times New Roman" w:cs="Calibri"/>
                <w:b/>
                <w:bCs/>
                <w:sz w:val="20"/>
                <w:szCs w:val="20"/>
                <w:lang w:eastAsia="en-GB"/>
              </w:rPr>
            </w:pPr>
            <w:r w:rsidRPr="006712F6">
              <w:rPr>
                <w:rFonts w:eastAsia="Times New Roman" w:cs="Calibri"/>
                <w:b/>
                <w:bCs/>
                <w:sz w:val="20"/>
                <w:szCs w:val="20"/>
                <w:lang w:eastAsia="en-GB"/>
              </w:rPr>
              <w:t>Carr</w:t>
            </w:r>
            <w:r w:rsidR="00FB0D9D">
              <w:rPr>
                <w:rFonts w:eastAsia="Times New Roman" w:cs="Calibri"/>
                <w:b/>
                <w:bCs/>
                <w:sz w:val="20"/>
                <w:szCs w:val="20"/>
                <w:lang w:eastAsia="en-GB"/>
              </w:rPr>
              <w:t>ied</w:t>
            </w:r>
            <w:r w:rsidRPr="006712F6">
              <w:rPr>
                <w:rFonts w:eastAsia="Times New Roman" w:cs="Calibri"/>
                <w:b/>
                <w:bCs/>
                <w:sz w:val="20"/>
                <w:szCs w:val="20"/>
                <w:lang w:eastAsia="en-GB"/>
              </w:rPr>
              <w:t xml:space="preserve"> </w:t>
            </w:r>
            <w:r w:rsidR="00CE1195">
              <w:rPr>
                <w:rFonts w:eastAsia="Times New Roman" w:cs="Calibri"/>
                <w:b/>
                <w:bCs/>
                <w:sz w:val="20"/>
                <w:szCs w:val="20"/>
                <w:lang w:eastAsia="en-GB"/>
              </w:rPr>
              <w:t>f</w:t>
            </w:r>
            <w:r w:rsidRPr="006712F6">
              <w:rPr>
                <w:rFonts w:eastAsia="Times New Roman" w:cs="Calibri"/>
                <w:b/>
                <w:bCs/>
                <w:sz w:val="20"/>
                <w:szCs w:val="20"/>
                <w:lang w:eastAsia="en-GB"/>
              </w:rPr>
              <w:t xml:space="preserve">orward </w:t>
            </w:r>
            <w:r w:rsidR="00FB0D9D">
              <w:rPr>
                <w:rFonts w:eastAsia="Times New Roman" w:cs="Calibri"/>
                <w:b/>
                <w:bCs/>
                <w:sz w:val="20"/>
                <w:szCs w:val="20"/>
                <w:lang w:eastAsia="en-GB"/>
              </w:rPr>
              <w:br/>
            </w:r>
            <w:r w:rsidRPr="006712F6">
              <w:rPr>
                <w:rFonts w:eastAsia="Times New Roman" w:cs="Calibri"/>
                <w:b/>
                <w:bCs/>
                <w:sz w:val="20"/>
                <w:szCs w:val="20"/>
                <w:lang w:eastAsia="en-GB"/>
              </w:rPr>
              <w:t xml:space="preserve">2020 to 2021 </w:t>
            </w:r>
            <w:r w:rsidRPr="006712F6">
              <w:rPr>
                <w:rFonts w:eastAsia="Times New Roman" w:cs="Calibri"/>
                <w:b/>
                <w:bCs/>
                <w:sz w:val="20"/>
                <w:szCs w:val="20"/>
                <w:lang w:eastAsia="en-GB"/>
              </w:rPr>
              <w:br/>
              <w:t>(C=A+B)</w:t>
            </w:r>
          </w:p>
        </w:tc>
        <w:tc>
          <w:tcPr>
            <w:tcW w:w="3828" w:type="dxa"/>
            <w:tcBorders>
              <w:top w:val="single" w:sz="4" w:space="0" w:color="auto"/>
              <w:left w:val="nil"/>
              <w:bottom w:val="single" w:sz="4" w:space="0" w:color="auto"/>
              <w:right w:val="single" w:sz="4" w:space="0" w:color="auto"/>
            </w:tcBorders>
            <w:shd w:val="clear" w:color="000000" w:fill="DBE5F1"/>
            <w:noWrap/>
            <w:vAlign w:val="center"/>
            <w:hideMark/>
          </w:tcPr>
          <w:p w14:paraId="7D3B2C04" w14:textId="25E9E33B" w:rsidR="006712F6" w:rsidRPr="006712F6" w:rsidRDefault="006712F6" w:rsidP="00FB0D9D">
            <w:pPr>
              <w:ind w:left="0" w:firstLine="0"/>
              <w:jc w:val="center"/>
              <w:rPr>
                <w:rFonts w:eastAsia="Times New Roman" w:cs="Calibri"/>
                <w:b/>
                <w:bCs/>
                <w:sz w:val="20"/>
                <w:szCs w:val="20"/>
                <w:lang w:eastAsia="en-GB"/>
              </w:rPr>
            </w:pPr>
            <w:r w:rsidRPr="006712F6">
              <w:rPr>
                <w:rFonts w:eastAsia="Times New Roman" w:cs="Calibri"/>
                <w:b/>
                <w:bCs/>
                <w:sz w:val="20"/>
                <w:szCs w:val="20"/>
                <w:lang w:eastAsia="en-GB"/>
              </w:rPr>
              <w:t>Comments for pre-commitments</w:t>
            </w:r>
            <w:r w:rsidR="00CE1195">
              <w:rPr>
                <w:rFonts w:eastAsia="Times New Roman" w:cs="Calibri"/>
                <w:b/>
                <w:bCs/>
                <w:sz w:val="20"/>
                <w:szCs w:val="20"/>
                <w:lang w:eastAsia="en-GB"/>
              </w:rPr>
              <w:t xml:space="preserve"> </w:t>
            </w:r>
            <w:r w:rsidRPr="006712F6">
              <w:rPr>
                <w:rFonts w:eastAsia="Times New Roman" w:cs="Calibri"/>
                <w:b/>
                <w:bCs/>
                <w:sz w:val="20"/>
                <w:szCs w:val="20"/>
                <w:lang w:eastAsia="en-GB"/>
              </w:rPr>
              <w:t>/</w:t>
            </w:r>
            <w:r w:rsidR="00CE1195">
              <w:rPr>
                <w:rFonts w:eastAsia="Times New Roman" w:cs="Calibri"/>
                <w:b/>
                <w:bCs/>
                <w:sz w:val="20"/>
                <w:szCs w:val="20"/>
                <w:lang w:eastAsia="en-GB"/>
              </w:rPr>
              <w:t xml:space="preserve"> </w:t>
            </w:r>
            <w:r w:rsidRPr="006712F6">
              <w:rPr>
                <w:rFonts w:eastAsia="Times New Roman" w:cs="Calibri"/>
                <w:b/>
                <w:bCs/>
                <w:sz w:val="20"/>
                <w:szCs w:val="20"/>
                <w:lang w:eastAsia="en-GB"/>
              </w:rPr>
              <w:t xml:space="preserve">planned </w:t>
            </w:r>
            <w:r w:rsidR="00FB0D9D">
              <w:rPr>
                <w:rFonts w:eastAsia="Times New Roman" w:cs="Calibri"/>
                <w:b/>
                <w:bCs/>
                <w:sz w:val="20"/>
                <w:szCs w:val="20"/>
                <w:lang w:eastAsia="en-GB"/>
              </w:rPr>
              <w:t>and</w:t>
            </w:r>
            <w:r w:rsidRPr="006712F6">
              <w:rPr>
                <w:rFonts w:eastAsia="Times New Roman" w:cs="Calibri"/>
                <w:b/>
                <w:bCs/>
                <w:sz w:val="20"/>
                <w:szCs w:val="20"/>
                <w:lang w:eastAsia="en-GB"/>
              </w:rPr>
              <w:t xml:space="preserve"> savings</w:t>
            </w:r>
          </w:p>
        </w:tc>
      </w:tr>
      <w:tr w:rsidR="006712F6" w:rsidRPr="0036778B" w14:paraId="436A3D4F" w14:textId="77777777" w:rsidTr="00146B5F">
        <w:trPr>
          <w:trHeight w:val="990"/>
        </w:trPr>
        <w:tc>
          <w:tcPr>
            <w:tcW w:w="1560" w:type="dxa"/>
            <w:tcBorders>
              <w:top w:val="nil"/>
              <w:left w:val="single" w:sz="4" w:space="0" w:color="auto"/>
              <w:bottom w:val="single" w:sz="4" w:space="0" w:color="auto"/>
              <w:right w:val="single" w:sz="4" w:space="0" w:color="auto"/>
            </w:tcBorders>
            <w:shd w:val="clear" w:color="auto" w:fill="auto"/>
            <w:noWrap/>
            <w:hideMark/>
          </w:tcPr>
          <w:p w14:paraId="479943FD"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Senior Management and Governance</w:t>
            </w:r>
          </w:p>
        </w:tc>
        <w:tc>
          <w:tcPr>
            <w:tcW w:w="1370" w:type="dxa"/>
            <w:tcBorders>
              <w:top w:val="nil"/>
              <w:left w:val="nil"/>
              <w:bottom w:val="single" w:sz="4" w:space="0" w:color="auto"/>
              <w:right w:val="single" w:sz="4" w:space="0" w:color="auto"/>
            </w:tcBorders>
            <w:shd w:val="clear" w:color="auto" w:fill="auto"/>
            <w:hideMark/>
          </w:tcPr>
          <w:p w14:paraId="5DD22443" w14:textId="77777777" w:rsidR="006712F6" w:rsidRPr="00FB0D9D" w:rsidRDefault="006712F6" w:rsidP="00FB0D9D">
            <w:pPr>
              <w:ind w:left="0" w:firstLine="0"/>
              <w:jc w:val="right"/>
              <w:rPr>
                <w:rFonts w:eastAsia="Times New Roman" w:cs="Calibri"/>
                <w:color w:val="000000"/>
                <w:sz w:val="20"/>
                <w:szCs w:val="20"/>
                <w:lang w:eastAsia="en-GB"/>
              </w:rPr>
            </w:pPr>
            <w:r w:rsidRPr="00FB0D9D">
              <w:rPr>
                <w:rFonts w:eastAsia="Times New Roman" w:cs="Calibri"/>
                <w:color w:val="000000"/>
                <w:sz w:val="20"/>
                <w:szCs w:val="20"/>
                <w:lang w:eastAsia="en-GB"/>
              </w:rPr>
              <w:t>0</w:t>
            </w:r>
          </w:p>
        </w:tc>
        <w:tc>
          <w:tcPr>
            <w:tcW w:w="1370" w:type="dxa"/>
            <w:tcBorders>
              <w:top w:val="nil"/>
              <w:left w:val="nil"/>
              <w:bottom w:val="single" w:sz="4" w:space="0" w:color="auto"/>
              <w:right w:val="single" w:sz="4" w:space="0" w:color="auto"/>
            </w:tcBorders>
            <w:shd w:val="clear" w:color="auto" w:fill="auto"/>
            <w:hideMark/>
          </w:tcPr>
          <w:p w14:paraId="61C618FF" w14:textId="77777777" w:rsidR="006712F6" w:rsidRPr="00FB0D9D" w:rsidRDefault="006712F6" w:rsidP="00FB0D9D">
            <w:pPr>
              <w:ind w:left="0" w:firstLine="0"/>
              <w:jc w:val="right"/>
              <w:rPr>
                <w:rFonts w:eastAsia="Times New Roman" w:cs="Calibri"/>
                <w:color w:val="000000"/>
                <w:sz w:val="20"/>
                <w:szCs w:val="20"/>
                <w:lang w:eastAsia="en-GB"/>
              </w:rPr>
            </w:pPr>
            <w:r w:rsidRPr="00FB0D9D">
              <w:rPr>
                <w:rFonts w:eastAsia="Times New Roman" w:cs="Calibri"/>
                <w:color w:val="000000"/>
                <w:sz w:val="20"/>
                <w:szCs w:val="20"/>
                <w:lang w:eastAsia="en-GB"/>
              </w:rPr>
              <w:t>175</w:t>
            </w:r>
          </w:p>
        </w:tc>
        <w:tc>
          <w:tcPr>
            <w:tcW w:w="1370" w:type="dxa"/>
            <w:tcBorders>
              <w:top w:val="nil"/>
              <w:left w:val="nil"/>
              <w:bottom w:val="single" w:sz="4" w:space="0" w:color="auto"/>
              <w:right w:val="single" w:sz="4" w:space="0" w:color="auto"/>
            </w:tcBorders>
            <w:shd w:val="clear" w:color="auto" w:fill="auto"/>
            <w:noWrap/>
            <w:hideMark/>
          </w:tcPr>
          <w:p w14:paraId="07B9D5BE" w14:textId="77777777" w:rsidR="006712F6" w:rsidRPr="00FB0D9D" w:rsidRDefault="006712F6" w:rsidP="00FB0D9D">
            <w:pPr>
              <w:ind w:left="0" w:firstLine="0"/>
              <w:jc w:val="right"/>
              <w:rPr>
                <w:rFonts w:eastAsia="Times New Roman" w:cs="Calibri"/>
                <w:color w:val="000000"/>
                <w:sz w:val="20"/>
                <w:szCs w:val="20"/>
                <w:lang w:eastAsia="en-GB"/>
              </w:rPr>
            </w:pPr>
            <w:r w:rsidRPr="00FB0D9D">
              <w:rPr>
                <w:rFonts w:eastAsia="Times New Roman" w:cs="Calibri"/>
                <w:color w:val="000000"/>
                <w:sz w:val="20"/>
                <w:szCs w:val="20"/>
                <w:lang w:eastAsia="en-GB"/>
              </w:rPr>
              <w:t>175</w:t>
            </w:r>
          </w:p>
        </w:tc>
        <w:tc>
          <w:tcPr>
            <w:tcW w:w="3828" w:type="dxa"/>
            <w:tcBorders>
              <w:top w:val="nil"/>
              <w:left w:val="nil"/>
              <w:bottom w:val="single" w:sz="4" w:space="0" w:color="auto"/>
              <w:right w:val="single" w:sz="4" w:space="0" w:color="auto"/>
            </w:tcBorders>
            <w:shd w:val="clear" w:color="auto" w:fill="auto"/>
            <w:hideMark/>
          </w:tcPr>
          <w:p w14:paraId="7F498B19" w14:textId="385FF0A9" w:rsidR="006712F6" w:rsidRPr="00FB0D9D" w:rsidRDefault="00FB0D9D" w:rsidP="00FB0D9D">
            <w:pPr>
              <w:ind w:left="0" w:firstLine="0"/>
              <w:rPr>
                <w:rFonts w:eastAsia="Times New Roman" w:cs="Calibri"/>
                <w:color w:val="000000"/>
                <w:sz w:val="20"/>
                <w:szCs w:val="20"/>
                <w:lang w:eastAsia="en-GB"/>
              </w:rPr>
            </w:pPr>
            <w:r>
              <w:rPr>
                <w:rFonts w:eastAsia="Times New Roman" w:cs="Calibri"/>
                <w:b/>
                <w:bCs/>
                <w:color w:val="000000"/>
                <w:sz w:val="20"/>
                <w:szCs w:val="20"/>
                <w:lang w:eastAsia="en-GB"/>
              </w:rPr>
              <w:t>S</w:t>
            </w:r>
            <w:r w:rsidR="006712F6" w:rsidRPr="00FB0D9D">
              <w:rPr>
                <w:rFonts w:eastAsia="Times New Roman" w:cs="Calibri"/>
                <w:b/>
                <w:bCs/>
                <w:color w:val="000000"/>
                <w:sz w:val="20"/>
                <w:szCs w:val="20"/>
                <w:lang w:eastAsia="en-GB"/>
              </w:rPr>
              <w:t>avings:</w:t>
            </w:r>
            <w:r w:rsidR="006712F6" w:rsidRPr="00FB0D9D">
              <w:rPr>
                <w:rFonts w:eastAsia="Times New Roman" w:cs="Calibri"/>
                <w:color w:val="000000"/>
                <w:sz w:val="20"/>
                <w:szCs w:val="20"/>
                <w:lang w:eastAsia="en-GB"/>
              </w:rPr>
              <w:t xml:space="preserve"> (i) vacancy of Conference </w:t>
            </w:r>
            <w:r w:rsidR="00CE1195" w:rsidRPr="00FB0D9D">
              <w:rPr>
                <w:rFonts w:eastAsia="Times New Roman" w:cs="Calibri"/>
                <w:color w:val="000000"/>
                <w:sz w:val="20"/>
                <w:szCs w:val="20"/>
                <w:lang w:eastAsia="en-GB"/>
              </w:rPr>
              <w:t>A</w:t>
            </w:r>
            <w:r w:rsidR="006712F6" w:rsidRPr="00FB0D9D">
              <w:rPr>
                <w:rFonts w:eastAsia="Times New Roman" w:cs="Calibri"/>
                <w:color w:val="000000"/>
                <w:sz w:val="20"/>
                <w:szCs w:val="20"/>
                <w:lang w:eastAsia="en-GB"/>
              </w:rPr>
              <w:t>ssistant position for the first half of 2020, (ii) adjustments in salaries and</w:t>
            </w:r>
            <w:r w:rsidR="002135D9" w:rsidRPr="00FB0D9D">
              <w:rPr>
                <w:rFonts w:eastAsia="Times New Roman" w:cs="Calibri"/>
                <w:color w:val="000000"/>
                <w:sz w:val="20"/>
                <w:szCs w:val="20"/>
                <w:lang w:eastAsia="en-GB"/>
              </w:rPr>
              <w:t xml:space="preserve"> </w:t>
            </w:r>
            <w:r w:rsidR="006712F6" w:rsidRPr="00FB0D9D">
              <w:rPr>
                <w:rFonts w:eastAsia="Times New Roman" w:cs="Calibri"/>
                <w:color w:val="000000"/>
                <w:sz w:val="20"/>
                <w:szCs w:val="20"/>
                <w:lang w:eastAsia="en-GB"/>
              </w:rPr>
              <w:t>employment benefits</w:t>
            </w:r>
            <w:r>
              <w:rPr>
                <w:rFonts w:eastAsia="Times New Roman" w:cs="Calibri"/>
                <w:color w:val="000000"/>
                <w:sz w:val="20"/>
                <w:szCs w:val="20"/>
                <w:lang w:eastAsia="en-GB"/>
              </w:rPr>
              <w:t>,</w:t>
            </w:r>
            <w:r w:rsidR="006712F6" w:rsidRPr="00FB0D9D">
              <w:rPr>
                <w:rFonts w:eastAsia="Times New Roman" w:cs="Calibri"/>
                <w:color w:val="000000"/>
                <w:sz w:val="20"/>
                <w:szCs w:val="20"/>
                <w:lang w:eastAsia="en-GB"/>
              </w:rPr>
              <w:t xml:space="preserve"> and (ii</w:t>
            </w:r>
            <w:r>
              <w:rPr>
                <w:rFonts w:eastAsia="Times New Roman" w:cs="Calibri"/>
                <w:color w:val="000000"/>
                <w:sz w:val="20"/>
                <w:szCs w:val="20"/>
                <w:lang w:eastAsia="en-GB"/>
              </w:rPr>
              <w:t>i</w:t>
            </w:r>
            <w:r w:rsidR="006712F6" w:rsidRPr="00FB0D9D">
              <w:rPr>
                <w:rFonts w:eastAsia="Times New Roman" w:cs="Calibri"/>
                <w:color w:val="000000"/>
                <w:sz w:val="20"/>
                <w:szCs w:val="20"/>
                <w:lang w:eastAsia="en-GB"/>
              </w:rPr>
              <w:t>) significantly reduced travel due to pandemic</w:t>
            </w:r>
            <w:r>
              <w:rPr>
                <w:rFonts w:eastAsia="Times New Roman" w:cs="Calibri"/>
                <w:color w:val="000000"/>
                <w:sz w:val="20"/>
                <w:szCs w:val="20"/>
                <w:lang w:eastAsia="en-GB"/>
              </w:rPr>
              <w:t>.</w:t>
            </w:r>
          </w:p>
        </w:tc>
      </w:tr>
      <w:tr w:rsidR="006712F6" w:rsidRPr="0036778B" w14:paraId="6EA21859" w14:textId="77777777" w:rsidTr="00146B5F">
        <w:trPr>
          <w:trHeight w:val="1800"/>
        </w:trPr>
        <w:tc>
          <w:tcPr>
            <w:tcW w:w="1560" w:type="dxa"/>
            <w:tcBorders>
              <w:top w:val="nil"/>
              <w:left w:val="single" w:sz="4" w:space="0" w:color="auto"/>
              <w:bottom w:val="single" w:sz="4" w:space="0" w:color="auto"/>
              <w:right w:val="single" w:sz="4" w:space="0" w:color="auto"/>
            </w:tcBorders>
            <w:shd w:val="clear" w:color="auto" w:fill="auto"/>
            <w:noWrap/>
            <w:hideMark/>
          </w:tcPr>
          <w:p w14:paraId="5DBEEA05"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Resource Mobilization and Outreach</w:t>
            </w:r>
          </w:p>
        </w:tc>
        <w:tc>
          <w:tcPr>
            <w:tcW w:w="1370" w:type="dxa"/>
            <w:tcBorders>
              <w:top w:val="nil"/>
              <w:left w:val="nil"/>
              <w:bottom w:val="single" w:sz="4" w:space="0" w:color="auto"/>
              <w:right w:val="single" w:sz="4" w:space="0" w:color="auto"/>
            </w:tcBorders>
            <w:shd w:val="clear" w:color="auto" w:fill="auto"/>
            <w:noWrap/>
            <w:hideMark/>
          </w:tcPr>
          <w:p w14:paraId="0024B85B"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164</w:t>
            </w:r>
          </w:p>
        </w:tc>
        <w:tc>
          <w:tcPr>
            <w:tcW w:w="1370" w:type="dxa"/>
            <w:tcBorders>
              <w:top w:val="nil"/>
              <w:left w:val="nil"/>
              <w:bottom w:val="single" w:sz="4" w:space="0" w:color="auto"/>
              <w:right w:val="single" w:sz="4" w:space="0" w:color="auto"/>
            </w:tcBorders>
            <w:shd w:val="clear" w:color="auto" w:fill="auto"/>
            <w:noWrap/>
            <w:hideMark/>
          </w:tcPr>
          <w:p w14:paraId="1BC13C2C"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50</w:t>
            </w:r>
          </w:p>
        </w:tc>
        <w:tc>
          <w:tcPr>
            <w:tcW w:w="1370" w:type="dxa"/>
            <w:tcBorders>
              <w:top w:val="nil"/>
              <w:left w:val="nil"/>
              <w:bottom w:val="single" w:sz="4" w:space="0" w:color="auto"/>
              <w:right w:val="single" w:sz="4" w:space="0" w:color="auto"/>
            </w:tcBorders>
            <w:shd w:val="clear" w:color="auto" w:fill="auto"/>
            <w:noWrap/>
            <w:hideMark/>
          </w:tcPr>
          <w:p w14:paraId="5F2E37E7" w14:textId="77777777" w:rsidR="006712F6" w:rsidRPr="00FB0D9D" w:rsidRDefault="006712F6" w:rsidP="00FB0D9D">
            <w:pPr>
              <w:ind w:left="0" w:firstLine="0"/>
              <w:jc w:val="right"/>
              <w:rPr>
                <w:rFonts w:eastAsia="Times New Roman" w:cs="Calibri"/>
                <w:color w:val="000000"/>
                <w:sz w:val="20"/>
                <w:szCs w:val="20"/>
                <w:lang w:eastAsia="en-GB"/>
              </w:rPr>
            </w:pPr>
            <w:r w:rsidRPr="00FB0D9D">
              <w:rPr>
                <w:rFonts w:eastAsia="Times New Roman" w:cs="Calibri"/>
                <w:color w:val="000000"/>
                <w:sz w:val="20"/>
                <w:szCs w:val="20"/>
                <w:lang w:eastAsia="en-GB"/>
              </w:rPr>
              <w:t>214</w:t>
            </w:r>
          </w:p>
        </w:tc>
        <w:tc>
          <w:tcPr>
            <w:tcW w:w="3828" w:type="dxa"/>
            <w:tcBorders>
              <w:top w:val="nil"/>
              <w:left w:val="nil"/>
              <w:bottom w:val="single" w:sz="4" w:space="0" w:color="auto"/>
              <w:right w:val="single" w:sz="4" w:space="0" w:color="auto"/>
            </w:tcBorders>
            <w:shd w:val="clear" w:color="auto" w:fill="auto"/>
            <w:hideMark/>
          </w:tcPr>
          <w:p w14:paraId="0B2391EE" w14:textId="7DA389DC" w:rsidR="006712F6" w:rsidRPr="00FB0D9D" w:rsidRDefault="00FB0D9D" w:rsidP="009D009D">
            <w:pPr>
              <w:ind w:left="0" w:firstLine="0"/>
              <w:rPr>
                <w:rFonts w:eastAsia="Times New Roman" w:cs="Calibri"/>
                <w:color w:val="000000"/>
                <w:sz w:val="20"/>
                <w:szCs w:val="20"/>
                <w:lang w:eastAsia="en-GB"/>
              </w:rPr>
            </w:pPr>
            <w:r>
              <w:rPr>
                <w:rFonts w:eastAsia="Times New Roman" w:cs="Calibri"/>
                <w:b/>
                <w:bCs/>
                <w:color w:val="000000"/>
                <w:sz w:val="20"/>
                <w:szCs w:val="20"/>
                <w:lang w:eastAsia="en-GB"/>
              </w:rPr>
              <w:t>P</w:t>
            </w:r>
            <w:r w:rsidR="006712F6" w:rsidRPr="00FB0D9D">
              <w:rPr>
                <w:rFonts w:eastAsia="Times New Roman" w:cs="Calibri"/>
                <w:b/>
                <w:bCs/>
                <w:color w:val="000000"/>
                <w:sz w:val="20"/>
                <w:szCs w:val="20"/>
                <w:lang w:eastAsia="en-GB"/>
              </w:rPr>
              <w:t>re-committed/planned:</w:t>
            </w:r>
            <w:r w:rsidR="006712F6" w:rsidRPr="00FB0D9D">
              <w:rPr>
                <w:rFonts w:eastAsia="Times New Roman" w:cs="Calibri"/>
                <w:color w:val="000000"/>
                <w:sz w:val="20"/>
                <w:szCs w:val="20"/>
                <w:lang w:eastAsia="en-GB"/>
              </w:rPr>
              <w:t xml:space="preserve"> (i) 4K IT services</w:t>
            </w:r>
            <w:r>
              <w:rPr>
                <w:rFonts w:eastAsia="Times New Roman" w:cs="Calibri"/>
                <w:color w:val="000000"/>
                <w:sz w:val="20"/>
                <w:szCs w:val="20"/>
                <w:lang w:eastAsia="en-GB"/>
              </w:rPr>
              <w:t>,</w:t>
            </w:r>
            <w:r w:rsidR="006712F6" w:rsidRPr="00FB0D9D">
              <w:rPr>
                <w:rFonts w:eastAsia="Times New Roman" w:cs="Calibri"/>
                <w:color w:val="000000"/>
                <w:sz w:val="20"/>
                <w:szCs w:val="20"/>
                <w:lang w:eastAsia="en-GB"/>
              </w:rPr>
              <w:t xml:space="preserve"> (ii) 28K WWD </w:t>
            </w:r>
            <w:r>
              <w:rPr>
                <w:rFonts w:eastAsia="Times New Roman" w:cs="Calibri"/>
                <w:color w:val="000000"/>
                <w:sz w:val="20"/>
                <w:szCs w:val="20"/>
                <w:lang w:eastAsia="en-GB"/>
              </w:rPr>
              <w:t>and</w:t>
            </w:r>
            <w:r w:rsidR="006712F6" w:rsidRPr="00FB0D9D">
              <w:rPr>
                <w:rFonts w:eastAsia="Times New Roman" w:cs="Calibri"/>
                <w:color w:val="000000"/>
                <w:sz w:val="20"/>
                <w:szCs w:val="20"/>
                <w:lang w:eastAsia="en-GB"/>
              </w:rPr>
              <w:t xml:space="preserve"> 50th Anniversary 2021, (iii) 53K CEPA Program</w:t>
            </w:r>
            <w:r w:rsidR="00CE1195" w:rsidRPr="00FB0D9D">
              <w:rPr>
                <w:rFonts w:eastAsia="Times New Roman" w:cs="Calibri"/>
                <w:color w:val="000000"/>
                <w:sz w:val="20"/>
                <w:szCs w:val="20"/>
                <w:lang w:eastAsia="en-GB"/>
              </w:rPr>
              <w:t>me</w:t>
            </w:r>
            <w:r>
              <w:rPr>
                <w:rFonts w:eastAsia="Times New Roman" w:cs="Calibri"/>
                <w:color w:val="000000"/>
                <w:sz w:val="20"/>
                <w:szCs w:val="20"/>
                <w:lang w:eastAsia="en-GB"/>
              </w:rPr>
              <w:t>,</w:t>
            </w:r>
            <w:r w:rsidR="006712F6" w:rsidRPr="00FB0D9D">
              <w:rPr>
                <w:rFonts w:eastAsia="Times New Roman" w:cs="Calibri"/>
                <w:color w:val="000000"/>
                <w:sz w:val="20"/>
                <w:szCs w:val="20"/>
                <w:lang w:eastAsia="en-GB"/>
              </w:rPr>
              <w:t xml:space="preserve"> and (iv) 79K </w:t>
            </w:r>
            <w:r w:rsidRPr="00FB0D9D">
              <w:rPr>
                <w:rFonts w:eastAsia="Times New Roman" w:cs="Calibri"/>
                <w:color w:val="000000"/>
                <w:sz w:val="20"/>
                <w:szCs w:val="20"/>
                <w:lang w:eastAsia="en-GB"/>
              </w:rPr>
              <w:t xml:space="preserve">communications, translations, publications and reporting implementation </w:t>
            </w:r>
            <w:r w:rsidR="00202BE8">
              <w:rPr>
                <w:rFonts w:eastAsia="Times New Roman" w:cs="Calibri"/>
                <w:color w:val="000000"/>
                <w:sz w:val="20"/>
                <w:szCs w:val="20"/>
                <w:lang w:eastAsia="en-GB"/>
              </w:rPr>
              <w:t>planned for use towards</w:t>
            </w:r>
            <w:r w:rsidR="006712F6" w:rsidRPr="00FB0D9D">
              <w:rPr>
                <w:rFonts w:eastAsia="Times New Roman" w:cs="Calibri"/>
                <w:color w:val="000000"/>
                <w:sz w:val="20"/>
                <w:szCs w:val="20"/>
                <w:lang w:eastAsia="en-GB"/>
              </w:rPr>
              <w:t xml:space="preserve"> COP14</w:t>
            </w:r>
            <w:r>
              <w:rPr>
                <w:rFonts w:eastAsia="Times New Roman" w:cs="Calibri"/>
                <w:color w:val="000000"/>
                <w:sz w:val="20"/>
                <w:szCs w:val="20"/>
                <w:lang w:eastAsia="en-GB"/>
              </w:rPr>
              <w:t>.</w:t>
            </w:r>
            <w:r w:rsidR="006712F6" w:rsidRPr="00FB0D9D">
              <w:rPr>
                <w:rFonts w:eastAsia="Times New Roman" w:cs="Calibri"/>
                <w:color w:val="000000"/>
                <w:sz w:val="20"/>
                <w:szCs w:val="20"/>
                <w:lang w:eastAsia="en-GB"/>
              </w:rPr>
              <w:br/>
            </w:r>
            <w:r>
              <w:rPr>
                <w:rFonts w:eastAsia="Times New Roman" w:cs="Calibri"/>
                <w:b/>
                <w:bCs/>
                <w:color w:val="000000"/>
                <w:sz w:val="20"/>
                <w:szCs w:val="20"/>
                <w:lang w:eastAsia="en-GB"/>
              </w:rPr>
              <w:t>S</w:t>
            </w:r>
            <w:r w:rsidR="006712F6" w:rsidRPr="00FB0D9D">
              <w:rPr>
                <w:rFonts w:eastAsia="Times New Roman" w:cs="Calibri"/>
                <w:b/>
                <w:bCs/>
                <w:color w:val="000000"/>
                <w:sz w:val="20"/>
                <w:szCs w:val="20"/>
                <w:lang w:eastAsia="en-GB"/>
              </w:rPr>
              <w:t xml:space="preserve">avings: </w:t>
            </w:r>
            <w:r w:rsidR="006712F6" w:rsidRPr="00FB0D9D">
              <w:rPr>
                <w:rFonts w:eastAsia="Times New Roman" w:cs="Calibri"/>
                <w:color w:val="000000"/>
                <w:sz w:val="20"/>
                <w:szCs w:val="20"/>
                <w:lang w:eastAsia="en-GB"/>
              </w:rPr>
              <w:t xml:space="preserve">(i) Director position reclassified and </w:t>
            </w:r>
            <w:r w:rsidR="00BE0C6F">
              <w:rPr>
                <w:rFonts w:eastAsia="Times New Roman" w:cs="Calibri"/>
                <w:color w:val="000000"/>
                <w:sz w:val="20"/>
                <w:szCs w:val="20"/>
                <w:lang w:eastAsia="en-GB"/>
              </w:rPr>
              <w:t xml:space="preserve">RMO officer </w:t>
            </w:r>
            <w:r w:rsidR="006712F6" w:rsidRPr="00FB0D9D">
              <w:rPr>
                <w:rFonts w:eastAsia="Times New Roman" w:cs="Calibri"/>
                <w:color w:val="000000"/>
                <w:sz w:val="20"/>
                <w:szCs w:val="20"/>
                <w:lang w:eastAsia="en-GB"/>
              </w:rPr>
              <w:t>recruited in 2020</w:t>
            </w:r>
            <w:r>
              <w:rPr>
                <w:rFonts w:eastAsia="Times New Roman" w:cs="Calibri"/>
                <w:color w:val="000000"/>
                <w:sz w:val="20"/>
                <w:szCs w:val="20"/>
                <w:lang w:eastAsia="en-GB"/>
              </w:rPr>
              <w:t>,</w:t>
            </w:r>
            <w:r w:rsidR="006712F6" w:rsidRPr="00FB0D9D">
              <w:rPr>
                <w:rFonts w:eastAsia="Times New Roman" w:cs="Calibri"/>
                <w:color w:val="000000"/>
                <w:sz w:val="20"/>
                <w:szCs w:val="20"/>
                <w:lang w:eastAsia="en-GB"/>
              </w:rPr>
              <w:t xml:space="preserve"> (ii) other employment benefits</w:t>
            </w:r>
            <w:r>
              <w:rPr>
                <w:rFonts w:eastAsia="Times New Roman" w:cs="Calibri"/>
                <w:color w:val="000000"/>
                <w:sz w:val="20"/>
                <w:szCs w:val="20"/>
                <w:lang w:eastAsia="en-GB"/>
              </w:rPr>
              <w:t>,</w:t>
            </w:r>
            <w:r w:rsidR="006712F6" w:rsidRPr="00FB0D9D">
              <w:rPr>
                <w:rFonts w:eastAsia="Times New Roman" w:cs="Calibri"/>
                <w:color w:val="000000"/>
                <w:sz w:val="20"/>
                <w:szCs w:val="20"/>
                <w:lang w:eastAsia="en-GB"/>
              </w:rPr>
              <w:t xml:space="preserve"> and (iii) reduced travel</w:t>
            </w:r>
            <w:r>
              <w:rPr>
                <w:rFonts w:eastAsia="Times New Roman" w:cs="Calibri"/>
                <w:color w:val="000000"/>
                <w:sz w:val="20"/>
                <w:szCs w:val="20"/>
                <w:lang w:eastAsia="en-GB"/>
              </w:rPr>
              <w:t>.</w:t>
            </w:r>
          </w:p>
        </w:tc>
      </w:tr>
      <w:tr w:rsidR="006712F6" w:rsidRPr="0036778B" w14:paraId="275C4CB4" w14:textId="77777777" w:rsidTr="00146B5F">
        <w:trPr>
          <w:trHeight w:val="1170"/>
        </w:trPr>
        <w:tc>
          <w:tcPr>
            <w:tcW w:w="1560" w:type="dxa"/>
            <w:tcBorders>
              <w:top w:val="nil"/>
              <w:left w:val="single" w:sz="4" w:space="0" w:color="auto"/>
              <w:bottom w:val="single" w:sz="4" w:space="0" w:color="auto"/>
              <w:right w:val="single" w:sz="4" w:space="0" w:color="auto"/>
            </w:tcBorders>
            <w:shd w:val="clear" w:color="auto" w:fill="auto"/>
            <w:noWrap/>
            <w:hideMark/>
          </w:tcPr>
          <w:p w14:paraId="5B8CF3B5"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Regional Advice and Support</w:t>
            </w:r>
          </w:p>
        </w:tc>
        <w:tc>
          <w:tcPr>
            <w:tcW w:w="1370" w:type="dxa"/>
            <w:tcBorders>
              <w:top w:val="nil"/>
              <w:left w:val="nil"/>
              <w:bottom w:val="single" w:sz="4" w:space="0" w:color="auto"/>
              <w:right w:val="single" w:sz="4" w:space="0" w:color="auto"/>
            </w:tcBorders>
            <w:shd w:val="clear" w:color="auto" w:fill="auto"/>
            <w:noWrap/>
            <w:hideMark/>
          </w:tcPr>
          <w:p w14:paraId="496E5DD1"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96</w:t>
            </w:r>
          </w:p>
        </w:tc>
        <w:tc>
          <w:tcPr>
            <w:tcW w:w="1370" w:type="dxa"/>
            <w:tcBorders>
              <w:top w:val="nil"/>
              <w:left w:val="nil"/>
              <w:bottom w:val="single" w:sz="4" w:space="0" w:color="auto"/>
              <w:right w:val="single" w:sz="4" w:space="0" w:color="auto"/>
            </w:tcBorders>
            <w:shd w:val="clear" w:color="auto" w:fill="auto"/>
            <w:noWrap/>
            <w:hideMark/>
          </w:tcPr>
          <w:p w14:paraId="2A11E675"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225</w:t>
            </w:r>
          </w:p>
        </w:tc>
        <w:tc>
          <w:tcPr>
            <w:tcW w:w="1370" w:type="dxa"/>
            <w:tcBorders>
              <w:top w:val="nil"/>
              <w:left w:val="nil"/>
              <w:bottom w:val="single" w:sz="4" w:space="0" w:color="auto"/>
              <w:right w:val="single" w:sz="4" w:space="0" w:color="auto"/>
            </w:tcBorders>
            <w:shd w:val="clear" w:color="auto" w:fill="auto"/>
            <w:noWrap/>
            <w:hideMark/>
          </w:tcPr>
          <w:p w14:paraId="0BC2CD94" w14:textId="77777777" w:rsidR="006712F6" w:rsidRPr="00FB0D9D" w:rsidRDefault="006712F6" w:rsidP="00FB0D9D">
            <w:pPr>
              <w:ind w:left="0" w:firstLine="0"/>
              <w:jc w:val="right"/>
              <w:rPr>
                <w:rFonts w:eastAsia="Times New Roman" w:cs="Calibri"/>
                <w:color w:val="000000"/>
                <w:sz w:val="20"/>
                <w:szCs w:val="20"/>
                <w:lang w:eastAsia="en-GB"/>
              </w:rPr>
            </w:pPr>
            <w:r w:rsidRPr="00FB0D9D">
              <w:rPr>
                <w:rFonts w:eastAsia="Times New Roman" w:cs="Calibri"/>
                <w:color w:val="000000"/>
                <w:sz w:val="20"/>
                <w:szCs w:val="20"/>
                <w:lang w:eastAsia="en-GB"/>
              </w:rPr>
              <w:t>321</w:t>
            </w:r>
          </w:p>
        </w:tc>
        <w:tc>
          <w:tcPr>
            <w:tcW w:w="3828" w:type="dxa"/>
            <w:tcBorders>
              <w:top w:val="nil"/>
              <w:left w:val="nil"/>
              <w:bottom w:val="single" w:sz="4" w:space="0" w:color="auto"/>
              <w:right w:val="single" w:sz="4" w:space="0" w:color="auto"/>
            </w:tcBorders>
            <w:shd w:val="clear" w:color="auto" w:fill="auto"/>
            <w:hideMark/>
          </w:tcPr>
          <w:p w14:paraId="4B556DA6" w14:textId="1AC5D902" w:rsidR="006712F6" w:rsidRPr="00FB0D9D" w:rsidRDefault="00146B5F" w:rsidP="008E66EE">
            <w:pPr>
              <w:ind w:left="0" w:firstLine="0"/>
              <w:rPr>
                <w:rFonts w:eastAsia="Times New Roman" w:cs="Calibri"/>
                <w:sz w:val="20"/>
                <w:szCs w:val="20"/>
                <w:lang w:eastAsia="en-GB"/>
              </w:rPr>
            </w:pPr>
            <w:r>
              <w:rPr>
                <w:rFonts w:eastAsia="Times New Roman" w:cs="Calibri"/>
                <w:b/>
                <w:bCs/>
                <w:sz w:val="20"/>
                <w:szCs w:val="20"/>
                <w:lang w:eastAsia="en-GB"/>
              </w:rPr>
              <w:t>P</w:t>
            </w:r>
            <w:r w:rsidR="006712F6" w:rsidRPr="00FB0D9D">
              <w:rPr>
                <w:rFonts w:eastAsia="Times New Roman" w:cs="Calibri"/>
                <w:b/>
                <w:bCs/>
                <w:sz w:val="20"/>
                <w:szCs w:val="20"/>
                <w:lang w:eastAsia="en-GB"/>
              </w:rPr>
              <w:t>re-committed/planned:</w:t>
            </w:r>
            <w:r w:rsidR="006712F6" w:rsidRPr="00FB0D9D">
              <w:rPr>
                <w:rFonts w:eastAsia="Times New Roman" w:cs="Calibri"/>
                <w:sz w:val="20"/>
                <w:szCs w:val="20"/>
                <w:lang w:eastAsia="en-GB"/>
              </w:rPr>
              <w:t xml:space="preserve"> (i) 96K implementation of Ramsar Advi</w:t>
            </w:r>
            <w:r>
              <w:rPr>
                <w:rFonts w:eastAsia="Times New Roman" w:cs="Calibri"/>
                <w:sz w:val="20"/>
                <w:szCs w:val="20"/>
                <w:lang w:eastAsia="en-GB"/>
              </w:rPr>
              <w:t>sory Missions postponed to 2021.</w:t>
            </w:r>
            <w:r w:rsidR="006712F6" w:rsidRPr="00FB0D9D">
              <w:rPr>
                <w:rFonts w:eastAsia="Times New Roman" w:cs="Calibri"/>
                <w:sz w:val="20"/>
                <w:szCs w:val="20"/>
                <w:lang w:eastAsia="en-GB"/>
              </w:rPr>
              <w:br/>
            </w:r>
            <w:r w:rsidR="008E66EE">
              <w:rPr>
                <w:rFonts w:eastAsia="Times New Roman" w:cs="Calibri"/>
                <w:b/>
                <w:bCs/>
                <w:sz w:val="20"/>
                <w:szCs w:val="20"/>
                <w:lang w:eastAsia="en-GB"/>
              </w:rPr>
              <w:t>S</w:t>
            </w:r>
            <w:r w:rsidR="006712F6" w:rsidRPr="00FB0D9D">
              <w:rPr>
                <w:rFonts w:eastAsia="Times New Roman" w:cs="Calibri"/>
                <w:b/>
                <w:bCs/>
                <w:sz w:val="20"/>
                <w:szCs w:val="20"/>
                <w:lang w:eastAsia="en-GB"/>
              </w:rPr>
              <w:t>avings:</w:t>
            </w:r>
            <w:r w:rsidR="006712F6" w:rsidRPr="00FB0D9D">
              <w:rPr>
                <w:rFonts w:eastAsia="Times New Roman" w:cs="Calibri"/>
                <w:sz w:val="20"/>
                <w:szCs w:val="20"/>
                <w:lang w:eastAsia="en-GB"/>
              </w:rPr>
              <w:t xml:space="preserve"> (i) vacancies and adjustments; Regional Advisor position filled mid</w:t>
            </w:r>
            <w:r>
              <w:rPr>
                <w:rFonts w:eastAsia="Times New Roman" w:cs="Calibri"/>
                <w:sz w:val="20"/>
                <w:szCs w:val="20"/>
                <w:lang w:eastAsia="en-GB"/>
              </w:rPr>
              <w:t>-</w:t>
            </w:r>
            <w:r w:rsidR="006712F6" w:rsidRPr="00FB0D9D">
              <w:rPr>
                <w:rFonts w:eastAsia="Times New Roman" w:cs="Calibri"/>
                <w:sz w:val="20"/>
                <w:szCs w:val="20"/>
                <w:lang w:eastAsia="en-GB"/>
              </w:rPr>
              <w:t>2020</w:t>
            </w:r>
            <w:r>
              <w:rPr>
                <w:rFonts w:eastAsia="Times New Roman" w:cs="Calibri"/>
                <w:sz w:val="20"/>
                <w:szCs w:val="20"/>
                <w:lang w:eastAsia="en-GB"/>
              </w:rPr>
              <w:t>,</w:t>
            </w:r>
            <w:r w:rsidR="006712F6" w:rsidRPr="00FB0D9D">
              <w:rPr>
                <w:rFonts w:eastAsia="Times New Roman" w:cs="Calibri"/>
                <w:sz w:val="20"/>
                <w:szCs w:val="20"/>
                <w:lang w:eastAsia="en-GB"/>
              </w:rPr>
              <w:t xml:space="preserve"> and (ii) reduced travel</w:t>
            </w:r>
            <w:r>
              <w:rPr>
                <w:rFonts w:eastAsia="Times New Roman" w:cs="Calibri"/>
                <w:sz w:val="20"/>
                <w:szCs w:val="20"/>
                <w:lang w:eastAsia="en-GB"/>
              </w:rPr>
              <w:t>.</w:t>
            </w:r>
          </w:p>
        </w:tc>
      </w:tr>
      <w:tr w:rsidR="006712F6" w:rsidRPr="0036778B" w14:paraId="5CA5A993" w14:textId="77777777" w:rsidTr="00146B5F">
        <w:trPr>
          <w:trHeight w:val="930"/>
        </w:trPr>
        <w:tc>
          <w:tcPr>
            <w:tcW w:w="1560" w:type="dxa"/>
            <w:tcBorders>
              <w:top w:val="nil"/>
              <w:left w:val="single" w:sz="4" w:space="0" w:color="auto"/>
              <w:bottom w:val="single" w:sz="4" w:space="0" w:color="auto"/>
              <w:right w:val="single" w:sz="4" w:space="0" w:color="auto"/>
            </w:tcBorders>
            <w:shd w:val="clear" w:color="auto" w:fill="auto"/>
            <w:noWrap/>
            <w:hideMark/>
          </w:tcPr>
          <w:p w14:paraId="1AF74F3D"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lastRenderedPageBreak/>
              <w:t>Support to Ramsar Regional Initiatives</w:t>
            </w:r>
          </w:p>
        </w:tc>
        <w:tc>
          <w:tcPr>
            <w:tcW w:w="1370" w:type="dxa"/>
            <w:tcBorders>
              <w:top w:val="nil"/>
              <w:left w:val="nil"/>
              <w:bottom w:val="single" w:sz="4" w:space="0" w:color="auto"/>
              <w:right w:val="single" w:sz="4" w:space="0" w:color="auto"/>
            </w:tcBorders>
            <w:shd w:val="clear" w:color="auto" w:fill="auto"/>
            <w:hideMark/>
          </w:tcPr>
          <w:p w14:paraId="1CA79354"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97</w:t>
            </w:r>
          </w:p>
        </w:tc>
        <w:tc>
          <w:tcPr>
            <w:tcW w:w="1370" w:type="dxa"/>
            <w:tcBorders>
              <w:top w:val="nil"/>
              <w:left w:val="nil"/>
              <w:bottom w:val="single" w:sz="4" w:space="0" w:color="auto"/>
              <w:right w:val="single" w:sz="4" w:space="0" w:color="auto"/>
            </w:tcBorders>
            <w:shd w:val="clear" w:color="auto" w:fill="auto"/>
            <w:hideMark/>
          </w:tcPr>
          <w:p w14:paraId="63CBD1E2"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0</w:t>
            </w:r>
          </w:p>
        </w:tc>
        <w:tc>
          <w:tcPr>
            <w:tcW w:w="1370" w:type="dxa"/>
            <w:tcBorders>
              <w:top w:val="nil"/>
              <w:left w:val="nil"/>
              <w:bottom w:val="single" w:sz="4" w:space="0" w:color="auto"/>
              <w:right w:val="single" w:sz="4" w:space="0" w:color="auto"/>
            </w:tcBorders>
            <w:shd w:val="clear" w:color="auto" w:fill="auto"/>
            <w:noWrap/>
            <w:hideMark/>
          </w:tcPr>
          <w:p w14:paraId="1D3FB92C"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97</w:t>
            </w:r>
          </w:p>
        </w:tc>
        <w:tc>
          <w:tcPr>
            <w:tcW w:w="3828" w:type="dxa"/>
            <w:tcBorders>
              <w:top w:val="nil"/>
              <w:left w:val="nil"/>
              <w:bottom w:val="single" w:sz="4" w:space="0" w:color="auto"/>
              <w:right w:val="single" w:sz="4" w:space="0" w:color="auto"/>
            </w:tcBorders>
            <w:shd w:val="clear" w:color="auto" w:fill="auto"/>
            <w:hideMark/>
          </w:tcPr>
          <w:p w14:paraId="30AFA04E" w14:textId="42EF7D69" w:rsidR="006712F6" w:rsidRPr="00FB0D9D" w:rsidRDefault="008E66EE" w:rsidP="008E66EE">
            <w:pPr>
              <w:ind w:left="0" w:firstLine="0"/>
              <w:rPr>
                <w:rFonts w:eastAsia="Times New Roman" w:cs="Calibri"/>
                <w:sz w:val="20"/>
                <w:szCs w:val="20"/>
                <w:lang w:eastAsia="en-GB"/>
              </w:rPr>
            </w:pPr>
            <w:r>
              <w:rPr>
                <w:rFonts w:eastAsia="Times New Roman" w:cs="Calibri"/>
                <w:b/>
                <w:bCs/>
                <w:sz w:val="20"/>
                <w:szCs w:val="20"/>
                <w:lang w:eastAsia="en-GB"/>
              </w:rPr>
              <w:t>P</w:t>
            </w:r>
            <w:r w:rsidR="006712F6" w:rsidRPr="00FB0D9D">
              <w:rPr>
                <w:rFonts w:eastAsia="Times New Roman" w:cs="Calibri"/>
                <w:b/>
                <w:bCs/>
                <w:sz w:val="20"/>
                <w:szCs w:val="20"/>
                <w:lang w:eastAsia="en-GB"/>
              </w:rPr>
              <w:t>re-committed/planned:</w:t>
            </w:r>
            <w:r w:rsidR="006712F6" w:rsidRPr="00FB0D9D">
              <w:rPr>
                <w:rFonts w:eastAsia="Times New Roman" w:cs="Calibri"/>
                <w:sz w:val="20"/>
                <w:szCs w:val="20"/>
                <w:lang w:eastAsia="en-GB"/>
              </w:rPr>
              <w:t xml:space="preserve"> implementation continues in 2021 for (i) 21K R</w:t>
            </w:r>
            <w:r>
              <w:rPr>
                <w:rFonts w:eastAsia="Times New Roman" w:cs="Calibri"/>
                <w:sz w:val="20"/>
                <w:szCs w:val="20"/>
                <w:lang w:eastAsia="en-GB"/>
              </w:rPr>
              <w:t>R</w:t>
            </w:r>
            <w:r w:rsidR="006712F6" w:rsidRPr="00FB0D9D">
              <w:rPr>
                <w:rFonts w:eastAsia="Times New Roman" w:cs="Calibri"/>
                <w:sz w:val="20"/>
                <w:szCs w:val="20"/>
                <w:lang w:eastAsia="en-GB"/>
              </w:rPr>
              <w:t xml:space="preserve">I </w:t>
            </w:r>
            <w:r>
              <w:rPr>
                <w:rFonts w:eastAsia="Times New Roman" w:cs="Calibri"/>
                <w:sz w:val="20"/>
                <w:szCs w:val="20"/>
                <w:lang w:eastAsia="en-GB"/>
              </w:rPr>
              <w:t>Working Group</w:t>
            </w:r>
            <w:r w:rsidR="006712F6" w:rsidRPr="00FB0D9D">
              <w:rPr>
                <w:rFonts w:eastAsia="Times New Roman" w:cs="Calibri"/>
                <w:sz w:val="20"/>
                <w:szCs w:val="20"/>
                <w:lang w:eastAsia="en-GB"/>
              </w:rPr>
              <w:t xml:space="preserve"> </w:t>
            </w:r>
            <w:r>
              <w:rPr>
                <w:rFonts w:eastAsia="Times New Roman" w:cs="Calibri"/>
                <w:sz w:val="20"/>
                <w:szCs w:val="20"/>
                <w:lang w:eastAsia="en-GB"/>
              </w:rPr>
              <w:t>(</w:t>
            </w:r>
            <w:r w:rsidR="006712F6" w:rsidRPr="00FB0D9D">
              <w:rPr>
                <w:rFonts w:eastAsia="Times New Roman" w:cs="Calibri"/>
                <w:sz w:val="20"/>
                <w:szCs w:val="20"/>
                <w:lang w:eastAsia="en-GB"/>
              </w:rPr>
              <w:t>Res</w:t>
            </w:r>
            <w:r>
              <w:rPr>
                <w:rFonts w:eastAsia="Times New Roman" w:cs="Calibri"/>
                <w:sz w:val="20"/>
                <w:szCs w:val="20"/>
                <w:lang w:eastAsia="en-GB"/>
              </w:rPr>
              <w:t>olution</w:t>
            </w:r>
            <w:r w:rsidR="006712F6" w:rsidRPr="00FB0D9D">
              <w:rPr>
                <w:rFonts w:eastAsia="Times New Roman" w:cs="Calibri"/>
                <w:sz w:val="20"/>
                <w:szCs w:val="20"/>
                <w:lang w:eastAsia="en-GB"/>
              </w:rPr>
              <w:t xml:space="preserve"> XIII.9,</w:t>
            </w:r>
            <w:r>
              <w:rPr>
                <w:rFonts w:eastAsia="Times New Roman" w:cs="Calibri"/>
                <w:sz w:val="20"/>
                <w:szCs w:val="20"/>
                <w:lang w:eastAsia="en-GB"/>
              </w:rPr>
              <w:t xml:space="preserve"> </w:t>
            </w:r>
            <w:r w:rsidR="006712F6" w:rsidRPr="00FB0D9D">
              <w:rPr>
                <w:rFonts w:eastAsia="Times New Roman" w:cs="Calibri"/>
                <w:sz w:val="20"/>
                <w:szCs w:val="20"/>
                <w:lang w:eastAsia="en-GB"/>
              </w:rPr>
              <w:t>p</w:t>
            </w:r>
            <w:r>
              <w:rPr>
                <w:rFonts w:eastAsia="Times New Roman" w:cs="Calibri"/>
                <w:sz w:val="20"/>
                <w:szCs w:val="20"/>
                <w:lang w:eastAsia="en-GB"/>
              </w:rPr>
              <w:t xml:space="preserve">aragraphs </w:t>
            </w:r>
            <w:r w:rsidR="006712F6" w:rsidRPr="00FB0D9D">
              <w:rPr>
                <w:rFonts w:eastAsia="Times New Roman" w:cs="Calibri"/>
                <w:sz w:val="20"/>
                <w:szCs w:val="20"/>
                <w:lang w:eastAsia="en-GB"/>
              </w:rPr>
              <w:t xml:space="preserve">9 </w:t>
            </w:r>
            <w:r>
              <w:rPr>
                <w:rFonts w:eastAsia="Times New Roman" w:cs="Calibri"/>
                <w:sz w:val="20"/>
                <w:szCs w:val="20"/>
                <w:lang w:eastAsia="en-GB"/>
              </w:rPr>
              <w:t xml:space="preserve">and </w:t>
            </w:r>
            <w:r w:rsidR="006712F6" w:rsidRPr="00FB0D9D">
              <w:rPr>
                <w:rFonts w:eastAsia="Times New Roman" w:cs="Calibri"/>
                <w:sz w:val="20"/>
                <w:szCs w:val="20"/>
                <w:lang w:eastAsia="en-GB"/>
              </w:rPr>
              <w:t>10</w:t>
            </w:r>
            <w:r>
              <w:rPr>
                <w:rFonts w:eastAsia="Times New Roman" w:cs="Calibri"/>
                <w:sz w:val="20"/>
                <w:szCs w:val="20"/>
                <w:lang w:eastAsia="en-GB"/>
              </w:rPr>
              <w:t>)</w:t>
            </w:r>
            <w:r w:rsidR="006712F6" w:rsidRPr="00FB0D9D">
              <w:rPr>
                <w:rFonts w:eastAsia="Times New Roman" w:cs="Calibri"/>
                <w:sz w:val="20"/>
                <w:szCs w:val="20"/>
                <w:lang w:eastAsia="en-GB"/>
              </w:rPr>
              <w:t xml:space="preserve"> and (ii) 76K Amazon</w:t>
            </w:r>
            <w:r>
              <w:rPr>
                <w:rFonts w:eastAsia="Times New Roman" w:cs="Calibri"/>
                <w:sz w:val="20"/>
                <w:szCs w:val="20"/>
                <w:lang w:eastAsia="en-GB"/>
              </w:rPr>
              <w:t xml:space="preserve"> </w:t>
            </w:r>
            <w:r w:rsidR="006712F6" w:rsidRPr="00FB0D9D">
              <w:rPr>
                <w:rFonts w:eastAsia="Times New Roman" w:cs="Calibri"/>
                <w:sz w:val="20"/>
                <w:szCs w:val="20"/>
                <w:lang w:eastAsia="en-GB"/>
              </w:rPr>
              <w:t>Basin RRI</w:t>
            </w:r>
            <w:r>
              <w:rPr>
                <w:rFonts w:eastAsia="Times New Roman" w:cs="Calibri"/>
                <w:sz w:val="20"/>
                <w:szCs w:val="20"/>
                <w:lang w:eastAsia="en-GB"/>
              </w:rPr>
              <w:t>.</w:t>
            </w:r>
          </w:p>
        </w:tc>
      </w:tr>
      <w:tr w:rsidR="006712F6" w:rsidRPr="0036778B" w14:paraId="3F003568" w14:textId="77777777" w:rsidTr="00146B5F">
        <w:tc>
          <w:tcPr>
            <w:tcW w:w="1560" w:type="dxa"/>
            <w:tcBorders>
              <w:top w:val="nil"/>
              <w:left w:val="single" w:sz="4" w:space="0" w:color="auto"/>
              <w:bottom w:val="single" w:sz="4" w:space="0" w:color="auto"/>
              <w:right w:val="single" w:sz="4" w:space="0" w:color="auto"/>
            </w:tcBorders>
            <w:shd w:val="clear" w:color="auto" w:fill="auto"/>
            <w:noWrap/>
            <w:hideMark/>
          </w:tcPr>
          <w:p w14:paraId="5A67530E"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Scientific and Technical Services</w:t>
            </w:r>
          </w:p>
        </w:tc>
        <w:tc>
          <w:tcPr>
            <w:tcW w:w="1370" w:type="dxa"/>
            <w:tcBorders>
              <w:top w:val="nil"/>
              <w:left w:val="nil"/>
              <w:bottom w:val="single" w:sz="4" w:space="0" w:color="auto"/>
              <w:right w:val="single" w:sz="4" w:space="0" w:color="auto"/>
            </w:tcBorders>
            <w:shd w:val="clear" w:color="auto" w:fill="auto"/>
            <w:hideMark/>
          </w:tcPr>
          <w:p w14:paraId="48EA1415"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114</w:t>
            </w:r>
          </w:p>
        </w:tc>
        <w:tc>
          <w:tcPr>
            <w:tcW w:w="1370" w:type="dxa"/>
            <w:tcBorders>
              <w:top w:val="nil"/>
              <w:left w:val="nil"/>
              <w:bottom w:val="single" w:sz="4" w:space="0" w:color="auto"/>
              <w:right w:val="single" w:sz="4" w:space="0" w:color="auto"/>
            </w:tcBorders>
            <w:shd w:val="clear" w:color="auto" w:fill="auto"/>
            <w:hideMark/>
          </w:tcPr>
          <w:p w14:paraId="571134DB"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328</w:t>
            </w:r>
          </w:p>
        </w:tc>
        <w:tc>
          <w:tcPr>
            <w:tcW w:w="1370" w:type="dxa"/>
            <w:tcBorders>
              <w:top w:val="nil"/>
              <w:left w:val="nil"/>
              <w:bottom w:val="single" w:sz="4" w:space="0" w:color="auto"/>
              <w:right w:val="single" w:sz="4" w:space="0" w:color="auto"/>
            </w:tcBorders>
            <w:shd w:val="clear" w:color="auto" w:fill="auto"/>
            <w:noWrap/>
            <w:hideMark/>
          </w:tcPr>
          <w:p w14:paraId="4A259D7C"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442</w:t>
            </w:r>
          </w:p>
        </w:tc>
        <w:tc>
          <w:tcPr>
            <w:tcW w:w="3828" w:type="dxa"/>
            <w:tcBorders>
              <w:top w:val="nil"/>
              <w:left w:val="nil"/>
              <w:bottom w:val="single" w:sz="4" w:space="0" w:color="auto"/>
              <w:right w:val="single" w:sz="4" w:space="0" w:color="auto"/>
            </w:tcBorders>
            <w:shd w:val="clear" w:color="auto" w:fill="auto"/>
            <w:hideMark/>
          </w:tcPr>
          <w:p w14:paraId="2017756A" w14:textId="2C4AA190" w:rsidR="006712F6" w:rsidRPr="00FB0D9D" w:rsidRDefault="008E66EE" w:rsidP="008E66EE">
            <w:pPr>
              <w:ind w:left="0" w:firstLine="0"/>
              <w:rPr>
                <w:rFonts w:eastAsia="Times New Roman" w:cs="Calibri"/>
                <w:sz w:val="20"/>
                <w:szCs w:val="20"/>
                <w:lang w:eastAsia="en-GB"/>
              </w:rPr>
            </w:pPr>
            <w:r>
              <w:rPr>
                <w:rFonts w:eastAsia="Times New Roman" w:cs="Calibri"/>
                <w:b/>
                <w:bCs/>
                <w:sz w:val="20"/>
                <w:szCs w:val="20"/>
                <w:lang w:eastAsia="en-GB"/>
              </w:rPr>
              <w:t>P</w:t>
            </w:r>
            <w:r w:rsidR="006712F6" w:rsidRPr="00FB0D9D">
              <w:rPr>
                <w:rFonts w:eastAsia="Times New Roman" w:cs="Calibri"/>
                <w:b/>
                <w:bCs/>
                <w:sz w:val="20"/>
                <w:szCs w:val="20"/>
                <w:lang w:eastAsia="en-GB"/>
              </w:rPr>
              <w:t>re-committed/planned:</w:t>
            </w:r>
            <w:r w:rsidR="006712F6" w:rsidRPr="00FB0D9D">
              <w:rPr>
                <w:rFonts w:eastAsia="Times New Roman" w:cs="Calibri"/>
                <w:sz w:val="20"/>
                <w:szCs w:val="20"/>
                <w:lang w:eastAsia="en-GB"/>
              </w:rPr>
              <w:t xml:space="preserve"> (i) 7K other employment benefits, (ii) 35K STRP implementation and (iii) 72K</w:t>
            </w:r>
            <w:r w:rsidR="002414B3">
              <w:rPr>
                <w:rFonts w:eastAsia="Times New Roman" w:cs="Calibri"/>
                <w:sz w:val="20"/>
                <w:szCs w:val="20"/>
                <w:lang w:eastAsia="en-GB"/>
              </w:rPr>
              <w:t xml:space="preserve"> </w:t>
            </w:r>
            <w:r w:rsidR="006712F6" w:rsidRPr="00FB0D9D">
              <w:rPr>
                <w:rFonts w:eastAsia="Times New Roman" w:cs="Calibri"/>
                <w:sz w:val="20"/>
                <w:szCs w:val="20"/>
                <w:lang w:eastAsia="en-GB"/>
              </w:rPr>
              <w:t xml:space="preserve">implementation </w:t>
            </w:r>
            <w:r w:rsidR="002414B3">
              <w:rPr>
                <w:rFonts w:eastAsia="Times New Roman" w:cs="Calibri"/>
                <w:sz w:val="20"/>
                <w:szCs w:val="20"/>
                <w:lang w:eastAsia="en-GB"/>
              </w:rPr>
              <w:t xml:space="preserve">continues </w:t>
            </w:r>
            <w:r w:rsidR="006712F6" w:rsidRPr="00FB0D9D">
              <w:rPr>
                <w:rFonts w:eastAsia="Times New Roman" w:cs="Calibri"/>
                <w:sz w:val="20"/>
                <w:szCs w:val="20"/>
                <w:lang w:eastAsia="en-GB"/>
              </w:rPr>
              <w:t>in 2021 for inventories</w:t>
            </w:r>
            <w:r>
              <w:rPr>
                <w:rFonts w:eastAsia="Times New Roman" w:cs="Calibri"/>
                <w:sz w:val="20"/>
                <w:szCs w:val="20"/>
                <w:lang w:eastAsia="en-GB"/>
              </w:rPr>
              <w:t>.</w:t>
            </w:r>
            <w:r w:rsidR="006712F6" w:rsidRPr="00FB0D9D">
              <w:rPr>
                <w:rFonts w:eastAsia="Times New Roman" w:cs="Calibri"/>
                <w:sz w:val="20"/>
                <w:szCs w:val="20"/>
                <w:lang w:eastAsia="en-GB"/>
              </w:rPr>
              <w:br/>
            </w:r>
            <w:r>
              <w:rPr>
                <w:rFonts w:eastAsia="Times New Roman" w:cs="Calibri"/>
                <w:b/>
                <w:bCs/>
                <w:sz w:val="20"/>
                <w:szCs w:val="20"/>
                <w:lang w:eastAsia="en-GB"/>
              </w:rPr>
              <w:t>S</w:t>
            </w:r>
            <w:r w:rsidR="006712F6" w:rsidRPr="00FB0D9D">
              <w:rPr>
                <w:rFonts w:eastAsia="Times New Roman" w:cs="Calibri"/>
                <w:b/>
                <w:bCs/>
                <w:sz w:val="20"/>
                <w:szCs w:val="20"/>
                <w:lang w:eastAsia="en-GB"/>
              </w:rPr>
              <w:t>avings</w:t>
            </w:r>
            <w:r w:rsidR="006712F6" w:rsidRPr="00FB0D9D">
              <w:rPr>
                <w:rFonts w:eastAsia="Times New Roman" w:cs="Calibri"/>
                <w:sz w:val="20"/>
                <w:szCs w:val="20"/>
                <w:lang w:eastAsia="en-GB"/>
              </w:rPr>
              <w:t>: (i) vacancy in Director, Science and Policy position, (ii) reduced travel, (iii) STRP implementation and meetings as STRP face-to-face meeting did not take place and (iv) R</w:t>
            </w:r>
            <w:r w:rsidR="003B58D4" w:rsidRPr="00FB0D9D">
              <w:rPr>
                <w:rFonts w:eastAsia="Times New Roman" w:cs="Calibri"/>
                <w:sz w:val="20"/>
                <w:szCs w:val="20"/>
                <w:lang w:eastAsia="en-GB"/>
              </w:rPr>
              <w:t xml:space="preserve">amsar </w:t>
            </w:r>
            <w:r w:rsidR="006712F6" w:rsidRPr="00FB0D9D">
              <w:rPr>
                <w:rFonts w:eastAsia="Times New Roman" w:cs="Calibri"/>
                <w:sz w:val="20"/>
                <w:szCs w:val="20"/>
                <w:lang w:eastAsia="en-GB"/>
              </w:rPr>
              <w:t>S</w:t>
            </w:r>
            <w:r w:rsidR="003B58D4" w:rsidRPr="00FB0D9D">
              <w:rPr>
                <w:rFonts w:eastAsia="Times New Roman" w:cs="Calibri"/>
                <w:sz w:val="20"/>
                <w:szCs w:val="20"/>
                <w:lang w:eastAsia="en-GB"/>
              </w:rPr>
              <w:t xml:space="preserve">ites </w:t>
            </w:r>
            <w:r w:rsidR="006712F6" w:rsidRPr="00FB0D9D">
              <w:rPr>
                <w:rFonts w:eastAsia="Times New Roman" w:cs="Calibri"/>
                <w:sz w:val="20"/>
                <w:szCs w:val="20"/>
                <w:lang w:eastAsia="en-GB"/>
              </w:rPr>
              <w:t>I</w:t>
            </w:r>
            <w:r w:rsidR="003B58D4" w:rsidRPr="00FB0D9D">
              <w:rPr>
                <w:rFonts w:eastAsia="Times New Roman" w:cs="Calibri"/>
                <w:sz w:val="20"/>
                <w:szCs w:val="20"/>
                <w:lang w:eastAsia="en-GB"/>
              </w:rPr>
              <w:t xml:space="preserve">nformation </w:t>
            </w:r>
            <w:r w:rsidR="006712F6" w:rsidRPr="00FB0D9D">
              <w:rPr>
                <w:rFonts w:eastAsia="Times New Roman" w:cs="Calibri"/>
                <w:sz w:val="20"/>
                <w:szCs w:val="20"/>
                <w:lang w:eastAsia="en-GB"/>
              </w:rPr>
              <w:t>S</w:t>
            </w:r>
            <w:r w:rsidR="003B58D4" w:rsidRPr="00FB0D9D">
              <w:rPr>
                <w:rFonts w:eastAsia="Times New Roman" w:cs="Calibri"/>
                <w:sz w:val="20"/>
                <w:szCs w:val="20"/>
                <w:lang w:eastAsia="en-GB"/>
              </w:rPr>
              <w:t>ervice</w:t>
            </w:r>
            <w:r>
              <w:rPr>
                <w:rFonts w:eastAsia="Times New Roman" w:cs="Calibri"/>
                <w:sz w:val="20"/>
                <w:szCs w:val="20"/>
                <w:lang w:eastAsia="en-GB"/>
              </w:rPr>
              <w:t>.</w:t>
            </w:r>
          </w:p>
        </w:tc>
      </w:tr>
      <w:tr w:rsidR="006712F6" w:rsidRPr="0036778B" w14:paraId="5956C590" w14:textId="77777777" w:rsidTr="00146B5F">
        <w:tc>
          <w:tcPr>
            <w:tcW w:w="1560" w:type="dxa"/>
            <w:tcBorders>
              <w:top w:val="nil"/>
              <w:left w:val="single" w:sz="4" w:space="0" w:color="auto"/>
              <w:bottom w:val="single" w:sz="4" w:space="0" w:color="auto"/>
              <w:right w:val="single" w:sz="4" w:space="0" w:color="auto"/>
            </w:tcBorders>
            <w:shd w:val="clear" w:color="auto" w:fill="auto"/>
            <w:noWrap/>
            <w:hideMark/>
          </w:tcPr>
          <w:p w14:paraId="060D9EB7"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Administration/Web</w:t>
            </w:r>
          </w:p>
        </w:tc>
        <w:tc>
          <w:tcPr>
            <w:tcW w:w="1370" w:type="dxa"/>
            <w:tcBorders>
              <w:top w:val="nil"/>
              <w:left w:val="nil"/>
              <w:bottom w:val="single" w:sz="4" w:space="0" w:color="auto"/>
              <w:right w:val="single" w:sz="4" w:space="0" w:color="auto"/>
            </w:tcBorders>
            <w:shd w:val="clear" w:color="auto" w:fill="auto"/>
            <w:noWrap/>
            <w:hideMark/>
          </w:tcPr>
          <w:p w14:paraId="538E9457"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95</w:t>
            </w:r>
          </w:p>
        </w:tc>
        <w:tc>
          <w:tcPr>
            <w:tcW w:w="1370" w:type="dxa"/>
            <w:tcBorders>
              <w:top w:val="nil"/>
              <w:left w:val="nil"/>
              <w:bottom w:val="single" w:sz="4" w:space="0" w:color="auto"/>
              <w:right w:val="single" w:sz="4" w:space="0" w:color="auto"/>
            </w:tcBorders>
            <w:shd w:val="clear" w:color="auto" w:fill="auto"/>
            <w:noWrap/>
            <w:hideMark/>
          </w:tcPr>
          <w:p w14:paraId="1FDDC0D9"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16</w:t>
            </w:r>
          </w:p>
        </w:tc>
        <w:tc>
          <w:tcPr>
            <w:tcW w:w="1370" w:type="dxa"/>
            <w:tcBorders>
              <w:top w:val="nil"/>
              <w:left w:val="nil"/>
              <w:bottom w:val="single" w:sz="4" w:space="0" w:color="auto"/>
              <w:right w:val="single" w:sz="4" w:space="0" w:color="auto"/>
            </w:tcBorders>
            <w:shd w:val="clear" w:color="auto" w:fill="auto"/>
            <w:noWrap/>
            <w:hideMark/>
          </w:tcPr>
          <w:p w14:paraId="193C063F"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111</w:t>
            </w:r>
          </w:p>
        </w:tc>
        <w:tc>
          <w:tcPr>
            <w:tcW w:w="3828" w:type="dxa"/>
            <w:tcBorders>
              <w:top w:val="nil"/>
              <w:left w:val="nil"/>
              <w:bottom w:val="single" w:sz="4" w:space="0" w:color="auto"/>
              <w:right w:val="single" w:sz="4" w:space="0" w:color="auto"/>
            </w:tcBorders>
            <w:shd w:val="clear" w:color="auto" w:fill="auto"/>
            <w:hideMark/>
          </w:tcPr>
          <w:p w14:paraId="2EC86851" w14:textId="40BD1530" w:rsidR="006712F6" w:rsidRPr="00FB0D9D" w:rsidRDefault="008E66EE" w:rsidP="008E66EE">
            <w:pPr>
              <w:ind w:left="0" w:firstLine="0"/>
              <w:rPr>
                <w:rFonts w:eastAsia="Times New Roman" w:cs="Calibri"/>
                <w:sz w:val="20"/>
                <w:szCs w:val="20"/>
                <w:lang w:eastAsia="en-GB"/>
              </w:rPr>
            </w:pPr>
            <w:r>
              <w:rPr>
                <w:rFonts w:eastAsia="Times New Roman" w:cs="Calibri"/>
                <w:b/>
                <w:bCs/>
                <w:sz w:val="20"/>
                <w:szCs w:val="20"/>
                <w:lang w:eastAsia="en-GB"/>
              </w:rPr>
              <w:t>P</w:t>
            </w:r>
            <w:r w:rsidR="006712F6" w:rsidRPr="00FB0D9D">
              <w:rPr>
                <w:rFonts w:eastAsia="Times New Roman" w:cs="Calibri"/>
                <w:b/>
                <w:bCs/>
                <w:sz w:val="20"/>
                <w:szCs w:val="20"/>
                <w:lang w:eastAsia="en-GB"/>
              </w:rPr>
              <w:t>re-committed/planned:</w:t>
            </w:r>
            <w:r w:rsidR="006712F6" w:rsidRPr="00FB0D9D">
              <w:rPr>
                <w:rFonts w:eastAsia="Times New Roman" w:cs="Calibri"/>
                <w:sz w:val="20"/>
                <w:szCs w:val="20"/>
                <w:lang w:eastAsia="en-GB"/>
              </w:rPr>
              <w:t xml:space="preserve"> (i) 10K staff hiring and departure costs</w:t>
            </w:r>
            <w:r>
              <w:rPr>
                <w:rFonts w:eastAsia="Times New Roman" w:cs="Calibri"/>
                <w:sz w:val="20"/>
                <w:szCs w:val="20"/>
                <w:lang w:eastAsia="en-GB"/>
              </w:rPr>
              <w:t>,</w:t>
            </w:r>
            <w:r w:rsidR="006712F6" w:rsidRPr="00FB0D9D">
              <w:rPr>
                <w:rFonts w:eastAsia="Times New Roman" w:cs="Calibri"/>
                <w:sz w:val="20"/>
                <w:szCs w:val="20"/>
                <w:lang w:eastAsia="en-GB"/>
              </w:rPr>
              <w:t xml:space="preserve"> and (ii)</w:t>
            </w:r>
            <w:r w:rsidR="006712F6" w:rsidRPr="00FB0D9D">
              <w:rPr>
                <w:rFonts w:eastAsia="Times New Roman" w:cs="Calibri"/>
                <w:b/>
                <w:bCs/>
                <w:sz w:val="20"/>
                <w:szCs w:val="20"/>
                <w:lang w:eastAsia="en-GB"/>
              </w:rPr>
              <w:t xml:space="preserve"> </w:t>
            </w:r>
            <w:r w:rsidR="006712F6" w:rsidRPr="00FB0D9D">
              <w:rPr>
                <w:rFonts w:eastAsia="Times New Roman" w:cs="Calibri"/>
                <w:sz w:val="20"/>
                <w:szCs w:val="20"/>
                <w:lang w:eastAsia="en-GB"/>
              </w:rPr>
              <w:t>85K capacity</w:t>
            </w:r>
            <w:r>
              <w:rPr>
                <w:rFonts w:eastAsia="Times New Roman" w:cs="Calibri"/>
                <w:sz w:val="20"/>
                <w:szCs w:val="20"/>
                <w:lang w:eastAsia="en-GB"/>
              </w:rPr>
              <w:t>-</w:t>
            </w:r>
            <w:r w:rsidR="006712F6" w:rsidRPr="00FB0D9D">
              <w:rPr>
                <w:rFonts w:eastAsia="Times New Roman" w:cs="Calibri"/>
                <w:sz w:val="20"/>
                <w:szCs w:val="20"/>
                <w:lang w:eastAsia="en-GB"/>
              </w:rPr>
              <w:t xml:space="preserve">building plan to be implemented </w:t>
            </w:r>
            <w:r w:rsidR="002414B3">
              <w:rPr>
                <w:rFonts w:eastAsia="Times New Roman" w:cs="Calibri"/>
                <w:sz w:val="20"/>
                <w:szCs w:val="20"/>
                <w:lang w:eastAsia="en-GB"/>
              </w:rPr>
              <w:t xml:space="preserve">during the </w:t>
            </w:r>
            <w:r>
              <w:rPr>
                <w:rFonts w:eastAsia="Times New Roman" w:cs="Calibri"/>
                <w:sz w:val="20"/>
                <w:szCs w:val="20"/>
                <w:lang w:eastAsia="en-GB"/>
              </w:rPr>
              <w:t xml:space="preserve"> 3 years of the triennium.</w:t>
            </w:r>
            <w:r w:rsidR="006712F6" w:rsidRPr="00FB0D9D">
              <w:rPr>
                <w:rFonts w:eastAsia="Times New Roman" w:cs="Calibri"/>
                <w:sz w:val="20"/>
                <w:szCs w:val="20"/>
                <w:lang w:eastAsia="en-GB"/>
              </w:rPr>
              <w:br/>
            </w:r>
            <w:r>
              <w:rPr>
                <w:rFonts w:eastAsia="Times New Roman" w:cs="Calibri"/>
                <w:b/>
                <w:bCs/>
                <w:sz w:val="20"/>
                <w:szCs w:val="20"/>
                <w:lang w:eastAsia="en-GB"/>
              </w:rPr>
              <w:t>S</w:t>
            </w:r>
            <w:r w:rsidR="006712F6" w:rsidRPr="00FB0D9D">
              <w:rPr>
                <w:rFonts w:eastAsia="Times New Roman" w:cs="Calibri"/>
                <w:b/>
                <w:bCs/>
                <w:sz w:val="20"/>
                <w:szCs w:val="20"/>
                <w:lang w:eastAsia="en-GB"/>
              </w:rPr>
              <w:t>avings</w:t>
            </w:r>
            <w:r w:rsidR="006712F6" w:rsidRPr="00FB0D9D">
              <w:rPr>
                <w:rFonts w:eastAsia="Times New Roman" w:cs="Calibri"/>
                <w:sz w:val="20"/>
                <w:szCs w:val="20"/>
                <w:lang w:eastAsia="en-GB"/>
              </w:rPr>
              <w:t xml:space="preserve">: office supplies </w:t>
            </w:r>
            <w:r>
              <w:rPr>
                <w:rFonts w:eastAsia="Times New Roman" w:cs="Calibri"/>
                <w:sz w:val="20"/>
                <w:szCs w:val="20"/>
                <w:lang w:eastAsia="en-GB"/>
              </w:rPr>
              <w:t>and equipment.</w:t>
            </w:r>
          </w:p>
        </w:tc>
      </w:tr>
      <w:tr w:rsidR="006712F6" w:rsidRPr="0036778B" w14:paraId="0186DCB6" w14:textId="77777777" w:rsidTr="00146B5F">
        <w:trPr>
          <w:trHeight w:val="900"/>
        </w:trPr>
        <w:tc>
          <w:tcPr>
            <w:tcW w:w="1560" w:type="dxa"/>
            <w:tcBorders>
              <w:top w:val="nil"/>
              <w:left w:val="single" w:sz="4" w:space="0" w:color="auto"/>
              <w:bottom w:val="single" w:sz="4" w:space="0" w:color="auto"/>
              <w:right w:val="single" w:sz="4" w:space="0" w:color="auto"/>
            </w:tcBorders>
            <w:shd w:val="clear" w:color="auto" w:fill="auto"/>
            <w:noWrap/>
            <w:hideMark/>
          </w:tcPr>
          <w:p w14:paraId="70E612DB"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Standing Committee Services</w:t>
            </w:r>
          </w:p>
        </w:tc>
        <w:tc>
          <w:tcPr>
            <w:tcW w:w="1370" w:type="dxa"/>
            <w:tcBorders>
              <w:top w:val="nil"/>
              <w:left w:val="nil"/>
              <w:bottom w:val="single" w:sz="4" w:space="0" w:color="auto"/>
              <w:right w:val="single" w:sz="4" w:space="0" w:color="auto"/>
            </w:tcBorders>
            <w:shd w:val="clear" w:color="auto" w:fill="auto"/>
            <w:hideMark/>
          </w:tcPr>
          <w:p w14:paraId="456E4AD4"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17</w:t>
            </w:r>
          </w:p>
        </w:tc>
        <w:tc>
          <w:tcPr>
            <w:tcW w:w="1370" w:type="dxa"/>
            <w:tcBorders>
              <w:top w:val="nil"/>
              <w:left w:val="nil"/>
              <w:bottom w:val="single" w:sz="4" w:space="0" w:color="auto"/>
              <w:right w:val="single" w:sz="4" w:space="0" w:color="auto"/>
            </w:tcBorders>
            <w:shd w:val="clear" w:color="auto" w:fill="auto"/>
            <w:hideMark/>
          </w:tcPr>
          <w:p w14:paraId="333976D1"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83</w:t>
            </w:r>
          </w:p>
        </w:tc>
        <w:tc>
          <w:tcPr>
            <w:tcW w:w="1370" w:type="dxa"/>
            <w:tcBorders>
              <w:top w:val="nil"/>
              <w:left w:val="nil"/>
              <w:bottom w:val="single" w:sz="4" w:space="0" w:color="auto"/>
              <w:right w:val="single" w:sz="4" w:space="0" w:color="auto"/>
            </w:tcBorders>
            <w:shd w:val="clear" w:color="auto" w:fill="auto"/>
            <w:noWrap/>
            <w:hideMark/>
          </w:tcPr>
          <w:p w14:paraId="3E8FF48F"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100</w:t>
            </w:r>
          </w:p>
        </w:tc>
        <w:tc>
          <w:tcPr>
            <w:tcW w:w="3828" w:type="dxa"/>
            <w:tcBorders>
              <w:top w:val="nil"/>
              <w:left w:val="nil"/>
              <w:bottom w:val="single" w:sz="4" w:space="0" w:color="auto"/>
              <w:right w:val="single" w:sz="4" w:space="0" w:color="auto"/>
            </w:tcBorders>
            <w:shd w:val="clear" w:color="auto" w:fill="auto"/>
            <w:hideMark/>
          </w:tcPr>
          <w:p w14:paraId="33A5FA7A" w14:textId="3D4DF556" w:rsidR="006712F6" w:rsidRPr="00FB0D9D" w:rsidRDefault="008E66EE" w:rsidP="008E66EE">
            <w:pPr>
              <w:ind w:left="0" w:firstLine="0"/>
              <w:rPr>
                <w:rFonts w:eastAsia="Times New Roman" w:cs="Calibri"/>
                <w:sz w:val="20"/>
                <w:szCs w:val="20"/>
                <w:lang w:eastAsia="en-GB"/>
              </w:rPr>
            </w:pPr>
            <w:r>
              <w:rPr>
                <w:rFonts w:eastAsia="Times New Roman" w:cs="Calibri"/>
                <w:b/>
                <w:bCs/>
                <w:sz w:val="20"/>
                <w:szCs w:val="20"/>
                <w:lang w:eastAsia="en-GB"/>
              </w:rPr>
              <w:t>P</w:t>
            </w:r>
            <w:r w:rsidR="006712F6" w:rsidRPr="00FB0D9D">
              <w:rPr>
                <w:rFonts w:eastAsia="Times New Roman" w:cs="Calibri"/>
                <w:b/>
                <w:bCs/>
                <w:sz w:val="20"/>
                <w:szCs w:val="20"/>
                <w:lang w:eastAsia="en-GB"/>
              </w:rPr>
              <w:t>re-committed/planned:</w:t>
            </w:r>
            <w:r w:rsidR="006712F6" w:rsidRPr="00FB0D9D">
              <w:rPr>
                <w:rFonts w:eastAsia="Times New Roman" w:cs="Calibri"/>
                <w:sz w:val="20"/>
                <w:szCs w:val="20"/>
                <w:lang w:eastAsia="en-GB"/>
              </w:rPr>
              <w:t xml:space="preserve"> (i) 14K </w:t>
            </w:r>
            <w:r w:rsidR="00CE1195" w:rsidRPr="00FB0D9D">
              <w:rPr>
                <w:rFonts w:eastAsia="Times New Roman" w:cs="Calibri"/>
                <w:sz w:val="20"/>
                <w:szCs w:val="20"/>
                <w:lang w:eastAsia="en-GB"/>
              </w:rPr>
              <w:t>Effectiveness Working Group</w:t>
            </w:r>
            <w:r>
              <w:rPr>
                <w:rFonts w:eastAsia="Times New Roman" w:cs="Calibri"/>
                <w:sz w:val="20"/>
                <w:szCs w:val="20"/>
                <w:lang w:eastAsia="en-GB"/>
              </w:rPr>
              <w:t>,</w:t>
            </w:r>
            <w:r w:rsidR="00CE1195" w:rsidRPr="00FB0D9D">
              <w:rPr>
                <w:rFonts w:eastAsia="Times New Roman" w:cs="Calibri"/>
                <w:sz w:val="20"/>
                <w:szCs w:val="20"/>
                <w:lang w:eastAsia="en-GB"/>
              </w:rPr>
              <w:t xml:space="preserve"> </w:t>
            </w:r>
            <w:r w:rsidR="006712F6" w:rsidRPr="00FB0D9D">
              <w:rPr>
                <w:rFonts w:eastAsia="Times New Roman" w:cs="Calibri"/>
                <w:sz w:val="20"/>
                <w:szCs w:val="20"/>
                <w:lang w:eastAsia="en-GB"/>
              </w:rPr>
              <w:t xml:space="preserve">and (ii) 3K </w:t>
            </w:r>
            <w:r w:rsidRPr="00FB0D9D">
              <w:rPr>
                <w:rFonts w:eastAsia="Times New Roman" w:cs="Calibri"/>
                <w:sz w:val="20"/>
                <w:szCs w:val="20"/>
                <w:lang w:eastAsia="en-GB"/>
              </w:rPr>
              <w:t xml:space="preserve">review </w:t>
            </w:r>
            <w:r>
              <w:rPr>
                <w:rFonts w:eastAsia="Times New Roman" w:cs="Calibri"/>
                <w:sz w:val="20"/>
                <w:szCs w:val="20"/>
                <w:lang w:eastAsia="en-GB"/>
              </w:rPr>
              <w:t xml:space="preserve">of </w:t>
            </w:r>
            <w:r w:rsidR="006712F6" w:rsidRPr="00FB0D9D">
              <w:rPr>
                <w:rFonts w:eastAsia="Times New Roman" w:cs="Calibri"/>
                <w:sz w:val="20"/>
                <w:szCs w:val="20"/>
                <w:lang w:eastAsia="en-GB"/>
              </w:rPr>
              <w:t>Resolutions (Res</w:t>
            </w:r>
            <w:r>
              <w:rPr>
                <w:rFonts w:eastAsia="Times New Roman" w:cs="Calibri"/>
                <w:sz w:val="20"/>
                <w:szCs w:val="20"/>
                <w:lang w:eastAsia="en-GB"/>
              </w:rPr>
              <w:t>olution XIII.4).</w:t>
            </w:r>
            <w:r w:rsidR="006712F6" w:rsidRPr="00FB0D9D">
              <w:rPr>
                <w:rFonts w:eastAsia="Times New Roman" w:cs="Calibri"/>
                <w:sz w:val="20"/>
                <w:szCs w:val="20"/>
                <w:lang w:eastAsia="en-GB"/>
              </w:rPr>
              <w:br/>
            </w:r>
            <w:r>
              <w:rPr>
                <w:rFonts w:eastAsia="Times New Roman" w:cs="Calibri"/>
                <w:b/>
                <w:bCs/>
                <w:sz w:val="20"/>
                <w:szCs w:val="20"/>
                <w:lang w:eastAsia="en-GB"/>
              </w:rPr>
              <w:t>S</w:t>
            </w:r>
            <w:r w:rsidR="006712F6" w:rsidRPr="00FB0D9D">
              <w:rPr>
                <w:rFonts w:eastAsia="Times New Roman" w:cs="Calibri"/>
                <w:b/>
                <w:bCs/>
                <w:sz w:val="20"/>
                <w:szCs w:val="20"/>
                <w:lang w:eastAsia="en-GB"/>
              </w:rPr>
              <w:t>avings:</w:t>
            </w:r>
            <w:r w:rsidR="006712F6" w:rsidRPr="00FB0D9D">
              <w:rPr>
                <w:rFonts w:eastAsia="Times New Roman" w:cs="Calibri"/>
                <w:sz w:val="20"/>
                <w:szCs w:val="20"/>
                <w:lang w:eastAsia="en-GB"/>
              </w:rPr>
              <w:t xml:space="preserve"> Standing Committee services as face-to-face meeting did not take place</w:t>
            </w:r>
            <w:r>
              <w:rPr>
                <w:rFonts w:eastAsia="Times New Roman" w:cs="Calibri"/>
                <w:sz w:val="20"/>
                <w:szCs w:val="20"/>
                <w:lang w:eastAsia="en-GB"/>
              </w:rPr>
              <w:t>.</w:t>
            </w:r>
          </w:p>
        </w:tc>
      </w:tr>
      <w:tr w:rsidR="006712F6" w:rsidRPr="0036778B" w14:paraId="72BB4BB7" w14:textId="77777777" w:rsidTr="00146B5F">
        <w:trPr>
          <w:trHeight w:val="1935"/>
        </w:trPr>
        <w:tc>
          <w:tcPr>
            <w:tcW w:w="1560" w:type="dxa"/>
            <w:tcBorders>
              <w:top w:val="nil"/>
              <w:left w:val="single" w:sz="4" w:space="0" w:color="auto"/>
              <w:bottom w:val="single" w:sz="4" w:space="0" w:color="auto"/>
              <w:right w:val="single" w:sz="4" w:space="0" w:color="auto"/>
            </w:tcBorders>
            <w:shd w:val="clear" w:color="auto" w:fill="auto"/>
            <w:hideMark/>
          </w:tcPr>
          <w:p w14:paraId="2DCDE30C" w14:textId="77777777" w:rsidR="006712F6" w:rsidRPr="00FB0D9D" w:rsidRDefault="006712F6" w:rsidP="008F7FC4">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Provisions, exchange difference and legal services</w:t>
            </w:r>
          </w:p>
        </w:tc>
        <w:tc>
          <w:tcPr>
            <w:tcW w:w="1370" w:type="dxa"/>
            <w:tcBorders>
              <w:top w:val="nil"/>
              <w:left w:val="nil"/>
              <w:bottom w:val="single" w:sz="4" w:space="0" w:color="auto"/>
              <w:right w:val="single" w:sz="4" w:space="0" w:color="auto"/>
            </w:tcBorders>
            <w:shd w:val="clear" w:color="auto" w:fill="auto"/>
            <w:hideMark/>
          </w:tcPr>
          <w:p w14:paraId="4E8C0E4A"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129</w:t>
            </w:r>
          </w:p>
        </w:tc>
        <w:tc>
          <w:tcPr>
            <w:tcW w:w="1370" w:type="dxa"/>
            <w:tcBorders>
              <w:top w:val="nil"/>
              <w:left w:val="nil"/>
              <w:bottom w:val="single" w:sz="4" w:space="0" w:color="auto"/>
              <w:right w:val="single" w:sz="4" w:space="0" w:color="auto"/>
            </w:tcBorders>
            <w:shd w:val="clear" w:color="auto" w:fill="auto"/>
            <w:hideMark/>
          </w:tcPr>
          <w:p w14:paraId="6E0D046F"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714</w:t>
            </w:r>
          </w:p>
        </w:tc>
        <w:tc>
          <w:tcPr>
            <w:tcW w:w="1370" w:type="dxa"/>
            <w:tcBorders>
              <w:top w:val="nil"/>
              <w:left w:val="nil"/>
              <w:bottom w:val="single" w:sz="4" w:space="0" w:color="auto"/>
              <w:right w:val="single" w:sz="4" w:space="0" w:color="auto"/>
            </w:tcBorders>
            <w:shd w:val="clear" w:color="auto" w:fill="auto"/>
            <w:noWrap/>
            <w:hideMark/>
          </w:tcPr>
          <w:p w14:paraId="04700CDD" w14:textId="77777777" w:rsidR="006712F6" w:rsidRPr="00FB0D9D" w:rsidRDefault="006712F6" w:rsidP="00FB0D9D">
            <w:pPr>
              <w:ind w:left="0" w:firstLine="0"/>
              <w:jc w:val="right"/>
              <w:rPr>
                <w:rFonts w:eastAsia="Times New Roman" w:cs="Calibri"/>
                <w:sz w:val="20"/>
                <w:szCs w:val="20"/>
                <w:lang w:eastAsia="en-GB"/>
              </w:rPr>
            </w:pPr>
            <w:r w:rsidRPr="00FB0D9D">
              <w:rPr>
                <w:rFonts w:eastAsia="Times New Roman" w:cs="Calibri"/>
                <w:sz w:val="20"/>
                <w:szCs w:val="20"/>
                <w:lang w:eastAsia="en-GB"/>
              </w:rPr>
              <w:t>843</w:t>
            </w:r>
          </w:p>
        </w:tc>
        <w:tc>
          <w:tcPr>
            <w:tcW w:w="3828" w:type="dxa"/>
            <w:tcBorders>
              <w:top w:val="nil"/>
              <w:left w:val="nil"/>
              <w:bottom w:val="single" w:sz="4" w:space="0" w:color="auto"/>
              <w:right w:val="single" w:sz="4" w:space="0" w:color="auto"/>
            </w:tcBorders>
            <w:shd w:val="clear" w:color="auto" w:fill="auto"/>
            <w:hideMark/>
          </w:tcPr>
          <w:p w14:paraId="59AA3B8C" w14:textId="69C06F08" w:rsidR="006712F6" w:rsidRPr="00FB0D9D" w:rsidRDefault="009D3819" w:rsidP="009D3819">
            <w:pPr>
              <w:ind w:left="0" w:firstLine="0"/>
              <w:rPr>
                <w:rFonts w:eastAsia="Times New Roman" w:cs="Calibri"/>
                <w:sz w:val="20"/>
                <w:szCs w:val="20"/>
                <w:lang w:eastAsia="en-GB"/>
              </w:rPr>
            </w:pPr>
            <w:r>
              <w:rPr>
                <w:rFonts w:eastAsia="Times New Roman" w:cs="Calibri"/>
                <w:b/>
                <w:bCs/>
                <w:sz w:val="20"/>
                <w:szCs w:val="20"/>
                <w:lang w:eastAsia="en-GB"/>
              </w:rPr>
              <w:t>P</w:t>
            </w:r>
            <w:r w:rsidR="006712F6" w:rsidRPr="00FB0D9D">
              <w:rPr>
                <w:rFonts w:eastAsia="Times New Roman" w:cs="Calibri"/>
                <w:b/>
                <w:bCs/>
                <w:sz w:val="20"/>
                <w:szCs w:val="20"/>
                <w:lang w:eastAsia="en-GB"/>
              </w:rPr>
              <w:t>re-committed/planned:</w:t>
            </w:r>
            <w:r w:rsidR="006712F6" w:rsidRPr="00FB0D9D">
              <w:rPr>
                <w:rFonts w:eastAsia="Times New Roman" w:cs="Calibri"/>
                <w:sz w:val="20"/>
                <w:szCs w:val="20"/>
                <w:lang w:eastAsia="en-GB"/>
              </w:rPr>
              <w:t xml:space="preserve"> (i) 17K financial analysis </w:t>
            </w:r>
            <w:r w:rsidR="00BE0C6F">
              <w:rPr>
                <w:rFonts w:eastAsia="Times New Roman" w:cs="Calibri"/>
                <w:sz w:val="20"/>
                <w:szCs w:val="20"/>
                <w:lang w:eastAsia="en-GB"/>
              </w:rPr>
              <w:t xml:space="preserve">of </w:t>
            </w:r>
            <w:r w:rsidR="006712F6" w:rsidRPr="00FB0D9D">
              <w:rPr>
                <w:rFonts w:eastAsia="Times New Roman" w:cs="Calibri"/>
                <w:sz w:val="20"/>
                <w:szCs w:val="20"/>
                <w:lang w:eastAsia="en-GB"/>
              </w:rPr>
              <w:t xml:space="preserve">legal status of </w:t>
            </w:r>
            <w:r w:rsidR="00BE0C6F">
              <w:rPr>
                <w:rFonts w:eastAsia="Times New Roman" w:cs="Calibri"/>
                <w:sz w:val="20"/>
                <w:szCs w:val="20"/>
                <w:lang w:eastAsia="en-GB"/>
              </w:rPr>
              <w:t xml:space="preserve">the </w:t>
            </w:r>
            <w:r w:rsidR="006712F6" w:rsidRPr="00FB0D9D">
              <w:rPr>
                <w:rFonts w:eastAsia="Times New Roman" w:cs="Calibri"/>
                <w:sz w:val="20"/>
                <w:szCs w:val="20"/>
                <w:lang w:eastAsia="en-GB"/>
              </w:rPr>
              <w:t>S</w:t>
            </w:r>
            <w:r w:rsidR="00CE1195" w:rsidRPr="00FB0D9D">
              <w:rPr>
                <w:rFonts w:eastAsia="Times New Roman" w:cs="Calibri"/>
                <w:sz w:val="20"/>
                <w:szCs w:val="20"/>
                <w:lang w:eastAsia="en-GB"/>
              </w:rPr>
              <w:t>e</w:t>
            </w:r>
            <w:r w:rsidR="006712F6" w:rsidRPr="00FB0D9D">
              <w:rPr>
                <w:rFonts w:eastAsia="Times New Roman" w:cs="Calibri"/>
                <w:sz w:val="20"/>
                <w:szCs w:val="20"/>
                <w:lang w:eastAsia="en-GB"/>
              </w:rPr>
              <w:t>cretariat, (ii) 28K legal advice, (iii) 16K audit</w:t>
            </w:r>
            <w:r>
              <w:rPr>
                <w:rFonts w:eastAsia="Times New Roman" w:cs="Calibri"/>
                <w:sz w:val="20"/>
                <w:szCs w:val="20"/>
                <w:lang w:eastAsia="en-GB"/>
              </w:rPr>
              <w:t>,</w:t>
            </w:r>
            <w:r w:rsidR="006712F6" w:rsidRPr="00FB0D9D">
              <w:rPr>
                <w:rFonts w:eastAsia="Times New Roman" w:cs="Calibri"/>
                <w:sz w:val="20"/>
                <w:szCs w:val="20"/>
                <w:lang w:eastAsia="en-GB"/>
              </w:rPr>
              <w:t xml:space="preserve"> and (iv) 68K provision for outstanding contributions</w:t>
            </w:r>
            <w:r>
              <w:rPr>
                <w:rFonts w:eastAsia="Times New Roman" w:cs="Calibri"/>
                <w:sz w:val="20"/>
                <w:szCs w:val="20"/>
                <w:lang w:eastAsia="en-GB"/>
              </w:rPr>
              <w:t>.</w:t>
            </w:r>
            <w:r w:rsidR="006712F6" w:rsidRPr="00FB0D9D">
              <w:rPr>
                <w:rFonts w:eastAsia="Times New Roman" w:cs="Calibri"/>
                <w:sz w:val="20"/>
                <w:szCs w:val="20"/>
                <w:lang w:eastAsia="en-GB"/>
              </w:rPr>
              <w:br/>
            </w:r>
            <w:r>
              <w:rPr>
                <w:rFonts w:eastAsia="Times New Roman" w:cs="Calibri"/>
                <w:b/>
                <w:bCs/>
                <w:sz w:val="20"/>
                <w:szCs w:val="20"/>
                <w:lang w:eastAsia="en-GB"/>
              </w:rPr>
              <w:t>S</w:t>
            </w:r>
            <w:r w:rsidR="006712F6" w:rsidRPr="00FB0D9D">
              <w:rPr>
                <w:rFonts w:eastAsia="Times New Roman" w:cs="Calibri"/>
                <w:b/>
                <w:bCs/>
                <w:sz w:val="20"/>
                <w:szCs w:val="20"/>
                <w:lang w:eastAsia="en-GB"/>
              </w:rPr>
              <w:t xml:space="preserve">avings: </w:t>
            </w:r>
            <w:r w:rsidR="006712F6" w:rsidRPr="00FB0D9D">
              <w:rPr>
                <w:rFonts w:eastAsia="Times New Roman" w:cs="Calibri"/>
                <w:sz w:val="20"/>
                <w:szCs w:val="20"/>
                <w:lang w:eastAsia="en-GB"/>
              </w:rPr>
              <w:t xml:space="preserve">net of (i) 73K staff provisions, (ii) 709K SC58 budget </w:t>
            </w:r>
            <w:r w:rsidR="00C35EBF">
              <w:rPr>
                <w:rFonts w:eastAsia="Times New Roman" w:cs="Calibri"/>
                <w:sz w:val="20"/>
                <w:szCs w:val="20"/>
                <w:lang w:eastAsia="en-GB"/>
              </w:rPr>
              <w:t xml:space="preserve">2020 </w:t>
            </w:r>
            <w:r>
              <w:rPr>
                <w:rFonts w:eastAsia="Times New Roman" w:cs="Calibri"/>
                <w:sz w:val="20"/>
                <w:szCs w:val="20"/>
                <w:lang w:eastAsia="en-GB"/>
              </w:rPr>
              <w:t xml:space="preserve">and </w:t>
            </w:r>
            <w:r w:rsidR="00C35EBF">
              <w:rPr>
                <w:rFonts w:eastAsia="Times New Roman" w:cs="Calibri"/>
                <w:sz w:val="20"/>
                <w:szCs w:val="20"/>
                <w:lang w:eastAsia="en-GB"/>
              </w:rPr>
              <w:t xml:space="preserve">2019 </w:t>
            </w:r>
            <w:r>
              <w:rPr>
                <w:rFonts w:eastAsia="Times New Roman" w:cs="Calibri"/>
                <w:sz w:val="20"/>
                <w:szCs w:val="20"/>
                <w:lang w:eastAsia="en-GB"/>
              </w:rPr>
              <w:t>uncommitted carry-</w:t>
            </w:r>
            <w:r w:rsidR="006712F6" w:rsidRPr="00FB0D9D">
              <w:rPr>
                <w:rFonts w:eastAsia="Times New Roman" w:cs="Calibri"/>
                <w:sz w:val="20"/>
                <w:szCs w:val="20"/>
                <w:lang w:eastAsia="en-GB"/>
              </w:rPr>
              <w:t>forward savings, (iii) 26K legal services savings</w:t>
            </w:r>
            <w:r>
              <w:rPr>
                <w:rFonts w:eastAsia="Times New Roman" w:cs="Calibri"/>
                <w:sz w:val="20"/>
                <w:szCs w:val="20"/>
                <w:lang w:eastAsia="en-GB"/>
              </w:rPr>
              <w:t>,</w:t>
            </w:r>
            <w:r w:rsidR="006712F6" w:rsidRPr="00FB0D9D">
              <w:rPr>
                <w:rFonts w:eastAsia="Times New Roman" w:cs="Calibri"/>
                <w:sz w:val="20"/>
                <w:szCs w:val="20"/>
                <w:lang w:eastAsia="en-GB"/>
              </w:rPr>
              <w:t xml:space="preserve"> and (iii) </w:t>
            </w:r>
            <w:r w:rsidR="00CE1195" w:rsidRPr="00FB0D9D">
              <w:rPr>
                <w:rFonts w:eastAsia="Times New Roman" w:cs="Calibri"/>
                <w:sz w:val="20"/>
                <w:szCs w:val="20"/>
                <w:lang w:eastAsia="en-GB"/>
              </w:rPr>
              <w:t>foreign</w:t>
            </w:r>
            <w:r w:rsidR="006712F6" w:rsidRPr="00FB0D9D">
              <w:rPr>
                <w:rFonts w:eastAsia="Times New Roman" w:cs="Calibri"/>
                <w:sz w:val="20"/>
                <w:szCs w:val="20"/>
                <w:lang w:eastAsia="en-GB"/>
              </w:rPr>
              <w:t xml:space="preserve"> exchange loss of 94K for 2019 and 2020</w:t>
            </w:r>
          </w:p>
        </w:tc>
      </w:tr>
      <w:tr w:rsidR="006712F6" w:rsidRPr="0036778B" w14:paraId="4F6D1C91" w14:textId="77777777" w:rsidTr="00146B5F">
        <w:trPr>
          <w:trHeight w:val="300"/>
        </w:trPr>
        <w:tc>
          <w:tcPr>
            <w:tcW w:w="1560" w:type="dxa"/>
            <w:tcBorders>
              <w:top w:val="nil"/>
              <w:left w:val="single" w:sz="4" w:space="0" w:color="auto"/>
              <w:bottom w:val="single" w:sz="4" w:space="0" w:color="auto"/>
              <w:right w:val="single" w:sz="4" w:space="0" w:color="auto"/>
            </w:tcBorders>
            <w:shd w:val="clear" w:color="000000" w:fill="DBE5F1"/>
            <w:noWrap/>
            <w:hideMark/>
          </w:tcPr>
          <w:p w14:paraId="16548DDD" w14:textId="77777777" w:rsidR="006712F6" w:rsidRPr="00FB0D9D" w:rsidRDefault="006712F6" w:rsidP="008F7FC4">
            <w:pPr>
              <w:ind w:left="0" w:firstLine="0"/>
              <w:rPr>
                <w:rFonts w:eastAsia="Times New Roman" w:cs="Calibri"/>
                <w:b/>
                <w:bCs/>
                <w:color w:val="000000"/>
                <w:sz w:val="20"/>
                <w:szCs w:val="20"/>
                <w:lang w:eastAsia="en-GB"/>
              </w:rPr>
            </w:pPr>
            <w:r w:rsidRPr="00FB0D9D">
              <w:rPr>
                <w:rFonts w:eastAsia="Times New Roman" w:cs="Calibri"/>
                <w:b/>
                <w:bCs/>
                <w:color w:val="000000"/>
                <w:sz w:val="20"/>
                <w:szCs w:val="20"/>
                <w:lang w:eastAsia="en-GB"/>
              </w:rPr>
              <w:t>Sub-Total</w:t>
            </w:r>
          </w:p>
        </w:tc>
        <w:tc>
          <w:tcPr>
            <w:tcW w:w="1370" w:type="dxa"/>
            <w:tcBorders>
              <w:top w:val="nil"/>
              <w:left w:val="nil"/>
              <w:bottom w:val="single" w:sz="4" w:space="0" w:color="auto"/>
              <w:right w:val="single" w:sz="4" w:space="0" w:color="auto"/>
            </w:tcBorders>
            <w:shd w:val="clear" w:color="000000" w:fill="DBE5F1"/>
            <w:noWrap/>
            <w:hideMark/>
          </w:tcPr>
          <w:p w14:paraId="44D31DCB" w14:textId="0AD8AA7A" w:rsidR="006712F6" w:rsidRPr="00FB0D9D" w:rsidRDefault="006712F6" w:rsidP="00FB0D9D">
            <w:pPr>
              <w:ind w:left="0" w:firstLine="0"/>
              <w:jc w:val="right"/>
              <w:rPr>
                <w:rFonts w:eastAsia="Times New Roman" w:cs="Calibri"/>
                <w:b/>
                <w:bCs/>
                <w:color w:val="000000"/>
                <w:sz w:val="20"/>
                <w:szCs w:val="20"/>
                <w:lang w:eastAsia="en-GB"/>
              </w:rPr>
            </w:pPr>
            <w:r w:rsidRPr="00FB0D9D">
              <w:rPr>
                <w:rFonts w:eastAsia="Times New Roman" w:cs="Calibri"/>
                <w:b/>
                <w:bCs/>
                <w:color w:val="000000"/>
                <w:sz w:val="20"/>
                <w:szCs w:val="20"/>
                <w:lang w:eastAsia="en-GB"/>
              </w:rPr>
              <w:t>712</w:t>
            </w:r>
          </w:p>
        </w:tc>
        <w:tc>
          <w:tcPr>
            <w:tcW w:w="1370" w:type="dxa"/>
            <w:tcBorders>
              <w:top w:val="nil"/>
              <w:left w:val="nil"/>
              <w:bottom w:val="single" w:sz="4" w:space="0" w:color="auto"/>
              <w:right w:val="single" w:sz="4" w:space="0" w:color="auto"/>
            </w:tcBorders>
            <w:shd w:val="clear" w:color="000000" w:fill="DBE5F1"/>
            <w:noWrap/>
            <w:hideMark/>
          </w:tcPr>
          <w:p w14:paraId="722ACBA9" w14:textId="19A9C760" w:rsidR="006712F6" w:rsidRPr="00FB0D9D" w:rsidRDefault="006712F6" w:rsidP="009C5CE3">
            <w:pPr>
              <w:ind w:left="0" w:firstLine="0"/>
              <w:jc w:val="right"/>
              <w:rPr>
                <w:rFonts w:eastAsia="Times New Roman" w:cs="Calibri"/>
                <w:b/>
                <w:bCs/>
                <w:color w:val="000000"/>
                <w:sz w:val="20"/>
                <w:szCs w:val="20"/>
                <w:lang w:eastAsia="en-GB"/>
              </w:rPr>
            </w:pPr>
            <w:r w:rsidRPr="00FB0D9D">
              <w:rPr>
                <w:rFonts w:eastAsia="Times New Roman" w:cs="Calibri"/>
                <w:b/>
                <w:bCs/>
                <w:color w:val="000000"/>
                <w:sz w:val="20"/>
                <w:szCs w:val="20"/>
                <w:lang w:eastAsia="en-GB"/>
              </w:rPr>
              <w:t>1,</w:t>
            </w:r>
            <w:r w:rsidR="009C5CE3" w:rsidRPr="00FB0D9D">
              <w:rPr>
                <w:rFonts w:eastAsia="Times New Roman" w:cs="Calibri"/>
                <w:b/>
                <w:bCs/>
                <w:color w:val="000000"/>
                <w:sz w:val="20"/>
                <w:szCs w:val="20"/>
                <w:lang w:eastAsia="en-GB"/>
              </w:rPr>
              <w:t>5</w:t>
            </w:r>
            <w:r w:rsidR="009C5CE3">
              <w:rPr>
                <w:rFonts w:eastAsia="Times New Roman" w:cs="Calibri"/>
                <w:b/>
                <w:bCs/>
                <w:color w:val="000000"/>
                <w:sz w:val="20"/>
                <w:szCs w:val="20"/>
                <w:lang w:eastAsia="en-GB"/>
              </w:rPr>
              <w:t>90</w:t>
            </w:r>
          </w:p>
        </w:tc>
        <w:tc>
          <w:tcPr>
            <w:tcW w:w="1370" w:type="dxa"/>
            <w:tcBorders>
              <w:top w:val="nil"/>
              <w:left w:val="nil"/>
              <w:bottom w:val="single" w:sz="4" w:space="0" w:color="auto"/>
              <w:right w:val="single" w:sz="4" w:space="0" w:color="auto"/>
            </w:tcBorders>
            <w:shd w:val="clear" w:color="000000" w:fill="DBE5F1"/>
            <w:noWrap/>
            <w:hideMark/>
          </w:tcPr>
          <w:p w14:paraId="6ED40735" w14:textId="16309F95" w:rsidR="006712F6" w:rsidRPr="00FB0D9D" w:rsidRDefault="00A60D34" w:rsidP="00FB0D9D">
            <w:pPr>
              <w:ind w:left="0" w:firstLine="0"/>
              <w:jc w:val="right"/>
              <w:rPr>
                <w:rFonts w:eastAsia="Times New Roman" w:cs="Calibri"/>
                <w:b/>
                <w:bCs/>
                <w:color w:val="000000"/>
                <w:sz w:val="20"/>
                <w:szCs w:val="20"/>
                <w:lang w:eastAsia="en-GB"/>
              </w:rPr>
            </w:pPr>
            <w:r w:rsidRPr="00FB0D9D">
              <w:rPr>
                <w:rFonts w:eastAsia="Times New Roman" w:cs="Calibri"/>
                <w:b/>
                <w:bCs/>
                <w:color w:val="000000"/>
                <w:sz w:val="20"/>
                <w:szCs w:val="20"/>
                <w:lang w:eastAsia="en-GB"/>
              </w:rPr>
              <w:t>2,302</w:t>
            </w:r>
          </w:p>
        </w:tc>
        <w:tc>
          <w:tcPr>
            <w:tcW w:w="3828" w:type="dxa"/>
            <w:tcBorders>
              <w:top w:val="nil"/>
              <w:left w:val="nil"/>
              <w:bottom w:val="single" w:sz="4" w:space="0" w:color="auto"/>
              <w:right w:val="single" w:sz="4" w:space="0" w:color="auto"/>
            </w:tcBorders>
            <w:shd w:val="clear" w:color="000000" w:fill="DBE5F1"/>
            <w:noWrap/>
            <w:hideMark/>
          </w:tcPr>
          <w:p w14:paraId="57255CFC" w14:textId="77777777" w:rsidR="006712F6" w:rsidRPr="00FB0D9D" w:rsidRDefault="006712F6" w:rsidP="00FB0D9D">
            <w:pPr>
              <w:ind w:left="0" w:firstLine="0"/>
              <w:rPr>
                <w:rFonts w:eastAsia="Times New Roman" w:cs="Calibri"/>
                <w:color w:val="000000"/>
                <w:sz w:val="20"/>
                <w:szCs w:val="20"/>
                <w:lang w:eastAsia="en-GB"/>
              </w:rPr>
            </w:pPr>
            <w:r w:rsidRPr="00FB0D9D">
              <w:rPr>
                <w:rFonts w:eastAsia="Times New Roman" w:cs="Calibri"/>
                <w:color w:val="000000"/>
                <w:sz w:val="20"/>
                <w:szCs w:val="20"/>
                <w:lang w:eastAsia="en-GB"/>
              </w:rPr>
              <w:t> </w:t>
            </w:r>
          </w:p>
        </w:tc>
      </w:tr>
      <w:tr w:rsidR="006712F6" w:rsidRPr="0036778B" w14:paraId="5E488A74" w14:textId="77777777" w:rsidTr="00146B5F">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14:paraId="27EDCB88" w14:textId="77777777" w:rsidR="006712F6" w:rsidRPr="00FB0D9D" w:rsidRDefault="006712F6" w:rsidP="008F7FC4">
            <w:pPr>
              <w:ind w:left="0" w:firstLine="0"/>
              <w:outlineLvl w:val="0"/>
              <w:rPr>
                <w:rFonts w:eastAsia="Times New Roman" w:cs="Calibri"/>
                <w:color w:val="000000"/>
                <w:sz w:val="20"/>
                <w:szCs w:val="20"/>
                <w:lang w:eastAsia="en-GB"/>
              </w:rPr>
            </w:pPr>
            <w:r w:rsidRPr="00FB0D9D">
              <w:rPr>
                <w:rFonts w:eastAsia="Times New Roman" w:cs="Calibri"/>
                <w:color w:val="000000"/>
                <w:sz w:val="20"/>
                <w:szCs w:val="20"/>
                <w:lang w:eastAsia="en-GB"/>
              </w:rPr>
              <w:t>Shortfall in income compared to budget</w:t>
            </w:r>
          </w:p>
        </w:tc>
        <w:tc>
          <w:tcPr>
            <w:tcW w:w="1370" w:type="dxa"/>
            <w:tcBorders>
              <w:top w:val="nil"/>
              <w:left w:val="nil"/>
              <w:bottom w:val="single" w:sz="4" w:space="0" w:color="auto"/>
              <w:right w:val="single" w:sz="4" w:space="0" w:color="auto"/>
            </w:tcBorders>
            <w:shd w:val="clear" w:color="auto" w:fill="auto"/>
            <w:hideMark/>
          </w:tcPr>
          <w:p w14:paraId="68A5E69D" w14:textId="5FC2D3DC" w:rsidR="006712F6" w:rsidRPr="00FB0D9D" w:rsidRDefault="006712F6" w:rsidP="00FB0D9D">
            <w:pPr>
              <w:ind w:left="0" w:firstLine="0"/>
              <w:jc w:val="right"/>
              <w:outlineLvl w:val="0"/>
              <w:rPr>
                <w:rFonts w:eastAsia="Times New Roman" w:cs="Calibri"/>
                <w:sz w:val="20"/>
                <w:szCs w:val="20"/>
                <w:lang w:eastAsia="en-GB"/>
              </w:rPr>
            </w:pPr>
          </w:p>
        </w:tc>
        <w:tc>
          <w:tcPr>
            <w:tcW w:w="1370" w:type="dxa"/>
            <w:tcBorders>
              <w:top w:val="nil"/>
              <w:left w:val="nil"/>
              <w:bottom w:val="nil"/>
              <w:right w:val="nil"/>
            </w:tcBorders>
            <w:shd w:val="clear" w:color="auto" w:fill="auto"/>
            <w:noWrap/>
            <w:hideMark/>
          </w:tcPr>
          <w:p w14:paraId="3F8CF671" w14:textId="4E949E07" w:rsidR="006712F6" w:rsidRPr="00FB0D9D" w:rsidRDefault="0062467F" w:rsidP="00FB0D9D">
            <w:pPr>
              <w:ind w:left="0" w:firstLine="0"/>
              <w:jc w:val="right"/>
              <w:outlineLvl w:val="0"/>
              <w:rPr>
                <w:rFonts w:eastAsia="Times New Roman" w:cs="Calibri"/>
                <w:sz w:val="20"/>
                <w:szCs w:val="20"/>
                <w:lang w:eastAsia="en-GB"/>
              </w:rPr>
            </w:pPr>
            <w:r w:rsidRPr="00FB0D9D">
              <w:rPr>
                <w:rFonts w:eastAsia="Times New Roman" w:cs="Calibri"/>
                <w:sz w:val="20"/>
                <w:szCs w:val="20"/>
                <w:lang w:eastAsia="en-GB"/>
              </w:rPr>
              <w:t>-47</w:t>
            </w:r>
          </w:p>
        </w:tc>
        <w:tc>
          <w:tcPr>
            <w:tcW w:w="1370" w:type="dxa"/>
            <w:tcBorders>
              <w:top w:val="nil"/>
              <w:left w:val="single" w:sz="4" w:space="0" w:color="auto"/>
              <w:bottom w:val="single" w:sz="4" w:space="0" w:color="auto"/>
              <w:right w:val="single" w:sz="4" w:space="0" w:color="auto"/>
            </w:tcBorders>
            <w:shd w:val="clear" w:color="auto" w:fill="auto"/>
            <w:noWrap/>
            <w:hideMark/>
          </w:tcPr>
          <w:p w14:paraId="1DD72BFD" w14:textId="77777777" w:rsidR="006712F6" w:rsidRPr="00FB0D9D" w:rsidRDefault="006712F6" w:rsidP="00FB0D9D">
            <w:pPr>
              <w:ind w:left="0" w:firstLine="0"/>
              <w:jc w:val="right"/>
              <w:outlineLvl w:val="0"/>
              <w:rPr>
                <w:rFonts w:eastAsia="Times New Roman" w:cs="Calibri"/>
                <w:sz w:val="20"/>
                <w:szCs w:val="20"/>
                <w:lang w:eastAsia="en-GB"/>
              </w:rPr>
            </w:pPr>
            <w:r w:rsidRPr="00FB0D9D">
              <w:rPr>
                <w:rFonts w:eastAsia="Times New Roman" w:cs="Calibri"/>
                <w:sz w:val="20"/>
                <w:szCs w:val="20"/>
                <w:lang w:eastAsia="en-GB"/>
              </w:rPr>
              <w:t>-47</w:t>
            </w:r>
          </w:p>
        </w:tc>
        <w:tc>
          <w:tcPr>
            <w:tcW w:w="3828" w:type="dxa"/>
            <w:tcBorders>
              <w:top w:val="nil"/>
              <w:left w:val="nil"/>
              <w:bottom w:val="single" w:sz="4" w:space="0" w:color="auto"/>
              <w:right w:val="single" w:sz="4" w:space="0" w:color="auto"/>
            </w:tcBorders>
            <w:shd w:val="clear" w:color="auto" w:fill="auto"/>
            <w:hideMark/>
          </w:tcPr>
          <w:p w14:paraId="62BF41B4" w14:textId="77777777" w:rsidR="006712F6" w:rsidRPr="00FB0D9D" w:rsidRDefault="006712F6" w:rsidP="00FB0D9D">
            <w:pPr>
              <w:ind w:left="0" w:firstLine="0"/>
              <w:outlineLvl w:val="0"/>
              <w:rPr>
                <w:rFonts w:eastAsia="Times New Roman" w:cs="Calibri"/>
                <w:color w:val="000000"/>
                <w:sz w:val="20"/>
                <w:szCs w:val="20"/>
                <w:lang w:eastAsia="en-GB"/>
              </w:rPr>
            </w:pPr>
            <w:r w:rsidRPr="00FB0D9D">
              <w:rPr>
                <w:rFonts w:eastAsia="Times New Roman" w:cs="Calibri"/>
                <w:color w:val="000000"/>
                <w:sz w:val="20"/>
                <w:szCs w:val="20"/>
                <w:lang w:eastAsia="en-GB"/>
              </w:rPr>
              <w:t>47K less income tax and interest income</w:t>
            </w:r>
          </w:p>
        </w:tc>
      </w:tr>
      <w:tr w:rsidR="006712F6" w:rsidRPr="0036778B" w14:paraId="31A87800" w14:textId="77777777" w:rsidTr="009D3819">
        <w:trPr>
          <w:trHeight w:val="300"/>
        </w:trPr>
        <w:tc>
          <w:tcPr>
            <w:tcW w:w="1560" w:type="dxa"/>
            <w:tcBorders>
              <w:top w:val="nil"/>
              <w:left w:val="single" w:sz="4" w:space="0" w:color="auto"/>
              <w:bottom w:val="single" w:sz="4" w:space="0" w:color="auto"/>
              <w:right w:val="single" w:sz="4" w:space="0" w:color="auto"/>
            </w:tcBorders>
            <w:shd w:val="clear" w:color="auto" w:fill="auto"/>
            <w:noWrap/>
            <w:hideMark/>
          </w:tcPr>
          <w:p w14:paraId="1FF46BD8" w14:textId="77777777" w:rsidR="006712F6" w:rsidRPr="00FB0D9D" w:rsidRDefault="006712F6" w:rsidP="008F7FC4">
            <w:pPr>
              <w:ind w:left="0" w:firstLine="0"/>
              <w:outlineLvl w:val="0"/>
              <w:rPr>
                <w:rFonts w:eastAsia="Times New Roman" w:cs="Calibri"/>
                <w:color w:val="000000"/>
                <w:sz w:val="20"/>
                <w:szCs w:val="20"/>
                <w:lang w:eastAsia="en-GB"/>
              </w:rPr>
            </w:pPr>
            <w:r w:rsidRPr="00FB0D9D">
              <w:rPr>
                <w:rFonts w:eastAsia="Times New Roman" w:cs="Calibri"/>
                <w:color w:val="000000"/>
                <w:sz w:val="20"/>
                <w:szCs w:val="20"/>
                <w:lang w:eastAsia="en-GB"/>
              </w:rPr>
              <w:t>Rounding</w:t>
            </w:r>
          </w:p>
        </w:tc>
        <w:tc>
          <w:tcPr>
            <w:tcW w:w="1370" w:type="dxa"/>
            <w:tcBorders>
              <w:top w:val="nil"/>
              <w:left w:val="nil"/>
              <w:bottom w:val="nil"/>
              <w:right w:val="nil"/>
            </w:tcBorders>
            <w:shd w:val="clear" w:color="auto" w:fill="auto"/>
            <w:noWrap/>
            <w:hideMark/>
          </w:tcPr>
          <w:p w14:paraId="7ED9FFED" w14:textId="50468F2A" w:rsidR="006712F6" w:rsidRPr="00FB0D9D" w:rsidRDefault="006712F6" w:rsidP="00FB0D9D">
            <w:pPr>
              <w:ind w:left="0" w:firstLine="0"/>
              <w:jc w:val="right"/>
              <w:outlineLvl w:val="0"/>
              <w:rPr>
                <w:rFonts w:ascii="Arial" w:eastAsia="Times New Roman" w:hAnsi="Arial" w:cs="Arial"/>
                <w:color w:val="000000"/>
                <w:sz w:val="20"/>
                <w:szCs w:val="20"/>
                <w:lang w:eastAsia="en-GB"/>
              </w:rPr>
            </w:pP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C3C2BB9" w14:textId="61233EA0" w:rsidR="006712F6" w:rsidRPr="00FB0D9D" w:rsidRDefault="0062467F" w:rsidP="009C5CE3">
            <w:pPr>
              <w:ind w:left="0" w:firstLine="0"/>
              <w:jc w:val="right"/>
              <w:outlineLvl w:val="0"/>
              <w:rPr>
                <w:rFonts w:eastAsia="Times New Roman" w:cs="Calibri"/>
                <w:color w:val="000000"/>
                <w:sz w:val="20"/>
                <w:szCs w:val="20"/>
                <w:lang w:eastAsia="en-GB"/>
              </w:rPr>
            </w:pPr>
            <w:r w:rsidRPr="00FB0D9D">
              <w:rPr>
                <w:rFonts w:eastAsia="Times New Roman" w:cs="Calibri"/>
                <w:color w:val="000000"/>
                <w:sz w:val="20"/>
                <w:szCs w:val="20"/>
                <w:lang w:eastAsia="en-GB"/>
              </w:rPr>
              <w:t>-</w:t>
            </w:r>
            <w:r w:rsidR="009C5CE3">
              <w:rPr>
                <w:rFonts w:eastAsia="Times New Roman" w:cs="Calibri"/>
                <w:color w:val="000000"/>
                <w:sz w:val="20"/>
                <w:szCs w:val="20"/>
                <w:lang w:eastAsia="en-GB"/>
              </w:rPr>
              <w:t>2</w:t>
            </w:r>
          </w:p>
        </w:tc>
        <w:tc>
          <w:tcPr>
            <w:tcW w:w="1370" w:type="dxa"/>
            <w:tcBorders>
              <w:top w:val="nil"/>
              <w:left w:val="nil"/>
              <w:bottom w:val="single" w:sz="4" w:space="0" w:color="auto"/>
              <w:right w:val="single" w:sz="4" w:space="0" w:color="auto"/>
            </w:tcBorders>
            <w:shd w:val="clear" w:color="auto" w:fill="auto"/>
            <w:noWrap/>
            <w:hideMark/>
          </w:tcPr>
          <w:p w14:paraId="7B661F29" w14:textId="4B4BA065" w:rsidR="006712F6" w:rsidRPr="00FB0D9D" w:rsidRDefault="0062467F" w:rsidP="009C5CE3">
            <w:pPr>
              <w:ind w:left="0" w:firstLine="0"/>
              <w:jc w:val="right"/>
              <w:outlineLvl w:val="0"/>
              <w:rPr>
                <w:rFonts w:eastAsia="Times New Roman" w:cs="Calibri"/>
                <w:sz w:val="20"/>
                <w:szCs w:val="20"/>
                <w:lang w:eastAsia="en-GB"/>
              </w:rPr>
            </w:pPr>
            <w:r w:rsidRPr="00FB0D9D">
              <w:rPr>
                <w:rFonts w:eastAsia="Times New Roman" w:cs="Calibri"/>
                <w:sz w:val="20"/>
                <w:szCs w:val="20"/>
                <w:lang w:eastAsia="en-GB"/>
              </w:rPr>
              <w:t>-</w:t>
            </w:r>
            <w:r w:rsidR="009C5CE3">
              <w:rPr>
                <w:rFonts w:eastAsia="Times New Roman" w:cs="Calibri"/>
                <w:sz w:val="20"/>
                <w:szCs w:val="20"/>
                <w:lang w:eastAsia="en-GB"/>
              </w:rPr>
              <w:t>2</w:t>
            </w:r>
          </w:p>
        </w:tc>
        <w:tc>
          <w:tcPr>
            <w:tcW w:w="3828" w:type="dxa"/>
            <w:tcBorders>
              <w:top w:val="nil"/>
              <w:left w:val="nil"/>
              <w:bottom w:val="single" w:sz="4" w:space="0" w:color="auto"/>
              <w:right w:val="single" w:sz="4" w:space="0" w:color="auto"/>
            </w:tcBorders>
            <w:shd w:val="clear" w:color="auto" w:fill="auto"/>
            <w:noWrap/>
          </w:tcPr>
          <w:p w14:paraId="17C668A0" w14:textId="52F9E5D5" w:rsidR="006712F6" w:rsidRPr="00FB0D9D" w:rsidRDefault="006712F6" w:rsidP="00FB0D9D">
            <w:pPr>
              <w:ind w:left="0" w:firstLine="0"/>
              <w:outlineLvl w:val="0"/>
              <w:rPr>
                <w:rFonts w:eastAsia="Times New Roman" w:cs="Calibri"/>
                <w:color w:val="000000"/>
                <w:sz w:val="20"/>
                <w:szCs w:val="20"/>
                <w:lang w:eastAsia="en-GB"/>
              </w:rPr>
            </w:pPr>
          </w:p>
        </w:tc>
      </w:tr>
      <w:tr w:rsidR="006712F6" w:rsidRPr="0036778B" w14:paraId="1870891A" w14:textId="77777777" w:rsidTr="00146B5F">
        <w:trPr>
          <w:trHeight w:val="300"/>
        </w:trPr>
        <w:tc>
          <w:tcPr>
            <w:tcW w:w="1560" w:type="dxa"/>
            <w:tcBorders>
              <w:top w:val="nil"/>
              <w:left w:val="single" w:sz="4" w:space="0" w:color="auto"/>
              <w:bottom w:val="single" w:sz="4" w:space="0" w:color="auto"/>
              <w:right w:val="single" w:sz="4" w:space="0" w:color="auto"/>
            </w:tcBorders>
            <w:shd w:val="clear" w:color="000000" w:fill="DBE5F1"/>
            <w:noWrap/>
            <w:hideMark/>
          </w:tcPr>
          <w:p w14:paraId="2710627B" w14:textId="77777777" w:rsidR="006712F6" w:rsidRPr="00FB0D9D" w:rsidRDefault="006712F6" w:rsidP="008F7FC4">
            <w:pPr>
              <w:ind w:left="0" w:firstLine="0"/>
              <w:outlineLvl w:val="0"/>
              <w:rPr>
                <w:rFonts w:eastAsia="Times New Roman" w:cs="Calibri"/>
                <w:b/>
                <w:bCs/>
                <w:color w:val="000000"/>
                <w:sz w:val="20"/>
                <w:szCs w:val="20"/>
                <w:lang w:eastAsia="en-GB"/>
              </w:rPr>
            </w:pPr>
            <w:r w:rsidRPr="00FB0D9D">
              <w:rPr>
                <w:rFonts w:eastAsia="Times New Roman" w:cs="Calibri"/>
                <w:b/>
                <w:bCs/>
                <w:color w:val="000000"/>
                <w:sz w:val="20"/>
                <w:szCs w:val="20"/>
                <w:lang w:eastAsia="en-GB"/>
              </w:rPr>
              <w:t>Total core budget balance 2020</w:t>
            </w:r>
          </w:p>
        </w:tc>
        <w:tc>
          <w:tcPr>
            <w:tcW w:w="1370" w:type="dxa"/>
            <w:tcBorders>
              <w:top w:val="single" w:sz="4" w:space="0" w:color="auto"/>
              <w:left w:val="nil"/>
              <w:bottom w:val="single" w:sz="4" w:space="0" w:color="auto"/>
              <w:right w:val="single" w:sz="4" w:space="0" w:color="auto"/>
            </w:tcBorders>
            <w:shd w:val="clear" w:color="000000" w:fill="DBE5F1"/>
            <w:noWrap/>
            <w:hideMark/>
          </w:tcPr>
          <w:p w14:paraId="3A9ED14A" w14:textId="190C024A" w:rsidR="006712F6" w:rsidRPr="00FB0D9D" w:rsidRDefault="0062467F" w:rsidP="00FB0D9D">
            <w:pPr>
              <w:ind w:left="0" w:firstLine="0"/>
              <w:jc w:val="right"/>
              <w:outlineLvl w:val="0"/>
              <w:rPr>
                <w:rFonts w:eastAsia="Times New Roman" w:cs="Calibri"/>
                <w:b/>
                <w:bCs/>
                <w:color w:val="000000"/>
                <w:sz w:val="20"/>
                <w:szCs w:val="20"/>
                <w:lang w:eastAsia="en-GB"/>
              </w:rPr>
            </w:pPr>
            <w:r w:rsidRPr="00FB0D9D">
              <w:rPr>
                <w:rFonts w:eastAsia="Times New Roman" w:cs="Calibri"/>
                <w:b/>
                <w:bCs/>
                <w:color w:val="000000"/>
                <w:sz w:val="20"/>
                <w:szCs w:val="20"/>
                <w:lang w:eastAsia="en-GB"/>
              </w:rPr>
              <w:t>712</w:t>
            </w:r>
          </w:p>
        </w:tc>
        <w:tc>
          <w:tcPr>
            <w:tcW w:w="1370" w:type="dxa"/>
            <w:tcBorders>
              <w:top w:val="nil"/>
              <w:left w:val="nil"/>
              <w:bottom w:val="single" w:sz="4" w:space="0" w:color="auto"/>
              <w:right w:val="single" w:sz="4" w:space="0" w:color="auto"/>
            </w:tcBorders>
            <w:shd w:val="clear" w:color="000000" w:fill="DBE5F1"/>
            <w:noWrap/>
            <w:hideMark/>
          </w:tcPr>
          <w:p w14:paraId="79CFDE18" w14:textId="7CC09C08" w:rsidR="006712F6" w:rsidRPr="00FB0D9D" w:rsidRDefault="0062467F" w:rsidP="00FB0D9D">
            <w:pPr>
              <w:ind w:left="0" w:firstLine="0"/>
              <w:jc w:val="right"/>
              <w:outlineLvl w:val="0"/>
              <w:rPr>
                <w:rFonts w:eastAsia="Times New Roman" w:cs="Calibri"/>
                <w:b/>
                <w:bCs/>
                <w:color w:val="000000"/>
                <w:sz w:val="20"/>
                <w:szCs w:val="20"/>
                <w:lang w:eastAsia="en-GB"/>
              </w:rPr>
            </w:pPr>
            <w:r w:rsidRPr="00FB0D9D">
              <w:rPr>
                <w:rFonts w:eastAsia="Times New Roman" w:cs="Calibri"/>
                <w:b/>
                <w:bCs/>
                <w:color w:val="000000"/>
                <w:sz w:val="20"/>
                <w:szCs w:val="20"/>
                <w:lang w:eastAsia="en-GB"/>
              </w:rPr>
              <w:t>1,541</w:t>
            </w:r>
          </w:p>
        </w:tc>
        <w:tc>
          <w:tcPr>
            <w:tcW w:w="1370" w:type="dxa"/>
            <w:tcBorders>
              <w:top w:val="nil"/>
              <w:left w:val="nil"/>
              <w:bottom w:val="single" w:sz="4" w:space="0" w:color="auto"/>
              <w:right w:val="single" w:sz="4" w:space="0" w:color="auto"/>
            </w:tcBorders>
            <w:shd w:val="clear" w:color="000000" w:fill="DBE5F1"/>
            <w:noWrap/>
            <w:hideMark/>
          </w:tcPr>
          <w:p w14:paraId="3688333C" w14:textId="3E521492" w:rsidR="006712F6" w:rsidRPr="00FB0D9D" w:rsidRDefault="0062467F" w:rsidP="009C5CE3">
            <w:pPr>
              <w:ind w:left="0" w:firstLine="0"/>
              <w:jc w:val="right"/>
              <w:outlineLvl w:val="0"/>
              <w:rPr>
                <w:rFonts w:eastAsia="Times New Roman" w:cs="Calibri"/>
                <w:b/>
                <w:bCs/>
                <w:color w:val="000000"/>
                <w:sz w:val="20"/>
                <w:szCs w:val="20"/>
                <w:lang w:eastAsia="en-GB"/>
              </w:rPr>
            </w:pPr>
            <w:r w:rsidRPr="00FB0D9D">
              <w:rPr>
                <w:rFonts w:eastAsia="Times New Roman" w:cs="Calibri"/>
                <w:b/>
                <w:bCs/>
                <w:color w:val="000000"/>
                <w:sz w:val="20"/>
                <w:szCs w:val="20"/>
                <w:lang w:eastAsia="en-GB"/>
              </w:rPr>
              <w:t>2,25</w:t>
            </w:r>
            <w:r w:rsidR="009C5CE3">
              <w:rPr>
                <w:rFonts w:eastAsia="Times New Roman" w:cs="Calibri"/>
                <w:b/>
                <w:bCs/>
                <w:color w:val="000000"/>
                <w:sz w:val="20"/>
                <w:szCs w:val="20"/>
                <w:lang w:eastAsia="en-GB"/>
              </w:rPr>
              <w:t>3</w:t>
            </w:r>
          </w:p>
        </w:tc>
        <w:tc>
          <w:tcPr>
            <w:tcW w:w="3828" w:type="dxa"/>
            <w:tcBorders>
              <w:top w:val="nil"/>
              <w:left w:val="nil"/>
              <w:bottom w:val="single" w:sz="4" w:space="0" w:color="auto"/>
              <w:right w:val="single" w:sz="4" w:space="0" w:color="auto"/>
            </w:tcBorders>
            <w:shd w:val="clear" w:color="000000" w:fill="DBE5F1"/>
            <w:noWrap/>
            <w:hideMark/>
          </w:tcPr>
          <w:p w14:paraId="222249A8" w14:textId="77777777" w:rsidR="006712F6" w:rsidRPr="00FB0D9D" w:rsidRDefault="006712F6" w:rsidP="00FB0D9D">
            <w:pPr>
              <w:ind w:left="0" w:firstLine="0"/>
              <w:outlineLvl w:val="0"/>
              <w:rPr>
                <w:rFonts w:eastAsia="Times New Roman" w:cs="Calibri"/>
                <w:color w:val="000000"/>
                <w:sz w:val="20"/>
                <w:szCs w:val="20"/>
                <w:lang w:eastAsia="en-GB"/>
              </w:rPr>
            </w:pPr>
            <w:r w:rsidRPr="00FB0D9D">
              <w:rPr>
                <w:rFonts w:eastAsia="Times New Roman" w:cs="Calibri"/>
                <w:color w:val="000000"/>
                <w:sz w:val="20"/>
                <w:szCs w:val="20"/>
                <w:lang w:eastAsia="en-GB"/>
              </w:rPr>
              <w:t> </w:t>
            </w:r>
          </w:p>
        </w:tc>
      </w:tr>
    </w:tbl>
    <w:p w14:paraId="7962F235" w14:textId="51433CC9" w:rsidR="0036778B" w:rsidRDefault="0036778B" w:rsidP="005A41C9">
      <w:pPr>
        <w:ind w:left="0" w:firstLine="0"/>
        <w:rPr>
          <w:rFonts w:eastAsia="Times New Roman" w:cs="Calibri"/>
          <w:color w:val="000000"/>
          <w:sz w:val="20"/>
          <w:szCs w:val="20"/>
          <w:lang w:eastAsia="en-GB"/>
        </w:rPr>
      </w:pPr>
    </w:p>
    <w:p w14:paraId="1B7FC16A" w14:textId="77777777" w:rsidR="0036778B" w:rsidRDefault="0036778B" w:rsidP="005A41C9">
      <w:pPr>
        <w:ind w:left="0" w:firstLine="0"/>
        <w:rPr>
          <w:rFonts w:eastAsia="Times New Roman" w:cs="Calibri"/>
          <w:color w:val="000000"/>
          <w:sz w:val="20"/>
          <w:szCs w:val="20"/>
          <w:lang w:eastAsia="en-GB"/>
        </w:rPr>
      </w:pPr>
    </w:p>
    <w:p w14:paraId="356E4F43" w14:textId="3CC7D8EC" w:rsidR="004753C0" w:rsidRPr="00421152" w:rsidRDefault="008F7FC4" w:rsidP="00162710">
      <w:r>
        <w:t>12</w:t>
      </w:r>
      <w:r w:rsidR="00112F62" w:rsidRPr="00421152">
        <w:t>.</w:t>
      </w:r>
      <w:r w:rsidR="00112F62" w:rsidRPr="00421152">
        <w:tab/>
      </w:r>
      <w:r w:rsidR="004753C0" w:rsidRPr="00421152">
        <w:t xml:space="preserve">The following points are highlighted for the Standing Committee’s </w:t>
      </w:r>
      <w:r w:rsidR="008825A0" w:rsidRPr="00421152">
        <w:t>consideration</w:t>
      </w:r>
      <w:r w:rsidR="00ED1F5E" w:rsidRPr="00421152">
        <w:t>:</w:t>
      </w:r>
    </w:p>
    <w:p w14:paraId="63E3886B" w14:textId="77777777" w:rsidR="00112F62" w:rsidRPr="00421152" w:rsidRDefault="00112F62" w:rsidP="00162710">
      <w:pPr>
        <w:pStyle w:val="NoSpacing"/>
        <w:ind w:left="850"/>
      </w:pPr>
    </w:p>
    <w:p w14:paraId="2AF561DD" w14:textId="78685AE0" w:rsidR="004753C0" w:rsidRPr="00942026" w:rsidRDefault="00112F62" w:rsidP="00162710">
      <w:pPr>
        <w:pStyle w:val="NoSpacing"/>
        <w:ind w:left="850"/>
      </w:pPr>
      <w:r w:rsidRPr="00421152">
        <w:t>a.</w:t>
      </w:r>
      <w:r w:rsidRPr="00421152">
        <w:tab/>
      </w:r>
      <w:r w:rsidR="004A2ABC" w:rsidRPr="00942026">
        <w:t>Projected i</w:t>
      </w:r>
      <w:r w:rsidR="008D5BB1" w:rsidRPr="00942026">
        <w:t>ncome</w:t>
      </w:r>
      <w:r w:rsidR="004A2ABC" w:rsidRPr="00942026">
        <w:t xml:space="preserve"> was </w:t>
      </w:r>
      <w:r w:rsidR="00616014" w:rsidRPr="00942026">
        <w:t xml:space="preserve">generally </w:t>
      </w:r>
      <w:r w:rsidR="004A2ABC" w:rsidRPr="00942026">
        <w:t xml:space="preserve">as budgeted except for income tax, which was CHF </w:t>
      </w:r>
      <w:r w:rsidR="005A41C9">
        <w:t>40</w:t>
      </w:r>
      <w:r w:rsidR="005A41C9" w:rsidRPr="00942026">
        <w:t xml:space="preserve">K </w:t>
      </w:r>
      <w:r w:rsidR="004A2ABC" w:rsidRPr="00942026">
        <w:t>under budget</w:t>
      </w:r>
      <w:r w:rsidR="005215EB" w:rsidRPr="00942026">
        <w:t xml:space="preserve"> due to vacancies</w:t>
      </w:r>
      <w:r w:rsidR="003C4036" w:rsidRPr="00942026">
        <w:t>, while the o</w:t>
      </w:r>
      <w:r w:rsidR="004A2ABC" w:rsidRPr="00942026">
        <w:t xml:space="preserve">ther income, including interest income, was CHF </w:t>
      </w:r>
      <w:r w:rsidR="005A41C9">
        <w:t>7</w:t>
      </w:r>
      <w:r w:rsidR="005A41C9" w:rsidRPr="00942026">
        <w:t xml:space="preserve">K </w:t>
      </w:r>
      <w:r w:rsidR="005A41C9">
        <w:t>lower</w:t>
      </w:r>
      <w:r w:rsidR="005A41C9" w:rsidRPr="00942026">
        <w:t xml:space="preserve"> </w:t>
      </w:r>
      <w:r w:rsidR="004A2ABC" w:rsidRPr="00942026">
        <w:t>than budgeted.</w:t>
      </w:r>
    </w:p>
    <w:p w14:paraId="22B831D4" w14:textId="77777777" w:rsidR="00126808" w:rsidRPr="00942026" w:rsidRDefault="00126808" w:rsidP="00162710">
      <w:pPr>
        <w:pStyle w:val="NoSpacing"/>
        <w:ind w:left="850"/>
      </w:pPr>
    </w:p>
    <w:p w14:paraId="0F5C63FE" w14:textId="51027AC1" w:rsidR="004753C0" w:rsidRPr="00942026" w:rsidRDefault="00112F62" w:rsidP="00162710">
      <w:pPr>
        <w:pStyle w:val="NoSpacing"/>
        <w:ind w:left="850"/>
      </w:pPr>
      <w:r w:rsidRPr="00942026">
        <w:lastRenderedPageBreak/>
        <w:t>b.</w:t>
      </w:r>
      <w:r w:rsidRPr="00942026">
        <w:tab/>
      </w:r>
      <w:r w:rsidR="008D5BB1" w:rsidRPr="00942026">
        <w:t>Overall salary costs</w:t>
      </w:r>
      <w:r w:rsidR="004A2ABC" w:rsidRPr="00942026">
        <w:t xml:space="preserve"> </w:t>
      </w:r>
      <w:r w:rsidR="000844F9" w:rsidRPr="00942026">
        <w:t>of</w:t>
      </w:r>
      <w:r w:rsidR="004A2ABC" w:rsidRPr="00942026">
        <w:t xml:space="preserve"> CHF </w:t>
      </w:r>
      <w:r w:rsidR="00C976D0">
        <w:t>3,030</w:t>
      </w:r>
      <w:r w:rsidR="003C4036" w:rsidRPr="00942026">
        <w:t xml:space="preserve">K </w:t>
      </w:r>
      <w:r w:rsidR="004A2ABC" w:rsidRPr="00942026">
        <w:t>correspond</w:t>
      </w:r>
      <w:r w:rsidR="000844F9" w:rsidRPr="00942026">
        <w:t>ed</w:t>
      </w:r>
      <w:r w:rsidR="004A2ABC" w:rsidRPr="00942026">
        <w:t xml:space="preserve"> to a budget implementation rate of </w:t>
      </w:r>
      <w:r w:rsidR="00C976D0" w:rsidRPr="00942026">
        <w:t>8</w:t>
      </w:r>
      <w:r w:rsidR="00C976D0">
        <w:t>3</w:t>
      </w:r>
      <w:r w:rsidR="004A2ABC" w:rsidRPr="00942026">
        <w:t xml:space="preserve">% and salary costs </w:t>
      </w:r>
      <w:r w:rsidR="000844F9" w:rsidRPr="00942026">
        <w:t xml:space="preserve">amounted </w:t>
      </w:r>
      <w:r w:rsidR="004A2ABC" w:rsidRPr="00942026">
        <w:t xml:space="preserve">to </w:t>
      </w:r>
      <w:r w:rsidR="00C976D0" w:rsidRPr="00942026">
        <w:t>6</w:t>
      </w:r>
      <w:r w:rsidR="00C976D0">
        <w:t>9</w:t>
      </w:r>
      <w:r w:rsidR="004A2ABC" w:rsidRPr="00942026">
        <w:t>% of overall expenditure.</w:t>
      </w:r>
    </w:p>
    <w:p w14:paraId="6674AFCF" w14:textId="77777777" w:rsidR="00112F62" w:rsidRPr="00942026" w:rsidRDefault="00112F62" w:rsidP="00162710">
      <w:pPr>
        <w:pStyle w:val="NoSpacing"/>
        <w:ind w:left="850"/>
      </w:pPr>
    </w:p>
    <w:p w14:paraId="25897C4E" w14:textId="6F2027EF" w:rsidR="008D5BB1" w:rsidRPr="00677029" w:rsidRDefault="00112F62" w:rsidP="00162710">
      <w:pPr>
        <w:pStyle w:val="NoSpacing"/>
        <w:ind w:left="850"/>
        <w:rPr>
          <w:highlight w:val="cyan"/>
        </w:rPr>
      </w:pPr>
      <w:r w:rsidRPr="00942026">
        <w:t>c.</w:t>
      </w:r>
      <w:r w:rsidRPr="00942026">
        <w:tab/>
      </w:r>
      <w:r w:rsidR="008D5BB1" w:rsidRPr="00942026">
        <w:t>No IUCN-imposed cost-of-living increases ha</w:t>
      </w:r>
      <w:r w:rsidR="007C1B02">
        <w:t>d</w:t>
      </w:r>
      <w:r w:rsidR="008D5BB1" w:rsidRPr="00942026">
        <w:t xml:space="preserve"> come into effect since 2011.</w:t>
      </w:r>
      <w:r w:rsidR="004A2ABC" w:rsidRPr="00942026">
        <w:t xml:space="preserve"> Pe</w:t>
      </w:r>
      <w:r w:rsidR="008D5BB1" w:rsidRPr="00942026">
        <w:t>rformance-based</w:t>
      </w:r>
      <w:r w:rsidR="004A2ABC" w:rsidRPr="00942026">
        <w:t xml:space="preserve"> salary</w:t>
      </w:r>
      <w:r w:rsidR="008D5BB1" w:rsidRPr="00942026">
        <w:t xml:space="preserve"> increases implemented by IUCN in 2017 </w:t>
      </w:r>
      <w:r w:rsidR="00396ABD">
        <w:t>were</w:t>
      </w:r>
      <w:r w:rsidR="00C06E57" w:rsidRPr="00942026">
        <w:t xml:space="preserve"> applied</w:t>
      </w:r>
      <w:r w:rsidR="005215EB" w:rsidRPr="00942026">
        <w:t xml:space="preserve"> </w:t>
      </w:r>
      <w:r w:rsidR="00014DD6" w:rsidRPr="00942026">
        <w:t>to the Secretariat</w:t>
      </w:r>
      <w:r w:rsidR="005215EB" w:rsidRPr="00942026">
        <w:t xml:space="preserve"> in </w:t>
      </w:r>
      <w:r w:rsidR="00C976D0">
        <w:t>2020</w:t>
      </w:r>
      <w:r w:rsidR="00C976D0" w:rsidRPr="00942026">
        <w:t xml:space="preserve"> </w:t>
      </w:r>
      <w:r w:rsidR="00FA374C" w:rsidRPr="00942026">
        <w:t>in line with IUCN policies and practices</w:t>
      </w:r>
      <w:r w:rsidR="00FA374C" w:rsidRPr="00C8303A">
        <w:t>.</w:t>
      </w:r>
      <w:r w:rsidR="00677029" w:rsidRPr="00C8303A">
        <w:t xml:space="preserve"> </w:t>
      </w:r>
      <w:r w:rsidR="004A48FE" w:rsidRPr="00C8303A">
        <w:t xml:space="preserve">In </w:t>
      </w:r>
      <w:r w:rsidR="00C976D0">
        <w:t>2020</w:t>
      </w:r>
      <w:r w:rsidR="00C976D0" w:rsidRPr="00C8303A">
        <w:t xml:space="preserve"> </w:t>
      </w:r>
      <w:r w:rsidR="00E71602" w:rsidRPr="00C8303A">
        <w:t>the</w:t>
      </w:r>
      <w:r w:rsidR="00677029" w:rsidRPr="00C8303A">
        <w:t xml:space="preserve"> Secretariat </w:t>
      </w:r>
      <w:r w:rsidR="00C976D0">
        <w:t xml:space="preserve">applied </w:t>
      </w:r>
      <w:r w:rsidR="00677029" w:rsidRPr="00C8303A">
        <w:t xml:space="preserve">IUCN’s </w:t>
      </w:r>
      <w:r w:rsidR="00E71602" w:rsidRPr="00C8303A">
        <w:t>promotion policy</w:t>
      </w:r>
      <w:r w:rsidR="00C976D0">
        <w:t xml:space="preserve"> implemented in 2019</w:t>
      </w:r>
      <w:r w:rsidR="00E71602" w:rsidRPr="00C8303A">
        <w:t xml:space="preserve"> in line with the IUCN Glob</w:t>
      </w:r>
      <w:r w:rsidR="00677029" w:rsidRPr="00C8303A">
        <w:t xml:space="preserve">al HR promotion guidelines. The resulting </w:t>
      </w:r>
      <w:r w:rsidR="00C8303A" w:rsidRPr="00C8303A">
        <w:t>increases</w:t>
      </w:r>
      <w:r w:rsidR="00677029" w:rsidRPr="00C8303A">
        <w:t xml:space="preserve"> in salaries had been </w:t>
      </w:r>
      <w:r w:rsidR="00677029" w:rsidRPr="0011042A">
        <w:t>included i</w:t>
      </w:r>
      <w:r w:rsidR="0011042A">
        <w:t>n the approved</w:t>
      </w:r>
      <w:r w:rsidR="00E71602">
        <w:t xml:space="preserve"> </w:t>
      </w:r>
      <w:r w:rsidR="00A446A5" w:rsidRPr="00942026">
        <w:t>budget for the triennium</w:t>
      </w:r>
      <w:r w:rsidR="0086305C" w:rsidRPr="00942026">
        <w:t xml:space="preserve"> (</w:t>
      </w:r>
      <w:r w:rsidR="00756669" w:rsidRPr="00942026">
        <w:t xml:space="preserve">Resolution XIII.2, paragraph </w:t>
      </w:r>
      <w:r w:rsidR="00A446A5" w:rsidRPr="00942026">
        <w:t>14</w:t>
      </w:r>
      <w:r w:rsidR="000844F9" w:rsidRPr="00942026">
        <w:t xml:space="preserve"> and Annex 1</w:t>
      </w:r>
      <w:r w:rsidR="0086305C" w:rsidRPr="00942026">
        <w:t>).</w:t>
      </w:r>
      <w:r w:rsidR="007C1B02">
        <w:t xml:space="preserve"> </w:t>
      </w:r>
    </w:p>
    <w:p w14:paraId="26728997" w14:textId="77777777" w:rsidR="00112F62" w:rsidRPr="00942026" w:rsidRDefault="00112F62" w:rsidP="00162710">
      <w:pPr>
        <w:pStyle w:val="NoSpacing"/>
        <w:ind w:left="850"/>
      </w:pPr>
    </w:p>
    <w:p w14:paraId="6285EDCC" w14:textId="0C7B52F7" w:rsidR="00EA1333" w:rsidRPr="00942026" w:rsidRDefault="008F7FC4" w:rsidP="00EA1333">
      <w:pPr>
        <w:pStyle w:val="NoSpacing"/>
        <w:ind w:left="850"/>
      </w:pPr>
      <w:r>
        <w:t>d</w:t>
      </w:r>
      <w:r w:rsidR="00EA1333">
        <w:t>.</w:t>
      </w:r>
      <w:r w:rsidR="00EA1333">
        <w:tab/>
        <w:t>As per Decision SC58-31</w:t>
      </w:r>
      <w:r w:rsidR="00BA7D11">
        <w:t>,</w:t>
      </w:r>
      <w:r w:rsidR="00EA1333">
        <w:t xml:space="preserve"> the provisions are presented in </w:t>
      </w:r>
      <w:r w:rsidR="00EA1333" w:rsidRPr="00784C15">
        <w:t>t</w:t>
      </w:r>
      <w:r w:rsidR="00EA1333">
        <w:t>wo separate</w:t>
      </w:r>
      <w:r w:rsidR="00EA1333" w:rsidRPr="00784C15">
        <w:t xml:space="preserve"> budget line</w:t>
      </w:r>
      <w:r w:rsidR="00EA1333">
        <w:t>s</w:t>
      </w:r>
      <w:r w:rsidR="00BA7D11">
        <w:t>:</w:t>
      </w:r>
      <w:r w:rsidR="00EA1333" w:rsidRPr="00784C15">
        <w:t xml:space="preserve"> </w:t>
      </w:r>
      <w:r w:rsidR="00BA7D11">
        <w:t xml:space="preserve">1) </w:t>
      </w:r>
      <w:r w:rsidR="00EA1333" w:rsidRPr="00784C15">
        <w:t>staff provisions</w:t>
      </w:r>
      <w:r w:rsidR="005D12B9">
        <w:t>;</w:t>
      </w:r>
      <w:r w:rsidR="00EA1333" w:rsidRPr="00784C15">
        <w:t xml:space="preserve"> </w:t>
      </w:r>
      <w:r w:rsidR="00EA1333">
        <w:t xml:space="preserve">and </w:t>
      </w:r>
      <w:r w:rsidR="00BA7D11">
        <w:t xml:space="preserve">2) </w:t>
      </w:r>
      <w:r w:rsidR="00EA1333" w:rsidRPr="00784C15">
        <w:t xml:space="preserve">provisions </w:t>
      </w:r>
      <w:r w:rsidR="00EA1333">
        <w:t>for</w:t>
      </w:r>
      <w:r w:rsidR="00EA1333" w:rsidRPr="00784C15">
        <w:t xml:space="preserve"> </w:t>
      </w:r>
      <w:r w:rsidR="00BA7D11">
        <w:t xml:space="preserve">the </w:t>
      </w:r>
      <w:r w:rsidR="00EA1333" w:rsidRPr="00784C15">
        <w:t xml:space="preserve">outstanding </w:t>
      </w:r>
      <w:r w:rsidR="00EA1333">
        <w:t>contributions</w:t>
      </w:r>
      <w:r w:rsidR="00EA1333" w:rsidRPr="00784C15">
        <w:t>. This</w:t>
      </w:r>
      <w:r w:rsidR="00EA1333">
        <w:t xml:space="preserve"> is to </w:t>
      </w:r>
      <w:r w:rsidR="00EA1333" w:rsidRPr="00784C15">
        <w:t xml:space="preserve">allow better management and transparency </w:t>
      </w:r>
      <w:r w:rsidR="00EA1333">
        <w:t>in</w:t>
      </w:r>
      <w:r w:rsidR="00EA1333" w:rsidRPr="00784C15">
        <w:t xml:space="preserve"> the use of the provisions. </w:t>
      </w:r>
    </w:p>
    <w:p w14:paraId="0D4F2D46" w14:textId="77777777" w:rsidR="00EA1333" w:rsidRPr="00784C15" w:rsidRDefault="00EA1333" w:rsidP="00162710">
      <w:pPr>
        <w:pStyle w:val="NoSpacing"/>
        <w:ind w:left="850" w:firstLine="0"/>
      </w:pPr>
    </w:p>
    <w:p w14:paraId="385A9E2B" w14:textId="3C537476" w:rsidR="00EA1333" w:rsidRDefault="00FA0633" w:rsidP="00FA0633">
      <w:pPr>
        <w:pStyle w:val="NoSpacing"/>
        <w:ind w:left="851"/>
      </w:pPr>
      <w:r w:rsidRPr="00DE37B5">
        <w:t>e.</w:t>
      </w:r>
      <w:r w:rsidRPr="00DE37B5">
        <w:tab/>
      </w:r>
      <w:r w:rsidR="00CF5D9F" w:rsidRPr="00DE37B5">
        <w:t xml:space="preserve">The </w:t>
      </w:r>
      <w:r w:rsidR="00EA1333" w:rsidRPr="00DE37B5">
        <w:t xml:space="preserve">budgeted staff provisions increased by CHF 23K </w:t>
      </w:r>
      <w:r w:rsidR="0000371F" w:rsidRPr="00DE37B5">
        <w:t xml:space="preserve">as a </w:t>
      </w:r>
      <w:r w:rsidR="00243F73" w:rsidRPr="00DE37B5">
        <w:t xml:space="preserve">net </w:t>
      </w:r>
      <w:r w:rsidR="0000371F" w:rsidRPr="00DE37B5">
        <w:t xml:space="preserve">result of an </w:t>
      </w:r>
      <w:r w:rsidR="005110EF" w:rsidRPr="00DE37B5">
        <w:t xml:space="preserve">result in revision in estimates as follows: </w:t>
      </w:r>
      <w:r w:rsidR="0000371F" w:rsidRPr="00DE37B5">
        <w:t>increase in the staff termination provision of CHF 1</w:t>
      </w:r>
      <w:r w:rsidR="00243F73" w:rsidRPr="00DE37B5">
        <w:t>8</w:t>
      </w:r>
      <w:r w:rsidR="0000371F" w:rsidRPr="00DE37B5">
        <w:t>K, a decrease</w:t>
      </w:r>
      <w:r w:rsidR="0000371F" w:rsidRPr="00784C15">
        <w:t xml:space="preserve"> </w:t>
      </w:r>
      <w:r w:rsidR="0000371F">
        <w:t xml:space="preserve">in the </w:t>
      </w:r>
      <w:r w:rsidR="0000371F" w:rsidRPr="00784C15">
        <w:t xml:space="preserve">staff repatriation provision of CHF </w:t>
      </w:r>
      <w:r w:rsidR="0000371F">
        <w:t>2</w:t>
      </w:r>
      <w:r w:rsidR="00243F73">
        <w:t>9</w:t>
      </w:r>
      <w:r w:rsidR="0000371F" w:rsidRPr="00784C15">
        <w:t xml:space="preserve">K and </w:t>
      </w:r>
      <w:r w:rsidR="0000371F">
        <w:t xml:space="preserve">a </w:t>
      </w:r>
      <w:r w:rsidR="0000371F" w:rsidRPr="00784C15">
        <w:t xml:space="preserve">decrease </w:t>
      </w:r>
      <w:r w:rsidR="0000371F">
        <w:t xml:space="preserve">in the </w:t>
      </w:r>
      <w:r w:rsidR="0000371F" w:rsidRPr="00784C15">
        <w:t>s</w:t>
      </w:r>
      <w:r w:rsidR="0000371F">
        <w:t>taff leave provision of CHF 12</w:t>
      </w:r>
      <w:r w:rsidR="0000371F" w:rsidRPr="00784C15">
        <w:t>K.</w:t>
      </w:r>
      <w:r w:rsidR="002135D9">
        <w:t xml:space="preserve"> </w:t>
      </w:r>
    </w:p>
    <w:p w14:paraId="084D11D5" w14:textId="77777777" w:rsidR="0000371F" w:rsidRDefault="0000371F" w:rsidP="00FA0633">
      <w:pPr>
        <w:pStyle w:val="NoSpacing"/>
        <w:ind w:left="851"/>
      </w:pPr>
    </w:p>
    <w:p w14:paraId="4D569B2F" w14:textId="241BC824" w:rsidR="0019536E" w:rsidRPr="00784C15" w:rsidRDefault="008F7FC4" w:rsidP="008F7FC4">
      <w:pPr>
        <w:pStyle w:val="NoSpacing"/>
        <w:ind w:left="851"/>
      </w:pPr>
      <w:r>
        <w:t>f.</w:t>
      </w:r>
      <w:r>
        <w:tab/>
      </w:r>
      <w:r w:rsidR="00243F73">
        <w:t xml:space="preserve">Out of the total </w:t>
      </w:r>
      <w:r w:rsidR="00CF5D9F" w:rsidRPr="00784C15">
        <w:t xml:space="preserve">budgeted provisions for the outstanding </w:t>
      </w:r>
      <w:r w:rsidR="00186F3E">
        <w:t>contributions</w:t>
      </w:r>
      <w:r w:rsidR="00186F3E" w:rsidRPr="00784C15">
        <w:t xml:space="preserve"> </w:t>
      </w:r>
      <w:r w:rsidR="00243F73">
        <w:t>of</w:t>
      </w:r>
      <w:r w:rsidR="00243F73" w:rsidRPr="00784C15">
        <w:t xml:space="preserve"> </w:t>
      </w:r>
      <w:r w:rsidR="00CF5D9F" w:rsidRPr="00784C15">
        <w:t xml:space="preserve">CHF </w:t>
      </w:r>
      <w:r w:rsidR="00243F73">
        <w:t>162K the total used was CHF 94K, leaving a remaining unused balance of CHF 68K</w:t>
      </w:r>
      <w:r w:rsidR="0099187E">
        <w:t>.</w:t>
      </w:r>
    </w:p>
    <w:p w14:paraId="2D093193" w14:textId="77777777" w:rsidR="000F435C" w:rsidRPr="00942026" w:rsidRDefault="000F435C" w:rsidP="00162710">
      <w:pPr>
        <w:pStyle w:val="NoSpacing"/>
        <w:ind w:left="850"/>
      </w:pPr>
    </w:p>
    <w:p w14:paraId="7DBBFE8A" w14:textId="0425CCA9" w:rsidR="00BD1DFC" w:rsidRPr="00421152" w:rsidRDefault="008F7FC4" w:rsidP="00162710">
      <w:pPr>
        <w:pStyle w:val="NoSpacing"/>
      </w:pPr>
      <w:r>
        <w:t>13</w:t>
      </w:r>
      <w:r w:rsidR="000F435C" w:rsidRPr="00942026">
        <w:t>.</w:t>
      </w:r>
      <w:r w:rsidR="000F435C" w:rsidRPr="00942026">
        <w:tab/>
      </w:r>
      <w:r w:rsidR="00285981">
        <w:t xml:space="preserve">As mentioned in </w:t>
      </w:r>
      <w:r w:rsidR="00285981" w:rsidRPr="005D12B9">
        <w:t xml:space="preserve">paragraph </w:t>
      </w:r>
      <w:r w:rsidR="005D12B9">
        <w:t>11 above</w:t>
      </w:r>
      <w:r w:rsidR="00285981">
        <w:t>, pre</w:t>
      </w:r>
      <w:r w:rsidR="003218F4">
        <w:t>-</w:t>
      </w:r>
      <w:r w:rsidR="00285981">
        <w:t>committed funds and uncommitted/</w:t>
      </w:r>
      <w:r w:rsidR="001404C4">
        <w:t>unspent</w:t>
      </w:r>
      <w:r w:rsidR="00EA444A">
        <w:t xml:space="preserve"> </w:t>
      </w:r>
      <w:r w:rsidR="00285981">
        <w:t xml:space="preserve">balances </w:t>
      </w:r>
      <w:r w:rsidR="00882609">
        <w:t>will be</w:t>
      </w:r>
      <w:r w:rsidR="00285981">
        <w:t xml:space="preserve"> carried forward to </w:t>
      </w:r>
      <w:r w:rsidR="00243F73">
        <w:t>2021</w:t>
      </w:r>
      <w:r w:rsidR="00285981">
        <w:t xml:space="preserve">. </w:t>
      </w:r>
    </w:p>
    <w:p w14:paraId="14318ACF" w14:textId="77777777" w:rsidR="00E02B6E" w:rsidRPr="00421152" w:rsidRDefault="00E02B6E" w:rsidP="00162710">
      <w:pPr>
        <w:pStyle w:val="NoSpacing"/>
      </w:pPr>
    </w:p>
    <w:p w14:paraId="3ECE0B0A" w14:textId="37CAB163" w:rsidR="009A176F" w:rsidRDefault="008F7FC4" w:rsidP="00162710">
      <w:pPr>
        <w:pStyle w:val="NoSpacing"/>
      </w:pPr>
      <w:r>
        <w:t>14</w:t>
      </w:r>
      <w:r w:rsidR="00A523BE">
        <w:t>.</w:t>
      </w:r>
      <w:r w:rsidR="00A523BE">
        <w:tab/>
      </w:r>
      <w:r w:rsidR="002B0D26" w:rsidRPr="00421152">
        <w:t>Funds which</w:t>
      </w:r>
      <w:r w:rsidR="008B1247" w:rsidRPr="00421152">
        <w:t xml:space="preserve">, prior to 2017, </w:t>
      </w:r>
      <w:r w:rsidR="005D12B9">
        <w:t>were</w:t>
      </w:r>
      <w:r w:rsidR="005D12B9" w:rsidRPr="00421152">
        <w:t xml:space="preserve"> </w:t>
      </w:r>
      <w:r w:rsidR="002B0D26" w:rsidRPr="00421152">
        <w:t>transferred to non-core</w:t>
      </w:r>
      <w:r w:rsidR="008B1247" w:rsidRPr="00421152">
        <w:t xml:space="preserve"> projects</w:t>
      </w:r>
      <w:r w:rsidR="002B0D26" w:rsidRPr="00421152">
        <w:t xml:space="preserve"> remain under</w:t>
      </w:r>
      <w:r w:rsidR="008B1247" w:rsidRPr="00421152">
        <w:t xml:space="preserve"> the</w:t>
      </w:r>
      <w:r w:rsidR="002B0D26" w:rsidRPr="00421152">
        <w:t xml:space="preserve"> non-core</w:t>
      </w:r>
      <w:r w:rsidR="008B1247" w:rsidRPr="00421152">
        <w:t xml:space="preserve"> funding category</w:t>
      </w:r>
      <w:r w:rsidR="002B0D26" w:rsidRPr="00421152">
        <w:t xml:space="preserve"> and are being used up</w:t>
      </w:r>
      <w:r w:rsidR="0024781C" w:rsidRPr="00421152">
        <w:t xml:space="preserve"> for the specified purpose</w:t>
      </w:r>
      <w:r w:rsidR="00C14316" w:rsidRPr="00421152">
        <w:t xml:space="preserve"> approved by</w:t>
      </w:r>
      <w:r w:rsidR="007A3CB6" w:rsidRPr="00421152">
        <w:t xml:space="preserve"> </w:t>
      </w:r>
      <w:r w:rsidR="00A446A5">
        <w:t>D</w:t>
      </w:r>
      <w:r w:rsidR="0004214F" w:rsidRPr="00421152">
        <w:t>ecision SC54-26</w:t>
      </w:r>
      <w:r w:rsidR="002B0D26" w:rsidRPr="00421152">
        <w:t xml:space="preserve">. An overview </w:t>
      </w:r>
      <w:r w:rsidR="00BA0F3C">
        <w:t>of</w:t>
      </w:r>
      <w:r w:rsidR="00BA0F3C" w:rsidRPr="00421152">
        <w:t xml:space="preserve"> </w:t>
      </w:r>
      <w:r w:rsidR="00465271" w:rsidRPr="00421152">
        <w:t xml:space="preserve">these </w:t>
      </w:r>
      <w:r w:rsidR="002B0D26" w:rsidRPr="00421152">
        <w:t xml:space="preserve">can be found under the non-core funds report </w:t>
      </w:r>
      <w:r w:rsidR="001D0B77">
        <w:t>at</w:t>
      </w:r>
      <w:r w:rsidR="001D0B77" w:rsidRPr="00421152">
        <w:t xml:space="preserve"> </w:t>
      </w:r>
      <w:r w:rsidR="002B0D26" w:rsidRPr="00421152">
        <w:t xml:space="preserve">Annex </w:t>
      </w:r>
      <w:r w:rsidR="00A8663A" w:rsidRPr="00421152">
        <w:t>3</w:t>
      </w:r>
      <w:r w:rsidR="002B0D26" w:rsidRPr="00421152">
        <w:t>.</w:t>
      </w:r>
      <w:r w:rsidR="00A446A5">
        <w:t xml:space="preserve"> The practice of </w:t>
      </w:r>
      <w:r w:rsidR="005D12B9">
        <w:t xml:space="preserve">effecting </w:t>
      </w:r>
      <w:r w:rsidR="00A446A5">
        <w:t xml:space="preserve">such </w:t>
      </w:r>
      <w:r w:rsidR="00A446A5" w:rsidRPr="00A154A5">
        <w:t>transfers was discontinued in 2017</w:t>
      </w:r>
      <w:r w:rsidR="0038188C">
        <w:t>.</w:t>
      </w:r>
    </w:p>
    <w:p w14:paraId="7238F91D" w14:textId="1AC83E0F" w:rsidR="004E30C5" w:rsidRPr="00C730BF" w:rsidRDefault="004E30C5" w:rsidP="005A41C9">
      <w:pPr>
        <w:pStyle w:val="NoSpacing"/>
        <w:rPr>
          <w:i/>
          <w:sz w:val="20"/>
          <w:szCs w:val="20"/>
        </w:rPr>
      </w:pPr>
    </w:p>
    <w:p w14:paraId="07385D5D" w14:textId="10198977" w:rsidR="00F1054B" w:rsidRPr="00496317" w:rsidRDefault="002414B3" w:rsidP="00FA0633">
      <w:pPr>
        <w:ind w:left="0" w:firstLine="0"/>
        <w:rPr>
          <w:i/>
        </w:rPr>
      </w:pPr>
      <w:r>
        <w:rPr>
          <w:i/>
        </w:rPr>
        <w:t xml:space="preserve">Standing Committee approved revisions </w:t>
      </w:r>
      <w:r w:rsidR="00F1054B">
        <w:rPr>
          <w:i/>
        </w:rPr>
        <w:t xml:space="preserve"> to </w:t>
      </w:r>
      <w:r w:rsidR="008E683D">
        <w:rPr>
          <w:i/>
        </w:rPr>
        <w:t xml:space="preserve">the </w:t>
      </w:r>
      <w:r w:rsidR="009C67A2">
        <w:rPr>
          <w:i/>
        </w:rPr>
        <w:t xml:space="preserve">2020 </w:t>
      </w:r>
      <w:r w:rsidR="008E683D">
        <w:rPr>
          <w:i/>
        </w:rPr>
        <w:t xml:space="preserve">core </w:t>
      </w:r>
      <w:r w:rsidR="00F1054B">
        <w:rPr>
          <w:i/>
        </w:rPr>
        <w:t>budget</w:t>
      </w:r>
    </w:p>
    <w:p w14:paraId="18625D81" w14:textId="77777777" w:rsidR="00F1054B" w:rsidRPr="00421152" w:rsidRDefault="00F1054B" w:rsidP="00162710"/>
    <w:p w14:paraId="10A9D17E" w14:textId="0D0753F4" w:rsidR="00F1054B" w:rsidRDefault="008F7FC4" w:rsidP="00162710">
      <w:r>
        <w:t>15</w:t>
      </w:r>
      <w:r w:rsidR="00F1054B">
        <w:t>.</w:t>
      </w:r>
      <w:r w:rsidR="00F1054B">
        <w:tab/>
        <w:t xml:space="preserve">The following </w:t>
      </w:r>
      <w:r w:rsidR="00E75E9F">
        <w:t>revision</w:t>
      </w:r>
      <w:r w:rsidR="00F1054B">
        <w:t>s were m</w:t>
      </w:r>
      <w:r w:rsidR="00FA0633">
        <w:t xml:space="preserve">ade to the core budget in </w:t>
      </w:r>
      <w:r w:rsidR="009C67A2">
        <w:t>2020</w:t>
      </w:r>
      <w:r w:rsidR="00FA0633">
        <w:t>:</w:t>
      </w:r>
    </w:p>
    <w:p w14:paraId="5DD68804" w14:textId="77777777" w:rsidR="00F1054B" w:rsidRDefault="00F1054B" w:rsidP="00162710"/>
    <w:p w14:paraId="0A2CF8F8" w14:textId="7C256C5B" w:rsidR="00F1054B" w:rsidRDefault="00FA0633" w:rsidP="00211E61">
      <w:pPr>
        <w:pStyle w:val="NoSpacing"/>
        <w:ind w:left="851"/>
      </w:pPr>
      <w:r>
        <w:t>a.</w:t>
      </w:r>
      <w:r>
        <w:tab/>
      </w:r>
      <w:r w:rsidR="002C6BA6">
        <w:t xml:space="preserve">As </w:t>
      </w:r>
      <w:r w:rsidR="003766DA">
        <w:t>noted</w:t>
      </w:r>
      <w:r w:rsidR="002C6BA6">
        <w:t xml:space="preserve"> in paragraph </w:t>
      </w:r>
      <w:r w:rsidR="000F1513">
        <w:t>6</w:t>
      </w:r>
      <w:r w:rsidR="00E92730">
        <w:t xml:space="preserve"> above</w:t>
      </w:r>
      <w:r w:rsidR="002C6BA6">
        <w:t xml:space="preserve">, </w:t>
      </w:r>
      <w:r w:rsidR="00E92730">
        <w:t xml:space="preserve">the </w:t>
      </w:r>
      <w:r w:rsidR="001644A8">
        <w:t>COP13</w:t>
      </w:r>
      <w:r w:rsidR="00106AEC">
        <w:t>-</w:t>
      </w:r>
      <w:r w:rsidR="001644A8">
        <w:t xml:space="preserve">approved </w:t>
      </w:r>
      <w:r w:rsidR="002C6BA6" w:rsidRPr="002C6BA6">
        <w:t xml:space="preserve">2020 </w:t>
      </w:r>
      <w:r w:rsidR="005B5EB9">
        <w:t xml:space="preserve">core </w:t>
      </w:r>
      <w:r w:rsidR="002C6BA6" w:rsidRPr="002C6BA6">
        <w:t xml:space="preserve">budget </w:t>
      </w:r>
      <w:r w:rsidR="005A75B7">
        <w:t>was</w:t>
      </w:r>
      <w:r w:rsidR="002C6BA6" w:rsidRPr="002C6BA6">
        <w:t xml:space="preserve"> </w:t>
      </w:r>
      <w:r w:rsidR="002414B3">
        <w:t>revised</w:t>
      </w:r>
      <w:r w:rsidR="002C6BA6" w:rsidRPr="002C6BA6">
        <w:t xml:space="preserve"> </w:t>
      </w:r>
      <w:r w:rsidR="002C6BA6">
        <w:t xml:space="preserve">during </w:t>
      </w:r>
      <w:r w:rsidR="00BE48CD">
        <w:t xml:space="preserve">the </w:t>
      </w:r>
      <w:r w:rsidR="00F36FA4" w:rsidRPr="0009219D">
        <w:t>SC58 virtual meeting (Decision SC58-30)</w:t>
      </w:r>
      <w:r w:rsidR="00F36FA4">
        <w:t xml:space="preserve"> </w:t>
      </w:r>
      <w:r w:rsidR="002C6BA6">
        <w:t xml:space="preserve">in June 2020 </w:t>
      </w:r>
      <w:r w:rsidR="002C6BA6" w:rsidRPr="002C6BA6">
        <w:t xml:space="preserve">to recognize savings made in different budget lines due to </w:t>
      </w:r>
      <w:r w:rsidR="005A75B7">
        <w:t xml:space="preserve">the </w:t>
      </w:r>
      <w:r w:rsidR="002C6BA6" w:rsidRPr="002C6BA6">
        <w:t>C</w:t>
      </w:r>
      <w:r w:rsidR="003B5828">
        <w:t>OVID</w:t>
      </w:r>
      <w:r w:rsidR="002C6BA6" w:rsidRPr="002C6BA6">
        <w:t xml:space="preserve">-19 pandemic that affected activities such </w:t>
      </w:r>
      <w:r w:rsidR="005A75B7">
        <w:t>as</w:t>
      </w:r>
      <w:r w:rsidR="002C6BA6" w:rsidRPr="002C6BA6">
        <w:t xml:space="preserve"> travel</w:t>
      </w:r>
      <w:r w:rsidR="00E92730">
        <w:t xml:space="preserve"> and</w:t>
      </w:r>
      <w:r w:rsidR="002C6BA6" w:rsidRPr="002C6BA6">
        <w:t xml:space="preserve"> meetings</w:t>
      </w:r>
      <w:r w:rsidR="00E92730">
        <w:t>,</w:t>
      </w:r>
      <w:r w:rsidR="002C6BA6" w:rsidRPr="002C6BA6">
        <w:t xml:space="preserve"> </w:t>
      </w:r>
      <w:r w:rsidR="005B5EB9">
        <w:t>and</w:t>
      </w:r>
      <w:r w:rsidR="002C6BA6" w:rsidRPr="002C6BA6">
        <w:t xml:space="preserve"> implementation of activities by the </w:t>
      </w:r>
      <w:r w:rsidR="002C6BA6">
        <w:t>Ramsar Regional Initiatives.</w:t>
      </w:r>
      <w:r w:rsidR="00F1054B" w:rsidRPr="00150C96">
        <w:t xml:space="preserve"> </w:t>
      </w:r>
    </w:p>
    <w:p w14:paraId="7A57EAB4" w14:textId="77777777" w:rsidR="00F1054B" w:rsidRDefault="00F1054B" w:rsidP="00FA0633">
      <w:pPr>
        <w:pStyle w:val="NoSpacing"/>
        <w:ind w:left="851"/>
      </w:pPr>
    </w:p>
    <w:p w14:paraId="50AAC00F" w14:textId="3E080841" w:rsidR="00662CD5" w:rsidRDefault="00FA0633" w:rsidP="00D0731E">
      <w:pPr>
        <w:pStyle w:val="NoSpacing"/>
        <w:ind w:left="851"/>
      </w:pPr>
      <w:r>
        <w:t>b.</w:t>
      </w:r>
      <w:r>
        <w:tab/>
      </w:r>
      <w:r w:rsidR="005A75B7">
        <w:t xml:space="preserve">Through </w:t>
      </w:r>
      <w:r w:rsidR="00F1054B">
        <w:t>Decision SC</w:t>
      </w:r>
      <w:r w:rsidR="00662CD5">
        <w:t>58-28</w:t>
      </w:r>
      <w:r w:rsidR="003766DA">
        <w:t>,</w:t>
      </w:r>
      <w:r w:rsidR="00F1054B">
        <w:t xml:space="preserve"> </w:t>
      </w:r>
      <w:r w:rsidR="00662CD5" w:rsidRPr="00662CD5">
        <w:t>the Standing Committee</w:t>
      </w:r>
      <w:r w:rsidR="00D0731E">
        <w:t xml:space="preserve"> </w:t>
      </w:r>
      <w:r w:rsidR="00662CD5">
        <w:t>“</w:t>
      </w:r>
      <w:r w:rsidR="00662CD5" w:rsidRPr="00662CD5">
        <w:t>approve</w:t>
      </w:r>
      <w:r w:rsidR="00662CD5">
        <w:t>d</w:t>
      </w:r>
      <w:r w:rsidR="00662CD5" w:rsidRPr="00662CD5">
        <w:t xml:space="preserve"> the allocation of CHF 15</w:t>
      </w:r>
      <w:r w:rsidR="006C2281">
        <w:t>K</w:t>
      </w:r>
      <w:r w:rsidR="00662CD5" w:rsidRPr="00662CD5">
        <w:t xml:space="preserve"> from an original proposal of </w:t>
      </w:r>
      <w:r w:rsidR="006C2281">
        <w:t xml:space="preserve">CHF </w:t>
      </w:r>
      <w:r w:rsidR="00662CD5" w:rsidRPr="00662CD5">
        <w:t>25</w:t>
      </w:r>
      <w:r w:rsidR="006C2281">
        <w:t>K</w:t>
      </w:r>
      <w:r w:rsidR="00662CD5" w:rsidRPr="00662CD5">
        <w:t xml:space="preserve"> to each of the four eligible Ramsar Regional Initiatives for their activities in 2020 from the core budget line D </w:t>
      </w:r>
      <w:r w:rsidR="005A75B7">
        <w:t>‘</w:t>
      </w:r>
      <w:r w:rsidR="00662CD5" w:rsidRPr="00662CD5">
        <w:t>Support to Regional Initiatives</w:t>
      </w:r>
      <w:r w:rsidR="005A75B7">
        <w:t>’</w:t>
      </w:r>
      <w:r w:rsidR="00662CD5" w:rsidRPr="00662CD5">
        <w:t>, taking into account carry-overs from 2019 and the pandemic situation that is likely to lead to restrained activities during the remainder of 2020, and note</w:t>
      </w:r>
      <w:r w:rsidR="00E92730">
        <w:t>d</w:t>
      </w:r>
      <w:r w:rsidR="00662CD5" w:rsidRPr="00662CD5">
        <w:t xml:space="preserve"> the openness of</w:t>
      </w:r>
      <w:r w:rsidR="002135D9">
        <w:t xml:space="preserve"> </w:t>
      </w:r>
      <w:r w:rsidR="00662CD5" w:rsidRPr="00662CD5">
        <w:t>the Standing Committee on the recommendation on the Subgroup on Finance</w:t>
      </w:r>
      <w:r w:rsidR="002135D9">
        <w:t xml:space="preserve"> </w:t>
      </w:r>
      <w:r w:rsidR="00662CD5" w:rsidRPr="00662CD5">
        <w:t>to the eligible RRIs to request an additional CHF 10,000 during its October 2020 meeting</w:t>
      </w:r>
      <w:r w:rsidR="005A75B7">
        <w:t>”</w:t>
      </w:r>
      <w:r w:rsidR="00E92730">
        <w:t>.</w:t>
      </w:r>
    </w:p>
    <w:p w14:paraId="5120C603" w14:textId="305EDBCC" w:rsidR="00662CD5" w:rsidRDefault="00662CD5" w:rsidP="00FA0633">
      <w:pPr>
        <w:pStyle w:val="NoSpacing"/>
        <w:ind w:left="851"/>
      </w:pPr>
    </w:p>
    <w:p w14:paraId="4222ECA3" w14:textId="74F9EB17" w:rsidR="00662CD5" w:rsidRDefault="008F7FC4" w:rsidP="008F7FC4">
      <w:pPr>
        <w:pStyle w:val="NoSpacing"/>
        <w:ind w:left="851"/>
      </w:pPr>
      <w:r>
        <w:t>c.</w:t>
      </w:r>
      <w:r>
        <w:tab/>
      </w:r>
      <w:r w:rsidR="00EF08F0">
        <w:t xml:space="preserve">Consequently and </w:t>
      </w:r>
      <w:r w:rsidR="00E92730">
        <w:t>following</w:t>
      </w:r>
      <w:r w:rsidR="00EF08F0">
        <w:t xml:space="preserve"> requests </w:t>
      </w:r>
      <w:r w:rsidR="001644A8">
        <w:t xml:space="preserve">received </w:t>
      </w:r>
      <w:r w:rsidR="00EF08F0">
        <w:t xml:space="preserve">from </w:t>
      </w:r>
      <w:r w:rsidR="001644A8">
        <w:t xml:space="preserve">two </w:t>
      </w:r>
      <w:r w:rsidR="00EF08F0">
        <w:t xml:space="preserve">Ramsar Regional </w:t>
      </w:r>
      <w:r w:rsidR="007A243E">
        <w:t>Ini</w:t>
      </w:r>
      <w:r w:rsidR="00CA6C66">
        <w:t>t</w:t>
      </w:r>
      <w:r w:rsidR="007A243E">
        <w:t>iatives</w:t>
      </w:r>
      <w:r w:rsidR="00EF08F0">
        <w:t xml:space="preserve">, </w:t>
      </w:r>
      <w:r w:rsidR="00304ECC">
        <w:t xml:space="preserve">the Standing Committee approved intersessionally in </w:t>
      </w:r>
      <w:r w:rsidR="006C2281">
        <w:t>February 2021</w:t>
      </w:r>
      <w:r w:rsidR="00EF08F0">
        <w:t xml:space="preserve"> the remaining budgeted allocation of CHF 10K from the original proposal of CHF 25K to two of four eligible Ramsar Regional Initiatives (RRIs) in the context of Decision SC58-28, for their activities in 2020, </w:t>
      </w:r>
      <w:r w:rsidR="00EF08F0">
        <w:lastRenderedPageBreak/>
        <w:t xml:space="preserve">from the </w:t>
      </w:r>
      <w:r w:rsidR="00751FF2">
        <w:t>same core budget line. The two RRIs are the Regional Ramsar Initiative for Central Asia and the Indo-Burma Ramsar Regional Initiative.</w:t>
      </w:r>
    </w:p>
    <w:p w14:paraId="52B2221F" w14:textId="77777777" w:rsidR="00751FF2" w:rsidRDefault="00751FF2" w:rsidP="008F7FC4">
      <w:pPr>
        <w:pStyle w:val="NoSpacing"/>
        <w:ind w:left="851"/>
      </w:pPr>
    </w:p>
    <w:p w14:paraId="19D3E677" w14:textId="56193EBC" w:rsidR="00F1054B" w:rsidRDefault="008F7FC4" w:rsidP="008F7FC4">
      <w:pPr>
        <w:pStyle w:val="NoSpacing"/>
        <w:ind w:left="851"/>
      </w:pPr>
      <w:r>
        <w:t>d.</w:t>
      </w:r>
      <w:r>
        <w:tab/>
      </w:r>
      <w:r w:rsidR="00F1054B">
        <w:t>Th</w:t>
      </w:r>
      <w:r w:rsidR="00662CD5">
        <w:t>e</w:t>
      </w:r>
      <w:r w:rsidR="00F1054B">
        <w:t>s</w:t>
      </w:r>
      <w:r w:rsidR="00662CD5">
        <w:t>e</w:t>
      </w:r>
      <w:r w:rsidR="00F1054B">
        <w:t xml:space="preserve"> </w:t>
      </w:r>
      <w:r w:rsidR="00304ECC">
        <w:t>revisions</w:t>
      </w:r>
      <w:r w:rsidR="00F1054B">
        <w:t xml:space="preserve"> </w:t>
      </w:r>
      <w:r w:rsidR="00662CD5">
        <w:t xml:space="preserve">are </w:t>
      </w:r>
      <w:r w:rsidR="00F1054B">
        <w:t xml:space="preserve">reflected in the </w:t>
      </w:r>
      <w:r w:rsidR="00662CD5">
        <w:t xml:space="preserve">2020 </w:t>
      </w:r>
      <w:r w:rsidR="00F1054B">
        <w:t>budget.</w:t>
      </w:r>
      <w:r w:rsidR="006C2281">
        <w:t xml:space="preserve"> The total 2020 budget savings </w:t>
      </w:r>
      <w:r w:rsidR="001D4DD2">
        <w:t>of</w:t>
      </w:r>
      <w:r w:rsidR="006C2281">
        <w:t xml:space="preserve"> CHF 709K</w:t>
      </w:r>
      <w:r w:rsidR="001D4DD2">
        <w:t xml:space="preserve"> (see paragraph 7 above) are</w:t>
      </w:r>
      <w:r w:rsidR="006C2281">
        <w:t xml:space="preserve"> presented in a separate budget line under item K</w:t>
      </w:r>
      <w:r w:rsidR="001644A8">
        <w:t>. “</w:t>
      </w:r>
      <w:r w:rsidR="001644A8" w:rsidRPr="001644A8">
        <w:t>Miscellaneous - Reserve Fund</w:t>
      </w:r>
      <w:r w:rsidR="001644A8">
        <w:t>”</w:t>
      </w:r>
      <w:r w:rsidR="006C2281">
        <w:t xml:space="preserve"> as “</w:t>
      </w:r>
      <w:r w:rsidR="006C2281" w:rsidRPr="006C2281">
        <w:t>SC58 budget &amp; uncommitted carry forward savings</w:t>
      </w:r>
      <w:r w:rsidR="006C2281">
        <w:t>” in Annex 2 and Annex 4.</w:t>
      </w:r>
    </w:p>
    <w:p w14:paraId="5E954E96" w14:textId="71C1C352" w:rsidR="006C2281" w:rsidRDefault="006C2281" w:rsidP="00662CD5">
      <w:pPr>
        <w:pStyle w:val="NoSpacing"/>
        <w:ind w:left="851" w:firstLine="0"/>
      </w:pPr>
    </w:p>
    <w:p w14:paraId="0FAD30C8" w14:textId="67C72EE1" w:rsidR="00E32440" w:rsidRPr="00421152" w:rsidRDefault="009C67A2" w:rsidP="00162710">
      <w:pPr>
        <w:pStyle w:val="NoSpacing"/>
        <w:keepNext/>
        <w:ind w:left="0" w:firstLine="0"/>
        <w:rPr>
          <w:b/>
        </w:rPr>
      </w:pPr>
      <w:r w:rsidRPr="00421152">
        <w:rPr>
          <w:b/>
        </w:rPr>
        <w:t>20</w:t>
      </w:r>
      <w:r>
        <w:rPr>
          <w:b/>
        </w:rPr>
        <w:t>20</w:t>
      </w:r>
      <w:r w:rsidRPr="00421152">
        <w:rPr>
          <w:b/>
        </w:rPr>
        <w:t xml:space="preserve"> </w:t>
      </w:r>
      <w:r w:rsidR="00EA33CB">
        <w:rPr>
          <w:b/>
        </w:rPr>
        <w:t>carry</w:t>
      </w:r>
      <w:r w:rsidR="001D4DD2">
        <w:rPr>
          <w:b/>
        </w:rPr>
        <w:t>-</w:t>
      </w:r>
      <w:r w:rsidR="00EA33CB">
        <w:rPr>
          <w:b/>
        </w:rPr>
        <w:t>forward</w:t>
      </w:r>
    </w:p>
    <w:p w14:paraId="4EC14AA2" w14:textId="642F6BE8" w:rsidR="008F4DA8" w:rsidRPr="00421152" w:rsidRDefault="008F4DA8" w:rsidP="00162710">
      <w:pPr>
        <w:keepNext/>
      </w:pPr>
    </w:p>
    <w:p w14:paraId="0A4B8178" w14:textId="7D78DE57" w:rsidR="008F4DA8" w:rsidRPr="009D2783" w:rsidRDefault="00374172" w:rsidP="00162710">
      <w:r>
        <w:t>16</w:t>
      </w:r>
      <w:r w:rsidR="008F4DA8" w:rsidRPr="00421152">
        <w:t>.</w:t>
      </w:r>
      <w:r w:rsidR="008F4DA8" w:rsidRPr="00421152">
        <w:tab/>
      </w:r>
      <w:r w:rsidR="00063F47" w:rsidRPr="00942026">
        <w:t xml:space="preserve">The statement of income and expenditure for </w:t>
      </w:r>
      <w:r w:rsidR="00A30780">
        <w:t>2020</w:t>
      </w:r>
      <w:r w:rsidR="00A30780" w:rsidRPr="00942026">
        <w:t xml:space="preserve"> </w:t>
      </w:r>
      <w:r w:rsidR="00063F47" w:rsidRPr="00942026">
        <w:t>in the audited financial statements (</w:t>
      </w:r>
      <w:r w:rsidR="00326625" w:rsidRPr="00942026">
        <w:t xml:space="preserve">see </w:t>
      </w:r>
      <w:r w:rsidR="00063F47" w:rsidRPr="00942026">
        <w:t>Annex 1</w:t>
      </w:r>
      <w:r w:rsidR="00326625" w:rsidRPr="00942026">
        <w:t>, table II</w:t>
      </w:r>
      <w:r w:rsidR="00063F47" w:rsidRPr="00942026">
        <w:t xml:space="preserve">) shows that the </w:t>
      </w:r>
      <w:r w:rsidR="001E1873" w:rsidRPr="00942026">
        <w:t xml:space="preserve">core </w:t>
      </w:r>
      <w:r w:rsidR="00063F47" w:rsidRPr="00942026">
        <w:t xml:space="preserve">fund balance at the end of the year </w:t>
      </w:r>
      <w:r w:rsidR="006A4C5B" w:rsidRPr="00942026">
        <w:t xml:space="preserve">was </w:t>
      </w:r>
      <w:r w:rsidR="008F4DA8" w:rsidRPr="00DC34DB">
        <w:t xml:space="preserve">CHF </w:t>
      </w:r>
      <w:r w:rsidR="00A30780" w:rsidRPr="00DC34DB">
        <w:t>3,318</w:t>
      </w:r>
      <w:r w:rsidR="008F4DA8" w:rsidRPr="00DC34DB">
        <w:t>K. This includes</w:t>
      </w:r>
      <w:r w:rsidR="00AE5291" w:rsidRPr="00DC34DB">
        <w:t xml:space="preserve"> the </w:t>
      </w:r>
      <w:r w:rsidR="00A30780" w:rsidRPr="00DC34DB">
        <w:t xml:space="preserve">2019 </w:t>
      </w:r>
      <w:r w:rsidR="00942026" w:rsidRPr="00DC34DB">
        <w:t xml:space="preserve">core </w:t>
      </w:r>
      <w:r w:rsidR="00AE5291" w:rsidRPr="00DC34DB">
        <w:t xml:space="preserve">fund balance (at the beginning of </w:t>
      </w:r>
      <w:r w:rsidR="00A30780" w:rsidRPr="00DC34DB">
        <w:t>2020</w:t>
      </w:r>
      <w:r w:rsidR="00AE5291" w:rsidRPr="00DC34DB">
        <w:t>)</w:t>
      </w:r>
      <w:r w:rsidR="00B35466" w:rsidRPr="00DC34DB">
        <w:t xml:space="preserve"> of CHF </w:t>
      </w:r>
      <w:r w:rsidR="00583E4B" w:rsidRPr="00DC34DB">
        <w:t>2,</w:t>
      </w:r>
      <w:r w:rsidR="00A30780" w:rsidRPr="00DC34DB">
        <w:t>648K</w:t>
      </w:r>
      <w:r w:rsidR="00A30780" w:rsidRPr="009D2783">
        <w:t xml:space="preserve"> </w:t>
      </w:r>
      <w:r w:rsidR="00AE5291" w:rsidRPr="009D2783">
        <w:t>and the</w:t>
      </w:r>
      <w:r w:rsidR="002B27B1" w:rsidRPr="009D2783">
        <w:t xml:space="preserve"> </w:t>
      </w:r>
      <w:r w:rsidR="00AE5291" w:rsidRPr="009D2783">
        <w:t>net</w:t>
      </w:r>
      <w:r w:rsidR="002B27B1" w:rsidRPr="009D2783">
        <w:t xml:space="preserve"> income</w:t>
      </w:r>
      <w:r w:rsidR="00583E4B" w:rsidRPr="009D2783">
        <w:t xml:space="preserve"> </w:t>
      </w:r>
      <w:r w:rsidR="002B27B1" w:rsidRPr="009D2783">
        <w:t xml:space="preserve">over expenditure for </w:t>
      </w:r>
      <w:r w:rsidR="00A30780" w:rsidRPr="009D2783">
        <w:t>20</w:t>
      </w:r>
      <w:r w:rsidR="00A30780">
        <w:t>20</w:t>
      </w:r>
      <w:r w:rsidR="00A30780" w:rsidRPr="009D2783">
        <w:t xml:space="preserve"> </w:t>
      </w:r>
      <w:r w:rsidR="00273EDF" w:rsidRPr="009D2783">
        <w:t xml:space="preserve">of CHF </w:t>
      </w:r>
      <w:r w:rsidR="00A30780">
        <w:t>670</w:t>
      </w:r>
      <w:r w:rsidR="00A30780" w:rsidRPr="009D2783">
        <w:t xml:space="preserve">K </w:t>
      </w:r>
      <w:r w:rsidR="002B27B1" w:rsidRPr="009D2783">
        <w:t xml:space="preserve">as per the </w:t>
      </w:r>
      <w:r w:rsidR="00847570" w:rsidRPr="009D2783">
        <w:t xml:space="preserve">audited </w:t>
      </w:r>
      <w:r w:rsidR="002B27B1" w:rsidRPr="009D2783">
        <w:t xml:space="preserve">financial statements </w:t>
      </w:r>
      <w:r w:rsidR="00273EDF" w:rsidRPr="009D2783">
        <w:t xml:space="preserve">and </w:t>
      </w:r>
      <w:r w:rsidR="00A30780" w:rsidRPr="009D2783">
        <w:t>20</w:t>
      </w:r>
      <w:r w:rsidR="00A30780">
        <w:t>20</w:t>
      </w:r>
      <w:r w:rsidR="00A30780" w:rsidRPr="009D2783">
        <w:t xml:space="preserve"> </w:t>
      </w:r>
      <w:r w:rsidR="00FD2E2F" w:rsidRPr="009D2783">
        <w:t>core results</w:t>
      </w:r>
      <w:r w:rsidR="00273EDF" w:rsidRPr="009D2783">
        <w:t xml:space="preserve"> for the period 1 January to 31 December </w:t>
      </w:r>
      <w:r w:rsidR="00A30780" w:rsidRPr="009D2783">
        <w:t>20</w:t>
      </w:r>
      <w:r w:rsidR="00A30780">
        <w:t>20</w:t>
      </w:r>
      <w:r w:rsidR="00A30780" w:rsidRPr="009D2783">
        <w:t xml:space="preserve"> </w:t>
      </w:r>
      <w:r w:rsidR="002B27B1" w:rsidRPr="009D2783">
        <w:t>(Annex</w:t>
      </w:r>
      <w:r w:rsidR="00A523BE" w:rsidRPr="009D2783">
        <w:t xml:space="preserve"> 2</w:t>
      </w:r>
      <w:r w:rsidR="002B27B1" w:rsidRPr="009D2783">
        <w:t>).</w:t>
      </w:r>
    </w:p>
    <w:p w14:paraId="1D8AC35B" w14:textId="63B6219E" w:rsidR="00AE5291" w:rsidRPr="009D2783" w:rsidRDefault="00AE5291" w:rsidP="00162710"/>
    <w:p w14:paraId="550BBAB1" w14:textId="258228A5" w:rsidR="00155710" w:rsidRPr="009D2783" w:rsidRDefault="00374172" w:rsidP="00162710">
      <w:r>
        <w:t>17</w:t>
      </w:r>
      <w:r w:rsidR="00A523BE" w:rsidRPr="009D2783">
        <w:t>.</w:t>
      </w:r>
      <w:r w:rsidR="00A523BE" w:rsidRPr="009D2783">
        <w:tab/>
      </w:r>
      <w:r w:rsidR="00AE5291" w:rsidRPr="009D2783">
        <w:t xml:space="preserve">The </w:t>
      </w:r>
      <w:r w:rsidR="00A30780">
        <w:t xml:space="preserve">2020 </w:t>
      </w:r>
      <w:r w:rsidR="0008231A">
        <w:t xml:space="preserve">core </w:t>
      </w:r>
      <w:r w:rsidR="00AE5291" w:rsidRPr="009D2783">
        <w:t xml:space="preserve">fund balance </w:t>
      </w:r>
      <w:r w:rsidR="0008231A">
        <w:t xml:space="preserve">above </w:t>
      </w:r>
      <w:r w:rsidR="00AE5291" w:rsidRPr="009D2783">
        <w:t>includes t</w:t>
      </w:r>
      <w:r w:rsidR="008E3029" w:rsidRPr="009D2783">
        <w:t xml:space="preserve">he </w:t>
      </w:r>
      <w:r w:rsidR="00302FEE" w:rsidRPr="009D2783">
        <w:t xml:space="preserve">reserve fund </w:t>
      </w:r>
      <w:r w:rsidR="005139ED" w:rsidRPr="009D2783">
        <w:t xml:space="preserve">of </w:t>
      </w:r>
      <w:r w:rsidR="00AE5291" w:rsidRPr="009D2783">
        <w:t>CHF 762K</w:t>
      </w:r>
      <w:r w:rsidR="003B0AD8">
        <w:t>. This corresponds</w:t>
      </w:r>
      <w:r w:rsidR="00AE5291" w:rsidRPr="009D2783">
        <w:t xml:space="preserve"> to 15% of the annual core budget</w:t>
      </w:r>
      <w:r w:rsidR="003B0AD8">
        <w:t>,</w:t>
      </w:r>
      <w:r w:rsidR="003B0AD8" w:rsidRPr="009D2783">
        <w:t xml:space="preserve"> the maximum level approved by </w:t>
      </w:r>
      <w:r w:rsidR="00AE5291" w:rsidRPr="009D2783">
        <w:t xml:space="preserve">COP13 in </w:t>
      </w:r>
      <w:r w:rsidR="00997B4C" w:rsidRPr="009D2783">
        <w:t>paragraph 33</w:t>
      </w:r>
      <w:r w:rsidR="0008231A">
        <w:t xml:space="preserve"> </w:t>
      </w:r>
      <w:r w:rsidR="00997B4C" w:rsidRPr="009D2783">
        <w:t xml:space="preserve">of </w:t>
      </w:r>
      <w:r w:rsidR="00AE5291" w:rsidRPr="009D2783">
        <w:t>Resolution XIII.2.</w:t>
      </w:r>
      <w:r w:rsidR="00A523BE" w:rsidRPr="009D2783">
        <w:t xml:space="preserve"> </w:t>
      </w:r>
      <w:r w:rsidR="00516ECE">
        <w:t>Therefore</w:t>
      </w:r>
      <w:r w:rsidR="00AE5291" w:rsidRPr="009D2783">
        <w:t xml:space="preserve"> there is no need to reallocate resources for this purpose.</w:t>
      </w:r>
      <w:r w:rsidR="005A313D" w:rsidRPr="009D2783">
        <w:t xml:space="preserve"> </w:t>
      </w:r>
    </w:p>
    <w:p w14:paraId="3510C178" w14:textId="77777777" w:rsidR="00155710" w:rsidRPr="009D2783" w:rsidRDefault="00155710" w:rsidP="00162710"/>
    <w:p w14:paraId="1E5D1501" w14:textId="19EF9F8D" w:rsidR="00155710" w:rsidRPr="009D2783" w:rsidRDefault="00374172" w:rsidP="00AD0650">
      <w:r>
        <w:t>18</w:t>
      </w:r>
      <w:r w:rsidR="00AD0650" w:rsidRPr="009D2783">
        <w:t>.</w:t>
      </w:r>
      <w:r w:rsidR="00AD0650" w:rsidRPr="009D2783">
        <w:tab/>
      </w:r>
      <w:r w:rsidR="00674A48" w:rsidRPr="009D2783">
        <w:t>Th</w:t>
      </w:r>
      <w:r w:rsidR="00122175">
        <w:t>e core fund</w:t>
      </w:r>
      <w:r w:rsidR="00674A48" w:rsidRPr="009D2783">
        <w:t xml:space="preserve"> </w:t>
      </w:r>
      <w:r w:rsidR="0015502B" w:rsidRPr="009D2783">
        <w:t>balance</w:t>
      </w:r>
      <w:r w:rsidR="00886249" w:rsidRPr="009D2783">
        <w:t xml:space="preserve"> </w:t>
      </w:r>
      <w:r w:rsidR="00155710" w:rsidRPr="009D2783">
        <w:t>also includes</w:t>
      </w:r>
      <w:r w:rsidR="004E59AF" w:rsidRPr="009D2783">
        <w:t xml:space="preserve"> </w:t>
      </w:r>
      <w:r w:rsidR="00D026B6" w:rsidRPr="009D2783">
        <w:t xml:space="preserve">the </w:t>
      </w:r>
      <w:r w:rsidR="00D026B6">
        <w:t xml:space="preserve">adjusted CHF 76K approved for 2021 from </w:t>
      </w:r>
      <w:r w:rsidR="00D026B6" w:rsidRPr="009D2783">
        <w:t xml:space="preserve">the 2018 surplus of CHF 228K </w:t>
      </w:r>
      <w:r w:rsidR="00D026B6">
        <w:t xml:space="preserve">to be used over </w:t>
      </w:r>
      <w:r w:rsidR="00D026B6" w:rsidRPr="009D2783">
        <w:t>the 201</w:t>
      </w:r>
      <w:r w:rsidR="00D026B6">
        <w:t>9-2021 triennium</w:t>
      </w:r>
      <w:r w:rsidR="00D026B6" w:rsidRPr="009D2783">
        <w:t xml:space="preserve"> </w:t>
      </w:r>
      <w:r w:rsidR="00155710" w:rsidRPr="009D2783">
        <w:t>(Resolution XIII.2, paragraph 15)</w:t>
      </w:r>
      <w:r w:rsidR="0064639B" w:rsidRPr="009D2783">
        <w:t xml:space="preserve">, to cover the gap created in the </w:t>
      </w:r>
      <w:r w:rsidR="00620208" w:rsidRPr="009D2783">
        <w:t xml:space="preserve">core </w:t>
      </w:r>
      <w:r w:rsidR="0064639B" w:rsidRPr="009D2783">
        <w:t xml:space="preserve">budget of the Secretariat to </w:t>
      </w:r>
      <w:r w:rsidR="00CD769A">
        <w:t>meet</w:t>
      </w:r>
      <w:r w:rsidR="00CD769A" w:rsidRPr="009D2783">
        <w:t xml:space="preserve"> </w:t>
      </w:r>
      <w:r w:rsidR="0064639B" w:rsidRPr="009D2783">
        <w:t>the cost of a new position of Finance and Accounting Assistant (cuts were made to communications, travel, STRP and planning and capacity-building budget lines that were filled with this surplus)</w:t>
      </w:r>
      <w:r w:rsidR="00155710" w:rsidRPr="009D2783">
        <w:t xml:space="preserve">. </w:t>
      </w:r>
    </w:p>
    <w:p w14:paraId="334F59CD" w14:textId="1874C176" w:rsidR="008E00BF" w:rsidRPr="009D2783" w:rsidRDefault="008E00BF" w:rsidP="00162710"/>
    <w:p w14:paraId="73FD656F" w14:textId="7BC57D21" w:rsidR="00772619" w:rsidRPr="009D2783" w:rsidRDefault="0097613E" w:rsidP="00463CEC">
      <w:r>
        <w:t>19</w:t>
      </w:r>
      <w:r w:rsidR="00463CEC" w:rsidRPr="009D2783">
        <w:t>.</w:t>
      </w:r>
      <w:r w:rsidR="00463CEC" w:rsidRPr="009D2783">
        <w:tab/>
      </w:r>
      <w:r w:rsidR="00AC5BA6" w:rsidRPr="009D2783">
        <w:t xml:space="preserve">Additionally, </w:t>
      </w:r>
      <w:r w:rsidR="00182B75" w:rsidRPr="009D2783">
        <w:t xml:space="preserve">unspent </w:t>
      </w:r>
      <w:r w:rsidR="00AC5BA6" w:rsidRPr="009D2783">
        <w:t>and pre</w:t>
      </w:r>
      <w:r w:rsidR="002A1A4B" w:rsidRPr="009D2783">
        <w:t>-</w:t>
      </w:r>
      <w:r w:rsidR="00AC5BA6" w:rsidRPr="009D2783">
        <w:t>committed balances</w:t>
      </w:r>
      <w:r w:rsidR="00D535A9" w:rsidRPr="009D2783">
        <w:t xml:space="preserve"> of </w:t>
      </w:r>
      <w:r w:rsidR="00CD1D81" w:rsidRPr="009D2783">
        <w:t xml:space="preserve">CHF </w:t>
      </w:r>
      <w:r w:rsidR="0036778B" w:rsidRPr="00D026B6">
        <w:t>712</w:t>
      </w:r>
      <w:r w:rsidR="00211E61" w:rsidRPr="00D026B6">
        <w:t>K</w:t>
      </w:r>
      <w:r w:rsidR="00D535A9" w:rsidRPr="009D2783">
        <w:t>,</w:t>
      </w:r>
      <w:r w:rsidR="00AC5BA6" w:rsidRPr="009D2783">
        <w:t xml:space="preserve"> including the</w:t>
      </w:r>
      <w:r w:rsidR="008F5E92" w:rsidRPr="009D2783">
        <w:t xml:space="preserve"> </w:t>
      </w:r>
      <w:r w:rsidR="00FE2266" w:rsidRPr="009D2783">
        <w:t>authorized</w:t>
      </w:r>
      <w:r w:rsidR="00772619" w:rsidRPr="009D2783">
        <w:t xml:space="preserve"> use of 2018 surplus</w:t>
      </w:r>
      <w:r w:rsidR="00EF5E91" w:rsidRPr="009D2783">
        <w:t xml:space="preserve"> (Decision </w:t>
      </w:r>
      <w:r w:rsidR="00A87BA0" w:rsidRPr="009D2783">
        <w:t>SC</w:t>
      </w:r>
      <w:r w:rsidR="00EF5E91" w:rsidRPr="009D2783">
        <w:t>57-47)</w:t>
      </w:r>
      <w:r w:rsidR="00273027">
        <w:t xml:space="preserve"> and SC58 intersessional adjusted budget (Decision SC58-30)</w:t>
      </w:r>
      <w:r w:rsidR="00772619" w:rsidRPr="009D2783">
        <w:t xml:space="preserve">, </w:t>
      </w:r>
      <w:r w:rsidR="008F5E92" w:rsidRPr="009D2783">
        <w:t xml:space="preserve">as </w:t>
      </w:r>
      <w:r w:rsidR="00AC5BA6" w:rsidRPr="009D2783">
        <w:t xml:space="preserve">detailed in Table 1 and paragraph </w:t>
      </w:r>
      <w:r w:rsidR="00335206" w:rsidRPr="009D2783">
        <w:t>7</w:t>
      </w:r>
      <w:r w:rsidR="00D026B6">
        <w:t xml:space="preserve"> above</w:t>
      </w:r>
      <w:r w:rsidR="00AC5BA6" w:rsidRPr="009D2783">
        <w:t>,</w:t>
      </w:r>
      <w:r w:rsidR="00D535A9" w:rsidRPr="009D2783">
        <w:t xml:space="preserve"> will be spent in </w:t>
      </w:r>
      <w:r w:rsidR="00273027" w:rsidRPr="009D2783">
        <w:t>202</w:t>
      </w:r>
      <w:r w:rsidR="00273027">
        <w:t>1</w:t>
      </w:r>
      <w:r w:rsidR="00273027" w:rsidRPr="009D2783">
        <w:t xml:space="preserve"> </w:t>
      </w:r>
      <w:r w:rsidR="002A1A4B" w:rsidRPr="009D2783">
        <w:t>and thus have</w:t>
      </w:r>
      <w:r w:rsidR="00D535A9" w:rsidRPr="009D2783">
        <w:t xml:space="preserve"> been included in the </w:t>
      </w:r>
      <w:r w:rsidR="00273027" w:rsidRPr="009D2783">
        <w:t>202</w:t>
      </w:r>
      <w:r w:rsidR="00273027">
        <w:t>1</w:t>
      </w:r>
      <w:r w:rsidR="00273027" w:rsidRPr="009D2783">
        <w:t xml:space="preserve"> </w:t>
      </w:r>
      <w:r w:rsidR="00D535A9" w:rsidRPr="009D2783">
        <w:t>budget</w:t>
      </w:r>
      <w:r w:rsidR="000931DF">
        <w:t xml:space="preserve"> (Annex 4)</w:t>
      </w:r>
      <w:r w:rsidR="00D535A9" w:rsidRPr="009D2783">
        <w:t>.</w:t>
      </w:r>
    </w:p>
    <w:p w14:paraId="38DAA067" w14:textId="145F4A9D" w:rsidR="00AC5BA6" w:rsidRPr="009D2783" w:rsidRDefault="00AC5BA6" w:rsidP="00162710">
      <w:pPr>
        <w:ind w:firstLine="0"/>
      </w:pPr>
    </w:p>
    <w:p w14:paraId="36C39594" w14:textId="625E60E2" w:rsidR="00DC34DB" w:rsidRDefault="0097613E" w:rsidP="00DA6FAA">
      <w:r>
        <w:t>20</w:t>
      </w:r>
      <w:r w:rsidR="00DA6FAA" w:rsidRPr="009D2783">
        <w:t>.</w:t>
      </w:r>
      <w:r w:rsidR="00DA6FAA" w:rsidRPr="009D2783">
        <w:tab/>
      </w:r>
      <w:r w:rsidR="00AC5BA6" w:rsidRPr="009D2783">
        <w:t xml:space="preserve">Finally, there are </w:t>
      </w:r>
      <w:r w:rsidR="00182B75" w:rsidRPr="009D2783">
        <w:t>unspent</w:t>
      </w:r>
      <w:r w:rsidR="00AC5BA6" w:rsidRPr="009D2783">
        <w:t xml:space="preserve"> and uncommitted balances amounting to CHF </w:t>
      </w:r>
      <w:r w:rsidR="00B37DA4" w:rsidRPr="001B7279">
        <w:t>1,</w:t>
      </w:r>
      <w:r w:rsidR="000931DF" w:rsidRPr="001B7279">
        <w:t>5</w:t>
      </w:r>
      <w:r w:rsidR="000931DF">
        <w:t>90</w:t>
      </w:r>
      <w:r w:rsidR="000931DF" w:rsidRPr="001B7279">
        <w:t>K</w:t>
      </w:r>
      <w:r w:rsidR="000931DF" w:rsidRPr="009D2783">
        <w:t xml:space="preserve"> </w:t>
      </w:r>
      <w:r w:rsidR="00AC5BA6" w:rsidRPr="009D2783">
        <w:t>as de</w:t>
      </w:r>
      <w:r w:rsidR="00AC5BA6">
        <w:t>tailed in Table 1</w:t>
      </w:r>
      <w:r w:rsidR="00A87BA0">
        <w:t xml:space="preserve"> above</w:t>
      </w:r>
      <w:r w:rsidR="00AC5BA6">
        <w:t>.</w:t>
      </w:r>
      <w:r w:rsidR="00797BC5">
        <w:t xml:space="preserve"> </w:t>
      </w:r>
      <w:bookmarkStart w:id="2" w:name="_Hlk72504612"/>
      <w:r w:rsidR="00202BE8">
        <w:t xml:space="preserve">As mentioned in paragraph 11 above, in line with decision </w:t>
      </w:r>
      <w:r w:rsidR="0049688C" w:rsidRPr="00CD3D1A">
        <w:t>SC57-50</w:t>
      </w:r>
      <w:bookmarkEnd w:id="2"/>
      <w:r w:rsidR="006B6F03">
        <w:t xml:space="preserve">, </w:t>
      </w:r>
      <w:r w:rsidR="0049688C" w:rsidRPr="00CD3D1A">
        <w:t>the Secretariat is pr</w:t>
      </w:r>
      <w:r w:rsidR="00776FB3">
        <w:t>esenting</w:t>
      </w:r>
      <w:r w:rsidR="0049688C" w:rsidRPr="00CD3D1A">
        <w:t xml:space="preserve"> uncommitted</w:t>
      </w:r>
      <w:r w:rsidR="00DB52BE">
        <w:t xml:space="preserve"> and </w:t>
      </w:r>
      <w:r w:rsidR="007F0A14">
        <w:t>unspent</w:t>
      </w:r>
      <w:r w:rsidR="00EA444A" w:rsidRPr="00CD3D1A">
        <w:t xml:space="preserve"> </w:t>
      </w:r>
      <w:r w:rsidR="00B37DA4">
        <w:t>2020</w:t>
      </w:r>
      <w:r w:rsidR="00B37DA4" w:rsidRPr="00CD3D1A">
        <w:t xml:space="preserve"> </w:t>
      </w:r>
      <w:r w:rsidR="0049688C" w:rsidRPr="00CD3D1A">
        <w:t xml:space="preserve">balances </w:t>
      </w:r>
      <w:r w:rsidR="002A1A4B">
        <w:t>as being</w:t>
      </w:r>
      <w:r w:rsidR="00776FB3">
        <w:t xml:space="preserve"> carried forward </w:t>
      </w:r>
      <w:r w:rsidR="0049688C" w:rsidRPr="00CD3D1A">
        <w:t xml:space="preserve">to </w:t>
      </w:r>
      <w:r w:rsidR="00B37DA4" w:rsidRPr="00CD3D1A">
        <w:t>202</w:t>
      </w:r>
      <w:r w:rsidR="00B37DA4">
        <w:t>1</w:t>
      </w:r>
      <w:r w:rsidR="00D535A9">
        <w:t>.</w:t>
      </w:r>
    </w:p>
    <w:p w14:paraId="207BC431" w14:textId="77777777" w:rsidR="00DC34DB" w:rsidRDefault="00DC34DB" w:rsidP="00DA6FAA"/>
    <w:p w14:paraId="177A095A" w14:textId="59B7AEB8" w:rsidR="0049688C" w:rsidRDefault="0097613E" w:rsidP="00DA6FAA">
      <w:r w:rsidRPr="001B7279">
        <w:t>2</w:t>
      </w:r>
      <w:r>
        <w:t>1</w:t>
      </w:r>
      <w:r w:rsidR="00374172" w:rsidRPr="001B7279">
        <w:t>.</w:t>
      </w:r>
      <w:r w:rsidR="00DC34DB" w:rsidRPr="001B7279">
        <w:tab/>
        <w:t xml:space="preserve">The Secretariat </w:t>
      </w:r>
      <w:r w:rsidR="00A03E09" w:rsidRPr="001B7279">
        <w:t xml:space="preserve">would like to </w:t>
      </w:r>
      <w:r w:rsidR="00DC34DB" w:rsidRPr="001B7279">
        <w:t>suggest</w:t>
      </w:r>
      <w:r w:rsidR="00A03E09" w:rsidRPr="001B7279">
        <w:t xml:space="preserve"> some</w:t>
      </w:r>
      <w:r w:rsidR="00DC34DB" w:rsidRPr="001B7279">
        <w:t xml:space="preserve"> possible use</w:t>
      </w:r>
      <w:r w:rsidR="00A03E09" w:rsidRPr="001B7279">
        <w:t>s</w:t>
      </w:r>
      <w:r w:rsidR="00DC34DB" w:rsidRPr="001B7279">
        <w:t xml:space="preserve"> of </w:t>
      </w:r>
      <w:r w:rsidR="00A03E09" w:rsidRPr="001B7279">
        <w:t xml:space="preserve">the </w:t>
      </w:r>
      <w:r w:rsidR="00DC34DB" w:rsidRPr="001B7279">
        <w:t>savings</w:t>
      </w:r>
      <w:r w:rsidR="00A03E09" w:rsidRPr="001B7279">
        <w:t xml:space="preserve"> within the</w:t>
      </w:r>
      <w:r w:rsidR="00DC34DB" w:rsidRPr="001B7279">
        <w:t xml:space="preserve"> section</w:t>
      </w:r>
      <w:r w:rsidR="001B7279">
        <w:t xml:space="preserve"> on</w:t>
      </w:r>
      <w:r w:rsidR="00DC34DB" w:rsidRPr="001B7279">
        <w:t xml:space="preserve"> “</w:t>
      </w:r>
      <w:r w:rsidR="00A03E09" w:rsidRPr="001B7279">
        <w:t>Core budget 2021</w:t>
      </w:r>
      <w:r w:rsidR="00DC34DB" w:rsidRPr="001B7279">
        <w:t>”</w:t>
      </w:r>
      <w:r w:rsidR="00A03E09" w:rsidRPr="001B7279">
        <w:t xml:space="preserve"> of </w:t>
      </w:r>
      <w:r w:rsidR="001B7279" w:rsidRPr="001B7279">
        <w:t>the present</w:t>
      </w:r>
      <w:r w:rsidR="00A03E09" w:rsidRPr="001B7279">
        <w:t xml:space="preserve"> document.</w:t>
      </w:r>
    </w:p>
    <w:p w14:paraId="67D22B17" w14:textId="1B53EC70" w:rsidR="003F3307" w:rsidRDefault="003F3307" w:rsidP="00162710">
      <w:pPr>
        <w:ind w:left="0" w:firstLine="0"/>
      </w:pPr>
    </w:p>
    <w:p w14:paraId="10BCD7EB" w14:textId="1AFCEDA6" w:rsidR="00FF0082" w:rsidRPr="00421152" w:rsidRDefault="00B37DA4" w:rsidP="00162710">
      <w:pPr>
        <w:pStyle w:val="NoSpacing"/>
        <w:keepNext/>
        <w:rPr>
          <w:b/>
        </w:rPr>
      </w:pPr>
      <w:r w:rsidRPr="00421152">
        <w:rPr>
          <w:b/>
        </w:rPr>
        <w:t>20</w:t>
      </w:r>
      <w:r>
        <w:rPr>
          <w:b/>
        </w:rPr>
        <w:t>20</w:t>
      </w:r>
      <w:r w:rsidRPr="00421152">
        <w:rPr>
          <w:b/>
        </w:rPr>
        <w:t xml:space="preserve"> </w:t>
      </w:r>
      <w:r w:rsidR="00FF0082" w:rsidRPr="00421152">
        <w:rPr>
          <w:b/>
        </w:rPr>
        <w:t xml:space="preserve">results: non-core budget and voluntary contributions </w:t>
      </w:r>
    </w:p>
    <w:p w14:paraId="37B40F4A" w14:textId="77777777" w:rsidR="00C73471" w:rsidRPr="00421152" w:rsidRDefault="00C73471" w:rsidP="00162710">
      <w:pPr>
        <w:pStyle w:val="NoSpacing"/>
        <w:keepNext/>
        <w:rPr>
          <w:b/>
        </w:rPr>
      </w:pPr>
    </w:p>
    <w:p w14:paraId="11BB5736" w14:textId="76B6A2E8" w:rsidR="002A1D70" w:rsidRPr="00A154A5" w:rsidRDefault="0097613E" w:rsidP="00464D2B">
      <w:r>
        <w:t>22</w:t>
      </w:r>
      <w:r w:rsidR="00112F62" w:rsidRPr="00421152">
        <w:t>.</w:t>
      </w:r>
      <w:r w:rsidR="00112F62" w:rsidRPr="00421152">
        <w:tab/>
      </w:r>
      <w:r w:rsidR="00D90262">
        <w:t xml:space="preserve">As </w:t>
      </w:r>
      <w:r w:rsidR="001E7E9C">
        <w:t>per</w:t>
      </w:r>
      <w:r w:rsidR="00C467C8">
        <w:t xml:space="preserve"> Annex 1</w:t>
      </w:r>
      <w:r w:rsidR="001E7E9C">
        <w:t>, section II</w:t>
      </w:r>
      <w:r w:rsidR="007646FE">
        <w:t>,</w:t>
      </w:r>
      <w:r w:rsidR="00DE67E9">
        <w:t xml:space="preserve"> </w:t>
      </w:r>
      <w:r w:rsidR="00DE67E9" w:rsidRPr="007646FE">
        <w:rPr>
          <w:i/>
        </w:rPr>
        <w:t>Statement of income and expenditure as of 31 December 2020</w:t>
      </w:r>
      <w:r w:rsidR="002A1D70" w:rsidRPr="00A154A5">
        <w:t>,</w:t>
      </w:r>
      <w:r w:rsidR="008F4B8B">
        <w:t xml:space="preserve"> project income</w:t>
      </w:r>
      <w:r w:rsidR="002A1D70" w:rsidRPr="00A154A5">
        <w:t xml:space="preserve"> </w:t>
      </w:r>
      <w:r w:rsidR="0075376A" w:rsidRPr="00A154A5">
        <w:t xml:space="preserve">of CHF </w:t>
      </w:r>
      <w:r w:rsidR="00DE67E9">
        <w:t>47</w:t>
      </w:r>
      <w:r w:rsidR="00DE67E9" w:rsidRPr="00A154A5">
        <w:t xml:space="preserve">K </w:t>
      </w:r>
      <w:r w:rsidR="002A1D70" w:rsidRPr="00A154A5">
        <w:t>and African voluntary contributions</w:t>
      </w:r>
      <w:r w:rsidR="00301DF1">
        <w:rPr>
          <w:rStyle w:val="FootnoteReference"/>
        </w:rPr>
        <w:footnoteReference w:id="3"/>
      </w:r>
      <w:r w:rsidR="002A1D70" w:rsidRPr="00A154A5">
        <w:t xml:space="preserve"> of CHF </w:t>
      </w:r>
      <w:r w:rsidR="00DE67E9">
        <w:t>1</w:t>
      </w:r>
      <w:r w:rsidR="00FD3719" w:rsidRPr="00A154A5">
        <w:t>2</w:t>
      </w:r>
      <w:r w:rsidR="007B228B" w:rsidRPr="00A154A5">
        <w:t xml:space="preserve">K </w:t>
      </w:r>
      <w:r w:rsidR="0075376A" w:rsidRPr="00A154A5">
        <w:t>were received</w:t>
      </w:r>
      <w:r w:rsidR="001E7E9C" w:rsidRPr="001E7E9C">
        <w:t xml:space="preserve"> </w:t>
      </w:r>
      <w:r w:rsidR="001E7E9C">
        <w:t>in</w:t>
      </w:r>
      <w:r w:rsidR="001E7E9C" w:rsidRPr="00A154A5">
        <w:t xml:space="preserve"> </w:t>
      </w:r>
      <w:r w:rsidR="00DE67E9" w:rsidRPr="00A154A5">
        <w:t>20</w:t>
      </w:r>
      <w:r w:rsidR="00DE67E9">
        <w:t>20</w:t>
      </w:r>
      <w:r w:rsidR="00EF5C9D">
        <w:rPr>
          <w:rStyle w:val="CommentReference"/>
        </w:rPr>
        <w:t>,</w:t>
      </w:r>
      <w:r w:rsidR="002A1D70" w:rsidRPr="00A154A5">
        <w:t xml:space="preserve"> result</w:t>
      </w:r>
      <w:r w:rsidR="00EF5C9D">
        <w:t>ing</w:t>
      </w:r>
      <w:r w:rsidR="002A1D70" w:rsidRPr="00A154A5">
        <w:t xml:space="preserve"> in a total income </w:t>
      </w:r>
      <w:r w:rsidR="007646FE">
        <w:t>from</w:t>
      </w:r>
      <w:r w:rsidR="002A1D70" w:rsidRPr="00A154A5">
        <w:t xml:space="preserve"> non-core </w:t>
      </w:r>
      <w:r w:rsidR="008F4B8B" w:rsidRPr="00A154A5">
        <w:t xml:space="preserve">voluntary contributions </w:t>
      </w:r>
      <w:r w:rsidR="002A1D70" w:rsidRPr="00A154A5">
        <w:t xml:space="preserve">of CHF </w:t>
      </w:r>
      <w:r w:rsidR="00DE67E9">
        <w:t>59</w:t>
      </w:r>
      <w:r w:rsidR="00DE67E9" w:rsidRPr="00A154A5">
        <w:t>K</w:t>
      </w:r>
      <w:r w:rsidR="000C7083">
        <w:t xml:space="preserve"> received in 2019</w:t>
      </w:r>
      <w:r w:rsidR="002A1D70" w:rsidRPr="00A154A5">
        <w:t xml:space="preserve">. </w:t>
      </w:r>
      <w:r w:rsidR="00C467C8" w:rsidRPr="00A154A5">
        <w:t xml:space="preserve">The </w:t>
      </w:r>
      <w:r w:rsidR="001E7E9C">
        <w:t xml:space="preserve">details </w:t>
      </w:r>
      <w:r w:rsidR="00C467C8" w:rsidRPr="00A154A5">
        <w:t xml:space="preserve">of non-core funding as of 31 December </w:t>
      </w:r>
      <w:r w:rsidR="00DE67E9" w:rsidRPr="00A154A5">
        <w:t>20</w:t>
      </w:r>
      <w:r w:rsidR="00DE67E9">
        <w:t>20</w:t>
      </w:r>
      <w:r w:rsidR="00DE67E9" w:rsidRPr="00A154A5">
        <w:t xml:space="preserve"> </w:t>
      </w:r>
      <w:r w:rsidR="00C467C8" w:rsidRPr="00A154A5">
        <w:t xml:space="preserve">can be found in </w:t>
      </w:r>
      <w:r w:rsidR="00C467C8" w:rsidRPr="001B7279">
        <w:t>Annex 3.</w:t>
      </w:r>
    </w:p>
    <w:p w14:paraId="5B0D777A" w14:textId="77777777" w:rsidR="00112F62" w:rsidRPr="00A154A5" w:rsidRDefault="00112F62" w:rsidP="00162710"/>
    <w:p w14:paraId="5FE5937C" w14:textId="1B9F572A" w:rsidR="00066E98" w:rsidRPr="00421152" w:rsidRDefault="0097613E" w:rsidP="003B5828">
      <w:r>
        <w:t>23</w:t>
      </w:r>
      <w:r w:rsidR="00112F62" w:rsidRPr="00A154A5">
        <w:t>.</w:t>
      </w:r>
      <w:r w:rsidR="00112F62" w:rsidRPr="00A154A5">
        <w:tab/>
      </w:r>
      <w:r w:rsidR="0075376A" w:rsidRPr="00A154A5">
        <w:t>The</w:t>
      </w:r>
      <w:r w:rsidR="002A1D70" w:rsidRPr="00A154A5">
        <w:t xml:space="preserve"> voluntary </w:t>
      </w:r>
      <w:r w:rsidR="0075376A" w:rsidRPr="00A154A5">
        <w:t xml:space="preserve">contributions </w:t>
      </w:r>
      <w:r w:rsidR="002A1D70" w:rsidRPr="00A154A5">
        <w:t xml:space="preserve">received in </w:t>
      </w:r>
      <w:r w:rsidR="00DE67E9" w:rsidRPr="00A154A5">
        <w:t>20</w:t>
      </w:r>
      <w:r w:rsidR="00DE67E9">
        <w:t>20</w:t>
      </w:r>
      <w:r w:rsidR="00DE67E9" w:rsidRPr="00A154A5">
        <w:t xml:space="preserve"> </w:t>
      </w:r>
      <w:r w:rsidR="0075376A" w:rsidRPr="00A154A5">
        <w:t xml:space="preserve">are outlined in </w:t>
      </w:r>
      <w:r w:rsidR="003A0924" w:rsidRPr="00A154A5">
        <w:t>T</w:t>
      </w:r>
      <w:r w:rsidR="0075376A" w:rsidRPr="00A154A5">
        <w:t xml:space="preserve">able </w:t>
      </w:r>
      <w:r w:rsidR="00DE67E9">
        <w:t>2</w:t>
      </w:r>
      <w:r w:rsidR="00DE67E9" w:rsidRPr="00A154A5">
        <w:t xml:space="preserve"> </w:t>
      </w:r>
      <w:r w:rsidR="0075376A" w:rsidRPr="00A154A5">
        <w:t>below</w:t>
      </w:r>
      <w:r w:rsidR="002A1D70" w:rsidRPr="00A154A5">
        <w:t>.</w:t>
      </w:r>
      <w:r w:rsidR="00A8663A" w:rsidRPr="00A154A5">
        <w:t xml:space="preserve"> As </w:t>
      </w:r>
      <w:r w:rsidR="003A0924" w:rsidRPr="00A154A5">
        <w:t>instructed by</w:t>
      </w:r>
      <w:r w:rsidR="003A0924">
        <w:t xml:space="preserve"> the Standing Committee through</w:t>
      </w:r>
      <w:r w:rsidR="003A0924" w:rsidRPr="00421152">
        <w:t xml:space="preserve"> </w:t>
      </w:r>
      <w:r w:rsidR="00A8663A" w:rsidRPr="00421152">
        <w:t>D</w:t>
      </w:r>
      <w:r w:rsidR="0075376A" w:rsidRPr="00421152">
        <w:t xml:space="preserve">ecision SC53-32, </w:t>
      </w:r>
      <w:r w:rsidR="009D2CC9">
        <w:t>the table</w:t>
      </w:r>
      <w:r w:rsidR="00213C8C" w:rsidRPr="00421152">
        <w:t xml:space="preserve"> </w:t>
      </w:r>
      <w:r w:rsidR="0075376A" w:rsidRPr="00421152">
        <w:t>provides an overview o</w:t>
      </w:r>
      <w:r w:rsidR="00883712" w:rsidRPr="00421152">
        <w:t>f</w:t>
      </w:r>
      <w:r w:rsidR="0075376A" w:rsidRPr="00421152">
        <w:t xml:space="preserve"> </w:t>
      </w:r>
      <w:r w:rsidR="009D2CC9">
        <w:t>the</w:t>
      </w:r>
      <w:r w:rsidR="009D2CC9" w:rsidRPr="00421152">
        <w:t xml:space="preserve"> </w:t>
      </w:r>
      <w:r w:rsidR="0075376A" w:rsidRPr="00421152">
        <w:lastRenderedPageBreak/>
        <w:t xml:space="preserve">contributions received </w:t>
      </w:r>
      <w:r w:rsidR="007B2601">
        <w:t>and</w:t>
      </w:r>
      <w:r w:rsidR="001032EA" w:rsidRPr="009B44BD">
        <w:t xml:space="preserve"> the</w:t>
      </w:r>
      <w:r w:rsidR="00747E18" w:rsidRPr="009B44BD">
        <w:t>ir designated</w:t>
      </w:r>
      <w:r w:rsidR="001032EA" w:rsidRPr="009B44BD">
        <w:t xml:space="preserve"> use. Reference is made to the priorities for fundraising </w:t>
      </w:r>
      <w:r w:rsidR="003A0924" w:rsidRPr="009B44BD">
        <w:t xml:space="preserve">of the Contracting Parties </w:t>
      </w:r>
      <w:r w:rsidR="001032EA" w:rsidRPr="009B44BD">
        <w:t xml:space="preserve">provided in </w:t>
      </w:r>
      <w:r w:rsidR="0075376A" w:rsidRPr="009B44BD">
        <w:t>Annex 3 of Resolution XII</w:t>
      </w:r>
      <w:r w:rsidR="00747E18" w:rsidRPr="009B44BD">
        <w:t>I</w:t>
      </w:r>
      <w:r w:rsidR="0075376A" w:rsidRPr="009B44BD">
        <w:t>.</w:t>
      </w:r>
      <w:r w:rsidR="00747E18" w:rsidRPr="009B44BD">
        <w:t>2</w:t>
      </w:r>
      <w:r w:rsidR="0075376A" w:rsidRPr="009B44BD">
        <w:t>.</w:t>
      </w:r>
    </w:p>
    <w:p w14:paraId="3B5CB186" w14:textId="77777777" w:rsidR="00DE67E9" w:rsidRDefault="00DE67E9" w:rsidP="009D2CC9">
      <w:pPr>
        <w:pStyle w:val="NoSpacing"/>
        <w:keepNext/>
        <w:ind w:left="0" w:firstLine="0"/>
        <w:rPr>
          <w:rFonts w:eastAsia="Times New Roman" w:cs="Calibri"/>
          <w:i/>
          <w:iCs/>
          <w:lang w:eastAsia="en-GB"/>
        </w:rPr>
      </w:pPr>
    </w:p>
    <w:p w14:paraId="7AD3FD17" w14:textId="1CDF9CA8" w:rsidR="00DA6FAA" w:rsidRDefault="00DA6FAA" w:rsidP="009D2CC9">
      <w:pPr>
        <w:pStyle w:val="NoSpacing"/>
        <w:keepNext/>
        <w:ind w:left="0" w:firstLine="0"/>
        <w:rPr>
          <w:i/>
        </w:rPr>
      </w:pPr>
      <w:r w:rsidRPr="00162710">
        <w:rPr>
          <w:rFonts w:eastAsia="Times New Roman" w:cs="Calibri"/>
          <w:i/>
          <w:iCs/>
          <w:lang w:eastAsia="en-GB"/>
        </w:rPr>
        <w:t xml:space="preserve">Table </w:t>
      </w:r>
      <w:r w:rsidR="00DE67E9">
        <w:rPr>
          <w:rFonts w:eastAsia="Times New Roman" w:cs="Calibri"/>
          <w:i/>
          <w:iCs/>
          <w:lang w:eastAsia="en-GB"/>
        </w:rPr>
        <w:t>2</w:t>
      </w:r>
      <w:r w:rsidRPr="00162710">
        <w:rPr>
          <w:rFonts w:eastAsia="Times New Roman" w:cs="Calibri"/>
          <w:i/>
          <w:iCs/>
          <w:lang w:eastAsia="en-GB"/>
        </w:rPr>
        <w:t xml:space="preserve">: </w:t>
      </w:r>
      <w:r w:rsidR="006B595B">
        <w:rPr>
          <w:rFonts w:eastAsia="Times New Roman" w:cs="Calibri"/>
          <w:i/>
          <w:iCs/>
          <w:lang w:eastAsia="en-GB"/>
        </w:rPr>
        <w:t xml:space="preserve">Project income from </w:t>
      </w:r>
      <w:r w:rsidR="00DE67E9">
        <w:rPr>
          <w:rFonts w:eastAsia="Times New Roman" w:cs="Calibri"/>
          <w:i/>
          <w:iCs/>
          <w:lang w:eastAsia="en-GB"/>
        </w:rPr>
        <w:t>v</w:t>
      </w:r>
      <w:r w:rsidR="00DE67E9" w:rsidRPr="00162710">
        <w:rPr>
          <w:rFonts w:eastAsia="Times New Roman" w:cs="Calibri"/>
          <w:i/>
          <w:iCs/>
          <w:lang w:eastAsia="en-GB"/>
        </w:rPr>
        <w:t xml:space="preserve">oluntary </w:t>
      </w:r>
      <w:r w:rsidRPr="00162710">
        <w:rPr>
          <w:rFonts w:eastAsia="Times New Roman" w:cs="Calibri"/>
          <w:i/>
          <w:iCs/>
          <w:lang w:eastAsia="en-GB"/>
        </w:rPr>
        <w:t xml:space="preserve">non-core contributions received in </w:t>
      </w:r>
      <w:r w:rsidR="00DE67E9" w:rsidRPr="00162710">
        <w:rPr>
          <w:rFonts w:eastAsia="Times New Roman" w:cs="Calibri"/>
          <w:i/>
          <w:iCs/>
          <w:lang w:eastAsia="en-GB"/>
        </w:rPr>
        <w:t>20</w:t>
      </w:r>
      <w:r w:rsidR="00DE67E9">
        <w:rPr>
          <w:rFonts w:eastAsia="Times New Roman" w:cs="Calibri"/>
          <w:i/>
          <w:iCs/>
          <w:lang w:eastAsia="en-GB"/>
        </w:rPr>
        <w:t>20</w:t>
      </w:r>
      <w:r w:rsidR="00DE67E9" w:rsidRPr="00162710">
        <w:rPr>
          <w:rFonts w:eastAsia="Times New Roman" w:cs="Calibri"/>
          <w:i/>
          <w:iCs/>
          <w:lang w:eastAsia="en-GB"/>
        </w:rPr>
        <w:t xml:space="preserve"> </w:t>
      </w:r>
      <w:r w:rsidR="007646FE">
        <w:rPr>
          <w:rFonts w:eastAsia="Times New Roman" w:cs="Calibri"/>
          <w:i/>
          <w:iCs/>
          <w:lang w:eastAsia="en-GB"/>
        </w:rPr>
        <w:br/>
      </w:r>
      <w:r w:rsidRPr="00162710">
        <w:rPr>
          <w:rFonts w:eastAsia="Times New Roman" w:cs="Calibri"/>
          <w:i/>
          <w:iCs/>
          <w:lang w:eastAsia="en-GB"/>
        </w:rPr>
        <w:t xml:space="preserve">(in ‘000 CHF, </w:t>
      </w:r>
      <w:r w:rsidRPr="00162710">
        <w:rPr>
          <w:rFonts w:asciiTheme="minorHAnsi" w:eastAsia="Times New Roman" w:hAnsiTheme="minorHAnsi" w:cs="Arial"/>
          <w:bCs/>
          <w:i/>
          <w:lang w:eastAsia="en-GB"/>
        </w:rPr>
        <w:t>includes possible rounding differences</w:t>
      </w:r>
      <w:r w:rsidRPr="00162710">
        <w:rPr>
          <w:rFonts w:eastAsia="Times New Roman" w:cs="Calibri"/>
          <w:i/>
          <w:iCs/>
          <w:lang w:eastAsia="en-GB"/>
        </w:rPr>
        <w:t>)</w:t>
      </w:r>
    </w:p>
    <w:tbl>
      <w:tblPr>
        <w:tblW w:w="921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544"/>
        <w:gridCol w:w="1559"/>
        <w:gridCol w:w="4111"/>
      </w:tblGrid>
      <w:tr w:rsidR="001F0844" w:rsidRPr="00941F90" w14:paraId="70C72200" w14:textId="77777777" w:rsidTr="007646FE">
        <w:trPr>
          <w:trHeight w:val="244"/>
        </w:trPr>
        <w:tc>
          <w:tcPr>
            <w:tcW w:w="3544" w:type="dxa"/>
            <w:shd w:val="clear" w:color="auto" w:fill="DBE5F1" w:themeFill="accent1" w:themeFillTint="33"/>
            <w:vAlign w:val="center"/>
          </w:tcPr>
          <w:p w14:paraId="55125EF8" w14:textId="44876279" w:rsidR="001F0844" w:rsidRPr="00941F90" w:rsidRDefault="001F0844" w:rsidP="007646FE">
            <w:pPr>
              <w:ind w:left="0" w:firstLine="0"/>
              <w:jc w:val="center"/>
              <w:rPr>
                <w:rFonts w:eastAsia="Times New Roman" w:cs="Calibri"/>
                <w:b/>
                <w:bCs/>
                <w:color w:val="000000"/>
                <w:sz w:val="20"/>
                <w:szCs w:val="20"/>
                <w:lang w:eastAsia="en-GB"/>
              </w:rPr>
            </w:pPr>
            <w:r w:rsidRPr="00941F90">
              <w:rPr>
                <w:rFonts w:eastAsia="Times New Roman" w:cs="Calibri"/>
                <w:b/>
                <w:bCs/>
                <w:color w:val="000000"/>
                <w:sz w:val="20"/>
                <w:szCs w:val="20"/>
                <w:lang w:eastAsia="en-GB"/>
              </w:rPr>
              <w:t>Donor name</w:t>
            </w:r>
          </w:p>
        </w:tc>
        <w:tc>
          <w:tcPr>
            <w:tcW w:w="1559" w:type="dxa"/>
            <w:shd w:val="clear" w:color="auto" w:fill="DBE5F1" w:themeFill="accent1" w:themeFillTint="33"/>
            <w:vAlign w:val="center"/>
          </w:tcPr>
          <w:p w14:paraId="3CD2395E" w14:textId="18D987CA" w:rsidR="001F0844" w:rsidRPr="00941F90" w:rsidRDefault="001F0844" w:rsidP="009D2CC9">
            <w:pPr>
              <w:keepNext/>
              <w:ind w:left="0" w:firstLine="0"/>
              <w:jc w:val="center"/>
              <w:rPr>
                <w:rFonts w:eastAsia="Times New Roman" w:cs="Calibri"/>
                <w:b/>
                <w:bCs/>
                <w:color w:val="000000"/>
                <w:sz w:val="20"/>
                <w:szCs w:val="20"/>
                <w:lang w:eastAsia="en-GB"/>
              </w:rPr>
            </w:pPr>
            <w:r w:rsidRPr="00941F90">
              <w:rPr>
                <w:rFonts w:eastAsia="Times New Roman" w:cs="Calibri"/>
                <w:b/>
                <w:bCs/>
                <w:color w:val="000000"/>
                <w:sz w:val="20"/>
                <w:szCs w:val="20"/>
                <w:lang w:eastAsia="en-GB"/>
              </w:rPr>
              <w:t>Income amount</w:t>
            </w:r>
          </w:p>
        </w:tc>
        <w:tc>
          <w:tcPr>
            <w:tcW w:w="4111" w:type="dxa"/>
            <w:shd w:val="clear" w:color="auto" w:fill="DBE5F1" w:themeFill="accent1" w:themeFillTint="33"/>
            <w:vAlign w:val="center"/>
          </w:tcPr>
          <w:p w14:paraId="67EFACDA" w14:textId="6C3AFCF6" w:rsidR="001F0844" w:rsidRPr="00941F90" w:rsidRDefault="001F0844" w:rsidP="009D2CC9">
            <w:pPr>
              <w:keepNext/>
              <w:ind w:left="0" w:firstLine="0"/>
              <w:jc w:val="center"/>
              <w:rPr>
                <w:rFonts w:eastAsia="Times New Roman" w:cs="Calibri"/>
                <w:b/>
                <w:bCs/>
                <w:color w:val="000000"/>
                <w:sz w:val="20"/>
                <w:szCs w:val="20"/>
                <w:lang w:eastAsia="en-GB"/>
              </w:rPr>
            </w:pPr>
            <w:r w:rsidRPr="00941F90">
              <w:rPr>
                <w:rFonts w:eastAsia="Times New Roman" w:cs="Calibri"/>
                <w:b/>
                <w:bCs/>
                <w:color w:val="000000"/>
                <w:sz w:val="20"/>
                <w:szCs w:val="20"/>
                <w:lang w:eastAsia="en-GB"/>
              </w:rPr>
              <w:t>Description</w:t>
            </w:r>
          </w:p>
        </w:tc>
      </w:tr>
      <w:tr w:rsidR="00032E44" w:rsidRPr="00941F90" w14:paraId="36B7C22F" w14:textId="77777777" w:rsidTr="007646FE">
        <w:tc>
          <w:tcPr>
            <w:tcW w:w="3544" w:type="dxa"/>
            <w:shd w:val="clear" w:color="auto" w:fill="auto"/>
            <w:vAlign w:val="center"/>
            <w:hideMark/>
          </w:tcPr>
          <w:p w14:paraId="53684B49" w14:textId="67E8C85F" w:rsidR="00032E44" w:rsidRPr="00941F90" w:rsidRDefault="003A6DE6" w:rsidP="009D2CC9">
            <w:pPr>
              <w:keepNext/>
              <w:ind w:left="0" w:firstLine="0"/>
              <w:rPr>
                <w:rFonts w:eastAsia="Times New Roman" w:cs="Calibri"/>
                <w:color w:val="000000"/>
                <w:sz w:val="20"/>
                <w:szCs w:val="20"/>
                <w:lang w:eastAsia="en-GB"/>
              </w:rPr>
            </w:pPr>
            <w:r>
              <w:rPr>
                <w:rFonts w:eastAsia="Times New Roman" w:cs="Calibri"/>
                <w:color w:val="000000"/>
                <w:sz w:val="20"/>
                <w:szCs w:val="20"/>
                <w:lang w:eastAsia="en-GB"/>
              </w:rPr>
              <w:t>United States</w:t>
            </w:r>
          </w:p>
        </w:tc>
        <w:tc>
          <w:tcPr>
            <w:tcW w:w="1559" w:type="dxa"/>
            <w:shd w:val="clear" w:color="auto" w:fill="auto"/>
            <w:vAlign w:val="center"/>
            <w:hideMark/>
          </w:tcPr>
          <w:p w14:paraId="631D20D0" w14:textId="685BD281" w:rsidR="00032E44" w:rsidRPr="00941F90" w:rsidRDefault="003A6DE6" w:rsidP="009D2CC9">
            <w:pPr>
              <w:keepNext/>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26</w:t>
            </w:r>
          </w:p>
        </w:tc>
        <w:tc>
          <w:tcPr>
            <w:tcW w:w="4111" w:type="dxa"/>
            <w:shd w:val="clear" w:color="auto" w:fill="auto"/>
            <w:vAlign w:val="center"/>
            <w:hideMark/>
          </w:tcPr>
          <w:p w14:paraId="6F80AE9D" w14:textId="25A79195" w:rsidR="00032E44" w:rsidRPr="00941F90" w:rsidRDefault="003A6DE6" w:rsidP="009D2CC9">
            <w:pPr>
              <w:keepNext/>
              <w:ind w:left="0" w:firstLine="0"/>
              <w:rPr>
                <w:rFonts w:eastAsia="Times New Roman" w:cs="Calibri"/>
                <w:color w:val="000000"/>
                <w:sz w:val="20"/>
                <w:szCs w:val="20"/>
                <w:lang w:eastAsia="en-GB"/>
              </w:rPr>
            </w:pPr>
            <w:r>
              <w:rPr>
                <w:rFonts w:eastAsia="Times New Roman" w:cs="Calibri"/>
                <w:color w:val="000000"/>
                <w:sz w:val="20"/>
                <w:szCs w:val="20"/>
                <w:lang w:eastAsia="en-GB"/>
              </w:rPr>
              <w:t>Wetland</w:t>
            </w:r>
            <w:r w:rsidR="00E012F0">
              <w:rPr>
                <w:rFonts w:eastAsia="Times New Roman" w:cs="Calibri"/>
                <w:color w:val="000000"/>
                <w:sz w:val="20"/>
                <w:szCs w:val="20"/>
                <w:lang w:eastAsia="en-GB"/>
              </w:rPr>
              <w:t>s</w:t>
            </w:r>
            <w:r>
              <w:rPr>
                <w:rFonts w:eastAsia="Times New Roman" w:cs="Calibri"/>
                <w:color w:val="000000"/>
                <w:sz w:val="20"/>
                <w:szCs w:val="20"/>
                <w:lang w:eastAsia="en-GB"/>
              </w:rPr>
              <w:t xml:space="preserve"> for </w:t>
            </w:r>
            <w:r w:rsidR="00E012F0">
              <w:rPr>
                <w:rFonts w:eastAsia="Times New Roman" w:cs="Calibri"/>
                <w:color w:val="000000"/>
                <w:sz w:val="20"/>
                <w:szCs w:val="20"/>
                <w:lang w:eastAsia="en-GB"/>
              </w:rPr>
              <w:t xml:space="preserve">the </w:t>
            </w:r>
            <w:r>
              <w:rPr>
                <w:rFonts w:eastAsia="Times New Roman" w:cs="Calibri"/>
                <w:color w:val="000000"/>
                <w:sz w:val="20"/>
                <w:szCs w:val="20"/>
                <w:lang w:eastAsia="en-GB"/>
              </w:rPr>
              <w:t>Future Fund</w:t>
            </w:r>
          </w:p>
        </w:tc>
      </w:tr>
      <w:tr w:rsidR="00032E44" w:rsidRPr="00941F90" w14:paraId="705D2F0D" w14:textId="77777777" w:rsidTr="007646FE">
        <w:tc>
          <w:tcPr>
            <w:tcW w:w="3544" w:type="dxa"/>
            <w:shd w:val="clear" w:color="auto" w:fill="auto"/>
            <w:vAlign w:val="center"/>
            <w:hideMark/>
          </w:tcPr>
          <w:p w14:paraId="42A1565F" w14:textId="2888B821" w:rsidR="00032E44" w:rsidRPr="00941F90" w:rsidRDefault="003A6DE6" w:rsidP="009D2CC9">
            <w:pPr>
              <w:keepNext/>
              <w:ind w:left="0" w:firstLine="0"/>
              <w:rPr>
                <w:rFonts w:eastAsia="Times New Roman" w:cs="Calibri"/>
                <w:color w:val="000000"/>
                <w:sz w:val="20"/>
                <w:szCs w:val="20"/>
                <w:lang w:eastAsia="en-GB"/>
              </w:rPr>
            </w:pPr>
            <w:r>
              <w:rPr>
                <w:rFonts w:eastAsia="Times New Roman" w:cs="Calibri"/>
                <w:color w:val="000000"/>
                <w:sz w:val="20"/>
                <w:szCs w:val="20"/>
                <w:lang w:eastAsia="en-GB"/>
              </w:rPr>
              <w:t>Norway</w:t>
            </w:r>
          </w:p>
        </w:tc>
        <w:tc>
          <w:tcPr>
            <w:tcW w:w="1559" w:type="dxa"/>
            <w:shd w:val="clear" w:color="auto" w:fill="auto"/>
            <w:vAlign w:val="center"/>
            <w:hideMark/>
          </w:tcPr>
          <w:p w14:paraId="427B576C" w14:textId="200C89E8" w:rsidR="00032E44" w:rsidRPr="00941F90" w:rsidRDefault="003A6DE6" w:rsidP="009D2CC9">
            <w:pPr>
              <w:keepNext/>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16</w:t>
            </w:r>
          </w:p>
        </w:tc>
        <w:tc>
          <w:tcPr>
            <w:tcW w:w="4111" w:type="dxa"/>
            <w:shd w:val="clear" w:color="auto" w:fill="auto"/>
            <w:vAlign w:val="center"/>
            <w:hideMark/>
          </w:tcPr>
          <w:p w14:paraId="10D5AD11" w14:textId="3D391EFD" w:rsidR="00032E44" w:rsidRPr="00941F90" w:rsidRDefault="003A6DE6" w:rsidP="00B31256">
            <w:pPr>
              <w:keepNext/>
              <w:ind w:left="0" w:firstLine="0"/>
              <w:rPr>
                <w:rFonts w:eastAsia="Times New Roman" w:cs="Calibri"/>
                <w:color w:val="000000"/>
                <w:sz w:val="20"/>
                <w:szCs w:val="20"/>
                <w:lang w:eastAsia="en-GB"/>
              </w:rPr>
            </w:pPr>
            <w:r>
              <w:rPr>
                <w:rFonts w:eastAsia="Times New Roman" w:cs="Calibri"/>
                <w:color w:val="000000"/>
                <w:sz w:val="20"/>
                <w:szCs w:val="20"/>
                <w:lang w:eastAsia="en-GB"/>
              </w:rPr>
              <w:t>50th Anniversary</w:t>
            </w:r>
            <w:r w:rsidR="00B31256">
              <w:rPr>
                <w:rFonts w:eastAsia="Times New Roman" w:cs="Calibri"/>
                <w:color w:val="000000"/>
                <w:sz w:val="20"/>
                <w:szCs w:val="20"/>
                <w:lang w:eastAsia="en-GB"/>
              </w:rPr>
              <w:t xml:space="preserve"> and W</w:t>
            </w:r>
            <w:r w:rsidR="007646FE">
              <w:rPr>
                <w:rFonts w:eastAsia="Times New Roman" w:cs="Calibri"/>
                <w:color w:val="000000"/>
                <w:sz w:val="20"/>
                <w:szCs w:val="20"/>
                <w:lang w:eastAsia="en-GB"/>
              </w:rPr>
              <w:t xml:space="preserve">orld </w:t>
            </w:r>
            <w:r w:rsidR="00B31256">
              <w:rPr>
                <w:rFonts w:eastAsia="Times New Roman" w:cs="Calibri"/>
                <w:color w:val="000000"/>
                <w:sz w:val="20"/>
                <w:szCs w:val="20"/>
                <w:lang w:eastAsia="en-GB"/>
              </w:rPr>
              <w:t>W</w:t>
            </w:r>
            <w:r w:rsidR="007646FE">
              <w:rPr>
                <w:rFonts w:eastAsia="Times New Roman" w:cs="Calibri"/>
                <w:color w:val="000000"/>
                <w:sz w:val="20"/>
                <w:szCs w:val="20"/>
                <w:lang w:eastAsia="en-GB"/>
              </w:rPr>
              <w:t xml:space="preserve">etlands </w:t>
            </w:r>
            <w:r w:rsidR="00B31256">
              <w:rPr>
                <w:rFonts w:eastAsia="Times New Roman" w:cs="Calibri"/>
                <w:color w:val="000000"/>
                <w:sz w:val="20"/>
                <w:szCs w:val="20"/>
                <w:lang w:eastAsia="en-GB"/>
              </w:rPr>
              <w:t>D</w:t>
            </w:r>
            <w:r w:rsidR="007646FE">
              <w:rPr>
                <w:rFonts w:eastAsia="Times New Roman" w:cs="Calibri"/>
                <w:color w:val="000000"/>
                <w:sz w:val="20"/>
                <w:szCs w:val="20"/>
                <w:lang w:eastAsia="en-GB"/>
              </w:rPr>
              <w:t>ay</w:t>
            </w:r>
          </w:p>
        </w:tc>
      </w:tr>
      <w:tr w:rsidR="00032E44" w:rsidRPr="00941F90" w14:paraId="0DC29543" w14:textId="77777777" w:rsidTr="007646FE">
        <w:tc>
          <w:tcPr>
            <w:tcW w:w="3544" w:type="dxa"/>
            <w:shd w:val="clear" w:color="auto" w:fill="auto"/>
            <w:vAlign w:val="center"/>
            <w:hideMark/>
          </w:tcPr>
          <w:p w14:paraId="41E309AC" w14:textId="28B59429" w:rsidR="00032E44" w:rsidRPr="00941F90" w:rsidRDefault="003A6DE6" w:rsidP="009D2CC9">
            <w:pPr>
              <w:keepNext/>
              <w:ind w:left="0" w:firstLine="0"/>
              <w:rPr>
                <w:rFonts w:eastAsia="Times New Roman" w:cs="Calibri"/>
                <w:color w:val="000000"/>
                <w:sz w:val="20"/>
                <w:szCs w:val="20"/>
                <w:lang w:eastAsia="en-GB"/>
              </w:rPr>
            </w:pPr>
            <w:r>
              <w:rPr>
                <w:rFonts w:eastAsia="Times New Roman" w:cs="Calibri"/>
                <w:color w:val="000000"/>
                <w:sz w:val="20"/>
                <w:szCs w:val="20"/>
                <w:lang w:eastAsia="en-GB"/>
              </w:rPr>
              <w:t>Norway</w:t>
            </w:r>
          </w:p>
        </w:tc>
        <w:tc>
          <w:tcPr>
            <w:tcW w:w="1559" w:type="dxa"/>
            <w:shd w:val="clear" w:color="auto" w:fill="auto"/>
            <w:vAlign w:val="center"/>
            <w:hideMark/>
          </w:tcPr>
          <w:p w14:paraId="3DF6E061" w14:textId="5901A895" w:rsidR="00032E44" w:rsidRPr="00941F90" w:rsidRDefault="003A6DE6" w:rsidP="009D2CC9">
            <w:pPr>
              <w:keepNext/>
              <w:ind w:left="0" w:firstLine="0"/>
              <w:jc w:val="right"/>
              <w:rPr>
                <w:rFonts w:eastAsia="Times New Roman" w:cs="Calibri"/>
                <w:color w:val="000000"/>
                <w:sz w:val="20"/>
                <w:szCs w:val="20"/>
                <w:lang w:eastAsia="en-GB"/>
              </w:rPr>
            </w:pPr>
            <w:r>
              <w:rPr>
                <w:rFonts w:eastAsia="Times New Roman" w:cs="Calibri"/>
                <w:color w:val="000000"/>
                <w:sz w:val="20"/>
                <w:szCs w:val="20"/>
                <w:lang w:eastAsia="en-GB"/>
              </w:rPr>
              <w:t>5</w:t>
            </w:r>
          </w:p>
        </w:tc>
        <w:tc>
          <w:tcPr>
            <w:tcW w:w="4111" w:type="dxa"/>
            <w:shd w:val="clear" w:color="auto" w:fill="auto"/>
            <w:vAlign w:val="center"/>
            <w:hideMark/>
          </w:tcPr>
          <w:p w14:paraId="430ABB5C" w14:textId="2FAD451B" w:rsidR="00032E44" w:rsidRPr="00941F90" w:rsidRDefault="003A6DE6" w:rsidP="009D2CC9">
            <w:pPr>
              <w:keepNext/>
              <w:ind w:left="0" w:firstLine="0"/>
              <w:rPr>
                <w:rFonts w:eastAsia="Times New Roman" w:cs="Calibri"/>
                <w:color w:val="000000"/>
                <w:sz w:val="20"/>
                <w:szCs w:val="20"/>
                <w:lang w:eastAsia="en-GB"/>
              </w:rPr>
            </w:pPr>
            <w:r>
              <w:rPr>
                <w:rFonts w:eastAsia="Times New Roman" w:cs="Calibri"/>
                <w:color w:val="000000"/>
                <w:sz w:val="20"/>
                <w:szCs w:val="20"/>
                <w:lang w:eastAsia="en-GB"/>
              </w:rPr>
              <w:t>Ramsar Advisory Mission Prespa Lake</w:t>
            </w:r>
          </w:p>
        </w:tc>
      </w:tr>
      <w:tr w:rsidR="00AD6EB6" w:rsidRPr="00941F90" w14:paraId="254869CA" w14:textId="77777777" w:rsidTr="007646FE">
        <w:tc>
          <w:tcPr>
            <w:tcW w:w="3544" w:type="dxa"/>
            <w:shd w:val="clear" w:color="auto" w:fill="DBE5F1" w:themeFill="accent1" w:themeFillTint="33"/>
            <w:vAlign w:val="center"/>
          </w:tcPr>
          <w:p w14:paraId="5A874DBA" w14:textId="341A1CFF" w:rsidR="00AD6EB6" w:rsidRPr="00941F90" w:rsidRDefault="00990677" w:rsidP="006B595B">
            <w:pPr>
              <w:ind w:left="0" w:firstLine="0"/>
              <w:rPr>
                <w:rFonts w:eastAsia="Times New Roman" w:cs="Calibri"/>
                <w:b/>
                <w:sz w:val="20"/>
                <w:szCs w:val="20"/>
                <w:lang w:eastAsia="en-GB"/>
              </w:rPr>
            </w:pPr>
            <w:r w:rsidRPr="00941F90">
              <w:rPr>
                <w:rFonts w:eastAsia="Times New Roman" w:cs="Calibri"/>
                <w:b/>
                <w:sz w:val="20"/>
                <w:szCs w:val="20"/>
                <w:lang w:eastAsia="en-GB"/>
              </w:rPr>
              <w:t xml:space="preserve">Total </w:t>
            </w:r>
            <w:r w:rsidR="006B595B">
              <w:rPr>
                <w:rFonts w:eastAsia="Times New Roman" w:cs="Calibri"/>
                <w:b/>
                <w:sz w:val="20"/>
                <w:szCs w:val="20"/>
                <w:lang w:eastAsia="en-GB"/>
              </w:rPr>
              <w:t>project income</w:t>
            </w:r>
          </w:p>
        </w:tc>
        <w:tc>
          <w:tcPr>
            <w:tcW w:w="1559" w:type="dxa"/>
            <w:shd w:val="clear" w:color="auto" w:fill="DBE5F1" w:themeFill="accent1" w:themeFillTint="33"/>
            <w:vAlign w:val="center"/>
          </w:tcPr>
          <w:p w14:paraId="13BDB842" w14:textId="2540E2A5" w:rsidR="00AD6EB6" w:rsidRPr="00D414B1" w:rsidRDefault="003A6DE6" w:rsidP="003A6DE6">
            <w:pPr>
              <w:ind w:left="0" w:firstLine="0"/>
              <w:jc w:val="right"/>
              <w:rPr>
                <w:rFonts w:eastAsia="Times New Roman" w:cs="Calibri"/>
                <w:b/>
                <w:sz w:val="20"/>
                <w:szCs w:val="20"/>
                <w:lang w:eastAsia="en-GB"/>
              </w:rPr>
            </w:pPr>
            <w:r>
              <w:rPr>
                <w:rFonts w:eastAsia="Times New Roman" w:cs="Calibri"/>
                <w:b/>
                <w:sz w:val="20"/>
                <w:szCs w:val="20"/>
                <w:lang w:eastAsia="en-GB"/>
              </w:rPr>
              <w:t>47</w:t>
            </w:r>
          </w:p>
        </w:tc>
        <w:tc>
          <w:tcPr>
            <w:tcW w:w="4111" w:type="dxa"/>
            <w:shd w:val="clear" w:color="auto" w:fill="DBE5F1" w:themeFill="accent1" w:themeFillTint="33"/>
            <w:vAlign w:val="center"/>
          </w:tcPr>
          <w:p w14:paraId="70526DBA" w14:textId="67D1E81C" w:rsidR="00AD6EB6" w:rsidRPr="00941F90" w:rsidRDefault="00AD6EB6" w:rsidP="00162710">
            <w:pPr>
              <w:ind w:left="0" w:firstLine="0"/>
              <w:rPr>
                <w:rFonts w:eastAsia="Times New Roman" w:cs="Calibri"/>
                <w:color w:val="000000"/>
                <w:sz w:val="20"/>
                <w:szCs w:val="20"/>
                <w:lang w:eastAsia="en-GB"/>
              </w:rPr>
            </w:pPr>
          </w:p>
        </w:tc>
      </w:tr>
    </w:tbl>
    <w:p w14:paraId="3E8C4225" w14:textId="34A0A565" w:rsidR="003B5828" w:rsidRDefault="003B5828" w:rsidP="00BB5F26">
      <w:pPr>
        <w:ind w:left="0" w:firstLine="0"/>
        <w:rPr>
          <w:highlight w:val="yellow"/>
        </w:rPr>
      </w:pPr>
    </w:p>
    <w:p w14:paraId="060CB0BC" w14:textId="77777777" w:rsidR="00BB5F26" w:rsidRDefault="00BB5F26" w:rsidP="00162710">
      <w:pPr>
        <w:rPr>
          <w:highlight w:val="yellow"/>
        </w:rPr>
      </w:pPr>
    </w:p>
    <w:p w14:paraId="72F45958" w14:textId="4ADFA51F" w:rsidR="003B5828" w:rsidRPr="00DB52BE" w:rsidRDefault="0097613E" w:rsidP="00162710">
      <w:r>
        <w:t>24</w:t>
      </w:r>
      <w:r w:rsidR="00051ADC">
        <w:t>.</w:t>
      </w:r>
      <w:r w:rsidR="005E525C">
        <w:t xml:space="preserve"> </w:t>
      </w:r>
      <w:r w:rsidR="005E525C">
        <w:tab/>
      </w:r>
      <w:r w:rsidR="003B5828" w:rsidRPr="00DB52BE">
        <w:t>The</w:t>
      </w:r>
      <w:r w:rsidR="006E2F73">
        <w:t>re was a</w:t>
      </w:r>
      <w:r w:rsidR="003B5828" w:rsidRPr="00DB52BE">
        <w:t xml:space="preserve"> decrease of voluntary non-core contributions compar</w:t>
      </w:r>
      <w:r w:rsidR="00210A8F" w:rsidRPr="00DB52BE">
        <w:t>ed</w:t>
      </w:r>
      <w:r w:rsidR="006E2F73">
        <w:t xml:space="preserve"> to 2019</w:t>
      </w:r>
      <w:r w:rsidR="00EB1034">
        <w:t xml:space="preserve"> (contributions amounted to CHF 379K)</w:t>
      </w:r>
      <w:r w:rsidR="006E2F73">
        <w:t xml:space="preserve"> and prior years, </w:t>
      </w:r>
      <w:r w:rsidR="003B5828" w:rsidRPr="00DB52BE">
        <w:t xml:space="preserve">largely </w:t>
      </w:r>
      <w:r w:rsidR="000C2336" w:rsidRPr="00DB52BE">
        <w:t>due</w:t>
      </w:r>
      <w:r w:rsidR="003B5828" w:rsidRPr="00DB52BE">
        <w:t xml:space="preserve"> </w:t>
      </w:r>
      <w:r w:rsidR="000C2336" w:rsidRPr="00DB52BE">
        <w:t>to</w:t>
      </w:r>
      <w:r w:rsidR="00210A8F" w:rsidRPr="00DB52BE">
        <w:t xml:space="preserve"> the</w:t>
      </w:r>
      <w:r w:rsidR="000C2336" w:rsidRPr="00DB52BE">
        <w:t xml:space="preserve"> unprecedented </w:t>
      </w:r>
      <w:r w:rsidR="003B5828" w:rsidRPr="00DB52BE">
        <w:t>COVID-19 pandemic outbreak</w:t>
      </w:r>
      <w:r w:rsidR="000C2336" w:rsidRPr="00DB52BE">
        <w:t xml:space="preserve">, </w:t>
      </w:r>
      <w:r w:rsidR="00051ADC">
        <w:t>which led to</w:t>
      </w:r>
      <w:r w:rsidR="000C2336" w:rsidRPr="00DB52BE">
        <w:t xml:space="preserve"> </w:t>
      </w:r>
      <w:r w:rsidR="00E012F0" w:rsidRPr="00DB52BE">
        <w:t xml:space="preserve">the </w:t>
      </w:r>
      <w:r w:rsidR="000C2336" w:rsidRPr="00DB52BE">
        <w:t>postponement of</w:t>
      </w:r>
      <w:r w:rsidR="00210A8F" w:rsidRPr="00DB52BE">
        <w:t xml:space="preserve"> some</w:t>
      </w:r>
      <w:r w:rsidR="000C2336" w:rsidRPr="00DB52BE">
        <w:t xml:space="preserve"> activities, such as Ramsar Advisory Missions, implementation of projects, travel and </w:t>
      </w:r>
      <w:r w:rsidR="00E474AC" w:rsidRPr="00DB52BE">
        <w:t>meetings</w:t>
      </w:r>
      <w:r w:rsidR="00E012F0" w:rsidRPr="00DB52BE">
        <w:t>,</w:t>
      </w:r>
      <w:r w:rsidR="00E474AC" w:rsidRPr="00DB52BE">
        <w:t xml:space="preserve"> </w:t>
      </w:r>
      <w:r w:rsidR="00051ADC">
        <w:t xml:space="preserve">and </w:t>
      </w:r>
      <w:r w:rsidR="00EB1034">
        <w:t>thus</w:t>
      </w:r>
      <w:r w:rsidR="00051ADC">
        <w:t xml:space="preserve"> caused</w:t>
      </w:r>
      <w:r w:rsidR="00E474AC" w:rsidRPr="00DB52BE">
        <w:t xml:space="preserve"> </w:t>
      </w:r>
      <w:r w:rsidR="00E012F0" w:rsidRPr="00DB52BE">
        <w:t>a</w:t>
      </w:r>
      <w:r w:rsidR="00E474AC" w:rsidRPr="00DB52BE">
        <w:t xml:space="preserve"> decrease in expenditure </w:t>
      </w:r>
      <w:r w:rsidR="007831D2" w:rsidRPr="00DB52BE">
        <w:t>and a</w:t>
      </w:r>
      <w:r w:rsidR="009C5380" w:rsidRPr="00DB52BE">
        <w:t xml:space="preserve">n </w:t>
      </w:r>
      <w:r w:rsidR="00E474AC" w:rsidRPr="00DB52BE">
        <w:t>impact</w:t>
      </w:r>
      <w:r w:rsidR="009C5380" w:rsidRPr="00DB52BE">
        <w:t xml:space="preserve"> </w:t>
      </w:r>
      <w:r w:rsidR="00E012F0" w:rsidRPr="00DB52BE">
        <w:t>on</w:t>
      </w:r>
      <w:r w:rsidR="00E474AC" w:rsidRPr="00DB52BE">
        <w:t xml:space="preserve"> fundraising.</w:t>
      </w:r>
      <w:r w:rsidR="006D3531" w:rsidRPr="00DB52BE">
        <w:t xml:space="preserve"> </w:t>
      </w:r>
    </w:p>
    <w:p w14:paraId="662F79F3" w14:textId="77777777" w:rsidR="003B5828" w:rsidRPr="00DB52BE" w:rsidRDefault="003B5828" w:rsidP="00162710"/>
    <w:p w14:paraId="636EF308" w14:textId="00CE7F51" w:rsidR="00210A8F" w:rsidRDefault="0097613E" w:rsidP="00051ADC">
      <w:r>
        <w:t>25</w:t>
      </w:r>
      <w:r w:rsidR="00B10EA9" w:rsidRPr="00DB52BE">
        <w:t>.</w:t>
      </w:r>
      <w:r w:rsidR="00B10EA9" w:rsidRPr="00DB52BE">
        <w:tab/>
      </w:r>
      <w:r w:rsidR="00E474AC" w:rsidRPr="00DB52BE">
        <w:t xml:space="preserve">The partnership agreement with Danone concluded </w:t>
      </w:r>
      <w:r w:rsidR="00E012F0" w:rsidRPr="00DB52BE">
        <w:t xml:space="preserve">at the </w:t>
      </w:r>
      <w:r w:rsidR="00E474AC" w:rsidRPr="00DB52BE">
        <w:t>end of 2020.</w:t>
      </w:r>
      <w:r w:rsidR="000F688E" w:rsidRPr="00DB52BE">
        <w:t xml:space="preserve"> </w:t>
      </w:r>
      <w:r w:rsidR="007831D2" w:rsidRPr="00DB52BE">
        <w:t>Future</w:t>
      </w:r>
      <w:r w:rsidR="000F688E" w:rsidRPr="00DB52BE">
        <w:t xml:space="preserve"> financial support from Danone is </w:t>
      </w:r>
      <w:r w:rsidR="00E012F0" w:rsidRPr="00DB52BE">
        <w:t>uncertain</w:t>
      </w:r>
      <w:r w:rsidR="000F688E" w:rsidRPr="00DB52BE">
        <w:t xml:space="preserve"> given the COVID-19</w:t>
      </w:r>
      <w:r w:rsidR="00E012F0" w:rsidRPr="00DB52BE">
        <w:t>-related</w:t>
      </w:r>
      <w:r w:rsidR="000F688E" w:rsidRPr="00DB52BE">
        <w:t xml:space="preserve"> financial challenges the firm is experiencing and shifting priorities as the firm adapts to a new operating environment.</w:t>
      </w:r>
      <w:r w:rsidR="007831D2" w:rsidRPr="00DB52BE">
        <w:t xml:space="preserve"> </w:t>
      </w:r>
      <w:r w:rsidR="00051ADC">
        <w:t xml:space="preserve">The </w:t>
      </w:r>
      <w:r w:rsidR="007831D2" w:rsidRPr="00DB52BE">
        <w:t>Secretariat is currently conducting discussions in this regard.</w:t>
      </w:r>
      <w:r w:rsidR="00051ADC">
        <w:t xml:space="preserve"> </w:t>
      </w:r>
      <w:r w:rsidR="00C2327D">
        <w:t>Also i</w:t>
      </w:r>
      <w:r w:rsidR="00210A8F" w:rsidRPr="00DB52BE">
        <w:t>n 2020</w:t>
      </w:r>
      <w:r w:rsidR="00C2327D">
        <w:t>,</w:t>
      </w:r>
      <w:r w:rsidR="00210A8F" w:rsidRPr="00DB52BE">
        <w:t xml:space="preserve"> </w:t>
      </w:r>
      <w:r w:rsidR="00E012F0" w:rsidRPr="00DB52BE">
        <w:t>the Secretariat and Germany (represented by the Federal Ministry for the Environment, Nature Conservation and Nuclear Safety)</w:t>
      </w:r>
      <w:r w:rsidR="00615A5C">
        <w:t xml:space="preserve"> </w:t>
      </w:r>
      <w:r w:rsidR="00E012F0" w:rsidRPr="00DB52BE">
        <w:t>signed a</w:t>
      </w:r>
      <w:r w:rsidR="00210A8F" w:rsidRPr="00DB52BE">
        <w:t xml:space="preserve"> </w:t>
      </w:r>
      <w:r w:rsidR="000F688E" w:rsidRPr="00DB52BE">
        <w:t xml:space="preserve">grant </w:t>
      </w:r>
      <w:r w:rsidR="00210A8F" w:rsidRPr="00DB52BE">
        <w:t>agreement</w:t>
      </w:r>
      <w:r w:rsidR="00210A8F" w:rsidRPr="000F466E">
        <w:t xml:space="preserve"> </w:t>
      </w:r>
      <w:r w:rsidR="000F688E">
        <w:t>for</w:t>
      </w:r>
      <w:r w:rsidR="00E012F0">
        <w:t xml:space="preserve"> the</w:t>
      </w:r>
      <w:r w:rsidR="000F688E">
        <w:t xml:space="preserve"> project “</w:t>
      </w:r>
      <w:r w:rsidR="000F688E" w:rsidRPr="000F466E">
        <w:t xml:space="preserve">Wise use of Caribbean Wetlands for Climate Change Mitigation and Conservation of </w:t>
      </w:r>
      <w:r w:rsidR="000F688E">
        <w:t>their Ecosystem Services</w:t>
      </w:r>
      <w:r w:rsidR="00E012F0">
        <w:t>”</w:t>
      </w:r>
      <w:r w:rsidR="00210A8F" w:rsidRPr="000F466E">
        <w:t xml:space="preserve"> </w:t>
      </w:r>
      <w:r w:rsidR="00210A8F">
        <w:t xml:space="preserve">for </w:t>
      </w:r>
      <w:r w:rsidR="00E012F0">
        <w:t>th</w:t>
      </w:r>
      <w:r w:rsidR="00DB52BE">
        <w:t>e</w:t>
      </w:r>
      <w:r w:rsidR="00E012F0">
        <w:t xml:space="preserve"> </w:t>
      </w:r>
      <w:r w:rsidR="00210A8F">
        <w:t xml:space="preserve">period between </w:t>
      </w:r>
      <w:r w:rsidR="000F688E">
        <w:t>2020</w:t>
      </w:r>
      <w:r w:rsidR="00E012F0">
        <w:t xml:space="preserve"> and </w:t>
      </w:r>
      <w:r w:rsidR="000F688E" w:rsidRPr="00DB52BE">
        <w:t>2024</w:t>
      </w:r>
      <w:r w:rsidR="00210A8F" w:rsidRPr="00DB52BE">
        <w:t>.</w:t>
      </w:r>
    </w:p>
    <w:p w14:paraId="4D3DF714" w14:textId="77777777" w:rsidR="00E012F0" w:rsidRDefault="00E012F0" w:rsidP="00210A8F">
      <w:pPr>
        <w:ind w:firstLine="0"/>
      </w:pPr>
    </w:p>
    <w:p w14:paraId="220050C7" w14:textId="0CF6ECDE" w:rsidR="009F6F1D" w:rsidRPr="00DB52BE" w:rsidRDefault="0097613E" w:rsidP="006E2F73">
      <w:r>
        <w:t>26</w:t>
      </w:r>
      <w:r w:rsidR="00B10EA9" w:rsidRPr="00421152">
        <w:t>.</w:t>
      </w:r>
      <w:r w:rsidR="006114F4">
        <w:tab/>
      </w:r>
      <w:r w:rsidR="00FC5AAA">
        <w:t xml:space="preserve">Contracting </w:t>
      </w:r>
      <w:r w:rsidR="008B157F" w:rsidRPr="00421152">
        <w:t xml:space="preserve">Parties and other </w:t>
      </w:r>
      <w:r w:rsidR="00FC5AAA">
        <w:t>potential donors</w:t>
      </w:r>
      <w:r w:rsidR="00FC5AAA" w:rsidRPr="00421152">
        <w:t xml:space="preserve"> </w:t>
      </w:r>
      <w:r w:rsidR="00D414B1">
        <w:t xml:space="preserve">have been approached </w:t>
      </w:r>
      <w:r w:rsidR="008B157F" w:rsidRPr="00421152">
        <w:t>regarding funding of</w:t>
      </w:r>
      <w:r w:rsidR="00E215B3" w:rsidRPr="00421152">
        <w:t xml:space="preserve"> </w:t>
      </w:r>
      <w:r w:rsidR="003D1E05" w:rsidRPr="00421152">
        <w:t>other</w:t>
      </w:r>
      <w:r w:rsidR="00E91F83" w:rsidRPr="00421152">
        <w:t xml:space="preserve"> </w:t>
      </w:r>
      <w:r w:rsidR="008B157F" w:rsidRPr="00421152">
        <w:t xml:space="preserve">budgeted non-core priority items identified in </w:t>
      </w:r>
      <w:r w:rsidR="00D414B1" w:rsidRPr="00421152">
        <w:t>Annex 3</w:t>
      </w:r>
      <w:r w:rsidR="00D414B1">
        <w:t xml:space="preserve"> of </w:t>
      </w:r>
      <w:r w:rsidR="008B157F" w:rsidRPr="00421152">
        <w:t xml:space="preserve">Resolution XIII.2. </w:t>
      </w:r>
      <w:r w:rsidR="00364316">
        <w:t>A m</w:t>
      </w:r>
      <w:r w:rsidR="003D5354">
        <w:t xml:space="preserve">ain priority in this regard for </w:t>
      </w:r>
      <w:r w:rsidR="00364316">
        <w:t>P</w:t>
      </w:r>
      <w:r w:rsidR="00A47386">
        <w:t>a</w:t>
      </w:r>
      <w:r w:rsidR="003D5354">
        <w:t xml:space="preserve">rties to be aware </w:t>
      </w:r>
      <w:r w:rsidR="00364316">
        <w:t xml:space="preserve">of </w:t>
      </w:r>
      <w:r w:rsidR="003D5354">
        <w:t>in 202</w:t>
      </w:r>
      <w:r w:rsidR="00C81805">
        <w:t xml:space="preserve">1 </w:t>
      </w:r>
      <w:r w:rsidR="003D5354">
        <w:t xml:space="preserve">is funding for </w:t>
      </w:r>
      <w:r w:rsidR="00B47A2B">
        <w:t>COP14</w:t>
      </w:r>
      <w:r w:rsidR="003D5354">
        <w:t xml:space="preserve">, </w:t>
      </w:r>
      <w:r w:rsidR="00B47A2B">
        <w:t>especially</w:t>
      </w:r>
      <w:r w:rsidR="003D5354">
        <w:t xml:space="preserve"> for </w:t>
      </w:r>
      <w:r w:rsidR="00C2327D">
        <w:t xml:space="preserve">the participation of </w:t>
      </w:r>
      <w:r w:rsidR="00364316">
        <w:t>sponsored</w:t>
      </w:r>
      <w:r w:rsidR="003D5354">
        <w:t xml:space="preserve"> delegates. </w:t>
      </w:r>
      <w:r w:rsidR="00B47A2B" w:rsidRPr="006D6A50">
        <w:t>The</w:t>
      </w:r>
      <w:r w:rsidR="003D5354" w:rsidRPr="006D6A50">
        <w:t xml:space="preserve"> Secre</w:t>
      </w:r>
      <w:r w:rsidR="00B47A2B" w:rsidRPr="006D6A50">
        <w:t>tariat</w:t>
      </w:r>
      <w:r w:rsidR="003D5354" w:rsidRPr="006D6A50">
        <w:t xml:space="preserve"> would </w:t>
      </w:r>
      <w:r w:rsidR="00364316">
        <w:t xml:space="preserve">welcome guidance from Parties on </w:t>
      </w:r>
      <w:r w:rsidR="00B47A2B" w:rsidRPr="006D6A50">
        <w:t>potential</w:t>
      </w:r>
      <w:r w:rsidR="003D5354" w:rsidRPr="006D6A50">
        <w:t xml:space="preserve"> donor</w:t>
      </w:r>
      <w:r w:rsidR="00B47A2B" w:rsidRPr="006D6A50">
        <w:t>s</w:t>
      </w:r>
      <w:r w:rsidR="003D5354" w:rsidRPr="006D6A50">
        <w:t xml:space="preserve"> </w:t>
      </w:r>
      <w:r w:rsidR="00714E11">
        <w:t xml:space="preserve">to </w:t>
      </w:r>
      <w:r w:rsidR="00DB10A8">
        <w:t xml:space="preserve">cover travel costs to </w:t>
      </w:r>
      <w:r w:rsidR="00714E11">
        <w:t xml:space="preserve">ensure participation of </w:t>
      </w:r>
      <w:r w:rsidR="00714E11" w:rsidRPr="008A35E8">
        <w:t>all Contracting Parties at</w:t>
      </w:r>
      <w:r w:rsidR="003D5354" w:rsidRPr="008A35E8">
        <w:t xml:space="preserve"> COP</w:t>
      </w:r>
      <w:r w:rsidR="00B47A2B" w:rsidRPr="008A35E8">
        <w:t>14</w:t>
      </w:r>
      <w:r w:rsidR="003D5354" w:rsidRPr="008A35E8">
        <w:t>.</w:t>
      </w:r>
      <w:r w:rsidR="006E2F73">
        <w:t xml:space="preserve"> </w:t>
      </w:r>
      <w:r w:rsidR="009F6F1D" w:rsidRPr="00DB52BE">
        <w:t xml:space="preserve">The Secretariat </w:t>
      </w:r>
      <w:r w:rsidR="006B6F03">
        <w:t xml:space="preserve">has </w:t>
      </w:r>
      <w:r w:rsidR="009F6F1D" w:rsidRPr="00DB52BE">
        <w:t>provide</w:t>
      </w:r>
      <w:r w:rsidR="001E359B">
        <w:t>d</w:t>
      </w:r>
      <w:r w:rsidR="009F6F1D" w:rsidRPr="00DB52BE">
        <w:t xml:space="preserve"> estimates for funding </w:t>
      </w:r>
      <w:r w:rsidR="001E359B">
        <w:t>in paragraph 43 below</w:t>
      </w:r>
      <w:r w:rsidR="001E359B" w:rsidRPr="00DB52BE">
        <w:t xml:space="preserve"> </w:t>
      </w:r>
      <w:r w:rsidR="009F6F1D" w:rsidRPr="00DB52BE">
        <w:t xml:space="preserve">and will do its best to mobilize resources to support sponsored delegates to participate in the meeting. The Secretariat believes that it is important to identify contingency options to ensure that all Parties can </w:t>
      </w:r>
      <w:r w:rsidR="003060F6">
        <w:t>take part</w:t>
      </w:r>
      <w:r w:rsidR="003060F6" w:rsidRPr="00DB52BE">
        <w:t xml:space="preserve"> </w:t>
      </w:r>
      <w:r w:rsidR="006B6F03">
        <w:t>in</w:t>
      </w:r>
      <w:r w:rsidR="009F6F1D" w:rsidRPr="00DB52BE">
        <w:t xml:space="preserve"> COP14. </w:t>
      </w:r>
    </w:p>
    <w:p w14:paraId="5F647CBA" w14:textId="2D11DDD6" w:rsidR="008267C6" w:rsidRDefault="008267C6" w:rsidP="009F6F1D">
      <w:pPr>
        <w:ind w:firstLine="0"/>
      </w:pPr>
    </w:p>
    <w:p w14:paraId="1B88E9AD" w14:textId="77E9BB17" w:rsidR="008267C6" w:rsidRDefault="0097613E" w:rsidP="006E2F73">
      <w:r>
        <w:t>27</w:t>
      </w:r>
      <w:r w:rsidR="006E2F73">
        <w:t>.</w:t>
      </w:r>
      <w:r w:rsidR="006E2F73">
        <w:tab/>
      </w:r>
      <w:r w:rsidR="008267C6">
        <w:t>As instructed in Decision SC57-51, the Secretariat has taken action to phase out the Small Grants Fund programme by allocating a first tranche of funding to the four projects approved in this decision. The second and final tranche will be disbursed in 2021 upon receipt and satisfactory review of the final project reports.</w:t>
      </w:r>
    </w:p>
    <w:p w14:paraId="5A4F0029" w14:textId="77777777" w:rsidR="006B6F03" w:rsidRDefault="006B6F03" w:rsidP="006E2F73"/>
    <w:p w14:paraId="49AC15B8" w14:textId="1B7C4E18" w:rsidR="007768A1" w:rsidRDefault="0097613E" w:rsidP="00162710">
      <w:r>
        <w:t>28</w:t>
      </w:r>
      <w:r w:rsidR="00B10EA9" w:rsidRPr="00421152">
        <w:t>.</w:t>
      </w:r>
      <w:r w:rsidR="00B10EA9" w:rsidRPr="00421152">
        <w:tab/>
      </w:r>
      <w:r w:rsidR="0075376A" w:rsidRPr="00421152">
        <w:t xml:space="preserve">The Secretariat would like to express its sincere appreciation to Contracting Parties and donors for </w:t>
      </w:r>
      <w:r w:rsidR="00D414B1">
        <w:t xml:space="preserve">their </w:t>
      </w:r>
      <w:r w:rsidR="0075376A" w:rsidRPr="00421152">
        <w:t>voluntary contributions to non-core activities of the Convention.</w:t>
      </w:r>
    </w:p>
    <w:p w14:paraId="2C01C7D5" w14:textId="4F040893" w:rsidR="007768A1" w:rsidRDefault="007768A1" w:rsidP="00464D2B">
      <w:pPr>
        <w:pStyle w:val="NoSpacing"/>
        <w:rPr>
          <w:b/>
        </w:rPr>
      </w:pPr>
    </w:p>
    <w:p w14:paraId="5C5D0DAF" w14:textId="77777777" w:rsidR="0075376A" w:rsidRPr="00421152" w:rsidRDefault="0075376A" w:rsidP="00043287">
      <w:pPr>
        <w:pStyle w:val="NoSpacing"/>
        <w:keepNext/>
        <w:rPr>
          <w:i/>
        </w:rPr>
      </w:pPr>
      <w:r w:rsidRPr="00421152">
        <w:rPr>
          <w:i/>
        </w:rPr>
        <w:t>African voluntary contributions</w:t>
      </w:r>
    </w:p>
    <w:p w14:paraId="78E2E3CA" w14:textId="77777777" w:rsidR="00A42238" w:rsidRPr="00464D2B" w:rsidRDefault="00A42238" w:rsidP="00043287">
      <w:pPr>
        <w:pStyle w:val="NoSpacing"/>
        <w:keepNext/>
        <w:rPr>
          <w:b/>
        </w:rPr>
      </w:pPr>
    </w:p>
    <w:p w14:paraId="0ADA0EFC" w14:textId="0ACCB11C" w:rsidR="00D87A0A" w:rsidRDefault="0097613E" w:rsidP="00162710">
      <w:r>
        <w:t>29</w:t>
      </w:r>
      <w:r w:rsidR="00B10EA9" w:rsidRPr="00421152">
        <w:t>.</w:t>
      </w:r>
      <w:r w:rsidR="00B10EA9" w:rsidRPr="00421152">
        <w:tab/>
      </w:r>
      <w:r w:rsidR="00D87A0A">
        <w:t xml:space="preserve">In </w:t>
      </w:r>
      <w:r w:rsidR="00C81805">
        <w:t>2020</w:t>
      </w:r>
      <w:r w:rsidR="00714E11">
        <w:t>,</w:t>
      </w:r>
      <w:r w:rsidR="00D87A0A">
        <w:t xml:space="preserve"> </w:t>
      </w:r>
      <w:r w:rsidR="00714E11">
        <w:t xml:space="preserve">a </w:t>
      </w:r>
      <w:r w:rsidR="00D87A0A">
        <w:t>n</w:t>
      </w:r>
      <w:r w:rsidR="00D87A0A" w:rsidRPr="00942026">
        <w:t xml:space="preserve">et </w:t>
      </w:r>
      <w:r w:rsidR="007C47AE" w:rsidRPr="00942026">
        <w:t xml:space="preserve">voluntary </w:t>
      </w:r>
      <w:r w:rsidR="0075376A" w:rsidRPr="00942026">
        <w:t xml:space="preserve">contribution of CHF </w:t>
      </w:r>
      <w:r w:rsidR="001B3385">
        <w:t>1</w:t>
      </w:r>
      <w:r w:rsidR="004D0395" w:rsidRPr="00942026">
        <w:t>2</w:t>
      </w:r>
      <w:r w:rsidR="00895280" w:rsidRPr="00942026">
        <w:t xml:space="preserve">K was </w:t>
      </w:r>
      <w:r w:rsidR="0075376A" w:rsidRPr="00942026">
        <w:t>r</w:t>
      </w:r>
      <w:r w:rsidR="00880FB8" w:rsidRPr="00942026">
        <w:t>eceived</w:t>
      </w:r>
      <w:r w:rsidR="0075376A" w:rsidRPr="00942026">
        <w:t xml:space="preserve"> from Contracting Parties in the Africa region</w:t>
      </w:r>
      <w:r w:rsidR="00B00E07" w:rsidRPr="00942026">
        <w:t>.</w:t>
      </w:r>
      <w:r w:rsidR="00E91F83" w:rsidRPr="00942026">
        <w:t xml:space="preserve"> </w:t>
      </w:r>
    </w:p>
    <w:p w14:paraId="25738155" w14:textId="77777777" w:rsidR="00D87A0A" w:rsidRDefault="00D87A0A" w:rsidP="00162710"/>
    <w:p w14:paraId="652EAC20" w14:textId="69B33019" w:rsidR="008D2D48" w:rsidRPr="00340E62" w:rsidRDefault="0097613E" w:rsidP="005213B0">
      <w:r>
        <w:lastRenderedPageBreak/>
        <w:t>30</w:t>
      </w:r>
      <w:r w:rsidR="00DA6FAA">
        <w:t>.</w:t>
      </w:r>
      <w:r w:rsidR="00DA6FAA">
        <w:tab/>
      </w:r>
      <w:r w:rsidR="00043287">
        <w:t>In accordance with</w:t>
      </w:r>
      <w:r w:rsidR="008D2D48">
        <w:t xml:space="preserve"> Decision SC58-16</w:t>
      </w:r>
      <w:r w:rsidR="00043287">
        <w:t>,</w:t>
      </w:r>
      <w:r w:rsidR="00EB1034">
        <w:t xml:space="preserve"> and on the basis of the balance of contributions reviewed by the Standing </w:t>
      </w:r>
      <w:r w:rsidR="00EB1034" w:rsidRPr="00114DCB">
        <w:t xml:space="preserve">Committee as of </w:t>
      </w:r>
      <w:r w:rsidR="00114DCB">
        <w:t xml:space="preserve">the </w:t>
      </w:r>
      <w:r w:rsidR="00EB1034" w:rsidRPr="00114DCB">
        <w:t>end of 201</w:t>
      </w:r>
      <w:r w:rsidR="00710E87" w:rsidRPr="00114DCB">
        <w:t>8</w:t>
      </w:r>
      <w:r w:rsidR="00EB1034" w:rsidRPr="00114DCB">
        <w:t>,</w:t>
      </w:r>
      <w:r w:rsidR="008D2D48" w:rsidRPr="00114DCB">
        <w:t xml:space="preserve"> the </w:t>
      </w:r>
      <w:r w:rsidR="00E8249B" w:rsidRPr="00114DCB">
        <w:t xml:space="preserve">Secretariat contracted funds </w:t>
      </w:r>
      <w:r w:rsidR="002F74F9" w:rsidRPr="00114DCB">
        <w:t xml:space="preserve">totalling CHF 91K </w:t>
      </w:r>
      <w:r w:rsidR="008D2D48" w:rsidRPr="00114DCB">
        <w:t>allocat</w:t>
      </w:r>
      <w:r w:rsidR="008267C6" w:rsidRPr="00114DCB">
        <w:t>ed</w:t>
      </w:r>
      <w:r w:rsidR="008D2D48" w:rsidRPr="00114DCB">
        <w:t xml:space="preserve"> to Ramsar Regional Initiatives in Africa as follows</w:t>
      </w:r>
      <w:r w:rsidR="008D2D48">
        <w:t xml:space="preserve">: CHF 30,333 each for </w:t>
      </w:r>
      <w:r w:rsidR="002F74F9">
        <w:t xml:space="preserve">the </w:t>
      </w:r>
      <w:r w:rsidR="002F74F9" w:rsidRPr="002F74F9">
        <w:t>Ramsar Centre for Eastern Africa (RAMCEA)</w:t>
      </w:r>
      <w:r w:rsidR="008D2D48">
        <w:t xml:space="preserve">, </w:t>
      </w:r>
      <w:r w:rsidR="002F74F9">
        <w:t>the Ramsar Regional Initiative for West African Coastal Zone Wetlands (WaCoWet)</w:t>
      </w:r>
      <w:r w:rsidR="008D2D48">
        <w:t xml:space="preserve"> and </w:t>
      </w:r>
      <w:r w:rsidR="002F74F9">
        <w:t xml:space="preserve">the Ramsar Regional Initiative for the Niger River Basin </w:t>
      </w:r>
      <w:r w:rsidR="002F74F9" w:rsidRPr="00340E62">
        <w:t>(NigerWet)</w:t>
      </w:r>
      <w:r w:rsidR="008D2D48" w:rsidRPr="00340E62">
        <w:t>.</w:t>
      </w:r>
    </w:p>
    <w:p w14:paraId="7CFDA1F5" w14:textId="286A14BB" w:rsidR="008D2D48" w:rsidRPr="00340E62" w:rsidRDefault="008D2D48" w:rsidP="00DA6FAA"/>
    <w:p w14:paraId="3D077DFF" w14:textId="1A492060" w:rsidR="00613E01" w:rsidRPr="00340E62" w:rsidRDefault="0097613E" w:rsidP="005213B0">
      <w:r w:rsidRPr="00340E62">
        <w:t>3</w:t>
      </w:r>
      <w:r>
        <w:t>1</w:t>
      </w:r>
      <w:r w:rsidR="002F74F9" w:rsidRPr="00340E62">
        <w:t>.</w:t>
      </w:r>
      <w:r w:rsidR="008D2D48" w:rsidRPr="00340E62">
        <w:tab/>
        <w:t xml:space="preserve">The first tranche of funds </w:t>
      </w:r>
      <w:r w:rsidR="002F74F9" w:rsidRPr="00340E62">
        <w:t>was</w:t>
      </w:r>
      <w:r w:rsidR="008D2D48" w:rsidRPr="00340E62">
        <w:t xml:space="preserve"> distributed to WACoWet and NigerWet in 2020</w:t>
      </w:r>
      <w:r w:rsidR="00E8249B" w:rsidRPr="00340E62">
        <w:t xml:space="preserve"> and </w:t>
      </w:r>
      <w:r w:rsidR="001B299C" w:rsidRPr="00340E62">
        <w:t xml:space="preserve">in </w:t>
      </w:r>
      <w:r w:rsidR="00C21A80" w:rsidRPr="00340E62">
        <w:t xml:space="preserve">the </w:t>
      </w:r>
      <w:r w:rsidR="001B299C" w:rsidRPr="00340E62">
        <w:t xml:space="preserve">first half </w:t>
      </w:r>
      <w:r w:rsidR="00E8249B" w:rsidRPr="00340E62">
        <w:t xml:space="preserve">of 2021 to RamCEA. It is expected </w:t>
      </w:r>
      <w:r w:rsidR="00C21A80" w:rsidRPr="00340E62">
        <w:t xml:space="preserve">that </w:t>
      </w:r>
      <w:r w:rsidR="00E8249B" w:rsidRPr="00340E62">
        <w:t>the second tranche will be distributed by the end of 2021.</w:t>
      </w:r>
      <w:r w:rsidR="005213B0" w:rsidRPr="00340E62">
        <w:t xml:space="preserve"> </w:t>
      </w:r>
    </w:p>
    <w:p w14:paraId="6CE1B309" w14:textId="77777777" w:rsidR="00613E01" w:rsidRPr="00340E62" w:rsidRDefault="00613E01" w:rsidP="005213B0"/>
    <w:p w14:paraId="0B3F9760" w14:textId="026BCEEE" w:rsidR="00E8249B" w:rsidRPr="00340E62" w:rsidRDefault="0097613E" w:rsidP="002F74F9">
      <w:r w:rsidRPr="00340E62">
        <w:t>3</w:t>
      </w:r>
      <w:r>
        <w:t>2</w:t>
      </w:r>
      <w:r w:rsidR="002F74F9" w:rsidRPr="00340E62">
        <w:t>.</w:t>
      </w:r>
      <w:r w:rsidR="002F74F9" w:rsidRPr="00340E62">
        <w:tab/>
      </w:r>
      <w:r w:rsidR="00E8249B" w:rsidRPr="00340E62">
        <w:t xml:space="preserve">The funds </w:t>
      </w:r>
      <w:r w:rsidR="00613E01" w:rsidRPr="00340E62">
        <w:t xml:space="preserve">received in 2019 and 2020 </w:t>
      </w:r>
      <w:r w:rsidR="00E8249B" w:rsidRPr="00340E62">
        <w:t>for</w:t>
      </w:r>
      <w:r w:rsidR="00613E01" w:rsidRPr="00340E62">
        <w:t xml:space="preserve"> future</w:t>
      </w:r>
      <w:r w:rsidR="002F74F9" w:rsidRPr="00340E62">
        <w:t xml:space="preserve"> distribution total</w:t>
      </w:r>
      <w:r w:rsidR="00E8249B" w:rsidRPr="00340E62">
        <w:t xml:space="preserve"> CHF 14K</w:t>
      </w:r>
      <w:r w:rsidR="00702CD4" w:rsidRPr="00340E62">
        <w:t xml:space="preserve">, as reported in document SC59 Doc.8.2 </w:t>
      </w:r>
      <w:r w:rsidR="00702CD4" w:rsidRPr="00340E62">
        <w:rPr>
          <w:i/>
        </w:rPr>
        <w:t>Status of annual contributions</w:t>
      </w:r>
      <w:r w:rsidR="00702CD4" w:rsidRPr="00340E62">
        <w:t>, paragraph 27.</w:t>
      </w:r>
    </w:p>
    <w:p w14:paraId="3608533D" w14:textId="77777777" w:rsidR="00ED64C2" w:rsidRPr="00340E62" w:rsidRDefault="00ED64C2" w:rsidP="00162710">
      <w:pPr>
        <w:ind w:left="0" w:firstLine="0"/>
      </w:pPr>
    </w:p>
    <w:p w14:paraId="7BF95380" w14:textId="150814BC" w:rsidR="00B6236E" w:rsidRPr="00340E62" w:rsidRDefault="00B6236E" w:rsidP="00162710">
      <w:pPr>
        <w:pStyle w:val="NoSpacing"/>
      </w:pPr>
      <w:r w:rsidRPr="00340E62">
        <w:rPr>
          <w:b/>
        </w:rPr>
        <w:t>Core budget 202</w:t>
      </w:r>
      <w:r w:rsidR="0059019B" w:rsidRPr="00340E62">
        <w:rPr>
          <w:b/>
        </w:rPr>
        <w:t>1</w:t>
      </w:r>
    </w:p>
    <w:p w14:paraId="270546CB" w14:textId="77777777" w:rsidR="00B6236E" w:rsidRPr="00340E62" w:rsidRDefault="00B6236E" w:rsidP="00162710">
      <w:pPr>
        <w:pStyle w:val="NoSpacing"/>
        <w:ind w:left="360" w:firstLine="0"/>
      </w:pPr>
    </w:p>
    <w:p w14:paraId="701BDA68" w14:textId="7CEE41F2" w:rsidR="00B6236E" w:rsidRPr="00340E62" w:rsidRDefault="0097613E" w:rsidP="00162710">
      <w:r w:rsidRPr="00340E62">
        <w:t>3</w:t>
      </w:r>
      <w:r>
        <w:t>3</w:t>
      </w:r>
      <w:r w:rsidR="00B6236E" w:rsidRPr="00340E62">
        <w:t>.</w:t>
      </w:r>
      <w:r w:rsidR="00B6236E" w:rsidRPr="00340E62">
        <w:tab/>
        <w:t xml:space="preserve">An overview of the </w:t>
      </w:r>
      <w:r w:rsidR="003E0522" w:rsidRPr="00340E62">
        <w:t xml:space="preserve">proposed </w:t>
      </w:r>
      <w:r w:rsidR="000E211D" w:rsidRPr="00340E62">
        <w:t xml:space="preserve">2021 </w:t>
      </w:r>
      <w:r w:rsidR="00B6236E" w:rsidRPr="00340E62">
        <w:t xml:space="preserve">budget is provided </w:t>
      </w:r>
      <w:r w:rsidR="004E68DE" w:rsidRPr="00340E62">
        <w:t>in</w:t>
      </w:r>
      <w:r w:rsidR="00B6236E" w:rsidRPr="00340E62">
        <w:t xml:space="preserve"> Annex 4. It includes the </w:t>
      </w:r>
      <w:r w:rsidR="00CC3282" w:rsidRPr="00340E62">
        <w:t>COP13-</w:t>
      </w:r>
      <w:r w:rsidR="00B6236E" w:rsidRPr="00340E62">
        <w:t>approved budget</w:t>
      </w:r>
      <w:r w:rsidR="004E68DE" w:rsidRPr="00340E62">
        <w:t xml:space="preserve"> of</w:t>
      </w:r>
      <w:r w:rsidR="009C4E55" w:rsidRPr="00340E62">
        <w:t xml:space="preserve"> </w:t>
      </w:r>
      <w:r w:rsidR="00B6236E" w:rsidRPr="00340E62">
        <w:t xml:space="preserve">CHF 5,081K; </w:t>
      </w:r>
      <w:r w:rsidR="00CC3282" w:rsidRPr="00340E62">
        <w:t xml:space="preserve">the </w:t>
      </w:r>
      <w:r w:rsidR="00FE2266" w:rsidRPr="00340E62">
        <w:t>authorized</w:t>
      </w:r>
      <w:r w:rsidR="00B6236E" w:rsidRPr="00340E62">
        <w:t xml:space="preserve"> use of </w:t>
      </w:r>
      <w:r w:rsidR="00CC3282" w:rsidRPr="00340E62">
        <w:t xml:space="preserve">the </w:t>
      </w:r>
      <w:r w:rsidR="003956B3" w:rsidRPr="00340E62">
        <w:t>2018 surplus (Resolution XIII.2, paragraph 15)</w:t>
      </w:r>
      <w:r w:rsidR="004E68DE" w:rsidRPr="00340E62">
        <w:t xml:space="preserve"> of</w:t>
      </w:r>
      <w:r w:rsidR="00B6236E" w:rsidRPr="00340E62">
        <w:t xml:space="preserve"> </w:t>
      </w:r>
      <w:r w:rsidR="006308CF" w:rsidRPr="00340E62">
        <w:t>CHF </w:t>
      </w:r>
      <w:r w:rsidR="00B6236E" w:rsidRPr="00340E62">
        <w:t>76K</w:t>
      </w:r>
      <w:r w:rsidR="00CC3282" w:rsidRPr="00340E62">
        <w:t>;</w:t>
      </w:r>
      <w:r w:rsidR="004F5397" w:rsidRPr="00340E62">
        <w:t xml:space="preserve"> </w:t>
      </w:r>
      <w:r w:rsidR="00CC3282" w:rsidRPr="00340E62">
        <w:t xml:space="preserve">the </w:t>
      </w:r>
      <w:r w:rsidR="000F55F2" w:rsidRPr="00340E62">
        <w:t xml:space="preserve">pre-committed </w:t>
      </w:r>
      <w:r w:rsidR="000E211D" w:rsidRPr="00340E62">
        <w:t xml:space="preserve">2020 </w:t>
      </w:r>
      <w:r w:rsidR="00CC3282" w:rsidRPr="00340E62">
        <w:t xml:space="preserve">budget funds </w:t>
      </w:r>
      <w:r w:rsidR="000F55F2" w:rsidRPr="00340E62">
        <w:t>t</w:t>
      </w:r>
      <w:r w:rsidR="00AD3CE9" w:rsidRPr="00340E62">
        <w:t xml:space="preserve">o be spent in </w:t>
      </w:r>
      <w:r w:rsidR="000E211D" w:rsidRPr="00340E62">
        <w:t xml:space="preserve">2021 </w:t>
      </w:r>
      <w:r w:rsidR="00AD3CE9" w:rsidRPr="00340E62">
        <w:t xml:space="preserve">of CHF </w:t>
      </w:r>
      <w:r w:rsidR="0036778B" w:rsidRPr="00340E62">
        <w:t>712</w:t>
      </w:r>
      <w:r w:rsidR="0014052F" w:rsidRPr="00340E62">
        <w:t>K</w:t>
      </w:r>
      <w:r w:rsidR="00CC3282" w:rsidRPr="00340E62">
        <w:t>;</w:t>
      </w:r>
      <w:r w:rsidR="006631A2" w:rsidRPr="00340E62">
        <w:t xml:space="preserve"> and </w:t>
      </w:r>
      <w:r w:rsidR="00AD3CE9" w:rsidRPr="00340E62">
        <w:t>uncommitted balances of CHF</w:t>
      </w:r>
      <w:r w:rsidR="006A5240" w:rsidRPr="00340E62">
        <w:t xml:space="preserve"> </w:t>
      </w:r>
      <w:r w:rsidR="0014052F" w:rsidRPr="00340E62">
        <w:t>1,</w:t>
      </w:r>
      <w:r w:rsidR="007855E1" w:rsidRPr="00340E62">
        <w:t xml:space="preserve">590K </w:t>
      </w:r>
      <w:r w:rsidR="006631A2" w:rsidRPr="00340E62">
        <w:t>to be carried forward</w:t>
      </w:r>
      <w:r w:rsidR="00AD3CE9" w:rsidRPr="00340E62">
        <w:t>.</w:t>
      </w:r>
      <w:r w:rsidR="006631A2" w:rsidRPr="00340E62">
        <w:t xml:space="preserve"> </w:t>
      </w:r>
      <w:r w:rsidR="007855E1" w:rsidRPr="00340E62">
        <w:t xml:space="preserve">Table 1 and paragraph </w:t>
      </w:r>
      <w:r w:rsidR="00B007D4" w:rsidRPr="00340E62">
        <w:t>21</w:t>
      </w:r>
      <w:r w:rsidR="00790C01" w:rsidRPr="00340E62">
        <w:t xml:space="preserve"> above </w:t>
      </w:r>
      <w:r w:rsidR="006631A2" w:rsidRPr="00340E62">
        <w:t xml:space="preserve">explain in more detail the funds carried forward from </w:t>
      </w:r>
      <w:r w:rsidR="0014052F" w:rsidRPr="00340E62">
        <w:t xml:space="preserve">2020 </w:t>
      </w:r>
      <w:r w:rsidR="006631A2" w:rsidRPr="00340E62">
        <w:t xml:space="preserve">to </w:t>
      </w:r>
      <w:r w:rsidR="0014052F" w:rsidRPr="00340E62">
        <w:t>2021</w:t>
      </w:r>
      <w:r w:rsidR="006631A2" w:rsidRPr="00340E62">
        <w:t xml:space="preserve">. </w:t>
      </w:r>
      <w:r w:rsidR="00B6236E" w:rsidRPr="00340E62">
        <w:t>The total proposed core budget</w:t>
      </w:r>
      <w:r w:rsidR="009C4E55" w:rsidRPr="00340E62">
        <w:t xml:space="preserve"> </w:t>
      </w:r>
      <w:r w:rsidR="007B26DA" w:rsidRPr="00340E62">
        <w:t xml:space="preserve">for </w:t>
      </w:r>
      <w:r w:rsidR="00670EBF" w:rsidRPr="00340E62">
        <w:t xml:space="preserve">2021 </w:t>
      </w:r>
      <w:r w:rsidR="00B6236E" w:rsidRPr="00340E62">
        <w:t xml:space="preserve">is </w:t>
      </w:r>
      <w:r w:rsidR="006631A2" w:rsidRPr="00340E62">
        <w:t xml:space="preserve">thus </w:t>
      </w:r>
      <w:r w:rsidR="00B6236E" w:rsidRPr="00340E62">
        <w:t xml:space="preserve">CHF </w:t>
      </w:r>
      <w:r w:rsidR="00617575" w:rsidRPr="00340E62">
        <w:t>7,</w:t>
      </w:r>
      <w:r w:rsidR="005213B0" w:rsidRPr="00340E62">
        <w:t>459</w:t>
      </w:r>
      <w:r w:rsidR="00E822EB" w:rsidRPr="00340E62">
        <w:t>K</w:t>
      </w:r>
      <w:r w:rsidR="00B6236E" w:rsidRPr="00340E62">
        <w:t>.</w:t>
      </w:r>
      <w:r w:rsidR="00617575" w:rsidRPr="00340E62">
        <w:t xml:space="preserve"> </w:t>
      </w:r>
    </w:p>
    <w:p w14:paraId="692AA86F" w14:textId="77777777" w:rsidR="009B0B07" w:rsidRPr="00340E62" w:rsidRDefault="009B0B07" w:rsidP="009B0B07">
      <w:pPr>
        <w:ind w:left="0" w:firstLine="0"/>
      </w:pPr>
    </w:p>
    <w:p w14:paraId="33160663" w14:textId="46B2F4DE" w:rsidR="00ED39D8" w:rsidRPr="00340E62" w:rsidRDefault="0097613E" w:rsidP="009B0B07">
      <w:r w:rsidRPr="00340E62">
        <w:t>3</w:t>
      </w:r>
      <w:r>
        <w:t>4</w:t>
      </w:r>
      <w:r w:rsidR="009B0B07" w:rsidRPr="00340E62">
        <w:t>.</w:t>
      </w:r>
      <w:r w:rsidR="009B0B07" w:rsidRPr="00340E62">
        <w:tab/>
        <w:t xml:space="preserve">As </w:t>
      </w:r>
      <w:r w:rsidR="00B007D4" w:rsidRPr="00340E62">
        <w:t>noted in</w:t>
      </w:r>
      <w:r w:rsidR="009B0B07" w:rsidRPr="00340E62">
        <w:t xml:space="preserve"> document SC59 Doc 21.2 </w:t>
      </w:r>
      <w:r w:rsidR="009B0B07" w:rsidRPr="00340E62">
        <w:rPr>
          <w:i/>
        </w:rPr>
        <w:t>Report of the Secretariat on the Ramsar Regional Initiatives</w:t>
      </w:r>
      <w:r w:rsidR="009B0B07" w:rsidRPr="00340E62">
        <w:t>, the Secretariat invites the Standing Committee at SC59 to consider and approve the allocation of funds to RRIs proposed in the 2021 core budget. The Secretariat proposes an allocation of CHF 25K to each of the four eligible RRIs for their activities in 2021.</w:t>
      </w:r>
      <w:r w:rsidR="00557C2F" w:rsidRPr="00340E62">
        <w:t>Furthermore</w:t>
      </w:r>
      <w:r w:rsidR="00ED39D8" w:rsidRPr="00340E62">
        <w:t>, the Amazon Regional Initiative and the SenegalWet Initiative as part of their annual report 2020 requested the additional CHF 10K each.</w:t>
      </w:r>
    </w:p>
    <w:p w14:paraId="4CB991A7" w14:textId="77777777" w:rsidR="009B0B07" w:rsidRPr="00340E62" w:rsidRDefault="009B0B07" w:rsidP="00162710"/>
    <w:p w14:paraId="31E3036B" w14:textId="6A8D0603" w:rsidR="00520563" w:rsidRPr="00340E62" w:rsidRDefault="0023624E" w:rsidP="00520563">
      <w:pPr>
        <w:ind w:left="0" w:firstLine="0"/>
        <w:rPr>
          <w:i/>
        </w:rPr>
      </w:pPr>
      <w:r w:rsidRPr="00340E62">
        <w:rPr>
          <w:i/>
        </w:rPr>
        <w:t>Adjustments to COP13</w:t>
      </w:r>
      <w:r w:rsidR="00923342" w:rsidRPr="00340E62">
        <w:rPr>
          <w:i/>
        </w:rPr>
        <w:t>-</w:t>
      </w:r>
      <w:r w:rsidRPr="00340E62">
        <w:rPr>
          <w:i/>
        </w:rPr>
        <w:t>approved budget</w:t>
      </w:r>
    </w:p>
    <w:p w14:paraId="36C1C04F" w14:textId="77777777" w:rsidR="00520563" w:rsidRPr="00340E62" w:rsidRDefault="00520563" w:rsidP="00162710">
      <w:pPr>
        <w:ind w:firstLine="0"/>
      </w:pPr>
    </w:p>
    <w:p w14:paraId="17D91CB6" w14:textId="5A68CD80" w:rsidR="00C907FE" w:rsidRPr="00340E62" w:rsidRDefault="0097613E" w:rsidP="009063E7">
      <w:r w:rsidRPr="00340E62">
        <w:t>3</w:t>
      </w:r>
      <w:r>
        <w:t>5</w:t>
      </w:r>
      <w:r w:rsidR="00790C01" w:rsidRPr="00340E62">
        <w:t>.</w:t>
      </w:r>
      <w:r w:rsidR="00790C01" w:rsidRPr="00340E62">
        <w:tab/>
      </w:r>
      <w:r w:rsidR="00776FB3" w:rsidRPr="00340E62">
        <w:t xml:space="preserve">The Secretariat </w:t>
      </w:r>
      <w:r w:rsidR="004F72DA" w:rsidRPr="00340E62">
        <w:t xml:space="preserve">is proposing </w:t>
      </w:r>
      <w:r w:rsidR="00776FB3" w:rsidRPr="00340E62">
        <w:t xml:space="preserve">some </w:t>
      </w:r>
      <w:r w:rsidR="007B26DA" w:rsidRPr="00340E62">
        <w:t>adjust</w:t>
      </w:r>
      <w:r w:rsidR="00776FB3" w:rsidRPr="00340E62">
        <w:t xml:space="preserve">ments to the </w:t>
      </w:r>
      <w:r w:rsidR="00C55CF1" w:rsidRPr="00340E62">
        <w:t>COP13</w:t>
      </w:r>
      <w:r w:rsidR="00733561" w:rsidRPr="00340E62">
        <w:t>-</w:t>
      </w:r>
      <w:r w:rsidR="00C55CF1" w:rsidRPr="00340E62">
        <w:t xml:space="preserve">approved </w:t>
      </w:r>
      <w:r w:rsidR="00617575" w:rsidRPr="00340E62">
        <w:t xml:space="preserve">2021 </w:t>
      </w:r>
      <w:r w:rsidR="00776FB3" w:rsidRPr="00340E62">
        <w:t>budget</w:t>
      </w:r>
      <w:r w:rsidR="0023624E" w:rsidRPr="00340E62">
        <w:t xml:space="preserve">. These adjustments are presented in Column E </w:t>
      </w:r>
      <w:r w:rsidR="00733561" w:rsidRPr="00340E62">
        <w:t>of the table in</w:t>
      </w:r>
      <w:r w:rsidR="0023624E" w:rsidRPr="00340E62">
        <w:t xml:space="preserve"> Annex 4</w:t>
      </w:r>
      <w:r w:rsidR="00776FB3" w:rsidRPr="00340E62">
        <w:t>.</w:t>
      </w:r>
      <w:r w:rsidR="00617575" w:rsidRPr="00340E62">
        <w:t xml:space="preserve"> </w:t>
      </w:r>
      <w:r w:rsidR="009063E7" w:rsidRPr="00340E62">
        <w:t xml:space="preserve">These </w:t>
      </w:r>
      <w:r w:rsidR="00C55CF1" w:rsidRPr="00340E62">
        <w:t>changes relate to adjustments in staff salaries, other employment benefits</w:t>
      </w:r>
      <w:r w:rsidR="00733561" w:rsidRPr="00340E62">
        <w:t>,</w:t>
      </w:r>
      <w:r w:rsidR="00C55CF1" w:rsidRPr="00340E62">
        <w:t xml:space="preserve"> and staff hiring and departure costs between the budget lines </w:t>
      </w:r>
      <w:r w:rsidR="00733561" w:rsidRPr="00340E62">
        <w:t>for</w:t>
      </w:r>
      <w:r w:rsidR="00C55CF1" w:rsidRPr="00340E62">
        <w:t xml:space="preserve"> the different areas of work of the Secretariat</w:t>
      </w:r>
      <w:r w:rsidR="003E0522" w:rsidRPr="00340E62">
        <w:t xml:space="preserve">. Adjustments have been made </w:t>
      </w:r>
      <w:r w:rsidR="00C55CF1" w:rsidRPr="00340E62">
        <w:t xml:space="preserve"> to ensure more efficient deployment of limited </w:t>
      </w:r>
      <w:r w:rsidR="00AC7E21" w:rsidRPr="00340E62">
        <w:t xml:space="preserve">staff </w:t>
      </w:r>
      <w:r w:rsidR="00C55CF1" w:rsidRPr="00340E62">
        <w:t>resources and equity in grades and compensation as compared with and estimated by IUCN</w:t>
      </w:r>
      <w:r w:rsidR="00844E61" w:rsidRPr="00340E62">
        <w:t xml:space="preserve">, as well as to reflect </w:t>
      </w:r>
      <w:r w:rsidR="00CF5814" w:rsidRPr="00340E62">
        <w:t xml:space="preserve">the </w:t>
      </w:r>
      <w:r w:rsidR="00844E61" w:rsidRPr="00340E62">
        <w:t>staff turnover</w:t>
      </w:r>
      <w:r w:rsidR="00C55CF1" w:rsidRPr="00340E62">
        <w:t>.</w:t>
      </w:r>
      <w:r w:rsidR="002135D9" w:rsidRPr="00340E62">
        <w:t xml:space="preserve"> </w:t>
      </w:r>
      <w:r w:rsidR="00C907FE" w:rsidRPr="00340E62">
        <w:t xml:space="preserve">The overall staff budget remains unchanged. </w:t>
      </w:r>
    </w:p>
    <w:p w14:paraId="4E7D0CFE" w14:textId="77777777" w:rsidR="00C907FE" w:rsidRPr="00340E62" w:rsidRDefault="00C907FE" w:rsidP="009063E7"/>
    <w:p w14:paraId="6676B186" w14:textId="01A09413" w:rsidR="00C907FE" w:rsidRPr="00340E62" w:rsidRDefault="0097613E" w:rsidP="00733561">
      <w:r w:rsidRPr="00340E62">
        <w:t>3</w:t>
      </w:r>
      <w:r>
        <w:t>6</w:t>
      </w:r>
      <w:r w:rsidR="00733561" w:rsidRPr="00340E62">
        <w:t>.</w:t>
      </w:r>
      <w:r w:rsidR="00733561" w:rsidRPr="00340E62">
        <w:tab/>
      </w:r>
      <w:r w:rsidR="003E0522" w:rsidRPr="00340E62">
        <w:t xml:space="preserve">Changes are also made </w:t>
      </w:r>
      <w:r w:rsidR="00C907FE" w:rsidRPr="00340E62">
        <w:t xml:space="preserve">between travel budget lines to reflect travelling needs of the different areas of work of the Secretariat while keeping the total </w:t>
      </w:r>
      <w:r w:rsidR="00E3621C" w:rsidRPr="00340E62">
        <w:t xml:space="preserve">travel budget </w:t>
      </w:r>
      <w:r w:rsidR="00C907FE" w:rsidRPr="00340E62">
        <w:t>unchanged. As per Resolution XIII.2</w:t>
      </w:r>
      <w:r w:rsidR="00733561" w:rsidRPr="00340E62">
        <w:t>,</w:t>
      </w:r>
      <w:r w:rsidR="00C907FE" w:rsidRPr="00340E62">
        <w:t xml:space="preserve"> paragraph </w:t>
      </w:r>
      <w:r w:rsidR="00A03E56" w:rsidRPr="00340E62">
        <w:t>28</w:t>
      </w:r>
      <w:r w:rsidR="00733561" w:rsidRPr="00340E62">
        <w:t>,</w:t>
      </w:r>
      <w:r w:rsidR="00C907FE" w:rsidRPr="00340E62">
        <w:t xml:space="preserve"> the Secretary General is authorised to make these changes. </w:t>
      </w:r>
    </w:p>
    <w:p w14:paraId="2BCA52DD" w14:textId="7E353EB6" w:rsidR="00A03E56" w:rsidRPr="00340E62" w:rsidRDefault="00A03E56" w:rsidP="00A03E56">
      <w:pPr>
        <w:ind w:firstLine="0"/>
      </w:pPr>
    </w:p>
    <w:p w14:paraId="28D2413B" w14:textId="085D57F3" w:rsidR="00C907FE" w:rsidRPr="00340E62" w:rsidRDefault="0097613E" w:rsidP="004C5084">
      <w:r w:rsidRPr="00340E62">
        <w:t>3</w:t>
      </w:r>
      <w:r>
        <w:t>7</w:t>
      </w:r>
      <w:r w:rsidR="00733561" w:rsidRPr="00340E62">
        <w:t>.</w:t>
      </w:r>
      <w:r w:rsidR="00733561" w:rsidRPr="00340E62">
        <w:tab/>
      </w:r>
      <w:r w:rsidR="00C907FE" w:rsidRPr="00340E62">
        <w:t xml:space="preserve">The Secretariat </w:t>
      </w:r>
      <w:r w:rsidR="00AC7E21" w:rsidRPr="00340E62">
        <w:t>is also asking</w:t>
      </w:r>
      <w:r w:rsidR="00C907FE" w:rsidRPr="00340E62">
        <w:t xml:space="preserve"> the Standing Committee to consider the presentation of the “other benefits” in one single budget line in the budget for the next triennium instead of having these costs reflected in each area of the Secretariat budget. These costs vary according to the incumbents </w:t>
      </w:r>
      <w:r w:rsidR="00A91246" w:rsidRPr="00340E62">
        <w:t>in</w:t>
      </w:r>
      <w:r w:rsidR="00C907FE" w:rsidRPr="00340E62">
        <w:t xml:space="preserve"> each position and having these benefits in one single line would provide the flexibility to adjust to staff changes</w:t>
      </w:r>
      <w:r w:rsidR="003E0522" w:rsidRPr="00340E62">
        <w:t xml:space="preserve"> as needed.</w:t>
      </w:r>
      <w:r w:rsidR="00C907FE" w:rsidRPr="00340E62">
        <w:t xml:space="preserve"> </w:t>
      </w:r>
    </w:p>
    <w:p w14:paraId="795B596E" w14:textId="1BA54C98" w:rsidR="00E16A60" w:rsidRPr="00340E62" w:rsidRDefault="00E16A60" w:rsidP="00162710">
      <w:pPr>
        <w:ind w:firstLine="0"/>
      </w:pPr>
    </w:p>
    <w:p w14:paraId="2F781CD7" w14:textId="0E6D7D04" w:rsidR="00E16A60" w:rsidRPr="00340E62" w:rsidRDefault="00F83985" w:rsidP="00852A48">
      <w:pPr>
        <w:keepNext/>
        <w:ind w:left="0" w:firstLine="0"/>
        <w:rPr>
          <w:i/>
        </w:rPr>
      </w:pPr>
      <w:r w:rsidRPr="00340E62">
        <w:rPr>
          <w:i/>
        </w:rPr>
        <w:lastRenderedPageBreak/>
        <w:t>U</w:t>
      </w:r>
      <w:r w:rsidR="00E16A60" w:rsidRPr="00340E62">
        <w:rPr>
          <w:i/>
        </w:rPr>
        <w:t>se of carr</w:t>
      </w:r>
      <w:r w:rsidR="004301E0" w:rsidRPr="00340E62">
        <w:rPr>
          <w:i/>
        </w:rPr>
        <w:t>ied-</w:t>
      </w:r>
      <w:r w:rsidR="00E16A60" w:rsidRPr="00340E62">
        <w:rPr>
          <w:i/>
        </w:rPr>
        <w:t xml:space="preserve">forward </w:t>
      </w:r>
      <w:r w:rsidR="004301E0" w:rsidRPr="00340E62">
        <w:rPr>
          <w:i/>
        </w:rPr>
        <w:t>funds</w:t>
      </w:r>
    </w:p>
    <w:p w14:paraId="4662EE0A" w14:textId="77777777" w:rsidR="00E16A60" w:rsidRPr="00340E62" w:rsidRDefault="00E16A60" w:rsidP="00852A48">
      <w:pPr>
        <w:keepNext/>
        <w:ind w:firstLine="0"/>
      </w:pPr>
    </w:p>
    <w:p w14:paraId="053B0648" w14:textId="0003BDDB" w:rsidR="00776FB3" w:rsidRPr="00340E62" w:rsidRDefault="0097613E" w:rsidP="00162710">
      <w:r w:rsidRPr="00340E62">
        <w:t>3</w:t>
      </w:r>
      <w:r>
        <w:t>8</w:t>
      </w:r>
      <w:r w:rsidR="002B18A7" w:rsidRPr="00340E62">
        <w:t>.</w:t>
      </w:r>
      <w:r w:rsidR="002B18A7" w:rsidRPr="00340E62">
        <w:tab/>
      </w:r>
      <w:r w:rsidR="000575AD" w:rsidRPr="00340E62">
        <w:t xml:space="preserve">As </w:t>
      </w:r>
      <w:r w:rsidR="00DF7909" w:rsidRPr="00340E62">
        <w:t xml:space="preserve">per </w:t>
      </w:r>
      <w:r w:rsidR="000575AD" w:rsidRPr="00340E62">
        <w:t xml:space="preserve">document </w:t>
      </w:r>
      <w:r w:rsidR="00C54A21" w:rsidRPr="00340E62">
        <w:t xml:space="preserve">SC59 </w:t>
      </w:r>
      <w:r w:rsidR="00790C01" w:rsidRPr="00340E62">
        <w:t>Doc.</w:t>
      </w:r>
      <w:r w:rsidR="000575AD" w:rsidRPr="00340E62">
        <w:t xml:space="preserve">13 </w:t>
      </w:r>
      <w:r w:rsidR="000575AD" w:rsidRPr="00340E62">
        <w:rPr>
          <w:i/>
        </w:rPr>
        <w:t xml:space="preserve">Review of </w:t>
      </w:r>
      <w:r w:rsidR="00B67EE6" w:rsidRPr="00340E62">
        <w:rPr>
          <w:i/>
        </w:rPr>
        <w:t xml:space="preserve">all </w:t>
      </w:r>
      <w:r w:rsidR="000575AD" w:rsidRPr="00340E62">
        <w:rPr>
          <w:i/>
        </w:rPr>
        <w:t xml:space="preserve">previous Resolutions and </w:t>
      </w:r>
      <w:r w:rsidR="00790C01" w:rsidRPr="00340E62">
        <w:rPr>
          <w:i/>
        </w:rPr>
        <w:t>d</w:t>
      </w:r>
      <w:r w:rsidR="000575AD" w:rsidRPr="00340E62">
        <w:rPr>
          <w:i/>
        </w:rPr>
        <w:t>ecisions</w:t>
      </w:r>
      <w:r w:rsidR="000575AD" w:rsidRPr="00340E62">
        <w:t>,</w:t>
      </w:r>
      <w:r w:rsidR="00776FB3" w:rsidRPr="00340E62">
        <w:t xml:space="preserve"> the Secretariat </w:t>
      </w:r>
      <w:r w:rsidR="007B26DA" w:rsidRPr="00340E62">
        <w:t xml:space="preserve">has identified the need for </w:t>
      </w:r>
      <w:r w:rsidR="00093F6E" w:rsidRPr="00340E62">
        <w:t xml:space="preserve">additional </w:t>
      </w:r>
      <w:r w:rsidR="007B26DA" w:rsidRPr="00340E62">
        <w:t xml:space="preserve">resources </w:t>
      </w:r>
      <w:r w:rsidR="00790C01" w:rsidRPr="00340E62">
        <w:t xml:space="preserve">amounting to CHF </w:t>
      </w:r>
      <w:r w:rsidR="00931DCD" w:rsidRPr="00340E62">
        <w:t>12</w:t>
      </w:r>
      <w:r w:rsidR="00DF7909" w:rsidRPr="00340E62">
        <w:t xml:space="preserve">K </w:t>
      </w:r>
      <w:r w:rsidR="007B26DA" w:rsidRPr="00340E62">
        <w:t>to take the next steps for this task</w:t>
      </w:r>
      <w:r w:rsidR="003E0522" w:rsidRPr="00340E62">
        <w:t>, subject to their approval by the Standing Committee</w:t>
      </w:r>
      <w:r w:rsidR="002B18A7" w:rsidRPr="00340E62">
        <w:t>.</w:t>
      </w:r>
      <w:r w:rsidR="00776FB3" w:rsidRPr="00340E62">
        <w:t xml:space="preserve"> </w:t>
      </w:r>
      <w:r w:rsidR="00093F6E" w:rsidRPr="00340E62">
        <w:t xml:space="preserve">This is in addition to amount of CHF 3K </w:t>
      </w:r>
      <w:r w:rsidR="00931DCD" w:rsidRPr="00340E62">
        <w:t xml:space="preserve">pre-committed </w:t>
      </w:r>
      <w:r w:rsidR="00093F6E" w:rsidRPr="00340E62">
        <w:t>balance from 2020 in Annex 4</w:t>
      </w:r>
      <w:r w:rsidR="00447472" w:rsidRPr="00340E62">
        <w:t>, bringing the total 2021 available budget for review of resolutions to CHF 1</w:t>
      </w:r>
      <w:r w:rsidR="00931DCD" w:rsidRPr="00340E62">
        <w:t>5</w:t>
      </w:r>
      <w:r w:rsidR="00447472" w:rsidRPr="00340E62">
        <w:t>K</w:t>
      </w:r>
      <w:r w:rsidR="00093F6E" w:rsidRPr="00340E62">
        <w:t xml:space="preserve">. </w:t>
      </w:r>
      <w:r w:rsidR="000575AD" w:rsidRPr="00340E62">
        <w:t xml:space="preserve">The Secretariat proposes that these resources be allocated </w:t>
      </w:r>
      <w:r w:rsidR="00776FB3" w:rsidRPr="00340E62">
        <w:t xml:space="preserve">from the </w:t>
      </w:r>
      <w:r w:rsidR="002262E5" w:rsidRPr="00340E62">
        <w:t xml:space="preserve">2020 </w:t>
      </w:r>
      <w:r w:rsidR="00776FB3" w:rsidRPr="00340E62">
        <w:t>carry</w:t>
      </w:r>
      <w:r w:rsidR="004301E0" w:rsidRPr="00340E62">
        <w:t>-</w:t>
      </w:r>
      <w:r w:rsidR="00776FB3" w:rsidRPr="00340E62">
        <w:t>forward in legal services</w:t>
      </w:r>
      <w:r w:rsidR="00790C01" w:rsidRPr="00340E62">
        <w:t>,</w:t>
      </w:r>
      <w:r w:rsidR="007B26DA" w:rsidRPr="00340E62">
        <w:t xml:space="preserve"> and requests </w:t>
      </w:r>
      <w:r w:rsidR="00790C01" w:rsidRPr="00340E62">
        <w:t xml:space="preserve">the </w:t>
      </w:r>
      <w:r w:rsidR="007B26DA" w:rsidRPr="00340E62">
        <w:t xml:space="preserve">approval </w:t>
      </w:r>
      <w:r w:rsidR="00790C01" w:rsidRPr="00340E62">
        <w:t xml:space="preserve">of </w:t>
      </w:r>
      <w:r w:rsidR="007B26DA" w:rsidRPr="00340E62">
        <w:t>SC5</w:t>
      </w:r>
      <w:r w:rsidR="002262E5" w:rsidRPr="00340E62">
        <w:t>9</w:t>
      </w:r>
      <w:r w:rsidR="00790C01" w:rsidRPr="00340E62">
        <w:t xml:space="preserve"> for this action</w:t>
      </w:r>
      <w:r w:rsidR="007B26DA" w:rsidRPr="00340E62">
        <w:t>.</w:t>
      </w:r>
    </w:p>
    <w:p w14:paraId="5D6D6991" w14:textId="057C43CE" w:rsidR="00A10F42" w:rsidRPr="00340E62" w:rsidRDefault="00A10F42" w:rsidP="00162710">
      <w:pPr>
        <w:ind w:left="0" w:firstLine="0"/>
      </w:pPr>
    </w:p>
    <w:p w14:paraId="0B41E9C4" w14:textId="2A97187E" w:rsidR="008B65DD" w:rsidRPr="00340E62" w:rsidRDefault="0097613E" w:rsidP="00C9664D">
      <w:r>
        <w:t>39</w:t>
      </w:r>
      <w:r w:rsidR="00F5393C" w:rsidRPr="00340E62">
        <w:t>.</w:t>
      </w:r>
      <w:r w:rsidR="00F5393C" w:rsidRPr="00340E62">
        <w:tab/>
      </w:r>
      <w:r w:rsidR="008B65DD" w:rsidRPr="00340E62">
        <w:t xml:space="preserve">As </w:t>
      </w:r>
      <w:r w:rsidR="006728F4" w:rsidRPr="00340E62">
        <w:t>noted</w:t>
      </w:r>
      <w:r w:rsidR="008B65DD" w:rsidRPr="00340E62">
        <w:t xml:space="preserve"> in paragraph 23 of document </w:t>
      </w:r>
      <w:r w:rsidR="00006A52" w:rsidRPr="00340E62">
        <w:t>SC59</w:t>
      </w:r>
      <w:r w:rsidR="006728F4" w:rsidRPr="00340E62">
        <w:t xml:space="preserve"> </w:t>
      </w:r>
      <w:r w:rsidR="004301E0" w:rsidRPr="00340E62">
        <w:t>Doc.10</w:t>
      </w:r>
      <w:r w:rsidR="00006A52" w:rsidRPr="00340E62">
        <w:t xml:space="preserve"> </w:t>
      </w:r>
      <w:r w:rsidR="004301E0" w:rsidRPr="00340E62">
        <w:rPr>
          <w:i/>
        </w:rPr>
        <w:t>Report of the Working Group on the Review of the Strategic Plan of the Ramsar Convention</w:t>
      </w:r>
      <w:r w:rsidR="00006A52" w:rsidRPr="00340E62">
        <w:t>,</w:t>
      </w:r>
      <w:r w:rsidR="0056596F" w:rsidRPr="00340E62">
        <w:t xml:space="preserve"> </w:t>
      </w:r>
      <w:r w:rsidR="0072606C" w:rsidRPr="00340E62">
        <w:t xml:space="preserve">the </w:t>
      </w:r>
      <w:r w:rsidR="002A7962" w:rsidRPr="00340E62">
        <w:t>Strategic Plan Working Group</w:t>
      </w:r>
      <w:r w:rsidR="0072606C" w:rsidRPr="00340E62">
        <w:t xml:space="preserve"> has identified the need for</w:t>
      </w:r>
      <w:r w:rsidR="00A4305D" w:rsidRPr="00340E62">
        <w:t xml:space="preserve"> resources amounting to CHF 90K. The Secretariat proposes that these resources be allocated from </w:t>
      </w:r>
      <w:r w:rsidR="004301E0" w:rsidRPr="00340E62">
        <w:t xml:space="preserve">the </w:t>
      </w:r>
      <w:r w:rsidR="00FD5106" w:rsidRPr="00340E62">
        <w:t>carry</w:t>
      </w:r>
      <w:r w:rsidR="004301E0" w:rsidRPr="00340E62">
        <w:t>-</w:t>
      </w:r>
      <w:r w:rsidR="00FD5106" w:rsidRPr="00340E62">
        <w:t xml:space="preserve">forward </w:t>
      </w:r>
      <w:r w:rsidR="00A4305D" w:rsidRPr="00340E62">
        <w:t>savings</w:t>
      </w:r>
      <w:r w:rsidR="004301E0" w:rsidRPr="00340E62">
        <w:t xml:space="preserve"> that were not allocated by the Standing Committee at SC58</w:t>
      </w:r>
      <w:r w:rsidR="00A4305D" w:rsidRPr="00340E62">
        <w:t>.</w:t>
      </w:r>
      <w:r w:rsidR="00006A52" w:rsidRPr="00340E62">
        <w:t xml:space="preserve"> </w:t>
      </w:r>
    </w:p>
    <w:p w14:paraId="25E47D0A" w14:textId="77777777" w:rsidR="008B65DD" w:rsidRPr="00340E62" w:rsidRDefault="008B65DD" w:rsidP="00162710">
      <w:pPr>
        <w:ind w:left="0" w:firstLine="0"/>
      </w:pPr>
    </w:p>
    <w:p w14:paraId="47ED97F4" w14:textId="01937621" w:rsidR="00A10F42" w:rsidRPr="00340E62" w:rsidRDefault="0097613E" w:rsidP="00790C01">
      <w:r w:rsidRPr="00340E62">
        <w:t>4</w:t>
      </w:r>
      <w:r>
        <w:t>0</w:t>
      </w:r>
      <w:r w:rsidR="00790C01" w:rsidRPr="00340E62">
        <w:t>.</w:t>
      </w:r>
      <w:r w:rsidR="00790C01" w:rsidRPr="00340E62">
        <w:tab/>
      </w:r>
      <w:r w:rsidR="00A10F42" w:rsidRPr="00340E62">
        <w:t xml:space="preserve">The Secretariat foresees </w:t>
      </w:r>
      <w:r w:rsidR="007B26DA" w:rsidRPr="00340E62">
        <w:t xml:space="preserve">that </w:t>
      </w:r>
      <w:r w:rsidR="00A10F42" w:rsidRPr="00340E62">
        <w:t>adjustments to the budget</w:t>
      </w:r>
      <w:r w:rsidR="007B26DA" w:rsidRPr="00340E62">
        <w:t xml:space="preserve"> will be required</w:t>
      </w:r>
      <w:r w:rsidR="00B45795" w:rsidRPr="00340E62">
        <w:t xml:space="preserve"> with regard to the</w:t>
      </w:r>
      <w:r w:rsidR="007B26DA" w:rsidRPr="00340E62">
        <w:t xml:space="preserve"> </w:t>
      </w:r>
      <w:r w:rsidR="00A10F42" w:rsidRPr="00340E62">
        <w:t xml:space="preserve">provision for outstanding </w:t>
      </w:r>
      <w:r w:rsidR="002A76E0" w:rsidRPr="00340E62">
        <w:t>contributions</w:t>
      </w:r>
      <w:r w:rsidR="00A10F42" w:rsidRPr="00340E62">
        <w:t xml:space="preserve">. The Secretariat estimates </w:t>
      </w:r>
      <w:r w:rsidR="006728F4" w:rsidRPr="00340E62">
        <w:t xml:space="preserve">that </w:t>
      </w:r>
      <w:r w:rsidR="006954F7" w:rsidRPr="00340E62">
        <w:t xml:space="preserve">up to CHF </w:t>
      </w:r>
      <w:r w:rsidR="000B2A00" w:rsidRPr="00340E62">
        <w:t>72</w:t>
      </w:r>
      <w:r w:rsidR="00B37061" w:rsidRPr="00340E62">
        <w:t xml:space="preserve">K </w:t>
      </w:r>
      <w:r w:rsidR="006728F4" w:rsidRPr="00340E62">
        <w:t xml:space="preserve">will be </w:t>
      </w:r>
      <w:r w:rsidR="006954F7" w:rsidRPr="00340E62">
        <w:t xml:space="preserve">necessary to increase </w:t>
      </w:r>
      <w:r w:rsidR="00A10F42" w:rsidRPr="00340E62">
        <w:t>this provision</w:t>
      </w:r>
      <w:r w:rsidR="00F32A17" w:rsidRPr="00340E62">
        <w:t xml:space="preserve"> for 2021</w:t>
      </w:r>
      <w:r w:rsidR="00A10F42" w:rsidRPr="00340E62">
        <w:t>.</w:t>
      </w:r>
      <w:r w:rsidR="00B37061" w:rsidRPr="00340E62">
        <w:t xml:space="preserve"> This is in addition to </w:t>
      </w:r>
      <w:r w:rsidR="00AD751E" w:rsidRPr="00340E62">
        <w:t xml:space="preserve">the </w:t>
      </w:r>
      <w:r w:rsidR="00093F6E" w:rsidRPr="00340E62">
        <w:t xml:space="preserve">balance from 2020 </w:t>
      </w:r>
      <w:r w:rsidR="00447472" w:rsidRPr="00340E62">
        <w:t xml:space="preserve">of pre-committed funds of CHF 68K for provision for outstanding contributions in </w:t>
      </w:r>
      <w:r w:rsidR="00B37061" w:rsidRPr="00340E62">
        <w:t xml:space="preserve">Annex 4, bringing the total </w:t>
      </w:r>
      <w:r w:rsidR="00447472" w:rsidRPr="00340E62">
        <w:t xml:space="preserve">available budget of </w:t>
      </w:r>
      <w:r w:rsidR="00B37061" w:rsidRPr="00340E62">
        <w:t>2021 provision for outstanding contributions to CHF 1</w:t>
      </w:r>
      <w:r w:rsidR="00A279A7" w:rsidRPr="00340E62">
        <w:t>40</w:t>
      </w:r>
      <w:r w:rsidR="00B37061" w:rsidRPr="00340E62">
        <w:t>K.</w:t>
      </w:r>
      <w:r w:rsidR="00F32A17" w:rsidRPr="00340E62">
        <w:t xml:space="preserve"> </w:t>
      </w:r>
      <w:r w:rsidR="00A10F42" w:rsidRPr="00340E62">
        <w:t xml:space="preserve">The calculation for </w:t>
      </w:r>
      <w:r w:rsidR="001B6041" w:rsidRPr="00340E62">
        <w:t xml:space="preserve">the </w:t>
      </w:r>
      <w:r w:rsidR="00A10F42" w:rsidRPr="00340E62">
        <w:t xml:space="preserve">increase </w:t>
      </w:r>
      <w:r w:rsidR="006041A2" w:rsidRPr="00340E62">
        <w:t xml:space="preserve">for </w:t>
      </w:r>
      <w:r w:rsidR="008510C3" w:rsidRPr="00340E62">
        <w:t xml:space="preserve">2021 </w:t>
      </w:r>
      <w:r w:rsidR="00F32A17" w:rsidRPr="00340E62">
        <w:t>is</w:t>
      </w:r>
      <w:r w:rsidR="00A10F42" w:rsidRPr="00340E62">
        <w:t xml:space="preserve"> based on outstanding balances not paid for more than four years, for which the full provision of 100% will need to be applied. </w:t>
      </w:r>
      <w:r w:rsidR="00F8252A" w:rsidRPr="00340E62">
        <w:t xml:space="preserve">As per </w:t>
      </w:r>
      <w:r w:rsidR="00AD751E" w:rsidRPr="00340E62">
        <w:t>D</w:t>
      </w:r>
      <w:r w:rsidR="00F8252A" w:rsidRPr="00340E62">
        <w:t>ecision SC58-31, provision</w:t>
      </w:r>
      <w:r w:rsidR="00F845D3" w:rsidRPr="00340E62">
        <w:t>s</w:t>
      </w:r>
      <w:r w:rsidR="00F8252A" w:rsidRPr="00340E62">
        <w:t xml:space="preserve"> for outstanding contributions </w:t>
      </w:r>
      <w:r w:rsidR="003E0522" w:rsidRPr="00340E62">
        <w:t>are</w:t>
      </w:r>
      <w:r w:rsidR="00F845D3" w:rsidRPr="00340E62">
        <w:t xml:space="preserve"> </w:t>
      </w:r>
      <w:r w:rsidR="00F8252A" w:rsidRPr="00340E62">
        <w:t>presented in a separate budget line from staff-related provisions.</w:t>
      </w:r>
    </w:p>
    <w:p w14:paraId="00EB4363" w14:textId="77777777" w:rsidR="00A10F42" w:rsidRPr="00340E62" w:rsidRDefault="00A10F42" w:rsidP="00162710">
      <w:pPr>
        <w:ind w:left="0" w:firstLine="0"/>
      </w:pPr>
    </w:p>
    <w:p w14:paraId="6D0BFD4E" w14:textId="11277934" w:rsidR="00A10F42" w:rsidRPr="00340E62" w:rsidRDefault="0097613E" w:rsidP="00162710">
      <w:r w:rsidRPr="00340E62">
        <w:t>4</w:t>
      </w:r>
      <w:r>
        <w:t>1</w:t>
      </w:r>
      <w:r w:rsidR="001B6041" w:rsidRPr="00340E62">
        <w:t>.</w:t>
      </w:r>
      <w:r w:rsidR="00A10F42" w:rsidRPr="00340E62">
        <w:tab/>
      </w:r>
      <w:r w:rsidR="00FB5632" w:rsidRPr="00340E62">
        <w:t>Furthermore</w:t>
      </w:r>
      <w:r w:rsidR="00A10F42" w:rsidRPr="00340E62">
        <w:t>, taking into account the</w:t>
      </w:r>
      <w:r w:rsidR="008510C3" w:rsidRPr="00340E62">
        <w:t xml:space="preserve"> continued</w:t>
      </w:r>
      <w:r w:rsidR="00A10F42" w:rsidRPr="00340E62">
        <w:t xml:space="preserve"> uncertainties in</w:t>
      </w:r>
      <w:r w:rsidR="00B45795" w:rsidRPr="00340E62">
        <w:t xml:space="preserve"> the</w:t>
      </w:r>
      <w:r w:rsidR="00A10F42" w:rsidRPr="00340E62">
        <w:t xml:space="preserve"> implementation of the budget </w:t>
      </w:r>
      <w:r w:rsidR="00B45795" w:rsidRPr="00340E62">
        <w:t xml:space="preserve">that </w:t>
      </w:r>
      <w:r w:rsidR="00A10F42" w:rsidRPr="00340E62">
        <w:t xml:space="preserve">we are facing in </w:t>
      </w:r>
      <w:r w:rsidR="00670EBF" w:rsidRPr="00340E62">
        <w:t xml:space="preserve">2021 </w:t>
      </w:r>
      <w:r w:rsidR="00A10F42" w:rsidRPr="00340E62">
        <w:t>due to the C</w:t>
      </w:r>
      <w:r w:rsidR="003B5828" w:rsidRPr="00340E62">
        <w:t>OVID</w:t>
      </w:r>
      <w:r w:rsidR="00A10F42" w:rsidRPr="00340E62">
        <w:t>-19 pandemic, the Secretariat anticipates that other adjustment</w:t>
      </w:r>
      <w:r w:rsidR="001B6041" w:rsidRPr="00340E62">
        <w:t>s</w:t>
      </w:r>
      <w:r w:rsidR="00A10F42" w:rsidRPr="00340E62">
        <w:t xml:space="preserve"> m</w:t>
      </w:r>
      <w:r w:rsidR="00025536" w:rsidRPr="00340E62">
        <w:t>ight</w:t>
      </w:r>
      <w:r w:rsidR="00A10F42" w:rsidRPr="00340E62">
        <w:t xml:space="preserve"> result</w:t>
      </w:r>
      <w:r w:rsidR="001B6041" w:rsidRPr="00340E62">
        <w:t>, for example</w:t>
      </w:r>
      <w:r w:rsidR="00A10F42" w:rsidRPr="00340E62">
        <w:t xml:space="preserve"> from the </w:t>
      </w:r>
      <w:r w:rsidR="00025536" w:rsidRPr="00340E62">
        <w:t>implications of</w:t>
      </w:r>
      <w:r w:rsidR="00AC07E6" w:rsidRPr="00340E62">
        <w:t xml:space="preserve"> continued</w:t>
      </w:r>
      <w:r w:rsidR="00025536" w:rsidRPr="00340E62">
        <w:t xml:space="preserve"> limitations</w:t>
      </w:r>
      <w:r w:rsidR="009A5805" w:rsidRPr="00340E62">
        <w:t xml:space="preserve"> on</w:t>
      </w:r>
      <w:r w:rsidR="00025536" w:rsidRPr="00340E62">
        <w:t xml:space="preserve"> </w:t>
      </w:r>
      <w:r w:rsidR="009A5805" w:rsidRPr="00340E62">
        <w:t xml:space="preserve">travel </w:t>
      </w:r>
      <w:r w:rsidR="00025536" w:rsidRPr="00340E62">
        <w:t>to face</w:t>
      </w:r>
      <w:r w:rsidR="006728F4" w:rsidRPr="00340E62">
        <w:t>-</w:t>
      </w:r>
      <w:r w:rsidR="00025536" w:rsidRPr="00340E62">
        <w:t>to</w:t>
      </w:r>
      <w:r w:rsidR="006728F4" w:rsidRPr="00340E62">
        <w:t>-</w:t>
      </w:r>
      <w:r w:rsidR="00025536" w:rsidRPr="00340E62">
        <w:t xml:space="preserve">face meetings of the governing and subsidiary bodies of the Convention and </w:t>
      </w:r>
      <w:r w:rsidR="009A5805" w:rsidRPr="00340E62">
        <w:t xml:space="preserve">on </w:t>
      </w:r>
      <w:r w:rsidR="00025536" w:rsidRPr="00340E62">
        <w:t>Secretariat travel.</w:t>
      </w:r>
    </w:p>
    <w:p w14:paraId="46141C1D" w14:textId="3D2DEB2F" w:rsidR="00025536" w:rsidRPr="00340E62" w:rsidRDefault="00025536" w:rsidP="009B0B07">
      <w:pPr>
        <w:ind w:left="0" w:firstLine="0"/>
      </w:pPr>
    </w:p>
    <w:p w14:paraId="63E84F3E" w14:textId="1455E5D1" w:rsidR="00DB52BE" w:rsidRPr="00340E62" w:rsidRDefault="00F83985" w:rsidP="00DB52BE">
      <w:pPr>
        <w:ind w:left="0" w:firstLine="0"/>
        <w:rPr>
          <w:i/>
        </w:rPr>
      </w:pPr>
      <w:r w:rsidRPr="00340E62">
        <w:rPr>
          <w:i/>
        </w:rPr>
        <w:t>Possible u</w:t>
      </w:r>
      <w:r w:rsidR="00DB52BE" w:rsidRPr="00340E62">
        <w:rPr>
          <w:i/>
        </w:rPr>
        <w:t>se of 2020 savings</w:t>
      </w:r>
    </w:p>
    <w:p w14:paraId="6234F9B7" w14:textId="77777777" w:rsidR="00DB52BE" w:rsidRPr="00340E62" w:rsidRDefault="00DB52BE" w:rsidP="00DB52BE">
      <w:pPr>
        <w:ind w:left="0" w:firstLine="0"/>
        <w:rPr>
          <w:b/>
        </w:rPr>
      </w:pPr>
    </w:p>
    <w:p w14:paraId="58278870" w14:textId="32616F9F" w:rsidR="00DB52BE" w:rsidRPr="00904A56" w:rsidRDefault="0097613E" w:rsidP="006728F4">
      <w:r w:rsidRPr="00340E62">
        <w:t>4</w:t>
      </w:r>
      <w:r>
        <w:t>2</w:t>
      </w:r>
      <w:r w:rsidR="006728F4" w:rsidRPr="00340E62">
        <w:t>.</w:t>
      </w:r>
      <w:r w:rsidR="00DB52BE" w:rsidRPr="00340E62">
        <w:t xml:space="preserve"> </w:t>
      </w:r>
      <w:r w:rsidR="00DB52BE" w:rsidRPr="00340E62">
        <w:tab/>
        <w:t xml:space="preserve">The </w:t>
      </w:r>
      <w:r w:rsidR="001D697C" w:rsidRPr="00340E62">
        <w:t>Standing Committee might wish to consider possible uses of 2020 savings</w:t>
      </w:r>
      <w:r w:rsidR="000678A6" w:rsidRPr="00340E62">
        <w:t xml:space="preserve">, taking into account that the reserve fund is at its maximum level. The </w:t>
      </w:r>
      <w:r w:rsidR="00DB52BE" w:rsidRPr="00340E62">
        <w:t xml:space="preserve">Secretariat </w:t>
      </w:r>
      <w:r w:rsidR="000678A6" w:rsidRPr="00340E62">
        <w:t xml:space="preserve">presents below some </w:t>
      </w:r>
      <w:r w:rsidR="000678A6" w:rsidRPr="00904A56">
        <w:t xml:space="preserve">suggestions of </w:t>
      </w:r>
      <w:r w:rsidR="00DB52BE" w:rsidRPr="00904A56">
        <w:t>possible uses of the savings</w:t>
      </w:r>
      <w:r w:rsidR="000678A6" w:rsidRPr="00904A56">
        <w:t xml:space="preserve"> for its consideration</w:t>
      </w:r>
      <w:r w:rsidR="00DB52BE" w:rsidRPr="00904A56">
        <w:t>:</w:t>
      </w:r>
      <w:r w:rsidR="002135D9" w:rsidRPr="00904A56">
        <w:t xml:space="preserve"> </w:t>
      </w:r>
    </w:p>
    <w:p w14:paraId="7FAA1F34" w14:textId="7B9A6200" w:rsidR="00DB52BE" w:rsidRPr="00340E62" w:rsidRDefault="006728F4" w:rsidP="00C507DE">
      <w:pPr>
        <w:ind w:left="851"/>
      </w:pPr>
      <w:r w:rsidRPr="00904A56">
        <w:t>a)</w:t>
      </w:r>
      <w:r w:rsidRPr="00904A56">
        <w:tab/>
      </w:r>
      <w:r w:rsidR="00ED620B" w:rsidRPr="00904A56">
        <w:t xml:space="preserve">CHF 228K to cover the core budget gap for core activities of the Secretariat (communications CHF 120K, staff travel CHF 60K, STRP implementation CHF 15K and planning and capacity building CHF 33K that was created with the establishment of the position of Finance and Accounting Assistant </w:t>
      </w:r>
      <w:r w:rsidR="00904A56" w:rsidRPr="00904A56">
        <w:t xml:space="preserve">– </w:t>
      </w:r>
      <w:r w:rsidR="00ED620B" w:rsidRPr="00904A56">
        <w:t>see paragraph 18 above) for the 2022-2024 triennium. This allocation is a priority in order to keep the minimum budget required for the activities of the Secretariat and the position of the Finance and Accounting Assistant</w:t>
      </w:r>
      <w:r w:rsidR="00ED620B">
        <w:t xml:space="preserve"> which has proved to be very effective for the operations of the Secretariat</w:t>
      </w:r>
      <w:r w:rsidRPr="00340E62">
        <w:t>;</w:t>
      </w:r>
    </w:p>
    <w:p w14:paraId="3C7C0B05" w14:textId="24FD9D78" w:rsidR="00DB52BE" w:rsidRPr="00904A56" w:rsidRDefault="006728F4" w:rsidP="006728F4">
      <w:pPr>
        <w:ind w:left="851"/>
      </w:pPr>
      <w:r w:rsidRPr="00340E62">
        <w:t>b)</w:t>
      </w:r>
      <w:r w:rsidRPr="00340E62">
        <w:tab/>
      </w:r>
      <w:r w:rsidR="00DB52BE" w:rsidRPr="00340E62">
        <w:t>CHF 25K for the development and production of World Wetland</w:t>
      </w:r>
      <w:r w:rsidR="00DC41BA" w:rsidRPr="00340E62">
        <w:t>s</w:t>
      </w:r>
      <w:r w:rsidR="00DB52BE" w:rsidRPr="00340E62">
        <w:t xml:space="preserve"> Day 2022 resources</w:t>
      </w:r>
      <w:r w:rsidR="00DC41BA" w:rsidRPr="00340E62">
        <w:t>,</w:t>
      </w:r>
      <w:r w:rsidR="00DB52BE" w:rsidRPr="00340E62">
        <w:t xml:space="preserve"> as </w:t>
      </w:r>
      <w:r w:rsidR="00DB52BE" w:rsidRPr="00904A56">
        <w:t xml:space="preserve">Danone is no longer providing funding for World Wetlands Day; </w:t>
      </w:r>
    </w:p>
    <w:p w14:paraId="5C633A99" w14:textId="77777777" w:rsidR="00286D37" w:rsidRPr="00904A56" w:rsidRDefault="00DB52BE" w:rsidP="006728F4">
      <w:pPr>
        <w:ind w:left="851"/>
      </w:pPr>
      <w:r w:rsidRPr="00904A56">
        <w:t>c)</w:t>
      </w:r>
      <w:r w:rsidR="006728F4" w:rsidRPr="00904A56">
        <w:tab/>
      </w:r>
      <w:r w:rsidRPr="00904A56">
        <w:t xml:space="preserve">CHF 12K for communications </w:t>
      </w:r>
      <w:r w:rsidR="00DC41BA" w:rsidRPr="00904A56">
        <w:t>on the</w:t>
      </w:r>
      <w:r w:rsidRPr="00904A56">
        <w:t xml:space="preserve"> Ramsar Awards;</w:t>
      </w:r>
      <w:r w:rsidR="000B2A00" w:rsidRPr="00904A56">
        <w:t xml:space="preserve"> </w:t>
      </w:r>
    </w:p>
    <w:p w14:paraId="7DBFA5D7" w14:textId="11A3C4ED" w:rsidR="00DB52BE" w:rsidRPr="00340E62" w:rsidRDefault="00286D37" w:rsidP="006728F4">
      <w:pPr>
        <w:ind w:left="851"/>
      </w:pPr>
      <w:r w:rsidRPr="00904A56">
        <w:t>d)</w:t>
      </w:r>
      <w:r w:rsidRPr="00904A56">
        <w:tab/>
      </w:r>
      <w:r w:rsidR="00DC2BDC" w:rsidRPr="00904A56">
        <w:t>CHF 86K for improvements to the Convention</w:t>
      </w:r>
      <w:r w:rsidR="00C507DE" w:rsidRPr="00904A56">
        <w:t>’s</w:t>
      </w:r>
      <w:r w:rsidR="00DC2BDC" w:rsidRPr="00904A56">
        <w:t xml:space="preserve"> website, as after 10 years there is a need to optimize and modernize its structure, design and security. </w:t>
      </w:r>
      <w:r w:rsidR="00C507DE" w:rsidRPr="00904A56">
        <w:t>T</w:t>
      </w:r>
      <w:r w:rsidR="00DC2BDC" w:rsidRPr="00904A56">
        <w:t>he Secretariat estimate</w:t>
      </w:r>
      <w:r w:rsidR="00C507DE" w:rsidRPr="00904A56">
        <w:t>s</w:t>
      </w:r>
      <w:r w:rsidR="00DC2BDC" w:rsidRPr="00904A56">
        <w:t xml:space="preserve"> the costs in the amount of CHF 150K and propose</w:t>
      </w:r>
      <w:r w:rsidR="000E1138" w:rsidRPr="00904A56">
        <w:t>s</w:t>
      </w:r>
      <w:r w:rsidR="00DC2BDC" w:rsidRPr="00904A56">
        <w:t xml:space="preserve"> to use the balance in the non-core funds of CHF 6</w:t>
      </w:r>
      <w:r w:rsidR="000E1138" w:rsidRPr="00904A56">
        <w:t>4</w:t>
      </w:r>
      <w:r w:rsidR="00DC2BDC" w:rsidRPr="00904A56">
        <w:t xml:space="preserve">K </w:t>
      </w:r>
      <w:r w:rsidR="00C507DE" w:rsidRPr="00904A56">
        <w:t>in</w:t>
      </w:r>
      <w:r w:rsidR="00DC2BDC" w:rsidRPr="00904A56">
        <w:t xml:space="preserve"> </w:t>
      </w:r>
      <w:r w:rsidR="00904A56" w:rsidRPr="00904A56">
        <w:t xml:space="preserve">the </w:t>
      </w:r>
      <w:r w:rsidR="00DC2BDC" w:rsidRPr="00904A56">
        <w:t xml:space="preserve">project “Web </w:t>
      </w:r>
      <w:r w:rsidR="0097613E" w:rsidRPr="00904A56">
        <w:t>re</w:t>
      </w:r>
      <w:r w:rsidR="00DC2BDC" w:rsidRPr="00904A56">
        <w:t>development”, thus request</w:t>
      </w:r>
      <w:r w:rsidR="00C507DE" w:rsidRPr="00904A56">
        <w:t>s</w:t>
      </w:r>
      <w:r w:rsidR="00DC2BDC" w:rsidRPr="00904A56">
        <w:t xml:space="preserve"> to complement</w:t>
      </w:r>
      <w:r w:rsidR="00D81FD6" w:rsidRPr="00904A56">
        <w:t xml:space="preserve"> CHF 86K from the core savings</w:t>
      </w:r>
      <w:r w:rsidR="00DC2BDC" w:rsidRPr="00904A56">
        <w:t xml:space="preserve">; </w:t>
      </w:r>
      <w:r w:rsidR="000B2A00" w:rsidRPr="00904A56">
        <w:t>and</w:t>
      </w:r>
    </w:p>
    <w:p w14:paraId="02B83DB1" w14:textId="1DBCE5C8" w:rsidR="00DB52BE" w:rsidRPr="00340E62" w:rsidRDefault="00286D37" w:rsidP="006728F4">
      <w:pPr>
        <w:ind w:left="851"/>
      </w:pPr>
      <w:r>
        <w:lastRenderedPageBreak/>
        <w:t>e</w:t>
      </w:r>
      <w:r w:rsidR="006728F4" w:rsidRPr="00340E62">
        <w:t>)</w:t>
      </w:r>
      <w:r w:rsidR="006728F4" w:rsidRPr="00340E62">
        <w:tab/>
      </w:r>
      <w:r w:rsidR="00ED620B" w:rsidRPr="00340E62">
        <w:t>CHF 600K to cover for COP14 delegates’ travel costs if the Secretariat is unable to raise the totality of the funds needed, given the challenging economic situation and competition for such funds for meetings of other Conventions</w:t>
      </w:r>
      <w:r w:rsidR="00DB52BE" w:rsidRPr="00340E62">
        <w:t xml:space="preserve">. </w:t>
      </w:r>
    </w:p>
    <w:p w14:paraId="77131D11" w14:textId="77777777" w:rsidR="00FD5106" w:rsidRPr="00340E62" w:rsidRDefault="00FD5106" w:rsidP="00DB52BE">
      <w:pPr>
        <w:pStyle w:val="NoSpacing"/>
        <w:ind w:left="720" w:firstLine="0"/>
      </w:pPr>
    </w:p>
    <w:p w14:paraId="7FF7E286" w14:textId="72C7E526" w:rsidR="00DB52BE" w:rsidRPr="00340E62" w:rsidRDefault="0097613E" w:rsidP="006728F4">
      <w:pPr>
        <w:pStyle w:val="NoSpacing"/>
      </w:pPr>
      <w:r w:rsidRPr="00340E62">
        <w:t>4</w:t>
      </w:r>
      <w:r>
        <w:t>3</w:t>
      </w:r>
      <w:r w:rsidR="006728F4" w:rsidRPr="00340E62">
        <w:t>.</w:t>
      </w:r>
      <w:r w:rsidR="006728F4" w:rsidRPr="00340E62">
        <w:tab/>
      </w:r>
      <w:r w:rsidR="00DB52BE" w:rsidRPr="00340E62">
        <w:t xml:space="preserve">The Secretariat is currently seeking funding for World Wetlands Day and is prepared to begin fundraising for COP14 delegate travel when dates for the COP are announced. The Standing Committee is invited to consider these proposals for the use of savings as well as the possibility </w:t>
      </w:r>
      <w:r w:rsidR="00EE31AB" w:rsidRPr="00340E62">
        <w:t>of</w:t>
      </w:r>
      <w:r w:rsidR="00DB52BE" w:rsidRPr="00340E62">
        <w:t xml:space="preserve"> establish</w:t>
      </w:r>
      <w:r w:rsidR="00EE31AB" w:rsidRPr="00340E62">
        <w:t>ing</w:t>
      </w:r>
      <w:r w:rsidR="00DB52BE" w:rsidRPr="00340E62">
        <w:t xml:space="preserve"> other operational reserves when deciding on the allocation of savings identified at the end of triennium. </w:t>
      </w:r>
    </w:p>
    <w:p w14:paraId="63BA23B7" w14:textId="77777777" w:rsidR="00DB52BE" w:rsidRPr="00340E62" w:rsidRDefault="00DB52BE" w:rsidP="00DB52BE">
      <w:pPr>
        <w:ind w:left="0" w:firstLine="0"/>
        <w:rPr>
          <w:b/>
        </w:rPr>
      </w:pPr>
    </w:p>
    <w:p w14:paraId="00695CC2" w14:textId="1C1DE89C" w:rsidR="00264303" w:rsidRPr="00340E62" w:rsidRDefault="009A5805" w:rsidP="00464D2B">
      <w:pPr>
        <w:pStyle w:val="NoSpacing"/>
        <w:keepNext/>
        <w:rPr>
          <w:b/>
        </w:rPr>
      </w:pPr>
      <w:r w:rsidRPr="00340E62">
        <w:rPr>
          <w:b/>
        </w:rPr>
        <w:t>Information on o</w:t>
      </w:r>
      <w:r w:rsidR="00264303" w:rsidRPr="00340E62">
        <w:rPr>
          <w:b/>
        </w:rPr>
        <w:t xml:space="preserve">ther matters </w:t>
      </w:r>
    </w:p>
    <w:p w14:paraId="742AB0C1" w14:textId="77777777" w:rsidR="008B2B9E" w:rsidRPr="00340E62" w:rsidRDefault="008B2B9E" w:rsidP="00162710"/>
    <w:p w14:paraId="303BB90F" w14:textId="79AEC52F" w:rsidR="00CD1D81" w:rsidRPr="00340E62" w:rsidRDefault="0097613E" w:rsidP="00D72DDC">
      <w:r w:rsidRPr="00340E62">
        <w:t>4</w:t>
      </w:r>
      <w:r>
        <w:t>4</w:t>
      </w:r>
      <w:r w:rsidR="00EE31AB" w:rsidRPr="00340E62">
        <w:t>.</w:t>
      </w:r>
      <w:r w:rsidR="00264303" w:rsidRPr="00340E62">
        <w:tab/>
        <w:t xml:space="preserve">In the course of </w:t>
      </w:r>
      <w:r w:rsidR="003D2112" w:rsidRPr="00340E62">
        <w:t>202</w:t>
      </w:r>
      <w:r w:rsidR="00366F42" w:rsidRPr="00340E62">
        <w:t>0</w:t>
      </w:r>
      <w:r w:rsidR="00B14F8E" w:rsidRPr="00340E62">
        <w:t>,</w:t>
      </w:r>
      <w:r w:rsidR="00264303" w:rsidRPr="00340E62">
        <w:t xml:space="preserve"> the Secretariat engaged in further implementation of </w:t>
      </w:r>
      <w:r w:rsidR="00264303" w:rsidRPr="00340E62">
        <w:rPr>
          <w:rFonts w:cs="Calibri"/>
        </w:rPr>
        <w:t xml:space="preserve">the recommendations </w:t>
      </w:r>
      <w:r w:rsidR="00E43E6D" w:rsidRPr="00340E62">
        <w:rPr>
          <w:rFonts w:cs="Calibri"/>
        </w:rPr>
        <w:t xml:space="preserve">of </w:t>
      </w:r>
      <w:r w:rsidR="00264303" w:rsidRPr="00340E62">
        <w:rPr>
          <w:rFonts w:cs="Calibri"/>
        </w:rPr>
        <w:t>the IUCN review</w:t>
      </w:r>
      <w:r w:rsidR="00A86768" w:rsidRPr="00340E62">
        <w:rPr>
          <w:rFonts w:cs="Calibri"/>
        </w:rPr>
        <w:t xml:space="preserve"> </w:t>
      </w:r>
      <w:r w:rsidR="00A86768" w:rsidRPr="00340E62">
        <w:t xml:space="preserve">on </w:t>
      </w:r>
      <w:r w:rsidR="00A86768" w:rsidRPr="00340E62">
        <w:rPr>
          <w:i/>
        </w:rPr>
        <w:t xml:space="preserve">Financial </w:t>
      </w:r>
      <w:r w:rsidR="00A86768" w:rsidRPr="00340E62">
        <w:rPr>
          <w:rFonts w:cs="Calibri"/>
          <w:i/>
        </w:rPr>
        <w:t xml:space="preserve">Management </w:t>
      </w:r>
      <w:r w:rsidR="00A86768" w:rsidRPr="00340E62">
        <w:rPr>
          <w:i/>
        </w:rPr>
        <w:t>Review of Non-core (Restricted) Fund Accounts</w:t>
      </w:r>
      <w:r w:rsidR="00A86768" w:rsidRPr="00340E62">
        <w:rPr>
          <w:rStyle w:val="FootnoteReference"/>
        </w:rPr>
        <w:footnoteReference w:id="4"/>
      </w:r>
      <w:r w:rsidR="00A86768" w:rsidRPr="00340E62">
        <w:rPr>
          <w:rFonts w:cs="Calibri"/>
        </w:rPr>
        <w:t xml:space="preserve"> </w:t>
      </w:r>
      <w:r w:rsidR="00EE31AB" w:rsidRPr="00340E62">
        <w:rPr>
          <w:rFonts w:cs="Calibri"/>
        </w:rPr>
        <w:t>of</w:t>
      </w:r>
      <w:r w:rsidR="00A86768" w:rsidRPr="00340E62">
        <w:rPr>
          <w:rFonts w:cs="Calibri"/>
        </w:rPr>
        <w:t xml:space="preserve"> October 20</w:t>
      </w:r>
      <w:r w:rsidR="00495073" w:rsidRPr="00340E62">
        <w:rPr>
          <w:rFonts w:cs="Calibri"/>
        </w:rPr>
        <w:t>1</w:t>
      </w:r>
      <w:r w:rsidR="00A86768" w:rsidRPr="00340E62">
        <w:rPr>
          <w:rFonts w:cs="Calibri"/>
        </w:rPr>
        <w:t>8</w:t>
      </w:r>
      <w:r w:rsidR="00264303" w:rsidRPr="00340E62">
        <w:rPr>
          <w:rFonts w:cs="Calibri"/>
        </w:rPr>
        <w:t xml:space="preserve">. </w:t>
      </w:r>
      <w:r w:rsidR="00264303" w:rsidRPr="00340E62">
        <w:t>The updated status of the management res</w:t>
      </w:r>
      <w:r w:rsidR="00D72DDC" w:rsidRPr="00340E62">
        <w:t>p</w:t>
      </w:r>
      <w:r w:rsidR="00264303" w:rsidRPr="00340E62">
        <w:t xml:space="preserve">onse and </w:t>
      </w:r>
      <w:r w:rsidR="00E43E6D" w:rsidRPr="00340E62">
        <w:t xml:space="preserve">the </w:t>
      </w:r>
      <w:r w:rsidR="00264303" w:rsidRPr="00340E62">
        <w:t xml:space="preserve">actions of the Secretariat is that </w:t>
      </w:r>
      <w:r w:rsidR="003D2112" w:rsidRPr="00340E62">
        <w:t xml:space="preserve">nine </w:t>
      </w:r>
      <w:r w:rsidR="00264303" w:rsidRPr="00340E62">
        <w:t>of the ten recommendations have been closed</w:t>
      </w:r>
      <w:r w:rsidR="00EE31AB" w:rsidRPr="00340E62">
        <w:t xml:space="preserve">, </w:t>
      </w:r>
      <w:r w:rsidR="00264303" w:rsidRPr="00340E62">
        <w:t xml:space="preserve">and reported to the IUCN Oversight Unit as fully implemented and closed. </w:t>
      </w:r>
      <w:r w:rsidR="005774B9" w:rsidRPr="00340E62">
        <w:t xml:space="preserve">Regarding the </w:t>
      </w:r>
      <w:r w:rsidR="009A5805" w:rsidRPr="00340E62">
        <w:t>tenth</w:t>
      </w:r>
      <w:r w:rsidR="005774B9" w:rsidRPr="00340E62">
        <w:t xml:space="preserve"> recommendation, </w:t>
      </w:r>
      <w:r w:rsidR="00EE31AB" w:rsidRPr="00340E62">
        <w:t>t</w:t>
      </w:r>
      <w:r w:rsidR="00AF539B" w:rsidRPr="00340E62">
        <w:t xml:space="preserve">he Secretariat has been in contact with </w:t>
      </w:r>
      <w:r w:rsidR="0039249B" w:rsidRPr="00340E62">
        <w:t xml:space="preserve">IUCN regarding the </w:t>
      </w:r>
      <w:r w:rsidR="00E43E6D" w:rsidRPr="00340E62">
        <w:t>self-</w:t>
      </w:r>
      <w:r w:rsidR="0039249B" w:rsidRPr="00340E62">
        <w:t xml:space="preserve">assessment methodology. </w:t>
      </w:r>
      <w:r w:rsidR="00AF539B" w:rsidRPr="00340E62">
        <w:t xml:space="preserve">IUCN is currently developing and </w:t>
      </w:r>
      <w:r w:rsidR="00447472" w:rsidRPr="00340E62">
        <w:t xml:space="preserve">rolling out </w:t>
      </w:r>
      <w:r w:rsidR="00264303" w:rsidRPr="00340E62">
        <w:t>online tool</w:t>
      </w:r>
      <w:r w:rsidR="00AF539B" w:rsidRPr="00340E62">
        <w:t>s. The Secretariat is following this process</w:t>
      </w:r>
      <w:r w:rsidR="00264303" w:rsidRPr="00340E62">
        <w:t xml:space="preserve"> </w:t>
      </w:r>
      <w:r w:rsidR="00E43E6D" w:rsidRPr="00340E62">
        <w:t xml:space="preserve">and will </w:t>
      </w:r>
      <w:r w:rsidR="00264303" w:rsidRPr="00340E62">
        <w:t>confirm whether similar internal controls would be usef</w:t>
      </w:r>
      <w:r w:rsidR="00797BC5" w:rsidRPr="00340E62">
        <w:t>ul</w:t>
      </w:r>
      <w:r w:rsidR="0039249B" w:rsidRPr="00340E62">
        <w:t xml:space="preserve"> in the context of the Convention.</w:t>
      </w:r>
    </w:p>
    <w:p w14:paraId="6015D0B5" w14:textId="6AE37E64" w:rsidR="006C7F1C" w:rsidRPr="00340E62" w:rsidRDefault="006C7F1C" w:rsidP="006114F4"/>
    <w:p w14:paraId="7052412F" w14:textId="40CF88F2" w:rsidR="00264303" w:rsidRPr="00340E62" w:rsidRDefault="0097613E" w:rsidP="00162710">
      <w:r w:rsidRPr="00340E62">
        <w:t>4</w:t>
      </w:r>
      <w:r>
        <w:t>5</w:t>
      </w:r>
      <w:r w:rsidR="00264303" w:rsidRPr="00340E62">
        <w:t>.</w:t>
      </w:r>
      <w:r w:rsidR="00264303" w:rsidRPr="00340E62">
        <w:tab/>
        <w:t>Following the external auditor</w:t>
      </w:r>
      <w:r w:rsidR="00FB03BD" w:rsidRPr="00340E62">
        <w:t>’s</w:t>
      </w:r>
      <w:r w:rsidR="00264303" w:rsidRPr="00340E62">
        <w:t xml:space="preserve"> request and Standing Committee Decision SC57-39, the new </w:t>
      </w:r>
      <w:r w:rsidR="00B054BE" w:rsidRPr="00340E62">
        <w:t xml:space="preserve">methodology </w:t>
      </w:r>
      <w:r w:rsidR="00264303" w:rsidRPr="00340E62">
        <w:t>has been applied in</w:t>
      </w:r>
      <w:r w:rsidR="00443025" w:rsidRPr="00340E62">
        <w:t xml:space="preserve"> </w:t>
      </w:r>
      <w:r w:rsidR="00EE31AB" w:rsidRPr="00340E62">
        <w:t>calculating</w:t>
      </w:r>
      <w:r w:rsidR="00264303" w:rsidRPr="00340E62">
        <w:t xml:space="preserve"> the provision against dues receivable from Contracting Parties in 2019. </w:t>
      </w:r>
    </w:p>
    <w:p w14:paraId="1E9BA5A8" w14:textId="77777777" w:rsidR="00264303" w:rsidRPr="00340E62" w:rsidRDefault="00264303" w:rsidP="00162710"/>
    <w:p w14:paraId="1DC505E4" w14:textId="74C582E7" w:rsidR="00264303" w:rsidRPr="00421152" w:rsidRDefault="0097613E" w:rsidP="00D72DDC">
      <w:r w:rsidRPr="00340E62">
        <w:t>4</w:t>
      </w:r>
      <w:r>
        <w:t>6</w:t>
      </w:r>
      <w:r w:rsidR="00414B55" w:rsidRPr="00340E62">
        <w:t>.</w:t>
      </w:r>
      <w:r w:rsidR="00D72DDC" w:rsidRPr="00340E62">
        <w:tab/>
      </w:r>
      <w:r w:rsidR="00264303" w:rsidRPr="00340E62">
        <w:t xml:space="preserve">The Secretariat has made efforts in </w:t>
      </w:r>
      <w:r w:rsidR="00D7462E" w:rsidRPr="00340E62">
        <w:t>implementing</w:t>
      </w:r>
      <w:r w:rsidR="00264303" w:rsidRPr="00340E62">
        <w:t xml:space="preserve"> Decisions SC57-44 and SC57-45 to encourage timely payment of annual contributions. In </w:t>
      </w:r>
      <w:r w:rsidR="002C6D4E" w:rsidRPr="00340E62">
        <w:t>2020</w:t>
      </w:r>
      <w:r w:rsidR="00EE31AB" w:rsidRPr="00340E62">
        <w:t>,</w:t>
      </w:r>
      <w:r w:rsidR="002C6D4E" w:rsidRPr="00340E62">
        <w:t xml:space="preserve"> </w:t>
      </w:r>
      <w:r w:rsidR="00264303" w:rsidRPr="00340E62">
        <w:t>reminder</w:t>
      </w:r>
      <w:r w:rsidR="002C6D4E" w:rsidRPr="00340E62">
        <w:t>s</w:t>
      </w:r>
      <w:r w:rsidR="00264303" w:rsidRPr="00340E62">
        <w:t xml:space="preserve"> w</w:t>
      </w:r>
      <w:r w:rsidR="002C6D4E" w:rsidRPr="00340E62">
        <w:t>ere</w:t>
      </w:r>
      <w:r w:rsidR="00264303" w:rsidRPr="00340E62">
        <w:t xml:space="preserve"> sent </w:t>
      </w:r>
      <w:r w:rsidR="002C6D4E" w:rsidRPr="00340E62">
        <w:t xml:space="preserve">by email </w:t>
      </w:r>
      <w:r w:rsidR="00666EE5" w:rsidRPr="00340E62">
        <w:t xml:space="preserve">on a quarterly basis </w:t>
      </w:r>
      <w:r w:rsidR="00264303" w:rsidRPr="00340E62">
        <w:t>to</w:t>
      </w:r>
      <w:r w:rsidR="007F0728" w:rsidRPr="00340E62">
        <w:t xml:space="preserve"> </w:t>
      </w:r>
      <w:r w:rsidR="00414B55" w:rsidRPr="00340E62">
        <w:t>those</w:t>
      </w:r>
      <w:r w:rsidR="00573F8B" w:rsidRPr="00340E62">
        <w:t xml:space="preserve"> </w:t>
      </w:r>
      <w:r w:rsidR="00264303" w:rsidRPr="00340E62">
        <w:t>Contracting Parties with unpaid balances of annual contributions</w:t>
      </w:r>
      <w:r w:rsidR="002C6D4E" w:rsidRPr="00340E62">
        <w:t>.</w:t>
      </w:r>
      <w:r w:rsidR="00D72DDC" w:rsidRPr="00340E62">
        <w:t xml:space="preserve"> </w:t>
      </w:r>
      <w:r w:rsidR="00264303" w:rsidRPr="00340E62">
        <w:t>More details are provided in document SC58</w:t>
      </w:r>
      <w:r w:rsidR="00414B55" w:rsidRPr="00340E62">
        <w:t xml:space="preserve"> Doc.</w:t>
      </w:r>
      <w:r w:rsidR="00264303" w:rsidRPr="00340E62">
        <w:t xml:space="preserve">8.3 </w:t>
      </w:r>
      <w:r w:rsidR="00264303" w:rsidRPr="00340E62">
        <w:rPr>
          <w:i/>
        </w:rPr>
        <w:t>Status</w:t>
      </w:r>
      <w:r w:rsidR="00630583" w:rsidRPr="00340E62">
        <w:rPr>
          <w:i/>
        </w:rPr>
        <w:t xml:space="preserve"> of</w:t>
      </w:r>
      <w:r w:rsidR="00264303" w:rsidRPr="00340E62">
        <w:rPr>
          <w:i/>
        </w:rPr>
        <w:t xml:space="preserve"> annual contributions</w:t>
      </w:r>
      <w:r w:rsidR="00264303" w:rsidRPr="00340E62">
        <w:t xml:space="preserve">, paragraphs </w:t>
      </w:r>
      <w:r w:rsidR="00EE31AB" w:rsidRPr="00340E62">
        <w:t>16-21</w:t>
      </w:r>
      <w:r w:rsidR="00264303" w:rsidRPr="00340E62">
        <w:t>.</w:t>
      </w:r>
    </w:p>
    <w:p w14:paraId="2A7FCFC0" w14:textId="77777777" w:rsidR="00264303" w:rsidRDefault="00264303" w:rsidP="00162710">
      <w:pPr>
        <w:ind w:left="0" w:firstLine="0"/>
        <w:rPr>
          <w:rFonts w:asciiTheme="minorHAnsi" w:hAnsiTheme="minorHAnsi" w:cs="Arial"/>
          <w:i/>
        </w:rPr>
      </w:pPr>
    </w:p>
    <w:p w14:paraId="41F45694" w14:textId="583BD3B3" w:rsidR="00A6267E" w:rsidRPr="00EE31AB" w:rsidRDefault="0097613E" w:rsidP="00EE31AB">
      <w:r>
        <w:t>47</w:t>
      </w:r>
      <w:r w:rsidR="00630583">
        <w:t>.</w:t>
      </w:r>
      <w:r w:rsidR="00630583">
        <w:tab/>
      </w:r>
      <w:r w:rsidR="00A6267E" w:rsidRPr="00EE31AB">
        <w:t>In 2020</w:t>
      </w:r>
      <w:r w:rsidR="00EE31AB" w:rsidRPr="00EE31AB">
        <w:t>,</w:t>
      </w:r>
      <w:r w:rsidR="00A6267E" w:rsidRPr="00EE31AB">
        <w:t xml:space="preserve"> the Standing Committee in Decision SC58-18 considered the external auditor’s proposal on group confirmation of outstanding Contracting Party balances in response to Decision SC57-40, and approved the proposed way forward, as mentioned in paragraph 50 of document SC58 Doc 8.2</w:t>
      </w:r>
      <w:r w:rsidR="00F32D5B">
        <w:t xml:space="preserve"> </w:t>
      </w:r>
      <w:r w:rsidR="00F32D5B" w:rsidRPr="00F32D5B">
        <w:rPr>
          <w:i/>
        </w:rPr>
        <w:t>Report on financial matters for 2019 and 2020</w:t>
      </w:r>
      <w:r w:rsidR="00C96461" w:rsidRPr="00EE31AB">
        <w:t xml:space="preserve">. </w:t>
      </w:r>
      <w:r w:rsidR="00666EE5" w:rsidRPr="00EE31AB">
        <w:t>T</w:t>
      </w:r>
      <w:r w:rsidR="00A6267E" w:rsidRPr="00EE31AB">
        <w:t>he external auditor</w:t>
      </w:r>
      <w:r w:rsidR="00666EE5" w:rsidRPr="00EE31AB">
        <w:t xml:space="preserve"> suggested that </w:t>
      </w:r>
      <w:r w:rsidR="00A6267E" w:rsidRPr="00EE31AB">
        <w:t>the Standing Committee acknowledge the status of the annual contributions intersessionally. Th</w:t>
      </w:r>
      <w:r w:rsidR="000678A6">
        <w:t>is decision was fully implement</w:t>
      </w:r>
      <w:r w:rsidR="003D1A17">
        <w:t>e</w:t>
      </w:r>
      <w:r w:rsidR="000678A6">
        <w:t>d. T</w:t>
      </w:r>
      <w:r w:rsidR="00A6267E" w:rsidRPr="00EE31AB">
        <w:t>he Secretariat sent on 4 February 2021 the request to the Standing Committee</w:t>
      </w:r>
      <w:r w:rsidR="00A6267E" w:rsidRPr="00A6267E">
        <w:t xml:space="preserve"> </w:t>
      </w:r>
      <w:r w:rsidR="00A6267E" w:rsidRPr="00EE31AB">
        <w:t xml:space="preserve">to acknowledge the status of assessed contributions as at 31 December 2020. Since no comments were received within the given period, the outstanding contributions as at 31 December 2020 are considered as acknowledged. </w:t>
      </w:r>
    </w:p>
    <w:p w14:paraId="3EE28DC8" w14:textId="77777777" w:rsidR="00C13B23" w:rsidRDefault="00C13B23" w:rsidP="00162710">
      <w:pPr>
        <w:ind w:left="0" w:firstLine="0"/>
        <w:rPr>
          <w:rFonts w:asciiTheme="minorHAnsi" w:hAnsiTheme="minorHAnsi" w:cs="Arial"/>
          <w:i/>
        </w:rPr>
      </w:pPr>
    </w:p>
    <w:p w14:paraId="7306439B" w14:textId="77777777" w:rsidR="004E1C7E" w:rsidRDefault="004E1C7E">
      <w:r>
        <w:br w:type="page"/>
      </w:r>
    </w:p>
    <w:p w14:paraId="16FA2C6F" w14:textId="55262708" w:rsidR="001458BE" w:rsidRPr="00421152" w:rsidRDefault="001458BE" w:rsidP="00162710">
      <w:pPr>
        <w:pStyle w:val="NoSpacing"/>
        <w:ind w:left="0" w:firstLine="0"/>
        <w:rPr>
          <w:b/>
          <w:sz w:val="24"/>
          <w:szCs w:val="24"/>
        </w:rPr>
      </w:pPr>
      <w:r w:rsidRPr="00421152">
        <w:rPr>
          <w:b/>
          <w:sz w:val="24"/>
          <w:szCs w:val="24"/>
        </w:rPr>
        <w:lastRenderedPageBreak/>
        <w:t>Annex 1</w:t>
      </w:r>
    </w:p>
    <w:p w14:paraId="16876955" w14:textId="0EE052F2" w:rsidR="00C54D5B" w:rsidRPr="00421152" w:rsidRDefault="00271D3D" w:rsidP="00162710">
      <w:pPr>
        <w:pStyle w:val="NoSpacing"/>
        <w:ind w:left="0" w:firstLine="0"/>
        <w:rPr>
          <w:b/>
          <w:sz w:val="24"/>
          <w:szCs w:val="24"/>
        </w:rPr>
      </w:pPr>
      <w:r w:rsidRPr="00421152">
        <w:rPr>
          <w:b/>
          <w:sz w:val="24"/>
          <w:szCs w:val="24"/>
        </w:rPr>
        <w:t xml:space="preserve">Audited </w:t>
      </w:r>
      <w:r w:rsidR="00C54D5B" w:rsidRPr="00421152">
        <w:rPr>
          <w:b/>
          <w:sz w:val="24"/>
          <w:szCs w:val="24"/>
        </w:rPr>
        <w:t xml:space="preserve">financial statements as of 31 December </w:t>
      </w:r>
      <w:r w:rsidR="00F15D4B">
        <w:rPr>
          <w:b/>
          <w:sz w:val="24"/>
          <w:szCs w:val="24"/>
        </w:rPr>
        <w:t>2020</w:t>
      </w:r>
      <w:r w:rsidR="00F15D4B" w:rsidRPr="00421152">
        <w:rPr>
          <w:b/>
          <w:sz w:val="24"/>
          <w:szCs w:val="24"/>
        </w:rPr>
        <w:t xml:space="preserve"> </w:t>
      </w:r>
      <w:r w:rsidR="00C54D5B" w:rsidRPr="00421152">
        <w:rPr>
          <w:b/>
          <w:sz w:val="24"/>
          <w:szCs w:val="24"/>
        </w:rPr>
        <w:t>(Swiss reporting format)</w:t>
      </w:r>
    </w:p>
    <w:p w14:paraId="2B5261A3" w14:textId="3021FF68" w:rsidR="0074567B" w:rsidRPr="00421152" w:rsidRDefault="0074567B" w:rsidP="00BD2863">
      <w:pPr>
        <w:pStyle w:val="NoSpacing"/>
        <w:ind w:left="0" w:firstLine="0"/>
        <w:rPr>
          <w:b/>
          <w:sz w:val="24"/>
          <w:szCs w:val="24"/>
        </w:rPr>
      </w:pPr>
    </w:p>
    <w:p w14:paraId="029E0D77" w14:textId="77777777" w:rsidR="003F135F" w:rsidRDefault="003F135F" w:rsidP="00633DD5">
      <w:pPr>
        <w:pStyle w:val="NoSpacing"/>
        <w:rPr>
          <w:b/>
        </w:rPr>
      </w:pPr>
    </w:p>
    <w:p w14:paraId="38C90180" w14:textId="1B50B78B" w:rsidR="004C03D9" w:rsidRPr="00421152" w:rsidRDefault="003D733E" w:rsidP="00633DD5">
      <w:pPr>
        <w:pStyle w:val="NoSpacing"/>
        <w:rPr>
          <w:b/>
        </w:rPr>
      </w:pPr>
      <w:r w:rsidRPr="00421152">
        <w:rPr>
          <w:b/>
        </w:rPr>
        <w:t>I.</w:t>
      </w:r>
      <w:r w:rsidRPr="00421152">
        <w:rPr>
          <w:b/>
        </w:rPr>
        <w:tab/>
      </w:r>
      <w:r w:rsidR="00D418B6" w:rsidRPr="00421152">
        <w:rPr>
          <w:b/>
        </w:rPr>
        <w:t>Balance sheet as of 31 December</w:t>
      </w:r>
      <w:r w:rsidR="006A24F1" w:rsidRPr="006D777A">
        <w:rPr>
          <w:rStyle w:val="FootnoteReference"/>
        </w:rPr>
        <w:footnoteReference w:id="5"/>
      </w:r>
    </w:p>
    <w:p w14:paraId="3E22D7C5" w14:textId="0A7B8DCC" w:rsidR="003F135F" w:rsidRDefault="003F135F" w:rsidP="00633DD5">
      <w:pPr>
        <w:pStyle w:val="NoSpacing"/>
        <w:rPr>
          <w:b/>
        </w:rPr>
      </w:pPr>
    </w:p>
    <w:p w14:paraId="51AD4D7F" w14:textId="3BE60A6D" w:rsidR="007A4B88" w:rsidRDefault="007A4B88">
      <w:pPr>
        <w:rPr>
          <w:rFonts w:eastAsia="Times New Roman" w:cs="Arial"/>
          <w:b/>
          <w:bCs/>
          <w:lang w:eastAsia="en-GB"/>
        </w:rPr>
      </w:pPr>
    </w:p>
    <w:tbl>
      <w:tblPr>
        <w:tblW w:w="8297" w:type="dxa"/>
        <w:tblLayout w:type="fixed"/>
        <w:tblLook w:val="0000" w:firstRow="0" w:lastRow="0" w:firstColumn="0" w:lastColumn="0" w:noHBand="0" w:noVBand="0"/>
      </w:tblPr>
      <w:tblGrid>
        <w:gridCol w:w="3969"/>
        <w:gridCol w:w="846"/>
        <w:gridCol w:w="1620"/>
        <w:gridCol w:w="283"/>
        <w:gridCol w:w="1579"/>
      </w:tblGrid>
      <w:tr w:rsidR="00FB66C4" w:rsidRPr="00FB66C4" w14:paraId="12B378A3" w14:textId="77777777" w:rsidTr="00FB66C4">
        <w:trPr>
          <w:trHeight w:val="426"/>
        </w:trPr>
        <w:tc>
          <w:tcPr>
            <w:tcW w:w="3969" w:type="dxa"/>
            <w:tcBorders>
              <w:top w:val="nil"/>
              <w:left w:val="nil"/>
              <w:bottom w:val="single" w:sz="12" w:space="0" w:color="auto"/>
              <w:right w:val="nil"/>
            </w:tcBorders>
            <w:shd w:val="solid" w:color="FFFFFF" w:fill="auto"/>
            <w:vAlign w:val="center"/>
          </w:tcPr>
          <w:p w14:paraId="3145CA65" w14:textId="77777777" w:rsidR="00FB66C4" w:rsidRPr="00FB66C4" w:rsidRDefault="00FB66C4" w:rsidP="00FB66C4">
            <w:pPr>
              <w:autoSpaceDE w:val="0"/>
              <w:autoSpaceDN w:val="0"/>
              <w:adjustRightInd w:val="0"/>
              <w:ind w:left="0" w:firstLine="0"/>
              <w:rPr>
                <w:rFonts w:asciiTheme="minorHAnsi" w:eastAsiaTheme="minorHAnsi" w:hAnsiTheme="minorHAnsi" w:cstheme="minorHAnsi"/>
                <w:i/>
                <w:iCs/>
                <w:color w:val="000000"/>
                <w:sz w:val="20"/>
                <w:szCs w:val="20"/>
              </w:rPr>
            </w:pPr>
            <w:r w:rsidRPr="00FB66C4">
              <w:rPr>
                <w:rFonts w:asciiTheme="minorHAnsi" w:eastAsiaTheme="minorHAnsi" w:hAnsiTheme="minorHAnsi" w:cstheme="minorHAnsi"/>
                <w:i/>
                <w:iCs/>
                <w:color w:val="000000"/>
                <w:sz w:val="20"/>
                <w:szCs w:val="20"/>
              </w:rPr>
              <w:t>in thousands of Swiss Francs (CHF '000s)</w:t>
            </w:r>
          </w:p>
        </w:tc>
        <w:tc>
          <w:tcPr>
            <w:tcW w:w="846" w:type="dxa"/>
            <w:tcBorders>
              <w:top w:val="nil"/>
              <w:left w:val="nil"/>
              <w:bottom w:val="single" w:sz="12" w:space="0" w:color="auto"/>
              <w:right w:val="nil"/>
            </w:tcBorders>
            <w:shd w:val="solid" w:color="FFFFFF" w:fill="auto"/>
            <w:vAlign w:val="center"/>
          </w:tcPr>
          <w:p w14:paraId="5D725936" w14:textId="2A9FF2A1" w:rsidR="00FB66C4" w:rsidRPr="00FB66C4" w:rsidRDefault="00FB66C4"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Notes</w:t>
            </w:r>
          </w:p>
        </w:tc>
        <w:tc>
          <w:tcPr>
            <w:tcW w:w="1620" w:type="dxa"/>
            <w:tcBorders>
              <w:top w:val="nil"/>
              <w:left w:val="nil"/>
              <w:bottom w:val="single" w:sz="12" w:space="0" w:color="auto"/>
              <w:right w:val="nil"/>
            </w:tcBorders>
            <w:shd w:val="clear" w:color="auto" w:fill="B8CCE4" w:themeFill="accent1" w:themeFillTint="66"/>
            <w:vAlign w:val="center"/>
          </w:tcPr>
          <w:p w14:paraId="06D54244" w14:textId="0CBB8088" w:rsidR="00FB66C4" w:rsidRPr="00FB66C4" w:rsidRDefault="00FB66C4"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2020</w:t>
            </w:r>
          </w:p>
        </w:tc>
        <w:tc>
          <w:tcPr>
            <w:tcW w:w="283" w:type="dxa"/>
            <w:tcBorders>
              <w:top w:val="nil"/>
              <w:left w:val="nil"/>
              <w:bottom w:val="single" w:sz="12" w:space="0" w:color="auto"/>
              <w:right w:val="nil"/>
            </w:tcBorders>
            <w:shd w:val="clear" w:color="auto" w:fill="F2F2F2" w:themeFill="background1" w:themeFillShade="F2"/>
            <w:vAlign w:val="center"/>
          </w:tcPr>
          <w:p w14:paraId="633115DC" w14:textId="77777777" w:rsidR="00FB66C4" w:rsidRPr="00FB66C4" w:rsidRDefault="00FB66C4" w:rsidP="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579" w:type="dxa"/>
            <w:tcBorders>
              <w:top w:val="nil"/>
              <w:left w:val="nil"/>
              <w:bottom w:val="single" w:sz="12" w:space="0" w:color="auto"/>
              <w:right w:val="nil"/>
            </w:tcBorders>
            <w:shd w:val="clear" w:color="auto" w:fill="D6E3BC" w:themeFill="accent3" w:themeFillTint="66"/>
            <w:vAlign w:val="center"/>
          </w:tcPr>
          <w:p w14:paraId="6D207887" w14:textId="4CE24843" w:rsidR="00FB66C4" w:rsidRPr="00FB66C4" w:rsidRDefault="00FB66C4" w:rsidP="00FB66C4">
            <w:pPr>
              <w:autoSpaceDE w:val="0"/>
              <w:autoSpaceDN w:val="0"/>
              <w:adjustRightInd w:val="0"/>
              <w:ind w:left="0" w:firstLine="0"/>
              <w:jc w:val="center"/>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2019</w:t>
            </w:r>
          </w:p>
        </w:tc>
      </w:tr>
      <w:tr w:rsidR="00FB66C4" w:rsidRPr="00FB66C4" w14:paraId="57782116" w14:textId="77777777" w:rsidTr="00FB66C4">
        <w:tc>
          <w:tcPr>
            <w:tcW w:w="3969" w:type="dxa"/>
            <w:tcBorders>
              <w:top w:val="nil"/>
              <w:left w:val="nil"/>
              <w:bottom w:val="nil"/>
              <w:right w:val="nil"/>
            </w:tcBorders>
            <w:shd w:val="solid" w:color="FFFFFF" w:fill="auto"/>
          </w:tcPr>
          <w:p w14:paraId="42E750FB" w14:textId="77777777" w:rsid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p>
          <w:p w14:paraId="0A27D0E5" w14:textId="7EEF71A2"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ASSETS</w:t>
            </w:r>
          </w:p>
        </w:tc>
        <w:tc>
          <w:tcPr>
            <w:tcW w:w="846" w:type="dxa"/>
            <w:tcBorders>
              <w:top w:val="nil"/>
              <w:left w:val="nil"/>
              <w:bottom w:val="nil"/>
              <w:right w:val="nil"/>
            </w:tcBorders>
            <w:shd w:val="solid" w:color="FFFFFF" w:fill="auto"/>
          </w:tcPr>
          <w:p w14:paraId="3485A634"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0645D789" w14:textId="77777777" w:rsidR="00FB66C4" w:rsidRPr="00FB66C4"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49A10A63" w14:textId="77777777" w:rsidR="00FB66C4" w:rsidRPr="00FB66C4"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421857A6" w14:textId="77777777" w:rsidR="00FB66C4" w:rsidRPr="00FB66C4"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543880CF" w14:textId="77777777" w:rsidTr="00FB66C4">
        <w:tc>
          <w:tcPr>
            <w:tcW w:w="3969" w:type="dxa"/>
            <w:tcBorders>
              <w:top w:val="nil"/>
              <w:left w:val="nil"/>
              <w:bottom w:val="nil"/>
              <w:right w:val="nil"/>
            </w:tcBorders>
            <w:shd w:val="solid" w:color="FFFFFF" w:fill="auto"/>
          </w:tcPr>
          <w:p w14:paraId="369A3471"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Current assets</w:t>
            </w:r>
          </w:p>
        </w:tc>
        <w:tc>
          <w:tcPr>
            <w:tcW w:w="846" w:type="dxa"/>
            <w:tcBorders>
              <w:top w:val="nil"/>
              <w:left w:val="nil"/>
              <w:bottom w:val="nil"/>
              <w:right w:val="nil"/>
            </w:tcBorders>
            <w:shd w:val="solid" w:color="FFFFFF" w:fill="auto"/>
          </w:tcPr>
          <w:p w14:paraId="54DA98A9"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tcPr>
          <w:p w14:paraId="611F5B6B" w14:textId="77777777" w:rsidR="00FB66C4" w:rsidRPr="00FB66C4"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tcPr>
          <w:p w14:paraId="0AF4254F" w14:textId="77777777" w:rsidR="00FB66C4" w:rsidRPr="00FB66C4"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tcPr>
          <w:p w14:paraId="53480B35" w14:textId="77777777" w:rsidR="00FB66C4" w:rsidRPr="00FB66C4" w:rsidRDefault="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6E8B7E8D" w14:textId="77777777" w:rsidTr="00FB66C4">
        <w:tc>
          <w:tcPr>
            <w:tcW w:w="3969" w:type="dxa"/>
            <w:tcBorders>
              <w:top w:val="nil"/>
              <w:left w:val="nil"/>
              <w:bottom w:val="nil"/>
              <w:right w:val="nil"/>
            </w:tcBorders>
            <w:shd w:val="solid" w:color="FFFFFF" w:fill="auto"/>
          </w:tcPr>
          <w:p w14:paraId="16B256E0" w14:textId="587D0E11"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Cash and short term bank deposits</w:t>
            </w:r>
          </w:p>
        </w:tc>
        <w:tc>
          <w:tcPr>
            <w:tcW w:w="846" w:type="dxa"/>
            <w:tcBorders>
              <w:top w:val="nil"/>
              <w:left w:val="nil"/>
              <w:bottom w:val="nil"/>
              <w:right w:val="nil"/>
            </w:tcBorders>
            <w:shd w:val="solid" w:color="FFFFFF" w:fill="auto"/>
          </w:tcPr>
          <w:p w14:paraId="52BB8266"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7E8677A4"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5,634</w:t>
            </w:r>
          </w:p>
        </w:tc>
        <w:tc>
          <w:tcPr>
            <w:tcW w:w="283" w:type="dxa"/>
            <w:tcBorders>
              <w:top w:val="nil"/>
              <w:left w:val="nil"/>
              <w:bottom w:val="nil"/>
              <w:right w:val="nil"/>
            </w:tcBorders>
            <w:shd w:val="clear" w:color="auto" w:fill="F2F2F2" w:themeFill="background1" w:themeFillShade="F2"/>
            <w:vAlign w:val="center"/>
          </w:tcPr>
          <w:p w14:paraId="6FF538B7"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2D8DAC5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3,827</w:t>
            </w:r>
          </w:p>
        </w:tc>
      </w:tr>
      <w:tr w:rsidR="00FB66C4" w:rsidRPr="00FB66C4" w14:paraId="4565B0B4" w14:textId="77777777" w:rsidTr="00FB66C4">
        <w:tc>
          <w:tcPr>
            <w:tcW w:w="3969" w:type="dxa"/>
            <w:tcBorders>
              <w:top w:val="nil"/>
              <w:left w:val="nil"/>
              <w:bottom w:val="nil"/>
              <w:right w:val="nil"/>
            </w:tcBorders>
            <w:shd w:val="solid" w:color="FFFFFF" w:fill="auto"/>
          </w:tcPr>
          <w:p w14:paraId="7882CCE6" w14:textId="5091889A"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Contracting Party receivables (net)</w:t>
            </w:r>
          </w:p>
        </w:tc>
        <w:tc>
          <w:tcPr>
            <w:tcW w:w="846" w:type="dxa"/>
            <w:tcBorders>
              <w:top w:val="nil"/>
              <w:left w:val="nil"/>
              <w:bottom w:val="nil"/>
              <w:right w:val="nil"/>
            </w:tcBorders>
            <w:shd w:val="solid" w:color="FFFFFF" w:fill="auto"/>
          </w:tcPr>
          <w:p w14:paraId="4CFB8020"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6</w:t>
            </w:r>
          </w:p>
        </w:tc>
        <w:tc>
          <w:tcPr>
            <w:tcW w:w="1620" w:type="dxa"/>
            <w:tcBorders>
              <w:top w:val="nil"/>
              <w:left w:val="nil"/>
              <w:bottom w:val="nil"/>
              <w:right w:val="nil"/>
            </w:tcBorders>
            <w:shd w:val="solid" w:color="FFFFFF" w:fill="auto"/>
            <w:vAlign w:val="center"/>
          </w:tcPr>
          <w:p w14:paraId="676F2D1B"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680</w:t>
            </w:r>
          </w:p>
        </w:tc>
        <w:tc>
          <w:tcPr>
            <w:tcW w:w="283" w:type="dxa"/>
            <w:tcBorders>
              <w:top w:val="nil"/>
              <w:left w:val="nil"/>
              <w:bottom w:val="nil"/>
              <w:right w:val="nil"/>
            </w:tcBorders>
            <w:shd w:val="clear" w:color="auto" w:fill="F2F2F2" w:themeFill="background1" w:themeFillShade="F2"/>
            <w:vAlign w:val="center"/>
          </w:tcPr>
          <w:p w14:paraId="51990328"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761AE39B"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2,364</w:t>
            </w:r>
          </w:p>
        </w:tc>
      </w:tr>
      <w:tr w:rsidR="00FB66C4" w:rsidRPr="00FB66C4" w14:paraId="0C332D6B" w14:textId="77777777" w:rsidTr="00FB66C4">
        <w:tc>
          <w:tcPr>
            <w:tcW w:w="3969" w:type="dxa"/>
            <w:tcBorders>
              <w:top w:val="nil"/>
              <w:left w:val="nil"/>
              <w:bottom w:val="nil"/>
              <w:right w:val="nil"/>
            </w:tcBorders>
            <w:shd w:val="solid" w:color="FFFFFF" w:fill="auto"/>
          </w:tcPr>
          <w:p w14:paraId="6938D07E" w14:textId="7A326165"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Other account receivables</w:t>
            </w:r>
          </w:p>
        </w:tc>
        <w:tc>
          <w:tcPr>
            <w:tcW w:w="846" w:type="dxa"/>
            <w:tcBorders>
              <w:top w:val="nil"/>
              <w:left w:val="nil"/>
              <w:bottom w:val="nil"/>
              <w:right w:val="nil"/>
            </w:tcBorders>
            <w:shd w:val="solid" w:color="FFFFFF" w:fill="auto"/>
          </w:tcPr>
          <w:p w14:paraId="43A354AE"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7</w:t>
            </w:r>
          </w:p>
        </w:tc>
        <w:tc>
          <w:tcPr>
            <w:tcW w:w="1620" w:type="dxa"/>
            <w:tcBorders>
              <w:top w:val="nil"/>
              <w:left w:val="nil"/>
              <w:bottom w:val="single" w:sz="6" w:space="0" w:color="auto"/>
              <w:right w:val="nil"/>
            </w:tcBorders>
            <w:shd w:val="solid" w:color="FFFFFF" w:fill="auto"/>
            <w:vAlign w:val="center"/>
          </w:tcPr>
          <w:p w14:paraId="6BF4680E"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85</w:t>
            </w:r>
          </w:p>
        </w:tc>
        <w:tc>
          <w:tcPr>
            <w:tcW w:w="283" w:type="dxa"/>
            <w:tcBorders>
              <w:top w:val="nil"/>
              <w:left w:val="nil"/>
              <w:bottom w:val="single" w:sz="6" w:space="0" w:color="auto"/>
              <w:right w:val="nil"/>
            </w:tcBorders>
            <w:shd w:val="clear" w:color="auto" w:fill="F2F2F2" w:themeFill="background1" w:themeFillShade="F2"/>
            <w:vAlign w:val="center"/>
          </w:tcPr>
          <w:p w14:paraId="78E9465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vAlign w:val="center"/>
          </w:tcPr>
          <w:p w14:paraId="283CC044"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142</w:t>
            </w:r>
          </w:p>
        </w:tc>
      </w:tr>
      <w:tr w:rsidR="00FB66C4" w:rsidRPr="00FB66C4" w14:paraId="39BEB9A1" w14:textId="77777777" w:rsidTr="00FB66C4">
        <w:tc>
          <w:tcPr>
            <w:tcW w:w="3969" w:type="dxa"/>
            <w:tcBorders>
              <w:top w:val="nil"/>
              <w:left w:val="nil"/>
              <w:bottom w:val="nil"/>
              <w:right w:val="nil"/>
            </w:tcBorders>
            <w:shd w:val="solid" w:color="FFFFFF" w:fill="auto"/>
          </w:tcPr>
          <w:p w14:paraId="22621280"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Total current assets</w:t>
            </w:r>
          </w:p>
        </w:tc>
        <w:tc>
          <w:tcPr>
            <w:tcW w:w="846" w:type="dxa"/>
            <w:tcBorders>
              <w:top w:val="nil"/>
              <w:left w:val="nil"/>
              <w:bottom w:val="nil"/>
              <w:right w:val="nil"/>
            </w:tcBorders>
            <w:shd w:val="solid" w:color="FFFFFF" w:fill="auto"/>
          </w:tcPr>
          <w:p w14:paraId="276C8DEC"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0A8D4CE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6,399</w:t>
            </w:r>
          </w:p>
        </w:tc>
        <w:tc>
          <w:tcPr>
            <w:tcW w:w="283" w:type="dxa"/>
            <w:tcBorders>
              <w:top w:val="nil"/>
              <w:left w:val="nil"/>
              <w:bottom w:val="nil"/>
              <w:right w:val="nil"/>
            </w:tcBorders>
            <w:shd w:val="clear" w:color="auto" w:fill="F2F2F2" w:themeFill="background1" w:themeFillShade="F2"/>
            <w:vAlign w:val="center"/>
          </w:tcPr>
          <w:p w14:paraId="5CBE9356"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vAlign w:val="center"/>
          </w:tcPr>
          <w:p w14:paraId="162725F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6,333</w:t>
            </w:r>
          </w:p>
        </w:tc>
      </w:tr>
      <w:tr w:rsidR="00FB66C4" w:rsidRPr="00FB66C4" w14:paraId="738C1186" w14:textId="77777777" w:rsidTr="00FB66C4">
        <w:tc>
          <w:tcPr>
            <w:tcW w:w="3969" w:type="dxa"/>
            <w:tcBorders>
              <w:top w:val="nil"/>
              <w:left w:val="nil"/>
              <w:bottom w:val="nil"/>
              <w:right w:val="nil"/>
            </w:tcBorders>
            <w:shd w:val="solid" w:color="FFFFFF" w:fill="auto"/>
          </w:tcPr>
          <w:p w14:paraId="64E42D3A"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20A7FED0"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67E724E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08922FF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6B46246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5D4245A3" w14:textId="77777777" w:rsidTr="00FB66C4">
        <w:tc>
          <w:tcPr>
            <w:tcW w:w="3969" w:type="dxa"/>
            <w:tcBorders>
              <w:top w:val="nil"/>
              <w:left w:val="nil"/>
              <w:bottom w:val="nil"/>
              <w:right w:val="nil"/>
            </w:tcBorders>
            <w:shd w:val="solid" w:color="FFFFFF" w:fill="auto"/>
          </w:tcPr>
          <w:p w14:paraId="5F8925DB"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Fixed assets (net)</w:t>
            </w:r>
          </w:p>
        </w:tc>
        <w:tc>
          <w:tcPr>
            <w:tcW w:w="846" w:type="dxa"/>
            <w:tcBorders>
              <w:top w:val="nil"/>
              <w:left w:val="nil"/>
              <w:bottom w:val="nil"/>
              <w:right w:val="nil"/>
            </w:tcBorders>
            <w:shd w:val="solid" w:color="FFFFFF" w:fill="auto"/>
          </w:tcPr>
          <w:p w14:paraId="2B7E3D38"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9</w:t>
            </w:r>
          </w:p>
        </w:tc>
        <w:tc>
          <w:tcPr>
            <w:tcW w:w="1620" w:type="dxa"/>
            <w:tcBorders>
              <w:top w:val="nil"/>
              <w:left w:val="nil"/>
              <w:bottom w:val="nil"/>
              <w:right w:val="nil"/>
            </w:tcBorders>
            <w:shd w:val="solid" w:color="FFFFFF" w:fill="auto"/>
            <w:vAlign w:val="center"/>
          </w:tcPr>
          <w:p w14:paraId="24FF4E1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13</w:t>
            </w:r>
          </w:p>
        </w:tc>
        <w:tc>
          <w:tcPr>
            <w:tcW w:w="283" w:type="dxa"/>
            <w:tcBorders>
              <w:top w:val="nil"/>
              <w:left w:val="nil"/>
              <w:bottom w:val="nil"/>
              <w:right w:val="nil"/>
            </w:tcBorders>
            <w:shd w:val="clear" w:color="auto" w:fill="F2F2F2" w:themeFill="background1" w:themeFillShade="F2"/>
            <w:vAlign w:val="center"/>
          </w:tcPr>
          <w:p w14:paraId="0A76B268"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06A703BF"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16</w:t>
            </w:r>
          </w:p>
        </w:tc>
      </w:tr>
      <w:tr w:rsidR="00FB66C4" w:rsidRPr="00FB66C4" w14:paraId="60A18489" w14:textId="77777777" w:rsidTr="00FB66C4">
        <w:tc>
          <w:tcPr>
            <w:tcW w:w="3969" w:type="dxa"/>
            <w:tcBorders>
              <w:top w:val="nil"/>
              <w:left w:val="nil"/>
              <w:bottom w:val="nil"/>
              <w:right w:val="nil"/>
            </w:tcBorders>
            <w:shd w:val="solid" w:color="FFFFFF" w:fill="auto"/>
          </w:tcPr>
          <w:p w14:paraId="5276787F"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Total non-current assets</w:t>
            </w:r>
          </w:p>
        </w:tc>
        <w:tc>
          <w:tcPr>
            <w:tcW w:w="846" w:type="dxa"/>
            <w:tcBorders>
              <w:top w:val="nil"/>
              <w:left w:val="nil"/>
              <w:bottom w:val="nil"/>
              <w:right w:val="nil"/>
            </w:tcBorders>
            <w:shd w:val="solid" w:color="FFFFFF" w:fill="auto"/>
          </w:tcPr>
          <w:p w14:paraId="25F98AC3"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nil"/>
              <w:right w:val="nil"/>
            </w:tcBorders>
            <w:shd w:val="solid" w:color="FFFFFF" w:fill="auto"/>
            <w:vAlign w:val="center"/>
          </w:tcPr>
          <w:p w14:paraId="714D208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13</w:t>
            </w:r>
          </w:p>
        </w:tc>
        <w:tc>
          <w:tcPr>
            <w:tcW w:w="283" w:type="dxa"/>
            <w:tcBorders>
              <w:top w:val="single" w:sz="6" w:space="0" w:color="auto"/>
              <w:left w:val="nil"/>
              <w:bottom w:val="nil"/>
              <w:right w:val="nil"/>
            </w:tcBorders>
            <w:shd w:val="clear" w:color="auto" w:fill="F2F2F2" w:themeFill="background1" w:themeFillShade="F2"/>
            <w:vAlign w:val="center"/>
          </w:tcPr>
          <w:p w14:paraId="1F2C1AFB"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nil"/>
              <w:right w:val="nil"/>
            </w:tcBorders>
            <w:shd w:val="solid" w:color="FFFFFF" w:fill="auto"/>
            <w:vAlign w:val="center"/>
          </w:tcPr>
          <w:p w14:paraId="7A13CC52"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16</w:t>
            </w:r>
          </w:p>
        </w:tc>
      </w:tr>
      <w:tr w:rsidR="00FB66C4" w:rsidRPr="00FB66C4" w14:paraId="49A90065" w14:textId="77777777" w:rsidTr="00FB66C4">
        <w:tc>
          <w:tcPr>
            <w:tcW w:w="3969" w:type="dxa"/>
            <w:tcBorders>
              <w:top w:val="nil"/>
              <w:left w:val="nil"/>
              <w:bottom w:val="nil"/>
              <w:right w:val="nil"/>
            </w:tcBorders>
            <w:shd w:val="solid" w:color="FFFFFF" w:fill="auto"/>
          </w:tcPr>
          <w:p w14:paraId="2F665AEE" w14:textId="77777777"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04BB2A2A"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vAlign w:val="center"/>
          </w:tcPr>
          <w:p w14:paraId="1B4D4E9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776DB241"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465C54EF"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077D717E" w14:textId="77777777" w:rsidTr="00FB66C4">
        <w:tc>
          <w:tcPr>
            <w:tcW w:w="3969" w:type="dxa"/>
            <w:tcBorders>
              <w:top w:val="nil"/>
              <w:left w:val="nil"/>
              <w:bottom w:val="nil"/>
              <w:right w:val="nil"/>
            </w:tcBorders>
            <w:shd w:val="solid" w:color="FFFFFF" w:fill="auto"/>
          </w:tcPr>
          <w:p w14:paraId="73810179"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TOTAL ASSETS</w:t>
            </w:r>
          </w:p>
        </w:tc>
        <w:tc>
          <w:tcPr>
            <w:tcW w:w="846" w:type="dxa"/>
            <w:tcBorders>
              <w:top w:val="nil"/>
              <w:left w:val="nil"/>
              <w:bottom w:val="nil"/>
              <w:right w:val="nil"/>
            </w:tcBorders>
            <w:shd w:val="solid" w:color="FFFFFF" w:fill="auto"/>
          </w:tcPr>
          <w:p w14:paraId="3722768B"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single" w:sz="6" w:space="0" w:color="auto"/>
              <w:right w:val="nil"/>
            </w:tcBorders>
            <w:shd w:val="solid" w:color="FFFFFF" w:fill="auto"/>
            <w:vAlign w:val="center"/>
          </w:tcPr>
          <w:p w14:paraId="402A8870"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6,412</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1CB4B816"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solid" w:color="FFFFFF" w:fill="auto"/>
            <w:vAlign w:val="center"/>
          </w:tcPr>
          <w:p w14:paraId="5C06DEBC"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6,349</w:t>
            </w:r>
          </w:p>
        </w:tc>
      </w:tr>
      <w:tr w:rsidR="00FB66C4" w:rsidRPr="00FB66C4" w14:paraId="23E0DE1E" w14:textId="77777777" w:rsidTr="00FB66C4">
        <w:tc>
          <w:tcPr>
            <w:tcW w:w="3969" w:type="dxa"/>
            <w:tcBorders>
              <w:top w:val="nil"/>
              <w:left w:val="nil"/>
              <w:bottom w:val="nil"/>
              <w:right w:val="nil"/>
            </w:tcBorders>
            <w:shd w:val="solid" w:color="FFFFFF" w:fill="auto"/>
          </w:tcPr>
          <w:p w14:paraId="7277949C" w14:textId="77777777"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p>
        </w:tc>
        <w:tc>
          <w:tcPr>
            <w:tcW w:w="846" w:type="dxa"/>
            <w:tcBorders>
              <w:top w:val="nil"/>
              <w:left w:val="nil"/>
              <w:bottom w:val="nil"/>
              <w:right w:val="nil"/>
            </w:tcBorders>
            <w:shd w:val="solid" w:color="FFFFFF" w:fill="auto"/>
          </w:tcPr>
          <w:p w14:paraId="708D1A75"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703CE90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67F147BC"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2E59E31F"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12E9BCAB" w14:textId="77777777" w:rsidTr="00FB66C4">
        <w:tc>
          <w:tcPr>
            <w:tcW w:w="3969" w:type="dxa"/>
            <w:tcBorders>
              <w:top w:val="nil"/>
              <w:left w:val="nil"/>
              <w:bottom w:val="nil"/>
              <w:right w:val="nil"/>
            </w:tcBorders>
            <w:shd w:val="solid" w:color="FFFFFF" w:fill="auto"/>
          </w:tcPr>
          <w:p w14:paraId="04B5D9F4"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LIABILITIES AND FUND BALANCES</w:t>
            </w:r>
          </w:p>
        </w:tc>
        <w:tc>
          <w:tcPr>
            <w:tcW w:w="846" w:type="dxa"/>
            <w:tcBorders>
              <w:top w:val="nil"/>
              <w:left w:val="nil"/>
              <w:bottom w:val="nil"/>
              <w:right w:val="nil"/>
            </w:tcBorders>
            <w:shd w:val="solid" w:color="FFFFFF" w:fill="auto"/>
          </w:tcPr>
          <w:p w14:paraId="4F7709D5"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24C0FFF4"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6A0A3FD2"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263F42EB"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5B7E6180" w14:textId="77777777" w:rsidTr="00FB66C4">
        <w:tc>
          <w:tcPr>
            <w:tcW w:w="3969" w:type="dxa"/>
            <w:tcBorders>
              <w:top w:val="nil"/>
              <w:left w:val="nil"/>
              <w:bottom w:val="nil"/>
              <w:right w:val="nil"/>
            </w:tcBorders>
            <w:shd w:val="solid" w:color="FFFFFF" w:fill="auto"/>
          </w:tcPr>
          <w:p w14:paraId="2BF7B28E"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Current liabilities</w:t>
            </w:r>
          </w:p>
        </w:tc>
        <w:tc>
          <w:tcPr>
            <w:tcW w:w="846" w:type="dxa"/>
            <w:tcBorders>
              <w:top w:val="nil"/>
              <w:left w:val="nil"/>
              <w:bottom w:val="nil"/>
              <w:right w:val="nil"/>
            </w:tcBorders>
            <w:shd w:val="solid" w:color="FFFFFF" w:fill="auto"/>
          </w:tcPr>
          <w:p w14:paraId="5889C189"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37D27757"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4B4901F7"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4ADD30FA"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1AFC65F0" w14:textId="77777777" w:rsidTr="00FB66C4">
        <w:tc>
          <w:tcPr>
            <w:tcW w:w="3969" w:type="dxa"/>
            <w:tcBorders>
              <w:top w:val="nil"/>
              <w:left w:val="nil"/>
              <w:bottom w:val="nil"/>
              <w:right w:val="nil"/>
            </w:tcBorders>
            <w:shd w:val="solid" w:color="FFFFFF" w:fill="auto"/>
          </w:tcPr>
          <w:p w14:paraId="1A6F5680" w14:textId="79CF5DA5"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Amount owed to IUCN</w:t>
            </w:r>
          </w:p>
        </w:tc>
        <w:tc>
          <w:tcPr>
            <w:tcW w:w="846" w:type="dxa"/>
            <w:tcBorders>
              <w:top w:val="nil"/>
              <w:left w:val="nil"/>
              <w:bottom w:val="nil"/>
              <w:right w:val="nil"/>
            </w:tcBorders>
            <w:shd w:val="solid" w:color="FFFFFF" w:fill="auto"/>
          </w:tcPr>
          <w:p w14:paraId="3C562EAA"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5148F22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61</w:t>
            </w:r>
          </w:p>
        </w:tc>
        <w:tc>
          <w:tcPr>
            <w:tcW w:w="283" w:type="dxa"/>
            <w:tcBorders>
              <w:top w:val="nil"/>
              <w:left w:val="nil"/>
              <w:bottom w:val="nil"/>
              <w:right w:val="nil"/>
            </w:tcBorders>
            <w:shd w:val="clear" w:color="auto" w:fill="F2F2F2" w:themeFill="background1" w:themeFillShade="F2"/>
            <w:vAlign w:val="center"/>
          </w:tcPr>
          <w:p w14:paraId="6652933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08E6E420"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367</w:t>
            </w:r>
          </w:p>
        </w:tc>
      </w:tr>
      <w:tr w:rsidR="00FB66C4" w:rsidRPr="00FB66C4" w14:paraId="3F6CB546" w14:textId="77777777" w:rsidTr="00FB66C4">
        <w:tc>
          <w:tcPr>
            <w:tcW w:w="3969" w:type="dxa"/>
            <w:tcBorders>
              <w:top w:val="nil"/>
              <w:left w:val="nil"/>
              <w:bottom w:val="nil"/>
              <w:right w:val="nil"/>
            </w:tcBorders>
            <w:shd w:val="solid" w:color="FFFFFF" w:fill="auto"/>
          </w:tcPr>
          <w:p w14:paraId="5FDF57D7" w14:textId="234869D2"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Other Payables</w:t>
            </w:r>
          </w:p>
        </w:tc>
        <w:tc>
          <w:tcPr>
            <w:tcW w:w="846" w:type="dxa"/>
            <w:tcBorders>
              <w:top w:val="nil"/>
              <w:left w:val="nil"/>
              <w:bottom w:val="nil"/>
              <w:right w:val="nil"/>
            </w:tcBorders>
            <w:shd w:val="solid" w:color="FFFFFF" w:fill="auto"/>
          </w:tcPr>
          <w:p w14:paraId="1639C107"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8</w:t>
            </w:r>
          </w:p>
        </w:tc>
        <w:tc>
          <w:tcPr>
            <w:tcW w:w="1620" w:type="dxa"/>
            <w:tcBorders>
              <w:top w:val="nil"/>
              <w:left w:val="nil"/>
              <w:bottom w:val="nil"/>
              <w:right w:val="nil"/>
            </w:tcBorders>
            <w:shd w:val="solid" w:color="FFFFFF" w:fill="auto"/>
            <w:vAlign w:val="center"/>
          </w:tcPr>
          <w:p w14:paraId="40AEEEED"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655</w:t>
            </w:r>
          </w:p>
        </w:tc>
        <w:tc>
          <w:tcPr>
            <w:tcW w:w="283" w:type="dxa"/>
            <w:tcBorders>
              <w:top w:val="nil"/>
              <w:left w:val="nil"/>
              <w:bottom w:val="nil"/>
              <w:right w:val="nil"/>
            </w:tcBorders>
            <w:shd w:val="clear" w:color="auto" w:fill="F2F2F2" w:themeFill="background1" w:themeFillShade="F2"/>
            <w:vAlign w:val="center"/>
          </w:tcPr>
          <w:p w14:paraId="2BC4A2AB"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31A1552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749</w:t>
            </w:r>
          </w:p>
        </w:tc>
      </w:tr>
      <w:tr w:rsidR="00FB66C4" w:rsidRPr="00FB66C4" w14:paraId="68A925BF" w14:textId="77777777" w:rsidTr="00FB66C4">
        <w:tc>
          <w:tcPr>
            <w:tcW w:w="3969" w:type="dxa"/>
            <w:tcBorders>
              <w:top w:val="nil"/>
              <w:left w:val="nil"/>
              <w:bottom w:val="nil"/>
              <w:right w:val="nil"/>
            </w:tcBorders>
            <w:shd w:val="solid" w:color="FFFFFF" w:fill="auto"/>
          </w:tcPr>
          <w:p w14:paraId="487312A6" w14:textId="2C105FE7"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Accrued liabilities</w:t>
            </w:r>
          </w:p>
        </w:tc>
        <w:tc>
          <w:tcPr>
            <w:tcW w:w="846" w:type="dxa"/>
            <w:tcBorders>
              <w:top w:val="nil"/>
              <w:left w:val="nil"/>
              <w:bottom w:val="nil"/>
              <w:right w:val="nil"/>
            </w:tcBorders>
            <w:shd w:val="solid" w:color="FFFFFF" w:fill="auto"/>
          </w:tcPr>
          <w:p w14:paraId="019F4A71"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single" w:sz="6" w:space="0" w:color="auto"/>
              <w:right w:val="nil"/>
            </w:tcBorders>
            <w:shd w:val="solid" w:color="FFFFFF" w:fill="auto"/>
            <w:vAlign w:val="center"/>
          </w:tcPr>
          <w:p w14:paraId="56F78640"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83</w:t>
            </w:r>
          </w:p>
        </w:tc>
        <w:tc>
          <w:tcPr>
            <w:tcW w:w="283" w:type="dxa"/>
            <w:tcBorders>
              <w:top w:val="nil"/>
              <w:left w:val="nil"/>
              <w:bottom w:val="single" w:sz="6" w:space="0" w:color="auto"/>
              <w:right w:val="nil"/>
            </w:tcBorders>
            <w:shd w:val="clear" w:color="auto" w:fill="F2F2F2" w:themeFill="background1" w:themeFillShade="F2"/>
            <w:vAlign w:val="center"/>
          </w:tcPr>
          <w:p w14:paraId="470FD4D2"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vAlign w:val="center"/>
          </w:tcPr>
          <w:p w14:paraId="45644B30"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71</w:t>
            </w:r>
          </w:p>
        </w:tc>
      </w:tr>
      <w:tr w:rsidR="00FB66C4" w:rsidRPr="00FB66C4" w14:paraId="73277EAD" w14:textId="77777777" w:rsidTr="00FB66C4">
        <w:tc>
          <w:tcPr>
            <w:tcW w:w="3969" w:type="dxa"/>
            <w:tcBorders>
              <w:top w:val="nil"/>
              <w:left w:val="nil"/>
              <w:bottom w:val="nil"/>
              <w:right w:val="nil"/>
            </w:tcBorders>
            <w:shd w:val="solid" w:color="FFFFFF" w:fill="auto"/>
          </w:tcPr>
          <w:p w14:paraId="3C19F4A4"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Total current liabilities</w:t>
            </w:r>
          </w:p>
        </w:tc>
        <w:tc>
          <w:tcPr>
            <w:tcW w:w="846" w:type="dxa"/>
            <w:tcBorders>
              <w:top w:val="nil"/>
              <w:left w:val="nil"/>
              <w:bottom w:val="nil"/>
              <w:right w:val="nil"/>
            </w:tcBorders>
            <w:shd w:val="solid" w:color="FFFFFF" w:fill="auto"/>
          </w:tcPr>
          <w:p w14:paraId="4ACB12C4"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6B9BC536"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799</w:t>
            </w:r>
          </w:p>
        </w:tc>
        <w:tc>
          <w:tcPr>
            <w:tcW w:w="283" w:type="dxa"/>
            <w:tcBorders>
              <w:top w:val="nil"/>
              <w:left w:val="nil"/>
              <w:bottom w:val="nil"/>
              <w:right w:val="nil"/>
            </w:tcBorders>
            <w:shd w:val="clear" w:color="auto" w:fill="F2F2F2" w:themeFill="background1" w:themeFillShade="F2"/>
            <w:vAlign w:val="center"/>
          </w:tcPr>
          <w:p w14:paraId="0C4ECE6B"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vAlign w:val="center"/>
          </w:tcPr>
          <w:p w14:paraId="46519891"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1,187</w:t>
            </w:r>
          </w:p>
        </w:tc>
      </w:tr>
      <w:tr w:rsidR="00FB66C4" w:rsidRPr="00FB66C4" w14:paraId="56956801" w14:textId="77777777" w:rsidTr="00FB66C4">
        <w:tc>
          <w:tcPr>
            <w:tcW w:w="3969" w:type="dxa"/>
            <w:tcBorders>
              <w:top w:val="nil"/>
              <w:left w:val="nil"/>
              <w:bottom w:val="nil"/>
              <w:right w:val="nil"/>
            </w:tcBorders>
            <w:shd w:val="solid" w:color="FFFFFF" w:fill="auto"/>
          </w:tcPr>
          <w:p w14:paraId="4D33A02B"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50946C0F"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69025E81"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11AC0688"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0F833EFD"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1FB82B37" w14:textId="77777777" w:rsidTr="00FB66C4">
        <w:tc>
          <w:tcPr>
            <w:tcW w:w="3969" w:type="dxa"/>
            <w:tcBorders>
              <w:top w:val="nil"/>
              <w:left w:val="nil"/>
              <w:bottom w:val="nil"/>
              <w:right w:val="nil"/>
            </w:tcBorders>
            <w:shd w:val="solid" w:color="FFFFFF" w:fill="auto"/>
          </w:tcPr>
          <w:p w14:paraId="3CC3CF79"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Provisions</w:t>
            </w:r>
          </w:p>
        </w:tc>
        <w:tc>
          <w:tcPr>
            <w:tcW w:w="846" w:type="dxa"/>
            <w:tcBorders>
              <w:top w:val="nil"/>
              <w:left w:val="nil"/>
              <w:bottom w:val="nil"/>
              <w:right w:val="nil"/>
            </w:tcBorders>
            <w:shd w:val="solid" w:color="FFFFFF" w:fill="auto"/>
          </w:tcPr>
          <w:p w14:paraId="3EFB1805"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41D5411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052947F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1BB9D71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027B2A75" w14:textId="77777777" w:rsidTr="00FB66C4">
        <w:tc>
          <w:tcPr>
            <w:tcW w:w="3969" w:type="dxa"/>
            <w:tcBorders>
              <w:top w:val="nil"/>
              <w:left w:val="nil"/>
              <w:bottom w:val="nil"/>
              <w:right w:val="nil"/>
            </w:tcBorders>
            <w:shd w:val="solid" w:color="FFFFFF" w:fill="auto"/>
          </w:tcPr>
          <w:p w14:paraId="775E9F84" w14:textId="0B3BE6C1"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Staff repatriation</w:t>
            </w:r>
          </w:p>
        </w:tc>
        <w:tc>
          <w:tcPr>
            <w:tcW w:w="846" w:type="dxa"/>
            <w:tcBorders>
              <w:top w:val="nil"/>
              <w:left w:val="nil"/>
              <w:bottom w:val="nil"/>
              <w:right w:val="nil"/>
            </w:tcBorders>
            <w:shd w:val="solid" w:color="FFFFFF" w:fill="auto"/>
          </w:tcPr>
          <w:p w14:paraId="041A702F"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vAlign w:val="center"/>
          </w:tcPr>
          <w:p w14:paraId="054E7DD7"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121</w:t>
            </w:r>
          </w:p>
        </w:tc>
        <w:tc>
          <w:tcPr>
            <w:tcW w:w="283" w:type="dxa"/>
            <w:tcBorders>
              <w:top w:val="nil"/>
              <w:left w:val="nil"/>
              <w:bottom w:val="nil"/>
              <w:right w:val="nil"/>
            </w:tcBorders>
            <w:shd w:val="clear" w:color="auto" w:fill="F2F2F2" w:themeFill="background1" w:themeFillShade="F2"/>
            <w:vAlign w:val="center"/>
          </w:tcPr>
          <w:p w14:paraId="0456D448"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121A75B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150</w:t>
            </w:r>
          </w:p>
        </w:tc>
      </w:tr>
      <w:tr w:rsidR="00FB66C4" w:rsidRPr="00FB66C4" w14:paraId="327D3095" w14:textId="77777777" w:rsidTr="00FB66C4">
        <w:tc>
          <w:tcPr>
            <w:tcW w:w="3969" w:type="dxa"/>
            <w:tcBorders>
              <w:top w:val="nil"/>
              <w:left w:val="nil"/>
              <w:bottom w:val="nil"/>
              <w:right w:val="nil"/>
            </w:tcBorders>
            <w:shd w:val="solid" w:color="FFFFFF" w:fill="auto"/>
          </w:tcPr>
          <w:p w14:paraId="4A188386" w14:textId="141038AE"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 xml:space="preserve">Staff leave </w:t>
            </w:r>
          </w:p>
        </w:tc>
        <w:tc>
          <w:tcPr>
            <w:tcW w:w="846" w:type="dxa"/>
            <w:tcBorders>
              <w:top w:val="nil"/>
              <w:left w:val="nil"/>
              <w:bottom w:val="nil"/>
              <w:right w:val="nil"/>
            </w:tcBorders>
            <w:shd w:val="solid" w:color="FFFFFF" w:fill="auto"/>
          </w:tcPr>
          <w:p w14:paraId="297A8E4A"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5</w:t>
            </w:r>
          </w:p>
        </w:tc>
        <w:tc>
          <w:tcPr>
            <w:tcW w:w="1620" w:type="dxa"/>
            <w:tcBorders>
              <w:top w:val="nil"/>
              <w:left w:val="nil"/>
              <w:bottom w:val="nil"/>
              <w:right w:val="nil"/>
            </w:tcBorders>
            <w:shd w:val="solid" w:color="FFFFFF" w:fill="auto"/>
            <w:vAlign w:val="center"/>
          </w:tcPr>
          <w:p w14:paraId="5DB178DC"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125</w:t>
            </w:r>
          </w:p>
        </w:tc>
        <w:tc>
          <w:tcPr>
            <w:tcW w:w="283" w:type="dxa"/>
            <w:tcBorders>
              <w:top w:val="nil"/>
              <w:left w:val="nil"/>
              <w:bottom w:val="nil"/>
              <w:right w:val="nil"/>
            </w:tcBorders>
            <w:shd w:val="clear" w:color="auto" w:fill="F2F2F2" w:themeFill="background1" w:themeFillShade="F2"/>
            <w:vAlign w:val="center"/>
          </w:tcPr>
          <w:p w14:paraId="66D2635A"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303A6FB4"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137</w:t>
            </w:r>
          </w:p>
        </w:tc>
      </w:tr>
      <w:tr w:rsidR="00FB66C4" w:rsidRPr="00FB66C4" w14:paraId="47F4ADD4" w14:textId="77777777" w:rsidTr="00FB66C4">
        <w:tc>
          <w:tcPr>
            <w:tcW w:w="3969" w:type="dxa"/>
            <w:tcBorders>
              <w:top w:val="nil"/>
              <w:left w:val="nil"/>
              <w:bottom w:val="nil"/>
              <w:right w:val="nil"/>
            </w:tcBorders>
            <w:shd w:val="solid" w:color="FFFFFF" w:fill="auto"/>
          </w:tcPr>
          <w:p w14:paraId="07BDA3BE" w14:textId="4D5B3863"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Staff termination</w:t>
            </w:r>
          </w:p>
        </w:tc>
        <w:tc>
          <w:tcPr>
            <w:tcW w:w="846" w:type="dxa"/>
            <w:tcBorders>
              <w:top w:val="nil"/>
              <w:left w:val="nil"/>
              <w:bottom w:val="nil"/>
              <w:right w:val="nil"/>
            </w:tcBorders>
            <w:shd w:val="solid" w:color="FFFFFF" w:fill="auto"/>
          </w:tcPr>
          <w:p w14:paraId="113F5AD0"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5</w:t>
            </w:r>
          </w:p>
        </w:tc>
        <w:tc>
          <w:tcPr>
            <w:tcW w:w="1620" w:type="dxa"/>
            <w:tcBorders>
              <w:top w:val="nil"/>
              <w:left w:val="nil"/>
              <w:bottom w:val="single" w:sz="6" w:space="0" w:color="auto"/>
              <w:right w:val="nil"/>
            </w:tcBorders>
            <w:shd w:val="solid" w:color="FFFFFF" w:fill="auto"/>
            <w:vAlign w:val="center"/>
          </w:tcPr>
          <w:p w14:paraId="468B862C"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172</w:t>
            </w:r>
          </w:p>
        </w:tc>
        <w:tc>
          <w:tcPr>
            <w:tcW w:w="283" w:type="dxa"/>
            <w:tcBorders>
              <w:top w:val="nil"/>
              <w:left w:val="nil"/>
              <w:bottom w:val="single" w:sz="6" w:space="0" w:color="auto"/>
              <w:right w:val="nil"/>
            </w:tcBorders>
            <w:shd w:val="clear" w:color="auto" w:fill="F2F2F2" w:themeFill="background1" w:themeFillShade="F2"/>
            <w:vAlign w:val="center"/>
          </w:tcPr>
          <w:p w14:paraId="3611D59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vAlign w:val="center"/>
          </w:tcPr>
          <w:p w14:paraId="653B7364"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154</w:t>
            </w:r>
          </w:p>
        </w:tc>
      </w:tr>
      <w:tr w:rsidR="00FB66C4" w:rsidRPr="00FB66C4" w14:paraId="3C36644C" w14:textId="77777777" w:rsidTr="00FB66C4">
        <w:tc>
          <w:tcPr>
            <w:tcW w:w="3969" w:type="dxa"/>
            <w:tcBorders>
              <w:top w:val="nil"/>
              <w:left w:val="nil"/>
              <w:bottom w:val="nil"/>
              <w:right w:val="nil"/>
            </w:tcBorders>
            <w:shd w:val="solid" w:color="FFFFFF" w:fill="auto"/>
          </w:tcPr>
          <w:p w14:paraId="10BD7BD4"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Total provisions</w:t>
            </w:r>
          </w:p>
        </w:tc>
        <w:tc>
          <w:tcPr>
            <w:tcW w:w="846" w:type="dxa"/>
            <w:tcBorders>
              <w:top w:val="nil"/>
              <w:left w:val="nil"/>
              <w:bottom w:val="nil"/>
              <w:right w:val="nil"/>
            </w:tcBorders>
            <w:shd w:val="solid" w:color="FFFFFF" w:fill="auto"/>
          </w:tcPr>
          <w:p w14:paraId="50443760"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640D4307"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418</w:t>
            </w:r>
          </w:p>
        </w:tc>
        <w:tc>
          <w:tcPr>
            <w:tcW w:w="283" w:type="dxa"/>
            <w:tcBorders>
              <w:top w:val="nil"/>
              <w:left w:val="nil"/>
              <w:bottom w:val="nil"/>
              <w:right w:val="nil"/>
            </w:tcBorders>
            <w:shd w:val="clear" w:color="auto" w:fill="F2F2F2" w:themeFill="background1" w:themeFillShade="F2"/>
            <w:vAlign w:val="center"/>
          </w:tcPr>
          <w:p w14:paraId="5668DC0C"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vAlign w:val="center"/>
          </w:tcPr>
          <w:p w14:paraId="0FCE98CC"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441</w:t>
            </w:r>
          </w:p>
        </w:tc>
      </w:tr>
      <w:tr w:rsidR="00FB66C4" w:rsidRPr="00FB66C4" w14:paraId="2A15232B" w14:textId="77777777" w:rsidTr="00FB66C4">
        <w:tc>
          <w:tcPr>
            <w:tcW w:w="3969" w:type="dxa"/>
            <w:tcBorders>
              <w:top w:val="nil"/>
              <w:left w:val="nil"/>
              <w:bottom w:val="nil"/>
              <w:right w:val="nil"/>
            </w:tcBorders>
            <w:shd w:val="solid" w:color="FFFFFF" w:fill="auto"/>
          </w:tcPr>
          <w:p w14:paraId="0DB28071"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13F637CF"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67C7C1FC"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76E359D2"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vAlign w:val="center"/>
          </w:tcPr>
          <w:p w14:paraId="0AF9BCB6"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FB66C4" w:rsidRPr="00FB66C4" w14:paraId="552B8281" w14:textId="77777777" w:rsidTr="00FB66C4">
        <w:tc>
          <w:tcPr>
            <w:tcW w:w="3969" w:type="dxa"/>
            <w:tcBorders>
              <w:top w:val="nil"/>
              <w:left w:val="nil"/>
              <w:bottom w:val="nil"/>
              <w:right w:val="nil"/>
            </w:tcBorders>
            <w:shd w:val="solid" w:color="FFFFFF" w:fill="auto"/>
          </w:tcPr>
          <w:p w14:paraId="07F2EB89"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Fund and Reserves</w:t>
            </w:r>
          </w:p>
        </w:tc>
        <w:tc>
          <w:tcPr>
            <w:tcW w:w="846" w:type="dxa"/>
            <w:tcBorders>
              <w:top w:val="nil"/>
              <w:left w:val="nil"/>
              <w:bottom w:val="nil"/>
              <w:right w:val="nil"/>
            </w:tcBorders>
            <w:shd w:val="solid" w:color="FFFFFF" w:fill="auto"/>
          </w:tcPr>
          <w:p w14:paraId="0D42A21E"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505206FB"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11355C20"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471BEAF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FB66C4" w:rsidRPr="00FB66C4" w14:paraId="5C702BAF" w14:textId="77777777" w:rsidTr="00FB66C4">
        <w:tc>
          <w:tcPr>
            <w:tcW w:w="3969" w:type="dxa"/>
            <w:tcBorders>
              <w:top w:val="nil"/>
              <w:left w:val="nil"/>
              <w:bottom w:val="nil"/>
              <w:right w:val="nil"/>
            </w:tcBorders>
            <w:shd w:val="solid" w:color="FFFFFF" w:fill="auto"/>
          </w:tcPr>
          <w:p w14:paraId="013A82B5" w14:textId="3F8F0B40"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Core reserve fund</w:t>
            </w:r>
          </w:p>
        </w:tc>
        <w:tc>
          <w:tcPr>
            <w:tcW w:w="846" w:type="dxa"/>
            <w:tcBorders>
              <w:top w:val="nil"/>
              <w:left w:val="nil"/>
              <w:bottom w:val="nil"/>
              <w:right w:val="nil"/>
            </w:tcBorders>
            <w:shd w:val="solid" w:color="FFFFFF" w:fill="auto"/>
          </w:tcPr>
          <w:p w14:paraId="3CB50630"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11</w:t>
            </w:r>
          </w:p>
        </w:tc>
        <w:tc>
          <w:tcPr>
            <w:tcW w:w="1620" w:type="dxa"/>
            <w:tcBorders>
              <w:top w:val="nil"/>
              <w:left w:val="nil"/>
              <w:bottom w:val="nil"/>
              <w:right w:val="nil"/>
            </w:tcBorders>
            <w:shd w:val="solid" w:color="FFFFFF" w:fill="auto"/>
            <w:vAlign w:val="center"/>
          </w:tcPr>
          <w:p w14:paraId="07BB2E44"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3,318</w:t>
            </w:r>
          </w:p>
        </w:tc>
        <w:tc>
          <w:tcPr>
            <w:tcW w:w="283" w:type="dxa"/>
            <w:tcBorders>
              <w:top w:val="nil"/>
              <w:left w:val="nil"/>
              <w:bottom w:val="nil"/>
              <w:right w:val="nil"/>
            </w:tcBorders>
            <w:shd w:val="clear" w:color="auto" w:fill="F2F2F2" w:themeFill="background1" w:themeFillShade="F2"/>
            <w:vAlign w:val="center"/>
          </w:tcPr>
          <w:p w14:paraId="6F5FEEE7"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nil"/>
              <w:right w:val="nil"/>
            </w:tcBorders>
            <w:shd w:val="solid" w:color="FFFFFF" w:fill="auto"/>
            <w:vAlign w:val="center"/>
          </w:tcPr>
          <w:p w14:paraId="4E5D0D7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2,648</w:t>
            </w:r>
          </w:p>
        </w:tc>
      </w:tr>
      <w:tr w:rsidR="00FB66C4" w:rsidRPr="00FB66C4" w14:paraId="1D2F9FF5" w14:textId="77777777" w:rsidTr="00FB66C4">
        <w:tc>
          <w:tcPr>
            <w:tcW w:w="3969" w:type="dxa"/>
            <w:tcBorders>
              <w:top w:val="nil"/>
              <w:left w:val="nil"/>
              <w:bottom w:val="nil"/>
              <w:right w:val="nil"/>
            </w:tcBorders>
            <w:shd w:val="solid" w:color="FFFFFF" w:fill="auto"/>
          </w:tcPr>
          <w:p w14:paraId="5648C9F1" w14:textId="6DAF758E" w:rsidR="00FB66C4" w:rsidRPr="00FB66C4" w:rsidRDefault="00FB66C4">
            <w:pPr>
              <w:autoSpaceDE w:val="0"/>
              <w:autoSpaceDN w:val="0"/>
              <w:adjustRightInd w:val="0"/>
              <w:ind w:left="0" w:firstLine="0"/>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Non-core Projects</w:t>
            </w:r>
          </w:p>
        </w:tc>
        <w:tc>
          <w:tcPr>
            <w:tcW w:w="846" w:type="dxa"/>
            <w:tcBorders>
              <w:top w:val="nil"/>
              <w:left w:val="nil"/>
              <w:bottom w:val="nil"/>
              <w:right w:val="nil"/>
            </w:tcBorders>
            <w:shd w:val="solid" w:color="FFFFFF" w:fill="auto"/>
          </w:tcPr>
          <w:p w14:paraId="4177F592"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12</w:t>
            </w:r>
          </w:p>
        </w:tc>
        <w:tc>
          <w:tcPr>
            <w:tcW w:w="1620" w:type="dxa"/>
            <w:tcBorders>
              <w:top w:val="nil"/>
              <w:left w:val="nil"/>
              <w:bottom w:val="single" w:sz="6" w:space="0" w:color="auto"/>
              <w:right w:val="nil"/>
            </w:tcBorders>
            <w:shd w:val="solid" w:color="FFFFFF" w:fill="auto"/>
            <w:vAlign w:val="center"/>
          </w:tcPr>
          <w:p w14:paraId="3214C5C5"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1,877</w:t>
            </w:r>
          </w:p>
        </w:tc>
        <w:tc>
          <w:tcPr>
            <w:tcW w:w="283" w:type="dxa"/>
            <w:tcBorders>
              <w:top w:val="nil"/>
              <w:left w:val="nil"/>
              <w:bottom w:val="single" w:sz="6" w:space="0" w:color="auto"/>
              <w:right w:val="nil"/>
            </w:tcBorders>
            <w:shd w:val="clear" w:color="auto" w:fill="F2F2F2" w:themeFill="background1" w:themeFillShade="F2"/>
            <w:vAlign w:val="center"/>
          </w:tcPr>
          <w:p w14:paraId="64FEC71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579" w:type="dxa"/>
            <w:tcBorders>
              <w:top w:val="nil"/>
              <w:left w:val="nil"/>
              <w:bottom w:val="single" w:sz="6" w:space="0" w:color="auto"/>
              <w:right w:val="nil"/>
            </w:tcBorders>
            <w:shd w:val="solid" w:color="FFFFFF" w:fill="auto"/>
            <w:vAlign w:val="center"/>
          </w:tcPr>
          <w:p w14:paraId="1D2909C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color w:val="000000"/>
                <w:sz w:val="20"/>
                <w:szCs w:val="20"/>
              </w:rPr>
            </w:pPr>
            <w:r w:rsidRPr="00FB66C4">
              <w:rPr>
                <w:rFonts w:asciiTheme="minorHAnsi" w:eastAsiaTheme="minorHAnsi" w:hAnsiTheme="minorHAnsi" w:cstheme="minorHAnsi"/>
                <w:color w:val="000000"/>
                <w:sz w:val="20"/>
                <w:szCs w:val="20"/>
              </w:rPr>
              <w:t>2,073</w:t>
            </w:r>
          </w:p>
        </w:tc>
      </w:tr>
      <w:tr w:rsidR="00FB66C4" w:rsidRPr="00FB66C4" w14:paraId="7F2C5EBB" w14:textId="77777777" w:rsidTr="00FB66C4">
        <w:tc>
          <w:tcPr>
            <w:tcW w:w="3969" w:type="dxa"/>
            <w:tcBorders>
              <w:top w:val="nil"/>
              <w:left w:val="nil"/>
              <w:bottom w:val="nil"/>
              <w:right w:val="nil"/>
            </w:tcBorders>
            <w:shd w:val="solid" w:color="FFFFFF" w:fill="auto"/>
          </w:tcPr>
          <w:p w14:paraId="4718459B"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Total fund and reserves</w:t>
            </w:r>
          </w:p>
        </w:tc>
        <w:tc>
          <w:tcPr>
            <w:tcW w:w="846" w:type="dxa"/>
            <w:tcBorders>
              <w:top w:val="nil"/>
              <w:left w:val="nil"/>
              <w:bottom w:val="nil"/>
              <w:right w:val="nil"/>
            </w:tcBorders>
            <w:shd w:val="solid" w:color="FFFFFF" w:fill="auto"/>
          </w:tcPr>
          <w:p w14:paraId="09332FB7"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0BBA423F"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5,195</w:t>
            </w:r>
          </w:p>
        </w:tc>
        <w:tc>
          <w:tcPr>
            <w:tcW w:w="283" w:type="dxa"/>
            <w:tcBorders>
              <w:top w:val="nil"/>
              <w:left w:val="nil"/>
              <w:bottom w:val="nil"/>
              <w:right w:val="nil"/>
            </w:tcBorders>
            <w:shd w:val="clear" w:color="auto" w:fill="F2F2F2" w:themeFill="background1" w:themeFillShade="F2"/>
            <w:vAlign w:val="center"/>
          </w:tcPr>
          <w:p w14:paraId="308CD1EF"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vAlign w:val="center"/>
          </w:tcPr>
          <w:p w14:paraId="255E8BC0"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4,721</w:t>
            </w:r>
          </w:p>
        </w:tc>
      </w:tr>
      <w:tr w:rsidR="00FB66C4" w:rsidRPr="00FB66C4" w14:paraId="0C1329AD" w14:textId="77777777" w:rsidTr="00FB66C4">
        <w:tc>
          <w:tcPr>
            <w:tcW w:w="3969" w:type="dxa"/>
            <w:tcBorders>
              <w:top w:val="nil"/>
              <w:left w:val="nil"/>
              <w:bottom w:val="nil"/>
              <w:right w:val="nil"/>
            </w:tcBorders>
            <w:shd w:val="solid" w:color="FFFFFF" w:fill="auto"/>
          </w:tcPr>
          <w:p w14:paraId="643B31AE"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p>
        </w:tc>
        <w:tc>
          <w:tcPr>
            <w:tcW w:w="846" w:type="dxa"/>
            <w:tcBorders>
              <w:top w:val="nil"/>
              <w:left w:val="nil"/>
              <w:bottom w:val="nil"/>
              <w:right w:val="nil"/>
            </w:tcBorders>
            <w:shd w:val="solid" w:color="FFFFFF" w:fill="auto"/>
          </w:tcPr>
          <w:p w14:paraId="4DEDC2E4"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nil"/>
              <w:left w:val="nil"/>
              <w:bottom w:val="nil"/>
              <w:right w:val="nil"/>
            </w:tcBorders>
            <w:shd w:val="solid" w:color="FFFFFF" w:fill="auto"/>
            <w:vAlign w:val="center"/>
          </w:tcPr>
          <w:p w14:paraId="355A8723"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283" w:type="dxa"/>
            <w:tcBorders>
              <w:top w:val="nil"/>
              <w:left w:val="nil"/>
              <w:bottom w:val="nil"/>
              <w:right w:val="nil"/>
            </w:tcBorders>
            <w:shd w:val="clear" w:color="auto" w:fill="F2F2F2" w:themeFill="background1" w:themeFillShade="F2"/>
            <w:vAlign w:val="center"/>
          </w:tcPr>
          <w:p w14:paraId="0F0FFDC9"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nil"/>
              <w:left w:val="nil"/>
              <w:bottom w:val="nil"/>
              <w:right w:val="nil"/>
            </w:tcBorders>
            <w:shd w:val="solid" w:color="FFFFFF" w:fill="auto"/>
            <w:vAlign w:val="center"/>
          </w:tcPr>
          <w:p w14:paraId="7387B400"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FB66C4" w:rsidRPr="00FB66C4" w14:paraId="16A8161D" w14:textId="77777777" w:rsidTr="00FB66C4">
        <w:tc>
          <w:tcPr>
            <w:tcW w:w="3969" w:type="dxa"/>
            <w:tcBorders>
              <w:top w:val="nil"/>
              <w:left w:val="nil"/>
              <w:bottom w:val="nil"/>
              <w:right w:val="nil"/>
            </w:tcBorders>
            <w:shd w:val="solid" w:color="FFFFFF" w:fill="auto"/>
          </w:tcPr>
          <w:p w14:paraId="5632888B" w14:textId="77777777" w:rsidR="00FB66C4" w:rsidRPr="00FB66C4" w:rsidRDefault="00FB66C4">
            <w:pPr>
              <w:autoSpaceDE w:val="0"/>
              <w:autoSpaceDN w:val="0"/>
              <w:adjustRightInd w:val="0"/>
              <w:ind w:left="0" w:firstLine="0"/>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TOTAL LIABILITIES AND FUND BALANCES</w:t>
            </w:r>
          </w:p>
        </w:tc>
        <w:tc>
          <w:tcPr>
            <w:tcW w:w="846" w:type="dxa"/>
            <w:tcBorders>
              <w:top w:val="nil"/>
              <w:left w:val="nil"/>
              <w:bottom w:val="nil"/>
              <w:right w:val="nil"/>
            </w:tcBorders>
            <w:shd w:val="solid" w:color="FFFFFF" w:fill="auto"/>
          </w:tcPr>
          <w:p w14:paraId="6BAD2D43" w14:textId="77777777" w:rsidR="00FB66C4" w:rsidRPr="00FB66C4" w:rsidRDefault="00FB66C4">
            <w:pPr>
              <w:autoSpaceDE w:val="0"/>
              <w:autoSpaceDN w:val="0"/>
              <w:adjustRightInd w:val="0"/>
              <w:ind w:left="0" w:firstLine="0"/>
              <w:jc w:val="center"/>
              <w:rPr>
                <w:rFonts w:asciiTheme="minorHAnsi" w:eastAsiaTheme="minorHAnsi" w:hAnsiTheme="minorHAnsi" w:cstheme="minorHAnsi"/>
                <w:color w:val="000000"/>
                <w:sz w:val="20"/>
                <w:szCs w:val="20"/>
              </w:rPr>
            </w:pPr>
          </w:p>
        </w:tc>
        <w:tc>
          <w:tcPr>
            <w:tcW w:w="1620" w:type="dxa"/>
            <w:tcBorders>
              <w:top w:val="single" w:sz="6" w:space="0" w:color="auto"/>
              <w:left w:val="nil"/>
              <w:bottom w:val="single" w:sz="6" w:space="0" w:color="auto"/>
              <w:right w:val="nil"/>
            </w:tcBorders>
            <w:shd w:val="clear" w:color="auto" w:fill="B8CCE4" w:themeFill="accent1" w:themeFillTint="66"/>
            <w:vAlign w:val="center"/>
          </w:tcPr>
          <w:p w14:paraId="6DAE4B56"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6,412</w:t>
            </w:r>
          </w:p>
        </w:tc>
        <w:tc>
          <w:tcPr>
            <w:tcW w:w="283" w:type="dxa"/>
            <w:tcBorders>
              <w:top w:val="single" w:sz="6" w:space="0" w:color="auto"/>
              <w:left w:val="nil"/>
              <w:bottom w:val="single" w:sz="6" w:space="0" w:color="auto"/>
              <w:right w:val="nil"/>
            </w:tcBorders>
            <w:shd w:val="clear" w:color="auto" w:fill="F2F2F2" w:themeFill="background1" w:themeFillShade="F2"/>
            <w:vAlign w:val="center"/>
          </w:tcPr>
          <w:p w14:paraId="0C1BB968"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579" w:type="dxa"/>
            <w:tcBorders>
              <w:top w:val="single" w:sz="6" w:space="0" w:color="auto"/>
              <w:left w:val="nil"/>
              <w:bottom w:val="single" w:sz="6" w:space="0" w:color="auto"/>
              <w:right w:val="nil"/>
            </w:tcBorders>
            <w:shd w:val="clear" w:color="auto" w:fill="D6E3BC" w:themeFill="accent3" w:themeFillTint="66"/>
            <w:vAlign w:val="center"/>
          </w:tcPr>
          <w:p w14:paraId="1EA473B2" w14:textId="77777777" w:rsidR="00FB66C4" w:rsidRPr="00FB66C4" w:rsidRDefault="00FB66C4" w:rsidP="00FB66C4">
            <w:pPr>
              <w:autoSpaceDE w:val="0"/>
              <w:autoSpaceDN w:val="0"/>
              <w:adjustRightInd w:val="0"/>
              <w:ind w:left="0" w:firstLine="0"/>
              <w:jc w:val="right"/>
              <w:rPr>
                <w:rFonts w:asciiTheme="minorHAnsi" w:eastAsiaTheme="minorHAnsi" w:hAnsiTheme="minorHAnsi" w:cstheme="minorHAnsi"/>
                <w:b/>
                <w:bCs/>
                <w:color w:val="000000"/>
                <w:sz w:val="20"/>
                <w:szCs w:val="20"/>
              </w:rPr>
            </w:pPr>
            <w:r w:rsidRPr="00FB66C4">
              <w:rPr>
                <w:rFonts w:asciiTheme="minorHAnsi" w:eastAsiaTheme="minorHAnsi" w:hAnsiTheme="minorHAnsi" w:cstheme="minorHAnsi"/>
                <w:b/>
                <w:bCs/>
                <w:color w:val="000000"/>
                <w:sz w:val="20"/>
                <w:szCs w:val="20"/>
              </w:rPr>
              <w:t>6,349</w:t>
            </w:r>
          </w:p>
        </w:tc>
      </w:tr>
    </w:tbl>
    <w:p w14:paraId="036DDF69" w14:textId="77777777" w:rsidR="00FB66C4" w:rsidRDefault="00FB66C4">
      <w:pPr>
        <w:rPr>
          <w:rFonts w:eastAsia="Times New Roman" w:cs="Arial"/>
          <w:b/>
          <w:bCs/>
          <w:lang w:eastAsia="en-GB"/>
        </w:rPr>
      </w:pPr>
    </w:p>
    <w:p w14:paraId="4A02A5CD" w14:textId="77777777" w:rsidR="00FB66C4" w:rsidRDefault="00FB66C4">
      <w:pPr>
        <w:rPr>
          <w:rFonts w:eastAsia="Times New Roman" w:cs="Arial"/>
          <w:b/>
          <w:bCs/>
          <w:lang w:eastAsia="en-GB"/>
        </w:rPr>
      </w:pPr>
    </w:p>
    <w:p w14:paraId="0A25FB1B" w14:textId="77777777" w:rsidR="00FB66C4" w:rsidRDefault="00FB66C4">
      <w:pPr>
        <w:rPr>
          <w:rFonts w:eastAsia="Times New Roman" w:cs="Arial"/>
          <w:b/>
          <w:bCs/>
          <w:lang w:eastAsia="en-GB"/>
        </w:rPr>
      </w:pPr>
      <w:r>
        <w:rPr>
          <w:rFonts w:eastAsia="Times New Roman" w:cs="Arial"/>
          <w:b/>
          <w:bCs/>
          <w:lang w:eastAsia="en-GB"/>
        </w:rPr>
        <w:br w:type="page"/>
      </w:r>
    </w:p>
    <w:p w14:paraId="42024014" w14:textId="7DF6510F" w:rsidR="006C1657" w:rsidRDefault="003D733E" w:rsidP="00CB5586">
      <w:pPr>
        <w:ind w:left="0" w:firstLine="0"/>
        <w:rPr>
          <w:rFonts w:eastAsia="Times New Roman" w:cs="Arial"/>
          <w:b/>
          <w:bCs/>
          <w:lang w:eastAsia="en-GB"/>
        </w:rPr>
      </w:pPr>
      <w:r w:rsidRPr="00421152">
        <w:rPr>
          <w:rFonts w:eastAsia="Times New Roman" w:cs="Arial"/>
          <w:b/>
          <w:bCs/>
          <w:lang w:eastAsia="en-GB"/>
        </w:rPr>
        <w:lastRenderedPageBreak/>
        <w:t>II.</w:t>
      </w:r>
      <w:r w:rsidR="002B478C" w:rsidRPr="00421152">
        <w:rPr>
          <w:rFonts w:eastAsia="Times New Roman" w:cs="Arial"/>
          <w:b/>
          <w:bCs/>
          <w:lang w:eastAsia="en-GB"/>
        </w:rPr>
        <w:tab/>
        <w:t xml:space="preserve">Statement of income and expenditure for the year ended </w:t>
      </w:r>
      <w:r w:rsidR="002B478C" w:rsidRPr="00340E62">
        <w:rPr>
          <w:rFonts w:eastAsia="Times New Roman" w:cs="Arial"/>
          <w:b/>
          <w:bCs/>
          <w:lang w:eastAsia="en-GB"/>
        </w:rPr>
        <w:t>31 December</w:t>
      </w:r>
      <w:r w:rsidR="000B2A00" w:rsidRPr="00340E62">
        <w:rPr>
          <w:rFonts w:eastAsia="Times New Roman" w:cs="Arial"/>
          <w:b/>
          <w:bCs/>
          <w:lang w:eastAsia="en-GB"/>
        </w:rPr>
        <w:t xml:space="preserve"> 2020</w:t>
      </w:r>
    </w:p>
    <w:p w14:paraId="6C247957" w14:textId="2D0C580C" w:rsidR="003F135F" w:rsidRDefault="003F135F" w:rsidP="00633DD5">
      <w:pPr>
        <w:pStyle w:val="NoSpacing"/>
        <w:rPr>
          <w:rFonts w:eastAsia="Times New Roman" w:cs="Arial"/>
          <w:b/>
          <w:bCs/>
          <w:lang w:eastAsia="en-GB"/>
        </w:rPr>
      </w:pPr>
    </w:p>
    <w:tbl>
      <w:tblPr>
        <w:tblW w:w="10376" w:type="dxa"/>
        <w:tblInd w:w="-567" w:type="dxa"/>
        <w:tblLayout w:type="fixed"/>
        <w:tblLook w:val="0000" w:firstRow="0" w:lastRow="0" w:firstColumn="0" w:lastColumn="0" w:noHBand="0" w:noVBand="0"/>
      </w:tblPr>
      <w:tblGrid>
        <w:gridCol w:w="3288"/>
        <w:gridCol w:w="708"/>
        <w:gridCol w:w="851"/>
        <w:gridCol w:w="284"/>
        <w:gridCol w:w="850"/>
        <w:gridCol w:w="236"/>
        <w:gridCol w:w="895"/>
        <w:gridCol w:w="236"/>
        <w:gridCol w:w="901"/>
        <w:gridCol w:w="242"/>
        <w:gridCol w:w="793"/>
        <w:gridCol w:w="236"/>
        <w:gridCol w:w="856"/>
      </w:tblGrid>
      <w:tr w:rsidR="00161871" w:rsidRPr="00161871" w14:paraId="42163406" w14:textId="77777777" w:rsidTr="00161871">
        <w:tc>
          <w:tcPr>
            <w:tcW w:w="3288" w:type="dxa"/>
            <w:tcBorders>
              <w:top w:val="nil"/>
              <w:left w:val="nil"/>
              <w:right w:val="nil"/>
            </w:tcBorders>
            <w:shd w:val="solid" w:color="FFFFFF" w:fill="auto"/>
          </w:tcPr>
          <w:p w14:paraId="510B2F83" w14:textId="28C88A19" w:rsidR="005219C3" w:rsidRPr="00161871" w:rsidRDefault="005219C3">
            <w:pPr>
              <w:autoSpaceDE w:val="0"/>
              <w:autoSpaceDN w:val="0"/>
              <w:adjustRightInd w:val="0"/>
              <w:ind w:left="0" w:firstLine="0"/>
              <w:rPr>
                <w:rFonts w:asciiTheme="minorHAnsi" w:eastAsiaTheme="minorHAnsi" w:hAnsiTheme="minorHAnsi" w:cstheme="minorHAnsi"/>
                <w:b/>
                <w:bCs/>
                <w:color w:val="000000"/>
                <w:sz w:val="19"/>
                <w:szCs w:val="19"/>
              </w:rPr>
            </w:pPr>
          </w:p>
        </w:tc>
        <w:tc>
          <w:tcPr>
            <w:tcW w:w="708" w:type="dxa"/>
            <w:tcBorders>
              <w:top w:val="nil"/>
              <w:left w:val="nil"/>
              <w:right w:val="nil"/>
            </w:tcBorders>
            <w:shd w:val="solid" w:color="FFFFFF" w:fill="auto"/>
          </w:tcPr>
          <w:p w14:paraId="352AA3A2" w14:textId="77777777" w:rsidR="005219C3" w:rsidRPr="00161871" w:rsidRDefault="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3116" w:type="dxa"/>
            <w:gridSpan w:val="5"/>
            <w:tcBorders>
              <w:top w:val="nil"/>
              <w:left w:val="nil"/>
              <w:right w:val="nil"/>
            </w:tcBorders>
            <w:shd w:val="clear" w:color="auto" w:fill="B8CCE4" w:themeFill="accent1" w:themeFillTint="66"/>
            <w:vAlign w:val="center"/>
          </w:tcPr>
          <w:p w14:paraId="1C2A8F5E" w14:textId="26E79E5D"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2020</w:t>
            </w:r>
          </w:p>
        </w:tc>
        <w:tc>
          <w:tcPr>
            <w:tcW w:w="236" w:type="dxa"/>
            <w:tcBorders>
              <w:top w:val="nil"/>
              <w:left w:val="nil"/>
              <w:right w:val="nil"/>
            </w:tcBorders>
            <w:shd w:val="clear" w:color="auto" w:fill="F2F2F2" w:themeFill="background1" w:themeFillShade="F2"/>
            <w:vAlign w:val="center"/>
          </w:tcPr>
          <w:p w14:paraId="27CABCB3"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8" w:type="dxa"/>
            <w:gridSpan w:val="5"/>
            <w:tcBorders>
              <w:top w:val="nil"/>
              <w:left w:val="nil"/>
              <w:right w:val="nil"/>
            </w:tcBorders>
            <w:shd w:val="clear" w:color="auto" w:fill="D6E3BC" w:themeFill="accent3" w:themeFillTint="66"/>
            <w:vAlign w:val="center"/>
          </w:tcPr>
          <w:p w14:paraId="33B8580A" w14:textId="2C7619DA"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shd w:val="clear" w:color="auto" w:fill="D6E3BC" w:themeFill="accent3" w:themeFillTint="66"/>
              </w:rPr>
              <w:t>201</w:t>
            </w:r>
            <w:r w:rsidRPr="00161871">
              <w:rPr>
                <w:rFonts w:asciiTheme="minorHAnsi" w:eastAsiaTheme="minorHAnsi" w:hAnsiTheme="minorHAnsi" w:cstheme="minorHAnsi"/>
                <w:b/>
                <w:bCs/>
                <w:color w:val="000000"/>
                <w:sz w:val="19"/>
                <w:szCs w:val="19"/>
              </w:rPr>
              <w:t>9</w:t>
            </w:r>
          </w:p>
        </w:tc>
      </w:tr>
      <w:tr w:rsidR="00161871" w:rsidRPr="00161871" w14:paraId="5D069C5F" w14:textId="77777777" w:rsidTr="00161871">
        <w:tc>
          <w:tcPr>
            <w:tcW w:w="3288" w:type="dxa"/>
            <w:tcBorders>
              <w:top w:val="nil"/>
              <w:left w:val="nil"/>
              <w:bottom w:val="single" w:sz="4" w:space="0" w:color="auto"/>
              <w:right w:val="nil"/>
            </w:tcBorders>
            <w:shd w:val="solid" w:color="FFFFFF" w:fill="auto"/>
          </w:tcPr>
          <w:p w14:paraId="22925A13" w14:textId="59BADD3C" w:rsidR="005219C3" w:rsidRPr="00161871" w:rsidRDefault="005219C3" w:rsidP="005219C3">
            <w:pPr>
              <w:autoSpaceDE w:val="0"/>
              <w:autoSpaceDN w:val="0"/>
              <w:adjustRightInd w:val="0"/>
              <w:ind w:left="0" w:firstLine="0"/>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i/>
                <w:iCs/>
                <w:color w:val="000000"/>
                <w:sz w:val="19"/>
                <w:szCs w:val="19"/>
              </w:rPr>
              <w:t>in thousands of Swiss Francs (CHF '000s)</w:t>
            </w:r>
          </w:p>
        </w:tc>
        <w:tc>
          <w:tcPr>
            <w:tcW w:w="708" w:type="dxa"/>
            <w:tcBorders>
              <w:top w:val="nil"/>
              <w:left w:val="nil"/>
              <w:bottom w:val="single" w:sz="4" w:space="0" w:color="auto"/>
              <w:right w:val="nil"/>
            </w:tcBorders>
            <w:shd w:val="solid" w:color="FFFFFF" w:fill="auto"/>
            <w:vAlign w:val="center"/>
          </w:tcPr>
          <w:p w14:paraId="63964EC9" w14:textId="70C62115"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Notes</w:t>
            </w:r>
          </w:p>
        </w:tc>
        <w:tc>
          <w:tcPr>
            <w:tcW w:w="851" w:type="dxa"/>
            <w:tcBorders>
              <w:top w:val="nil"/>
              <w:left w:val="nil"/>
              <w:bottom w:val="single" w:sz="4" w:space="0" w:color="auto"/>
              <w:right w:val="nil"/>
            </w:tcBorders>
            <w:shd w:val="solid" w:color="FFFFFF" w:fill="auto"/>
            <w:vAlign w:val="center"/>
          </w:tcPr>
          <w:p w14:paraId="18596497" w14:textId="7BF01E1B"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Core Funds</w:t>
            </w:r>
          </w:p>
        </w:tc>
        <w:tc>
          <w:tcPr>
            <w:tcW w:w="1134" w:type="dxa"/>
            <w:gridSpan w:val="2"/>
            <w:tcBorders>
              <w:top w:val="nil"/>
              <w:left w:val="nil"/>
              <w:bottom w:val="single" w:sz="4" w:space="0" w:color="auto"/>
              <w:right w:val="nil"/>
            </w:tcBorders>
            <w:shd w:val="solid" w:color="FFFFFF" w:fill="auto"/>
            <w:vAlign w:val="center"/>
          </w:tcPr>
          <w:p w14:paraId="7113D7E6" w14:textId="5E3A78F6"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214E80B4" w14:textId="77777777"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5BAC2D77" w14:textId="407BEFAF"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Total</w:t>
            </w:r>
          </w:p>
        </w:tc>
        <w:tc>
          <w:tcPr>
            <w:tcW w:w="236" w:type="dxa"/>
            <w:tcBorders>
              <w:top w:val="nil"/>
              <w:left w:val="nil"/>
              <w:bottom w:val="single" w:sz="4" w:space="0" w:color="auto"/>
              <w:right w:val="nil"/>
            </w:tcBorders>
            <w:shd w:val="clear" w:color="auto" w:fill="F2F2F2" w:themeFill="background1" w:themeFillShade="F2"/>
            <w:vAlign w:val="center"/>
          </w:tcPr>
          <w:p w14:paraId="77591148" w14:textId="77777777"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2EF8FC4E" w14:textId="5481AD71"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Core Funds</w:t>
            </w:r>
          </w:p>
        </w:tc>
        <w:tc>
          <w:tcPr>
            <w:tcW w:w="1035" w:type="dxa"/>
            <w:gridSpan w:val="2"/>
            <w:tcBorders>
              <w:top w:val="nil"/>
              <w:left w:val="nil"/>
              <w:bottom w:val="single" w:sz="4" w:space="0" w:color="auto"/>
              <w:right w:val="nil"/>
            </w:tcBorders>
            <w:shd w:val="solid" w:color="FFFFFF" w:fill="auto"/>
            <w:vAlign w:val="center"/>
          </w:tcPr>
          <w:p w14:paraId="4DBBDCC3" w14:textId="7D7F2B88"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3B1107AC" w14:textId="77777777"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17601B5E" w14:textId="56694ED4" w:rsidR="005219C3" w:rsidRPr="00161871" w:rsidRDefault="005219C3" w:rsidP="001E4A4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Total</w:t>
            </w:r>
          </w:p>
        </w:tc>
      </w:tr>
      <w:tr w:rsidR="00161871" w:rsidRPr="00161871" w14:paraId="79376D59" w14:textId="77777777" w:rsidTr="00161871">
        <w:tc>
          <w:tcPr>
            <w:tcW w:w="3288" w:type="dxa"/>
            <w:tcBorders>
              <w:top w:val="single" w:sz="4" w:space="0" w:color="auto"/>
              <w:left w:val="nil"/>
              <w:bottom w:val="nil"/>
              <w:right w:val="nil"/>
            </w:tcBorders>
            <w:shd w:val="solid" w:color="FFFFFF" w:fill="auto"/>
          </w:tcPr>
          <w:p w14:paraId="28ECBCFD" w14:textId="77777777" w:rsidR="001E4A43" w:rsidRPr="00161871" w:rsidRDefault="001E4A43" w:rsidP="00161871">
            <w:pPr>
              <w:autoSpaceDE w:val="0"/>
              <w:autoSpaceDN w:val="0"/>
              <w:adjustRightInd w:val="0"/>
              <w:ind w:left="0" w:firstLine="0"/>
              <w:rPr>
                <w:rFonts w:asciiTheme="minorHAnsi" w:eastAsiaTheme="minorHAnsi" w:hAnsiTheme="minorHAnsi" w:cstheme="minorHAnsi"/>
                <w:b/>
                <w:bCs/>
                <w:color w:val="000000"/>
                <w:sz w:val="19"/>
                <w:szCs w:val="19"/>
              </w:rPr>
            </w:pPr>
          </w:p>
          <w:p w14:paraId="21599DC9" w14:textId="361D9BBF" w:rsidR="005219C3" w:rsidRPr="00161871" w:rsidRDefault="005219C3" w:rsidP="00161871">
            <w:pPr>
              <w:autoSpaceDE w:val="0"/>
              <w:autoSpaceDN w:val="0"/>
              <w:adjustRightInd w:val="0"/>
              <w:ind w:left="0" w:firstLine="0"/>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Income</w:t>
            </w:r>
          </w:p>
        </w:tc>
        <w:tc>
          <w:tcPr>
            <w:tcW w:w="708" w:type="dxa"/>
            <w:tcBorders>
              <w:top w:val="single" w:sz="4" w:space="0" w:color="auto"/>
              <w:left w:val="nil"/>
              <w:bottom w:val="nil"/>
              <w:right w:val="nil"/>
            </w:tcBorders>
            <w:shd w:val="solid" w:color="FFFFFF" w:fill="auto"/>
          </w:tcPr>
          <w:p w14:paraId="0606FB1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54DC723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2817347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1D43F2A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52C0A01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42CAB81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760568D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48936D60"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5AD7C62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22D8BA0E"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6F666B4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472F3600"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r>
      <w:tr w:rsidR="00161871" w:rsidRPr="00161871" w14:paraId="5FA05171" w14:textId="77777777" w:rsidTr="00161871">
        <w:tc>
          <w:tcPr>
            <w:tcW w:w="3288" w:type="dxa"/>
            <w:tcBorders>
              <w:top w:val="nil"/>
              <w:left w:val="nil"/>
              <w:bottom w:val="nil"/>
              <w:right w:val="nil"/>
            </w:tcBorders>
            <w:shd w:val="solid" w:color="FFFFFF" w:fill="auto"/>
          </w:tcPr>
          <w:p w14:paraId="68D6B374" w14:textId="77777777" w:rsidR="005219C3" w:rsidRPr="00161871"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161871">
              <w:rPr>
                <w:rFonts w:asciiTheme="minorHAnsi" w:eastAsiaTheme="minorHAnsi" w:hAnsiTheme="minorHAnsi" w:cstheme="minorHAnsi"/>
                <w:i/>
                <w:iCs/>
                <w:color w:val="000000"/>
                <w:sz w:val="19"/>
                <w:szCs w:val="19"/>
              </w:rPr>
              <w:t>External income:</w:t>
            </w:r>
          </w:p>
        </w:tc>
        <w:tc>
          <w:tcPr>
            <w:tcW w:w="708" w:type="dxa"/>
            <w:tcBorders>
              <w:top w:val="nil"/>
              <w:left w:val="nil"/>
              <w:bottom w:val="nil"/>
              <w:right w:val="nil"/>
            </w:tcBorders>
            <w:shd w:val="solid" w:color="FFFFFF" w:fill="auto"/>
          </w:tcPr>
          <w:p w14:paraId="0FAF4ADA"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52D73B4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tcPr>
          <w:p w14:paraId="2609E17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641B87C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0F35505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0B58BC8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tcPr>
          <w:p w14:paraId="664652F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32EA0DEC"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tcPr>
          <w:p w14:paraId="5824ED0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1BA6EF28"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tcPr>
          <w:p w14:paraId="6E31866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7CFF0CF0"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r>
      <w:tr w:rsidR="00161871" w:rsidRPr="00161871" w14:paraId="533882B8" w14:textId="77777777" w:rsidTr="00161871">
        <w:tc>
          <w:tcPr>
            <w:tcW w:w="3288" w:type="dxa"/>
            <w:tcBorders>
              <w:top w:val="nil"/>
              <w:left w:val="nil"/>
              <w:bottom w:val="nil"/>
              <w:right w:val="nil"/>
            </w:tcBorders>
            <w:shd w:val="solid" w:color="FFFFFF" w:fill="auto"/>
          </w:tcPr>
          <w:p w14:paraId="24613870" w14:textId="625CD769"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Contributions from Contracting Parties</w:t>
            </w:r>
          </w:p>
        </w:tc>
        <w:tc>
          <w:tcPr>
            <w:tcW w:w="708" w:type="dxa"/>
            <w:tcBorders>
              <w:top w:val="nil"/>
              <w:left w:val="nil"/>
              <w:bottom w:val="nil"/>
              <w:right w:val="nil"/>
            </w:tcBorders>
            <w:shd w:val="solid" w:color="FFFFFF" w:fill="auto"/>
          </w:tcPr>
          <w:p w14:paraId="40BEF91A"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7967412B" w14:textId="0091BC0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3,779 </w:t>
            </w:r>
          </w:p>
        </w:tc>
        <w:tc>
          <w:tcPr>
            <w:tcW w:w="284" w:type="dxa"/>
            <w:tcBorders>
              <w:top w:val="nil"/>
              <w:left w:val="nil"/>
              <w:bottom w:val="nil"/>
              <w:right w:val="nil"/>
            </w:tcBorders>
            <w:shd w:val="solid" w:color="FFFFFF" w:fill="auto"/>
            <w:vAlign w:val="center"/>
          </w:tcPr>
          <w:p w14:paraId="093C0FF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603CA488" w14:textId="2DAE0D91"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1180EBA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19DCE48C" w14:textId="71E722C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3,779 </w:t>
            </w:r>
          </w:p>
        </w:tc>
        <w:tc>
          <w:tcPr>
            <w:tcW w:w="236" w:type="dxa"/>
            <w:tcBorders>
              <w:top w:val="nil"/>
              <w:left w:val="nil"/>
              <w:bottom w:val="nil"/>
              <w:right w:val="nil"/>
            </w:tcBorders>
            <w:shd w:val="clear" w:color="auto" w:fill="F2F2F2" w:themeFill="background1" w:themeFillShade="F2"/>
            <w:vAlign w:val="center"/>
          </w:tcPr>
          <w:p w14:paraId="4A388CE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76823CAD" w14:textId="4B2EC62D"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3,779 </w:t>
            </w:r>
          </w:p>
        </w:tc>
        <w:tc>
          <w:tcPr>
            <w:tcW w:w="242" w:type="dxa"/>
            <w:tcBorders>
              <w:top w:val="nil"/>
              <w:left w:val="nil"/>
              <w:bottom w:val="nil"/>
              <w:right w:val="nil"/>
            </w:tcBorders>
            <w:shd w:val="solid" w:color="FFFFFF" w:fill="auto"/>
            <w:vAlign w:val="center"/>
          </w:tcPr>
          <w:p w14:paraId="7D5EB2F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5052405" w14:textId="51B88404"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2143AFC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3CBA5415" w14:textId="2EAD5CA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3,779 </w:t>
            </w:r>
          </w:p>
        </w:tc>
      </w:tr>
      <w:tr w:rsidR="00161871" w:rsidRPr="00161871" w14:paraId="4542F90C" w14:textId="77777777" w:rsidTr="00161871">
        <w:tc>
          <w:tcPr>
            <w:tcW w:w="3288" w:type="dxa"/>
            <w:tcBorders>
              <w:top w:val="nil"/>
              <w:left w:val="nil"/>
              <w:bottom w:val="nil"/>
              <w:right w:val="nil"/>
            </w:tcBorders>
            <w:shd w:val="solid" w:color="FFFFFF" w:fill="auto"/>
          </w:tcPr>
          <w:p w14:paraId="39FBA58F" w14:textId="477BA3C5"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US voluntary contributions</w:t>
            </w:r>
          </w:p>
        </w:tc>
        <w:tc>
          <w:tcPr>
            <w:tcW w:w="708" w:type="dxa"/>
            <w:tcBorders>
              <w:top w:val="nil"/>
              <w:left w:val="nil"/>
              <w:bottom w:val="nil"/>
              <w:right w:val="nil"/>
            </w:tcBorders>
            <w:shd w:val="solid" w:color="FFFFFF" w:fill="auto"/>
          </w:tcPr>
          <w:p w14:paraId="060B3B31"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77EA6AEA" w14:textId="5E234949"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1,066 </w:t>
            </w:r>
          </w:p>
        </w:tc>
        <w:tc>
          <w:tcPr>
            <w:tcW w:w="284" w:type="dxa"/>
            <w:tcBorders>
              <w:top w:val="nil"/>
              <w:left w:val="nil"/>
              <w:bottom w:val="nil"/>
              <w:right w:val="nil"/>
            </w:tcBorders>
            <w:shd w:val="solid" w:color="FFFFFF" w:fill="auto"/>
            <w:vAlign w:val="center"/>
          </w:tcPr>
          <w:p w14:paraId="771481F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68CB2E1B" w14:textId="03008CB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55B4BD5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11D186C8" w14:textId="218D496D"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1,066 </w:t>
            </w:r>
          </w:p>
        </w:tc>
        <w:tc>
          <w:tcPr>
            <w:tcW w:w="236" w:type="dxa"/>
            <w:tcBorders>
              <w:top w:val="nil"/>
              <w:left w:val="nil"/>
              <w:bottom w:val="nil"/>
              <w:right w:val="nil"/>
            </w:tcBorders>
            <w:shd w:val="clear" w:color="auto" w:fill="F2F2F2" w:themeFill="background1" w:themeFillShade="F2"/>
            <w:vAlign w:val="center"/>
          </w:tcPr>
          <w:p w14:paraId="2E2C730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7A44F115" w14:textId="36D7E07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1,066 </w:t>
            </w:r>
          </w:p>
        </w:tc>
        <w:tc>
          <w:tcPr>
            <w:tcW w:w="242" w:type="dxa"/>
            <w:tcBorders>
              <w:top w:val="nil"/>
              <w:left w:val="nil"/>
              <w:bottom w:val="nil"/>
              <w:right w:val="nil"/>
            </w:tcBorders>
            <w:shd w:val="solid" w:color="FFFFFF" w:fill="auto"/>
            <w:vAlign w:val="center"/>
          </w:tcPr>
          <w:p w14:paraId="41E1BF4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C7391A9" w14:textId="291E5916"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48A7C0D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669D8D4F" w14:textId="0C4C772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1,066 </w:t>
            </w:r>
          </w:p>
        </w:tc>
      </w:tr>
      <w:tr w:rsidR="00161871" w:rsidRPr="00161871" w14:paraId="2B03C4D5" w14:textId="77777777" w:rsidTr="00161871">
        <w:tc>
          <w:tcPr>
            <w:tcW w:w="3288" w:type="dxa"/>
            <w:tcBorders>
              <w:top w:val="nil"/>
              <w:left w:val="nil"/>
              <w:bottom w:val="nil"/>
              <w:right w:val="nil"/>
            </w:tcBorders>
            <w:shd w:val="solid" w:color="FFFFFF" w:fill="auto"/>
          </w:tcPr>
          <w:p w14:paraId="35592A09" w14:textId="208088D7"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African voluntary contributions</w:t>
            </w:r>
          </w:p>
        </w:tc>
        <w:tc>
          <w:tcPr>
            <w:tcW w:w="708" w:type="dxa"/>
            <w:tcBorders>
              <w:top w:val="nil"/>
              <w:left w:val="nil"/>
              <w:bottom w:val="nil"/>
              <w:right w:val="nil"/>
            </w:tcBorders>
            <w:shd w:val="solid" w:color="FFFFFF" w:fill="auto"/>
          </w:tcPr>
          <w:p w14:paraId="38AE6B98"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16627545" w14:textId="6B95AFD3"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vAlign w:val="center"/>
          </w:tcPr>
          <w:p w14:paraId="5A39A3B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vAlign w:val="center"/>
          </w:tcPr>
          <w:p w14:paraId="704B9B65" w14:textId="62D3746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12 </w:t>
            </w:r>
          </w:p>
        </w:tc>
        <w:tc>
          <w:tcPr>
            <w:tcW w:w="236" w:type="dxa"/>
            <w:tcBorders>
              <w:top w:val="nil"/>
              <w:left w:val="nil"/>
              <w:bottom w:val="nil"/>
              <w:right w:val="nil"/>
            </w:tcBorders>
            <w:shd w:val="solid" w:color="FFFFFF" w:fill="auto"/>
            <w:vAlign w:val="center"/>
          </w:tcPr>
          <w:p w14:paraId="1F9556B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3F2BBECF" w14:textId="65260283"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12 </w:t>
            </w:r>
          </w:p>
        </w:tc>
        <w:tc>
          <w:tcPr>
            <w:tcW w:w="236" w:type="dxa"/>
            <w:tcBorders>
              <w:top w:val="nil"/>
              <w:left w:val="nil"/>
              <w:bottom w:val="nil"/>
              <w:right w:val="nil"/>
            </w:tcBorders>
            <w:shd w:val="clear" w:color="auto" w:fill="F2F2F2" w:themeFill="background1" w:themeFillShade="F2"/>
            <w:vAlign w:val="center"/>
          </w:tcPr>
          <w:p w14:paraId="0C43E45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239CA378" w14:textId="1C7B5DA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42" w:type="dxa"/>
            <w:tcBorders>
              <w:top w:val="nil"/>
              <w:left w:val="nil"/>
              <w:bottom w:val="nil"/>
              <w:right w:val="nil"/>
            </w:tcBorders>
            <w:shd w:val="solid" w:color="FFFFFF" w:fill="auto"/>
            <w:vAlign w:val="center"/>
          </w:tcPr>
          <w:p w14:paraId="4B380AB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FFFB2F9" w14:textId="782F760F"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 </w:t>
            </w:r>
          </w:p>
        </w:tc>
        <w:tc>
          <w:tcPr>
            <w:tcW w:w="236" w:type="dxa"/>
            <w:tcBorders>
              <w:top w:val="nil"/>
              <w:left w:val="nil"/>
              <w:bottom w:val="nil"/>
              <w:right w:val="nil"/>
            </w:tcBorders>
            <w:shd w:val="solid" w:color="FFFFFF" w:fill="auto"/>
            <w:vAlign w:val="center"/>
          </w:tcPr>
          <w:p w14:paraId="4F81BF8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3F9DFD1B" w14:textId="21CD9FA0"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 </w:t>
            </w:r>
          </w:p>
        </w:tc>
      </w:tr>
      <w:tr w:rsidR="00161871" w:rsidRPr="00161871" w14:paraId="5A1B9FA6" w14:textId="77777777" w:rsidTr="00161871">
        <w:tc>
          <w:tcPr>
            <w:tcW w:w="3288" w:type="dxa"/>
            <w:tcBorders>
              <w:top w:val="nil"/>
              <w:left w:val="nil"/>
              <w:bottom w:val="nil"/>
              <w:right w:val="nil"/>
            </w:tcBorders>
            <w:shd w:val="solid" w:color="FFFFFF" w:fill="auto"/>
          </w:tcPr>
          <w:p w14:paraId="4AA2F8EB" w14:textId="2F5BEC7D"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 xml:space="preserve">Project income </w:t>
            </w:r>
          </w:p>
        </w:tc>
        <w:tc>
          <w:tcPr>
            <w:tcW w:w="708" w:type="dxa"/>
            <w:tcBorders>
              <w:top w:val="nil"/>
              <w:left w:val="nil"/>
              <w:bottom w:val="nil"/>
              <w:right w:val="nil"/>
            </w:tcBorders>
            <w:shd w:val="solid" w:color="FFFFFF" w:fill="auto"/>
          </w:tcPr>
          <w:p w14:paraId="69342B88"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1176EA48" w14:textId="1B90507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vAlign w:val="center"/>
          </w:tcPr>
          <w:p w14:paraId="1A0698E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0A23EFF2" w14:textId="440705E5"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47 </w:t>
            </w:r>
          </w:p>
        </w:tc>
        <w:tc>
          <w:tcPr>
            <w:tcW w:w="236" w:type="dxa"/>
            <w:tcBorders>
              <w:top w:val="nil"/>
              <w:left w:val="nil"/>
              <w:bottom w:val="nil"/>
              <w:right w:val="nil"/>
            </w:tcBorders>
            <w:shd w:val="solid" w:color="FFFFFF" w:fill="auto"/>
            <w:vAlign w:val="center"/>
          </w:tcPr>
          <w:p w14:paraId="1FB8C23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0DFFDE1A" w14:textId="5C7A01E0"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47 </w:t>
            </w:r>
          </w:p>
        </w:tc>
        <w:tc>
          <w:tcPr>
            <w:tcW w:w="236" w:type="dxa"/>
            <w:tcBorders>
              <w:top w:val="nil"/>
              <w:left w:val="nil"/>
              <w:bottom w:val="nil"/>
              <w:right w:val="nil"/>
            </w:tcBorders>
            <w:shd w:val="clear" w:color="auto" w:fill="F2F2F2" w:themeFill="background1" w:themeFillShade="F2"/>
            <w:vAlign w:val="center"/>
          </w:tcPr>
          <w:p w14:paraId="2BF8334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6BD52973" w14:textId="2EB18FD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42" w:type="dxa"/>
            <w:tcBorders>
              <w:top w:val="nil"/>
              <w:left w:val="nil"/>
              <w:bottom w:val="nil"/>
              <w:right w:val="nil"/>
            </w:tcBorders>
            <w:shd w:val="solid" w:color="FFFFFF" w:fill="auto"/>
            <w:vAlign w:val="center"/>
          </w:tcPr>
          <w:p w14:paraId="6BA4131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107E46EF" w14:textId="6CE89794"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379 </w:t>
            </w:r>
          </w:p>
        </w:tc>
        <w:tc>
          <w:tcPr>
            <w:tcW w:w="236" w:type="dxa"/>
            <w:tcBorders>
              <w:top w:val="nil"/>
              <w:left w:val="nil"/>
              <w:bottom w:val="nil"/>
              <w:right w:val="nil"/>
            </w:tcBorders>
            <w:shd w:val="solid" w:color="FFFFFF" w:fill="auto"/>
            <w:vAlign w:val="center"/>
          </w:tcPr>
          <w:p w14:paraId="5773FAF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1770B6A5" w14:textId="320BEC7F"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379 </w:t>
            </w:r>
          </w:p>
        </w:tc>
      </w:tr>
      <w:tr w:rsidR="00161871" w:rsidRPr="00161871" w14:paraId="2CCC80FF" w14:textId="77777777" w:rsidTr="00161871">
        <w:tc>
          <w:tcPr>
            <w:tcW w:w="3288" w:type="dxa"/>
            <w:tcBorders>
              <w:top w:val="nil"/>
              <w:left w:val="nil"/>
              <w:bottom w:val="nil"/>
              <w:right w:val="nil"/>
            </w:tcBorders>
            <w:shd w:val="solid" w:color="FFFFFF" w:fill="auto"/>
          </w:tcPr>
          <w:p w14:paraId="70C8769F" w14:textId="4800FC04"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Swiss tax rebates</w:t>
            </w:r>
          </w:p>
        </w:tc>
        <w:tc>
          <w:tcPr>
            <w:tcW w:w="708" w:type="dxa"/>
            <w:tcBorders>
              <w:top w:val="nil"/>
              <w:left w:val="nil"/>
              <w:bottom w:val="nil"/>
              <w:right w:val="nil"/>
            </w:tcBorders>
            <w:shd w:val="solid" w:color="FFFFFF" w:fill="auto"/>
          </w:tcPr>
          <w:p w14:paraId="557BB15D"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10</w:t>
            </w:r>
          </w:p>
        </w:tc>
        <w:tc>
          <w:tcPr>
            <w:tcW w:w="851" w:type="dxa"/>
            <w:tcBorders>
              <w:top w:val="nil"/>
              <w:left w:val="nil"/>
              <w:bottom w:val="single" w:sz="6" w:space="0" w:color="auto"/>
              <w:right w:val="nil"/>
            </w:tcBorders>
            <w:shd w:val="solid" w:color="FFFFFF" w:fill="auto"/>
            <w:vAlign w:val="center"/>
          </w:tcPr>
          <w:p w14:paraId="05502384" w14:textId="4C199AA0"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185 </w:t>
            </w:r>
          </w:p>
        </w:tc>
        <w:tc>
          <w:tcPr>
            <w:tcW w:w="284" w:type="dxa"/>
            <w:tcBorders>
              <w:top w:val="nil"/>
              <w:left w:val="nil"/>
              <w:bottom w:val="single" w:sz="6" w:space="0" w:color="auto"/>
              <w:right w:val="nil"/>
            </w:tcBorders>
            <w:shd w:val="solid" w:color="FFFFFF" w:fill="auto"/>
            <w:vAlign w:val="center"/>
          </w:tcPr>
          <w:p w14:paraId="6E6F338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vAlign w:val="center"/>
          </w:tcPr>
          <w:p w14:paraId="3B1995B2" w14:textId="287BE986"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single" w:sz="6" w:space="0" w:color="auto"/>
              <w:right w:val="nil"/>
            </w:tcBorders>
            <w:shd w:val="solid" w:color="FFFFFF" w:fill="auto"/>
            <w:vAlign w:val="center"/>
          </w:tcPr>
          <w:p w14:paraId="5F908FA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6" w:space="0" w:color="auto"/>
              <w:right w:val="nil"/>
            </w:tcBorders>
            <w:shd w:val="solid" w:color="FFFFFF" w:fill="auto"/>
            <w:vAlign w:val="center"/>
          </w:tcPr>
          <w:p w14:paraId="47E4BAA9" w14:textId="6F81831F"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185 </w:t>
            </w:r>
          </w:p>
        </w:tc>
        <w:tc>
          <w:tcPr>
            <w:tcW w:w="236" w:type="dxa"/>
            <w:tcBorders>
              <w:top w:val="nil"/>
              <w:left w:val="nil"/>
              <w:bottom w:val="single" w:sz="6" w:space="0" w:color="auto"/>
              <w:right w:val="nil"/>
            </w:tcBorders>
            <w:shd w:val="clear" w:color="auto" w:fill="F2F2F2" w:themeFill="background1" w:themeFillShade="F2"/>
            <w:vAlign w:val="center"/>
          </w:tcPr>
          <w:p w14:paraId="2CD9C4E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6" w:space="0" w:color="auto"/>
              <w:right w:val="nil"/>
            </w:tcBorders>
            <w:shd w:val="solid" w:color="FFFFFF" w:fill="auto"/>
            <w:vAlign w:val="center"/>
          </w:tcPr>
          <w:p w14:paraId="3964A8A4" w14:textId="56903A24"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202 </w:t>
            </w:r>
          </w:p>
        </w:tc>
        <w:tc>
          <w:tcPr>
            <w:tcW w:w="242" w:type="dxa"/>
            <w:tcBorders>
              <w:top w:val="nil"/>
              <w:left w:val="nil"/>
              <w:bottom w:val="single" w:sz="6" w:space="0" w:color="auto"/>
              <w:right w:val="nil"/>
            </w:tcBorders>
            <w:shd w:val="solid" w:color="FFFFFF" w:fill="auto"/>
            <w:vAlign w:val="center"/>
          </w:tcPr>
          <w:p w14:paraId="65A66EA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vAlign w:val="center"/>
          </w:tcPr>
          <w:p w14:paraId="3CF0A72F" w14:textId="5EFA0EB2"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single" w:sz="6" w:space="0" w:color="auto"/>
              <w:right w:val="nil"/>
            </w:tcBorders>
            <w:shd w:val="solid" w:color="FFFFFF" w:fill="auto"/>
            <w:vAlign w:val="center"/>
          </w:tcPr>
          <w:p w14:paraId="774A82B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vAlign w:val="center"/>
          </w:tcPr>
          <w:p w14:paraId="0085EC72" w14:textId="3A12ABC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202 </w:t>
            </w:r>
          </w:p>
        </w:tc>
      </w:tr>
      <w:tr w:rsidR="00161871" w:rsidRPr="00161871" w14:paraId="6A55EA10" w14:textId="77777777" w:rsidTr="00161871">
        <w:tc>
          <w:tcPr>
            <w:tcW w:w="3288" w:type="dxa"/>
            <w:tcBorders>
              <w:top w:val="nil"/>
              <w:left w:val="nil"/>
              <w:bottom w:val="nil"/>
              <w:right w:val="nil"/>
            </w:tcBorders>
            <w:shd w:val="solid" w:color="FFFFFF" w:fill="auto"/>
          </w:tcPr>
          <w:p w14:paraId="3C7D773A" w14:textId="77777777" w:rsidR="005219C3" w:rsidRPr="00161871"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161871">
              <w:rPr>
                <w:rFonts w:asciiTheme="minorHAnsi" w:eastAsiaTheme="minorHAnsi" w:hAnsiTheme="minorHAnsi" w:cstheme="minorHAnsi"/>
                <w:i/>
                <w:iCs/>
                <w:color w:val="000000"/>
                <w:sz w:val="19"/>
                <w:szCs w:val="19"/>
              </w:rPr>
              <w:t>Total external income</w:t>
            </w:r>
          </w:p>
        </w:tc>
        <w:tc>
          <w:tcPr>
            <w:tcW w:w="708" w:type="dxa"/>
            <w:tcBorders>
              <w:top w:val="nil"/>
              <w:left w:val="nil"/>
              <w:bottom w:val="nil"/>
              <w:right w:val="nil"/>
            </w:tcBorders>
            <w:shd w:val="solid" w:color="FFFFFF" w:fill="auto"/>
          </w:tcPr>
          <w:p w14:paraId="3453C114"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0C22E5B3" w14:textId="0D4DD793"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5,030 </w:t>
            </w:r>
          </w:p>
        </w:tc>
        <w:tc>
          <w:tcPr>
            <w:tcW w:w="284" w:type="dxa"/>
            <w:tcBorders>
              <w:top w:val="nil"/>
              <w:left w:val="nil"/>
              <w:bottom w:val="nil"/>
              <w:right w:val="nil"/>
            </w:tcBorders>
            <w:shd w:val="solid" w:color="FFFFFF" w:fill="auto"/>
            <w:vAlign w:val="center"/>
          </w:tcPr>
          <w:p w14:paraId="31D2B7C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nil"/>
              <w:left w:val="nil"/>
              <w:bottom w:val="nil"/>
              <w:right w:val="nil"/>
            </w:tcBorders>
            <w:shd w:val="solid" w:color="FFFFFF" w:fill="auto"/>
            <w:vAlign w:val="center"/>
          </w:tcPr>
          <w:p w14:paraId="7BE22104" w14:textId="7E53E802"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59 </w:t>
            </w:r>
          </w:p>
        </w:tc>
        <w:tc>
          <w:tcPr>
            <w:tcW w:w="236" w:type="dxa"/>
            <w:tcBorders>
              <w:top w:val="nil"/>
              <w:left w:val="nil"/>
              <w:bottom w:val="nil"/>
              <w:right w:val="nil"/>
            </w:tcBorders>
            <w:shd w:val="solid" w:color="FFFFFF" w:fill="auto"/>
            <w:vAlign w:val="center"/>
          </w:tcPr>
          <w:p w14:paraId="2D1985B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nil"/>
              <w:left w:val="nil"/>
              <w:bottom w:val="nil"/>
              <w:right w:val="nil"/>
            </w:tcBorders>
            <w:shd w:val="solid" w:color="FFFFFF" w:fill="auto"/>
            <w:vAlign w:val="center"/>
          </w:tcPr>
          <w:p w14:paraId="472BDA01" w14:textId="73F88B1C"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5,089 </w:t>
            </w:r>
          </w:p>
        </w:tc>
        <w:tc>
          <w:tcPr>
            <w:tcW w:w="236" w:type="dxa"/>
            <w:tcBorders>
              <w:top w:val="nil"/>
              <w:left w:val="nil"/>
              <w:bottom w:val="nil"/>
              <w:right w:val="nil"/>
            </w:tcBorders>
            <w:shd w:val="clear" w:color="auto" w:fill="F2F2F2" w:themeFill="background1" w:themeFillShade="F2"/>
            <w:vAlign w:val="center"/>
          </w:tcPr>
          <w:p w14:paraId="7857435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vAlign w:val="center"/>
          </w:tcPr>
          <w:p w14:paraId="46C008F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5,047 </w:t>
            </w:r>
          </w:p>
        </w:tc>
        <w:tc>
          <w:tcPr>
            <w:tcW w:w="242" w:type="dxa"/>
            <w:tcBorders>
              <w:top w:val="nil"/>
              <w:left w:val="nil"/>
              <w:bottom w:val="nil"/>
              <w:right w:val="nil"/>
            </w:tcBorders>
            <w:shd w:val="solid" w:color="FFFFFF" w:fill="auto"/>
            <w:vAlign w:val="center"/>
          </w:tcPr>
          <w:p w14:paraId="502414B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793" w:type="dxa"/>
            <w:tcBorders>
              <w:top w:val="nil"/>
              <w:left w:val="nil"/>
              <w:bottom w:val="nil"/>
              <w:right w:val="nil"/>
            </w:tcBorders>
            <w:shd w:val="solid" w:color="FFFFFF" w:fill="auto"/>
            <w:vAlign w:val="center"/>
          </w:tcPr>
          <w:p w14:paraId="133C74EC" w14:textId="20FDB114"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381 </w:t>
            </w:r>
          </w:p>
        </w:tc>
        <w:tc>
          <w:tcPr>
            <w:tcW w:w="236" w:type="dxa"/>
            <w:tcBorders>
              <w:top w:val="nil"/>
              <w:left w:val="nil"/>
              <w:bottom w:val="nil"/>
              <w:right w:val="nil"/>
            </w:tcBorders>
            <w:shd w:val="solid" w:color="FFFFFF" w:fill="auto"/>
            <w:vAlign w:val="center"/>
          </w:tcPr>
          <w:p w14:paraId="115E488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6" w:type="dxa"/>
            <w:tcBorders>
              <w:top w:val="nil"/>
              <w:left w:val="nil"/>
              <w:bottom w:val="nil"/>
              <w:right w:val="nil"/>
            </w:tcBorders>
            <w:shd w:val="solid" w:color="FFFFFF" w:fill="auto"/>
            <w:vAlign w:val="center"/>
          </w:tcPr>
          <w:p w14:paraId="6911C8E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5,428 </w:t>
            </w:r>
          </w:p>
        </w:tc>
      </w:tr>
      <w:tr w:rsidR="00161871" w:rsidRPr="00161871" w14:paraId="09BE9B67" w14:textId="77777777" w:rsidTr="00161871">
        <w:tc>
          <w:tcPr>
            <w:tcW w:w="3288" w:type="dxa"/>
            <w:tcBorders>
              <w:top w:val="nil"/>
              <w:left w:val="nil"/>
              <w:bottom w:val="nil"/>
              <w:right w:val="nil"/>
            </w:tcBorders>
            <w:shd w:val="solid" w:color="FFFFFF" w:fill="auto"/>
          </w:tcPr>
          <w:p w14:paraId="7D0149F7"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357F86FC"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786A4DE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213CA23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2E28E4E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1E1B36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7AAD4A1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64FF568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32A83A1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7ACA2AA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8D3F4E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36673BD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316EFBC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3D020004" w14:textId="77777777" w:rsidTr="00161871">
        <w:tc>
          <w:tcPr>
            <w:tcW w:w="3288" w:type="dxa"/>
            <w:tcBorders>
              <w:top w:val="nil"/>
              <w:left w:val="nil"/>
              <w:bottom w:val="nil"/>
              <w:right w:val="nil"/>
            </w:tcBorders>
            <w:shd w:val="solid" w:color="FFFFFF" w:fill="auto"/>
          </w:tcPr>
          <w:p w14:paraId="705C6D2C"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Transfer between core and non-core projects</w:t>
            </w:r>
          </w:p>
        </w:tc>
        <w:tc>
          <w:tcPr>
            <w:tcW w:w="708" w:type="dxa"/>
            <w:tcBorders>
              <w:top w:val="nil"/>
              <w:left w:val="nil"/>
              <w:bottom w:val="nil"/>
              <w:right w:val="nil"/>
            </w:tcBorders>
            <w:shd w:val="solid" w:color="FFFFFF" w:fill="auto"/>
          </w:tcPr>
          <w:p w14:paraId="24D51803"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1E06FBA4" w14:textId="374C7A29"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vAlign w:val="center"/>
          </w:tcPr>
          <w:p w14:paraId="0CF0802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0171D74E" w14:textId="1C6176A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075D6B1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25E2C540" w14:textId="3F7F0224"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   </w:t>
            </w:r>
          </w:p>
        </w:tc>
        <w:tc>
          <w:tcPr>
            <w:tcW w:w="236" w:type="dxa"/>
            <w:tcBorders>
              <w:top w:val="nil"/>
              <w:left w:val="nil"/>
              <w:bottom w:val="nil"/>
              <w:right w:val="nil"/>
            </w:tcBorders>
            <w:shd w:val="clear" w:color="auto" w:fill="F2F2F2" w:themeFill="background1" w:themeFillShade="F2"/>
            <w:vAlign w:val="center"/>
          </w:tcPr>
          <w:p w14:paraId="07B5F07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vAlign w:val="center"/>
          </w:tcPr>
          <w:p w14:paraId="69D60C7B" w14:textId="046688ED"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(115)</w:t>
            </w:r>
          </w:p>
        </w:tc>
        <w:tc>
          <w:tcPr>
            <w:tcW w:w="242" w:type="dxa"/>
            <w:tcBorders>
              <w:top w:val="nil"/>
              <w:left w:val="nil"/>
              <w:bottom w:val="nil"/>
              <w:right w:val="nil"/>
            </w:tcBorders>
            <w:shd w:val="solid" w:color="FFFFFF" w:fill="auto"/>
            <w:vAlign w:val="center"/>
          </w:tcPr>
          <w:p w14:paraId="53A9C2A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29E7643" w14:textId="0681E990"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115 </w:t>
            </w:r>
          </w:p>
        </w:tc>
        <w:tc>
          <w:tcPr>
            <w:tcW w:w="236" w:type="dxa"/>
            <w:tcBorders>
              <w:top w:val="nil"/>
              <w:left w:val="nil"/>
              <w:bottom w:val="nil"/>
              <w:right w:val="nil"/>
            </w:tcBorders>
            <w:shd w:val="solid" w:color="FFFFFF" w:fill="auto"/>
            <w:vAlign w:val="center"/>
          </w:tcPr>
          <w:p w14:paraId="042BB52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1BD106E3" w14:textId="6B5A0AA2"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r>
      <w:tr w:rsidR="00161871" w:rsidRPr="00161871" w14:paraId="4CF0B837" w14:textId="77777777" w:rsidTr="00161871">
        <w:tc>
          <w:tcPr>
            <w:tcW w:w="3288" w:type="dxa"/>
            <w:tcBorders>
              <w:top w:val="nil"/>
              <w:left w:val="nil"/>
              <w:bottom w:val="nil"/>
              <w:right w:val="nil"/>
            </w:tcBorders>
            <w:shd w:val="solid" w:color="FFFFFF" w:fill="auto"/>
          </w:tcPr>
          <w:p w14:paraId="10C77338"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4E9BF60C"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503B07D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03A9C3D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22CBC49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E40828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0BDC7A6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24511AA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5677A8C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47935BD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7B366C9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1F0CCD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3DF0762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1F2238E8" w14:textId="77777777" w:rsidTr="00161871">
        <w:tc>
          <w:tcPr>
            <w:tcW w:w="3288" w:type="dxa"/>
            <w:tcBorders>
              <w:top w:val="nil"/>
              <w:left w:val="nil"/>
              <w:bottom w:val="nil"/>
              <w:right w:val="nil"/>
            </w:tcBorders>
            <w:shd w:val="solid" w:color="FFFFFF" w:fill="auto"/>
          </w:tcPr>
          <w:p w14:paraId="49D7E2DB" w14:textId="77777777" w:rsidR="005219C3" w:rsidRPr="00161871" w:rsidRDefault="005219C3" w:rsidP="00161871">
            <w:pPr>
              <w:autoSpaceDE w:val="0"/>
              <w:autoSpaceDN w:val="0"/>
              <w:adjustRightInd w:val="0"/>
              <w:ind w:left="0" w:firstLine="0"/>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Total Income</w:t>
            </w:r>
          </w:p>
        </w:tc>
        <w:tc>
          <w:tcPr>
            <w:tcW w:w="708" w:type="dxa"/>
            <w:tcBorders>
              <w:top w:val="nil"/>
              <w:left w:val="nil"/>
              <w:bottom w:val="nil"/>
              <w:right w:val="nil"/>
            </w:tcBorders>
            <w:shd w:val="solid" w:color="FFFFFF" w:fill="auto"/>
          </w:tcPr>
          <w:p w14:paraId="7A26D355"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6" w:space="0" w:color="auto"/>
              <w:left w:val="nil"/>
              <w:bottom w:val="single" w:sz="6" w:space="0" w:color="auto"/>
              <w:right w:val="nil"/>
            </w:tcBorders>
            <w:shd w:val="solid" w:color="FFFFFF" w:fill="auto"/>
            <w:vAlign w:val="center"/>
          </w:tcPr>
          <w:p w14:paraId="3E8653AC" w14:textId="40E9DB8E"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5,030 </w:t>
            </w:r>
          </w:p>
        </w:tc>
        <w:tc>
          <w:tcPr>
            <w:tcW w:w="284" w:type="dxa"/>
            <w:tcBorders>
              <w:top w:val="single" w:sz="6" w:space="0" w:color="auto"/>
              <w:left w:val="nil"/>
              <w:bottom w:val="single" w:sz="6" w:space="0" w:color="auto"/>
              <w:right w:val="nil"/>
            </w:tcBorders>
            <w:shd w:val="solid" w:color="FFFFFF" w:fill="auto"/>
            <w:vAlign w:val="center"/>
          </w:tcPr>
          <w:p w14:paraId="4244C7A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solid" w:color="FFFFFF" w:fill="auto"/>
            <w:vAlign w:val="center"/>
          </w:tcPr>
          <w:p w14:paraId="63AB0C4E" w14:textId="6698B0CC"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59 </w:t>
            </w:r>
          </w:p>
        </w:tc>
        <w:tc>
          <w:tcPr>
            <w:tcW w:w="236" w:type="dxa"/>
            <w:tcBorders>
              <w:top w:val="single" w:sz="6" w:space="0" w:color="auto"/>
              <w:left w:val="nil"/>
              <w:bottom w:val="single" w:sz="6" w:space="0" w:color="auto"/>
              <w:right w:val="nil"/>
            </w:tcBorders>
            <w:shd w:val="solid" w:color="FFFFFF" w:fill="auto"/>
            <w:vAlign w:val="center"/>
          </w:tcPr>
          <w:p w14:paraId="3403FB9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6" w:space="0" w:color="auto"/>
              <w:left w:val="nil"/>
              <w:bottom w:val="single" w:sz="6" w:space="0" w:color="auto"/>
              <w:right w:val="nil"/>
            </w:tcBorders>
            <w:shd w:val="solid" w:color="FFFFFF" w:fill="auto"/>
            <w:vAlign w:val="center"/>
          </w:tcPr>
          <w:p w14:paraId="17D83909" w14:textId="0AC376A0"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5,089 </w:t>
            </w:r>
          </w:p>
        </w:tc>
        <w:tc>
          <w:tcPr>
            <w:tcW w:w="236" w:type="dxa"/>
            <w:tcBorders>
              <w:top w:val="single" w:sz="6" w:space="0" w:color="auto"/>
              <w:left w:val="nil"/>
              <w:bottom w:val="single" w:sz="6" w:space="0" w:color="auto"/>
              <w:right w:val="nil"/>
            </w:tcBorders>
            <w:shd w:val="clear" w:color="auto" w:fill="F2F2F2" w:themeFill="background1" w:themeFillShade="F2"/>
            <w:vAlign w:val="center"/>
          </w:tcPr>
          <w:p w14:paraId="5D10CBE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6" w:space="0" w:color="auto"/>
              <w:left w:val="nil"/>
              <w:bottom w:val="single" w:sz="6" w:space="0" w:color="auto"/>
              <w:right w:val="nil"/>
            </w:tcBorders>
            <w:shd w:val="solid" w:color="FFFFFF" w:fill="auto"/>
            <w:vAlign w:val="center"/>
          </w:tcPr>
          <w:p w14:paraId="686C7C7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4,932 </w:t>
            </w:r>
          </w:p>
        </w:tc>
        <w:tc>
          <w:tcPr>
            <w:tcW w:w="242" w:type="dxa"/>
            <w:tcBorders>
              <w:top w:val="single" w:sz="6" w:space="0" w:color="auto"/>
              <w:left w:val="nil"/>
              <w:bottom w:val="single" w:sz="6" w:space="0" w:color="auto"/>
              <w:right w:val="nil"/>
            </w:tcBorders>
            <w:shd w:val="solid" w:color="FFFFFF" w:fill="auto"/>
            <w:vAlign w:val="center"/>
          </w:tcPr>
          <w:p w14:paraId="24EFEFF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6" w:space="0" w:color="auto"/>
              <w:left w:val="nil"/>
              <w:bottom w:val="single" w:sz="6" w:space="0" w:color="auto"/>
              <w:right w:val="nil"/>
            </w:tcBorders>
            <w:shd w:val="solid" w:color="FFFFFF" w:fill="auto"/>
            <w:vAlign w:val="center"/>
          </w:tcPr>
          <w:p w14:paraId="23D5D7E9" w14:textId="07AA9CEA"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496 </w:t>
            </w:r>
          </w:p>
        </w:tc>
        <w:tc>
          <w:tcPr>
            <w:tcW w:w="236" w:type="dxa"/>
            <w:tcBorders>
              <w:top w:val="single" w:sz="6" w:space="0" w:color="auto"/>
              <w:left w:val="nil"/>
              <w:bottom w:val="single" w:sz="6" w:space="0" w:color="auto"/>
              <w:right w:val="nil"/>
            </w:tcBorders>
            <w:shd w:val="solid" w:color="FFFFFF" w:fill="auto"/>
            <w:vAlign w:val="center"/>
          </w:tcPr>
          <w:p w14:paraId="5DC8BED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6" w:space="0" w:color="auto"/>
              <w:left w:val="nil"/>
              <w:bottom w:val="single" w:sz="6" w:space="0" w:color="auto"/>
              <w:right w:val="nil"/>
            </w:tcBorders>
            <w:shd w:val="solid" w:color="FFFFFF" w:fill="auto"/>
            <w:vAlign w:val="center"/>
          </w:tcPr>
          <w:p w14:paraId="794D221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5,428 </w:t>
            </w:r>
          </w:p>
        </w:tc>
      </w:tr>
      <w:tr w:rsidR="00161871" w:rsidRPr="00161871" w14:paraId="4EEF2A58" w14:textId="77777777" w:rsidTr="00161871">
        <w:tc>
          <w:tcPr>
            <w:tcW w:w="3288" w:type="dxa"/>
            <w:tcBorders>
              <w:top w:val="nil"/>
              <w:left w:val="nil"/>
              <w:bottom w:val="nil"/>
              <w:right w:val="nil"/>
            </w:tcBorders>
            <w:shd w:val="solid" w:color="FFFFFF" w:fill="auto"/>
          </w:tcPr>
          <w:p w14:paraId="7EEDE0B0"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06D1B9ED"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36D6617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5966A83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52501B7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663AD47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79F5951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5D65BEF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235AFBE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747E399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29740E9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64600A9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538275D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618C8929" w14:textId="77777777" w:rsidTr="00161871">
        <w:tc>
          <w:tcPr>
            <w:tcW w:w="3288" w:type="dxa"/>
            <w:tcBorders>
              <w:top w:val="nil"/>
              <w:left w:val="nil"/>
              <w:bottom w:val="nil"/>
              <w:right w:val="nil"/>
            </w:tcBorders>
            <w:shd w:val="solid" w:color="FFFFFF" w:fill="auto"/>
          </w:tcPr>
          <w:p w14:paraId="48385420" w14:textId="77777777" w:rsidR="005219C3" w:rsidRPr="00161871" w:rsidRDefault="005219C3" w:rsidP="00161871">
            <w:pPr>
              <w:autoSpaceDE w:val="0"/>
              <w:autoSpaceDN w:val="0"/>
              <w:adjustRightInd w:val="0"/>
              <w:ind w:left="0" w:firstLine="0"/>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Expenditure</w:t>
            </w:r>
          </w:p>
        </w:tc>
        <w:tc>
          <w:tcPr>
            <w:tcW w:w="708" w:type="dxa"/>
            <w:tcBorders>
              <w:top w:val="nil"/>
              <w:left w:val="nil"/>
              <w:bottom w:val="nil"/>
              <w:right w:val="nil"/>
            </w:tcBorders>
            <w:shd w:val="solid" w:color="FFFFFF" w:fill="auto"/>
          </w:tcPr>
          <w:p w14:paraId="34002784"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04F8CF4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5834352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65E7DDA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0B2F2A4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2B74F09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403F40D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55A7BD2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1F10E98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66DB776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0C81377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543A744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502ABC5D" w14:textId="77777777" w:rsidTr="00161871">
        <w:tc>
          <w:tcPr>
            <w:tcW w:w="3288" w:type="dxa"/>
            <w:tcBorders>
              <w:top w:val="nil"/>
              <w:left w:val="nil"/>
              <w:bottom w:val="nil"/>
              <w:right w:val="nil"/>
            </w:tcBorders>
            <w:shd w:val="solid" w:color="FFFFFF" w:fill="auto"/>
          </w:tcPr>
          <w:p w14:paraId="6776C5E8" w14:textId="77777777" w:rsidR="005219C3" w:rsidRPr="00161871"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161871">
              <w:rPr>
                <w:rFonts w:asciiTheme="minorHAnsi" w:eastAsiaTheme="minorHAnsi" w:hAnsiTheme="minorHAnsi" w:cstheme="minorHAnsi"/>
                <w:i/>
                <w:iCs/>
                <w:color w:val="000000"/>
                <w:sz w:val="19"/>
                <w:szCs w:val="19"/>
              </w:rPr>
              <w:t>Operating expenditure:</w:t>
            </w:r>
          </w:p>
        </w:tc>
        <w:tc>
          <w:tcPr>
            <w:tcW w:w="708" w:type="dxa"/>
            <w:tcBorders>
              <w:top w:val="nil"/>
              <w:left w:val="nil"/>
              <w:bottom w:val="nil"/>
              <w:right w:val="nil"/>
            </w:tcBorders>
            <w:shd w:val="solid" w:color="FFFFFF" w:fill="auto"/>
          </w:tcPr>
          <w:p w14:paraId="52933138"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73D4064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2803042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16C324F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576DAE3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25C113F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7B2826C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4E655D2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21B3F43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FADBC2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1717DE8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09C11AB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654D9819" w14:textId="77777777" w:rsidTr="00161871">
        <w:tc>
          <w:tcPr>
            <w:tcW w:w="3288" w:type="dxa"/>
            <w:tcBorders>
              <w:top w:val="nil"/>
              <w:left w:val="nil"/>
              <w:bottom w:val="nil"/>
              <w:right w:val="nil"/>
            </w:tcBorders>
            <w:shd w:val="solid" w:color="FFFFFF" w:fill="auto"/>
          </w:tcPr>
          <w:p w14:paraId="12892C7B" w14:textId="6A4D2B9F"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Resource Mobilisation and Outreach</w:t>
            </w:r>
          </w:p>
        </w:tc>
        <w:tc>
          <w:tcPr>
            <w:tcW w:w="708" w:type="dxa"/>
            <w:tcBorders>
              <w:top w:val="nil"/>
              <w:left w:val="nil"/>
              <w:bottom w:val="nil"/>
              <w:right w:val="nil"/>
            </w:tcBorders>
            <w:shd w:val="solid" w:color="FFFFFF" w:fill="auto"/>
          </w:tcPr>
          <w:p w14:paraId="337C255B"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3CB1D027" w14:textId="00FF3E3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(416)</w:t>
            </w:r>
          </w:p>
        </w:tc>
        <w:tc>
          <w:tcPr>
            <w:tcW w:w="284" w:type="dxa"/>
            <w:tcBorders>
              <w:top w:val="nil"/>
              <w:left w:val="nil"/>
              <w:bottom w:val="nil"/>
              <w:right w:val="nil"/>
            </w:tcBorders>
            <w:shd w:val="solid" w:color="FFFFFF" w:fill="auto"/>
            <w:vAlign w:val="center"/>
          </w:tcPr>
          <w:p w14:paraId="0C8B359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5392EDDE" w14:textId="0A0F2546"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(75)</w:t>
            </w:r>
          </w:p>
        </w:tc>
        <w:tc>
          <w:tcPr>
            <w:tcW w:w="236" w:type="dxa"/>
            <w:tcBorders>
              <w:top w:val="nil"/>
              <w:left w:val="nil"/>
              <w:bottom w:val="nil"/>
              <w:right w:val="nil"/>
            </w:tcBorders>
            <w:shd w:val="solid" w:color="FFFFFF" w:fill="auto"/>
            <w:vAlign w:val="center"/>
          </w:tcPr>
          <w:p w14:paraId="46BC309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3CA113FB" w14:textId="135E4E0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(491)</w:t>
            </w:r>
          </w:p>
        </w:tc>
        <w:tc>
          <w:tcPr>
            <w:tcW w:w="236" w:type="dxa"/>
            <w:tcBorders>
              <w:top w:val="nil"/>
              <w:left w:val="nil"/>
              <w:bottom w:val="nil"/>
              <w:right w:val="nil"/>
            </w:tcBorders>
            <w:shd w:val="clear" w:color="auto" w:fill="F2F2F2" w:themeFill="background1" w:themeFillShade="F2"/>
            <w:vAlign w:val="center"/>
          </w:tcPr>
          <w:p w14:paraId="0A88591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vAlign w:val="center"/>
          </w:tcPr>
          <w:p w14:paraId="2BCE2663" w14:textId="23E4ABE1"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(319)</w:t>
            </w:r>
          </w:p>
        </w:tc>
        <w:tc>
          <w:tcPr>
            <w:tcW w:w="242" w:type="dxa"/>
            <w:tcBorders>
              <w:top w:val="nil"/>
              <w:left w:val="nil"/>
              <w:bottom w:val="nil"/>
              <w:right w:val="nil"/>
            </w:tcBorders>
            <w:shd w:val="solid" w:color="FFFFFF" w:fill="auto"/>
            <w:vAlign w:val="center"/>
          </w:tcPr>
          <w:p w14:paraId="1EA380C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1911457" w14:textId="16A2A3D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(159)</w:t>
            </w:r>
          </w:p>
        </w:tc>
        <w:tc>
          <w:tcPr>
            <w:tcW w:w="236" w:type="dxa"/>
            <w:tcBorders>
              <w:top w:val="nil"/>
              <w:left w:val="nil"/>
              <w:bottom w:val="nil"/>
              <w:right w:val="nil"/>
            </w:tcBorders>
            <w:shd w:val="solid" w:color="FFFFFF" w:fill="auto"/>
            <w:vAlign w:val="center"/>
          </w:tcPr>
          <w:p w14:paraId="35C5F53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065E28BD" w14:textId="7874456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(478)</w:t>
            </w:r>
          </w:p>
        </w:tc>
      </w:tr>
      <w:tr w:rsidR="00161871" w:rsidRPr="00161871" w14:paraId="3851A79B" w14:textId="77777777" w:rsidTr="00161871">
        <w:tc>
          <w:tcPr>
            <w:tcW w:w="3288" w:type="dxa"/>
            <w:tcBorders>
              <w:top w:val="nil"/>
              <w:left w:val="nil"/>
              <w:bottom w:val="nil"/>
              <w:right w:val="nil"/>
            </w:tcBorders>
            <w:shd w:val="solid" w:color="FFFFFF" w:fill="auto"/>
          </w:tcPr>
          <w:p w14:paraId="6CD0F52F" w14:textId="587CA671"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 xml:space="preserve">Regional Advice, Initiatives and </w:t>
            </w: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Support</w:t>
            </w:r>
          </w:p>
        </w:tc>
        <w:tc>
          <w:tcPr>
            <w:tcW w:w="708" w:type="dxa"/>
            <w:tcBorders>
              <w:top w:val="nil"/>
              <w:left w:val="nil"/>
              <w:bottom w:val="nil"/>
              <w:right w:val="nil"/>
            </w:tcBorders>
            <w:shd w:val="solid" w:color="FFFFFF" w:fill="auto"/>
          </w:tcPr>
          <w:p w14:paraId="275B00D0"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693B0566" w14:textId="7B5CA472"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(1,126)</w:t>
            </w:r>
          </w:p>
        </w:tc>
        <w:tc>
          <w:tcPr>
            <w:tcW w:w="284" w:type="dxa"/>
            <w:tcBorders>
              <w:top w:val="nil"/>
              <w:left w:val="nil"/>
              <w:bottom w:val="nil"/>
              <w:right w:val="nil"/>
            </w:tcBorders>
            <w:shd w:val="solid" w:color="FFFFFF" w:fill="auto"/>
            <w:vAlign w:val="center"/>
          </w:tcPr>
          <w:p w14:paraId="184B121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vAlign w:val="center"/>
          </w:tcPr>
          <w:p w14:paraId="1301D5BF" w14:textId="65E5DEA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(110)</w:t>
            </w:r>
          </w:p>
        </w:tc>
        <w:tc>
          <w:tcPr>
            <w:tcW w:w="236" w:type="dxa"/>
            <w:tcBorders>
              <w:top w:val="nil"/>
              <w:left w:val="nil"/>
              <w:bottom w:val="nil"/>
              <w:right w:val="nil"/>
            </w:tcBorders>
            <w:shd w:val="solid" w:color="FFFFFF" w:fill="auto"/>
            <w:vAlign w:val="center"/>
          </w:tcPr>
          <w:p w14:paraId="4871CE9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511028C9" w14:textId="2C1D93BD"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(1,236)</w:t>
            </w:r>
          </w:p>
        </w:tc>
        <w:tc>
          <w:tcPr>
            <w:tcW w:w="236" w:type="dxa"/>
            <w:tcBorders>
              <w:top w:val="nil"/>
              <w:left w:val="nil"/>
              <w:bottom w:val="nil"/>
              <w:right w:val="nil"/>
            </w:tcBorders>
            <w:shd w:val="clear" w:color="auto" w:fill="F2F2F2" w:themeFill="background1" w:themeFillShade="F2"/>
            <w:vAlign w:val="center"/>
          </w:tcPr>
          <w:p w14:paraId="73F9995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nil"/>
              <w:left w:val="nil"/>
              <w:bottom w:val="nil"/>
              <w:right w:val="nil"/>
            </w:tcBorders>
            <w:shd w:val="solid" w:color="FFFFFF" w:fill="auto"/>
            <w:vAlign w:val="center"/>
          </w:tcPr>
          <w:p w14:paraId="497D3F4E" w14:textId="05B989E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(1,245)</w:t>
            </w:r>
          </w:p>
        </w:tc>
        <w:tc>
          <w:tcPr>
            <w:tcW w:w="242" w:type="dxa"/>
            <w:tcBorders>
              <w:top w:val="nil"/>
              <w:left w:val="nil"/>
              <w:bottom w:val="nil"/>
              <w:right w:val="nil"/>
            </w:tcBorders>
            <w:shd w:val="solid" w:color="FFFFFF" w:fill="auto"/>
            <w:vAlign w:val="center"/>
          </w:tcPr>
          <w:p w14:paraId="64F267E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4289F213" w14:textId="05973CA6"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(174)</w:t>
            </w:r>
          </w:p>
        </w:tc>
        <w:tc>
          <w:tcPr>
            <w:tcW w:w="236" w:type="dxa"/>
            <w:tcBorders>
              <w:top w:val="nil"/>
              <w:left w:val="nil"/>
              <w:bottom w:val="nil"/>
              <w:right w:val="nil"/>
            </w:tcBorders>
            <w:shd w:val="solid" w:color="FFFFFF" w:fill="auto"/>
            <w:vAlign w:val="center"/>
          </w:tcPr>
          <w:p w14:paraId="411889D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656D9749" w14:textId="15FE57FE"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(1,419)</w:t>
            </w:r>
          </w:p>
        </w:tc>
      </w:tr>
      <w:tr w:rsidR="00161871" w:rsidRPr="00161871" w14:paraId="29078B6E" w14:textId="77777777" w:rsidTr="009803E8">
        <w:tc>
          <w:tcPr>
            <w:tcW w:w="3288" w:type="dxa"/>
            <w:tcBorders>
              <w:top w:val="nil"/>
              <w:left w:val="nil"/>
              <w:bottom w:val="nil"/>
              <w:right w:val="nil"/>
            </w:tcBorders>
            <w:shd w:val="solid" w:color="FFFFFF" w:fill="auto"/>
          </w:tcPr>
          <w:p w14:paraId="2F97C837" w14:textId="41942CBE"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Scientific and Technical Services</w:t>
            </w:r>
          </w:p>
        </w:tc>
        <w:tc>
          <w:tcPr>
            <w:tcW w:w="708" w:type="dxa"/>
            <w:tcBorders>
              <w:top w:val="nil"/>
              <w:left w:val="nil"/>
              <w:bottom w:val="nil"/>
              <w:right w:val="nil"/>
            </w:tcBorders>
            <w:shd w:val="solid" w:color="FFFFFF" w:fill="auto"/>
          </w:tcPr>
          <w:p w14:paraId="6CE8B6D3"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right w:val="nil"/>
            </w:tcBorders>
            <w:shd w:val="solid" w:color="FFFFFF" w:fill="auto"/>
            <w:vAlign w:val="center"/>
          </w:tcPr>
          <w:p w14:paraId="36BABC7B" w14:textId="78E16446"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(527)</w:t>
            </w:r>
          </w:p>
        </w:tc>
        <w:tc>
          <w:tcPr>
            <w:tcW w:w="284" w:type="dxa"/>
            <w:tcBorders>
              <w:top w:val="nil"/>
              <w:left w:val="nil"/>
              <w:right w:val="nil"/>
            </w:tcBorders>
            <w:shd w:val="solid" w:color="FFFFFF" w:fill="auto"/>
            <w:vAlign w:val="center"/>
          </w:tcPr>
          <w:p w14:paraId="34DD900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right w:val="nil"/>
            </w:tcBorders>
            <w:shd w:val="solid" w:color="FFFFFF" w:fill="auto"/>
            <w:vAlign w:val="center"/>
          </w:tcPr>
          <w:p w14:paraId="32EB321D" w14:textId="009652F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right w:val="nil"/>
            </w:tcBorders>
            <w:shd w:val="solid" w:color="FFFFFF" w:fill="auto"/>
            <w:vAlign w:val="center"/>
          </w:tcPr>
          <w:p w14:paraId="03EE46A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right w:val="nil"/>
            </w:tcBorders>
            <w:shd w:val="solid" w:color="FFFFFF" w:fill="auto"/>
            <w:vAlign w:val="center"/>
          </w:tcPr>
          <w:p w14:paraId="6719060D" w14:textId="0344EAB5"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(527)</w:t>
            </w:r>
          </w:p>
        </w:tc>
        <w:tc>
          <w:tcPr>
            <w:tcW w:w="236" w:type="dxa"/>
            <w:tcBorders>
              <w:top w:val="nil"/>
              <w:left w:val="nil"/>
              <w:right w:val="nil"/>
            </w:tcBorders>
            <w:shd w:val="clear" w:color="auto" w:fill="F2F2F2" w:themeFill="background1" w:themeFillShade="F2"/>
            <w:vAlign w:val="center"/>
          </w:tcPr>
          <w:p w14:paraId="4609FFF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right w:val="nil"/>
            </w:tcBorders>
            <w:shd w:val="solid" w:color="FFFFFF" w:fill="auto"/>
            <w:vAlign w:val="center"/>
          </w:tcPr>
          <w:p w14:paraId="08AD2EAD" w14:textId="05ECC1F1"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(640)</w:t>
            </w:r>
          </w:p>
        </w:tc>
        <w:tc>
          <w:tcPr>
            <w:tcW w:w="242" w:type="dxa"/>
            <w:tcBorders>
              <w:top w:val="nil"/>
              <w:left w:val="nil"/>
              <w:right w:val="nil"/>
            </w:tcBorders>
            <w:shd w:val="solid" w:color="FFFFFF" w:fill="auto"/>
            <w:vAlign w:val="center"/>
          </w:tcPr>
          <w:p w14:paraId="76E4601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right w:val="nil"/>
            </w:tcBorders>
            <w:shd w:val="solid" w:color="FFFFFF" w:fill="auto"/>
            <w:vAlign w:val="center"/>
          </w:tcPr>
          <w:p w14:paraId="32462F03" w14:textId="28661B59"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0 </w:t>
            </w:r>
          </w:p>
        </w:tc>
        <w:tc>
          <w:tcPr>
            <w:tcW w:w="236" w:type="dxa"/>
            <w:tcBorders>
              <w:top w:val="nil"/>
              <w:left w:val="nil"/>
              <w:right w:val="nil"/>
            </w:tcBorders>
            <w:shd w:val="solid" w:color="FFFFFF" w:fill="auto"/>
            <w:vAlign w:val="center"/>
          </w:tcPr>
          <w:p w14:paraId="498660D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right w:val="nil"/>
            </w:tcBorders>
            <w:shd w:val="solid" w:color="FFFFFF" w:fill="auto"/>
            <w:vAlign w:val="center"/>
          </w:tcPr>
          <w:p w14:paraId="433D7D95" w14:textId="7033EDD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(640)</w:t>
            </w:r>
          </w:p>
        </w:tc>
      </w:tr>
      <w:tr w:rsidR="00161871" w:rsidRPr="00161871" w14:paraId="70CC2D08" w14:textId="77777777" w:rsidTr="009803E8">
        <w:tc>
          <w:tcPr>
            <w:tcW w:w="3288" w:type="dxa"/>
            <w:tcBorders>
              <w:top w:val="nil"/>
              <w:left w:val="nil"/>
              <w:bottom w:val="nil"/>
              <w:right w:val="nil"/>
            </w:tcBorders>
            <w:shd w:val="solid" w:color="FFFFFF" w:fill="auto"/>
          </w:tcPr>
          <w:p w14:paraId="7C5058F4" w14:textId="67628415" w:rsidR="005219C3" w:rsidRPr="00161871" w:rsidRDefault="00161871" w:rsidP="00161871">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Management, Governance,</w:t>
            </w: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Operations and Support</w:t>
            </w:r>
          </w:p>
        </w:tc>
        <w:tc>
          <w:tcPr>
            <w:tcW w:w="708" w:type="dxa"/>
            <w:tcBorders>
              <w:top w:val="nil"/>
              <w:left w:val="nil"/>
              <w:bottom w:val="nil"/>
              <w:right w:val="nil"/>
            </w:tcBorders>
            <w:shd w:val="solid" w:color="FFFFFF" w:fill="auto"/>
          </w:tcPr>
          <w:p w14:paraId="31717F7A"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vAlign w:val="center"/>
          </w:tcPr>
          <w:p w14:paraId="6A344874" w14:textId="3FB9EA5F"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(2,129)</w:t>
            </w:r>
          </w:p>
        </w:tc>
        <w:tc>
          <w:tcPr>
            <w:tcW w:w="284" w:type="dxa"/>
            <w:tcBorders>
              <w:top w:val="nil"/>
              <w:left w:val="nil"/>
              <w:bottom w:val="single" w:sz="4" w:space="0" w:color="auto"/>
              <w:right w:val="nil"/>
            </w:tcBorders>
            <w:shd w:val="solid" w:color="FFFFFF" w:fill="auto"/>
            <w:vAlign w:val="center"/>
          </w:tcPr>
          <w:p w14:paraId="72CC81E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4" w:space="0" w:color="auto"/>
              <w:right w:val="nil"/>
            </w:tcBorders>
            <w:shd w:val="solid" w:color="FFFFFF" w:fill="auto"/>
            <w:vAlign w:val="center"/>
          </w:tcPr>
          <w:p w14:paraId="2A9F5242" w14:textId="0DF6187F"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(67)</w:t>
            </w:r>
          </w:p>
        </w:tc>
        <w:tc>
          <w:tcPr>
            <w:tcW w:w="236" w:type="dxa"/>
            <w:tcBorders>
              <w:top w:val="nil"/>
              <w:left w:val="nil"/>
              <w:bottom w:val="single" w:sz="4" w:space="0" w:color="auto"/>
              <w:right w:val="nil"/>
            </w:tcBorders>
            <w:shd w:val="solid" w:color="FFFFFF" w:fill="auto"/>
            <w:vAlign w:val="center"/>
          </w:tcPr>
          <w:p w14:paraId="3D23666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121C2848" w14:textId="5A610325"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(2,196)</w:t>
            </w:r>
          </w:p>
        </w:tc>
        <w:tc>
          <w:tcPr>
            <w:tcW w:w="236" w:type="dxa"/>
            <w:tcBorders>
              <w:top w:val="nil"/>
              <w:left w:val="nil"/>
              <w:bottom w:val="single" w:sz="4" w:space="0" w:color="auto"/>
              <w:right w:val="nil"/>
            </w:tcBorders>
            <w:shd w:val="clear" w:color="auto" w:fill="F2F2F2" w:themeFill="background1" w:themeFillShade="F2"/>
            <w:vAlign w:val="center"/>
          </w:tcPr>
          <w:p w14:paraId="5D4201B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48497040" w14:textId="56C28AF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(2,025)</w:t>
            </w:r>
          </w:p>
        </w:tc>
        <w:tc>
          <w:tcPr>
            <w:tcW w:w="242" w:type="dxa"/>
            <w:tcBorders>
              <w:top w:val="nil"/>
              <w:left w:val="nil"/>
              <w:bottom w:val="single" w:sz="4" w:space="0" w:color="auto"/>
              <w:right w:val="nil"/>
            </w:tcBorders>
            <w:shd w:val="solid" w:color="FFFFFF" w:fill="auto"/>
            <w:vAlign w:val="center"/>
          </w:tcPr>
          <w:p w14:paraId="446410C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4" w:space="0" w:color="auto"/>
              <w:right w:val="nil"/>
            </w:tcBorders>
            <w:shd w:val="solid" w:color="FFFFFF" w:fill="auto"/>
            <w:vAlign w:val="center"/>
          </w:tcPr>
          <w:p w14:paraId="4DE39D38" w14:textId="78FE273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 </w:t>
            </w:r>
          </w:p>
        </w:tc>
        <w:tc>
          <w:tcPr>
            <w:tcW w:w="236" w:type="dxa"/>
            <w:tcBorders>
              <w:top w:val="nil"/>
              <w:left w:val="nil"/>
              <w:bottom w:val="single" w:sz="4" w:space="0" w:color="auto"/>
              <w:right w:val="nil"/>
            </w:tcBorders>
            <w:shd w:val="solid" w:color="FFFFFF" w:fill="auto"/>
            <w:vAlign w:val="center"/>
          </w:tcPr>
          <w:p w14:paraId="301356C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70F48CD8" w14:textId="005A0E7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(2,022)</w:t>
            </w:r>
          </w:p>
        </w:tc>
      </w:tr>
      <w:tr w:rsidR="009803E8" w:rsidRPr="00161871" w14:paraId="15FFCDFE" w14:textId="77777777" w:rsidTr="009803E8">
        <w:tc>
          <w:tcPr>
            <w:tcW w:w="3288" w:type="dxa"/>
            <w:tcBorders>
              <w:top w:val="nil"/>
              <w:left w:val="nil"/>
              <w:bottom w:val="nil"/>
              <w:right w:val="nil"/>
            </w:tcBorders>
            <w:shd w:val="solid" w:color="FFFFFF" w:fill="auto"/>
          </w:tcPr>
          <w:p w14:paraId="0237CB72" w14:textId="77777777" w:rsidR="005219C3" w:rsidRPr="00161871"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161871">
              <w:rPr>
                <w:rFonts w:asciiTheme="minorHAnsi" w:eastAsiaTheme="minorHAnsi" w:hAnsiTheme="minorHAnsi" w:cstheme="minorHAnsi"/>
                <w:i/>
                <w:iCs/>
                <w:color w:val="000000"/>
                <w:sz w:val="19"/>
                <w:szCs w:val="19"/>
              </w:rPr>
              <w:t>Total operating expenditure</w:t>
            </w:r>
          </w:p>
        </w:tc>
        <w:tc>
          <w:tcPr>
            <w:tcW w:w="708" w:type="dxa"/>
            <w:tcBorders>
              <w:top w:val="nil"/>
              <w:left w:val="nil"/>
              <w:bottom w:val="nil"/>
              <w:right w:val="nil"/>
            </w:tcBorders>
            <w:shd w:val="solid" w:color="FFFFFF" w:fill="auto"/>
          </w:tcPr>
          <w:p w14:paraId="31848292"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single" w:sz="4" w:space="0" w:color="auto"/>
              <w:right w:val="nil"/>
            </w:tcBorders>
            <w:shd w:val="solid" w:color="FFFFFF" w:fill="auto"/>
            <w:vAlign w:val="center"/>
          </w:tcPr>
          <w:p w14:paraId="4391F0AF" w14:textId="19EA5BFA"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(4,198)</w:t>
            </w:r>
          </w:p>
        </w:tc>
        <w:tc>
          <w:tcPr>
            <w:tcW w:w="284" w:type="dxa"/>
            <w:tcBorders>
              <w:top w:val="single" w:sz="4" w:space="0" w:color="auto"/>
              <w:left w:val="nil"/>
              <w:bottom w:val="single" w:sz="4" w:space="0" w:color="auto"/>
              <w:right w:val="nil"/>
            </w:tcBorders>
            <w:shd w:val="solid" w:color="FFFFFF" w:fill="auto"/>
            <w:vAlign w:val="center"/>
          </w:tcPr>
          <w:p w14:paraId="50CB4BA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4" w:space="0" w:color="auto"/>
              <w:left w:val="nil"/>
              <w:bottom w:val="single" w:sz="4" w:space="0" w:color="auto"/>
              <w:right w:val="nil"/>
            </w:tcBorders>
            <w:vAlign w:val="center"/>
          </w:tcPr>
          <w:p w14:paraId="22223CF5" w14:textId="4933E9AF"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(252)</w:t>
            </w:r>
          </w:p>
        </w:tc>
        <w:tc>
          <w:tcPr>
            <w:tcW w:w="236" w:type="dxa"/>
            <w:tcBorders>
              <w:top w:val="single" w:sz="4" w:space="0" w:color="auto"/>
              <w:left w:val="nil"/>
              <w:bottom w:val="single" w:sz="4" w:space="0" w:color="auto"/>
              <w:right w:val="nil"/>
            </w:tcBorders>
            <w:shd w:val="solid" w:color="FFFFFF" w:fill="auto"/>
            <w:vAlign w:val="center"/>
          </w:tcPr>
          <w:p w14:paraId="16893D1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4" w:space="0" w:color="auto"/>
              <w:left w:val="nil"/>
              <w:bottom w:val="single" w:sz="4" w:space="0" w:color="auto"/>
              <w:right w:val="nil"/>
            </w:tcBorders>
            <w:shd w:val="solid" w:color="FFFFFF" w:fill="auto"/>
            <w:vAlign w:val="center"/>
          </w:tcPr>
          <w:p w14:paraId="29F8D2FA" w14:textId="4ED750C0"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(4,450)</w:t>
            </w:r>
          </w:p>
        </w:tc>
        <w:tc>
          <w:tcPr>
            <w:tcW w:w="236" w:type="dxa"/>
            <w:tcBorders>
              <w:top w:val="single" w:sz="4" w:space="0" w:color="auto"/>
              <w:left w:val="nil"/>
              <w:bottom w:val="single" w:sz="4" w:space="0" w:color="auto"/>
              <w:right w:val="nil"/>
            </w:tcBorders>
            <w:shd w:val="clear" w:color="auto" w:fill="F2F2F2" w:themeFill="background1" w:themeFillShade="F2"/>
            <w:vAlign w:val="center"/>
          </w:tcPr>
          <w:p w14:paraId="49C288D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single" w:sz="4" w:space="0" w:color="auto"/>
              <w:right w:val="nil"/>
            </w:tcBorders>
            <w:shd w:val="solid" w:color="FFFFFF" w:fill="auto"/>
            <w:vAlign w:val="center"/>
          </w:tcPr>
          <w:p w14:paraId="4707F5D9" w14:textId="5F0D37D2" w:rsidR="005219C3" w:rsidRPr="00161871" w:rsidRDefault="009803E8" w:rsidP="009803E8">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(4,</w:t>
            </w:r>
            <w:r>
              <w:rPr>
                <w:rFonts w:asciiTheme="minorHAnsi" w:eastAsiaTheme="minorHAnsi" w:hAnsiTheme="minorHAnsi" w:cstheme="minorHAnsi"/>
                <w:b/>
                <w:bCs/>
                <w:color w:val="000000"/>
                <w:sz w:val="19"/>
                <w:szCs w:val="19"/>
              </w:rPr>
              <w:t>23</w:t>
            </w:r>
            <w:r w:rsidRPr="00161871">
              <w:rPr>
                <w:rFonts w:asciiTheme="minorHAnsi" w:eastAsiaTheme="minorHAnsi" w:hAnsiTheme="minorHAnsi" w:cstheme="minorHAnsi"/>
                <w:b/>
                <w:bCs/>
                <w:color w:val="000000"/>
                <w:sz w:val="19"/>
                <w:szCs w:val="19"/>
              </w:rPr>
              <w:t>0)</w:t>
            </w:r>
          </w:p>
        </w:tc>
        <w:tc>
          <w:tcPr>
            <w:tcW w:w="242" w:type="dxa"/>
            <w:tcBorders>
              <w:top w:val="single" w:sz="4" w:space="0" w:color="auto"/>
              <w:left w:val="nil"/>
              <w:bottom w:val="single" w:sz="4" w:space="0" w:color="auto"/>
              <w:right w:val="nil"/>
            </w:tcBorders>
            <w:shd w:val="solid" w:color="FFFFFF" w:fill="auto"/>
            <w:vAlign w:val="center"/>
          </w:tcPr>
          <w:p w14:paraId="176F4E9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single" w:sz="4" w:space="0" w:color="auto"/>
              <w:right w:val="nil"/>
            </w:tcBorders>
            <w:shd w:val="solid" w:color="FFFFFF" w:fill="auto"/>
            <w:vAlign w:val="center"/>
          </w:tcPr>
          <w:p w14:paraId="2426B8A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(329)</w:t>
            </w:r>
          </w:p>
        </w:tc>
        <w:tc>
          <w:tcPr>
            <w:tcW w:w="236" w:type="dxa"/>
            <w:tcBorders>
              <w:top w:val="single" w:sz="4" w:space="0" w:color="auto"/>
              <w:left w:val="nil"/>
              <w:bottom w:val="single" w:sz="4" w:space="0" w:color="auto"/>
              <w:right w:val="nil"/>
            </w:tcBorders>
            <w:shd w:val="solid" w:color="FFFFFF" w:fill="auto"/>
            <w:vAlign w:val="center"/>
          </w:tcPr>
          <w:p w14:paraId="7C8657D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single" w:sz="4" w:space="0" w:color="auto"/>
              <w:right w:val="nil"/>
            </w:tcBorders>
            <w:shd w:val="solid" w:color="FFFFFF" w:fill="auto"/>
            <w:vAlign w:val="center"/>
          </w:tcPr>
          <w:p w14:paraId="48E50BBB" w14:textId="08284B14" w:rsidR="005219C3" w:rsidRPr="00161871" w:rsidRDefault="009803E8" w:rsidP="009803E8">
            <w:pPr>
              <w:autoSpaceDE w:val="0"/>
              <w:autoSpaceDN w:val="0"/>
              <w:adjustRightInd w:val="0"/>
              <w:ind w:left="0" w:firstLine="0"/>
              <w:jc w:val="right"/>
              <w:rPr>
                <w:rFonts w:asciiTheme="minorHAnsi" w:eastAsiaTheme="minorHAnsi" w:hAnsiTheme="minorHAnsi" w:cstheme="minorHAnsi"/>
                <w:b/>
                <w:bCs/>
                <w:color w:val="000000"/>
                <w:sz w:val="19"/>
                <w:szCs w:val="19"/>
              </w:rPr>
            </w:pPr>
            <w:r>
              <w:rPr>
                <w:rFonts w:asciiTheme="minorHAnsi" w:eastAsiaTheme="minorHAnsi" w:hAnsiTheme="minorHAnsi" w:cstheme="minorHAnsi"/>
                <w:b/>
                <w:bCs/>
                <w:color w:val="000000"/>
                <w:sz w:val="19"/>
                <w:szCs w:val="19"/>
              </w:rPr>
              <w:t>(4,559</w:t>
            </w:r>
            <w:r w:rsidRPr="00161871">
              <w:rPr>
                <w:rFonts w:asciiTheme="minorHAnsi" w:eastAsiaTheme="minorHAnsi" w:hAnsiTheme="minorHAnsi" w:cstheme="minorHAnsi"/>
                <w:b/>
                <w:bCs/>
                <w:color w:val="000000"/>
                <w:sz w:val="19"/>
                <w:szCs w:val="19"/>
              </w:rPr>
              <w:t>)</w:t>
            </w:r>
          </w:p>
        </w:tc>
      </w:tr>
      <w:tr w:rsidR="009803E8" w:rsidRPr="00161871" w14:paraId="28A8C84B" w14:textId="77777777" w:rsidTr="009803E8">
        <w:tc>
          <w:tcPr>
            <w:tcW w:w="3288" w:type="dxa"/>
            <w:tcBorders>
              <w:top w:val="nil"/>
              <w:left w:val="nil"/>
              <w:bottom w:val="nil"/>
              <w:right w:val="nil"/>
            </w:tcBorders>
            <w:shd w:val="solid" w:color="FFFFFF" w:fill="auto"/>
          </w:tcPr>
          <w:p w14:paraId="118E4093"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194FFCD4"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vAlign w:val="center"/>
          </w:tcPr>
          <w:p w14:paraId="2CA3180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vAlign w:val="center"/>
          </w:tcPr>
          <w:p w14:paraId="07DE65B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vAlign w:val="center"/>
          </w:tcPr>
          <w:p w14:paraId="79F00F4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vAlign w:val="center"/>
          </w:tcPr>
          <w:p w14:paraId="098686F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vAlign w:val="center"/>
          </w:tcPr>
          <w:p w14:paraId="08F53EF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vAlign w:val="center"/>
          </w:tcPr>
          <w:p w14:paraId="437CBC1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vAlign w:val="center"/>
          </w:tcPr>
          <w:p w14:paraId="23492AC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vAlign w:val="center"/>
          </w:tcPr>
          <w:p w14:paraId="48FA0AE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vAlign w:val="center"/>
          </w:tcPr>
          <w:p w14:paraId="3B80084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vAlign w:val="center"/>
          </w:tcPr>
          <w:p w14:paraId="39CA113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vAlign w:val="center"/>
          </w:tcPr>
          <w:p w14:paraId="18023B4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9803E8" w:rsidRPr="00161871" w14:paraId="4EB1E5C1" w14:textId="77777777" w:rsidTr="009803E8">
        <w:tc>
          <w:tcPr>
            <w:tcW w:w="3288" w:type="dxa"/>
            <w:tcBorders>
              <w:top w:val="nil"/>
              <w:left w:val="nil"/>
              <w:bottom w:val="nil"/>
              <w:right w:val="nil"/>
            </w:tcBorders>
            <w:shd w:val="solid" w:color="FFFFFF" w:fill="auto"/>
          </w:tcPr>
          <w:p w14:paraId="5680F5D9" w14:textId="7961662E"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Net Surplus/(Deficit) before Other Income/Expenditures</w:t>
            </w:r>
          </w:p>
        </w:tc>
        <w:tc>
          <w:tcPr>
            <w:tcW w:w="708" w:type="dxa"/>
            <w:tcBorders>
              <w:top w:val="nil"/>
              <w:left w:val="nil"/>
              <w:bottom w:val="nil"/>
              <w:right w:val="nil"/>
            </w:tcBorders>
            <w:shd w:val="solid" w:color="FFFFFF" w:fill="auto"/>
          </w:tcPr>
          <w:p w14:paraId="2C6456C2"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vAlign w:val="center"/>
          </w:tcPr>
          <w:p w14:paraId="20610A8C" w14:textId="6798C41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832 </w:t>
            </w:r>
          </w:p>
        </w:tc>
        <w:tc>
          <w:tcPr>
            <w:tcW w:w="284" w:type="dxa"/>
            <w:tcBorders>
              <w:top w:val="nil"/>
              <w:left w:val="nil"/>
              <w:bottom w:val="single" w:sz="4" w:space="0" w:color="auto"/>
              <w:right w:val="nil"/>
            </w:tcBorders>
            <w:shd w:val="solid" w:color="FFFFFF" w:fill="auto"/>
            <w:vAlign w:val="center"/>
          </w:tcPr>
          <w:p w14:paraId="45DE6DE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4" w:space="0" w:color="auto"/>
              <w:right w:val="nil"/>
            </w:tcBorders>
            <w:shd w:val="solid" w:color="FFFFFF" w:fill="auto"/>
            <w:vAlign w:val="center"/>
          </w:tcPr>
          <w:p w14:paraId="012C31D6" w14:textId="6AA7F801"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(193)</w:t>
            </w:r>
          </w:p>
        </w:tc>
        <w:tc>
          <w:tcPr>
            <w:tcW w:w="236" w:type="dxa"/>
            <w:tcBorders>
              <w:top w:val="nil"/>
              <w:left w:val="nil"/>
              <w:bottom w:val="single" w:sz="4" w:space="0" w:color="auto"/>
              <w:right w:val="nil"/>
            </w:tcBorders>
            <w:shd w:val="solid" w:color="FFFFFF" w:fill="auto"/>
            <w:vAlign w:val="center"/>
          </w:tcPr>
          <w:p w14:paraId="1780813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37E9BD60" w14:textId="48E2210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639 </w:t>
            </w:r>
          </w:p>
        </w:tc>
        <w:tc>
          <w:tcPr>
            <w:tcW w:w="236" w:type="dxa"/>
            <w:tcBorders>
              <w:top w:val="nil"/>
              <w:left w:val="nil"/>
              <w:bottom w:val="single" w:sz="4" w:space="0" w:color="auto"/>
              <w:right w:val="nil"/>
            </w:tcBorders>
            <w:shd w:val="clear" w:color="auto" w:fill="F2F2F2" w:themeFill="background1" w:themeFillShade="F2"/>
            <w:vAlign w:val="center"/>
          </w:tcPr>
          <w:p w14:paraId="1D12D92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7721F4C6" w14:textId="3541B02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702 </w:t>
            </w:r>
          </w:p>
        </w:tc>
        <w:tc>
          <w:tcPr>
            <w:tcW w:w="242" w:type="dxa"/>
            <w:tcBorders>
              <w:top w:val="nil"/>
              <w:left w:val="nil"/>
              <w:bottom w:val="single" w:sz="4" w:space="0" w:color="auto"/>
              <w:right w:val="nil"/>
            </w:tcBorders>
            <w:shd w:val="solid" w:color="FFFFFF" w:fill="auto"/>
            <w:vAlign w:val="center"/>
          </w:tcPr>
          <w:p w14:paraId="6CB84BE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4" w:space="0" w:color="auto"/>
              <w:right w:val="nil"/>
            </w:tcBorders>
            <w:shd w:val="solid" w:color="FFFFFF" w:fill="auto"/>
            <w:vAlign w:val="center"/>
          </w:tcPr>
          <w:p w14:paraId="75460156" w14:textId="34104C8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166 </w:t>
            </w:r>
          </w:p>
        </w:tc>
        <w:tc>
          <w:tcPr>
            <w:tcW w:w="236" w:type="dxa"/>
            <w:tcBorders>
              <w:top w:val="nil"/>
              <w:left w:val="nil"/>
              <w:bottom w:val="single" w:sz="4" w:space="0" w:color="auto"/>
              <w:right w:val="nil"/>
            </w:tcBorders>
            <w:shd w:val="solid" w:color="FFFFFF" w:fill="auto"/>
            <w:vAlign w:val="center"/>
          </w:tcPr>
          <w:p w14:paraId="19AE47A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4DFF1ABF" w14:textId="7055520D"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868 </w:t>
            </w:r>
          </w:p>
        </w:tc>
      </w:tr>
      <w:tr w:rsidR="00161871" w:rsidRPr="00161871" w14:paraId="757138A8" w14:textId="77777777" w:rsidTr="009803E8">
        <w:tc>
          <w:tcPr>
            <w:tcW w:w="3288" w:type="dxa"/>
            <w:tcBorders>
              <w:top w:val="nil"/>
              <w:left w:val="nil"/>
              <w:bottom w:val="nil"/>
              <w:right w:val="nil"/>
            </w:tcBorders>
            <w:shd w:val="solid" w:color="FFFFFF" w:fill="auto"/>
          </w:tcPr>
          <w:p w14:paraId="78269843"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7BAC4CF4"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vAlign w:val="center"/>
          </w:tcPr>
          <w:p w14:paraId="1C112E5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vAlign w:val="center"/>
          </w:tcPr>
          <w:p w14:paraId="5A2BA9A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vAlign w:val="center"/>
          </w:tcPr>
          <w:p w14:paraId="5817602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vAlign w:val="center"/>
          </w:tcPr>
          <w:p w14:paraId="13D089C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vAlign w:val="center"/>
          </w:tcPr>
          <w:p w14:paraId="4241F6A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vAlign w:val="center"/>
          </w:tcPr>
          <w:p w14:paraId="779F2A7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vAlign w:val="center"/>
          </w:tcPr>
          <w:p w14:paraId="302D2F5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vAlign w:val="center"/>
          </w:tcPr>
          <w:p w14:paraId="507DC5E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vAlign w:val="center"/>
          </w:tcPr>
          <w:p w14:paraId="041D98E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vAlign w:val="center"/>
          </w:tcPr>
          <w:p w14:paraId="7E7F2D3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vAlign w:val="center"/>
          </w:tcPr>
          <w:p w14:paraId="6FF7186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026B5B39" w14:textId="77777777" w:rsidTr="00161871">
        <w:tc>
          <w:tcPr>
            <w:tcW w:w="3288" w:type="dxa"/>
            <w:tcBorders>
              <w:top w:val="nil"/>
              <w:left w:val="nil"/>
              <w:bottom w:val="nil"/>
              <w:right w:val="nil"/>
            </w:tcBorders>
            <w:shd w:val="solid" w:color="FFFFFF" w:fill="auto"/>
          </w:tcPr>
          <w:p w14:paraId="13977940" w14:textId="77777777" w:rsidR="005219C3" w:rsidRPr="00161871"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161871">
              <w:rPr>
                <w:rFonts w:asciiTheme="minorHAnsi" w:eastAsiaTheme="minorHAnsi" w:hAnsiTheme="minorHAnsi" w:cstheme="minorHAnsi"/>
                <w:i/>
                <w:iCs/>
                <w:color w:val="000000"/>
                <w:sz w:val="19"/>
                <w:szCs w:val="19"/>
              </w:rPr>
              <w:t>Other income (expenditures):</w:t>
            </w:r>
          </w:p>
        </w:tc>
        <w:tc>
          <w:tcPr>
            <w:tcW w:w="708" w:type="dxa"/>
            <w:tcBorders>
              <w:top w:val="nil"/>
              <w:left w:val="nil"/>
              <w:bottom w:val="nil"/>
              <w:right w:val="nil"/>
            </w:tcBorders>
            <w:shd w:val="solid" w:color="FFFFFF" w:fill="auto"/>
          </w:tcPr>
          <w:p w14:paraId="3513353D"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4</w:t>
            </w:r>
          </w:p>
        </w:tc>
        <w:tc>
          <w:tcPr>
            <w:tcW w:w="851" w:type="dxa"/>
            <w:tcBorders>
              <w:top w:val="nil"/>
              <w:left w:val="nil"/>
              <w:bottom w:val="nil"/>
              <w:right w:val="nil"/>
            </w:tcBorders>
            <w:shd w:val="solid" w:color="FFFFFF" w:fill="auto"/>
            <w:vAlign w:val="center"/>
          </w:tcPr>
          <w:p w14:paraId="3CEE265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1741FF3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59E8EDD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57F963E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1579F54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02C44BC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3F9C3C6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67C71CB4"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5CA526F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46D3C79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459BBB4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193553B7" w14:textId="77777777" w:rsidTr="00161871">
        <w:tc>
          <w:tcPr>
            <w:tcW w:w="3288" w:type="dxa"/>
            <w:tcBorders>
              <w:top w:val="nil"/>
              <w:left w:val="nil"/>
              <w:bottom w:val="nil"/>
              <w:right w:val="nil"/>
            </w:tcBorders>
            <w:shd w:val="solid" w:color="FFFFFF" w:fill="auto"/>
          </w:tcPr>
          <w:p w14:paraId="6B974C6E" w14:textId="67CBDA40" w:rsidR="005219C3" w:rsidRPr="00161871" w:rsidRDefault="00161871" w:rsidP="009803E8">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Net financial income/(expense)</w:t>
            </w:r>
          </w:p>
        </w:tc>
        <w:tc>
          <w:tcPr>
            <w:tcW w:w="708" w:type="dxa"/>
            <w:tcBorders>
              <w:top w:val="nil"/>
              <w:left w:val="nil"/>
              <w:bottom w:val="nil"/>
              <w:right w:val="nil"/>
            </w:tcBorders>
            <w:shd w:val="solid" w:color="FFFFFF" w:fill="auto"/>
          </w:tcPr>
          <w:p w14:paraId="265C170B"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35ECCDF3" w14:textId="6278C0C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(66)</w:t>
            </w:r>
          </w:p>
        </w:tc>
        <w:tc>
          <w:tcPr>
            <w:tcW w:w="284" w:type="dxa"/>
            <w:tcBorders>
              <w:top w:val="nil"/>
              <w:left w:val="nil"/>
              <w:bottom w:val="nil"/>
              <w:right w:val="nil"/>
            </w:tcBorders>
            <w:shd w:val="solid" w:color="FFFFFF" w:fill="auto"/>
            <w:vAlign w:val="center"/>
          </w:tcPr>
          <w:p w14:paraId="58A5ABA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66B737B3" w14:textId="032C033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w:t>
            </w:r>
          </w:p>
        </w:tc>
        <w:tc>
          <w:tcPr>
            <w:tcW w:w="236" w:type="dxa"/>
            <w:tcBorders>
              <w:top w:val="nil"/>
              <w:left w:val="nil"/>
              <w:bottom w:val="nil"/>
              <w:right w:val="nil"/>
            </w:tcBorders>
            <w:shd w:val="solid" w:color="FFFFFF" w:fill="auto"/>
            <w:vAlign w:val="center"/>
          </w:tcPr>
          <w:p w14:paraId="1DE0CEE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546E5DF1" w14:textId="3C26378D"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(69)</w:t>
            </w:r>
          </w:p>
        </w:tc>
        <w:tc>
          <w:tcPr>
            <w:tcW w:w="236" w:type="dxa"/>
            <w:tcBorders>
              <w:top w:val="nil"/>
              <w:left w:val="nil"/>
              <w:bottom w:val="nil"/>
              <w:right w:val="nil"/>
            </w:tcBorders>
            <w:shd w:val="clear" w:color="auto" w:fill="F2F2F2" w:themeFill="background1" w:themeFillShade="F2"/>
            <w:vAlign w:val="center"/>
          </w:tcPr>
          <w:p w14:paraId="2916C13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68FF2C93" w14:textId="4A840409"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(16)</w:t>
            </w:r>
          </w:p>
        </w:tc>
        <w:tc>
          <w:tcPr>
            <w:tcW w:w="242" w:type="dxa"/>
            <w:tcBorders>
              <w:top w:val="nil"/>
              <w:left w:val="nil"/>
              <w:bottom w:val="nil"/>
              <w:right w:val="nil"/>
            </w:tcBorders>
            <w:shd w:val="solid" w:color="FFFFFF" w:fill="auto"/>
            <w:vAlign w:val="center"/>
          </w:tcPr>
          <w:p w14:paraId="205DFC3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50A08FC8" w14:textId="4F6F462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0 </w:t>
            </w:r>
          </w:p>
        </w:tc>
        <w:tc>
          <w:tcPr>
            <w:tcW w:w="236" w:type="dxa"/>
            <w:tcBorders>
              <w:top w:val="nil"/>
              <w:left w:val="nil"/>
              <w:bottom w:val="nil"/>
              <w:right w:val="nil"/>
            </w:tcBorders>
            <w:shd w:val="solid" w:color="FFFFFF" w:fill="auto"/>
            <w:vAlign w:val="center"/>
          </w:tcPr>
          <w:p w14:paraId="3AB8DD6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6112618D" w14:textId="459BA9CF"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(16)</w:t>
            </w:r>
          </w:p>
        </w:tc>
      </w:tr>
      <w:tr w:rsidR="00161871" w:rsidRPr="00161871" w14:paraId="39B56063" w14:textId="77777777" w:rsidTr="00161871">
        <w:tc>
          <w:tcPr>
            <w:tcW w:w="3288" w:type="dxa"/>
            <w:tcBorders>
              <w:top w:val="nil"/>
              <w:left w:val="nil"/>
              <w:bottom w:val="nil"/>
              <w:right w:val="nil"/>
            </w:tcBorders>
            <w:shd w:val="solid" w:color="FFFFFF" w:fill="auto"/>
          </w:tcPr>
          <w:p w14:paraId="2DD93FC4" w14:textId="29C815C0" w:rsidR="005219C3" w:rsidRPr="00161871" w:rsidRDefault="00161871" w:rsidP="009803E8">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Non-recurring or prior period expense</w:t>
            </w:r>
          </w:p>
        </w:tc>
        <w:tc>
          <w:tcPr>
            <w:tcW w:w="708" w:type="dxa"/>
            <w:tcBorders>
              <w:top w:val="nil"/>
              <w:left w:val="nil"/>
              <w:bottom w:val="nil"/>
              <w:right w:val="nil"/>
            </w:tcBorders>
            <w:shd w:val="solid" w:color="FFFFFF" w:fill="auto"/>
          </w:tcPr>
          <w:p w14:paraId="02700318"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1E336EBC" w14:textId="482BF7E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84" w:type="dxa"/>
            <w:tcBorders>
              <w:top w:val="nil"/>
              <w:left w:val="nil"/>
              <w:bottom w:val="nil"/>
              <w:right w:val="nil"/>
            </w:tcBorders>
            <w:shd w:val="solid" w:color="FFFFFF" w:fill="auto"/>
            <w:vAlign w:val="center"/>
          </w:tcPr>
          <w:p w14:paraId="362BF2E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4F13234C" w14:textId="793D747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36" w:type="dxa"/>
            <w:tcBorders>
              <w:top w:val="nil"/>
              <w:left w:val="nil"/>
              <w:bottom w:val="nil"/>
              <w:right w:val="nil"/>
            </w:tcBorders>
            <w:shd w:val="solid" w:color="FFFFFF" w:fill="auto"/>
            <w:vAlign w:val="center"/>
          </w:tcPr>
          <w:p w14:paraId="2C3DF31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5FA3F3C7" w14:textId="26A7CA39"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   </w:t>
            </w:r>
          </w:p>
        </w:tc>
        <w:tc>
          <w:tcPr>
            <w:tcW w:w="236" w:type="dxa"/>
            <w:tcBorders>
              <w:top w:val="nil"/>
              <w:left w:val="nil"/>
              <w:bottom w:val="nil"/>
              <w:right w:val="nil"/>
            </w:tcBorders>
            <w:shd w:val="clear" w:color="auto" w:fill="F2F2F2" w:themeFill="background1" w:themeFillShade="F2"/>
            <w:vAlign w:val="center"/>
          </w:tcPr>
          <w:p w14:paraId="2FCBF02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3DC83632" w14:textId="7896231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w:t>
            </w:r>
          </w:p>
        </w:tc>
        <w:tc>
          <w:tcPr>
            <w:tcW w:w="242" w:type="dxa"/>
            <w:tcBorders>
              <w:top w:val="nil"/>
              <w:left w:val="nil"/>
              <w:bottom w:val="nil"/>
              <w:right w:val="nil"/>
            </w:tcBorders>
            <w:shd w:val="solid" w:color="FFFFFF" w:fill="auto"/>
            <w:vAlign w:val="center"/>
          </w:tcPr>
          <w:p w14:paraId="44D400F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14350328" w14:textId="32CDA351"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(227)</w:t>
            </w:r>
          </w:p>
        </w:tc>
        <w:tc>
          <w:tcPr>
            <w:tcW w:w="236" w:type="dxa"/>
            <w:tcBorders>
              <w:top w:val="nil"/>
              <w:left w:val="nil"/>
              <w:bottom w:val="nil"/>
              <w:right w:val="nil"/>
            </w:tcBorders>
            <w:shd w:val="solid" w:color="FFFFFF" w:fill="auto"/>
            <w:vAlign w:val="center"/>
          </w:tcPr>
          <w:p w14:paraId="50C6D4B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76DA8F38" w14:textId="15FF327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(227)</w:t>
            </w:r>
          </w:p>
        </w:tc>
      </w:tr>
      <w:tr w:rsidR="00161871" w:rsidRPr="00161871" w14:paraId="26BEC2F4" w14:textId="77777777" w:rsidTr="00161871">
        <w:tc>
          <w:tcPr>
            <w:tcW w:w="3288" w:type="dxa"/>
            <w:tcBorders>
              <w:top w:val="nil"/>
              <w:left w:val="nil"/>
              <w:bottom w:val="nil"/>
              <w:right w:val="nil"/>
            </w:tcBorders>
            <w:shd w:val="solid" w:color="FFFFFF" w:fill="auto"/>
          </w:tcPr>
          <w:p w14:paraId="7E3F9858" w14:textId="08CD0B8D" w:rsidR="005219C3" w:rsidRPr="00161871" w:rsidRDefault="00161871" w:rsidP="009803E8">
            <w:pPr>
              <w:autoSpaceDE w:val="0"/>
              <w:autoSpaceDN w:val="0"/>
              <w:adjustRightInd w:val="0"/>
              <w:rPr>
                <w:rFonts w:asciiTheme="minorHAnsi" w:eastAsiaTheme="minorHAnsi" w:hAnsiTheme="minorHAnsi" w:cstheme="minorHAnsi"/>
                <w:color w:val="000000"/>
                <w:sz w:val="19"/>
                <w:szCs w:val="19"/>
              </w:rPr>
            </w:pPr>
            <w:r>
              <w:rPr>
                <w:rFonts w:asciiTheme="minorHAnsi" w:eastAsiaTheme="minorHAnsi" w:hAnsiTheme="minorHAnsi" w:cstheme="minorHAnsi"/>
                <w:color w:val="000000"/>
                <w:sz w:val="19"/>
                <w:szCs w:val="19"/>
              </w:rPr>
              <w:t xml:space="preserve">  </w:t>
            </w:r>
            <w:r w:rsidR="005219C3" w:rsidRPr="00161871">
              <w:rPr>
                <w:rFonts w:asciiTheme="minorHAnsi" w:eastAsiaTheme="minorHAnsi" w:hAnsiTheme="minorHAnsi" w:cstheme="minorHAnsi"/>
                <w:color w:val="000000"/>
                <w:sz w:val="19"/>
                <w:szCs w:val="19"/>
              </w:rPr>
              <w:t>Provisions and write-offs (expense)</w:t>
            </w:r>
          </w:p>
        </w:tc>
        <w:tc>
          <w:tcPr>
            <w:tcW w:w="708" w:type="dxa"/>
            <w:tcBorders>
              <w:top w:val="nil"/>
              <w:left w:val="nil"/>
              <w:bottom w:val="nil"/>
              <w:right w:val="nil"/>
            </w:tcBorders>
            <w:shd w:val="solid" w:color="FFFFFF" w:fill="auto"/>
          </w:tcPr>
          <w:p w14:paraId="68C454C3"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single" w:sz="6" w:space="0" w:color="auto"/>
              <w:right w:val="nil"/>
            </w:tcBorders>
            <w:shd w:val="solid" w:color="FFFFFF" w:fill="auto"/>
            <w:vAlign w:val="center"/>
          </w:tcPr>
          <w:p w14:paraId="4EF4B327" w14:textId="00ECDCE5"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(96)</w:t>
            </w:r>
          </w:p>
        </w:tc>
        <w:tc>
          <w:tcPr>
            <w:tcW w:w="284" w:type="dxa"/>
            <w:tcBorders>
              <w:top w:val="nil"/>
              <w:left w:val="nil"/>
              <w:bottom w:val="single" w:sz="6" w:space="0" w:color="auto"/>
              <w:right w:val="nil"/>
            </w:tcBorders>
            <w:shd w:val="solid" w:color="FFFFFF" w:fill="auto"/>
            <w:vAlign w:val="center"/>
          </w:tcPr>
          <w:p w14:paraId="1C89B1B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single" w:sz="6" w:space="0" w:color="auto"/>
              <w:right w:val="nil"/>
            </w:tcBorders>
            <w:shd w:val="solid" w:color="FFFFFF" w:fill="auto"/>
            <w:vAlign w:val="center"/>
          </w:tcPr>
          <w:p w14:paraId="69747FF1" w14:textId="13E97799"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0 </w:t>
            </w:r>
          </w:p>
        </w:tc>
        <w:tc>
          <w:tcPr>
            <w:tcW w:w="236" w:type="dxa"/>
            <w:tcBorders>
              <w:top w:val="nil"/>
              <w:left w:val="nil"/>
              <w:bottom w:val="single" w:sz="6" w:space="0" w:color="auto"/>
              <w:right w:val="nil"/>
            </w:tcBorders>
            <w:shd w:val="solid" w:color="FFFFFF" w:fill="auto"/>
            <w:vAlign w:val="center"/>
          </w:tcPr>
          <w:p w14:paraId="355D2A0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single" w:sz="6" w:space="0" w:color="auto"/>
              <w:right w:val="nil"/>
            </w:tcBorders>
            <w:shd w:val="solid" w:color="FFFFFF" w:fill="auto"/>
            <w:vAlign w:val="center"/>
          </w:tcPr>
          <w:p w14:paraId="522304F8" w14:textId="0B61926B"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(96)</w:t>
            </w:r>
          </w:p>
        </w:tc>
        <w:tc>
          <w:tcPr>
            <w:tcW w:w="236" w:type="dxa"/>
            <w:tcBorders>
              <w:top w:val="nil"/>
              <w:left w:val="nil"/>
              <w:bottom w:val="single" w:sz="6" w:space="0" w:color="auto"/>
              <w:right w:val="nil"/>
            </w:tcBorders>
            <w:shd w:val="clear" w:color="auto" w:fill="F2F2F2" w:themeFill="background1" w:themeFillShade="F2"/>
            <w:vAlign w:val="center"/>
          </w:tcPr>
          <w:p w14:paraId="24828C8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single" w:sz="6" w:space="0" w:color="auto"/>
              <w:right w:val="nil"/>
            </w:tcBorders>
            <w:shd w:val="solid" w:color="FFFFFF" w:fill="auto"/>
            <w:vAlign w:val="center"/>
          </w:tcPr>
          <w:p w14:paraId="3F5659EF" w14:textId="393AD230"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(234)</w:t>
            </w:r>
          </w:p>
        </w:tc>
        <w:tc>
          <w:tcPr>
            <w:tcW w:w="242" w:type="dxa"/>
            <w:tcBorders>
              <w:top w:val="nil"/>
              <w:left w:val="nil"/>
              <w:bottom w:val="single" w:sz="6" w:space="0" w:color="auto"/>
              <w:right w:val="nil"/>
            </w:tcBorders>
            <w:shd w:val="solid" w:color="FFFFFF" w:fill="auto"/>
            <w:vAlign w:val="center"/>
          </w:tcPr>
          <w:p w14:paraId="6EC4EA7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single" w:sz="6" w:space="0" w:color="auto"/>
              <w:right w:val="nil"/>
            </w:tcBorders>
            <w:shd w:val="solid" w:color="FFFFFF" w:fill="auto"/>
            <w:vAlign w:val="center"/>
          </w:tcPr>
          <w:p w14:paraId="13637308" w14:textId="0946781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(0)</w:t>
            </w:r>
          </w:p>
        </w:tc>
        <w:tc>
          <w:tcPr>
            <w:tcW w:w="236" w:type="dxa"/>
            <w:tcBorders>
              <w:top w:val="nil"/>
              <w:left w:val="nil"/>
              <w:bottom w:val="single" w:sz="6" w:space="0" w:color="auto"/>
              <w:right w:val="nil"/>
            </w:tcBorders>
            <w:shd w:val="solid" w:color="FFFFFF" w:fill="auto"/>
            <w:vAlign w:val="center"/>
          </w:tcPr>
          <w:p w14:paraId="6940BC5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single" w:sz="6" w:space="0" w:color="auto"/>
              <w:right w:val="nil"/>
            </w:tcBorders>
            <w:shd w:val="solid" w:color="FFFFFF" w:fill="auto"/>
            <w:vAlign w:val="center"/>
          </w:tcPr>
          <w:p w14:paraId="73874068" w14:textId="7246587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(234)</w:t>
            </w:r>
          </w:p>
        </w:tc>
      </w:tr>
      <w:tr w:rsidR="00161871" w:rsidRPr="00161871" w14:paraId="6F1AC390" w14:textId="77777777" w:rsidTr="00161871">
        <w:tc>
          <w:tcPr>
            <w:tcW w:w="3288" w:type="dxa"/>
            <w:tcBorders>
              <w:top w:val="nil"/>
              <w:left w:val="nil"/>
              <w:bottom w:val="nil"/>
              <w:right w:val="nil"/>
            </w:tcBorders>
            <w:shd w:val="solid" w:color="FFFFFF" w:fill="auto"/>
          </w:tcPr>
          <w:p w14:paraId="7F49D724" w14:textId="77777777" w:rsidR="005219C3" w:rsidRPr="00161871" w:rsidRDefault="005219C3" w:rsidP="00161871">
            <w:pPr>
              <w:autoSpaceDE w:val="0"/>
              <w:autoSpaceDN w:val="0"/>
              <w:adjustRightInd w:val="0"/>
              <w:ind w:left="0" w:firstLine="0"/>
              <w:rPr>
                <w:rFonts w:asciiTheme="minorHAnsi" w:eastAsiaTheme="minorHAnsi" w:hAnsiTheme="minorHAnsi" w:cstheme="minorHAnsi"/>
                <w:i/>
                <w:iCs/>
                <w:color w:val="000000"/>
                <w:sz w:val="19"/>
                <w:szCs w:val="19"/>
              </w:rPr>
            </w:pPr>
            <w:r w:rsidRPr="00161871">
              <w:rPr>
                <w:rFonts w:asciiTheme="minorHAnsi" w:eastAsiaTheme="minorHAnsi" w:hAnsiTheme="minorHAnsi" w:cstheme="minorHAnsi"/>
                <w:i/>
                <w:iCs/>
                <w:color w:val="000000"/>
                <w:sz w:val="19"/>
                <w:szCs w:val="19"/>
              </w:rPr>
              <w:t>Total other income/expenditures</w:t>
            </w:r>
          </w:p>
        </w:tc>
        <w:tc>
          <w:tcPr>
            <w:tcW w:w="708" w:type="dxa"/>
            <w:tcBorders>
              <w:top w:val="nil"/>
              <w:left w:val="nil"/>
              <w:bottom w:val="nil"/>
              <w:right w:val="nil"/>
            </w:tcBorders>
            <w:shd w:val="solid" w:color="FFFFFF" w:fill="auto"/>
          </w:tcPr>
          <w:p w14:paraId="4ECF6B60"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06571FEA" w14:textId="79738876"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(162)</w:t>
            </w:r>
          </w:p>
        </w:tc>
        <w:tc>
          <w:tcPr>
            <w:tcW w:w="284" w:type="dxa"/>
            <w:tcBorders>
              <w:top w:val="nil"/>
              <w:left w:val="nil"/>
              <w:bottom w:val="nil"/>
              <w:right w:val="nil"/>
            </w:tcBorders>
            <w:shd w:val="solid" w:color="FFFFFF" w:fill="auto"/>
            <w:vAlign w:val="center"/>
          </w:tcPr>
          <w:p w14:paraId="577005E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nil"/>
              <w:left w:val="nil"/>
              <w:bottom w:val="nil"/>
              <w:right w:val="nil"/>
            </w:tcBorders>
            <w:shd w:val="solid" w:color="FFFFFF" w:fill="auto"/>
            <w:vAlign w:val="center"/>
          </w:tcPr>
          <w:p w14:paraId="7F9F946E" w14:textId="59B27322"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(3)</w:t>
            </w:r>
          </w:p>
        </w:tc>
        <w:tc>
          <w:tcPr>
            <w:tcW w:w="236" w:type="dxa"/>
            <w:tcBorders>
              <w:top w:val="nil"/>
              <w:left w:val="nil"/>
              <w:bottom w:val="nil"/>
              <w:right w:val="nil"/>
            </w:tcBorders>
            <w:shd w:val="solid" w:color="FFFFFF" w:fill="auto"/>
            <w:vAlign w:val="center"/>
          </w:tcPr>
          <w:p w14:paraId="280E498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nil"/>
              <w:left w:val="nil"/>
              <w:bottom w:val="nil"/>
              <w:right w:val="nil"/>
            </w:tcBorders>
            <w:shd w:val="solid" w:color="FFFFFF" w:fill="auto"/>
            <w:vAlign w:val="center"/>
          </w:tcPr>
          <w:p w14:paraId="4727ACC4" w14:textId="2B39C304"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(165)</w:t>
            </w:r>
          </w:p>
        </w:tc>
        <w:tc>
          <w:tcPr>
            <w:tcW w:w="236" w:type="dxa"/>
            <w:tcBorders>
              <w:top w:val="nil"/>
              <w:left w:val="nil"/>
              <w:bottom w:val="nil"/>
              <w:right w:val="nil"/>
            </w:tcBorders>
            <w:shd w:val="clear" w:color="auto" w:fill="F2F2F2" w:themeFill="background1" w:themeFillShade="F2"/>
            <w:vAlign w:val="center"/>
          </w:tcPr>
          <w:p w14:paraId="581BA42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377675C4" w14:textId="0366FA1B"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(250)</w:t>
            </w:r>
          </w:p>
        </w:tc>
        <w:tc>
          <w:tcPr>
            <w:tcW w:w="242" w:type="dxa"/>
            <w:tcBorders>
              <w:top w:val="nil"/>
              <w:left w:val="nil"/>
              <w:bottom w:val="nil"/>
              <w:right w:val="nil"/>
            </w:tcBorders>
            <w:shd w:val="solid" w:color="FFFFFF" w:fill="auto"/>
            <w:vAlign w:val="center"/>
          </w:tcPr>
          <w:p w14:paraId="5690C01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0A26DF3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(227)</w:t>
            </w:r>
          </w:p>
        </w:tc>
        <w:tc>
          <w:tcPr>
            <w:tcW w:w="236" w:type="dxa"/>
            <w:tcBorders>
              <w:top w:val="nil"/>
              <w:left w:val="nil"/>
              <w:bottom w:val="nil"/>
              <w:right w:val="nil"/>
            </w:tcBorders>
            <w:shd w:val="solid" w:color="FFFFFF" w:fill="auto"/>
            <w:vAlign w:val="center"/>
          </w:tcPr>
          <w:p w14:paraId="104D3FA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7E8FD63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(477)</w:t>
            </w:r>
          </w:p>
        </w:tc>
      </w:tr>
      <w:tr w:rsidR="00161871" w:rsidRPr="00161871" w14:paraId="2FC92C89" w14:textId="77777777" w:rsidTr="00161871">
        <w:tc>
          <w:tcPr>
            <w:tcW w:w="3288" w:type="dxa"/>
            <w:tcBorders>
              <w:top w:val="nil"/>
              <w:left w:val="nil"/>
              <w:bottom w:val="nil"/>
              <w:right w:val="nil"/>
            </w:tcBorders>
            <w:shd w:val="solid" w:color="FFFFFF" w:fill="auto"/>
          </w:tcPr>
          <w:p w14:paraId="70CD709B"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1465EFE9"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25B16C0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228A0CB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251720A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034C5B6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235BECE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189CAD1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4DA850C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4D2F8F7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34A0031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9A3D6B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1D71BF6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405D5DBA" w14:textId="77777777" w:rsidTr="00161871">
        <w:tc>
          <w:tcPr>
            <w:tcW w:w="3288" w:type="dxa"/>
            <w:tcBorders>
              <w:top w:val="nil"/>
              <w:left w:val="nil"/>
              <w:bottom w:val="nil"/>
              <w:right w:val="nil"/>
            </w:tcBorders>
            <w:shd w:val="solid" w:color="FFFFFF" w:fill="auto"/>
          </w:tcPr>
          <w:p w14:paraId="39494E49" w14:textId="4B7A93E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Net Surplus/(Deficit) after Other Income/Expenditures</w:t>
            </w:r>
          </w:p>
        </w:tc>
        <w:tc>
          <w:tcPr>
            <w:tcW w:w="708" w:type="dxa"/>
            <w:tcBorders>
              <w:top w:val="nil"/>
              <w:left w:val="nil"/>
              <w:bottom w:val="nil"/>
              <w:right w:val="nil"/>
            </w:tcBorders>
            <w:shd w:val="solid" w:color="FFFFFF" w:fill="auto"/>
          </w:tcPr>
          <w:p w14:paraId="4C4D1B5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clear" w:color="auto" w:fill="B8CCE4" w:themeFill="accent1" w:themeFillTint="66"/>
            <w:vAlign w:val="center"/>
          </w:tcPr>
          <w:p w14:paraId="451EA3C2" w14:textId="0FBD2361"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670 </w:t>
            </w:r>
          </w:p>
        </w:tc>
        <w:tc>
          <w:tcPr>
            <w:tcW w:w="284" w:type="dxa"/>
            <w:tcBorders>
              <w:top w:val="nil"/>
              <w:left w:val="nil"/>
              <w:bottom w:val="nil"/>
              <w:right w:val="nil"/>
            </w:tcBorders>
            <w:shd w:val="clear" w:color="auto" w:fill="B8CCE4" w:themeFill="accent1" w:themeFillTint="66"/>
            <w:vAlign w:val="center"/>
          </w:tcPr>
          <w:p w14:paraId="437D2A6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clear" w:color="auto" w:fill="B8CCE4" w:themeFill="accent1" w:themeFillTint="66"/>
            <w:vAlign w:val="center"/>
          </w:tcPr>
          <w:p w14:paraId="33D1BFD0" w14:textId="6602F8CF"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(196)</w:t>
            </w:r>
          </w:p>
        </w:tc>
        <w:tc>
          <w:tcPr>
            <w:tcW w:w="236" w:type="dxa"/>
            <w:tcBorders>
              <w:top w:val="nil"/>
              <w:left w:val="nil"/>
              <w:bottom w:val="nil"/>
              <w:right w:val="nil"/>
            </w:tcBorders>
            <w:shd w:val="clear" w:color="auto" w:fill="B8CCE4" w:themeFill="accent1" w:themeFillTint="66"/>
            <w:vAlign w:val="center"/>
          </w:tcPr>
          <w:p w14:paraId="10B8601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clear" w:color="auto" w:fill="B8CCE4" w:themeFill="accent1" w:themeFillTint="66"/>
            <w:vAlign w:val="center"/>
          </w:tcPr>
          <w:p w14:paraId="0C4AF773" w14:textId="1B0FFC5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474 </w:t>
            </w:r>
          </w:p>
        </w:tc>
        <w:tc>
          <w:tcPr>
            <w:tcW w:w="236" w:type="dxa"/>
            <w:tcBorders>
              <w:top w:val="nil"/>
              <w:left w:val="nil"/>
              <w:bottom w:val="nil"/>
              <w:right w:val="nil"/>
            </w:tcBorders>
            <w:shd w:val="clear" w:color="auto" w:fill="F2F2F2" w:themeFill="background1" w:themeFillShade="F2"/>
            <w:vAlign w:val="center"/>
          </w:tcPr>
          <w:p w14:paraId="3303A6E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clear" w:color="auto" w:fill="D6E3BC" w:themeFill="accent3" w:themeFillTint="66"/>
            <w:vAlign w:val="center"/>
          </w:tcPr>
          <w:p w14:paraId="2E25F71B" w14:textId="4462E16D"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452 </w:t>
            </w:r>
          </w:p>
        </w:tc>
        <w:tc>
          <w:tcPr>
            <w:tcW w:w="242" w:type="dxa"/>
            <w:tcBorders>
              <w:top w:val="nil"/>
              <w:left w:val="nil"/>
              <w:bottom w:val="nil"/>
              <w:right w:val="nil"/>
            </w:tcBorders>
            <w:shd w:val="clear" w:color="auto" w:fill="D6E3BC" w:themeFill="accent3" w:themeFillTint="66"/>
            <w:vAlign w:val="center"/>
          </w:tcPr>
          <w:p w14:paraId="018599D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clear" w:color="auto" w:fill="D6E3BC" w:themeFill="accent3" w:themeFillTint="66"/>
            <w:vAlign w:val="center"/>
          </w:tcPr>
          <w:p w14:paraId="7D6B3DBE" w14:textId="3E24902E"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(60)</w:t>
            </w:r>
          </w:p>
        </w:tc>
        <w:tc>
          <w:tcPr>
            <w:tcW w:w="236" w:type="dxa"/>
            <w:tcBorders>
              <w:top w:val="nil"/>
              <w:left w:val="nil"/>
              <w:bottom w:val="nil"/>
              <w:right w:val="nil"/>
            </w:tcBorders>
            <w:shd w:val="clear" w:color="auto" w:fill="D6E3BC" w:themeFill="accent3" w:themeFillTint="66"/>
            <w:vAlign w:val="center"/>
          </w:tcPr>
          <w:p w14:paraId="162C992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clear" w:color="auto" w:fill="D6E3BC" w:themeFill="accent3" w:themeFillTint="66"/>
            <w:vAlign w:val="center"/>
          </w:tcPr>
          <w:p w14:paraId="47FC97EE" w14:textId="1BBC0423"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 392 </w:t>
            </w:r>
          </w:p>
        </w:tc>
      </w:tr>
      <w:tr w:rsidR="00161871" w:rsidRPr="00161871" w14:paraId="62943EB2" w14:textId="77777777" w:rsidTr="00161871">
        <w:tc>
          <w:tcPr>
            <w:tcW w:w="3288" w:type="dxa"/>
            <w:tcBorders>
              <w:top w:val="nil"/>
              <w:left w:val="nil"/>
              <w:bottom w:val="nil"/>
              <w:right w:val="nil"/>
            </w:tcBorders>
            <w:shd w:val="solid" w:color="FFFFFF" w:fill="auto"/>
          </w:tcPr>
          <w:p w14:paraId="58E1815C"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5E2C89A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6DA8ABD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7AD56CC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68BC3E6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18B2E35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21C845F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1B31DC6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62E0CE3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6554887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7704580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CB20F1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55F9934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20FD57FA" w14:textId="77777777" w:rsidTr="00161871">
        <w:tc>
          <w:tcPr>
            <w:tcW w:w="3288" w:type="dxa"/>
            <w:tcBorders>
              <w:top w:val="nil"/>
              <w:left w:val="nil"/>
              <w:bottom w:val="nil"/>
              <w:right w:val="nil"/>
            </w:tcBorders>
            <w:shd w:val="solid" w:color="FFFFFF" w:fill="auto"/>
          </w:tcPr>
          <w:p w14:paraId="60D19571"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635EE9D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4B3CC1A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74DD1AF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61619CD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8CB268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24928A0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24C6C96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79291C2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3929022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7544FFE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731A9B1B"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5EBD589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9803E8" w:rsidRPr="00161871" w14:paraId="41604723" w14:textId="77777777" w:rsidTr="00161871">
        <w:tc>
          <w:tcPr>
            <w:tcW w:w="3288" w:type="dxa"/>
            <w:tcBorders>
              <w:top w:val="nil"/>
              <w:left w:val="nil"/>
              <w:bottom w:val="nil"/>
              <w:right w:val="nil"/>
            </w:tcBorders>
            <w:shd w:val="solid" w:color="FFFFFF" w:fill="auto"/>
          </w:tcPr>
          <w:p w14:paraId="2015B3D8" w14:textId="66C7F5D8" w:rsidR="009803E8" w:rsidRPr="00161871" w:rsidRDefault="009803E8" w:rsidP="009803E8">
            <w:pPr>
              <w:autoSpaceDE w:val="0"/>
              <w:autoSpaceDN w:val="0"/>
              <w:adjustRightInd w:val="0"/>
              <w:ind w:left="0" w:firstLine="0"/>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STATEMENT OF FUND BALANCE</w:t>
            </w:r>
          </w:p>
        </w:tc>
        <w:tc>
          <w:tcPr>
            <w:tcW w:w="708" w:type="dxa"/>
            <w:tcBorders>
              <w:top w:val="nil"/>
              <w:left w:val="nil"/>
              <w:bottom w:val="nil"/>
              <w:right w:val="nil"/>
            </w:tcBorders>
            <w:shd w:val="solid" w:color="FFFFFF" w:fill="auto"/>
          </w:tcPr>
          <w:p w14:paraId="7BA11F16"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6F3282FB"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7FD7B7EA"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11B77908"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46AAE679"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25587D23"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4EC55EA3"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04CC7287"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32525A51"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1C5FB4E3"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1EAB2BAE"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27B76311"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9803E8" w:rsidRPr="00161871" w14:paraId="380C2A04" w14:textId="77777777" w:rsidTr="00161871">
        <w:tc>
          <w:tcPr>
            <w:tcW w:w="3288" w:type="dxa"/>
            <w:tcBorders>
              <w:top w:val="nil"/>
              <w:left w:val="nil"/>
              <w:bottom w:val="nil"/>
              <w:right w:val="nil"/>
            </w:tcBorders>
            <w:shd w:val="solid" w:color="FFFFFF" w:fill="auto"/>
          </w:tcPr>
          <w:p w14:paraId="08D03675" w14:textId="202F50EA" w:rsidR="009803E8" w:rsidRPr="00161871" w:rsidRDefault="009803E8" w:rsidP="009803E8">
            <w:pPr>
              <w:autoSpaceDE w:val="0"/>
              <w:autoSpaceDN w:val="0"/>
              <w:adjustRightInd w:val="0"/>
              <w:ind w:left="0" w:firstLine="0"/>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 xml:space="preserve">for the year ended 31 December </w:t>
            </w:r>
          </w:p>
        </w:tc>
        <w:tc>
          <w:tcPr>
            <w:tcW w:w="708" w:type="dxa"/>
            <w:tcBorders>
              <w:top w:val="nil"/>
              <w:left w:val="nil"/>
              <w:bottom w:val="nil"/>
              <w:right w:val="nil"/>
            </w:tcBorders>
            <w:shd w:val="solid" w:color="FFFFFF" w:fill="auto"/>
          </w:tcPr>
          <w:p w14:paraId="36C5DF4D"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vAlign w:val="center"/>
          </w:tcPr>
          <w:p w14:paraId="60145AAC"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nil"/>
              <w:left w:val="nil"/>
              <w:bottom w:val="nil"/>
              <w:right w:val="nil"/>
            </w:tcBorders>
            <w:shd w:val="solid" w:color="FFFFFF" w:fill="auto"/>
            <w:vAlign w:val="center"/>
          </w:tcPr>
          <w:p w14:paraId="07E76030"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vAlign w:val="center"/>
          </w:tcPr>
          <w:p w14:paraId="5261D3E6"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0E0AFCD1"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vAlign w:val="center"/>
          </w:tcPr>
          <w:p w14:paraId="5691A4BB"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clear" w:color="auto" w:fill="F2F2F2" w:themeFill="background1" w:themeFillShade="F2"/>
            <w:vAlign w:val="center"/>
          </w:tcPr>
          <w:p w14:paraId="2C698CBA"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vAlign w:val="center"/>
          </w:tcPr>
          <w:p w14:paraId="68487989"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nil"/>
              <w:left w:val="nil"/>
              <w:bottom w:val="nil"/>
              <w:right w:val="nil"/>
            </w:tcBorders>
            <w:shd w:val="solid" w:color="FFFFFF" w:fill="auto"/>
            <w:vAlign w:val="center"/>
          </w:tcPr>
          <w:p w14:paraId="3F6B5EED"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vAlign w:val="center"/>
          </w:tcPr>
          <w:p w14:paraId="152581FE"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nil"/>
              <w:left w:val="nil"/>
              <w:bottom w:val="nil"/>
              <w:right w:val="nil"/>
            </w:tcBorders>
            <w:shd w:val="solid" w:color="FFFFFF" w:fill="auto"/>
            <w:vAlign w:val="center"/>
          </w:tcPr>
          <w:p w14:paraId="5AF8A338"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vAlign w:val="center"/>
          </w:tcPr>
          <w:p w14:paraId="0F9A9328" w14:textId="77777777" w:rsidR="009803E8" w:rsidRPr="00161871" w:rsidRDefault="009803E8" w:rsidP="009803E8">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24C30FC8" w14:textId="77777777" w:rsidTr="00161871">
        <w:tc>
          <w:tcPr>
            <w:tcW w:w="3288" w:type="dxa"/>
            <w:tcBorders>
              <w:top w:val="nil"/>
              <w:left w:val="nil"/>
              <w:right w:val="nil"/>
            </w:tcBorders>
            <w:shd w:val="solid" w:color="FFFFFF" w:fill="auto"/>
          </w:tcPr>
          <w:p w14:paraId="52D8D5EC" w14:textId="77777777" w:rsidR="00F244A3" w:rsidRPr="00161871" w:rsidRDefault="00F244A3" w:rsidP="00161871">
            <w:pPr>
              <w:autoSpaceDE w:val="0"/>
              <w:autoSpaceDN w:val="0"/>
              <w:adjustRightInd w:val="0"/>
              <w:ind w:left="0" w:firstLine="0"/>
              <w:rPr>
                <w:rFonts w:asciiTheme="minorHAnsi" w:eastAsiaTheme="minorHAnsi" w:hAnsiTheme="minorHAnsi" w:cstheme="minorHAnsi"/>
                <w:b/>
                <w:bCs/>
                <w:color w:val="000000"/>
                <w:sz w:val="19"/>
                <w:szCs w:val="19"/>
              </w:rPr>
            </w:pPr>
          </w:p>
        </w:tc>
        <w:tc>
          <w:tcPr>
            <w:tcW w:w="708" w:type="dxa"/>
            <w:tcBorders>
              <w:top w:val="nil"/>
              <w:left w:val="nil"/>
              <w:right w:val="nil"/>
            </w:tcBorders>
            <w:shd w:val="solid" w:color="FFFFFF" w:fill="auto"/>
          </w:tcPr>
          <w:p w14:paraId="639395E0" w14:textId="77777777" w:rsidR="00F244A3" w:rsidRPr="00161871" w:rsidRDefault="00F244A3" w:rsidP="00F244A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3116" w:type="dxa"/>
            <w:gridSpan w:val="5"/>
            <w:tcBorders>
              <w:top w:val="nil"/>
              <w:left w:val="nil"/>
              <w:right w:val="nil"/>
            </w:tcBorders>
            <w:shd w:val="clear" w:color="auto" w:fill="B8CCE4" w:themeFill="accent1" w:themeFillTint="66"/>
            <w:vAlign w:val="center"/>
          </w:tcPr>
          <w:p w14:paraId="4994C076" w14:textId="22AC80C0" w:rsidR="00F244A3" w:rsidRPr="00161871" w:rsidRDefault="00F244A3" w:rsidP="00F244A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2020</w:t>
            </w:r>
          </w:p>
        </w:tc>
        <w:tc>
          <w:tcPr>
            <w:tcW w:w="236" w:type="dxa"/>
            <w:tcBorders>
              <w:top w:val="nil"/>
              <w:left w:val="nil"/>
              <w:right w:val="nil"/>
            </w:tcBorders>
            <w:shd w:val="clear" w:color="auto" w:fill="F2F2F2" w:themeFill="background1" w:themeFillShade="F2"/>
            <w:vAlign w:val="center"/>
          </w:tcPr>
          <w:p w14:paraId="6AA8590A" w14:textId="77777777" w:rsidR="00F244A3" w:rsidRPr="00161871" w:rsidRDefault="00F244A3" w:rsidP="00F244A3">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3028" w:type="dxa"/>
            <w:gridSpan w:val="5"/>
            <w:tcBorders>
              <w:top w:val="nil"/>
              <w:left w:val="nil"/>
              <w:right w:val="nil"/>
            </w:tcBorders>
            <w:shd w:val="clear" w:color="auto" w:fill="D6E3BC" w:themeFill="accent3" w:themeFillTint="66"/>
            <w:vAlign w:val="center"/>
          </w:tcPr>
          <w:p w14:paraId="37A735AD" w14:textId="4ED41972" w:rsidR="00F244A3" w:rsidRPr="00161871" w:rsidRDefault="00F244A3" w:rsidP="00F244A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2019</w:t>
            </w:r>
          </w:p>
        </w:tc>
      </w:tr>
      <w:tr w:rsidR="00161871" w:rsidRPr="00161871" w14:paraId="65E4E1DB" w14:textId="77777777" w:rsidTr="009803E8">
        <w:tc>
          <w:tcPr>
            <w:tcW w:w="3288" w:type="dxa"/>
            <w:tcBorders>
              <w:top w:val="nil"/>
              <w:left w:val="nil"/>
              <w:bottom w:val="single" w:sz="4" w:space="0" w:color="auto"/>
              <w:right w:val="nil"/>
            </w:tcBorders>
            <w:shd w:val="solid" w:color="FFFFFF" w:fill="auto"/>
          </w:tcPr>
          <w:p w14:paraId="0B55C542" w14:textId="3E8A5B49" w:rsidR="00161871" w:rsidRPr="00161871" w:rsidRDefault="00161871" w:rsidP="00161871">
            <w:pPr>
              <w:autoSpaceDE w:val="0"/>
              <w:autoSpaceDN w:val="0"/>
              <w:adjustRightInd w:val="0"/>
              <w:ind w:left="0" w:firstLine="0"/>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i/>
                <w:iCs/>
                <w:color w:val="000000"/>
                <w:sz w:val="19"/>
                <w:szCs w:val="19"/>
              </w:rPr>
              <w:t>in thousands of Swiss Francs (CHF '000s)</w:t>
            </w:r>
          </w:p>
        </w:tc>
        <w:tc>
          <w:tcPr>
            <w:tcW w:w="708" w:type="dxa"/>
            <w:tcBorders>
              <w:top w:val="nil"/>
              <w:left w:val="nil"/>
              <w:bottom w:val="single" w:sz="4" w:space="0" w:color="auto"/>
              <w:right w:val="nil"/>
            </w:tcBorders>
            <w:shd w:val="solid" w:color="FFFFFF" w:fill="auto"/>
            <w:vAlign w:val="center"/>
          </w:tcPr>
          <w:p w14:paraId="747D30EB" w14:textId="3FE707D2" w:rsidR="00161871" w:rsidRPr="00161871" w:rsidRDefault="00161871" w:rsidP="00161871">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single" w:sz="4" w:space="0" w:color="auto"/>
              <w:right w:val="nil"/>
            </w:tcBorders>
            <w:shd w:val="solid" w:color="FFFFFF" w:fill="auto"/>
            <w:vAlign w:val="center"/>
          </w:tcPr>
          <w:p w14:paraId="01CA8D34" w14:textId="49F18DC0"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Core Funds</w:t>
            </w:r>
          </w:p>
        </w:tc>
        <w:tc>
          <w:tcPr>
            <w:tcW w:w="1134" w:type="dxa"/>
            <w:gridSpan w:val="2"/>
            <w:tcBorders>
              <w:top w:val="nil"/>
              <w:left w:val="nil"/>
              <w:bottom w:val="single" w:sz="4" w:space="0" w:color="auto"/>
              <w:right w:val="nil"/>
            </w:tcBorders>
            <w:shd w:val="solid" w:color="FFFFFF" w:fill="auto"/>
            <w:vAlign w:val="center"/>
          </w:tcPr>
          <w:p w14:paraId="2087ECA7" w14:textId="52D7E9BF"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198E92FE" w14:textId="77777777"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95" w:type="dxa"/>
            <w:tcBorders>
              <w:top w:val="nil"/>
              <w:left w:val="nil"/>
              <w:bottom w:val="single" w:sz="4" w:space="0" w:color="auto"/>
              <w:right w:val="nil"/>
            </w:tcBorders>
            <w:shd w:val="solid" w:color="FFFFFF" w:fill="auto"/>
            <w:vAlign w:val="center"/>
          </w:tcPr>
          <w:p w14:paraId="0DA9E954" w14:textId="402F2CE9"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Total</w:t>
            </w:r>
          </w:p>
        </w:tc>
        <w:tc>
          <w:tcPr>
            <w:tcW w:w="236" w:type="dxa"/>
            <w:tcBorders>
              <w:top w:val="nil"/>
              <w:left w:val="nil"/>
              <w:bottom w:val="single" w:sz="4" w:space="0" w:color="auto"/>
              <w:right w:val="nil"/>
            </w:tcBorders>
            <w:shd w:val="clear" w:color="auto" w:fill="F2F2F2" w:themeFill="background1" w:themeFillShade="F2"/>
            <w:vAlign w:val="center"/>
          </w:tcPr>
          <w:p w14:paraId="4A68E0D4" w14:textId="77777777"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901" w:type="dxa"/>
            <w:tcBorders>
              <w:top w:val="nil"/>
              <w:left w:val="nil"/>
              <w:bottom w:val="single" w:sz="4" w:space="0" w:color="auto"/>
              <w:right w:val="nil"/>
            </w:tcBorders>
            <w:shd w:val="solid" w:color="FFFFFF" w:fill="auto"/>
            <w:vAlign w:val="center"/>
          </w:tcPr>
          <w:p w14:paraId="34861064" w14:textId="50024981"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Core Funds</w:t>
            </w:r>
          </w:p>
        </w:tc>
        <w:tc>
          <w:tcPr>
            <w:tcW w:w="1035" w:type="dxa"/>
            <w:gridSpan w:val="2"/>
            <w:tcBorders>
              <w:top w:val="nil"/>
              <w:left w:val="nil"/>
              <w:bottom w:val="single" w:sz="4" w:space="0" w:color="auto"/>
              <w:right w:val="nil"/>
            </w:tcBorders>
            <w:shd w:val="solid" w:color="FFFFFF" w:fill="auto"/>
            <w:vAlign w:val="center"/>
          </w:tcPr>
          <w:p w14:paraId="38F3203D" w14:textId="02CAB7D4"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Non-Core Projects</w:t>
            </w:r>
          </w:p>
        </w:tc>
        <w:tc>
          <w:tcPr>
            <w:tcW w:w="236" w:type="dxa"/>
            <w:tcBorders>
              <w:top w:val="nil"/>
              <w:left w:val="nil"/>
              <w:bottom w:val="single" w:sz="4" w:space="0" w:color="auto"/>
              <w:right w:val="nil"/>
            </w:tcBorders>
            <w:shd w:val="solid" w:color="FFFFFF" w:fill="auto"/>
            <w:vAlign w:val="center"/>
          </w:tcPr>
          <w:p w14:paraId="62289D53" w14:textId="77777777"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p>
        </w:tc>
        <w:tc>
          <w:tcPr>
            <w:tcW w:w="856" w:type="dxa"/>
            <w:tcBorders>
              <w:top w:val="nil"/>
              <w:left w:val="nil"/>
              <w:bottom w:val="single" w:sz="4" w:space="0" w:color="auto"/>
              <w:right w:val="nil"/>
            </w:tcBorders>
            <w:shd w:val="solid" w:color="FFFFFF" w:fill="auto"/>
            <w:vAlign w:val="center"/>
          </w:tcPr>
          <w:p w14:paraId="4B2858D6" w14:textId="35FAEAF3" w:rsidR="00161871" w:rsidRPr="00161871" w:rsidRDefault="00161871" w:rsidP="009803E8">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b/>
                <w:bCs/>
                <w:color w:val="000000"/>
                <w:sz w:val="19"/>
                <w:szCs w:val="19"/>
              </w:rPr>
              <w:t>Total</w:t>
            </w:r>
          </w:p>
        </w:tc>
      </w:tr>
      <w:tr w:rsidR="00161871" w:rsidRPr="00161871" w14:paraId="1500F2A2" w14:textId="77777777" w:rsidTr="00161871">
        <w:tc>
          <w:tcPr>
            <w:tcW w:w="3288" w:type="dxa"/>
            <w:tcBorders>
              <w:top w:val="single" w:sz="4" w:space="0" w:color="auto"/>
              <w:left w:val="nil"/>
              <w:bottom w:val="nil"/>
              <w:right w:val="nil"/>
            </w:tcBorders>
            <w:shd w:val="solid" w:color="FFFFFF" w:fill="auto"/>
          </w:tcPr>
          <w:p w14:paraId="33C562B0"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single" w:sz="4" w:space="0" w:color="auto"/>
              <w:left w:val="nil"/>
              <w:bottom w:val="nil"/>
              <w:right w:val="nil"/>
            </w:tcBorders>
            <w:shd w:val="solid" w:color="FFFFFF" w:fill="auto"/>
          </w:tcPr>
          <w:p w14:paraId="3667CC22"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single" w:sz="4" w:space="0" w:color="auto"/>
              <w:left w:val="nil"/>
              <w:bottom w:val="nil"/>
              <w:right w:val="nil"/>
            </w:tcBorders>
            <w:shd w:val="solid" w:color="FFFFFF" w:fill="auto"/>
          </w:tcPr>
          <w:p w14:paraId="470F182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84" w:type="dxa"/>
            <w:tcBorders>
              <w:top w:val="single" w:sz="4" w:space="0" w:color="auto"/>
              <w:left w:val="nil"/>
              <w:bottom w:val="nil"/>
              <w:right w:val="nil"/>
            </w:tcBorders>
            <w:shd w:val="solid" w:color="FFFFFF" w:fill="auto"/>
          </w:tcPr>
          <w:p w14:paraId="291E8E46"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single" w:sz="4" w:space="0" w:color="auto"/>
              <w:left w:val="nil"/>
              <w:bottom w:val="nil"/>
              <w:right w:val="nil"/>
            </w:tcBorders>
            <w:shd w:val="solid" w:color="FFFFFF" w:fill="auto"/>
          </w:tcPr>
          <w:p w14:paraId="1444E1C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3197758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single" w:sz="4" w:space="0" w:color="auto"/>
              <w:left w:val="nil"/>
              <w:bottom w:val="nil"/>
              <w:right w:val="nil"/>
            </w:tcBorders>
            <w:shd w:val="solid" w:color="FFFFFF" w:fill="auto"/>
          </w:tcPr>
          <w:p w14:paraId="1A847FC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clear" w:color="auto" w:fill="F2F2F2" w:themeFill="background1" w:themeFillShade="F2"/>
          </w:tcPr>
          <w:p w14:paraId="6826D6E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single" w:sz="4" w:space="0" w:color="auto"/>
              <w:left w:val="nil"/>
              <w:bottom w:val="nil"/>
              <w:right w:val="nil"/>
            </w:tcBorders>
            <w:shd w:val="solid" w:color="FFFFFF" w:fill="auto"/>
          </w:tcPr>
          <w:p w14:paraId="35100F9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42" w:type="dxa"/>
            <w:tcBorders>
              <w:top w:val="single" w:sz="4" w:space="0" w:color="auto"/>
              <w:left w:val="nil"/>
              <w:bottom w:val="nil"/>
              <w:right w:val="nil"/>
            </w:tcBorders>
            <w:shd w:val="solid" w:color="FFFFFF" w:fill="auto"/>
          </w:tcPr>
          <w:p w14:paraId="44324D3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single" w:sz="4" w:space="0" w:color="auto"/>
              <w:left w:val="nil"/>
              <w:bottom w:val="nil"/>
              <w:right w:val="nil"/>
            </w:tcBorders>
            <w:shd w:val="solid" w:color="FFFFFF" w:fill="auto"/>
          </w:tcPr>
          <w:p w14:paraId="58C86C5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236" w:type="dxa"/>
            <w:tcBorders>
              <w:top w:val="single" w:sz="4" w:space="0" w:color="auto"/>
              <w:left w:val="nil"/>
              <w:bottom w:val="nil"/>
              <w:right w:val="nil"/>
            </w:tcBorders>
            <w:shd w:val="solid" w:color="FFFFFF" w:fill="auto"/>
          </w:tcPr>
          <w:p w14:paraId="1BF195D5"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single" w:sz="4" w:space="0" w:color="auto"/>
              <w:left w:val="nil"/>
              <w:bottom w:val="nil"/>
              <w:right w:val="nil"/>
            </w:tcBorders>
            <w:shd w:val="solid" w:color="FFFFFF" w:fill="auto"/>
          </w:tcPr>
          <w:p w14:paraId="1E0DDDC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r>
      <w:tr w:rsidR="00161871" w:rsidRPr="00161871" w14:paraId="78CAA021" w14:textId="77777777" w:rsidTr="00161871">
        <w:tc>
          <w:tcPr>
            <w:tcW w:w="3288" w:type="dxa"/>
            <w:tcBorders>
              <w:top w:val="nil"/>
              <w:left w:val="nil"/>
              <w:bottom w:val="nil"/>
              <w:right w:val="nil"/>
            </w:tcBorders>
            <w:shd w:val="solid" w:color="FFFFFF" w:fill="auto"/>
          </w:tcPr>
          <w:p w14:paraId="6068E932" w14:textId="77777777" w:rsidR="005219C3" w:rsidRPr="00161871"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Fund balance at the beginning of the year</w:t>
            </w:r>
          </w:p>
        </w:tc>
        <w:tc>
          <w:tcPr>
            <w:tcW w:w="708" w:type="dxa"/>
            <w:tcBorders>
              <w:top w:val="nil"/>
              <w:left w:val="nil"/>
              <w:bottom w:val="nil"/>
              <w:right w:val="nil"/>
            </w:tcBorders>
            <w:shd w:val="solid" w:color="FFFFFF" w:fill="auto"/>
          </w:tcPr>
          <w:p w14:paraId="33C713C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1" w:type="dxa"/>
            <w:tcBorders>
              <w:top w:val="nil"/>
              <w:left w:val="nil"/>
              <w:bottom w:val="nil"/>
              <w:right w:val="nil"/>
            </w:tcBorders>
            <w:shd w:val="solid" w:color="FFFFFF" w:fill="auto"/>
          </w:tcPr>
          <w:p w14:paraId="774EB9B8" w14:textId="16F77AE0"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2,648 </w:t>
            </w:r>
          </w:p>
        </w:tc>
        <w:tc>
          <w:tcPr>
            <w:tcW w:w="284" w:type="dxa"/>
            <w:tcBorders>
              <w:top w:val="nil"/>
              <w:left w:val="nil"/>
              <w:bottom w:val="nil"/>
              <w:right w:val="nil"/>
            </w:tcBorders>
            <w:shd w:val="solid" w:color="FFFFFF" w:fill="auto"/>
          </w:tcPr>
          <w:p w14:paraId="2237AE6C"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4D2B3256" w14:textId="2F3193C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2,073 </w:t>
            </w:r>
          </w:p>
        </w:tc>
        <w:tc>
          <w:tcPr>
            <w:tcW w:w="236" w:type="dxa"/>
            <w:tcBorders>
              <w:top w:val="nil"/>
              <w:left w:val="nil"/>
              <w:bottom w:val="nil"/>
              <w:right w:val="nil"/>
            </w:tcBorders>
            <w:shd w:val="solid" w:color="FFFFFF" w:fill="auto"/>
          </w:tcPr>
          <w:p w14:paraId="0D36E39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shd w:val="solid" w:color="FFFFFF" w:fill="auto"/>
          </w:tcPr>
          <w:p w14:paraId="0DC4C862" w14:textId="1BFF202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4,721 </w:t>
            </w:r>
          </w:p>
        </w:tc>
        <w:tc>
          <w:tcPr>
            <w:tcW w:w="236" w:type="dxa"/>
            <w:tcBorders>
              <w:top w:val="nil"/>
              <w:left w:val="nil"/>
              <w:bottom w:val="nil"/>
              <w:right w:val="nil"/>
            </w:tcBorders>
            <w:shd w:val="clear" w:color="auto" w:fill="F2F2F2" w:themeFill="background1" w:themeFillShade="F2"/>
          </w:tcPr>
          <w:p w14:paraId="51480C8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54146D7B" w14:textId="0280AEC2"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2,196 </w:t>
            </w:r>
          </w:p>
        </w:tc>
        <w:tc>
          <w:tcPr>
            <w:tcW w:w="242" w:type="dxa"/>
            <w:tcBorders>
              <w:top w:val="nil"/>
              <w:left w:val="nil"/>
              <w:bottom w:val="nil"/>
              <w:right w:val="nil"/>
            </w:tcBorders>
            <w:shd w:val="solid" w:color="FFFFFF" w:fill="auto"/>
          </w:tcPr>
          <w:p w14:paraId="2EB8DF8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056306D9" w14:textId="1DBCEB8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2,133 </w:t>
            </w:r>
          </w:p>
        </w:tc>
        <w:tc>
          <w:tcPr>
            <w:tcW w:w="236" w:type="dxa"/>
            <w:tcBorders>
              <w:top w:val="nil"/>
              <w:left w:val="nil"/>
              <w:bottom w:val="nil"/>
              <w:right w:val="nil"/>
            </w:tcBorders>
            <w:shd w:val="solid" w:color="FFFFFF" w:fill="auto"/>
          </w:tcPr>
          <w:p w14:paraId="430A620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05FDDBF" w14:textId="73A50DA2"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4,329 </w:t>
            </w:r>
          </w:p>
        </w:tc>
      </w:tr>
      <w:tr w:rsidR="00161871" w:rsidRPr="00161871" w14:paraId="6403D368" w14:textId="77777777" w:rsidTr="00161871">
        <w:tc>
          <w:tcPr>
            <w:tcW w:w="3288" w:type="dxa"/>
            <w:tcBorders>
              <w:top w:val="nil"/>
              <w:left w:val="nil"/>
              <w:bottom w:val="nil"/>
              <w:right w:val="nil"/>
            </w:tcBorders>
            <w:shd w:val="solid" w:color="FFFFFF" w:fill="auto"/>
          </w:tcPr>
          <w:p w14:paraId="144E6037" w14:textId="77777777" w:rsidR="005219C3" w:rsidRDefault="005219C3" w:rsidP="00161871">
            <w:pPr>
              <w:autoSpaceDE w:val="0"/>
              <w:autoSpaceDN w:val="0"/>
              <w:adjustRightInd w:val="0"/>
              <w:ind w:left="0" w:firstLine="0"/>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Net income / (expenditure) for the year</w:t>
            </w:r>
          </w:p>
          <w:p w14:paraId="106E1797" w14:textId="1F517DA8" w:rsidR="00161871" w:rsidRPr="00161871" w:rsidRDefault="00161871" w:rsidP="00161871">
            <w:pPr>
              <w:autoSpaceDE w:val="0"/>
              <w:autoSpaceDN w:val="0"/>
              <w:adjustRightInd w:val="0"/>
              <w:ind w:left="0" w:firstLine="0"/>
              <w:rPr>
                <w:rFonts w:asciiTheme="minorHAnsi" w:eastAsiaTheme="minorHAnsi" w:hAnsiTheme="minorHAnsi" w:cstheme="minorHAnsi"/>
                <w:color w:val="000000"/>
                <w:sz w:val="19"/>
                <w:szCs w:val="19"/>
              </w:rPr>
            </w:pPr>
          </w:p>
        </w:tc>
        <w:tc>
          <w:tcPr>
            <w:tcW w:w="708" w:type="dxa"/>
            <w:tcBorders>
              <w:top w:val="nil"/>
              <w:left w:val="nil"/>
              <w:bottom w:val="nil"/>
              <w:right w:val="nil"/>
            </w:tcBorders>
            <w:shd w:val="solid" w:color="FFFFFF" w:fill="auto"/>
          </w:tcPr>
          <w:p w14:paraId="6A8BB89F" w14:textId="77777777" w:rsidR="005219C3" w:rsidRPr="00161871" w:rsidRDefault="005219C3" w:rsidP="005219C3">
            <w:pPr>
              <w:autoSpaceDE w:val="0"/>
              <w:autoSpaceDN w:val="0"/>
              <w:adjustRightInd w:val="0"/>
              <w:ind w:left="0" w:firstLine="0"/>
              <w:jc w:val="center"/>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11</w:t>
            </w:r>
          </w:p>
        </w:tc>
        <w:tc>
          <w:tcPr>
            <w:tcW w:w="851" w:type="dxa"/>
            <w:tcBorders>
              <w:top w:val="nil"/>
              <w:left w:val="nil"/>
              <w:bottom w:val="nil"/>
              <w:right w:val="nil"/>
            </w:tcBorders>
            <w:shd w:val="solid" w:color="FFFFFF" w:fill="auto"/>
          </w:tcPr>
          <w:p w14:paraId="0D369185" w14:textId="5AFAA355"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670 </w:t>
            </w:r>
          </w:p>
        </w:tc>
        <w:tc>
          <w:tcPr>
            <w:tcW w:w="284" w:type="dxa"/>
            <w:tcBorders>
              <w:top w:val="nil"/>
              <w:left w:val="nil"/>
              <w:bottom w:val="nil"/>
              <w:right w:val="nil"/>
            </w:tcBorders>
            <w:shd w:val="solid" w:color="FFFFFF" w:fill="auto"/>
          </w:tcPr>
          <w:p w14:paraId="0179420F"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0" w:type="dxa"/>
            <w:tcBorders>
              <w:top w:val="nil"/>
              <w:left w:val="nil"/>
              <w:bottom w:val="nil"/>
              <w:right w:val="nil"/>
            </w:tcBorders>
            <w:shd w:val="solid" w:color="FFFFFF" w:fill="auto"/>
          </w:tcPr>
          <w:p w14:paraId="23E7E968" w14:textId="557FC186"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(196)</w:t>
            </w:r>
          </w:p>
        </w:tc>
        <w:tc>
          <w:tcPr>
            <w:tcW w:w="236" w:type="dxa"/>
            <w:tcBorders>
              <w:top w:val="nil"/>
              <w:left w:val="nil"/>
              <w:bottom w:val="nil"/>
              <w:right w:val="nil"/>
            </w:tcBorders>
            <w:shd w:val="solid" w:color="FFFFFF" w:fill="auto"/>
          </w:tcPr>
          <w:p w14:paraId="12F1F7D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95" w:type="dxa"/>
            <w:tcBorders>
              <w:top w:val="nil"/>
              <w:left w:val="nil"/>
              <w:bottom w:val="nil"/>
              <w:right w:val="nil"/>
            </w:tcBorders>
          </w:tcPr>
          <w:p w14:paraId="67BE2698" w14:textId="4D0B49E8"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474 </w:t>
            </w:r>
          </w:p>
        </w:tc>
        <w:tc>
          <w:tcPr>
            <w:tcW w:w="236" w:type="dxa"/>
            <w:tcBorders>
              <w:top w:val="nil"/>
              <w:left w:val="nil"/>
              <w:bottom w:val="nil"/>
              <w:right w:val="nil"/>
            </w:tcBorders>
            <w:shd w:val="clear" w:color="auto" w:fill="F2F2F2" w:themeFill="background1" w:themeFillShade="F2"/>
          </w:tcPr>
          <w:p w14:paraId="04DB86D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901" w:type="dxa"/>
            <w:tcBorders>
              <w:top w:val="nil"/>
              <w:left w:val="nil"/>
              <w:bottom w:val="nil"/>
              <w:right w:val="nil"/>
            </w:tcBorders>
            <w:shd w:val="solid" w:color="FFFFFF" w:fill="auto"/>
          </w:tcPr>
          <w:p w14:paraId="74D10B18" w14:textId="451F357A"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452 </w:t>
            </w:r>
          </w:p>
        </w:tc>
        <w:tc>
          <w:tcPr>
            <w:tcW w:w="242" w:type="dxa"/>
            <w:tcBorders>
              <w:top w:val="nil"/>
              <w:left w:val="nil"/>
              <w:bottom w:val="nil"/>
              <w:right w:val="nil"/>
            </w:tcBorders>
            <w:shd w:val="solid" w:color="FFFFFF" w:fill="auto"/>
          </w:tcPr>
          <w:p w14:paraId="12A396E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793" w:type="dxa"/>
            <w:tcBorders>
              <w:top w:val="nil"/>
              <w:left w:val="nil"/>
              <w:bottom w:val="nil"/>
              <w:right w:val="nil"/>
            </w:tcBorders>
            <w:shd w:val="solid" w:color="FFFFFF" w:fill="auto"/>
          </w:tcPr>
          <w:p w14:paraId="28DFCC4B" w14:textId="2581FA86"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(60)</w:t>
            </w:r>
          </w:p>
        </w:tc>
        <w:tc>
          <w:tcPr>
            <w:tcW w:w="236" w:type="dxa"/>
            <w:tcBorders>
              <w:top w:val="nil"/>
              <w:left w:val="nil"/>
              <w:bottom w:val="nil"/>
              <w:right w:val="nil"/>
            </w:tcBorders>
            <w:shd w:val="solid" w:color="FFFFFF" w:fill="auto"/>
          </w:tcPr>
          <w:p w14:paraId="2CAD2693"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p>
        </w:tc>
        <w:tc>
          <w:tcPr>
            <w:tcW w:w="856" w:type="dxa"/>
            <w:tcBorders>
              <w:top w:val="nil"/>
              <w:left w:val="nil"/>
              <w:bottom w:val="nil"/>
              <w:right w:val="nil"/>
            </w:tcBorders>
            <w:shd w:val="solid" w:color="FFFFFF" w:fill="auto"/>
          </w:tcPr>
          <w:p w14:paraId="09AD9A44" w14:textId="70B95A6C" w:rsidR="005219C3" w:rsidRPr="00161871" w:rsidRDefault="005219C3" w:rsidP="005219C3">
            <w:pPr>
              <w:autoSpaceDE w:val="0"/>
              <w:autoSpaceDN w:val="0"/>
              <w:adjustRightInd w:val="0"/>
              <w:ind w:left="0" w:firstLine="0"/>
              <w:jc w:val="right"/>
              <w:rPr>
                <w:rFonts w:asciiTheme="minorHAnsi" w:eastAsiaTheme="minorHAnsi" w:hAnsiTheme="minorHAnsi" w:cstheme="minorHAnsi"/>
                <w:color w:val="000000"/>
                <w:sz w:val="19"/>
                <w:szCs w:val="19"/>
              </w:rPr>
            </w:pPr>
            <w:r w:rsidRPr="00161871">
              <w:rPr>
                <w:rFonts w:asciiTheme="minorHAnsi" w:eastAsiaTheme="minorHAnsi" w:hAnsiTheme="minorHAnsi" w:cstheme="minorHAnsi"/>
                <w:color w:val="000000"/>
                <w:sz w:val="19"/>
                <w:szCs w:val="19"/>
              </w:rPr>
              <w:t xml:space="preserve">   392 </w:t>
            </w:r>
          </w:p>
        </w:tc>
      </w:tr>
      <w:tr w:rsidR="00161871" w:rsidRPr="00161871" w14:paraId="031FC0F1" w14:textId="77777777" w:rsidTr="00161871">
        <w:tc>
          <w:tcPr>
            <w:tcW w:w="3288" w:type="dxa"/>
            <w:tcBorders>
              <w:top w:val="nil"/>
              <w:left w:val="nil"/>
              <w:bottom w:val="nil"/>
              <w:right w:val="nil"/>
            </w:tcBorders>
            <w:shd w:val="solid" w:color="FFFFFF" w:fill="auto"/>
          </w:tcPr>
          <w:p w14:paraId="07051314" w14:textId="77777777" w:rsidR="005219C3" w:rsidRPr="00161871" w:rsidRDefault="005219C3" w:rsidP="00161871">
            <w:pPr>
              <w:autoSpaceDE w:val="0"/>
              <w:autoSpaceDN w:val="0"/>
              <w:adjustRightInd w:val="0"/>
              <w:ind w:left="0" w:firstLine="0"/>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Fund balance at the end of the year</w:t>
            </w:r>
          </w:p>
        </w:tc>
        <w:tc>
          <w:tcPr>
            <w:tcW w:w="708" w:type="dxa"/>
            <w:tcBorders>
              <w:top w:val="nil"/>
              <w:left w:val="nil"/>
              <w:bottom w:val="nil"/>
              <w:right w:val="nil"/>
            </w:tcBorders>
            <w:shd w:val="solid" w:color="FFFFFF" w:fill="auto"/>
          </w:tcPr>
          <w:p w14:paraId="68B98F40"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1" w:type="dxa"/>
            <w:tcBorders>
              <w:top w:val="single" w:sz="6" w:space="0" w:color="auto"/>
              <w:left w:val="nil"/>
              <w:bottom w:val="single" w:sz="6" w:space="0" w:color="auto"/>
              <w:right w:val="nil"/>
            </w:tcBorders>
            <w:shd w:val="clear" w:color="auto" w:fill="B8CCE4" w:themeFill="accent1" w:themeFillTint="66"/>
          </w:tcPr>
          <w:p w14:paraId="31B971CD" w14:textId="11CEE4E3"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3,318 </w:t>
            </w:r>
          </w:p>
        </w:tc>
        <w:tc>
          <w:tcPr>
            <w:tcW w:w="284" w:type="dxa"/>
            <w:tcBorders>
              <w:top w:val="single" w:sz="6" w:space="0" w:color="auto"/>
              <w:left w:val="nil"/>
              <w:bottom w:val="single" w:sz="6" w:space="0" w:color="auto"/>
              <w:right w:val="nil"/>
            </w:tcBorders>
            <w:shd w:val="clear" w:color="auto" w:fill="B8CCE4" w:themeFill="accent1" w:themeFillTint="66"/>
          </w:tcPr>
          <w:p w14:paraId="324FA05D"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0" w:type="dxa"/>
            <w:tcBorders>
              <w:top w:val="single" w:sz="6" w:space="0" w:color="auto"/>
              <w:left w:val="nil"/>
              <w:bottom w:val="single" w:sz="6" w:space="0" w:color="auto"/>
              <w:right w:val="nil"/>
            </w:tcBorders>
            <w:shd w:val="clear" w:color="auto" w:fill="B8CCE4" w:themeFill="accent1" w:themeFillTint="66"/>
          </w:tcPr>
          <w:p w14:paraId="33C7CFED" w14:textId="492F917C"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1,877 </w:t>
            </w:r>
          </w:p>
        </w:tc>
        <w:tc>
          <w:tcPr>
            <w:tcW w:w="236" w:type="dxa"/>
            <w:tcBorders>
              <w:top w:val="single" w:sz="6" w:space="0" w:color="auto"/>
              <w:left w:val="nil"/>
              <w:bottom w:val="single" w:sz="6" w:space="0" w:color="auto"/>
              <w:right w:val="nil"/>
            </w:tcBorders>
            <w:shd w:val="clear" w:color="auto" w:fill="B8CCE4" w:themeFill="accent1" w:themeFillTint="66"/>
          </w:tcPr>
          <w:p w14:paraId="13807D2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95" w:type="dxa"/>
            <w:tcBorders>
              <w:top w:val="single" w:sz="6" w:space="0" w:color="auto"/>
              <w:left w:val="nil"/>
              <w:bottom w:val="single" w:sz="6" w:space="0" w:color="auto"/>
              <w:right w:val="nil"/>
            </w:tcBorders>
            <w:shd w:val="clear" w:color="auto" w:fill="B8CCE4" w:themeFill="accent1" w:themeFillTint="66"/>
          </w:tcPr>
          <w:p w14:paraId="434E3B00" w14:textId="0674A58C"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5,195 </w:t>
            </w:r>
          </w:p>
        </w:tc>
        <w:tc>
          <w:tcPr>
            <w:tcW w:w="236" w:type="dxa"/>
            <w:tcBorders>
              <w:top w:val="single" w:sz="6" w:space="0" w:color="auto"/>
              <w:left w:val="nil"/>
              <w:bottom w:val="single" w:sz="6" w:space="0" w:color="auto"/>
              <w:right w:val="nil"/>
            </w:tcBorders>
            <w:shd w:val="clear" w:color="auto" w:fill="F2F2F2" w:themeFill="background1" w:themeFillShade="F2"/>
          </w:tcPr>
          <w:p w14:paraId="2B3A562E"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901" w:type="dxa"/>
            <w:tcBorders>
              <w:top w:val="single" w:sz="6" w:space="0" w:color="auto"/>
              <w:left w:val="nil"/>
              <w:bottom w:val="single" w:sz="6" w:space="0" w:color="auto"/>
              <w:right w:val="nil"/>
            </w:tcBorders>
            <w:shd w:val="clear" w:color="auto" w:fill="D6E3BC" w:themeFill="accent3" w:themeFillTint="66"/>
          </w:tcPr>
          <w:p w14:paraId="7808DAC1"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2,648 </w:t>
            </w:r>
          </w:p>
        </w:tc>
        <w:tc>
          <w:tcPr>
            <w:tcW w:w="242" w:type="dxa"/>
            <w:tcBorders>
              <w:top w:val="single" w:sz="6" w:space="0" w:color="auto"/>
              <w:left w:val="nil"/>
              <w:bottom w:val="single" w:sz="6" w:space="0" w:color="auto"/>
              <w:right w:val="nil"/>
            </w:tcBorders>
            <w:shd w:val="clear" w:color="auto" w:fill="D6E3BC" w:themeFill="accent3" w:themeFillTint="66"/>
          </w:tcPr>
          <w:p w14:paraId="06BD1939"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793" w:type="dxa"/>
            <w:tcBorders>
              <w:top w:val="single" w:sz="6" w:space="0" w:color="auto"/>
              <w:left w:val="nil"/>
              <w:bottom w:val="single" w:sz="6" w:space="0" w:color="auto"/>
              <w:right w:val="nil"/>
            </w:tcBorders>
            <w:shd w:val="clear" w:color="auto" w:fill="D6E3BC" w:themeFill="accent3" w:themeFillTint="66"/>
          </w:tcPr>
          <w:p w14:paraId="1F7D63F8"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2,073 </w:t>
            </w:r>
          </w:p>
        </w:tc>
        <w:tc>
          <w:tcPr>
            <w:tcW w:w="236" w:type="dxa"/>
            <w:tcBorders>
              <w:top w:val="single" w:sz="6" w:space="0" w:color="auto"/>
              <w:left w:val="nil"/>
              <w:bottom w:val="single" w:sz="6" w:space="0" w:color="auto"/>
              <w:right w:val="nil"/>
            </w:tcBorders>
            <w:shd w:val="clear" w:color="auto" w:fill="D6E3BC" w:themeFill="accent3" w:themeFillTint="66"/>
          </w:tcPr>
          <w:p w14:paraId="2870E6C7"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p>
        </w:tc>
        <w:tc>
          <w:tcPr>
            <w:tcW w:w="856" w:type="dxa"/>
            <w:tcBorders>
              <w:top w:val="single" w:sz="6" w:space="0" w:color="auto"/>
              <w:left w:val="nil"/>
              <w:bottom w:val="single" w:sz="6" w:space="0" w:color="auto"/>
              <w:right w:val="nil"/>
            </w:tcBorders>
            <w:shd w:val="clear" w:color="auto" w:fill="D6E3BC" w:themeFill="accent3" w:themeFillTint="66"/>
          </w:tcPr>
          <w:p w14:paraId="0E52374A" w14:textId="77777777" w:rsidR="005219C3" w:rsidRPr="00161871" w:rsidRDefault="005219C3" w:rsidP="005219C3">
            <w:pPr>
              <w:autoSpaceDE w:val="0"/>
              <w:autoSpaceDN w:val="0"/>
              <w:adjustRightInd w:val="0"/>
              <w:ind w:left="0" w:firstLine="0"/>
              <w:jc w:val="right"/>
              <w:rPr>
                <w:rFonts w:asciiTheme="minorHAnsi" w:eastAsiaTheme="minorHAnsi" w:hAnsiTheme="minorHAnsi" w:cstheme="minorHAnsi"/>
                <w:b/>
                <w:bCs/>
                <w:color w:val="000000"/>
                <w:sz w:val="19"/>
                <w:szCs w:val="19"/>
              </w:rPr>
            </w:pPr>
            <w:r w:rsidRPr="00161871">
              <w:rPr>
                <w:rFonts w:asciiTheme="minorHAnsi" w:eastAsiaTheme="minorHAnsi" w:hAnsiTheme="minorHAnsi" w:cstheme="minorHAnsi"/>
                <w:b/>
                <w:bCs/>
                <w:color w:val="000000"/>
                <w:sz w:val="19"/>
                <w:szCs w:val="19"/>
              </w:rPr>
              <w:t xml:space="preserve">   4,721 </w:t>
            </w:r>
          </w:p>
        </w:tc>
      </w:tr>
    </w:tbl>
    <w:p w14:paraId="31B7C6B1" w14:textId="77777777" w:rsidR="00FB66C4" w:rsidRDefault="00FB66C4">
      <w:pPr>
        <w:rPr>
          <w:rFonts w:eastAsia="Times New Roman" w:cs="Arial"/>
          <w:b/>
          <w:bCs/>
          <w:lang w:eastAsia="en-GB"/>
        </w:rPr>
      </w:pPr>
      <w:r>
        <w:rPr>
          <w:rFonts w:eastAsia="Times New Roman" w:cs="Arial"/>
          <w:b/>
          <w:bCs/>
          <w:lang w:eastAsia="en-GB"/>
        </w:rPr>
        <w:br w:type="page"/>
      </w:r>
    </w:p>
    <w:p w14:paraId="6E733272" w14:textId="22714187" w:rsidR="00F96BA5" w:rsidRDefault="00F96BA5" w:rsidP="00F96BA5">
      <w:pPr>
        <w:pStyle w:val="NoSpacing"/>
        <w:rPr>
          <w:rFonts w:eastAsia="Times New Roman" w:cs="Arial"/>
          <w:b/>
          <w:bCs/>
          <w:lang w:eastAsia="en-GB"/>
        </w:rPr>
      </w:pPr>
      <w:r w:rsidRPr="00421152">
        <w:rPr>
          <w:rFonts w:eastAsia="Times New Roman" w:cs="Arial"/>
          <w:b/>
          <w:bCs/>
          <w:lang w:eastAsia="en-GB"/>
        </w:rPr>
        <w:lastRenderedPageBreak/>
        <w:t>III.</w:t>
      </w:r>
      <w:r w:rsidRPr="00421152">
        <w:rPr>
          <w:rFonts w:eastAsia="Times New Roman" w:cs="Arial"/>
          <w:b/>
          <w:bCs/>
          <w:lang w:eastAsia="en-GB"/>
        </w:rPr>
        <w:tab/>
        <w:t xml:space="preserve">Cash Flow Statement for </w:t>
      </w:r>
      <w:r w:rsidRPr="00340E62">
        <w:rPr>
          <w:rFonts w:eastAsia="Times New Roman" w:cs="Arial"/>
          <w:b/>
          <w:bCs/>
          <w:lang w:eastAsia="en-GB"/>
        </w:rPr>
        <w:t xml:space="preserve">the year ended 31 December </w:t>
      </w:r>
      <w:r w:rsidR="000B2A00" w:rsidRPr="00340E62">
        <w:rPr>
          <w:rFonts w:eastAsia="Times New Roman" w:cs="Arial"/>
          <w:b/>
          <w:bCs/>
          <w:lang w:eastAsia="en-GB"/>
        </w:rPr>
        <w:t>2020</w:t>
      </w:r>
    </w:p>
    <w:p w14:paraId="5244D789" w14:textId="2CE3745D" w:rsidR="00A545D6" w:rsidRDefault="00A545D6">
      <w:pPr>
        <w:rPr>
          <w:rFonts w:eastAsia="Times New Roman" w:cs="Arial"/>
          <w:b/>
          <w:bCs/>
          <w:lang w:eastAsia="en-GB"/>
        </w:rPr>
      </w:pPr>
    </w:p>
    <w:tbl>
      <w:tblPr>
        <w:tblpPr w:leftFromText="180" w:rightFromText="180" w:vertAnchor="text" w:horzAnchor="margin" w:tblpX="-567" w:tblpY="76"/>
        <w:tblW w:w="9498" w:type="dxa"/>
        <w:tblLook w:val="04A0" w:firstRow="1" w:lastRow="0" w:firstColumn="1" w:lastColumn="0" w:noHBand="0" w:noVBand="1"/>
      </w:tblPr>
      <w:tblGrid>
        <w:gridCol w:w="5954"/>
        <w:gridCol w:w="1400"/>
        <w:gridCol w:w="262"/>
        <w:gridCol w:w="284"/>
        <w:gridCol w:w="1598"/>
      </w:tblGrid>
      <w:tr w:rsidR="0079083B" w:rsidRPr="0079083B" w14:paraId="19353140" w14:textId="77777777" w:rsidTr="00CB5586">
        <w:trPr>
          <w:trHeight w:val="324"/>
        </w:trPr>
        <w:tc>
          <w:tcPr>
            <w:tcW w:w="5954" w:type="dxa"/>
            <w:tcBorders>
              <w:top w:val="nil"/>
              <w:left w:val="nil"/>
              <w:bottom w:val="single" w:sz="8" w:space="0" w:color="auto"/>
              <w:right w:val="nil"/>
            </w:tcBorders>
            <w:shd w:val="clear" w:color="000000" w:fill="FFFFFF"/>
            <w:noWrap/>
            <w:vAlign w:val="bottom"/>
            <w:hideMark/>
          </w:tcPr>
          <w:p w14:paraId="6DDB9893" w14:textId="77777777" w:rsidR="0079083B" w:rsidRPr="00A545D6" w:rsidRDefault="0079083B" w:rsidP="0079083B">
            <w:pPr>
              <w:ind w:left="0" w:firstLine="0"/>
              <w:rPr>
                <w:rFonts w:asciiTheme="minorHAnsi" w:eastAsia="Times New Roman" w:hAnsiTheme="minorHAnsi" w:cstheme="minorHAnsi"/>
                <w:i/>
                <w:iCs/>
                <w:sz w:val="20"/>
                <w:szCs w:val="20"/>
                <w:lang w:eastAsia="en-GB"/>
              </w:rPr>
            </w:pPr>
            <w:r w:rsidRPr="00A545D6">
              <w:rPr>
                <w:rFonts w:asciiTheme="minorHAnsi" w:eastAsia="Times New Roman" w:hAnsiTheme="minorHAnsi" w:cstheme="minorHAnsi"/>
                <w:i/>
                <w:iCs/>
                <w:sz w:val="20"/>
                <w:szCs w:val="20"/>
                <w:lang w:eastAsia="en-GB"/>
              </w:rPr>
              <w:t>in thousands of Swiss Francs (CHF '000s)</w:t>
            </w:r>
          </w:p>
        </w:tc>
        <w:tc>
          <w:tcPr>
            <w:tcW w:w="1662" w:type="dxa"/>
            <w:gridSpan w:val="2"/>
            <w:tcBorders>
              <w:top w:val="nil"/>
              <w:left w:val="nil"/>
              <w:bottom w:val="single" w:sz="8" w:space="0" w:color="auto"/>
              <w:right w:val="nil"/>
            </w:tcBorders>
            <w:shd w:val="clear" w:color="000000" w:fill="8DB4E2"/>
            <w:noWrap/>
            <w:vAlign w:val="center"/>
            <w:hideMark/>
          </w:tcPr>
          <w:p w14:paraId="6EB2DB48" w14:textId="566C8C52" w:rsidR="0079083B" w:rsidRPr="00A545D6" w:rsidRDefault="0079083B" w:rsidP="0079083B">
            <w:pPr>
              <w:ind w:left="0" w:firstLine="0"/>
              <w:jc w:val="center"/>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2020</w:t>
            </w:r>
          </w:p>
        </w:tc>
        <w:tc>
          <w:tcPr>
            <w:tcW w:w="284" w:type="dxa"/>
            <w:tcBorders>
              <w:top w:val="nil"/>
              <w:left w:val="nil"/>
              <w:bottom w:val="single" w:sz="8" w:space="0" w:color="auto"/>
              <w:right w:val="nil"/>
            </w:tcBorders>
            <w:shd w:val="clear" w:color="000000" w:fill="D9D9D9"/>
            <w:noWrap/>
            <w:vAlign w:val="center"/>
            <w:hideMark/>
          </w:tcPr>
          <w:p w14:paraId="5E9355D6" w14:textId="77777777" w:rsidR="0079083B" w:rsidRPr="00A545D6" w:rsidRDefault="0079083B" w:rsidP="0079083B">
            <w:pPr>
              <w:ind w:left="0" w:firstLine="0"/>
              <w:jc w:val="center"/>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598" w:type="dxa"/>
            <w:tcBorders>
              <w:top w:val="nil"/>
              <w:left w:val="nil"/>
              <w:bottom w:val="single" w:sz="8" w:space="0" w:color="auto"/>
              <w:right w:val="nil"/>
            </w:tcBorders>
            <w:shd w:val="clear" w:color="000000" w:fill="D8E4BC"/>
            <w:noWrap/>
            <w:vAlign w:val="center"/>
            <w:hideMark/>
          </w:tcPr>
          <w:p w14:paraId="5550D62C" w14:textId="77777777" w:rsidR="0079083B" w:rsidRPr="00A545D6" w:rsidRDefault="0079083B" w:rsidP="0079083B">
            <w:pPr>
              <w:ind w:left="0" w:firstLine="0"/>
              <w:jc w:val="center"/>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2019</w:t>
            </w:r>
          </w:p>
        </w:tc>
      </w:tr>
      <w:tr w:rsidR="0079083B" w:rsidRPr="00A545D6" w14:paraId="780F2686" w14:textId="77777777" w:rsidTr="00CB5586">
        <w:trPr>
          <w:trHeight w:val="288"/>
        </w:trPr>
        <w:tc>
          <w:tcPr>
            <w:tcW w:w="5954" w:type="dxa"/>
            <w:tcBorders>
              <w:top w:val="nil"/>
              <w:left w:val="nil"/>
              <w:bottom w:val="nil"/>
              <w:right w:val="nil"/>
            </w:tcBorders>
            <w:shd w:val="clear" w:color="000000" w:fill="FFFFFF"/>
            <w:noWrap/>
            <w:vAlign w:val="center"/>
            <w:hideMark/>
          </w:tcPr>
          <w:p w14:paraId="28AF20DE"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618CBC76"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6F26F692"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4CE3AF8"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36B926B8"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6B08315B" w14:textId="77777777" w:rsidTr="00CB5586">
        <w:trPr>
          <w:trHeight w:val="288"/>
        </w:trPr>
        <w:tc>
          <w:tcPr>
            <w:tcW w:w="5954" w:type="dxa"/>
            <w:tcBorders>
              <w:top w:val="nil"/>
              <w:left w:val="nil"/>
              <w:bottom w:val="nil"/>
              <w:right w:val="nil"/>
            </w:tcBorders>
            <w:shd w:val="clear" w:color="000000" w:fill="FFFFFF"/>
            <w:noWrap/>
            <w:vAlign w:val="center"/>
            <w:hideMark/>
          </w:tcPr>
          <w:p w14:paraId="7845E008"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Cash flow from operations</w:t>
            </w:r>
          </w:p>
        </w:tc>
        <w:tc>
          <w:tcPr>
            <w:tcW w:w="1400" w:type="dxa"/>
            <w:tcBorders>
              <w:top w:val="nil"/>
              <w:left w:val="nil"/>
              <w:bottom w:val="nil"/>
              <w:right w:val="nil"/>
            </w:tcBorders>
            <w:shd w:val="clear" w:color="000000" w:fill="FFFFFF"/>
            <w:noWrap/>
            <w:vAlign w:val="center"/>
            <w:hideMark/>
          </w:tcPr>
          <w:p w14:paraId="2BB08EC4"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2F61B26C"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2069C12"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629E394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09308EAF" w14:textId="77777777" w:rsidTr="00CB5586">
        <w:trPr>
          <w:trHeight w:val="288"/>
        </w:trPr>
        <w:tc>
          <w:tcPr>
            <w:tcW w:w="5954" w:type="dxa"/>
            <w:tcBorders>
              <w:top w:val="nil"/>
              <w:left w:val="nil"/>
              <w:bottom w:val="nil"/>
              <w:right w:val="nil"/>
            </w:tcBorders>
            <w:shd w:val="clear" w:color="000000" w:fill="FFFFFF"/>
            <w:noWrap/>
            <w:vAlign w:val="center"/>
            <w:hideMark/>
          </w:tcPr>
          <w:p w14:paraId="345A64B9"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0AD6E002"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705C552F"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213CEF93"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39BFABDA"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757330D8" w14:textId="77777777" w:rsidTr="00CB5586">
        <w:trPr>
          <w:trHeight w:val="288"/>
        </w:trPr>
        <w:tc>
          <w:tcPr>
            <w:tcW w:w="5954" w:type="dxa"/>
            <w:tcBorders>
              <w:top w:val="nil"/>
              <w:left w:val="nil"/>
              <w:bottom w:val="nil"/>
              <w:right w:val="nil"/>
            </w:tcBorders>
            <w:shd w:val="clear" w:color="000000" w:fill="FFFFFF"/>
            <w:noWrap/>
            <w:vAlign w:val="center"/>
            <w:hideMark/>
          </w:tcPr>
          <w:p w14:paraId="26DE83CD"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Surplus/(Deficit) from Operations</w:t>
            </w:r>
          </w:p>
        </w:tc>
        <w:tc>
          <w:tcPr>
            <w:tcW w:w="1400" w:type="dxa"/>
            <w:tcBorders>
              <w:top w:val="nil"/>
              <w:left w:val="nil"/>
              <w:bottom w:val="single" w:sz="4" w:space="0" w:color="auto"/>
              <w:right w:val="nil"/>
            </w:tcBorders>
            <w:shd w:val="clear" w:color="000000" w:fill="FFFFFF"/>
            <w:noWrap/>
            <w:vAlign w:val="center"/>
            <w:hideMark/>
          </w:tcPr>
          <w:p w14:paraId="41731A1A"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474</w:t>
            </w:r>
          </w:p>
        </w:tc>
        <w:tc>
          <w:tcPr>
            <w:tcW w:w="262" w:type="dxa"/>
            <w:tcBorders>
              <w:top w:val="nil"/>
              <w:left w:val="nil"/>
              <w:bottom w:val="single" w:sz="4" w:space="0" w:color="auto"/>
              <w:right w:val="nil"/>
            </w:tcBorders>
            <w:shd w:val="clear" w:color="000000" w:fill="FFFFFF"/>
            <w:noWrap/>
            <w:vAlign w:val="center"/>
            <w:hideMark/>
          </w:tcPr>
          <w:p w14:paraId="77BD2DFC"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284" w:type="dxa"/>
            <w:tcBorders>
              <w:top w:val="nil"/>
              <w:left w:val="nil"/>
              <w:bottom w:val="single" w:sz="4" w:space="0" w:color="auto"/>
              <w:right w:val="nil"/>
            </w:tcBorders>
            <w:shd w:val="clear" w:color="000000" w:fill="D9D9D9"/>
            <w:noWrap/>
            <w:vAlign w:val="center"/>
            <w:hideMark/>
          </w:tcPr>
          <w:p w14:paraId="2F9A14E2"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598" w:type="dxa"/>
            <w:tcBorders>
              <w:top w:val="nil"/>
              <w:left w:val="nil"/>
              <w:bottom w:val="single" w:sz="4" w:space="0" w:color="auto"/>
              <w:right w:val="nil"/>
            </w:tcBorders>
            <w:shd w:val="clear" w:color="000000" w:fill="FFFFFF"/>
            <w:noWrap/>
            <w:vAlign w:val="center"/>
            <w:hideMark/>
          </w:tcPr>
          <w:p w14:paraId="451FF127"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392</w:t>
            </w:r>
          </w:p>
        </w:tc>
      </w:tr>
      <w:tr w:rsidR="0079083B" w:rsidRPr="00A545D6" w14:paraId="439EC9C4" w14:textId="77777777" w:rsidTr="00CB5586">
        <w:trPr>
          <w:trHeight w:val="288"/>
        </w:trPr>
        <w:tc>
          <w:tcPr>
            <w:tcW w:w="5954" w:type="dxa"/>
            <w:tcBorders>
              <w:top w:val="nil"/>
              <w:left w:val="nil"/>
              <w:bottom w:val="nil"/>
              <w:right w:val="nil"/>
            </w:tcBorders>
            <w:shd w:val="clear" w:color="000000" w:fill="FFFFFF"/>
            <w:noWrap/>
            <w:vAlign w:val="center"/>
            <w:hideMark/>
          </w:tcPr>
          <w:p w14:paraId="5F25B9D7"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4557522F"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262" w:type="dxa"/>
            <w:tcBorders>
              <w:top w:val="nil"/>
              <w:left w:val="nil"/>
              <w:bottom w:val="nil"/>
              <w:right w:val="nil"/>
            </w:tcBorders>
            <w:shd w:val="clear" w:color="000000" w:fill="FFFFFF"/>
            <w:noWrap/>
            <w:vAlign w:val="center"/>
            <w:hideMark/>
          </w:tcPr>
          <w:p w14:paraId="41F8B030"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284" w:type="dxa"/>
            <w:tcBorders>
              <w:top w:val="nil"/>
              <w:left w:val="nil"/>
              <w:bottom w:val="nil"/>
              <w:right w:val="nil"/>
            </w:tcBorders>
            <w:shd w:val="clear" w:color="000000" w:fill="D9D9D9"/>
            <w:noWrap/>
            <w:vAlign w:val="center"/>
            <w:hideMark/>
          </w:tcPr>
          <w:p w14:paraId="7C8BF67A"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598" w:type="dxa"/>
            <w:tcBorders>
              <w:top w:val="nil"/>
              <w:left w:val="nil"/>
              <w:bottom w:val="nil"/>
              <w:right w:val="nil"/>
            </w:tcBorders>
            <w:shd w:val="clear" w:color="000000" w:fill="FFFFFF"/>
            <w:noWrap/>
            <w:vAlign w:val="center"/>
            <w:hideMark/>
          </w:tcPr>
          <w:p w14:paraId="207BACBE"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r>
      <w:tr w:rsidR="0079083B" w:rsidRPr="00A545D6" w14:paraId="31B6C17A" w14:textId="77777777" w:rsidTr="00CB5586">
        <w:trPr>
          <w:trHeight w:val="288"/>
        </w:trPr>
        <w:tc>
          <w:tcPr>
            <w:tcW w:w="5954" w:type="dxa"/>
            <w:tcBorders>
              <w:top w:val="nil"/>
              <w:left w:val="nil"/>
              <w:bottom w:val="nil"/>
              <w:right w:val="nil"/>
            </w:tcBorders>
            <w:shd w:val="clear" w:color="000000" w:fill="FFFFFF"/>
            <w:noWrap/>
            <w:vAlign w:val="center"/>
            <w:hideMark/>
          </w:tcPr>
          <w:p w14:paraId="3DAF4EC0" w14:textId="77777777" w:rsidR="0079083B" w:rsidRPr="00A545D6" w:rsidRDefault="0079083B" w:rsidP="0079083B">
            <w:pPr>
              <w:ind w:left="0" w:firstLine="0"/>
              <w:rPr>
                <w:rFonts w:asciiTheme="minorHAnsi" w:eastAsia="Times New Roman" w:hAnsiTheme="minorHAnsi" w:cstheme="minorHAnsi"/>
                <w:color w:val="000000"/>
                <w:sz w:val="20"/>
                <w:szCs w:val="20"/>
                <w:lang w:eastAsia="en-GB"/>
              </w:rPr>
            </w:pPr>
            <w:r w:rsidRPr="00A545D6">
              <w:rPr>
                <w:rFonts w:asciiTheme="minorHAnsi" w:eastAsia="Times New Roman" w:hAnsiTheme="minorHAnsi" w:cstheme="minorHAnsi"/>
                <w:color w:val="000000"/>
                <w:sz w:val="20"/>
                <w:szCs w:val="20"/>
                <w:lang w:eastAsia="en-GB"/>
              </w:rPr>
              <w:t xml:space="preserve">    Depreciation of fixed assets</w:t>
            </w:r>
          </w:p>
        </w:tc>
        <w:tc>
          <w:tcPr>
            <w:tcW w:w="1400" w:type="dxa"/>
            <w:tcBorders>
              <w:top w:val="nil"/>
              <w:left w:val="nil"/>
              <w:bottom w:val="nil"/>
              <w:right w:val="nil"/>
            </w:tcBorders>
            <w:shd w:val="clear" w:color="000000" w:fill="FFFFFF"/>
            <w:noWrap/>
            <w:vAlign w:val="center"/>
            <w:hideMark/>
          </w:tcPr>
          <w:p w14:paraId="096D00D5"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7</w:t>
            </w:r>
          </w:p>
        </w:tc>
        <w:tc>
          <w:tcPr>
            <w:tcW w:w="262" w:type="dxa"/>
            <w:tcBorders>
              <w:top w:val="nil"/>
              <w:left w:val="nil"/>
              <w:bottom w:val="nil"/>
              <w:right w:val="nil"/>
            </w:tcBorders>
            <w:shd w:val="clear" w:color="000000" w:fill="FFFFFF"/>
            <w:noWrap/>
            <w:vAlign w:val="center"/>
            <w:hideMark/>
          </w:tcPr>
          <w:p w14:paraId="35C5A021"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99CE70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1357FDF8"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8</w:t>
            </w:r>
          </w:p>
        </w:tc>
      </w:tr>
      <w:tr w:rsidR="0079083B" w:rsidRPr="00A545D6" w14:paraId="585A0200" w14:textId="77777777" w:rsidTr="00CB5586">
        <w:trPr>
          <w:trHeight w:val="288"/>
        </w:trPr>
        <w:tc>
          <w:tcPr>
            <w:tcW w:w="5954" w:type="dxa"/>
            <w:tcBorders>
              <w:top w:val="nil"/>
              <w:left w:val="nil"/>
              <w:bottom w:val="nil"/>
              <w:right w:val="nil"/>
            </w:tcBorders>
            <w:shd w:val="clear" w:color="000000" w:fill="FFFFFF"/>
            <w:noWrap/>
            <w:vAlign w:val="center"/>
            <w:hideMark/>
          </w:tcPr>
          <w:p w14:paraId="4B292981"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provisions for membership dues in arrears</w:t>
            </w:r>
          </w:p>
        </w:tc>
        <w:tc>
          <w:tcPr>
            <w:tcW w:w="1400" w:type="dxa"/>
            <w:tcBorders>
              <w:top w:val="nil"/>
              <w:left w:val="nil"/>
              <w:bottom w:val="nil"/>
              <w:right w:val="nil"/>
            </w:tcBorders>
            <w:shd w:val="clear" w:color="000000" w:fill="FFFFFF"/>
            <w:noWrap/>
            <w:vAlign w:val="center"/>
            <w:hideMark/>
          </w:tcPr>
          <w:p w14:paraId="052A1EF2"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95</w:t>
            </w:r>
          </w:p>
        </w:tc>
        <w:tc>
          <w:tcPr>
            <w:tcW w:w="262" w:type="dxa"/>
            <w:tcBorders>
              <w:top w:val="nil"/>
              <w:left w:val="nil"/>
              <w:bottom w:val="nil"/>
              <w:right w:val="nil"/>
            </w:tcBorders>
            <w:shd w:val="clear" w:color="000000" w:fill="FFFFFF"/>
            <w:noWrap/>
            <w:vAlign w:val="center"/>
            <w:hideMark/>
          </w:tcPr>
          <w:p w14:paraId="3BF1DEAA"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8F7F4CD"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6B773C87"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233</w:t>
            </w:r>
          </w:p>
        </w:tc>
      </w:tr>
      <w:tr w:rsidR="0079083B" w:rsidRPr="00A545D6" w14:paraId="0AF5A57F" w14:textId="77777777" w:rsidTr="00CB5586">
        <w:trPr>
          <w:trHeight w:val="312"/>
        </w:trPr>
        <w:tc>
          <w:tcPr>
            <w:tcW w:w="5954" w:type="dxa"/>
            <w:tcBorders>
              <w:top w:val="nil"/>
              <w:left w:val="nil"/>
              <w:bottom w:val="nil"/>
              <w:right w:val="nil"/>
            </w:tcBorders>
            <w:shd w:val="clear" w:color="000000" w:fill="FFFFFF"/>
            <w:noWrap/>
            <w:vAlign w:val="center"/>
            <w:hideMark/>
          </w:tcPr>
          <w:p w14:paraId="100B96B1"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staff leave and repatriation liabilities</w:t>
            </w:r>
          </w:p>
        </w:tc>
        <w:tc>
          <w:tcPr>
            <w:tcW w:w="1400" w:type="dxa"/>
            <w:tcBorders>
              <w:top w:val="nil"/>
              <w:left w:val="nil"/>
              <w:bottom w:val="nil"/>
              <w:right w:val="nil"/>
            </w:tcBorders>
            <w:shd w:val="clear" w:color="000000" w:fill="FFFFFF"/>
            <w:noWrap/>
            <w:vAlign w:val="center"/>
            <w:hideMark/>
          </w:tcPr>
          <w:p w14:paraId="27A0ABDD"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(41)</w:t>
            </w:r>
          </w:p>
        </w:tc>
        <w:tc>
          <w:tcPr>
            <w:tcW w:w="262" w:type="dxa"/>
            <w:tcBorders>
              <w:top w:val="nil"/>
              <w:left w:val="nil"/>
              <w:bottom w:val="nil"/>
              <w:right w:val="nil"/>
            </w:tcBorders>
            <w:shd w:val="clear" w:color="000000" w:fill="FFFFFF"/>
            <w:noWrap/>
            <w:vAlign w:val="center"/>
            <w:hideMark/>
          </w:tcPr>
          <w:p w14:paraId="59EE138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1D6FFE82"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6C837A3F"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(17)</w:t>
            </w:r>
          </w:p>
        </w:tc>
      </w:tr>
      <w:tr w:rsidR="0079083B" w:rsidRPr="00A545D6" w14:paraId="3244487B" w14:textId="77777777" w:rsidTr="00CB5586">
        <w:trPr>
          <w:trHeight w:val="312"/>
        </w:trPr>
        <w:tc>
          <w:tcPr>
            <w:tcW w:w="5954" w:type="dxa"/>
            <w:tcBorders>
              <w:top w:val="nil"/>
              <w:left w:val="nil"/>
              <w:bottom w:val="nil"/>
              <w:right w:val="nil"/>
            </w:tcBorders>
            <w:shd w:val="clear" w:color="000000" w:fill="FFFFFF"/>
            <w:noWrap/>
            <w:vAlign w:val="center"/>
            <w:hideMark/>
          </w:tcPr>
          <w:p w14:paraId="0CDAAE1D"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the provision for staff termination</w:t>
            </w:r>
          </w:p>
        </w:tc>
        <w:tc>
          <w:tcPr>
            <w:tcW w:w="1400" w:type="dxa"/>
            <w:tcBorders>
              <w:top w:val="nil"/>
              <w:left w:val="nil"/>
              <w:bottom w:val="nil"/>
              <w:right w:val="nil"/>
            </w:tcBorders>
            <w:shd w:val="clear" w:color="000000" w:fill="FFFFFF"/>
            <w:noWrap/>
            <w:vAlign w:val="center"/>
            <w:hideMark/>
          </w:tcPr>
          <w:p w14:paraId="3C56521F"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18</w:t>
            </w:r>
          </w:p>
        </w:tc>
        <w:tc>
          <w:tcPr>
            <w:tcW w:w="262" w:type="dxa"/>
            <w:tcBorders>
              <w:top w:val="nil"/>
              <w:left w:val="nil"/>
              <w:bottom w:val="nil"/>
              <w:right w:val="nil"/>
            </w:tcBorders>
            <w:shd w:val="clear" w:color="000000" w:fill="FFFFFF"/>
            <w:noWrap/>
            <w:vAlign w:val="center"/>
            <w:hideMark/>
          </w:tcPr>
          <w:p w14:paraId="569942F5"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0AA86B9"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38FF3941"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7</w:t>
            </w:r>
          </w:p>
        </w:tc>
      </w:tr>
      <w:tr w:rsidR="0079083B" w:rsidRPr="00A545D6" w14:paraId="5ECEE59D" w14:textId="77777777" w:rsidTr="00CB5586">
        <w:trPr>
          <w:trHeight w:val="312"/>
        </w:trPr>
        <w:tc>
          <w:tcPr>
            <w:tcW w:w="5954" w:type="dxa"/>
            <w:tcBorders>
              <w:top w:val="nil"/>
              <w:left w:val="nil"/>
              <w:bottom w:val="nil"/>
              <w:right w:val="nil"/>
            </w:tcBorders>
            <w:shd w:val="clear" w:color="000000" w:fill="FFFFFF"/>
            <w:noWrap/>
            <w:vAlign w:val="center"/>
            <w:hideMark/>
          </w:tcPr>
          <w:p w14:paraId="009D76AC"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membership dues receivables (gross)</w:t>
            </w:r>
          </w:p>
        </w:tc>
        <w:tc>
          <w:tcPr>
            <w:tcW w:w="1400" w:type="dxa"/>
            <w:tcBorders>
              <w:top w:val="nil"/>
              <w:left w:val="nil"/>
              <w:bottom w:val="nil"/>
              <w:right w:val="nil"/>
            </w:tcBorders>
            <w:shd w:val="clear" w:color="000000" w:fill="FFFFFF"/>
            <w:noWrap/>
            <w:vAlign w:val="center"/>
            <w:hideMark/>
          </w:tcPr>
          <w:p w14:paraId="33DE4BBF"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1,590</w:t>
            </w:r>
          </w:p>
        </w:tc>
        <w:tc>
          <w:tcPr>
            <w:tcW w:w="262" w:type="dxa"/>
            <w:tcBorders>
              <w:top w:val="nil"/>
              <w:left w:val="nil"/>
              <w:bottom w:val="nil"/>
              <w:right w:val="nil"/>
            </w:tcBorders>
            <w:shd w:val="clear" w:color="000000" w:fill="FFFFFF"/>
            <w:noWrap/>
            <w:vAlign w:val="center"/>
            <w:hideMark/>
          </w:tcPr>
          <w:p w14:paraId="720CBF1E"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E0CDA58"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E214E89"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(1,764)</w:t>
            </w:r>
          </w:p>
        </w:tc>
      </w:tr>
      <w:tr w:rsidR="0079083B" w:rsidRPr="00A545D6" w14:paraId="1368D84D" w14:textId="77777777" w:rsidTr="00CB5586">
        <w:trPr>
          <w:trHeight w:val="288"/>
        </w:trPr>
        <w:tc>
          <w:tcPr>
            <w:tcW w:w="5954" w:type="dxa"/>
            <w:tcBorders>
              <w:top w:val="nil"/>
              <w:left w:val="nil"/>
              <w:bottom w:val="nil"/>
              <w:right w:val="nil"/>
            </w:tcBorders>
            <w:shd w:val="clear" w:color="000000" w:fill="FFFFFF"/>
            <w:noWrap/>
            <w:vAlign w:val="center"/>
            <w:hideMark/>
          </w:tcPr>
          <w:p w14:paraId="424B9E03"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payables to partner organisations</w:t>
            </w:r>
          </w:p>
        </w:tc>
        <w:tc>
          <w:tcPr>
            <w:tcW w:w="1400" w:type="dxa"/>
            <w:tcBorders>
              <w:top w:val="nil"/>
              <w:left w:val="nil"/>
              <w:bottom w:val="nil"/>
              <w:right w:val="nil"/>
            </w:tcBorders>
            <w:shd w:val="clear" w:color="000000" w:fill="FFFFFF"/>
            <w:noWrap/>
            <w:vAlign w:val="center"/>
            <w:hideMark/>
          </w:tcPr>
          <w:p w14:paraId="69F9BB18"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(307)</w:t>
            </w:r>
          </w:p>
        </w:tc>
        <w:tc>
          <w:tcPr>
            <w:tcW w:w="262" w:type="dxa"/>
            <w:tcBorders>
              <w:top w:val="nil"/>
              <w:left w:val="nil"/>
              <w:bottom w:val="nil"/>
              <w:right w:val="nil"/>
            </w:tcBorders>
            <w:shd w:val="clear" w:color="000000" w:fill="FFFFFF"/>
            <w:noWrap/>
            <w:vAlign w:val="center"/>
            <w:hideMark/>
          </w:tcPr>
          <w:p w14:paraId="2C8B780A"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D88D5D2"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057FD05B"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29</w:t>
            </w:r>
          </w:p>
        </w:tc>
      </w:tr>
      <w:tr w:rsidR="0079083B" w:rsidRPr="00A545D6" w14:paraId="64273E47" w14:textId="77777777" w:rsidTr="00CB5586">
        <w:trPr>
          <w:trHeight w:val="288"/>
        </w:trPr>
        <w:tc>
          <w:tcPr>
            <w:tcW w:w="5954" w:type="dxa"/>
            <w:tcBorders>
              <w:top w:val="nil"/>
              <w:left w:val="nil"/>
              <w:bottom w:val="nil"/>
              <w:right w:val="nil"/>
            </w:tcBorders>
            <w:shd w:val="clear" w:color="000000" w:fill="FFFFFF"/>
            <w:noWrap/>
            <w:vAlign w:val="center"/>
            <w:hideMark/>
          </w:tcPr>
          <w:p w14:paraId="383EC004"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other accounts receivable</w:t>
            </w:r>
          </w:p>
        </w:tc>
        <w:tc>
          <w:tcPr>
            <w:tcW w:w="1400" w:type="dxa"/>
            <w:tcBorders>
              <w:top w:val="nil"/>
              <w:left w:val="nil"/>
              <w:bottom w:val="nil"/>
              <w:right w:val="nil"/>
            </w:tcBorders>
            <w:shd w:val="clear" w:color="000000" w:fill="FFFFFF"/>
            <w:noWrap/>
            <w:vAlign w:val="center"/>
            <w:hideMark/>
          </w:tcPr>
          <w:p w14:paraId="5A591C37"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57</w:t>
            </w:r>
          </w:p>
        </w:tc>
        <w:tc>
          <w:tcPr>
            <w:tcW w:w="262" w:type="dxa"/>
            <w:tcBorders>
              <w:top w:val="nil"/>
              <w:left w:val="nil"/>
              <w:bottom w:val="nil"/>
              <w:right w:val="nil"/>
            </w:tcBorders>
            <w:shd w:val="clear" w:color="000000" w:fill="FFFFFF"/>
            <w:noWrap/>
            <w:vAlign w:val="center"/>
            <w:hideMark/>
          </w:tcPr>
          <w:p w14:paraId="279C3DC1"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2FF9CB70"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1CFE559E"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(88)</w:t>
            </w:r>
          </w:p>
        </w:tc>
      </w:tr>
      <w:tr w:rsidR="0079083B" w:rsidRPr="00A545D6" w14:paraId="7EAA6FB4" w14:textId="77777777" w:rsidTr="00CB5586">
        <w:trPr>
          <w:trHeight w:val="288"/>
        </w:trPr>
        <w:tc>
          <w:tcPr>
            <w:tcW w:w="5954" w:type="dxa"/>
            <w:tcBorders>
              <w:top w:val="nil"/>
              <w:left w:val="nil"/>
              <w:bottom w:val="nil"/>
              <w:right w:val="nil"/>
            </w:tcBorders>
            <w:shd w:val="clear" w:color="000000" w:fill="FFFFFF"/>
            <w:noWrap/>
            <w:vAlign w:val="center"/>
            <w:hideMark/>
          </w:tcPr>
          <w:p w14:paraId="508D0641"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membership dues paid in advance</w:t>
            </w:r>
          </w:p>
        </w:tc>
        <w:tc>
          <w:tcPr>
            <w:tcW w:w="1400" w:type="dxa"/>
            <w:tcBorders>
              <w:top w:val="nil"/>
              <w:left w:val="nil"/>
              <w:bottom w:val="nil"/>
              <w:right w:val="nil"/>
            </w:tcBorders>
            <w:shd w:val="clear" w:color="000000" w:fill="FFFFFF"/>
            <w:noWrap/>
            <w:vAlign w:val="center"/>
            <w:hideMark/>
          </w:tcPr>
          <w:p w14:paraId="4D35CAFF"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(183)</w:t>
            </w:r>
          </w:p>
        </w:tc>
        <w:tc>
          <w:tcPr>
            <w:tcW w:w="262" w:type="dxa"/>
            <w:tcBorders>
              <w:top w:val="nil"/>
              <w:left w:val="nil"/>
              <w:bottom w:val="nil"/>
              <w:right w:val="nil"/>
            </w:tcBorders>
            <w:shd w:val="clear" w:color="000000" w:fill="FFFFFF"/>
            <w:noWrap/>
            <w:vAlign w:val="center"/>
            <w:hideMark/>
          </w:tcPr>
          <w:p w14:paraId="23B97B3F"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1DB9D4DD"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D27E5DE"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10</w:t>
            </w:r>
          </w:p>
        </w:tc>
      </w:tr>
      <w:tr w:rsidR="0079083B" w:rsidRPr="00A545D6" w14:paraId="506FF23D" w14:textId="77777777" w:rsidTr="00CB5586">
        <w:trPr>
          <w:trHeight w:val="288"/>
        </w:trPr>
        <w:tc>
          <w:tcPr>
            <w:tcW w:w="5954" w:type="dxa"/>
            <w:tcBorders>
              <w:top w:val="nil"/>
              <w:left w:val="nil"/>
              <w:bottom w:val="nil"/>
              <w:right w:val="nil"/>
            </w:tcBorders>
            <w:shd w:val="clear" w:color="000000" w:fill="FFFFFF"/>
            <w:noWrap/>
            <w:vAlign w:val="center"/>
            <w:hideMark/>
          </w:tcPr>
          <w:p w14:paraId="6B8C488B"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accounts payable and accrued liabilities</w:t>
            </w:r>
          </w:p>
        </w:tc>
        <w:tc>
          <w:tcPr>
            <w:tcW w:w="1400" w:type="dxa"/>
            <w:tcBorders>
              <w:top w:val="nil"/>
              <w:left w:val="nil"/>
              <w:bottom w:val="nil"/>
              <w:right w:val="nil"/>
            </w:tcBorders>
            <w:shd w:val="clear" w:color="000000" w:fill="FFFFFF"/>
            <w:noWrap/>
            <w:vAlign w:val="center"/>
            <w:hideMark/>
          </w:tcPr>
          <w:p w14:paraId="7FC7FBF2"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54</w:t>
            </w:r>
          </w:p>
        </w:tc>
        <w:tc>
          <w:tcPr>
            <w:tcW w:w="262" w:type="dxa"/>
            <w:tcBorders>
              <w:top w:val="nil"/>
              <w:left w:val="nil"/>
              <w:bottom w:val="nil"/>
              <w:right w:val="nil"/>
            </w:tcBorders>
            <w:shd w:val="clear" w:color="000000" w:fill="FFFFFF"/>
            <w:noWrap/>
            <w:vAlign w:val="center"/>
            <w:hideMark/>
          </w:tcPr>
          <w:p w14:paraId="36197211"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0939D976"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0B582AD5"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(129)</w:t>
            </w:r>
          </w:p>
        </w:tc>
      </w:tr>
      <w:tr w:rsidR="0079083B" w:rsidRPr="00A545D6" w14:paraId="515361AB" w14:textId="77777777" w:rsidTr="00CB5586">
        <w:trPr>
          <w:trHeight w:val="288"/>
        </w:trPr>
        <w:tc>
          <w:tcPr>
            <w:tcW w:w="5954" w:type="dxa"/>
            <w:tcBorders>
              <w:top w:val="nil"/>
              <w:left w:val="nil"/>
              <w:bottom w:val="nil"/>
              <w:right w:val="nil"/>
            </w:tcBorders>
            <w:shd w:val="clear" w:color="000000" w:fill="FFFFFF"/>
            <w:noWrap/>
            <w:vAlign w:val="center"/>
            <w:hideMark/>
          </w:tcPr>
          <w:p w14:paraId="71ACE539"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xml:space="preserve">    Increase / (decrease) in social charges payable</w:t>
            </w:r>
          </w:p>
        </w:tc>
        <w:tc>
          <w:tcPr>
            <w:tcW w:w="1400" w:type="dxa"/>
            <w:tcBorders>
              <w:top w:val="nil"/>
              <w:left w:val="nil"/>
              <w:bottom w:val="nil"/>
              <w:right w:val="nil"/>
            </w:tcBorders>
            <w:shd w:val="clear" w:color="000000" w:fill="FFFFFF"/>
            <w:noWrap/>
            <w:vAlign w:val="center"/>
            <w:hideMark/>
          </w:tcPr>
          <w:p w14:paraId="10E2BE76"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47</w:t>
            </w:r>
          </w:p>
        </w:tc>
        <w:tc>
          <w:tcPr>
            <w:tcW w:w="262" w:type="dxa"/>
            <w:tcBorders>
              <w:top w:val="nil"/>
              <w:left w:val="nil"/>
              <w:bottom w:val="nil"/>
              <w:right w:val="nil"/>
            </w:tcBorders>
            <w:shd w:val="clear" w:color="000000" w:fill="FFFFFF"/>
            <w:noWrap/>
            <w:vAlign w:val="center"/>
            <w:hideMark/>
          </w:tcPr>
          <w:p w14:paraId="65B166FE"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1C90BF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8DCFFEF"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(44)</w:t>
            </w:r>
          </w:p>
        </w:tc>
      </w:tr>
      <w:tr w:rsidR="0079083B" w:rsidRPr="00A545D6" w14:paraId="7B1916CA" w14:textId="77777777" w:rsidTr="00CB5586">
        <w:trPr>
          <w:trHeight w:val="288"/>
        </w:trPr>
        <w:tc>
          <w:tcPr>
            <w:tcW w:w="5954" w:type="dxa"/>
            <w:tcBorders>
              <w:top w:val="nil"/>
              <w:left w:val="nil"/>
              <w:bottom w:val="nil"/>
              <w:right w:val="nil"/>
            </w:tcBorders>
            <w:shd w:val="clear" w:color="000000" w:fill="FFFFFF"/>
            <w:noWrap/>
            <w:vAlign w:val="center"/>
            <w:hideMark/>
          </w:tcPr>
          <w:p w14:paraId="06D6C20E"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77DF39E5"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49BD09D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742F5C7C"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57FC0A04"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6DF79253" w14:textId="77777777" w:rsidTr="00CB5586">
        <w:trPr>
          <w:trHeight w:val="492"/>
        </w:trPr>
        <w:tc>
          <w:tcPr>
            <w:tcW w:w="5954" w:type="dxa"/>
            <w:tcBorders>
              <w:top w:val="nil"/>
              <w:left w:val="nil"/>
              <w:bottom w:val="nil"/>
              <w:right w:val="nil"/>
            </w:tcBorders>
            <w:shd w:val="clear" w:color="000000" w:fill="FFFFFF"/>
            <w:noWrap/>
            <w:vAlign w:val="center"/>
            <w:hideMark/>
          </w:tcPr>
          <w:p w14:paraId="0C8C2D56"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Total Cash flow from operations</w:t>
            </w:r>
          </w:p>
        </w:tc>
        <w:tc>
          <w:tcPr>
            <w:tcW w:w="1400" w:type="dxa"/>
            <w:tcBorders>
              <w:top w:val="single" w:sz="4" w:space="0" w:color="auto"/>
              <w:left w:val="nil"/>
              <w:bottom w:val="nil"/>
              <w:right w:val="nil"/>
            </w:tcBorders>
            <w:shd w:val="clear" w:color="000000" w:fill="FFFFFF"/>
            <w:noWrap/>
            <w:vAlign w:val="center"/>
            <w:hideMark/>
          </w:tcPr>
          <w:p w14:paraId="78B3E9B8"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1,811</w:t>
            </w:r>
          </w:p>
        </w:tc>
        <w:tc>
          <w:tcPr>
            <w:tcW w:w="262" w:type="dxa"/>
            <w:tcBorders>
              <w:top w:val="single" w:sz="4" w:space="0" w:color="auto"/>
              <w:left w:val="nil"/>
              <w:bottom w:val="nil"/>
              <w:right w:val="nil"/>
            </w:tcBorders>
            <w:shd w:val="clear" w:color="000000" w:fill="FFFFFF"/>
            <w:noWrap/>
            <w:vAlign w:val="center"/>
            <w:hideMark/>
          </w:tcPr>
          <w:p w14:paraId="291A41DD"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vAlign w:val="center"/>
            <w:hideMark/>
          </w:tcPr>
          <w:p w14:paraId="6F5D853D"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nil"/>
              <w:right w:val="nil"/>
            </w:tcBorders>
            <w:shd w:val="clear" w:color="000000" w:fill="FFFFFF"/>
            <w:noWrap/>
            <w:vAlign w:val="center"/>
            <w:hideMark/>
          </w:tcPr>
          <w:p w14:paraId="71CD59B6"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(1,363)</w:t>
            </w:r>
          </w:p>
        </w:tc>
      </w:tr>
      <w:tr w:rsidR="0079083B" w:rsidRPr="00A545D6" w14:paraId="3E1ADAFF" w14:textId="77777777" w:rsidTr="00CB5586">
        <w:trPr>
          <w:trHeight w:val="288"/>
        </w:trPr>
        <w:tc>
          <w:tcPr>
            <w:tcW w:w="5954" w:type="dxa"/>
            <w:tcBorders>
              <w:top w:val="nil"/>
              <w:left w:val="nil"/>
              <w:bottom w:val="nil"/>
              <w:right w:val="nil"/>
            </w:tcBorders>
            <w:shd w:val="clear" w:color="000000" w:fill="FFFFFF"/>
            <w:noWrap/>
            <w:vAlign w:val="center"/>
            <w:hideMark/>
          </w:tcPr>
          <w:p w14:paraId="4DB57A0E"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46184753"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2C7505A2"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2065E076"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F60C2B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2C8DEA26" w14:textId="77777777" w:rsidTr="00CB5586">
        <w:trPr>
          <w:trHeight w:val="288"/>
        </w:trPr>
        <w:tc>
          <w:tcPr>
            <w:tcW w:w="5954" w:type="dxa"/>
            <w:tcBorders>
              <w:top w:val="nil"/>
              <w:left w:val="nil"/>
              <w:bottom w:val="nil"/>
              <w:right w:val="nil"/>
            </w:tcBorders>
            <w:shd w:val="clear" w:color="000000" w:fill="FFFFFF"/>
            <w:noWrap/>
            <w:vAlign w:val="center"/>
            <w:hideMark/>
          </w:tcPr>
          <w:p w14:paraId="27502D7F"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Cash flow from investing activities</w:t>
            </w:r>
          </w:p>
        </w:tc>
        <w:tc>
          <w:tcPr>
            <w:tcW w:w="1400" w:type="dxa"/>
            <w:tcBorders>
              <w:top w:val="nil"/>
              <w:left w:val="nil"/>
              <w:bottom w:val="nil"/>
              <w:right w:val="nil"/>
            </w:tcBorders>
            <w:shd w:val="clear" w:color="000000" w:fill="FFFFFF"/>
            <w:noWrap/>
            <w:vAlign w:val="center"/>
            <w:hideMark/>
          </w:tcPr>
          <w:p w14:paraId="49EE3834"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52EEFF4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5C41F36"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3FEE1AFB"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6158EC26" w14:textId="77777777" w:rsidTr="00CB5586">
        <w:trPr>
          <w:trHeight w:val="312"/>
        </w:trPr>
        <w:tc>
          <w:tcPr>
            <w:tcW w:w="5954" w:type="dxa"/>
            <w:tcBorders>
              <w:top w:val="nil"/>
              <w:left w:val="nil"/>
              <w:bottom w:val="nil"/>
              <w:right w:val="nil"/>
            </w:tcBorders>
            <w:shd w:val="clear" w:color="000000" w:fill="FFFFFF"/>
            <w:noWrap/>
            <w:vAlign w:val="center"/>
            <w:hideMark/>
          </w:tcPr>
          <w:p w14:paraId="5B5C7AE9" w14:textId="77777777" w:rsidR="0079083B" w:rsidRPr="00A545D6" w:rsidRDefault="0079083B" w:rsidP="0079083B">
            <w:pPr>
              <w:ind w:left="0" w:firstLine="0"/>
              <w:rPr>
                <w:rFonts w:asciiTheme="minorHAnsi" w:eastAsia="Times New Roman" w:hAnsiTheme="minorHAnsi" w:cstheme="minorHAnsi"/>
                <w:color w:val="000000"/>
                <w:sz w:val="20"/>
                <w:szCs w:val="20"/>
                <w:lang w:eastAsia="en-GB"/>
              </w:rPr>
            </w:pPr>
            <w:r w:rsidRPr="00A545D6">
              <w:rPr>
                <w:rFonts w:asciiTheme="minorHAnsi" w:eastAsia="Times New Roman" w:hAnsiTheme="minorHAnsi" w:cstheme="minorHAnsi"/>
                <w:color w:val="000000"/>
                <w:sz w:val="20"/>
                <w:szCs w:val="20"/>
                <w:lang w:eastAsia="en-GB"/>
              </w:rPr>
              <w:t xml:space="preserve">    Purchase of fixed assets</w:t>
            </w:r>
          </w:p>
        </w:tc>
        <w:tc>
          <w:tcPr>
            <w:tcW w:w="1400" w:type="dxa"/>
            <w:tcBorders>
              <w:top w:val="nil"/>
              <w:left w:val="nil"/>
              <w:bottom w:val="nil"/>
              <w:right w:val="nil"/>
            </w:tcBorders>
            <w:shd w:val="clear" w:color="000000" w:fill="FFFFFF"/>
            <w:noWrap/>
            <w:vAlign w:val="center"/>
            <w:hideMark/>
          </w:tcPr>
          <w:p w14:paraId="05E424F3"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(4)</w:t>
            </w:r>
          </w:p>
        </w:tc>
        <w:tc>
          <w:tcPr>
            <w:tcW w:w="262" w:type="dxa"/>
            <w:tcBorders>
              <w:top w:val="nil"/>
              <w:left w:val="nil"/>
              <w:bottom w:val="nil"/>
              <w:right w:val="nil"/>
            </w:tcBorders>
            <w:shd w:val="clear" w:color="000000" w:fill="FFFFFF"/>
            <w:noWrap/>
            <w:vAlign w:val="center"/>
            <w:hideMark/>
          </w:tcPr>
          <w:p w14:paraId="1C6A2BC3"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301D9522"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9EF0327"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(6)</w:t>
            </w:r>
          </w:p>
        </w:tc>
      </w:tr>
      <w:tr w:rsidR="0079083B" w:rsidRPr="00A545D6" w14:paraId="53DE51E1" w14:textId="77777777" w:rsidTr="00CB5586">
        <w:trPr>
          <w:trHeight w:val="288"/>
        </w:trPr>
        <w:tc>
          <w:tcPr>
            <w:tcW w:w="5954" w:type="dxa"/>
            <w:tcBorders>
              <w:top w:val="nil"/>
              <w:left w:val="nil"/>
              <w:bottom w:val="nil"/>
              <w:right w:val="nil"/>
            </w:tcBorders>
            <w:shd w:val="clear" w:color="000000" w:fill="FFFFFF"/>
            <w:noWrap/>
            <w:vAlign w:val="center"/>
            <w:hideMark/>
          </w:tcPr>
          <w:p w14:paraId="2B6846BF"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5A6ED82A"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6967A7BC"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489AC764"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4E016F9"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4387D334" w14:textId="77777777" w:rsidTr="00CB5586">
        <w:trPr>
          <w:trHeight w:val="480"/>
        </w:trPr>
        <w:tc>
          <w:tcPr>
            <w:tcW w:w="5954" w:type="dxa"/>
            <w:tcBorders>
              <w:top w:val="nil"/>
              <w:left w:val="nil"/>
              <w:bottom w:val="nil"/>
              <w:right w:val="nil"/>
            </w:tcBorders>
            <w:shd w:val="clear" w:color="000000" w:fill="FFFFFF"/>
            <w:noWrap/>
            <w:vAlign w:val="center"/>
            <w:hideMark/>
          </w:tcPr>
          <w:p w14:paraId="12F815A9"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Total Cash flow from investing activities</w:t>
            </w:r>
          </w:p>
        </w:tc>
        <w:tc>
          <w:tcPr>
            <w:tcW w:w="1400" w:type="dxa"/>
            <w:tcBorders>
              <w:top w:val="single" w:sz="4" w:space="0" w:color="auto"/>
              <w:left w:val="nil"/>
              <w:bottom w:val="nil"/>
              <w:right w:val="nil"/>
            </w:tcBorders>
            <w:shd w:val="clear" w:color="000000" w:fill="FFFFFF"/>
            <w:noWrap/>
            <w:vAlign w:val="center"/>
            <w:hideMark/>
          </w:tcPr>
          <w:p w14:paraId="52639D9B"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(4)</w:t>
            </w:r>
          </w:p>
        </w:tc>
        <w:tc>
          <w:tcPr>
            <w:tcW w:w="262" w:type="dxa"/>
            <w:tcBorders>
              <w:top w:val="single" w:sz="4" w:space="0" w:color="auto"/>
              <w:left w:val="nil"/>
              <w:bottom w:val="nil"/>
              <w:right w:val="nil"/>
            </w:tcBorders>
            <w:shd w:val="clear" w:color="000000" w:fill="FFFFFF"/>
            <w:noWrap/>
            <w:vAlign w:val="center"/>
            <w:hideMark/>
          </w:tcPr>
          <w:p w14:paraId="52A21966"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nil"/>
              <w:right w:val="nil"/>
            </w:tcBorders>
            <w:shd w:val="clear" w:color="000000" w:fill="D9D9D9"/>
            <w:noWrap/>
            <w:vAlign w:val="center"/>
            <w:hideMark/>
          </w:tcPr>
          <w:p w14:paraId="2FB552F2"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nil"/>
              <w:right w:val="nil"/>
            </w:tcBorders>
            <w:shd w:val="clear" w:color="000000" w:fill="FFFFFF"/>
            <w:noWrap/>
            <w:vAlign w:val="center"/>
            <w:hideMark/>
          </w:tcPr>
          <w:p w14:paraId="5A3BCF2D"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(6)</w:t>
            </w:r>
          </w:p>
        </w:tc>
      </w:tr>
      <w:tr w:rsidR="0079083B" w:rsidRPr="00A545D6" w14:paraId="5AC93075" w14:textId="77777777" w:rsidTr="00CB5586">
        <w:trPr>
          <w:trHeight w:val="288"/>
        </w:trPr>
        <w:tc>
          <w:tcPr>
            <w:tcW w:w="5954" w:type="dxa"/>
            <w:tcBorders>
              <w:top w:val="nil"/>
              <w:left w:val="nil"/>
              <w:bottom w:val="nil"/>
              <w:right w:val="nil"/>
            </w:tcBorders>
            <w:shd w:val="clear" w:color="000000" w:fill="FFFFFF"/>
            <w:noWrap/>
            <w:vAlign w:val="center"/>
            <w:hideMark/>
          </w:tcPr>
          <w:p w14:paraId="4CBE5445"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400" w:type="dxa"/>
            <w:tcBorders>
              <w:top w:val="nil"/>
              <w:left w:val="nil"/>
              <w:bottom w:val="nil"/>
              <w:right w:val="nil"/>
            </w:tcBorders>
            <w:shd w:val="clear" w:color="000000" w:fill="FFFFFF"/>
            <w:noWrap/>
            <w:vAlign w:val="center"/>
            <w:hideMark/>
          </w:tcPr>
          <w:p w14:paraId="3CB3C7DD"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5807393C"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282B855F"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28A8476F"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5D284CF3" w14:textId="77777777" w:rsidTr="00CB5586">
        <w:trPr>
          <w:trHeight w:val="480"/>
        </w:trPr>
        <w:tc>
          <w:tcPr>
            <w:tcW w:w="5954" w:type="dxa"/>
            <w:tcBorders>
              <w:top w:val="nil"/>
              <w:left w:val="nil"/>
              <w:bottom w:val="nil"/>
              <w:right w:val="nil"/>
            </w:tcBorders>
            <w:shd w:val="clear" w:color="000000" w:fill="FFFFFF"/>
            <w:noWrap/>
            <w:vAlign w:val="center"/>
            <w:hideMark/>
          </w:tcPr>
          <w:p w14:paraId="7354EF1D"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Net Cash inflow/(outflow) for the year</w:t>
            </w:r>
          </w:p>
        </w:tc>
        <w:tc>
          <w:tcPr>
            <w:tcW w:w="1400" w:type="dxa"/>
            <w:tcBorders>
              <w:top w:val="single" w:sz="4" w:space="0" w:color="auto"/>
              <w:left w:val="nil"/>
              <w:bottom w:val="single" w:sz="4" w:space="0" w:color="auto"/>
              <w:right w:val="nil"/>
            </w:tcBorders>
            <w:shd w:val="clear" w:color="000000" w:fill="FFFFFF"/>
            <w:noWrap/>
            <w:vAlign w:val="center"/>
            <w:hideMark/>
          </w:tcPr>
          <w:p w14:paraId="1C6619FB"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1,807</w:t>
            </w:r>
          </w:p>
        </w:tc>
        <w:tc>
          <w:tcPr>
            <w:tcW w:w="262" w:type="dxa"/>
            <w:tcBorders>
              <w:top w:val="single" w:sz="4" w:space="0" w:color="auto"/>
              <w:left w:val="nil"/>
              <w:bottom w:val="single" w:sz="4" w:space="0" w:color="auto"/>
              <w:right w:val="nil"/>
            </w:tcBorders>
            <w:shd w:val="clear" w:color="000000" w:fill="FFFFFF"/>
            <w:noWrap/>
            <w:vAlign w:val="center"/>
            <w:hideMark/>
          </w:tcPr>
          <w:p w14:paraId="13FF8223"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4C3024EC"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single" w:sz="4" w:space="0" w:color="auto"/>
              <w:right w:val="nil"/>
            </w:tcBorders>
            <w:shd w:val="clear" w:color="000000" w:fill="FFFFFF"/>
            <w:noWrap/>
            <w:vAlign w:val="center"/>
            <w:hideMark/>
          </w:tcPr>
          <w:p w14:paraId="6E055204"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(1,369)</w:t>
            </w:r>
          </w:p>
        </w:tc>
      </w:tr>
      <w:tr w:rsidR="0079083B" w:rsidRPr="00A545D6" w14:paraId="150E7543" w14:textId="77777777" w:rsidTr="00CB5586">
        <w:trPr>
          <w:trHeight w:val="288"/>
        </w:trPr>
        <w:tc>
          <w:tcPr>
            <w:tcW w:w="5954" w:type="dxa"/>
            <w:tcBorders>
              <w:top w:val="nil"/>
              <w:left w:val="nil"/>
              <w:bottom w:val="nil"/>
              <w:right w:val="nil"/>
            </w:tcBorders>
            <w:shd w:val="clear" w:color="000000" w:fill="FFFFFF"/>
            <w:noWrap/>
            <w:vAlign w:val="center"/>
            <w:hideMark/>
          </w:tcPr>
          <w:p w14:paraId="6E1CFCE3"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691E7EE8"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51F78098"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1F0D19CB"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54A33AAA"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1D352479" w14:textId="77777777" w:rsidTr="00CB5586">
        <w:trPr>
          <w:trHeight w:val="288"/>
        </w:trPr>
        <w:tc>
          <w:tcPr>
            <w:tcW w:w="5954" w:type="dxa"/>
            <w:tcBorders>
              <w:top w:val="nil"/>
              <w:left w:val="nil"/>
              <w:bottom w:val="nil"/>
              <w:right w:val="nil"/>
            </w:tcBorders>
            <w:shd w:val="clear" w:color="000000" w:fill="FFFFFF"/>
            <w:noWrap/>
            <w:vAlign w:val="center"/>
            <w:hideMark/>
          </w:tcPr>
          <w:p w14:paraId="66B53539"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Cash and short term deposits at the beginning of the year</w:t>
            </w:r>
          </w:p>
        </w:tc>
        <w:tc>
          <w:tcPr>
            <w:tcW w:w="1400" w:type="dxa"/>
            <w:tcBorders>
              <w:top w:val="nil"/>
              <w:left w:val="nil"/>
              <w:bottom w:val="nil"/>
              <w:right w:val="nil"/>
            </w:tcBorders>
            <w:shd w:val="clear" w:color="000000" w:fill="FFFFFF"/>
            <w:noWrap/>
            <w:vAlign w:val="center"/>
            <w:hideMark/>
          </w:tcPr>
          <w:p w14:paraId="50C7BA27"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3,827</w:t>
            </w:r>
          </w:p>
        </w:tc>
        <w:tc>
          <w:tcPr>
            <w:tcW w:w="262" w:type="dxa"/>
            <w:tcBorders>
              <w:top w:val="nil"/>
              <w:left w:val="nil"/>
              <w:bottom w:val="nil"/>
              <w:right w:val="nil"/>
            </w:tcBorders>
            <w:shd w:val="clear" w:color="000000" w:fill="FFFFFF"/>
            <w:noWrap/>
            <w:vAlign w:val="center"/>
            <w:hideMark/>
          </w:tcPr>
          <w:p w14:paraId="193D39F8"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5CE5A3BA"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70C6FF18" w14:textId="77777777" w:rsidR="0079083B" w:rsidRPr="00A545D6" w:rsidRDefault="0079083B" w:rsidP="0079083B">
            <w:pPr>
              <w:ind w:left="0" w:firstLine="0"/>
              <w:jc w:val="right"/>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5,196</w:t>
            </w:r>
          </w:p>
        </w:tc>
      </w:tr>
      <w:tr w:rsidR="0079083B" w:rsidRPr="00A545D6" w14:paraId="0CBF37C4" w14:textId="77777777" w:rsidTr="00CB5586">
        <w:trPr>
          <w:trHeight w:val="288"/>
        </w:trPr>
        <w:tc>
          <w:tcPr>
            <w:tcW w:w="5954" w:type="dxa"/>
            <w:tcBorders>
              <w:top w:val="nil"/>
              <w:left w:val="nil"/>
              <w:bottom w:val="nil"/>
              <w:right w:val="nil"/>
            </w:tcBorders>
            <w:shd w:val="clear" w:color="000000" w:fill="FFFFFF"/>
            <w:noWrap/>
            <w:vAlign w:val="center"/>
            <w:hideMark/>
          </w:tcPr>
          <w:p w14:paraId="1AC4E70A"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400" w:type="dxa"/>
            <w:tcBorders>
              <w:top w:val="nil"/>
              <w:left w:val="nil"/>
              <w:bottom w:val="nil"/>
              <w:right w:val="nil"/>
            </w:tcBorders>
            <w:shd w:val="clear" w:color="000000" w:fill="FFFFFF"/>
            <w:noWrap/>
            <w:vAlign w:val="center"/>
            <w:hideMark/>
          </w:tcPr>
          <w:p w14:paraId="0EE01D23"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62" w:type="dxa"/>
            <w:tcBorders>
              <w:top w:val="nil"/>
              <w:left w:val="nil"/>
              <w:bottom w:val="nil"/>
              <w:right w:val="nil"/>
            </w:tcBorders>
            <w:shd w:val="clear" w:color="000000" w:fill="FFFFFF"/>
            <w:noWrap/>
            <w:vAlign w:val="center"/>
            <w:hideMark/>
          </w:tcPr>
          <w:p w14:paraId="46CA8B86"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284" w:type="dxa"/>
            <w:tcBorders>
              <w:top w:val="nil"/>
              <w:left w:val="nil"/>
              <w:bottom w:val="nil"/>
              <w:right w:val="nil"/>
            </w:tcBorders>
            <w:shd w:val="clear" w:color="000000" w:fill="D9D9D9"/>
            <w:noWrap/>
            <w:vAlign w:val="center"/>
            <w:hideMark/>
          </w:tcPr>
          <w:p w14:paraId="63577C47"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c>
          <w:tcPr>
            <w:tcW w:w="1598" w:type="dxa"/>
            <w:tcBorders>
              <w:top w:val="nil"/>
              <w:left w:val="nil"/>
              <w:bottom w:val="nil"/>
              <w:right w:val="nil"/>
            </w:tcBorders>
            <w:shd w:val="clear" w:color="000000" w:fill="FFFFFF"/>
            <w:noWrap/>
            <w:vAlign w:val="center"/>
            <w:hideMark/>
          </w:tcPr>
          <w:p w14:paraId="2E479F83" w14:textId="77777777" w:rsidR="0079083B" w:rsidRPr="00A545D6" w:rsidRDefault="0079083B" w:rsidP="0079083B">
            <w:pPr>
              <w:ind w:left="0" w:firstLine="0"/>
              <w:rPr>
                <w:rFonts w:asciiTheme="minorHAnsi" w:eastAsia="Times New Roman" w:hAnsiTheme="minorHAnsi" w:cstheme="minorHAnsi"/>
                <w:sz w:val="20"/>
                <w:szCs w:val="20"/>
                <w:lang w:eastAsia="en-GB"/>
              </w:rPr>
            </w:pPr>
            <w:r w:rsidRPr="00A545D6">
              <w:rPr>
                <w:rFonts w:asciiTheme="minorHAnsi" w:eastAsia="Times New Roman" w:hAnsiTheme="minorHAnsi" w:cstheme="minorHAnsi"/>
                <w:sz w:val="20"/>
                <w:szCs w:val="20"/>
                <w:lang w:eastAsia="en-GB"/>
              </w:rPr>
              <w:t> </w:t>
            </w:r>
          </w:p>
        </w:tc>
      </w:tr>
      <w:tr w:rsidR="0079083B" w:rsidRPr="00A545D6" w14:paraId="0871FD02" w14:textId="77777777" w:rsidTr="00CB5586">
        <w:trPr>
          <w:trHeight w:val="480"/>
        </w:trPr>
        <w:tc>
          <w:tcPr>
            <w:tcW w:w="5954" w:type="dxa"/>
            <w:tcBorders>
              <w:top w:val="nil"/>
              <w:left w:val="nil"/>
              <w:bottom w:val="nil"/>
              <w:right w:val="nil"/>
            </w:tcBorders>
            <w:shd w:val="clear" w:color="auto" w:fill="auto"/>
            <w:noWrap/>
            <w:vAlign w:val="center"/>
            <w:hideMark/>
          </w:tcPr>
          <w:p w14:paraId="1ECAFF25"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Cash and short term deposits at the end of the year</w:t>
            </w:r>
          </w:p>
        </w:tc>
        <w:tc>
          <w:tcPr>
            <w:tcW w:w="1400" w:type="dxa"/>
            <w:tcBorders>
              <w:top w:val="single" w:sz="4" w:space="0" w:color="auto"/>
              <w:left w:val="nil"/>
              <w:bottom w:val="single" w:sz="4" w:space="0" w:color="auto"/>
              <w:right w:val="nil"/>
            </w:tcBorders>
            <w:shd w:val="clear" w:color="000000" w:fill="C5D9F1"/>
            <w:noWrap/>
            <w:vAlign w:val="center"/>
            <w:hideMark/>
          </w:tcPr>
          <w:p w14:paraId="6CAAF6F8"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5,634</w:t>
            </w:r>
          </w:p>
        </w:tc>
        <w:tc>
          <w:tcPr>
            <w:tcW w:w="262" w:type="dxa"/>
            <w:tcBorders>
              <w:top w:val="single" w:sz="4" w:space="0" w:color="auto"/>
              <w:left w:val="nil"/>
              <w:bottom w:val="single" w:sz="4" w:space="0" w:color="auto"/>
              <w:right w:val="nil"/>
            </w:tcBorders>
            <w:shd w:val="clear" w:color="000000" w:fill="C5D9F1"/>
            <w:noWrap/>
            <w:vAlign w:val="center"/>
            <w:hideMark/>
          </w:tcPr>
          <w:p w14:paraId="75D181B3"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284" w:type="dxa"/>
            <w:tcBorders>
              <w:top w:val="single" w:sz="4" w:space="0" w:color="auto"/>
              <w:left w:val="nil"/>
              <w:bottom w:val="single" w:sz="4" w:space="0" w:color="auto"/>
              <w:right w:val="nil"/>
            </w:tcBorders>
            <w:shd w:val="clear" w:color="000000" w:fill="D9D9D9"/>
            <w:noWrap/>
            <w:vAlign w:val="center"/>
            <w:hideMark/>
          </w:tcPr>
          <w:p w14:paraId="0169A8BE" w14:textId="77777777" w:rsidR="0079083B" w:rsidRPr="00A545D6" w:rsidRDefault="0079083B" w:rsidP="0079083B">
            <w:pPr>
              <w:ind w:left="0" w:firstLine="0"/>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 </w:t>
            </w:r>
          </w:p>
        </w:tc>
        <w:tc>
          <w:tcPr>
            <w:tcW w:w="1598" w:type="dxa"/>
            <w:tcBorders>
              <w:top w:val="single" w:sz="4" w:space="0" w:color="auto"/>
              <w:left w:val="nil"/>
              <w:bottom w:val="single" w:sz="4" w:space="0" w:color="auto"/>
              <w:right w:val="nil"/>
            </w:tcBorders>
            <w:shd w:val="clear" w:color="000000" w:fill="EBF1DE"/>
            <w:noWrap/>
            <w:vAlign w:val="center"/>
            <w:hideMark/>
          </w:tcPr>
          <w:p w14:paraId="4D7B261D" w14:textId="77777777" w:rsidR="0079083B" w:rsidRPr="00A545D6" w:rsidRDefault="0079083B" w:rsidP="0079083B">
            <w:pPr>
              <w:ind w:left="0" w:firstLine="0"/>
              <w:jc w:val="right"/>
              <w:rPr>
                <w:rFonts w:asciiTheme="minorHAnsi" w:eastAsia="Times New Roman" w:hAnsiTheme="minorHAnsi" w:cstheme="minorHAnsi"/>
                <w:b/>
                <w:bCs/>
                <w:sz w:val="20"/>
                <w:szCs w:val="20"/>
                <w:lang w:eastAsia="en-GB"/>
              </w:rPr>
            </w:pPr>
            <w:r w:rsidRPr="00A545D6">
              <w:rPr>
                <w:rFonts w:asciiTheme="minorHAnsi" w:eastAsia="Times New Roman" w:hAnsiTheme="minorHAnsi" w:cstheme="minorHAnsi"/>
                <w:b/>
                <w:bCs/>
                <w:sz w:val="20"/>
                <w:szCs w:val="20"/>
                <w:lang w:eastAsia="en-GB"/>
              </w:rPr>
              <w:t>3,827</w:t>
            </w:r>
          </w:p>
        </w:tc>
      </w:tr>
    </w:tbl>
    <w:p w14:paraId="54504E75" w14:textId="51EC63F3" w:rsidR="00A545D6" w:rsidRDefault="00A545D6" w:rsidP="00C26079">
      <w:pPr>
        <w:pStyle w:val="NoSpacing"/>
        <w:ind w:left="0" w:firstLine="0"/>
        <w:rPr>
          <w:rFonts w:eastAsia="Times New Roman" w:cs="Arial"/>
          <w:b/>
          <w:bCs/>
          <w:lang w:eastAsia="en-GB"/>
        </w:rPr>
      </w:pPr>
    </w:p>
    <w:p w14:paraId="74C34E25" w14:textId="77777777" w:rsidR="00A545D6" w:rsidRDefault="00A545D6" w:rsidP="00C26079">
      <w:pPr>
        <w:pStyle w:val="NoSpacing"/>
        <w:ind w:left="0" w:firstLine="0"/>
        <w:rPr>
          <w:rFonts w:eastAsia="Times New Roman" w:cs="Arial"/>
          <w:b/>
          <w:bCs/>
          <w:lang w:eastAsia="en-GB"/>
        </w:rPr>
        <w:sectPr w:rsidR="00A545D6" w:rsidSect="001B3288">
          <w:footerReference w:type="default" r:id="rId8"/>
          <w:pgSz w:w="11906" w:h="16838" w:code="9"/>
          <w:pgMar w:top="1440" w:right="1440" w:bottom="1440" w:left="1440" w:header="709" w:footer="709" w:gutter="0"/>
          <w:cols w:space="708"/>
          <w:titlePg/>
          <w:docGrid w:linePitch="360"/>
        </w:sectPr>
      </w:pPr>
    </w:p>
    <w:p w14:paraId="0FC5D3C7" w14:textId="77777777" w:rsidR="001404C4" w:rsidRDefault="001404C4" w:rsidP="001404C4">
      <w:pPr>
        <w:pStyle w:val="NoSpacing"/>
        <w:ind w:left="0" w:firstLine="0"/>
        <w:rPr>
          <w:b/>
          <w:sz w:val="24"/>
          <w:szCs w:val="24"/>
        </w:rPr>
      </w:pPr>
      <w:r w:rsidRPr="00421152">
        <w:rPr>
          <w:b/>
          <w:sz w:val="24"/>
          <w:szCs w:val="24"/>
        </w:rPr>
        <w:lastRenderedPageBreak/>
        <w:t xml:space="preserve">Annex </w:t>
      </w:r>
      <w:r>
        <w:rPr>
          <w:b/>
          <w:sz w:val="24"/>
          <w:szCs w:val="24"/>
        </w:rPr>
        <w:t>2</w:t>
      </w:r>
    </w:p>
    <w:p w14:paraId="335A262D" w14:textId="5C7A9944" w:rsidR="001404C4" w:rsidRDefault="00F15D4B" w:rsidP="001404C4">
      <w:pPr>
        <w:pStyle w:val="NoSpacing"/>
        <w:ind w:left="0" w:firstLine="0"/>
        <w:rPr>
          <w:b/>
        </w:rPr>
      </w:pPr>
      <w:r>
        <w:rPr>
          <w:b/>
        </w:rPr>
        <w:t>2020</w:t>
      </w:r>
      <w:r w:rsidRPr="007114B2">
        <w:rPr>
          <w:b/>
        </w:rPr>
        <w:t xml:space="preserve"> </w:t>
      </w:r>
      <w:r w:rsidR="001404C4" w:rsidRPr="007114B2">
        <w:rPr>
          <w:b/>
        </w:rPr>
        <w:t xml:space="preserve">Core results for the period 01 January – 31 December </w:t>
      </w:r>
      <w:r w:rsidRPr="007114B2">
        <w:rPr>
          <w:b/>
        </w:rPr>
        <w:t>20</w:t>
      </w:r>
      <w:r>
        <w:rPr>
          <w:b/>
        </w:rPr>
        <w:t>20</w:t>
      </w:r>
    </w:p>
    <w:p w14:paraId="24775E9F" w14:textId="114637B9" w:rsidR="001404C4" w:rsidRDefault="001404C4" w:rsidP="001404C4">
      <w:pPr>
        <w:pStyle w:val="NoSpacing"/>
        <w:ind w:left="0" w:firstLine="0"/>
        <w:rPr>
          <w:rFonts w:asciiTheme="minorHAnsi" w:eastAsia="Times New Roman" w:hAnsiTheme="minorHAnsi" w:cs="Arial"/>
          <w:bCs/>
          <w:i/>
          <w:sz w:val="20"/>
          <w:szCs w:val="20"/>
          <w:lang w:eastAsia="en-GB"/>
        </w:rPr>
      </w:pPr>
      <w:r w:rsidRPr="00330040">
        <w:rPr>
          <w:rFonts w:asciiTheme="minorHAnsi" w:eastAsia="Times New Roman" w:hAnsiTheme="minorHAnsi" w:cs="Arial"/>
          <w:bCs/>
          <w:i/>
          <w:sz w:val="20"/>
          <w:szCs w:val="20"/>
          <w:lang w:eastAsia="en-GB"/>
        </w:rPr>
        <w:t>(CHF ‘000s, includes possible rounding differences)</w:t>
      </w:r>
    </w:p>
    <w:p w14:paraId="6234D5FA" w14:textId="60E8D661" w:rsidR="00A431A2" w:rsidRPr="008B645E" w:rsidRDefault="00A431A2" w:rsidP="001404C4">
      <w:pPr>
        <w:pStyle w:val="NoSpacing"/>
        <w:ind w:left="0" w:firstLine="0"/>
        <w:rPr>
          <w:rFonts w:asciiTheme="minorHAnsi" w:eastAsia="Times New Roman" w:hAnsiTheme="minorHAnsi" w:cs="Arial"/>
          <w:bCs/>
          <w:sz w:val="20"/>
          <w:szCs w:val="20"/>
          <w:lang w:eastAsia="en-GB"/>
        </w:rPr>
      </w:pPr>
    </w:p>
    <w:tbl>
      <w:tblPr>
        <w:tblW w:w="13889" w:type="dxa"/>
        <w:tblInd w:w="-150" w:type="dxa"/>
        <w:tblLayout w:type="fixed"/>
        <w:tblCellMar>
          <w:left w:w="57" w:type="dxa"/>
          <w:right w:w="57" w:type="dxa"/>
        </w:tblCellMar>
        <w:tblLook w:val="0000" w:firstRow="0" w:lastRow="0" w:firstColumn="0" w:lastColumn="0" w:noHBand="0" w:noVBand="0"/>
      </w:tblPr>
      <w:tblGrid>
        <w:gridCol w:w="3457"/>
        <w:gridCol w:w="1304"/>
        <w:gridCol w:w="1304"/>
        <w:gridCol w:w="1304"/>
        <w:gridCol w:w="1304"/>
        <w:gridCol w:w="1304"/>
        <w:gridCol w:w="1304"/>
        <w:gridCol w:w="1304"/>
        <w:gridCol w:w="1304"/>
      </w:tblGrid>
      <w:tr w:rsidR="00AF5422" w:rsidRPr="00C26079" w14:paraId="514BBB40" w14:textId="77777777" w:rsidTr="00AF5422">
        <w:trPr>
          <w:tblHeader/>
        </w:trPr>
        <w:tc>
          <w:tcPr>
            <w:tcW w:w="3457" w:type="dxa"/>
            <w:tcBorders>
              <w:top w:val="single" w:sz="6" w:space="0" w:color="auto"/>
              <w:left w:val="single" w:sz="6" w:space="0" w:color="auto"/>
              <w:right w:val="nil"/>
            </w:tcBorders>
            <w:shd w:val="clear" w:color="auto" w:fill="D6E3BC" w:themeFill="accent3" w:themeFillTint="66"/>
          </w:tcPr>
          <w:p w14:paraId="0FD4A728"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2020 Ramsar Budget</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6C1D5403"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Approved budget</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3C2CF6EB"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Authorised use of surplus COP XIII.2 (yearly)</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24096AB7"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rPr>
            </w:pPr>
            <w:r w:rsidRPr="00C26079">
              <w:rPr>
                <w:rFonts w:asciiTheme="minorHAnsi" w:eastAsiaTheme="minorHAnsi" w:hAnsiTheme="minorHAnsi" w:cstheme="minorHAnsi"/>
                <w:b/>
                <w:bCs/>
                <w:color w:val="000000"/>
                <w:sz w:val="20"/>
                <w:szCs w:val="20"/>
              </w:rPr>
              <w:t>Pre-commited 2019 to be spent in 2020</w:t>
            </w:r>
            <w:r w:rsidRPr="00C26079">
              <w:rPr>
                <w:rFonts w:asciiTheme="minorHAnsi" w:eastAsiaTheme="minorHAnsi" w:hAnsiTheme="minorHAnsi" w:cstheme="minorHAnsi"/>
                <w:b/>
                <w:bCs/>
                <w:color w:val="000000"/>
                <w:sz w:val="20"/>
                <w:szCs w:val="20"/>
                <w:vertAlign w:val="superscript"/>
              </w:rPr>
              <w:t>3</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184FC40D"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rPr>
            </w:pPr>
            <w:r w:rsidRPr="00C26079">
              <w:rPr>
                <w:rFonts w:asciiTheme="minorHAnsi" w:eastAsiaTheme="minorHAnsi" w:hAnsiTheme="minorHAnsi" w:cstheme="minorHAnsi"/>
                <w:b/>
                <w:bCs/>
                <w:color w:val="000000"/>
                <w:sz w:val="20"/>
                <w:szCs w:val="20"/>
              </w:rPr>
              <w:t>Uncommitted carry forward 2019 to 2020</w:t>
            </w:r>
            <w:r w:rsidRPr="00C26079">
              <w:rPr>
                <w:rFonts w:asciiTheme="minorHAnsi" w:eastAsiaTheme="minorHAnsi" w:hAnsiTheme="minorHAnsi" w:cstheme="minorHAnsi"/>
                <w:b/>
                <w:bCs/>
                <w:color w:val="000000"/>
                <w:sz w:val="20"/>
                <w:szCs w:val="20"/>
                <w:vertAlign w:val="superscript"/>
              </w:rPr>
              <w:t>1</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4720EAD5"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vertAlign w:val="superscript"/>
              </w:rPr>
            </w:pPr>
            <w:r w:rsidRPr="00C26079">
              <w:rPr>
                <w:rFonts w:asciiTheme="minorHAnsi" w:eastAsiaTheme="minorHAnsi" w:hAnsiTheme="minorHAnsi" w:cstheme="minorHAnsi"/>
                <w:b/>
                <w:bCs/>
                <w:color w:val="000000"/>
                <w:sz w:val="20"/>
                <w:szCs w:val="20"/>
              </w:rPr>
              <w:t>SC58 intersessional approved</w:t>
            </w:r>
            <w:r w:rsidRPr="00C26079">
              <w:rPr>
                <w:rFonts w:asciiTheme="minorHAnsi" w:eastAsiaTheme="minorHAnsi" w:hAnsiTheme="minorHAnsi" w:cstheme="minorHAnsi"/>
                <w:b/>
                <w:bCs/>
                <w:color w:val="000000"/>
                <w:sz w:val="20"/>
                <w:szCs w:val="20"/>
                <w:vertAlign w:val="superscript"/>
              </w:rPr>
              <w:t>2</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54DDCB7D"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Total available budget</w:t>
            </w:r>
          </w:p>
        </w:tc>
        <w:tc>
          <w:tcPr>
            <w:tcW w:w="1304" w:type="dxa"/>
            <w:tcBorders>
              <w:top w:val="single" w:sz="6" w:space="0" w:color="auto"/>
              <w:left w:val="nil"/>
              <w:right w:val="nil"/>
            </w:tcBorders>
            <w:shd w:val="clear" w:color="auto" w:fill="D6E3BC" w:themeFill="accent3" w:themeFillTint="66"/>
          </w:tcPr>
          <w:p w14:paraId="5BD459A5"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Actual expenditure</w:t>
            </w:r>
          </w:p>
        </w:tc>
        <w:tc>
          <w:tcPr>
            <w:tcW w:w="1304" w:type="dxa"/>
            <w:tcBorders>
              <w:top w:val="single" w:sz="6" w:space="0" w:color="auto"/>
              <w:left w:val="single" w:sz="6" w:space="0" w:color="auto"/>
              <w:right w:val="single" w:sz="6" w:space="0" w:color="auto"/>
            </w:tcBorders>
            <w:shd w:val="clear" w:color="auto" w:fill="D6E3BC" w:themeFill="accent3" w:themeFillTint="66"/>
          </w:tcPr>
          <w:p w14:paraId="7C7FE39B"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Balance</w:t>
            </w:r>
          </w:p>
        </w:tc>
      </w:tr>
      <w:tr w:rsidR="00AF5422" w:rsidRPr="00C26079" w14:paraId="22A7A219" w14:textId="77777777" w:rsidTr="00AF5422">
        <w:trPr>
          <w:tblHeader/>
        </w:trPr>
        <w:tc>
          <w:tcPr>
            <w:tcW w:w="3457" w:type="dxa"/>
            <w:tcBorders>
              <w:top w:val="nil"/>
              <w:left w:val="single" w:sz="6" w:space="0" w:color="auto"/>
              <w:bottom w:val="single" w:sz="4" w:space="0" w:color="auto"/>
              <w:right w:val="nil"/>
            </w:tcBorders>
            <w:shd w:val="clear" w:color="auto" w:fill="D6E3BC" w:themeFill="accent3" w:themeFillTint="66"/>
          </w:tcPr>
          <w:p w14:paraId="0A87EE01" w14:textId="19DCAF04" w:rsidR="00AF5422" w:rsidRDefault="00AF5422">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SC58 Approved</w:t>
            </w:r>
          </w:p>
          <w:p w14:paraId="4FBE24F8" w14:textId="36378221"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CHF ‘000s</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4C9D1948"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(A)</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41DFBB2B"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(B)</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3F1C3C8F"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(C)</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394C0EEB"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(D)</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35E52676"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(E)</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33015595"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(F)=A+B+C+D+E</w:t>
            </w:r>
          </w:p>
        </w:tc>
        <w:tc>
          <w:tcPr>
            <w:tcW w:w="1304" w:type="dxa"/>
            <w:tcBorders>
              <w:top w:val="nil"/>
              <w:left w:val="nil"/>
              <w:bottom w:val="single" w:sz="4" w:space="0" w:color="auto"/>
              <w:right w:val="nil"/>
            </w:tcBorders>
            <w:shd w:val="clear" w:color="auto" w:fill="D6E3BC" w:themeFill="accent3" w:themeFillTint="66"/>
          </w:tcPr>
          <w:p w14:paraId="553D115D"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(G)</w:t>
            </w:r>
          </w:p>
        </w:tc>
        <w:tc>
          <w:tcPr>
            <w:tcW w:w="1304" w:type="dxa"/>
            <w:tcBorders>
              <w:top w:val="nil"/>
              <w:left w:val="single" w:sz="6" w:space="0" w:color="auto"/>
              <w:bottom w:val="single" w:sz="4" w:space="0" w:color="auto"/>
              <w:right w:val="single" w:sz="6" w:space="0" w:color="auto"/>
            </w:tcBorders>
            <w:shd w:val="clear" w:color="auto" w:fill="D6E3BC" w:themeFill="accent3" w:themeFillTint="66"/>
          </w:tcPr>
          <w:p w14:paraId="22D00DA1" w14:textId="77777777" w:rsidR="00C26079" w:rsidRPr="00C26079" w:rsidRDefault="00C26079">
            <w:pPr>
              <w:autoSpaceDE w:val="0"/>
              <w:autoSpaceDN w:val="0"/>
              <w:adjustRightInd w:val="0"/>
              <w:ind w:left="0" w:firstLine="0"/>
              <w:jc w:val="center"/>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(H)=(F)-(G)</w:t>
            </w:r>
          </w:p>
        </w:tc>
      </w:tr>
      <w:tr w:rsidR="00C26079" w:rsidRPr="00C26079" w14:paraId="2F41C75E" w14:textId="77777777" w:rsidTr="00AF5422">
        <w:tc>
          <w:tcPr>
            <w:tcW w:w="3457" w:type="dxa"/>
            <w:tcBorders>
              <w:top w:val="single" w:sz="4" w:space="0" w:color="auto"/>
              <w:left w:val="single" w:sz="6" w:space="0" w:color="auto"/>
              <w:bottom w:val="nil"/>
              <w:right w:val="nil"/>
            </w:tcBorders>
          </w:tcPr>
          <w:p w14:paraId="32292B85"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7077679A"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2FCE7A6E"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1F3B8EA0"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4ADB6099"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nil"/>
              <w:bottom w:val="nil"/>
              <w:right w:val="nil"/>
            </w:tcBorders>
          </w:tcPr>
          <w:p w14:paraId="5D15AA91"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233D667A"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nil"/>
              <w:bottom w:val="nil"/>
              <w:right w:val="nil"/>
            </w:tcBorders>
          </w:tcPr>
          <w:p w14:paraId="05911C15"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4" w:space="0" w:color="auto"/>
              <w:left w:val="single" w:sz="6" w:space="0" w:color="auto"/>
              <w:bottom w:val="nil"/>
              <w:right w:val="single" w:sz="6" w:space="0" w:color="auto"/>
            </w:tcBorders>
          </w:tcPr>
          <w:p w14:paraId="2AEF093A"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C26079" w:rsidRPr="00C26079" w14:paraId="0BDC5C9D" w14:textId="77777777" w:rsidTr="00AF5422">
        <w:tc>
          <w:tcPr>
            <w:tcW w:w="3457" w:type="dxa"/>
            <w:tcBorders>
              <w:top w:val="nil"/>
              <w:left w:val="single" w:sz="6" w:space="0" w:color="auto"/>
              <w:bottom w:val="nil"/>
              <w:right w:val="nil"/>
            </w:tcBorders>
          </w:tcPr>
          <w:p w14:paraId="098A3E10" w14:textId="77777777" w:rsidR="00C26079" w:rsidRPr="00C26079" w:rsidRDefault="00C26079">
            <w:pPr>
              <w:autoSpaceDE w:val="0"/>
              <w:autoSpaceDN w:val="0"/>
              <w:adjustRightInd w:val="0"/>
              <w:ind w:left="0" w:firstLine="0"/>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INCOME</w:t>
            </w:r>
          </w:p>
        </w:tc>
        <w:tc>
          <w:tcPr>
            <w:tcW w:w="1304" w:type="dxa"/>
            <w:tcBorders>
              <w:top w:val="nil"/>
              <w:left w:val="single" w:sz="6" w:space="0" w:color="auto"/>
              <w:bottom w:val="nil"/>
              <w:right w:val="single" w:sz="6" w:space="0" w:color="auto"/>
            </w:tcBorders>
          </w:tcPr>
          <w:p w14:paraId="177BA848"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7DF39C08"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05B5E2DC"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2DCCC074"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22FFF444"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504A8B2D"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56CA1935"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2235FA9F"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C26079" w:rsidRPr="00C26079" w14:paraId="590F1128" w14:textId="77777777" w:rsidTr="00AF5422">
        <w:tc>
          <w:tcPr>
            <w:tcW w:w="3457" w:type="dxa"/>
            <w:tcBorders>
              <w:top w:val="single" w:sz="6" w:space="0" w:color="auto"/>
              <w:left w:val="single" w:sz="6" w:space="0" w:color="auto"/>
              <w:bottom w:val="single" w:sz="6" w:space="0" w:color="auto"/>
              <w:right w:val="nil"/>
            </w:tcBorders>
          </w:tcPr>
          <w:p w14:paraId="1FD9A504"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Parties’ Contributions</w:t>
            </w:r>
          </w:p>
        </w:tc>
        <w:tc>
          <w:tcPr>
            <w:tcW w:w="1304" w:type="dxa"/>
            <w:tcBorders>
              <w:top w:val="single" w:sz="6" w:space="0" w:color="auto"/>
              <w:left w:val="single" w:sz="6" w:space="0" w:color="auto"/>
              <w:bottom w:val="single" w:sz="6" w:space="0" w:color="auto"/>
              <w:right w:val="single" w:sz="6" w:space="0" w:color="auto"/>
            </w:tcBorders>
          </w:tcPr>
          <w:p w14:paraId="7B9C43D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3,779</w:t>
            </w:r>
          </w:p>
        </w:tc>
        <w:tc>
          <w:tcPr>
            <w:tcW w:w="1304" w:type="dxa"/>
            <w:tcBorders>
              <w:top w:val="single" w:sz="6" w:space="0" w:color="auto"/>
              <w:left w:val="single" w:sz="6" w:space="0" w:color="auto"/>
              <w:bottom w:val="single" w:sz="6" w:space="0" w:color="auto"/>
              <w:right w:val="single" w:sz="6" w:space="0" w:color="auto"/>
            </w:tcBorders>
          </w:tcPr>
          <w:p w14:paraId="34E3BAE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F86902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856012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676800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B1B082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3,779</w:t>
            </w:r>
          </w:p>
        </w:tc>
        <w:tc>
          <w:tcPr>
            <w:tcW w:w="1304" w:type="dxa"/>
            <w:tcBorders>
              <w:top w:val="single" w:sz="6" w:space="0" w:color="auto"/>
              <w:left w:val="nil"/>
              <w:bottom w:val="single" w:sz="6" w:space="0" w:color="auto"/>
              <w:right w:val="nil"/>
            </w:tcBorders>
          </w:tcPr>
          <w:p w14:paraId="0714981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3,779</w:t>
            </w:r>
          </w:p>
        </w:tc>
        <w:tc>
          <w:tcPr>
            <w:tcW w:w="1304" w:type="dxa"/>
            <w:tcBorders>
              <w:top w:val="single" w:sz="6" w:space="0" w:color="auto"/>
              <w:left w:val="single" w:sz="6" w:space="0" w:color="auto"/>
              <w:bottom w:val="single" w:sz="6" w:space="0" w:color="auto"/>
              <w:right w:val="single" w:sz="6" w:space="0" w:color="auto"/>
            </w:tcBorders>
          </w:tcPr>
          <w:p w14:paraId="3C1A53D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537ECE31" w14:textId="77777777" w:rsidTr="00AF5422">
        <w:tc>
          <w:tcPr>
            <w:tcW w:w="3457" w:type="dxa"/>
            <w:tcBorders>
              <w:top w:val="nil"/>
              <w:left w:val="single" w:sz="6" w:space="0" w:color="auto"/>
              <w:bottom w:val="nil"/>
              <w:right w:val="nil"/>
            </w:tcBorders>
          </w:tcPr>
          <w:p w14:paraId="32121242"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Voluntary contributions</w:t>
            </w:r>
          </w:p>
        </w:tc>
        <w:tc>
          <w:tcPr>
            <w:tcW w:w="1304" w:type="dxa"/>
            <w:tcBorders>
              <w:top w:val="nil"/>
              <w:left w:val="single" w:sz="6" w:space="0" w:color="auto"/>
              <w:bottom w:val="nil"/>
              <w:right w:val="single" w:sz="6" w:space="0" w:color="auto"/>
            </w:tcBorders>
          </w:tcPr>
          <w:p w14:paraId="7A5348F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1,065</w:t>
            </w:r>
          </w:p>
        </w:tc>
        <w:tc>
          <w:tcPr>
            <w:tcW w:w="1304" w:type="dxa"/>
            <w:tcBorders>
              <w:top w:val="nil"/>
              <w:left w:val="single" w:sz="6" w:space="0" w:color="auto"/>
              <w:bottom w:val="nil"/>
              <w:right w:val="single" w:sz="6" w:space="0" w:color="auto"/>
            </w:tcBorders>
          </w:tcPr>
          <w:p w14:paraId="68220CA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D4C716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8A77D9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C8A0FC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78B295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1,065</w:t>
            </w:r>
          </w:p>
        </w:tc>
        <w:tc>
          <w:tcPr>
            <w:tcW w:w="1304" w:type="dxa"/>
            <w:tcBorders>
              <w:top w:val="nil"/>
              <w:left w:val="nil"/>
              <w:bottom w:val="nil"/>
              <w:right w:val="nil"/>
            </w:tcBorders>
          </w:tcPr>
          <w:p w14:paraId="60BED53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1,065</w:t>
            </w:r>
          </w:p>
        </w:tc>
        <w:tc>
          <w:tcPr>
            <w:tcW w:w="1304" w:type="dxa"/>
            <w:tcBorders>
              <w:top w:val="single" w:sz="6" w:space="0" w:color="auto"/>
              <w:left w:val="single" w:sz="6" w:space="0" w:color="auto"/>
              <w:bottom w:val="single" w:sz="6" w:space="0" w:color="auto"/>
              <w:right w:val="single" w:sz="6" w:space="0" w:color="auto"/>
            </w:tcBorders>
          </w:tcPr>
          <w:p w14:paraId="14065F3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15D89D46" w14:textId="77777777" w:rsidTr="00AF5422">
        <w:tc>
          <w:tcPr>
            <w:tcW w:w="3457" w:type="dxa"/>
            <w:tcBorders>
              <w:top w:val="single" w:sz="6" w:space="0" w:color="auto"/>
              <w:left w:val="single" w:sz="6" w:space="0" w:color="auto"/>
              <w:bottom w:val="single" w:sz="6" w:space="0" w:color="auto"/>
              <w:right w:val="nil"/>
            </w:tcBorders>
          </w:tcPr>
          <w:p w14:paraId="42B8FD2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Income Tax</w:t>
            </w:r>
          </w:p>
        </w:tc>
        <w:tc>
          <w:tcPr>
            <w:tcW w:w="1304" w:type="dxa"/>
            <w:tcBorders>
              <w:top w:val="single" w:sz="6" w:space="0" w:color="auto"/>
              <w:left w:val="single" w:sz="6" w:space="0" w:color="auto"/>
              <w:bottom w:val="single" w:sz="6" w:space="0" w:color="auto"/>
              <w:right w:val="single" w:sz="6" w:space="0" w:color="auto"/>
            </w:tcBorders>
          </w:tcPr>
          <w:p w14:paraId="4DD4825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225</w:t>
            </w:r>
          </w:p>
        </w:tc>
        <w:tc>
          <w:tcPr>
            <w:tcW w:w="1304" w:type="dxa"/>
            <w:tcBorders>
              <w:top w:val="single" w:sz="6" w:space="0" w:color="auto"/>
              <w:left w:val="single" w:sz="6" w:space="0" w:color="auto"/>
              <w:bottom w:val="single" w:sz="6" w:space="0" w:color="auto"/>
              <w:right w:val="single" w:sz="6" w:space="0" w:color="auto"/>
            </w:tcBorders>
          </w:tcPr>
          <w:p w14:paraId="6C99B7F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032A56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200BFE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1CFE0E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EF4F1A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225</w:t>
            </w:r>
          </w:p>
        </w:tc>
        <w:tc>
          <w:tcPr>
            <w:tcW w:w="1304" w:type="dxa"/>
            <w:tcBorders>
              <w:top w:val="single" w:sz="6" w:space="0" w:color="auto"/>
              <w:left w:val="nil"/>
              <w:bottom w:val="single" w:sz="6" w:space="0" w:color="auto"/>
              <w:right w:val="nil"/>
            </w:tcBorders>
          </w:tcPr>
          <w:p w14:paraId="75E6D89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185</w:t>
            </w:r>
          </w:p>
        </w:tc>
        <w:tc>
          <w:tcPr>
            <w:tcW w:w="1304" w:type="dxa"/>
            <w:tcBorders>
              <w:top w:val="single" w:sz="6" w:space="0" w:color="auto"/>
              <w:left w:val="single" w:sz="6" w:space="0" w:color="auto"/>
              <w:bottom w:val="single" w:sz="6" w:space="0" w:color="auto"/>
              <w:right w:val="single" w:sz="6" w:space="0" w:color="auto"/>
            </w:tcBorders>
          </w:tcPr>
          <w:p w14:paraId="341146D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40</w:t>
            </w:r>
          </w:p>
        </w:tc>
      </w:tr>
      <w:tr w:rsidR="00C26079" w:rsidRPr="00C26079" w14:paraId="3A5BB564" w14:textId="77777777" w:rsidTr="00AF5422">
        <w:tc>
          <w:tcPr>
            <w:tcW w:w="3457" w:type="dxa"/>
            <w:tcBorders>
              <w:top w:val="nil"/>
              <w:left w:val="single" w:sz="6" w:space="0" w:color="auto"/>
              <w:bottom w:val="nil"/>
              <w:right w:val="nil"/>
            </w:tcBorders>
          </w:tcPr>
          <w:p w14:paraId="32164C1D"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Other Income (including Interest Income)</w:t>
            </w:r>
          </w:p>
        </w:tc>
        <w:tc>
          <w:tcPr>
            <w:tcW w:w="1304" w:type="dxa"/>
            <w:tcBorders>
              <w:top w:val="nil"/>
              <w:left w:val="single" w:sz="6" w:space="0" w:color="auto"/>
              <w:bottom w:val="nil"/>
              <w:right w:val="single" w:sz="6" w:space="0" w:color="auto"/>
            </w:tcBorders>
          </w:tcPr>
          <w:p w14:paraId="1C72CB8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12</w:t>
            </w:r>
          </w:p>
        </w:tc>
        <w:tc>
          <w:tcPr>
            <w:tcW w:w="1304" w:type="dxa"/>
            <w:tcBorders>
              <w:top w:val="nil"/>
              <w:left w:val="single" w:sz="6" w:space="0" w:color="auto"/>
              <w:bottom w:val="nil"/>
              <w:right w:val="single" w:sz="6" w:space="0" w:color="auto"/>
            </w:tcBorders>
          </w:tcPr>
          <w:p w14:paraId="7AF6CF7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981BE6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1725BD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B3A52E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78BFF5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12</w:t>
            </w:r>
          </w:p>
        </w:tc>
        <w:tc>
          <w:tcPr>
            <w:tcW w:w="1304" w:type="dxa"/>
            <w:tcBorders>
              <w:top w:val="nil"/>
              <w:left w:val="nil"/>
              <w:bottom w:val="nil"/>
              <w:right w:val="nil"/>
            </w:tcBorders>
          </w:tcPr>
          <w:p w14:paraId="30CEF9F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0F57E79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w:t>
            </w:r>
          </w:p>
        </w:tc>
      </w:tr>
      <w:tr w:rsidR="00C26079" w:rsidRPr="00C26079" w14:paraId="44AE25AD" w14:textId="77777777" w:rsidTr="00AF5422">
        <w:tc>
          <w:tcPr>
            <w:tcW w:w="3457" w:type="dxa"/>
            <w:tcBorders>
              <w:top w:val="single" w:sz="6" w:space="0" w:color="auto"/>
              <w:left w:val="single" w:sz="6" w:space="0" w:color="auto"/>
              <w:bottom w:val="single" w:sz="6" w:space="0" w:color="auto"/>
              <w:right w:val="nil"/>
            </w:tcBorders>
            <w:shd w:val="clear" w:color="auto" w:fill="D6E3BC" w:themeFill="accent3" w:themeFillTint="66"/>
          </w:tcPr>
          <w:p w14:paraId="6B4A7FA3" w14:textId="77777777" w:rsidR="00C26079" w:rsidRPr="00C26079" w:rsidRDefault="00C26079">
            <w:pPr>
              <w:autoSpaceDE w:val="0"/>
              <w:autoSpaceDN w:val="0"/>
              <w:adjustRightInd w:val="0"/>
              <w:ind w:left="0" w:firstLine="0"/>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TOTAL INCOME</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40F86E7"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5,081</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2B71AF9"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459267C5"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CA3DBF2"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5398231"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1A44833F"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5,081</w:t>
            </w:r>
          </w:p>
        </w:tc>
        <w:tc>
          <w:tcPr>
            <w:tcW w:w="1304" w:type="dxa"/>
            <w:tcBorders>
              <w:top w:val="single" w:sz="6" w:space="0" w:color="auto"/>
              <w:left w:val="nil"/>
              <w:bottom w:val="single" w:sz="6" w:space="0" w:color="auto"/>
              <w:right w:val="nil"/>
            </w:tcBorders>
            <w:shd w:val="clear" w:color="auto" w:fill="D6E3BC" w:themeFill="accent3" w:themeFillTint="66"/>
          </w:tcPr>
          <w:p w14:paraId="516BBB83"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5,034</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D057033"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47</w:t>
            </w:r>
          </w:p>
        </w:tc>
      </w:tr>
      <w:tr w:rsidR="00C26079" w:rsidRPr="00C26079" w14:paraId="57EF84E1" w14:textId="77777777" w:rsidTr="00AF5422">
        <w:tc>
          <w:tcPr>
            <w:tcW w:w="3457" w:type="dxa"/>
            <w:tcBorders>
              <w:top w:val="nil"/>
              <w:left w:val="single" w:sz="6" w:space="0" w:color="auto"/>
              <w:bottom w:val="nil"/>
              <w:right w:val="nil"/>
            </w:tcBorders>
          </w:tcPr>
          <w:p w14:paraId="67E82CD2"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510C5F5C"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62B33BEA"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110E64A4"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703798E1"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1FF0DD83"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766EA21C"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0D4DFCDE"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03EA8B52"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C26079" w:rsidRPr="00C26079" w14:paraId="4142CA6F" w14:textId="77777777" w:rsidTr="00AF5422">
        <w:tc>
          <w:tcPr>
            <w:tcW w:w="3457" w:type="dxa"/>
            <w:tcBorders>
              <w:top w:val="nil"/>
              <w:left w:val="single" w:sz="6" w:space="0" w:color="auto"/>
              <w:bottom w:val="nil"/>
              <w:right w:val="nil"/>
            </w:tcBorders>
          </w:tcPr>
          <w:p w14:paraId="1AC99F81" w14:textId="77777777" w:rsidR="00C26079" w:rsidRPr="00C26079" w:rsidRDefault="00C26079">
            <w:pPr>
              <w:autoSpaceDE w:val="0"/>
              <w:autoSpaceDN w:val="0"/>
              <w:adjustRightInd w:val="0"/>
              <w:ind w:left="0" w:firstLine="0"/>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EXPENDITURES</w:t>
            </w:r>
          </w:p>
        </w:tc>
        <w:tc>
          <w:tcPr>
            <w:tcW w:w="1304" w:type="dxa"/>
            <w:tcBorders>
              <w:top w:val="nil"/>
              <w:left w:val="single" w:sz="6" w:space="0" w:color="auto"/>
              <w:bottom w:val="nil"/>
              <w:right w:val="single" w:sz="6" w:space="0" w:color="auto"/>
            </w:tcBorders>
          </w:tcPr>
          <w:p w14:paraId="43F8E3B1"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3E43D03F"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4A98DDA6"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657BFE32"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60D3BCA6"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35F90924"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nil"/>
              <w:right w:val="nil"/>
            </w:tcBorders>
          </w:tcPr>
          <w:p w14:paraId="2DE085F1"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single" w:sz="6" w:space="0" w:color="auto"/>
              <w:bottom w:val="nil"/>
              <w:right w:val="single" w:sz="6" w:space="0" w:color="auto"/>
            </w:tcBorders>
          </w:tcPr>
          <w:p w14:paraId="197F3C8E"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r>
      <w:tr w:rsidR="00AF5422" w:rsidRPr="00C26079" w14:paraId="0981C5AE" w14:textId="77777777" w:rsidTr="00AF5422">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3A5CDCA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A.  Secretariat Senior Management &amp; Governance</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78A458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999</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E99B80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A361E5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937C19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B0B3FC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999D74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1,075</w:t>
            </w:r>
          </w:p>
        </w:tc>
        <w:tc>
          <w:tcPr>
            <w:tcW w:w="1304" w:type="dxa"/>
            <w:tcBorders>
              <w:top w:val="single" w:sz="6" w:space="0" w:color="auto"/>
              <w:left w:val="nil"/>
              <w:bottom w:val="single" w:sz="6" w:space="0" w:color="auto"/>
              <w:right w:val="nil"/>
            </w:tcBorders>
            <w:shd w:val="clear" w:color="auto" w:fill="EAF1DD" w:themeFill="accent3" w:themeFillTint="33"/>
          </w:tcPr>
          <w:p w14:paraId="3DE3DA6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900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93DF8E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175</w:t>
            </w:r>
          </w:p>
        </w:tc>
      </w:tr>
      <w:tr w:rsidR="00C26079" w:rsidRPr="00C26079" w14:paraId="39F575FF" w14:textId="77777777" w:rsidTr="00AF5422">
        <w:tc>
          <w:tcPr>
            <w:tcW w:w="3457" w:type="dxa"/>
            <w:tcBorders>
              <w:top w:val="nil"/>
              <w:left w:val="single" w:sz="6" w:space="0" w:color="auto"/>
              <w:bottom w:val="nil"/>
              <w:right w:val="nil"/>
            </w:tcBorders>
          </w:tcPr>
          <w:p w14:paraId="528953F1"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Salaries and social costs</w:t>
            </w:r>
          </w:p>
        </w:tc>
        <w:tc>
          <w:tcPr>
            <w:tcW w:w="1304" w:type="dxa"/>
            <w:tcBorders>
              <w:top w:val="nil"/>
              <w:left w:val="single" w:sz="6" w:space="0" w:color="auto"/>
              <w:bottom w:val="nil"/>
              <w:right w:val="single" w:sz="6" w:space="0" w:color="auto"/>
            </w:tcBorders>
          </w:tcPr>
          <w:p w14:paraId="7966131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918</w:t>
            </w:r>
          </w:p>
        </w:tc>
        <w:tc>
          <w:tcPr>
            <w:tcW w:w="1304" w:type="dxa"/>
            <w:tcBorders>
              <w:top w:val="nil"/>
              <w:left w:val="single" w:sz="6" w:space="0" w:color="auto"/>
              <w:bottom w:val="nil"/>
              <w:right w:val="single" w:sz="6" w:space="0" w:color="auto"/>
            </w:tcBorders>
          </w:tcPr>
          <w:p w14:paraId="5BF6A78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085C7F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75584C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71</w:t>
            </w:r>
          </w:p>
        </w:tc>
        <w:tc>
          <w:tcPr>
            <w:tcW w:w="1304" w:type="dxa"/>
            <w:tcBorders>
              <w:top w:val="nil"/>
              <w:left w:val="single" w:sz="6" w:space="0" w:color="auto"/>
              <w:bottom w:val="nil"/>
              <w:right w:val="single" w:sz="6" w:space="0" w:color="auto"/>
            </w:tcBorders>
          </w:tcPr>
          <w:p w14:paraId="36D4BB8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A2A60E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989</w:t>
            </w:r>
          </w:p>
        </w:tc>
        <w:tc>
          <w:tcPr>
            <w:tcW w:w="1304" w:type="dxa"/>
            <w:tcBorders>
              <w:top w:val="nil"/>
              <w:left w:val="nil"/>
              <w:bottom w:val="nil"/>
              <w:right w:val="nil"/>
            </w:tcBorders>
          </w:tcPr>
          <w:p w14:paraId="66D4C00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888</w:t>
            </w:r>
          </w:p>
        </w:tc>
        <w:tc>
          <w:tcPr>
            <w:tcW w:w="1304" w:type="dxa"/>
            <w:tcBorders>
              <w:top w:val="nil"/>
              <w:left w:val="single" w:sz="6" w:space="0" w:color="auto"/>
              <w:bottom w:val="nil"/>
              <w:right w:val="single" w:sz="6" w:space="0" w:color="auto"/>
            </w:tcBorders>
          </w:tcPr>
          <w:p w14:paraId="0AD8CB2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101</w:t>
            </w:r>
          </w:p>
        </w:tc>
      </w:tr>
      <w:tr w:rsidR="00C26079" w:rsidRPr="00C26079" w14:paraId="1D3DD016" w14:textId="77777777" w:rsidTr="00AF5422">
        <w:tc>
          <w:tcPr>
            <w:tcW w:w="3457" w:type="dxa"/>
            <w:tcBorders>
              <w:top w:val="single" w:sz="6" w:space="0" w:color="auto"/>
              <w:left w:val="single" w:sz="6" w:space="0" w:color="auto"/>
              <w:bottom w:val="single" w:sz="6" w:space="0" w:color="auto"/>
              <w:right w:val="nil"/>
            </w:tcBorders>
          </w:tcPr>
          <w:p w14:paraId="18BC9CA5"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Other employment benefits</w:t>
            </w:r>
          </w:p>
        </w:tc>
        <w:tc>
          <w:tcPr>
            <w:tcW w:w="1304" w:type="dxa"/>
            <w:tcBorders>
              <w:top w:val="single" w:sz="6" w:space="0" w:color="auto"/>
              <w:left w:val="single" w:sz="6" w:space="0" w:color="auto"/>
              <w:bottom w:val="single" w:sz="6" w:space="0" w:color="auto"/>
              <w:right w:val="single" w:sz="6" w:space="0" w:color="auto"/>
            </w:tcBorders>
          </w:tcPr>
          <w:p w14:paraId="16D213B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51</w:t>
            </w:r>
          </w:p>
        </w:tc>
        <w:tc>
          <w:tcPr>
            <w:tcW w:w="1304" w:type="dxa"/>
            <w:tcBorders>
              <w:top w:val="single" w:sz="6" w:space="0" w:color="auto"/>
              <w:left w:val="single" w:sz="6" w:space="0" w:color="auto"/>
              <w:bottom w:val="single" w:sz="6" w:space="0" w:color="auto"/>
              <w:right w:val="single" w:sz="6" w:space="0" w:color="auto"/>
            </w:tcBorders>
          </w:tcPr>
          <w:p w14:paraId="144B796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E7C113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8AC834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D352C0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BE6342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51</w:t>
            </w:r>
          </w:p>
        </w:tc>
        <w:tc>
          <w:tcPr>
            <w:tcW w:w="1304" w:type="dxa"/>
            <w:tcBorders>
              <w:top w:val="single" w:sz="6" w:space="0" w:color="auto"/>
              <w:left w:val="nil"/>
              <w:bottom w:val="single" w:sz="6" w:space="0" w:color="auto"/>
              <w:right w:val="nil"/>
            </w:tcBorders>
          </w:tcPr>
          <w:p w14:paraId="096C67F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w:t>
            </w:r>
          </w:p>
        </w:tc>
        <w:tc>
          <w:tcPr>
            <w:tcW w:w="1304" w:type="dxa"/>
            <w:tcBorders>
              <w:top w:val="single" w:sz="6" w:space="0" w:color="auto"/>
              <w:left w:val="single" w:sz="6" w:space="0" w:color="auto"/>
              <w:bottom w:val="single" w:sz="6" w:space="0" w:color="auto"/>
              <w:right w:val="single" w:sz="6" w:space="0" w:color="auto"/>
            </w:tcBorders>
          </w:tcPr>
          <w:p w14:paraId="1EDCF20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50</w:t>
            </w:r>
          </w:p>
        </w:tc>
      </w:tr>
      <w:tr w:rsidR="00C26079" w:rsidRPr="00C26079" w14:paraId="7B93A7FC" w14:textId="77777777" w:rsidTr="00AF5422">
        <w:tc>
          <w:tcPr>
            <w:tcW w:w="3457" w:type="dxa"/>
            <w:tcBorders>
              <w:top w:val="nil"/>
              <w:left w:val="single" w:sz="6" w:space="0" w:color="auto"/>
              <w:bottom w:val="nil"/>
              <w:right w:val="nil"/>
            </w:tcBorders>
          </w:tcPr>
          <w:p w14:paraId="676491C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Travel</w:t>
            </w:r>
          </w:p>
        </w:tc>
        <w:tc>
          <w:tcPr>
            <w:tcW w:w="1304" w:type="dxa"/>
            <w:tcBorders>
              <w:top w:val="nil"/>
              <w:left w:val="single" w:sz="6" w:space="0" w:color="auto"/>
              <w:bottom w:val="nil"/>
              <w:right w:val="single" w:sz="6" w:space="0" w:color="auto"/>
            </w:tcBorders>
          </w:tcPr>
          <w:p w14:paraId="1839DC4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30</w:t>
            </w:r>
          </w:p>
        </w:tc>
        <w:tc>
          <w:tcPr>
            <w:tcW w:w="1304" w:type="dxa"/>
            <w:tcBorders>
              <w:top w:val="nil"/>
              <w:left w:val="single" w:sz="6" w:space="0" w:color="auto"/>
              <w:bottom w:val="nil"/>
              <w:right w:val="single" w:sz="6" w:space="0" w:color="auto"/>
            </w:tcBorders>
          </w:tcPr>
          <w:p w14:paraId="7EC39CB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315F7F3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7A0CC2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EC5E11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85839A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35</w:t>
            </w:r>
          </w:p>
        </w:tc>
        <w:tc>
          <w:tcPr>
            <w:tcW w:w="1304" w:type="dxa"/>
            <w:tcBorders>
              <w:top w:val="nil"/>
              <w:left w:val="nil"/>
              <w:bottom w:val="nil"/>
              <w:right w:val="nil"/>
            </w:tcBorders>
          </w:tcPr>
          <w:p w14:paraId="6BA83B1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11</w:t>
            </w:r>
          </w:p>
        </w:tc>
        <w:tc>
          <w:tcPr>
            <w:tcW w:w="1304" w:type="dxa"/>
            <w:tcBorders>
              <w:top w:val="nil"/>
              <w:left w:val="single" w:sz="6" w:space="0" w:color="auto"/>
              <w:bottom w:val="nil"/>
              <w:right w:val="single" w:sz="6" w:space="0" w:color="auto"/>
            </w:tcBorders>
          </w:tcPr>
          <w:p w14:paraId="2FEEE9F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24</w:t>
            </w:r>
          </w:p>
        </w:tc>
      </w:tr>
      <w:tr w:rsidR="00C26079" w:rsidRPr="00C26079" w14:paraId="5BA9A09E" w14:textId="77777777" w:rsidTr="00AF5422">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6AA07245"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B.  Resource Mobilization and Outreach</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84CA77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492</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FC2723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1A4F2A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FFE243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69</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3BF741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2D5B19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687</w:t>
            </w:r>
          </w:p>
        </w:tc>
        <w:tc>
          <w:tcPr>
            <w:tcW w:w="1304" w:type="dxa"/>
            <w:tcBorders>
              <w:top w:val="single" w:sz="6" w:space="0" w:color="auto"/>
              <w:left w:val="nil"/>
              <w:bottom w:val="single" w:sz="6" w:space="0" w:color="auto"/>
              <w:right w:val="nil"/>
            </w:tcBorders>
            <w:shd w:val="clear" w:color="auto" w:fill="EAF1DD" w:themeFill="accent3" w:themeFillTint="33"/>
          </w:tcPr>
          <w:p w14:paraId="7B09FEF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474</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98703C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214</w:t>
            </w:r>
          </w:p>
        </w:tc>
      </w:tr>
      <w:tr w:rsidR="00C26079" w:rsidRPr="00C26079" w14:paraId="3D929AD8" w14:textId="77777777" w:rsidTr="00AF5422">
        <w:tc>
          <w:tcPr>
            <w:tcW w:w="3457" w:type="dxa"/>
            <w:tcBorders>
              <w:top w:val="nil"/>
              <w:left w:val="single" w:sz="6" w:space="0" w:color="auto"/>
              <w:bottom w:val="nil"/>
              <w:right w:val="nil"/>
            </w:tcBorders>
          </w:tcPr>
          <w:p w14:paraId="1583C2BD"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Salaries and social costs</w:t>
            </w:r>
          </w:p>
        </w:tc>
        <w:tc>
          <w:tcPr>
            <w:tcW w:w="1304" w:type="dxa"/>
            <w:tcBorders>
              <w:top w:val="nil"/>
              <w:left w:val="single" w:sz="6" w:space="0" w:color="auto"/>
              <w:bottom w:val="nil"/>
              <w:right w:val="single" w:sz="6" w:space="0" w:color="auto"/>
            </w:tcBorders>
          </w:tcPr>
          <w:p w14:paraId="7AD2915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360</w:t>
            </w:r>
          </w:p>
        </w:tc>
        <w:tc>
          <w:tcPr>
            <w:tcW w:w="1304" w:type="dxa"/>
            <w:tcBorders>
              <w:top w:val="nil"/>
              <w:left w:val="single" w:sz="6" w:space="0" w:color="auto"/>
              <w:bottom w:val="nil"/>
              <w:right w:val="single" w:sz="6" w:space="0" w:color="auto"/>
            </w:tcBorders>
          </w:tcPr>
          <w:p w14:paraId="7B1FB2A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A15223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7CE22F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A215F0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D46CFC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360</w:t>
            </w:r>
          </w:p>
        </w:tc>
        <w:tc>
          <w:tcPr>
            <w:tcW w:w="1304" w:type="dxa"/>
            <w:tcBorders>
              <w:top w:val="nil"/>
              <w:left w:val="nil"/>
              <w:bottom w:val="nil"/>
              <w:right w:val="nil"/>
            </w:tcBorders>
          </w:tcPr>
          <w:p w14:paraId="409DEF6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325</w:t>
            </w:r>
          </w:p>
        </w:tc>
        <w:tc>
          <w:tcPr>
            <w:tcW w:w="1304" w:type="dxa"/>
            <w:tcBorders>
              <w:top w:val="nil"/>
              <w:left w:val="single" w:sz="6" w:space="0" w:color="auto"/>
              <w:bottom w:val="nil"/>
              <w:right w:val="single" w:sz="6" w:space="0" w:color="auto"/>
            </w:tcBorders>
          </w:tcPr>
          <w:p w14:paraId="05F5B0F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35</w:t>
            </w:r>
          </w:p>
        </w:tc>
      </w:tr>
      <w:tr w:rsidR="00C26079" w:rsidRPr="00C26079" w14:paraId="7751CCFE" w14:textId="77777777" w:rsidTr="00AF5422">
        <w:tc>
          <w:tcPr>
            <w:tcW w:w="3457" w:type="dxa"/>
            <w:tcBorders>
              <w:top w:val="single" w:sz="6" w:space="0" w:color="auto"/>
              <w:left w:val="single" w:sz="6" w:space="0" w:color="auto"/>
              <w:bottom w:val="single" w:sz="6" w:space="0" w:color="auto"/>
              <w:right w:val="nil"/>
            </w:tcBorders>
          </w:tcPr>
          <w:p w14:paraId="3C4B2344"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Other employment benefits</w:t>
            </w:r>
          </w:p>
        </w:tc>
        <w:tc>
          <w:tcPr>
            <w:tcW w:w="1304" w:type="dxa"/>
            <w:tcBorders>
              <w:top w:val="single" w:sz="6" w:space="0" w:color="auto"/>
              <w:left w:val="single" w:sz="6" w:space="0" w:color="auto"/>
              <w:bottom w:val="single" w:sz="6" w:space="0" w:color="auto"/>
              <w:right w:val="single" w:sz="6" w:space="0" w:color="auto"/>
            </w:tcBorders>
          </w:tcPr>
          <w:p w14:paraId="2994B68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492B362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9CA541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2088D8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1D2992F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EF6CB7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nil"/>
              <w:bottom w:val="single" w:sz="6" w:space="0" w:color="auto"/>
              <w:right w:val="nil"/>
            </w:tcBorders>
          </w:tcPr>
          <w:p w14:paraId="3CE79F1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CD01F6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r>
      <w:tr w:rsidR="00C26079" w:rsidRPr="00C26079" w14:paraId="04FB7C98" w14:textId="77777777" w:rsidTr="00AF5422">
        <w:tc>
          <w:tcPr>
            <w:tcW w:w="3457" w:type="dxa"/>
            <w:tcBorders>
              <w:top w:val="nil"/>
              <w:left w:val="single" w:sz="6" w:space="0" w:color="auto"/>
              <w:bottom w:val="nil"/>
              <w:right w:val="nil"/>
            </w:tcBorders>
          </w:tcPr>
          <w:p w14:paraId="183221E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CEPA Program</w:t>
            </w:r>
          </w:p>
        </w:tc>
        <w:tc>
          <w:tcPr>
            <w:tcW w:w="1304" w:type="dxa"/>
            <w:tcBorders>
              <w:top w:val="nil"/>
              <w:left w:val="single" w:sz="6" w:space="0" w:color="auto"/>
              <w:bottom w:val="nil"/>
              <w:right w:val="single" w:sz="6" w:space="0" w:color="auto"/>
            </w:tcBorders>
          </w:tcPr>
          <w:p w14:paraId="564BC86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30</w:t>
            </w:r>
          </w:p>
        </w:tc>
        <w:tc>
          <w:tcPr>
            <w:tcW w:w="1304" w:type="dxa"/>
            <w:tcBorders>
              <w:top w:val="nil"/>
              <w:left w:val="single" w:sz="6" w:space="0" w:color="auto"/>
              <w:bottom w:val="nil"/>
              <w:right w:val="single" w:sz="6" w:space="0" w:color="auto"/>
            </w:tcBorders>
          </w:tcPr>
          <w:p w14:paraId="3452F7D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DFA112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D71B5A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23</w:t>
            </w:r>
          </w:p>
        </w:tc>
        <w:tc>
          <w:tcPr>
            <w:tcW w:w="1304" w:type="dxa"/>
            <w:tcBorders>
              <w:top w:val="nil"/>
              <w:left w:val="single" w:sz="6" w:space="0" w:color="auto"/>
              <w:bottom w:val="nil"/>
              <w:right w:val="single" w:sz="6" w:space="0" w:color="auto"/>
            </w:tcBorders>
          </w:tcPr>
          <w:p w14:paraId="7E538EE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69D303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53</w:t>
            </w:r>
          </w:p>
        </w:tc>
        <w:tc>
          <w:tcPr>
            <w:tcW w:w="1304" w:type="dxa"/>
            <w:tcBorders>
              <w:top w:val="nil"/>
              <w:left w:val="nil"/>
              <w:bottom w:val="nil"/>
              <w:right w:val="nil"/>
            </w:tcBorders>
          </w:tcPr>
          <w:p w14:paraId="374EBBB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284353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53</w:t>
            </w:r>
          </w:p>
        </w:tc>
      </w:tr>
      <w:tr w:rsidR="00C26079" w:rsidRPr="00C26079" w14:paraId="2B5CECE3" w14:textId="77777777" w:rsidTr="00AF5422">
        <w:tc>
          <w:tcPr>
            <w:tcW w:w="3457" w:type="dxa"/>
            <w:tcBorders>
              <w:top w:val="single" w:sz="6" w:space="0" w:color="auto"/>
              <w:left w:val="single" w:sz="6" w:space="0" w:color="auto"/>
              <w:bottom w:val="single" w:sz="6" w:space="0" w:color="auto"/>
              <w:right w:val="nil"/>
            </w:tcBorders>
          </w:tcPr>
          <w:p w14:paraId="3EE78A5E"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Comms, Translations, Publications and Reporting Implementation</w:t>
            </w:r>
          </w:p>
        </w:tc>
        <w:tc>
          <w:tcPr>
            <w:tcW w:w="1304" w:type="dxa"/>
            <w:tcBorders>
              <w:top w:val="single" w:sz="6" w:space="0" w:color="auto"/>
              <w:left w:val="single" w:sz="6" w:space="0" w:color="auto"/>
              <w:bottom w:val="single" w:sz="6" w:space="0" w:color="auto"/>
              <w:right w:val="single" w:sz="6" w:space="0" w:color="auto"/>
            </w:tcBorders>
          </w:tcPr>
          <w:p w14:paraId="53B4060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60</w:t>
            </w:r>
          </w:p>
        </w:tc>
        <w:tc>
          <w:tcPr>
            <w:tcW w:w="1304" w:type="dxa"/>
            <w:tcBorders>
              <w:top w:val="single" w:sz="6" w:space="0" w:color="auto"/>
              <w:left w:val="single" w:sz="6" w:space="0" w:color="auto"/>
              <w:bottom w:val="single" w:sz="6" w:space="0" w:color="auto"/>
              <w:right w:val="single" w:sz="6" w:space="0" w:color="auto"/>
            </w:tcBorders>
          </w:tcPr>
          <w:p w14:paraId="3C56FD4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40</w:t>
            </w:r>
          </w:p>
        </w:tc>
        <w:tc>
          <w:tcPr>
            <w:tcW w:w="1304" w:type="dxa"/>
            <w:tcBorders>
              <w:top w:val="single" w:sz="6" w:space="0" w:color="auto"/>
              <w:left w:val="single" w:sz="6" w:space="0" w:color="auto"/>
              <w:bottom w:val="single" w:sz="6" w:space="0" w:color="auto"/>
              <w:right w:val="single" w:sz="6" w:space="0" w:color="auto"/>
            </w:tcBorders>
          </w:tcPr>
          <w:p w14:paraId="703F470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6941D1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56</w:t>
            </w:r>
          </w:p>
        </w:tc>
        <w:tc>
          <w:tcPr>
            <w:tcW w:w="1304" w:type="dxa"/>
            <w:tcBorders>
              <w:top w:val="single" w:sz="6" w:space="0" w:color="auto"/>
              <w:left w:val="single" w:sz="6" w:space="0" w:color="auto"/>
              <w:bottom w:val="single" w:sz="6" w:space="0" w:color="auto"/>
              <w:right w:val="single" w:sz="6" w:space="0" w:color="auto"/>
            </w:tcBorders>
          </w:tcPr>
          <w:p w14:paraId="3B2D2E3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F52973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156</w:t>
            </w:r>
          </w:p>
        </w:tc>
        <w:tc>
          <w:tcPr>
            <w:tcW w:w="1304" w:type="dxa"/>
            <w:tcBorders>
              <w:top w:val="single" w:sz="6" w:space="0" w:color="auto"/>
              <w:left w:val="nil"/>
              <w:bottom w:val="single" w:sz="6" w:space="0" w:color="auto"/>
              <w:right w:val="nil"/>
            </w:tcBorders>
          </w:tcPr>
          <w:p w14:paraId="2E7F413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76</w:t>
            </w:r>
          </w:p>
        </w:tc>
        <w:tc>
          <w:tcPr>
            <w:tcW w:w="1304" w:type="dxa"/>
            <w:tcBorders>
              <w:top w:val="single" w:sz="6" w:space="0" w:color="auto"/>
              <w:left w:val="single" w:sz="6" w:space="0" w:color="auto"/>
              <w:bottom w:val="single" w:sz="6" w:space="0" w:color="auto"/>
              <w:right w:val="single" w:sz="6" w:space="0" w:color="auto"/>
            </w:tcBorders>
          </w:tcPr>
          <w:p w14:paraId="62F6A67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79</w:t>
            </w:r>
          </w:p>
        </w:tc>
      </w:tr>
      <w:tr w:rsidR="00C26079" w:rsidRPr="00C26079" w14:paraId="2E08C0B1" w14:textId="77777777" w:rsidTr="00AF5422">
        <w:tc>
          <w:tcPr>
            <w:tcW w:w="3457" w:type="dxa"/>
            <w:tcBorders>
              <w:top w:val="single" w:sz="6" w:space="0" w:color="auto"/>
              <w:left w:val="single" w:sz="6" w:space="0" w:color="auto"/>
              <w:bottom w:val="single" w:sz="6" w:space="0" w:color="auto"/>
              <w:right w:val="nil"/>
            </w:tcBorders>
          </w:tcPr>
          <w:p w14:paraId="26F8892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WWD</w:t>
            </w:r>
          </w:p>
        </w:tc>
        <w:tc>
          <w:tcPr>
            <w:tcW w:w="1304" w:type="dxa"/>
            <w:tcBorders>
              <w:top w:val="single" w:sz="6" w:space="0" w:color="auto"/>
              <w:left w:val="single" w:sz="6" w:space="0" w:color="auto"/>
              <w:bottom w:val="single" w:sz="6" w:space="0" w:color="auto"/>
              <w:right w:val="single" w:sz="6" w:space="0" w:color="auto"/>
            </w:tcBorders>
          </w:tcPr>
          <w:p w14:paraId="27B231A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A26912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49B70B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30</w:t>
            </w:r>
          </w:p>
        </w:tc>
        <w:tc>
          <w:tcPr>
            <w:tcW w:w="1304" w:type="dxa"/>
            <w:tcBorders>
              <w:top w:val="single" w:sz="6" w:space="0" w:color="auto"/>
              <w:left w:val="single" w:sz="6" w:space="0" w:color="auto"/>
              <w:bottom w:val="single" w:sz="6" w:space="0" w:color="auto"/>
              <w:right w:val="single" w:sz="6" w:space="0" w:color="auto"/>
            </w:tcBorders>
          </w:tcPr>
          <w:p w14:paraId="4A3F02F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E611D8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EB6006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30</w:t>
            </w:r>
          </w:p>
        </w:tc>
        <w:tc>
          <w:tcPr>
            <w:tcW w:w="1304" w:type="dxa"/>
            <w:tcBorders>
              <w:top w:val="single" w:sz="6" w:space="0" w:color="auto"/>
              <w:left w:val="nil"/>
              <w:bottom w:val="single" w:sz="6" w:space="0" w:color="auto"/>
              <w:right w:val="nil"/>
            </w:tcBorders>
          </w:tcPr>
          <w:p w14:paraId="473988B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053DC70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20</w:t>
            </w:r>
          </w:p>
        </w:tc>
      </w:tr>
      <w:tr w:rsidR="00C26079" w:rsidRPr="00C26079" w14:paraId="0ACDA8CC" w14:textId="77777777" w:rsidTr="00AF5422">
        <w:tc>
          <w:tcPr>
            <w:tcW w:w="3457" w:type="dxa"/>
            <w:tcBorders>
              <w:top w:val="nil"/>
              <w:left w:val="single" w:sz="6" w:space="0" w:color="auto"/>
              <w:bottom w:val="nil"/>
              <w:right w:val="nil"/>
            </w:tcBorders>
          </w:tcPr>
          <w:p w14:paraId="20D510C8"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50th Anniversary 2021</w:t>
            </w:r>
          </w:p>
        </w:tc>
        <w:tc>
          <w:tcPr>
            <w:tcW w:w="1304" w:type="dxa"/>
            <w:tcBorders>
              <w:top w:val="nil"/>
              <w:left w:val="single" w:sz="6" w:space="0" w:color="auto"/>
              <w:bottom w:val="nil"/>
              <w:right w:val="single" w:sz="6" w:space="0" w:color="auto"/>
            </w:tcBorders>
          </w:tcPr>
          <w:p w14:paraId="28F1914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65E918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502C2B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13</w:t>
            </w:r>
          </w:p>
        </w:tc>
        <w:tc>
          <w:tcPr>
            <w:tcW w:w="1304" w:type="dxa"/>
            <w:tcBorders>
              <w:top w:val="nil"/>
              <w:left w:val="single" w:sz="6" w:space="0" w:color="auto"/>
              <w:bottom w:val="nil"/>
              <w:right w:val="single" w:sz="6" w:space="0" w:color="auto"/>
            </w:tcBorders>
          </w:tcPr>
          <w:p w14:paraId="55F5917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8D9928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DD68C1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13</w:t>
            </w:r>
          </w:p>
        </w:tc>
        <w:tc>
          <w:tcPr>
            <w:tcW w:w="1304" w:type="dxa"/>
            <w:tcBorders>
              <w:top w:val="nil"/>
              <w:left w:val="nil"/>
              <w:bottom w:val="nil"/>
              <w:right w:val="nil"/>
            </w:tcBorders>
          </w:tcPr>
          <w:p w14:paraId="0AC9732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6D52568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w:t>
            </w:r>
          </w:p>
        </w:tc>
      </w:tr>
      <w:tr w:rsidR="00C26079" w:rsidRPr="00C26079" w14:paraId="60F5A9D3" w14:textId="77777777" w:rsidTr="00AF5422">
        <w:tc>
          <w:tcPr>
            <w:tcW w:w="3457" w:type="dxa"/>
            <w:tcBorders>
              <w:top w:val="single" w:sz="6" w:space="0" w:color="auto"/>
              <w:left w:val="single" w:sz="6" w:space="0" w:color="auto"/>
              <w:bottom w:val="single" w:sz="6" w:space="0" w:color="auto"/>
              <w:right w:val="nil"/>
            </w:tcBorders>
          </w:tcPr>
          <w:p w14:paraId="0ED15F6C"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Web/IT support and Development</w:t>
            </w:r>
          </w:p>
        </w:tc>
        <w:tc>
          <w:tcPr>
            <w:tcW w:w="1304" w:type="dxa"/>
            <w:tcBorders>
              <w:top w:val="single" w:sz="6" w:space="0" w:color="auto"/>
              <w:left w:val="single" w:sz="6" w:space="0" w:color="auto"/>
              <w:bottom w:val="single" w:sz="6" w:space="0" w:color="auto"/>
              <w:right w:val="single" w:sz="6" w:space="0" w:color="auto"/>
            </w:tcBorders>
          </w:tcPr>
          <w:p w14:paraId="1146666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37</w:t>
            </w:r>
          </w:p>
        </w:tc>
        <w:tc>
          <w:tcPr>
            <w:tcW w:w="1304" w:type="dxa"/>
            <w:tcBorders>
              <w:top w:val="single" w:sz="6" w:space="0" w:color="auto"/>
              <w:left w:val="single" w:sz="6" w:space="0" w:color="auto"/>
              <w:bottom w:val="single" w:sz="6" w:space="0" w:color="auto"/>
              <w:right w:val="single" w:sz="6" w:space="0" w:color="auto"/>
            </w:tcBorders>
          </w:tcPr>
          <w:p w14:paraId="54D2A7A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0757FC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38</w:t>
            </w:r>
          </w:p>
        </w:tc>
        <w:tc>
          <w:tcPr>
            <w:tcW w:w="1304" w:type="dxa"/>
            <w:tcBorders>
              <w:top w:val="single" w:sz="6" w:space="0" w:color="auto"/>
              <w:left w:val="single" w:sz="6" w:space="0" w:color="auto"/>
              <w:bottom w:val="single" w:sz="6" w:space="0" w:color="auto"/>
              <w:right w:val="single" w:sz="6" w:space="0" w:color="auto"/>
            </w:tcBorders>
          </w:tcPr>
          <w:p w14:paraId="26B439F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(14)</w:t>
            </w:r>
          </w:p>
        </w:tc>
        <w:tc>
          <w:tcPr>
            <w:tcW w:w="1304" w:type="dxa"/>
            <w:tcBorders>
              <w:top w:val="single" w:sz="6" w:space="0" w:color="auto"/>
              <w:left w:val="single" w:sz="6" w:space="0" w:color="auto"/>
              <w:bottom w:val="single" w:sz="6" w:space="0" w:color="auto"/>
              <w:right w:val="single" w:sz="6" w:space="0" w:color="auto"/>
            </w:tcBorders>
          </w:tcPr>
          <w:p w14:paraId="6B21249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18620A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61</w:t>
            </w:r>
          </w:p>
        </w:tc>
        <w:tc>
          <w:tcPr>
            <w:tcW w:w="1304" w:type="dxa"/>
            <w:tcBorders>
              <w:top w:val="single" w:sz="6" w:space="0" w:color="auto"/>
              <w:left w:val="nil"/>
              <w:bottom w:val="single" w:sz="6" w:space="0" w:color="auto"/>
              <w:right w:val="nil"/>
            </w:tcBorders>
          </w:tcPr>
          <w:p w14:paraId="419F987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57</w:t>
            </w:r>
          </w:p>
        </w:tc>
        <w:tc>
          <w:tcPr>
            <w:tcW w:w="1304" w:type="dxa"/>
            <w:tcBorders>
              <w:top w:val="single" w:sz="6" w:space="0" w:color="auto"/>
              <w:left w:val="single" w:sz="6" w:space="0" w:color="auto"/>
              <w:bottom w:val="single" w:sz="6" w:space="0" w:color="auto"/>
              <w:right w:val="single" w:sz="6" w:space="0" w:color="auto"/>
            </w:tcBorders>
          </w:tcPr>
          <w:p w14:paraId="22A9A39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w:t>
            </w:r>
          </w:p>
        </w:tc>
      </w:tr>
      <w:tr w:rsidR="00C26079" w:rsidRPr="00C26079" w14:paraId="72FC0B16" w14:textId="77777777" w:rsidTr="00AF5422">
        <w:tc>
          <w:tcPr>
            <w:tcW w:w="3457" w:type="dxa"/>
            <w:tcBorders>
              <w:top w:val="nil"/>
              <w:left w:val="single" w:sz="6" w:space="0" w:color="auto"/>
              <w:bottom w:val="nil"/>
              <w:right w:val="nil"/>
            </w:tcBorders>
          </w:tcPr>
          <w:p w14:paraId="4B80F8E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Travel</w:t>
            </w:r>
          </w:p>
        </w:tc>
        <w:tc>
          <w:tcPr>
            <w:tcW w:w="1304" w:type="dxa"/>
            <w:tcBorders>
              <w:top w:val="nil"/>
              <w:left w:val="single" w:sz="6" w:space="0" w:color="auto"/>
              <w:bottom w:val="nil"/>
              <w:right w:val="single" w:sz="6" w:space="0" w:color="auto"/>
            </w:tcBorders>
          </w:tcPr>
          <w:p w14:paraId="2DDA0D1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135DEC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2AB0A94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65ABD9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229326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17FC21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nil"/>
              <w:bottom w:val="nil"/>
              <w:right w:val="nil"/>
            </w:tcBorders>
          </w:tcPr>
          <w:p w14:paraId="0D4574A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C99CA8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r>
      <w:tr w:rsidR="00C26079" w:rsidRPr="00C26079" w14:paraId="34B6E0FE" w14:textId="77777777" w:rsidTr="00AF5422">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4A424DF7"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lastRenderedPageBreak/>
              <w:t>C.  Regional Advice and Support</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CB5EA0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1,271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9E0CF1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0755B3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139B0E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6D44C99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02F7664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1,377</w:t>
            </w:r>
          </w:p>
        </w:tc>
        <w:tc>
          <w:tcPr>
            <w:tcW w:w="1304" w:type="dxa"/>
            <w:tcBorders>
              <w:top w:val="single" w:sz="6" w:space="0" w:color="auto"/>
              <w:left w:val="nil"/>
              <w:bottom w:val="single" w:sz="6" w:space="0" w:color="auto"/>
              <w:right w:val="nil"/>
            </w:tcBorders>
            <w:shd w:val="clear" w:color="auto" w:fill="EAF1DD" w:themeFill="accent3" w:themeFillTint="33"/>
          </w:tcPr>
          <w:p w14:paraId="681A736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1,056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59C9FB3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321</w:t>
            </w:r>
          </w:p>
        </w:tc>
      </w:tr>
      <w:tr w:rsidR="00C26079" w:rsidRPr="00C26079" w14:paraId="73699783" w14:textId="77777777" w:rsidTr="00AF5422">
        <w:tc>
          <w:tcPr>
            <w:tcW w:w="3457" w:type="dxa"/>
            <w:tcBorders>
              <w:top w:val="nil"/>
              <w:left w:val="single" w:sz="6" w:space="0" w:color="auto"/>
              <w:bottom w:val="nil"/>
              <w:right w:val="nil"/>
            </w:tcBorders>
          </w:tcPr>
          <w:p w14:paraId="66E247B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Salaries and social costs</w:t>
            </w:r>
          </w:p>
        </w:tc>
        <w:tc>
          <w:tcPr>
            <w:tcW w:w="1304" w:type="dxa"/>
            <w:tcBorders>
              <w:top w:val="nil"/>
              <w:left w:val="single" w:sz="6" w:space="0" w:color="auto"/>
              <w:bottom w:val="nil"/>
              <w:right w:val="single" w:sz="6" w:space="0" w:color="auto"/>
            </w:tcBorders>
          </w:tcPr>
          <w:p w14:paraId="11E6105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1,178</w:t>
            </w:r>
          </w:p>
        </w:tc>
        <w:tc>
          <w:tcPr>
            <w:tcW w:w="1304" w:type="dxa"/>
            <w:tcBorders>
              <w:top w:val="nil"/>
              <w:left w:val="single" w:sz="6" w:space="0" w:color="auto"/>
              <w:bottom w:val="nil"/>
              <w:right w:val="single" w:sz="6" w:space="0" w:color="auto"/>
            </w:tcBorders>
          </w:tcPr>
          <w:p w14:paraId="420DEA2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ADC4FA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0E98F9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B3580D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E9CD02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1,178</w:t>
            </w:r>
          </w:p>
        </w:tc>
        <w:tc>
          <w:tcPr>
            <w:tcW w:w="1304" w:type="dxa"/>
            <w:tcBorders>
              <w:top w:val="nil"/>
              <w:left w:val="nil"/>
              <w:bottom w:val="nil"/>
              <w:right w:val="nil"/>
            </w:tcBorders>
          </w:tcPr>
          <w:p w14:paraId="70E9975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991</w:t>
            </w:r>
          </w:p>
        </w:tc>
        <w:tc>
          <w:tcPr>
            <w:tcW w:w="1304" w:type="dxa"/>
            <w:tcBorders>
              <w:top w:val="nil"/>
              <w:left w:val="single" w:sz="6" w:space="0" w:color="auto"/>
              <w:bottom w:val="nil"/>
              <w:right w:val="single" w:sz="6" w:space="0" w:color="auto"/>
            </w:tcBorders>
          </w:tcPr>
          <w:p w14:paraId="4C5EFF0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187</w:t>
            </w:r>
          </w:p>
        </w:tc>
      </w:tr>
      <w:tr w:rsidR="00C26079" w:rsidRPr="00C26079" w14:paraId="593125CD" w14:textId="77777777" w:rsidTr="00AF5422">
        <w:tc>
          <w:tcPr>
            <w:tcW w:w="3457" w:type="dxa"/>
            <w:tcBorders>
              <w:top w:val="single" w:sz="6" w:space="0" w:color="auto"/>
              <w:left w:val="single" w:sz="6" w:space="0" w:color="auto"/>
              <w:bottom w:val="single" w:sz="6" w:space="0" w:color="auto"/>
              <w:right w:val="nil"/>
            </w:tcBorders>
          </w:tcPr>
          <w:p w14:paraId="34E667BD"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Other employment benefits</w:t>
            </w:r>
          </w:p>
        </w:tc>
        <w:tc>
          <w:tcPr>
            <w:tcW w:w="1304" w:type="dxa"/>
            <w:tcBorders>
              <w:top w:val="single" w:sz="6" w:space="0" w:color="auto"/>
              <w:left w:val="single" w:sz="6" w:space="0" w:color="auto"/>
              <w:bottom w:val="single" w:sz="6" w:space="0" w:color="auto"/>
              <w:right w:val="single" w:sz="6" w:space="0" w:color="auto"/>
            </w:tcBorders>
          </w:tcPr>
          <w:p w14:paraId="06268DE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71</w:t>
            </w:r>
          </w:p>
        </w:tc>
        <w:tc>
          <w:tcPr>
            <w:tcW w:w="1304" w:type="dxa"/>
            <w:tcBorders>
              <w:top w:val="single" w:sz="6" w:space="0" w:color="auto"/>
              <w:left w:val="single" w:sz="6" w:space="0" w:color="auto"/>
              <w:bottom w:val="single" w:sz="6" w:space="0" w:color="auto"/>
              <w:right w:val="single" w:sz="6" w:space="0" w:color="auto"/>
            </w:tcBorders>
          </w:tcPr>
          <w:p w14:paraId="101EEBB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D460E5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3A2172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C5ECEF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C36C27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71</w:t>
            </w:r>
          </w:p>
        </w:tc>
        <w:tc>
          <w:tcPr>
            <w:tcW w:w="1304" w:type="dxa"/>
            <w:tcBorders>
              <w:top w:val="single" w:sz="6" w:space="0" w:color="auto"/>
              <w:left w:val="nil"/>
              <w:bottom w:val="single" w:sz="6" w:space="0" w:color="auto"/>
              <w:right w:val="nil"/>
            </w:tcBorders>
          </w:tcPr>
          <w:p w14:paraId="4BCFBFF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58</w:t>
            </w:r>
          </w:p>
        </w:tc>
        <w:tc>
          <w:tcPr>
            <w:tcW w:w="1304" w:type="dxa"/>
            <w:tcBorders>
              <w:top w:val="single" w:sz="6" w:space="0" w:color="auto"/>
              <w:left w:val="single" w:sz="6" w:space="0" w:color="auto"/>
              <w:bottom w:val="single" w:sz="6" w:space="0" w:color="auto"/>
              <w:right w:val="single" w:sz="6" w:space="0" w:color="auto"/>
            </w:tcBorders>
          </w:tcPr>
          <w:p w14:paraId="7C04A4B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13</w:t>
            </w:r>
          </w:p>
        </w:tc>
      </w:tr>
      <w:tr w:rsidR="00C26079" w:rsidRPr="00C26079" w14:paraId="35FE3C86" w14:textId="77777777" w:rsidTr="00AF5422">
        <w:tc>
          <w:tcPr>
            <w:tcW w:w="3457" w:type="dxa"/>
            <w:tcBorders>
              <w:top w:val="nil"/>
              <w:left w:val="single" w:sz="6" w:space="0" w:color="auto"/>
              <w:bottom w:val="nil"/>
              <w:right w:val="nil"/>
            </w:tcBorders>
          </w:tcPr>
          <w:p w14:paraId="4D84116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Travel</w:t>
            </w:r>
          </w:p>
        </w:tc>
        <w:tc>
          <w:tcPr>
            <w:tcW w:w="1304" w:type="dxa"/>
            <w:tcBorders>
              <w:top w:val="nil"/>
              <w:left w:val="single" w:sz="6" w:space="0" w:color="auto"/>
              <w:bottom w:val="nil"/>
              <w:right w:val="single" w:sz="6" w:space="0" w:color="auto"/>
            </w:tcBorders>
          </w:tcPr>
          <w:p w14:paraId="5E9C4D6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22</w:t>
            </w:r>
          </w:p>
        </w:tc>
        <w:tc>
          <w:tcPr>
            <w:tcW w:w="1304" w:type="dxa"/>
            <w:tcBorders>
              <w:top w:val="nil"/>
              <w:left w:val="single" w:sz="6" w:space="0" w:color="auto"/>
              <w:bottom w:val="nil"/>
              <w:right w:val="single" w:sz="6" w:space="0" w:color="auto"/>
            </w:tcBorders>
          </w:tcPr>
          <w:p w14:paraId="2D52FA2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nil"/>
              <w:left w:val="single" w:sz="6" w:space="0" w:color="auto"/>
              <w:bottom w:val="nil"/>
              <w:right w:val="single" w:sz="6" w:space="0" w:color="auto"/>
            </w:tcBorders>
          </w:tcPr>
          <w:p w14:paraId="6352B24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68E5C6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E7AE87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C35783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32</w:t>
            </w:r>
          </w:p>
        </w:tc>
        <w:tc>
          <w:tcPr>
            <w:tcW w:w="1304" w:type="dxa"/>
            <w:tcBorders>
              <w:top w:val="nil"/>
              <w:left w:val="nil"/>
              <w:bottom w:val="nil"/>
              <w:right w:val="nil"/>
            </w:tcBorders>
          </w:tcPr>
          <w:p w14:paraId="0A52E04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w:t>
            </w:r>
          </w:p>
        </w:tc>
        <w:tc>
          <w:tcPr>
            <w:tcW w:w="1304" w:type="dxa"/>
            <w:tcBorders>
              <w:top w:val="nil"/>
              <w:left w:val="single" w:sz="6" w:space="0" w:color="auto"/>
              <w:bottom w:val="nil"/>
              <w:right w:val="single" w:sz="6" w:space="0" w:color="auto"/>
            </w:tcBorders>
          </w:tcPr>
          <w:p w14:paraId="2871EF8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r>
      <w:tr w:rsidR="00C26079" w:rsidRPr="00C26079" w14:paraId="16E32156" w14:textId="77777777" w:rsidTr="00AF5422">
        <w:tc>
          <w:tcPr>
            <w:tcW w:w="3457" w:type="dxa"/>
            <w:tcBorders>
              <w:top w:val="single" w:sz="6" w:space="0" w:color="auto"/>
              <w:left w:val="single" w:sz="6" w:space="0" w:color="auto"/>
              <w:bottom w:val="single" w:sz="6" w:space="0" w:color="auto"/>
              <w:right w:val="nil"/>
            </w:tcBorders>
          </w:tcPr>
          <w:p w14:paraId="7564A28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Ramsar Advisory Missions</w:t>
            </w:r>
          </w:p>
        </w:tc>
        <w:tc>
          <w:tcPr>
            <w:tcW w:w="1304" w:type="dxa"/>
            <w:tcBorders>
              <w:top w:val="single" w:sz="6" w:space="0" w:color="auto"/>
              <w:left w:val="single" w:sz="6" w:space="0" w:color="auto"/>
              <w:bottom w:val="single" w:sz="6" w:space="0" w:color="auto"/>
              <w:right w:val="single" w:sz="6" w:space="0" w:color="auto"/>
            </w:tcBorders>
          </w:tcPr>
          <w:p w14:paraId="30BC7B6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9D5D37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B1D470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96</w:t>
            </w:r>
          </w:p>
        </w:tc>
        <w:tc>
          <w:tcPr>
            <w:tcW w:w="1304" w:type="dxa"/>
            <w:tcBorders>
              <w:top w:val="single" w:sz="6" w:space="0" w:color="auto"/>
              <w:left w:val="single" w:sz="6" w:space="0" w:color="auto"/>
              <w:bottom w:val="single" w:sz="6" w:space="0" w:color="auto"/>
              <w:right w:val="single" w:sz="6" w:space="0" w:color="auto"/>
            </w:tcBorders>
          </w:tcPr>
          <w:p w14:paraId="1D3BB5F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6C14C7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09FCC8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96</w:t>
            </w:r>
          </w:p>
        </w:tc>
        <w:tc>
          <w:tcPr>
            <w:tcW w:w="1304" w:type="dxa"/>
            <w:tcBorders>
              <w:top w:val="single" w:sz="6" w:space="0" w:color="auto"/>
              <w:left w:val="nil"/>
              <w:bottom w:val="single" w:sz="6" w:space="0" w:color="auto"/>
              <w:right w:val="nil"/>
            </w:tcBorders>
          </w:tcPr>
          <w:p w14:paraId="5D76E3B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50B8B1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96</w:t>
            </w:r>
          </w:p>
        </w:tc>
      </w:tr>
      <w:tr w:rsidR="00C26079" w:rsidRPr="00C26079" w14:paraId="1D1D7272" w14:textId="77777777" w:rsidTr="00AF5422">
        <w:tc>
          <w:tcPr>
            <w:tcW w:w="3457" w:type="dxa"/>
            <w:tcBorders>
              <w:top w:val="nil"/>
              <w:left w:val="single" w:sz="6" w:space="0" w:color="auto"/>
              <w:bottom w:val="nil"/>
              <w:right w:val="nil"/>
            </w:tcBorders>
            <w:shd w:val="clear" w:color="auto" w:fill="EAF1DD" w:themeFill="accent3" w:themeFillTint="33"/>
          </w:tcPr>
          <w:p w14:paraId="22829405"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D.  Support to Regional Initiatives</w:t>
            </w:r>
          </w:p>
        </w:tc>
        <w:tc>
          <w:tcPr>
            <w:tcW w:w="1304" w:type="dxa"/>
            <w:tcBorders>
              <w:top w:val="nil"/>
              <w:left w:val="single" w:sz="6" w:space="0" w:color="auto"/>
              <w:bottom w:val="nil"/>
              <w:right w:val="single" w:sz="6" w:space="0" w:color="auto"/>
            </w:tcBorders>
            <w:shd w:val="clear" w:color="auto" w:fill="EAF1DD" w:themeFill="accent3" w:themeFillTint="33"/>
          </w:tcPr>
          <w:p w14:paraId="06754B0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60</w:t>
            </w:r>
          </w:p>
        </w:tc>
        <w:tc>
          <w:tcPr>
            <w:tcW w:w="1304" w:type="dxa"/>
            <w:tcBorders>
              <w:top w:val="nil"/>
              <w:left w:val="single" w:sz="6" w:space="0" w:color="auto"/>
              <w:bottom w:val="nil"/>
              <w:right w:val="single" w:sz="6" w:space="0" w:color="auto"/>
            </w:tcBorders>
            <w:shd w:val="clear" w:color="auto" w:fill="EAF1DD" w:themeFill="accent3" w:themeFillTint="33"/>
          </w:tcPr>
          <w:p w14:paraId="5CCB07E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73FB1F0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87</w:t>
            </w:r>
          </w:p>
        </w:tc>
        <w:tc>
          <w:tcPr>
            <w:tcW w:w="1304" w:type="dxa"/>
            <w:tcBorders>
              <w:top w:val="nil"/>
              <w:left w:val="single" w:sz="6" w:space="0" w:color="auto"/>
              <w:bottom w:val="nil"/>
              <w:right w:val="single" w:sz="6" w:space="0" w:color="auto"/>
            </w:tcBorders>
            <w:shd w:val="clear" w:color="auto" w:fill="EAF1DD" w:themeFill="accent3" w:themeFillTint="33"/>
          </w:tcPr>
          <w:p w14:paraId="03E14D6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7562E20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20</w:t>
            </w:r>
          </w:p>
        </w:tc>
        <w:tc>
          <w:tcPr>
            <w:tcW w:w="1304" w:type="dxa"/>
            <w:tcBorders>
              <w:top w:val="nil"/>
              <w:left w:val="single" w:sz="6" w:space="0" w:color="auto"/>
              <w:bottom w:val="nil"/>
              <w:right w:val="single" w:sz="6" w:space="0" w:color="auto"/>
            </w:tcBorders>
            <w:shd w:val="clear" w:color="auto" w:fill="EAF1DD" w:themeFill="accent3" w:themeFillTint="33"/>
          </w:tcPr>
          <w:p w14:paraId="6D86D5B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167</w:t>
            </w:r>
          </w:p>
        </w:tc>
        <w:tc>
          <w:tcPr>
            <w:tcW w:w="1304" w:type="dxa"/>
            <w:tcBorders>
              <w:top w:val="nil"/>
              <w:left w:val="nil"/>
              <w:bottom w:val="nil"/>
              <w:right w:val="nil"/>
            </w:tcBorders>
            <w:shd w:val="clear" w:color="auto" w:fill="EAF1DD" w:themeFill="accent3" w:themeFillTint="33"/>
          </w:tcPr>
          <w:p w14:paraId="68C1313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70</w:t>
            </w:r>
          </w:p>
        </w:tc>
        <w:tc>
          <w:tcPr>
            <w:tcW w:w="1304" w:type="dxa"/>
            <w:tcBorders>
              <w:top w:val="nil"/>
              <w:left w:val="single" w:sz="6" w:space="0" w:color="auto"/>
              <w:bottom w:val="nil"/>
              <w:right w:val="single" w:sz="6" w:space="0" w:color="auto"/>
            </w:tcBorders>
            <w:shd w:val="clear" w:color="auto" w:fill="EAF1DD" w:themeFill="accent3" w:themeFillTint="33"/>
          </w:tcPr>
          <w:p w14:paraId="568A925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97</w:t>
            </w:r>
          </w:p>
        </w:tc>
      </w:tr>
      <w:tr w:rsidR="00C26079" w:rsidRPr="00C26079" w14:paraId="1A668C63" w14:textId="77777777" w:rsidTr="00AF5422">
        <w:tc>
          <w:tcPr>
            <w:tcW w:w="3457" w:type="dxa"/>
            <w:tcBorders>
              <w:top w:val="single" w:sz="6" w:space="0" w:color="auto"/>
              <w:left w:val="single" w:sz="6" w:space="0" w:color="auto"/>
              <w:bottom w:val="single" w:sz="6" w:space="0" w:color="auto"/>
              <w:right w:val="nil"/>
            </w:tcBorders>
          </w:tcPr>
          <w:p w14:paraId="0DBC3A89" w14:textId="77777777" w:rsidR="00C26079" w:rsidRPr="00ED620B" w:rsidRDefault="00C26079">
            <w:pPr>
              <w:autoSpaceDE w:val="0"/>
              <w:autoSpaceDN w:val="0"/>
              <w:adjustRightInd w:val="0"/>
              <w:ind w:left="0" w:firstLine="0"/>
              <w:rPr>
                <w:rFonts w:asciiTheme="minorHAnsi" w:eastAsiaTheme="minorHAnsi" w:hAnsiTheme="minorHAnsi" w:cstheme="minorHAnsi"/>
                <w:color w:val="000000"/>
                <w:sz w:val="20"/>
                <w:szCs w:val="20"/>
                <w:lang w:val="es-ES"/>
              </w:rPr>
            </w:pPr>
            <w:r w:rsidRPr="00ED620B">
              <w:rPr>
                <w:rFonts w:asciiTheme="minorHAnsi" w:eastAsiaTheme="minorHAnsi" w:hAnsiTheme="minorHAnsi" w:cstheme="minorHAnsi"/>
                <w:color w:val="000000"/>
                <w:sz w:val="20"/>
                <w:szCs w:val="20"/>
                <w:lang w:val="es-ES"/>
              </w:rPr>
              <w:t>RI WG Res. XIII.9,p9 para 10</w:t>
            </w:r>
          </w:p>
        </w:tc>
        <w:tc>
          <w:tcPr>
            <w:tcW w:w="1304" w:type="dxa"/>
            <w:tcBorders>
              <w:top w:val="single" w:sz="6" w:space="0" w:color="auto"/>
              <w:left w:val="single" w:sz="6" w:space="0" w:color="auto"/>
              <w:bottom w:val="single" w:sz="6" w:space="0" w:color="auto"/>
              <w:right w:val="single" w:sz="6" w:space="0" w:color="auto"/>
            </w:tcBorders>
          </w:tcPr>
          <w:p w14:paraId="091E595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C5506B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4F04EB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21</w:t>
            </w:r>
          </w:p>
        </w:tc>
        <w:tc>
          <w:tcPr>
            <w:tcW w:w="1304" w:type="dxa"/>
            <w:tcBorders>
              <w:top w:val="single" w:sz="6" w:space="0" w:color="auto"/>
              <w:left w:val="single" w:sz="6" w:space="0" w:color="auto"/>
              <w:bottom w:val="single" w:sz="6" w:space="0" w:color="auto"/>
              <w:right w:val="single" w:sz="6" w:space="0" w:color="auto"/>
            </w:tcBorders>
          </w:tcPr>
          <w:p w14:paraId="620966A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DB2EA4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3D2A40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21</w:t>
            </w:r>
          </w:p>
        </w:tc>
        <w:tc>
          <w:tcPr>
            <w:tcW w:w="1304" w:type="dxa"/>
            <w:tcBorders>
              <w:top w:val="single" w:sz="6" w:space="0" w:color="auto"/>
              <w:left w:val="nil"/>
              <w:bottom w:val="single" w:sz="6" w:space="0" w:color="auto"/>
              <w:right w:val="nil"/>
            </w:tcBorders>
          </w:tcPr>
          <w:p w14:paraId="72EC3CA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BE063E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21</w:t>
            </w:r>
          </w:p>
        </w:tc>
      </w:tr>
      <w:tr w:rsidR="00C26079" w:rsidRPr="00C26079" w14:paraId="5739204B" w14:textId="77777777" w:rsidTr="00AF5422">
        <w:tc>
          <w:tcPr>
            <w:tcW w:w="3457" w:type="dxa"/>
            <w:tcBorders>
              <w:top w:val="single" w:sz="6" w:space="0" w:color="auto"/>
              <w:left w:val="single" w:sz="6" w:space="0" w:color="auto"/>
              <w:bottom w:val="single" w:sz="6" w:space="0" w:color="auto"/>
              <w:right w:val="nil"/>
            </w:tcBorders>
          </w:tcPr>
          <w:p w14:paraId="6B246D3B"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Proposal Writing for RRIs</w:t>
            </w:r>
          </w:p>
        </w:tc>
        <w:tc>
          <w:tcPr>
            <w:tcW w:w="1304" w:type="dxa"/>
            <w:tcBorders>
              <w:top w:val="single" w:sz="6" w:space="0" w:color="auto"/>
              <w:left w:val="single" w:sz="6" w:space="0" w:color="auto"/>
              <w:bottom w:val="single" w:sz="6" w:space="0" w:color="auto"/>
              <w:right w:val="single" w:sz="6" w:space="0" w:color="auto"/>
            </w:tcBorders>
          </w:tcPr>
          <w:p w14:paraId="6F7F644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536A46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C4CD3B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4A62C8F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AC5132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57DCF4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single" w:sz="6" w:space="0" w:color="auto"/>
              <w:left w:val="nil"/>
              <w:bottom w:val="single" w:sz="6" w:space="0" w:color="auto"/>
              <w:right w:val="nil"/>
            </w:tcBorders>
          </w:tcPr>
          <w:p w14:paraId="4685FBD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1D1C06A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32E55382" w14:textId="77777777" w:rsidTr="00AF5422">
        <w:tc>
          <w:tcPr>
            <w:tcW w:w="3457" w:type="dxa"/>
            <w:tcBorders>
              <w:top w:val="nil"/>
              <w:left w:val="single" w:sz="6" w:space="0" w:color="auto"/>
              <w:bottom w:val="nil"/>
              <w:right w:val="nil"/>
            </w:tcBorders>
          </w:tcPr>
          <w:p w14:paraId="4598CA57"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Activity 1: Senegal Basin</w:t>
            </w:r>
          </w:p>
        </w:tc>
        <w:tc>
          <w:tcPr>
            <w:tcW w:w="1304" w:type="dxa"/>
            <w:tcBorders>
              <w:top w:val="nil"/>
              <w:left w:val="single" w:sz="6" w:space="0" w:color="auto"/>
              <w:bottom w:val="nil"/>
              <w:right w:val="single" w:sz="6" w:space="0" w:color="auto"/>
            </w:tcBorders>
          </w:tcPr>
          <w:p w14:paraId="1197576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w:t>
            </w:r>
          </w:p>
        </w:tc>
        <w:tc>
          <w:tcPr>
            <w:tcW w:w="1304" w:type="dxa"/>
            <w:tcBorders>
              <w:top w:val="nil"/>
              <w:left w:val="single" w:sz="6" w:space="0" w:color="auto"/>
              <w:bottom w:val="nil"/>
              <w:right w:val="single" w:sz="6" w:space="0" w:color="auto"/>
            </w:tcBorders>
          </w:tcPr>
          <w:p w14:paraId="7601D90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FF0832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8E3D79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7D1A73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1081AF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w:t>
            </w:r>
          </w:p>
        </w:tc>
        <w:tc>
          <w:tcPr>
            <w:tcW w:w="1304" w:type="dxa"/>
            <w:tcBorders>
              <w:top w:val="nil"/>
              <w:left w:val="nil"/>
              <w:bottom w:val="nil"/>
              <w:right w:val="nil"/>
            </w:tcBorders>
          </w:tcPr>
          <w:p w14:paraId="1EFFE5A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w:t>
            </w:r>
          </w:p>
        </w:tc>
        <w:tc>
          <w:tcPr>
            <w:tcW w:w="1304" w:type="dxa"/>
            <w:tcBorders>
              <w:top w:val="nil"/>
              <w:left w:val="single" w:sz="6" w:space="0" w:color="auto"/>
              <w:bottom w:val="nil"/>
              <w:right w:val="single" w:sz="6" w:space="0" w:color="auto"/>
            </w:tcBorders>
          </w:tcPr>
          <w:p w14:paraId="5A1A02A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738E3C79" w14:textId="77777777" w:rsidTr="00AF5422">
        <w:tc>
          <w:tcPr>
            <w:tcW w:w="3457" w:type="dxa"/>
            <w:tcBorders>
              <w:top w:val="single" w:sz="6" w:space="0" w:color="auto"/>
              <w:left w:val="single" w:sz="6" w:space="0" w:color="auto"/>
              <w:bottom w:val="single" w:sz="6" w:space="0" w:color="auto"/>
              <w:right w:val="nil"/>
            </w:tcBorders>
          </w:tcPr>
          <w:p w14:paraId="22C15F98"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Activity 2: Amazon Basin</w:t>
            </w:r>
          </w:p>
        </w:tc>
        <w:tc>
          <w:tcPr>
            <w:tcW w:w="1304" w:type="dxa"/>
            <w:tcBorders>
              <w:top w:val="single" w:sz="6" w:space="0" w:color="auto"/>
              <w:left w:val="single" w:sz="6" w:space="0" w:color="auto"/>
              <w:bottom w:val="single" w:sz="6" w:space="0" w:color="auto"/>
              <w:right w:val="single" w:sz="6" w:space="0" w:color="auto"/>
            </w:tcBorders>
          </w:tcPr>
          <w:p w14:paraId="6F7D1AF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w:t>
            </w:r>
          </w:p>
        </w:tc>
        <w:tc>
          <w:tcPr>
            <w:tcW w:w="1304" w:type="dxa"/>
            <w:tcBorders>
              <w:top w:val="single" w:sz="6" w:space="0" w:color="auto"/>
              <w:left w:val="single" w:sz="6" w:space="0" w:color="auto"/>
              <w:bottom w:val="single" w:sz="6" w:space="0" w:color="auto"/>
              <w:right w:val="single" w:sz="6" w:space="0" w:color="auto"/>
            </w:tcBorders>
          </w:tcPr>
          <w:p w14:paraId="2D8154C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59DE2F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61</w:t>
            </w:r>
          </w:p>
        </w:tc>
        <w:tc>
          <w:tcPr>
            <w:tcW w:w="1304" w:type="dxa"/>
            <w:tcBorders>
              <w:top w:val="single" w:sz="6" w:space="0" w:color="auto"/>
              <w:left w:val="single" w:sz="6" w:space="0" w:color="auto"/>
              <w:bottom w:val="single" w:sz="6" w:space="0" w:color="auto"/>
              <w:right w:val="single" w:sz="6" w:space="0" w:color="auto"/>
            </w:tcBorders>
          </w:tcPr>
          <w:p w14:paraId="25189F3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CA1663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6DA0B6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76</w:t>
            </w:r>
          </w:p>
        </w:tc>
        <w:tc>
          <w:tcPr>
            <w:tcW w:w="1304" w:type="dxa"/>
            <w:tcBorders>
              <w:top w:val="single" w:sz="6" w:space="0" w:color="auto"/>
              <w:left w:val="nil"/>
              <w:bottom w:val="single" w:sz="6" w:space="0" w:color="auto"/>
              <w:right w:val="nil"/>
            </w:tcBorders>
          </w:tcPr>
          <w:p w14:paraId="45F4C26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9D24AD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76</w:t>
            </w:r>
          </w:p>
        </w:tc>
      </w:tr>
      <w:tr w:rsidR="00C26079" w:rsidRPr="00C26079" w14:paraId="40FD68A3" w14:textId="77777777" w:rsidTr="00AF5422">
        <w:tc>
          <w:tcPr>
            <w:tcW w:w="3457" w:type="dxa"/>
            <w:tcBorders>
              <w:top w:val="nil"/>
              <w:left w:val="single" w:sz="6" w:space="0" w:color="auto"/>
              <w:bottom w:val="nil"/>
              <w:right w:val="nil"/>
            </w:tcBorders>
          </w:tcPr>
          <w:p w14:paraId="32B2DF6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Activity 3: Central Asia</w:t>
            </w:r>
          </w:p>
        </w:tc>
        <w:tc>
          <w:tcPr>
            <w:tcW w:w="1304" w:type="dxa"/>
            <w:tcBorders>
              <w:top w:val="nil"/>
              <w:left w:val="single" w:sz="6" w:space="0" w:color="auto"/>
              <w:bottom w:val="nil"/>
              <w:right w:val="single" w:sz="6" w:space="0" w:color="auto"/>
            </w:tcBorders>
          </w:tcPr>
          <w:p w14:paraId="1331263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w:t>
            </w:r>
          </w:p>
        </w:tc>
        <w:tc>
          <w:tcPr>
            <w:tcW w:w="1304" w:type="dxa"/>
            <w:tcBorders>
              <w:top w:val="nil"/>
              <w:left w:val="single" w:sz="6" w:space="0" w:color="auto"/>
              <w:bottom w:val="nil"/>
              <w:right w:val="single" w:sz="6" w:space="0" w:color="auto"/>
            </w:tcBorders>
          </w:tcPr>
          <w:p w14:paraId="5F93135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85A063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0AE21E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356BF2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nil"/>
              <w:left w:val="single" w:sz="6" w:space="0" w:color="auto"/>
              <w:bottom w:val="nil"/>
              <w:right w:val="single" w:sz="6" w:space="0" w:color="auto"/>
            </w:tcBorders>
          </w:tcPr>
          <w:p w14:paraId="41EF41A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c>
          <w:tcPr>
            <w:tcW w:w="1304" w:type="dxa"/>
            <w:tcBorders>
              <w:top w:val="nil"/>
              <w:left w:val="nil"/>
              <w:bottom w:val="nil"/>
              <w:right w:val="nil"/>
            </w:tcBorders>
          </w:tcPr>
          <w:p w14:paraId="12B5CC3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c>
          <w:tcPr>
            <w:tcW w:w="1304" w:type="dxa"/>
            <w:tcBorders>
              <w:top w:val="nil"/>
              <w:left w:val="single" w:sz="6" w:space="0" w:color="auto"/>
              <w:bottom w:val="nil"/>
              <w:right w:val="single" w:sz="6" w:space="0" w:color="auto"/>
            </w:tcBorders>
          </w:tcPr>
          <w:p w14:paraId="6368A7E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32D20F27" w14:textId="77777777" w:rsidTr="00AF5422">
        <w:tc>
          <w:tcPr>
            <w:tcW w:w="3457" w:type="dxa"/>
            <w:tcBorders>
              <w:top w:val="single" w:sz="6" w:space="0" w:color="auto"/>
              <w:left w:val="single" w:sz="6" w:space="0" w:color="auto"/>
              <w:bottom w:val="single" w:sz="6" w:space="0" w:color="auto"/>
              <w:right w:val="nil"/>
            </w:tcBorders>
          </w:tcPr>
          <w:p w14:paraId="54A3FF65"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Activity 4: Indo-Burma</w:t>
            </w:r>
          </w:p>
        </w:tc>
        <w:tc>
          <w:tcPr>
            <w:tcW w:w="1304" w:type="dxa"/>
            <w:tcBorders>
              <w:top w:val="single" w:sz="6" w:space="0" w:color="auto"/>
              <w:left w:val="single" w:sz="6" w:space="0" w:color="auto"/>
              <w:bottom w:val="single" w:sz="6" w:space="0" w:color="auto"/>
              <w:right w:val="single" w:sz="6" w:space="0" w:color="auto"/>
            </w:tcBorders>
          </w:tcPr>
          <w:p w14:paraId="328998C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w:t>
            </w:r>
          </w:p>
        </w:tc>
        <w:tc>
          <w:tcPr>
            <w:tcW w:w="1304" w:type="dxa"/>
            <w:tcBorders>
              <w:top w:val="single" w:sz="6" w:space="0" w:color="auto"/>
              <w:left w:val="single" w:sz="6" w:space="0" w:color="auto"/>
              <w:bottom w:val="single" w:sz="6" w:space="0" w:color="auto"/>
              <w:right w:val="single" w:sz="6" w:space="0" w:color="auto"/>
            </w:tcBorders>
          </w:tcPr>
          <w:p w14:paraId="63B741B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860FC8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BC3670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2538D8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3A69005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c>
          <w:tcPr>
            <w:tcW w:w="1304" w:type="dxa"/>
            <w:tcBorders>
              <w:top w:val="single" w:sz="6" w:space="0" w:color="auto"/>
              <w:left w:val="nil"/>
              <w:bottom w:val="single" w:sz="6" w:space="0" w:color="auto"/>
              <w:right w:val="nil"/>
            </w:tcBorders>
          </w:tcPr>
          <w:p w14:paraId="693E8EA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c>
          <w:tcPr>
            <w:tcW w:w="1304" w:type="dxa"/>
            <w:tcBorders>
              <w:top w:val="single" w:sz="6" w:space="0" w:color="auto"/>
              <w:left w:val="single" w:sz="6" w:space="0" w:color="auto"/>
              <w:bottom w:val="single" w:sz="6" w:space="0" w:color="auto"/>
              <w:right w:val="single" w:sz="6" w:space="0" w:color="auto"/>
            </w:tcBorders>
          </w:tcPr>
          <w:p w14:paraId="1FF2707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1F18BBEF" w14:textId="77777777" w:rsidTr="00AF5422">
        <w:tc>
          <w:tcPr>
            <w:tcW w:w="3457" w:type="dxa"/>
            <w:tcBorders>
              <w:top w:val="nil"/>
              <w:left w:val="single" w:sz="6" w:space="0" w:color="auto"/>
              <w:bottom w:val="nil"/>
              <w:right w:val="nil"/>
            </w:tcBorders>
            <w:shd w:val="clear" w:color="auto" w:fill="EAF1DD" w:themeFill="accent3" w:themeFillTint="33"/>
          </w:tcPr>
          <w:p w14:paraId="3F9C174C"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E.  Scientific and Technical Services</w:t>
            </w:r>
          </w:p>
        </w:tc>
        <w:tc>
          <w:tcPr>
            <w:tcW w:w="1304" w:type="dxa"/>
            <w:tcBorders>
              <w:top w:val="nil"/>
              <w:left w:val="single" w:sz="6" w:space="0" w:color="auto"/>
              <w:bottom w:val="nil"/>
              <w:right w:val="single" w:sz="6" w:space="0" w:color="auto"/>
            </w:tcBorders>
            <w:shd w:val="clear" w:color="auto" w:fill="EAF1DD" w:themeFill="accent3" w:themeFillTint="33"/>
          </w:tcPr>
          <w:p w14:paraId="6236871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813</w:t>
            </w:r>
          </w:p>
        </w:tc>
        <w:tc>
          <w:tcPr>
            <w:tcW w:w="1304" w:type="dxa"/>
            <w:tcBorders>
              <w:top w:val="nil"/>
              <w:left w:val="single" w:sz="6" w:space="0" w:color="auto"/>
              <w:bottom w:val="nil"/>
              <w:right w:val="single" w:sz="6" w:space="0" w:color="auto"/>
            </w:tcBorders>
            <w:shd w:val="clear" w:color="auto" w:fill="EAF1DD" w:themeFill="accent3" w:themeFillTint="33"/>
          </w:tcPr>
          <w:p w14:paraId="60E8637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shd w:val="clear" w:color="auto" w:fill="EAF1DD" w:themeFill="accent3" w:themeFillTint="33"/>
          </w:tcPr>
          <w:p w14:paraId="4E3C2F8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121</w:t>
            </w:r>
          </w:p>
        </w:tc>
        <w:tc>
          <w:tcPr>
            <w:tcW w:w="1304" w:type="dxa"/>
            <w:tcBorders>
              <w:top w:val="nil"/>
              <w:left w:val="single" w:sz="6" w:space="0" w:color="auto"/>
              <w:bottom w:val="nil"/>
              <w:right w:val="single" w:sz="6" w:space="0" w:color="auto"/>
            </w:tcBorders>
            <w:shd w:val="clear" w:color="auto" w:fill="EAF1DD" w:themeFill="accent3" w:themeFillTint="33"/>
          </w:tcPr>
          <w:p w14:paraId="75F85EC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67</w:t>
            </w:r>
          </w:p>
        </w:tc>
        <w:tc>
          <w:tcPr>
            <w:tcW w:w="1304" w:type="dxa"/>
            <w:tcBorders>
              <w:top w:val="nil"/>
              <w:left w:val="single" w:sz="6" w:space="0" w:color="auto"/>
              <w:bottom w:val="nil"/>
              <w:right w:val="single" w:sz="6" w:space="0" w:color="auto"/>
            </w:tcBorders>
            <w:shd w:val="clear" w:color="auto" w:fill="EAF1DD" w:themeFill="accent3" w:themeFillTint="33"/>
          </w:tcPr>
          <w:p w14:paraId="5459DBF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1658E94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1,006</w:t>
            </w:r>
          </w:p>
        </w:tc>
        <w:tc>
          <w:tcPr>
            <w:tcW w:w="1304" w:type="dxa"/>
            <w:tcBorders>
              <w:top w:val="nil"/>
              <w:left w:val="nil"/>
              <w:bottom w:val="nil"/>
              <w:right w:val="nil"/>
            </w:tcBorders>
            <w:shd w:val="clear" w:color="auto" w:fill="EAF1DD" w:themeFill="accent3" w:themeFillTint="33"/>
          </w:tcPr>
          <w:p w14:paraId="6BF9178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564</w:t>
            </w:r>
          </w:p>
        </w:tc>
        <w:tc>
          <w:tcPr>
            <w:tcW w:w="1304" w:type="dxa"/>
            <w:tcBorders>
              <w:top w:val="nil"/>
              <w:left w:val="single" w:sz="6" w:space="0" w:color="auto"/>
              <w:bottom w:val="nil"/>
              <w:right w:val="single" w:sz="6" w:space="0" w:color="auto"/>
            </w:tcBorders>
            <w:shd w:val="clear" w:color="auto" w:fill="EAF1DD" w:themeFill="accent3" w:themeFillTint="33"/>
          </w:tcPr>
          <w:p w14:paraId="4E07DF9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442</w:t>
            </w:r>
          </w:p>
        </w:tc>
      </w:tr>
      <w:tr w:rsidR="00C26079" w:rsidRPr="00C26079" w14:paraId="7BCCF7DD" w14:textId="77777777" w:rsidTr="00AF5422">
        <w:tc>
          <w:tcPr>
            <w:tcW w:w="3457" w:type="dxa"/>
            <w:tcBorders>
              <w:top w:val="single" w:sz="6" w:space="0" w:color="auto"/>
              <w:left w:val="single" w:sz="6" w:space="0" w:color="auto"/>
              <w:bottom w:val="single" w:sz="6" w:space="0" w:color="auto"/>
              <w:right w:val="nil"/>
            </w:tcBorders>
          </w:tcPr>
          <w:p w14:paraId="12EE75C7"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Salaries and social costs</w:t>
            </w:r>
          </w:p>
        </w:tc>
        <w:tc>
          <w:tcPr>
            <w:tcW w:w="1304" w:type="dxa"/>
            <w:tcBorders>
              <w:top w:val="single" w:sz="6" w:space="0" w:color="auto"/>
              <w:left w:val="single" w:sz="6" w:space="0" w:color="auto"/>
              <w:bottom w:val="single" w:sz="6" w:space="0" w:color="auto"/>
              <w:right w:val="single" w:sz="6" w:space="0" w:color="auto"/>
            </w:tcBorders>
          </w:tcPr>
          <w:p w14:paraId="6128FE6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649</w:t>
            </w:r>
          </w:p>
        </w:tc>
        <w:tc>
          <w:tcPr>
            <w:tcW w:w="1304" w:type="dxa"/>
            <w:tcBorders>
              <w:top w:val="single" w:sz="6" w:space="0" w:color="auto"/>
              <w:left w:val="single" w:sz="6" w:space="0" w:color="auto"/>
              <w:bottom w:val="single" w:sz="6" w:space="0" w:color="auto"/>
              <w:right w:val="single" w:sz="6" w:space="0" w:color="auto"/>
            </w:tcBorders>
          </w:tcPr>
          <w:p w14:paraId="7CB393B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036FAC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8402ED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31</w:t>
            </w:r>
          </w:p>
        </w:tc>
        <w:tc>
          <w:tcPr>
            <w:tcW w:w="1304" w:type="dxa"/>
            <w:tcBorders>
              <w:top w:val="single" w:sz="6" w:space="0" w:color="auto"/>
              <w:left w:val="single" w:sz="6" w:space="0" w:color="auto"/>
              <w:bottom w:val="single" w:sz="6" w:space="0" w:color="auto"/>
              <w:right w:val="single" w:sz="6" w:space="0" w:color="auto"/>
            </w:tcBorders>
          </w:tcPr>
          <w:p w14:paraId="4150BF1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1BF09C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680</w:t>
            </w:r>
          </w:p>
        </w:tc>
        <w:tc>
          <w:tcPr>
            <w:tcW w:w="1304" w:type="dxa"/>
            <w:tcBorders>
              <w:top w:val="single" w:sz="6" w:space="0" w:color="auto"/>
              <w:left w:val="nil"/>
              <w:bottom w:val="single" w:sz="6" w:space="0" w:color="auto"/>
              <w:right w:val="nil"/>
            </w:tcBorders>
          </w:tcPr>
          <w:p w14:paraId="28E6006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454</w:t>
            </w:r>
          </w:p>
        </w:tc>
        <w:tc>
          <w:tcPr>
            <w:tcW w:w="1304" w:type="dxa"/>
            <w:tcBorders>
              <w:top w:val="single" w:sz="6" w:space="0" w:color="auto"/>
              <w:left w:val="single" w:sz="6" w:space="0" w:color="auto"/>
              <w:bottom w:val="single" w:sz="6" w:space="0" w:color="auto"/>
              <w:right w:val="single" w:sz="6" w:space="0" w:color="auto"/>
            </w:tcBorders>
          </w:tcPr>
          <w:p w14:paraId="1AA9B68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226</w:t>
            </w:r>
          </w:p>
        </w:tc>
      </w:tr>
      <w:tr w:rsidR="00C26079" w:rsidRPr="00C26079" w14:paraId="302F8581" w14:textId="77777777" w:rsidTr="00AF5422">
        <w:tc>
          <w:tcPr>
            <w:tcW w:w="3457" w:type="dxa"/>
            <w:tcBorders>
              <w:top w:val="nil"/>
              <w:left w:val="single" w:sz="6" w:space="0" w:color="auto"/>
              <w:bottom w:val="nil"/>
              <w:right w:val="nil"/>
            </w:tcBorders>
          </w:tcPr>
          <w:p w14:paraId="014DE5C8"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Other employment benefits</w:t>
            </w:r>
          </w:p>
        </w:tc>
        <w:tc>
          <w:tcPr>
            <w:tcW w:w="1304" w:type="dxa"/>
            <w:tcBorders>
              <w:top w:val="nil"/>
              <w:left w:val="single" w:sz="6" w:space="0" w:color="auto"/>
              <w:bottom w:val="nil"/>
              <w:right w:val="single" w:sz="6" w:space="0" w:color="auto"/>
            </w:tcBorders>
          </w:tcPr>
          <w:p w14:paraId="2474CCF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w:t>
            </w:r>
          </w:p>
        </w:tc>
        <w:tc>
          <w:tcPr>
            <w:tcW w:w="1304" w:type="dxa"/>
            <w:tcBorders>
              <w:top w:val="nil"/>
              <w:left w:val="single" w:sz="6" w:space="0" w:color="auto"/>
              <w:bottom w:val="nil"/>
              <w:right w:val="single" w:sz="6" w:space="0" w:color="auto"/>
            </w:tcBorders>
          </w:tcPr>
          <w:p w14:paraId="2FE74EF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7CCF9B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D93AD9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w:t>
            </w:r>
          </w:p>
        </w:tc>
        <w:tc>
          <w:tcPr>
            <w:tcW w:w="1304" w:type="dxa"/>
            <w:tcBorders>
              <w:top w:val="nil"/>
              <w:left w:val="single" w:sz="6" w:space="0" w:color="auto"/>
              <w:bottom w:val="nil"/>
              <w:right w:val="single" w:sz="6" w:space="0" w:color="auto"/>
            </w:tcBorders>
          </w:tcPr>
          <w:p w14:paraId="55784BE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305D8E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w:t>
            </w:r>
          </w:p>
        </w:tc>
        <w:tc>
          <w:tcPr>
            <w:tcW w:w="1304" w:type="dxa"/>
            <w:tcBorders>
              <w:top w:val="nil"/>
              <w:left w:val="nil"/>
              <w:bottom w:val="nil"/>
              <w:right w:val="nil"/>
            </w:tcBorders>
          </w:tcPr>
          <w:p w14:paraId="125E0D6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D34DDD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w:t>
            </w:r>
          </w:p>
        </w:tc>
      </w:tr>
      <w:tr w:rsidR="00C26079" w:rsidRPr="00C26079" w14:paraId="0B00C996" w14:textId="77777777" w:rsidTr="00AF5422">
        <w:tc>
          <w:tcPr>
            <w:tcW w:w="3457" w:type="dxa"/>
            <w:tcBorders>
              <w:top w:val="single" w:sz="6" w:space="0" w:color="auto"/>
              <w:left w:val="single" w:sz="6" w:space="0" w:color="auto"/>
              <w:bottom w:val="single" w:sz="6" w:space="0" w:color="auto"/>
              <w:right w:val="nil"/>
            </w:tcBorders>
          </w:tcPr>
          <w:p w14:paraId="2A217E21"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Travel</w:t>
            </w:r>
          </w:p>
        </w:tc>
        <w:tc>
          <w:tcPr>
            <w:tcW w:w="1304" w:type="dxa"/>
            <w:tcBorders>
              <w:top w:val="single" w:sz="6" w:space="0" w:color="auto"/>
              <w:left w:val="single" w:sz="6" w:space="0" w:color="auto"/>
              <w:bottom w:val="single" w:sz="6" w:space="0" w:color="auto"/>
              <w:right w:val="single" w:sz="6" w:space="0" w:color="auto"/>
            </w:tcBorders>
          </w:tcPr>
          <w:p w14:paraId="61F090C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64EF057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0B2C5D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55D51E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81BE19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0AAFD9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nil"/>
              <w:bottom w:val="single" w:sz="6" w:space="0" w:color="auto"/>
              <w:right w:val="nil"/>
            </w:tcBorders>
          </w:tcPr>
          <w:p w14:paraId="2ACF03C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w:t>
            </w:r>
          </w:p>
        </w:tc>
        <w:tc>
          <w:tcPr>
            <w:tcW w:w="1304" w:type="dxa"/>
            <w:tcBorders>
              <w:top w:val="single" w:sz="6" w:space="0" w:color="auto"/>
              <w:left w:val="single" w:sz="6" w:space="0" w:color="auto"/>
              <w:bottom w:val="single" w:sz="6" w:space="0" w:color="auto"/>
              <w:right w:val="single" w:sz="6" w:space="0" w:color="auto"/>
            </w:tcBorders>
          </w:tcPr>
          <w:p w14:paraId="62D11AD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w:t>
            </w:r>
          </w:p>
        </w:tc>
      </w:tr>
      <w:tr w:rsidR="00C26079" w:rsidRPr="00C26079" w14:paraId="3D1423C9" w14:textId="77777777" w:rsidTr="00AF5422">
        <w:tc>
          <w:tcPr>
            <w:tcW w:w="3457" w:type="dxa"/>
            <w:tcBorders>
              <w:top w:val="single" w:sz="6" w:space="0" w:color="auto"/>
              <w:left w:val="single" w:sz="6" w:space="0" w:color="auto"/>
              <w:bottom w:val="single" w:sz="6" w:space="0" w:color="auto"/>
              <w:right w:val="nil"/>
            </w:tcBorders>
          </w:tcPr>
          <w:p w14:paraId="38423A89"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Travel STRP Chair</w:t>
            </w:r>
          </w:p>
        </w:tc>
        <w:tc>
          <w:tcPr>
            <w:tcW w:w="1304" w:type="dxa"/>
            <w:tcBorders>
              <w:top w:val="single" w:sz="6" w:space="0" w:color="auto"/>
              <w:left w:val="single" w:sz="6" w:space="0" w:color="auto"/>
              <w:bottom w:val="single" w:sz="6" w:space="0" w:color="auto"/>
              <w:right w:val="single" w:sz="6" w:space="0" w:color="auto"/>
            </w:tcBorders>
          </w:tcPr>
          <w:p w14:paraId="5FCC78B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single" w:sz="6" w:space="0" w:color="auto"/>
              <w:left w:val="single" w:sz="6" w:space="0" w:color="auto"/>
              <w:bottom w:val="single" w:sz="6" w:space="0" w:color="auto"/>
              <w:right w:val="single" w:sz="6" w:space="0" w:color="auto"/>
            </w:tcBorders>
          </w:tcPr>
          <w:p w14:paraId="423F708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6CD9EE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956AB6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w:t>
            </w:r>
          </w:p>
        </w:tc>
        <w:tc>
          <w:tcPr>
            <w:tcW w:w="1304" w:type="dxa"/>
            <w:tcBorders>
              <w:top w:val="single" w:sz="6" w:space="0" w:color="auto"/>
              <w:left w:val="single" w:sz="6" w:space="0" w:color="auto"/>
              <w:bottom w:val="single" w:sz="6" w:space="0" w:color="auto"/>
              <w:right w:val="single" w:sz="6" w:space="0" w:color="auto"/>
            </w:tcBorders>
          </w:tcPr>
          <w:p w14:paraId="3CFBAA2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DBB521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w:t>
            </w:r>
          </w:p>
        </w:tc>
        <w:tc>
          <w:tcPr>
            <w:tcW w:w="1304" w:type="dxa"/>
            <w:tcBorders>
              <w:top w:val="single" w:sz="6" w:space="0" w:color="auto"/>
              <w:left w:val="nil"/>
              <w:bottom w:val="single" w:sz="6" w:space="0" w:color="auto"/>
              <w:right w:val="nil"/>
            </w:tcBorders>
          </w:tcPr>
          <w:p w14:paraId="36481CF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78CBBF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w:t>
            </w:r>
          </w:p>
        </w:tc>
      </w:tr>
      <w:tr w:rsidR="00C26079" w:rsidRPr="00C26079" w14:paraId="7DC628A9" w14:textId="77777777" w:rsidTr="00AF5422">
        <w:tc>
          <w:tcPr>
            <w:tcW w:w="3457" w:type="dxa"/>
            <w:tcBorders>
              <w:top w:val="nil"/>
              <w:left w:val="single" w:sz="6" w:space="0" w:color="auto"/>
              <w:bottom w:val="nil"/>
              <w:right w:val="nil"/>
            </w:tcBorders>
          </w:tcPr>
          <w:p w14:paraId="48ADB82D"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STRP implementation</w:t>
            </w:r>
          </w:p>
        </w:tc>
        <w:tc>
          <w:tcPr>
            <w:tcW w:w="1304" w:type="dxa"/>
            <w:tcBorders>
              <w:top w:val="nil"/>
              <w:left w:val="single" w:sz="6" w:space="0" w:color="auto"/>
              <w:bottom w:val="nil"/>
              <w:right w:val="single" w:sz="6" w:space="0" w:color="auto"/>
            </w:tcBorders>
          </w:tcPr>
          <w:p w14:paraId="4B7F6E3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35</w:t>
            </w:r>
          </w:p>
        </w:tc>
        <w:tc>
          <w:tcPr>
            <w:tcW w:w="1304" w:type="dxa"/>
            <w:tcBorders>
              <w:top w:val="nil"/>
              <w:left w:val="single" w:sz="6" w:space="0" w:color="auto"/>
              <w:bottom w:val="nil"/>
              <w:right w:val="single" w:sz="6" w:space="0" w:color="auto"/>
            </w:tcBorders>
          </w:tcPr>
          <w:p w14:paraId="72B4F67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2360516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11FC75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31</w:t>
            </w:r>
          </w:p>
        </w:tc>
        <w:tc>
          <w:tcPr>
            <w:tcW w:w="1304" w:type="dxa"/>
            <w:tcBorders>
              <w:top w:val="nil"/>
              <w:left w:val="single" w:sz="6" w:space="0" w:color="auto"/>
              <w:bottom w:val="nil"/>
              <w:right w:val="single" w:sz="6" w:space="0" w:color="auto"/>
            </w:tcBorders>
          </w:tcPr>
          <w:p w14:paraId="7B2F362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D3DAFC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71</w:t>
            </w:r>
          </w:p>
        </w:tc>
        <w:tc>
          <w:tcPr>
            <w:tcW w:w="1304" w:type="dxa"/>
            <w:tcBorders>
              <w:top w:val="nil"/>
              <w:left w:val="nil"/>
              <w:bottom w:val="nil"/>
              <w:right w:val="nil"/>
            </w:tcBorders>
          </w:tcPr>
          <w:p w14:paraId="228CC93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12</w:t>
            </w:r>
          </w:p>
        </w:tc>
        <w:tc>
          <w:tcPr>
            <w:tcW w:w="1304" w:type="dxa"/>
            <w:tcBorders>
              <w:top w:val="nil"/>
              <w:left w:val="single" w:sz="6" w:space="0" w:color="auto"/>
              <w:bottom w:val="nil"/>
              <w:right w:val="single" w:sz="6" w:space="0" w:color="auto"/>
            </w:tcBorders>
          </w:tcPr>
          <w:p w14:paraId="0E0F589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59</w:t>
            </w:r>
          </w:p>
        </w:tc>
      </w:tr>
      <w:tr w:rsidR="00C26079" w:rsidRPr="00C26079" w14:paraId="588BD847" w14:textId="77777777" w:rsidTr="00AF5422">
        <w:tc>
          <w:tcPr>
            <w:tcW w:w="3457" w:type="dxa"/>
            <w:tcBorders>
              <w:top w:val="single" w:sz="6" w:space="0" w:color="auto"/>
              <w:left w:val="single" w:sz="6" w:space="0" w:color="auto"/>
              <w:bottom w:val="single" w:sz="6" w:space="0" w:color="auto"/>
              <w:right w:val="nil"/>
            </w:tcBorders>
          </w:tcPr>
          <w:p w14:paraId="3612E81C"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STRP meetings</w:t>
            </w:r>
          </w:p>
        </w:tc>
        <w:tc>
          <w:tcPr>
            <w:tcW w:w="1304" w:type="dxa"/>
            <w:tcBorders>
              <w:top w:val="single" w:sz="6" w:space="0" w:color="auto"/>
              <w:left w:val="single" w:sz="6" w:space="0" w:color="auto"/>
              <w:bottom w:val="single" w:sz="6" w:space="0" w:color="auto"/>
              <w:right w:val="single" w:sz="6" w:space="0" w:color="auto"/>
            </w:tcBorders>
          </w:tcPr>
          <w:p w14:paraId="0E5F58C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50</w:t>
            </w:r>
          </w:p>
        </w:tc>
        <w:tc>
          <w:tcPr>
            <w:tcW w:w="1304" w:type="dxa"/>
            <w:tcBorders>
              <w:top w:val="single" w:sz="6" w:space="0" w:color="auto"/>
              <w:left w:val="single" w:sz="6" w:space="0" w:color="auto"/>
              <w:bottom w:val="single" w:sz="6" w:space="0" w:color="auto"/>
              <w:right w:val="single" w:sz="6" w:space="0" w:color="auto"/>
            </w:tcBorders>
          </w:tcPr>
          <w:p w14:paraId="7ADEC07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E8B333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D3944B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90DD1A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23013B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50</w:t>
            </w:r>
          </w:p>
        </w:tc>
        <w:tc>
          <w:tcPr>
            <w:tcW w:w="1304" w:type="dxa"/>
            <w:tcBorders>
              <w:top w:val="single" w:sz="6" w:space="0" w:color="auto"/>
              <w:left w:val="nil"/>
              <w:bottom w:val="single" w:sz="6" w:space="0" w:color="auto"/>
              <w:right w:val="nil"/>
            </w:tcBorders>
          </w:tcPr>
          <w:p w14:paraId="597006A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w:t>
            </w:r>
          </w:p>
        </w:tc>
        <w:tc>
          <w:tcPr>
            <w:tcW w:w="1304" w:type="dxa"/>
            <w:tcBorders>
              <w:top w:val="single" w:sz="6" w:space="0" w:color="auto"/>
              <w:left w:val="single" w:sz="6" w:space="0" w:color="auto"/>
              <w:bottom w:val="single" w:sz="6" w:space="0" w:color="auto"/>
              <w:right w:val="single" w:sz="6" w:space="0" w:color="auto"/>
            </w:tcBorders>
          </w:tcPr>
          <w:p w14:paraId="39BB111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44</w:t>
            </w:r>
          </w:p>
        </w:tc>
      </w:tr>
      <w:tr w:rsidR="00C26079" w:rsidRPr="00C26079" w14:paraId="171AAB24" w14:textId="77777777" w:rsidTr="00AF5422">
        <w:tc>
          <w:tcPr>
            <w:tcW w:w="3457" w:type="dxa"/>
            <w:tcBorders>
              <w:top w:val="single" w:sz="6" w:space="0" w:color="auto"/>
              <w:left w:val="single" w:sz="6" w:space="0" w:color="auto"/>
              <w:bottom w:val="single" w:sz="6" w:space="0" w:color="auto"/>
              <w:right w:val="nil"/>
            </w:tcBorders>
          </w:tcPr>
          <w:p w14:paraId="07F500B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Strategic Plan (2019 - 2021)</w:t>
            </w:r>
          </w:p>
        </w:tc>
        <w:tc>
          <w:tcPr>
            <w:tcW w:w="1304" w:type="dxa"/>
            <w:tcBorders>
              <w:top w:val="single" w:sz="6" w:space="0" w:color="auto"/>
              <w:left w:val="single" w:sz="6" w:space="0" w:color="auto"/>
              <w:bottom w:val="single" w:sz="6" w:space="0" w:color="auto"/>
              <w:right w:val="single" w:sz="6" w:space="0" w:color="auto"/>
            </w:tcBorders>
          </w:tcPr>
          <w:p w14:paraId="5D29866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D153AE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280F5C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29</w:t>
            </w:r>
          </w:p>
        </w:tc>
        <w:tc>
          <w:tcPr>
            <w:tcW w:w="1304" w:type="dxa"/>
            <w:tcBorders>
              <w:top w:val="single" w:sz="6" w:space="0" w:color="auto"/>
              <w:left w:val="single" w:sz="6" w:space="0" w:color="auto"/>
              <w:bottom w:val="single" w:sz="6" w:space="0" w:color="auto"/>
              <w:right w:val="single" w:sz="6" w:space="0" w:color="auto"/>
            </w:tcBorders>
          </w:tcPr>
          <w:p w14:paraId="3861889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0C1022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77BBBE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29</w:t>
            </w:r>
          </w:p>
        </w:tc>
        <w:tc>
          <w:tcPr>
            <w:tcW w:w="1304" w:type="dxa"/>
            <w:tcBorders>
              <w:top w:val="single" w:sz="6" w:space="0" w:color="auto"/>
              <w:left w:val="nil"/>
              <w:bottom w:val="single" w:sz="6" w:space="0" w:color="auto"/>
              <w:right w:val="nil"/>
            </w:tcBorders>
          </w:tcPr>
          <w:p w14:paraId="40E54A5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29</w:t>
            </w:r>
          </w:p>
        </w:tc>
        <w:tc>
          <w:tcPr>
            <w:tcW w:w="1304" w:type="dxa"/>
            <w:tcBorders>
              <w:top w:val="single" w:sz="6" w:space="0" w:color="auto"/>
              <w:left w:val="single" w:sz="6" w:space="0" w:color="auto"/>
              <w:bottom w:val="single" w:sz="6" w:space="0" w:color="auto"/>
              <w:right w:val="single" w:sz="6" w:space="0" w:color="auto"/>
            </w:tcBorders>
          </w:tcPr>
          <w:p w14:paraId="3760C96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0BA7238A" w14:textId="77777777" w:rsidTr="00AF5422">
        <w:tc>
          <w:tcPr>
            <w:tcW w:w="3457" w:type="dxa"/>
            <w:tcBorders>
              <w:top w:val="nil"/>
              <w:left w:val="single" w:sz="6" w:space="0" w:color="auto"/>
              <w:bottom w:val="nil"/>
              <w:right w:val="nil"/>
            </w:tcBorders>
          </w:tcPr>
          <w:p w14:paraId="75244530"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SDG 6.61 (Inventories)</w:t>
            </w:r>
          </w:p>
        </w:tc>
        <w:tc>
          <w:tcPr>
            <w:tcW w:w="1304" w:type="dxa"/>
            <w:tcBorders>
              <w:top w:val="nil"/>
              <w:left w:val="single" w:sz="6" w:space="0" w:color="auto"/>
              <w:bottom w:val="nil"/>
              <w:right w:val="single" w:sz="6" w:space="0" w:color="auto"/>
            </w:tcBorders>
          </w:tcPr>
          <w:p w14:paraId="0B7F3CB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B49497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594464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91</w:t>
            </w:r>
          </w:p>
        </w:tc>
        <w:tc>
          <w:tcPr>
            <w:tcW w:w="1304" w:type="dxa"/>
            <w:tcBorders>
              <w:top w:val="nil"/>
              <w:left w:val="single" w:sz="6" w:space="0" w:color="auto"/>
              <w:bottom w:val="nil"/>
              <w:right w:val="single" w:sz="6" w:space="0" w:color="auto"/>
            </w:tcBorders>
          </w:tcPr>
          <w:p w14:paraId="1458E8C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1E73C7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F06713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91</w:t>
            </w:r>
          </w:p>
        </w:tc>
        <w:tc>
          <w:tcPr>
            <w:tcW w:w="1304" w:type="dxa"/>
            <w:tcBorders>
              <w:top w:val="nil"/>
              <w:left w:val="nil"/>
              <w:bottom w:val="nil"/>
              <w:right w:val="nil"/>
            </w:tcBorders>
          </w:tcPr>
          <w:p w14:paraId="05327E1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20</w:t>
            </w:r>
          </w:p>
        </w:tc>
        <w:tc>
          <w:tcPr>
            <w:tcW w:w="1304" w:type="dxa"/>
            <w:tcBorders>
              <w:top w:val="nil"/>
              <w:left w:val="single" w:sz="6" w:space="0" w:color="auto"/>
              <w:bottom w:val="nil"/>
              <w:right w:val="single" w:sz="6" w:space="0" w:color="auto"/>
            </w:tcBorders>
          </w:tcPr>
          <w:p w14:paraId="7D1AE3E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72</w:t>
            </w:r>
          </w:p>
        </w:tc>
      </w:tr>
      <w:tr w:rsidR="00C26079" w:rsidRPr="00C26079" w14:paraId="14143253" w14:textId="77777777" w:rsidTr="00AF5422">
        <w:tc>
          <w:tcPr>
            <w:tcW w:w="3457" w:type="dxa"/>
            <w:tcBorders>
              <w:top w:val="single" w:sz="6" w:space="0" w:color="auto"/>
              <w:left w:val="single" w:sz="6" w:space="0" w:color="auto"/>
              <w:bottom w:val="single" w:sz="6" w:space="0" w:color="auto"/>
              <w:right w:val="nil"/>
            </w:tcBorders>
          </w:tcPr>
          <w:p w14:paraId="260B2533"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Ramsar Sites Information Service (maintenance and develop)</w:t>
            </w:r>
          </w:p>
        </w:tc>
        <w:tc>
          <w:tcPr>
            <w:tcW w:w="1304" w:type="dxa"/>
            <w:tcBorders>
              <w:top w:val="single" w:sz="6" w:space="0" w:color="auto"/>
              <w:left w:val="single" w:sz="6" w:space="0" w:color="auto"/>
              <w:bottom w:val="single" w:sz="6" w:space="0" w:color="auto"/>
              <w:right w:val="single" w:sz="6" w:space="0" w:color="auto"/>
            </w:tcBorders>
          </w:tcPr>
          <w:p w14:paraId="149ED49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60</w:t>
            </w:r>
          </w:p>
        </w:tc>
        <w:tc>
          <w:tcPr>
            <w:tcW w:w="1304" w:type="dxa"/>
            <w:tcBorders>
              <w:top w:val="single" w:sz="6" w:space="0" w:color="auto"/>
              <w:left w:val="single" w:sz="6" w:space="0" w:color="auto"/>
              <w:bottom w:val="single" w:sz="6" w:space="0" w:color="auto"/>
              <w:right w:val="single" w:sz="6" w:space="0" w:color="auto"/>
            </w:tcBorders>
          </w:tcPr>
          <w:p w14:paraId="2C4F88F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24738B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157800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4D835B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591606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60</w:t>
            </w:r>
          </w:p>
        </w:tc>
        <w:tc>
          <w:tcPr>
            <w:tcW w:w="1304" w:type="dxa"/>
            <w:tcBorders>
              <w:top w:val="single" w:sz="6" w:space="0" w:color="auto"/>
              <w:left w:val="nil"/>
              <w:bottom w:val="single" w:sz="6" w:space="0" w:color="auto"/>
              <w:right w:val="nil"/>
            </w:tcBorders>
          </w:tcPr>
          <w:p w14:paraId="752D101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37</w:t>
            </w:r>
          </w:p>
        </w:tc>
        <w:tc>
          <w:tcPr>
            <w:tcW w:w="1304" w:type="dxa"/>
            <w:tcBorders>
              <w:top w:val="single" w:sz="6" w:space="0" w:color="auto"/>
              <w:left w:val="single" w:sz="6" w:space="0" w:color="auto"/>
              <w:bottom w:val="single" w:sz="6" w:space="0" w:color="auto"/>
              <w:right w:val="single" w:sz="6" w:space="0" w:color="auto"/>
            </w:tcBorders>
          </w:tcPr>
          <w:p w14:paraId="5CCF343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23</w:t>
            </w:r>
          </w:p>
        </w:tc>
      </w:tr>
      <w:tr w:rsidR="00C26079" w:rsidRPr="00C26079" w14:paraId="4F58935E" w14:textId="77777777" w:rsidTr="00AF5422">
        <w:tc>
          <w:tcPr>
            <w:tcW w:w="3457" w:type="dxa"/>
            <w:tcBorders>
              <w:top w:val="nil"/>
              <w:left w:val="single" w:sz="6" w:space="0" w:color="auto"/>
              <w:bottom w:val="nil"/>
              <w:right w:val="nil"/>
            </w:tcBorders>
            <w:shd w:val="clear" w:color="auto" w:fill="EAF1DD" w:themeFill="accent3" w:themeFillTint="33"/>
          </w:tcPr>
          <w:p w14:paraId="65DB6108"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G.  Administration/RSIS/Web</w:t>
            </w:r>
          </w:p>
        </w:tc>
        <w:tc>
          <w:tcPr>
            <w:tcW w:w="1304" w:type="dxa"/>
            <w:tcBorders>
              <w:top w:val="nil"/>
              <w:left w:val="single" w:sz="6" w:space="0" w:color="auto"/>
              <w:bottom w:val="nil"/>
              <w:right w:val="single" w:sz="6" w:space="0" w:color="auto"/>
            </w:tcBorders>
            <w:shd w:val="clear" w:color="auto" w:fill="EAF1DD" w:themeFill="accent3" w:themeFillTint="33"/>
          </w:tcPr>
          <w:p w14:paraId="2C2669A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418</w:t>
            </w:r>
          </w:p>
        </w:tc>
        <w:tc>
          <w:tcPr>
            <w:tcW w:w="1304" w:type="dxa"/>
            <w:tcBorders>
              <w:top w:val="nil"/>
              <w:left w:val="single" w:sz="6" w:space="0" w:color="auto"/>
              <w:bottom w:val="nil"/>
              <w:right w:val="single" w:sz="6" w:space="0" w:color="auto"/>
            </w:tcBorders>
            <w:shd w:val="clear" w:color="auto" w:fill="EAF1DD" w:themeFill="accent3" w:themeFillTint="33"/>
          </w:tcPr>
          <w:p w14:paraId="58B07EF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11</w:t>
            </w:r>
          </w:p>
        </w:tc>
        <w:tc>
          <w:tcPr>
            <w:tcW w:w="1304" w:type="dxa"/>
            <w:tcBorders>
              <w:top w:val="nil"/>
              <w:left w:val="single" w:sz="6" w:space="0" w:color="auto"/>
              <w:bottom w:val="nil"/>
              <w:right w:val="single" w:sz="6" w:space="0" w:color="auto"/>
            </w:tcBorders>
            <w:shd w:val="clear" w:color="auto" w:fill="EAF1DD" w:themeFill="accent3" w:themeFillTint="33"/>
          </w:tcPr>
          <w:p w14:paraId="0603AC4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103</w:t>
            </w:r>
          </w:p>
        </w:tc>
        <w:tc>
          <w:tcPr>
            <w:tcW w:w="1304" w:type="dxa"/>
            <w:tcBorders>
              <w:top w:val="nil"/>
              <w:left w:val="single" w:sz="6" w:space="0" w:color="auto"/>
              <w:bottom w:val="nil"/>
              <w:right w:val="single" w:sz="6" w:space="0" w:color="auto"/>
            </w:tcBorders>
            <w:shd w:val="clear" w:color="auto" w:fill="EAF1DD" w:themeFill="accent3" w:themeFillTint="33"/>
          </w:tcPr>
          <w:p w14:paraId="55F45AB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26</w:t>
            </w:r>
          </w:p>
        </w:tc>
        <w:tc>
          <w:tcPr>
            <w:tcW w:w="1304" w:type="dxa"/>
            <w:tcBorders>
              <w:top w:val="nil"/>
              <w:left w:val="single" w:sz="6" w:space="0" w:color="auto"/>
              <w:bottom w:val="nil"/>
              <w:right w:val="single" w:sz="6" w:space="0" w:color="auto"/>
            </w:tcBorders>
            <w:shd w:val="clear" w:color="auto" w:fill="EAF1DD" w:themeFill="accent3" w:themeFillTint="33"/>
          </w:tcPr>
          <w:p w14:paraId="1A48BFD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73F3D4F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558</w:t>
            </w:r>
          </w:p>
        </w:tc>
        <w:tc>
          <w:tcPr>
            <w:tcW w:w="1304" w:type="dxa"/>
            <w:tcBorders>
              <w:top w:val="nil"/>
              <w:left w:val="nil"/>
              <w:bottom w:val="nil"/>
              <w:right w:val="nil"/>
            </w:tcBorders>
            <w:shd w:val="clear" w:color="auto" w:fill="EAF1DD" w:themeFill="accent3" w:themeFillTint="33"/>
          </w:tcPr>
          <w:p w14:paraId="6C3E2DB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447</w:t>
            </w:r>
          </w:p>
        </w:tc>
        <w:tc>
          <w:tcPr>
            <w:tcW w:w="1304" w:type="dxa"/>
            <w:tcBorders>
              <w:top w:val="nil"/>
              <w:left w:val="single" w:sz="6" w:space="0" w:color="auto"/>
              <w:bottom w:val="nil"/>
              <w:right w:val="single" w:sz="6" w:space="0" w:color="auto"/>
            </w:tcBorders>
            <w:shd w:val="clear" w:color="auto" w:fill="EAF1DD" w:themeFill="accent3" w:themeFillTint="33"/>
          </w:tcPr>
          <w:p w14:paraId="286BEC6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111</w:t>
            </w:r>
          </w:p>
        </w:tc>
      </w:tr>
      <w:tr w:rsidR="00C26079" w:rsidRPr="00C26079" w14:paraId="74739F92" w14:textId="77777777" w:rsidTr="00AF5422">
        <w:tc>
          <w:tcPr>
            <w:tcW w:w="3457" w:type="dxa"/>
            <w:tcBorders>
              <w:top w:val="single" w:sz="6" w:space="0" w:color="auto"/>
              <w:left w:val="single" w:sz="6" w:space="0" w:color="auto"/>
              <w:bottom w:val="single" w:sz="6" w:space="0" w:color="auto"/>
              <w:right w:val="nil"/>
            </w:tcBorders>
          </w:tcPr>
          <w:p w14:paraId="141A4B3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Salaries and social costs</w:t>
            </w:r>
          </w:p>
        </w:tc>
        <w:tc>
          <w:tcPr>
            <w:tcW w:w="1304" w:type="dxa"/>
            <w:tcBorders>
              <w:top w:val="single" w:sz="6" w:space="0" w:color="auto"/>
              <w:left w:val="single" w:sz="6" w:space="0" w:color="auto"/>
              <w:bottom w:val="single" w:sz="6" w:space="0" w:color="auto"/>
              <w:right w:val="single" w:sz="6" w:space="0" w:color="auto"/>
            </w:tcBorders>
          </w:tcPr>
          <w:p w14:paraId="4FC4ADE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315</w:t>
            </w:r>
          </w:p>
        </w:tc>
        <w:tc>
          <w:tcPr>
            <w:tcW w:w="1304" w:type="dxa"/>
            <w:tcBorders>
              <w:top w:val="single" w:sz="6" w:space="0" w:color="auto"/>
              <w:left w:val="single" w:sz="6" w:space="0" w:color="auto"/>
              <w:bottom w:val="single" w:sz="6" w:space="0" w:color="auto"/>
              <w:right w:val="single" w:sz="6" w:space="0" w:color="auto"/>
            </w:tcBorders>
          </w:tcPr>
          <w:p w14:paraId="474FB1A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76066B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851095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7DF40E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ACA3EB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315</w:t>
            </w:r>
          </w:p>
        </w:tc>
        <w:tc>
          <w:tcPr>
            <w:tcW w:w="1304" w:type="dxa"/>
            <w:tcBorders>
              <w:top w:val="single" w:sz="6" w:space="0" w:color="auto"/>
              <w:left w:val="nil"/>
              <w:bottom w:val="single" w:sz="6" w:space="0" w:color="auto"/>
              <w:right w:val="nil"/>
            </w:tcBorders>
          </w:tcPr>
          <w:p w14:paraId="1BD4563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312</w:t>
            </w:r>
          </w:p>
        </w:tc>
        <w:tc>
          <w:tcPr>
            <w:tcW w:w="1304" w:type="dxa"/>
            <w:tcBorders>
              <w:top w:val="single" w:sz="6" w:space="0" w:color="auto"/>
              <w:left w:val="single" w:sz="6" w:space="0" w:color="auto"/>
              <w:bottom w:val="single" w:sz="6" w:space="0" w:color="auto"/>
              <w:right w:val="single" w:sz="6" w:space="0" w:color="auto"/>
            </w:tcBorders>
          </w:tcPr>
          <w:p w14:paraId="3BFD034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w:t>
            </w:r>
          </w:p>
        </w:tc>
      </w:tr>
      <w:tr w:rsidR="00C26079" w:rsidRPr="00C26079" w14:paraId="312C8446" w14:textId="77777777" w:rsidTr="00AF5422">
        <w:tc>
          <w:tcPr>
            <w:tcW w:w="3457" w:type="dxa"/>
            <w:tcBorders>
              <w:top w:val="nil"/>
              <w:left w:val="single" w:sz="6" w:space="0" w:color="auto"/>
              <w:bottom w:val="nil"/>
              <w:right w:val="nil"/>
            </w:tcBorders>
          </w:tcPr>
          <w:p w14:paraId="12BD89A5"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Other employment benefits</w:t>
            </w:r>
          </w:p>
        </w:tc>
        <w:tc>
          <w:tcPr>
            <w:tcW w:w="1304" w:type="dxa"/>
            <w:tcBorders>
              <w:top w:val="nil"/>
              <w:left w:val="single" w:sz="6" w:space="0" w:color="auto"/>
              <w:bottom w:val="nil"/>
              <w:right w:val="single" w:sz="6" w:space="0" w:color="auto"/>
            </w:tcBorders>
          </w:tcPr>
          <w:p w14:paraId="0C563E1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w:t>
            </w:r>
          </w:p>
        </w:tc>
        <w:tc>
          <w:tcPr>
            <w:tcW w:w="1304" w:type="dxa"/>
            <w:tcBorders>
              <w:top w:val="nil"/>
              <w:left w:val="single" w:sz="6" w:space="0" w:color="auto"/>
              <w:bottom w:val="nil"/>
              <w:right w:val="single" w:sz="6" w:space="0" w:color="auto"/>
            </w:tcBorders>
          </w:tcPr>
          <w:p w14:paraId="6399705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078A8D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FF1AF5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5DFC29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2439FB8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w:t>
            </w:r>
          </w:p>
        </w:tc>
        <w:tc>
          <w:tcPr>
            <w:tcW w:w="1304" w:type="dxa"/>
            <w:tcBorders>
              <w:top w:val="nil"/>
              <w:left w:val="nil"/>
              <w:bottom w:val="nil"/>
              <w:right w:val="nil"/>
            </w:tcBorders>
          </w:tcPr>
          <w:p w14:paraId="5F73DCB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w:t>
            </w:r>
          </w:p>
        </w:tc>
        <w:tc>
          <w:tcPr>
            <w:tcW w:w="1304" w:type="dxa"/>
            <w:tcBorders>
              <w:top w:val="nil"/>
              <w:left w:val="single" w:sz="6" w:space="0" w:color="auto"/>
              <w:bottom w:val="nil"/>
              <w:right w:val="single" w:sz="6" w:space="0" w:color="auto"/>
            </w:tcBorders>
          </w:tcPr>
          <w:p w14:paraId="7AE7FEF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75091936" w14:textId="77777777" w:rsidTr="00AF5422">
        <w:tc>
          <w:tcPr>
            <w:tcW w:w="3457" w:type="dxa"/>
            <w:tcBorders>
              <w:top w:val="single" w:sz="6" w:space="0" w:color="auto"/>
              <w:left w:val="single" w:sz="6" w:space="0" w:color="auto"/>
              <w:bottom w:val="single" w:sz="6" w:space="0" w:color="auto"/>
              <w:right w:val="nil"/>
            </w:tcBorders>
          </w:tcPr>
          <w:p w14:paraId="13DB3CBC"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Staff hiring and departure costs</w:t>
            </w:r>
          </w:p>
        </w:tc>
        <w:tc>
          <w:tcPr>
            <w:tcW w:w="1304" w:type="dxa"/>
            <w:tcBorders>
              <w:top w:val="single" w:sz="6" w:space="0" w:color="auto"/>
              <w:left w:val="single" w:sz="6" w:space="0" w:color="auto"/>
              <w:bottom w:val="single" w:sz="6" w:space="0" w:color="auto"/>
              <w:right w:val="single" w:sz="6" w:space="0" w:color="auto"/>
            </w:tcBorders>
          </w:tcPr>
          <w:p w14:paraId="5CB5C0D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c>
          <w:tcPr>
            <w:tcW w:w="1304" w:type="dxa"/>
            <w:tcBorders>
              <w:top w:val="single" w:sz="6" w:space="0" w:color="auto"/>
              <w:left w:val="single" w:sz="6" w:space="0" w:color="auto"/>
              <w:bottom w:val="single" w:sz="6" w:space="0" w:color="auto"/>
              <w:right w:val="single" w:sz="6" w:space="0" w:color="auto"/>
            </w:tcBorders>
          </w:tcPr>
          <w:p w14:paraId="43B3584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24DD49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EE24F7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26</w:t>
            </w:r>
          </w:p>
        </w:tc>
        <w:tc>
          <w:tcPr>
            <w:tcW w:w="1304" w:type="dxa"/>
            <w:tcBorders>
              <w:top w:val="single" w:sz="6" w:space="0" w:color="auto"/>
              <w:left w:val="single" w:sz="6" w:space="0" w:color="auto"/>
              <w:bottom w:val="single" w:sz="6" w:space="0" w:color="auto"/>
              <w:right w:val="single" w:sz="6" w:space="0" w:color="auto"/>
            </w:tcBorders>
          </w:tcPr>
          <w:p w14:paraId="1B0E9C0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A84D40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51</w:t>
            </w:r>
          </w:p>
        </w:tc>
        <w:tc>
          <w:tcPr>
            <w:tcW w:w="1304" w:type="dxa"/>
            <w:tcBorders>
              <w:top w:val="single" w:sz="6" w:space="0" w:color="auto"/>
              <w:left w:val="nil"/>
              <w:bottom w:val="single" w:sz="6" w:space="0" w:color="auto"/>
              <w:right w:val="nil"/>
            </w:tcBorders>
          </w:tcPr>
          <w:p w14:paraId="74C699F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41</w:t>
            </w:r>
          </w:p>
        </w:tc>
        <w:tc>
          <w:tcPr>
            <w:tcW w:w="1304" w:type="dxa"/>
            <w:tcBorders>
              <w:top w:val="single" w:sz="6" w:space="0" w:color="auto"/>
              <w:left w:val="single" w:sz="6" w:space="0" w:color="auto"/>
              <w:bottom w:val="single" w:sz="6" w:space="0" w:color="auto"/>
              <w:right w:val="single" w:sz="6" w:space="0" w:color="auto"/>
            </w:tcBorders>
          </w:tcPr>
          <w:p w14:paraId="020E2E0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r>
      <w:tr w:rsidR="00C26079" w:rsidRPr="00C26079" w14:paraId="28C9D7FF" w14:textId="77777777" w:rsidTr="00AF5422">
        <w:tc>
          <w:tcPr>
            <w:tcW w:w="3457" w:type="dxa"/>
            <w:tcBorders>
              <w:top w:val="nil"/>
              <w:left w:val="single" w:sz="6" w:space="0" w:color="auto"/>
              <w:bottom w:val="nil"/>
              <w:right w:val="nil"/>
            </w:tcBorders>
          </w:tcPr>
          <w:p w14:paraId="791915D1"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Travel</w:t>
            </w:r>
          </w:p>
        </w:tc>
        <w:tc>
          <w:tcPr>
            <w:tcW w:w="1304" w:type="dxa"/>
            <w:tcBorders>
              <w:top w:val="nil"/>
              <w:left w:val="single" w:sz="6" w:space="0" w:color="auto"/>
              <w:bottom w:val="nil"/>
              <w:right w:val="single" w:sz="6" w:space="0" w:color="auto"/>
            </w:tcBorders>
          </w:tcPr>
          <w:p w14:paraId="5266E4B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062239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FFB43A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55F063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97DDCF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C93EFE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nil"/>
              <w:bottom w:val="nil"/>
              <w:right w:val="nil"/>
            </w:tcBorders>
          </w:tcPr>
          <w:p w14:paraId="7266BBB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A3C5D0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2DE631AC" w14:textId="77777777" w:rsidTr="00AF5422">
        <w:tc>
          <w:tcPr>
            <w:tcW w:w="3457" w:type="dxa"/>
            <w:tcBorders>
              <w:top w:val="single" w:sz="6" w:space="0" w:color="auto"/>
              <w:left w:val="single" w:sz="6" w:space="0" w:color="auto"/>
              <w:bottom w:val="single" w:sz="6" w:space="0" w:color="auto"/>
              <w:right w:val="nil"/>
            </w:tcBorders>
          </w:tcPr>
          <w:p w14:paraId="62700E2D"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Equipment/Office Supplies</w:t>
            </w:r>
          </w:p>
        </w:tc>
        <w:tc>
          <w:tcPr>
            <w:tcW w:w="1304" w:type="dxa"/>
            <w:tcBorders>
              <w:top w:val="single" w:sz="6" w:space="0" w:color="auto"/>
              <w:left w:val="single" w:sz="6" w:space="0" w:color="auto"/>
              <w:bottom w:val="single" w:sz="6" w:space="0" w:color="auto"/>
              <w:right w:val="single" w:sz="6" w:space="0" w:color="auto"/>
            </w:tcBorders>
          </w:tcPr>
          <w:p w14:paraId="7FDCCB8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77</w:t>
            </w:r>
          </w:p>
        </w:tc>
        <w:tc>
          <w:tcPr>
            <w:tcW w:w="1304" w:type="dxa"/>
            <w:tcBorders>
              <w:top w:val="single" w:sz="6" w:space="0" w:color="auto"/>
              <w:left w:val="single" w:sz="6" w:space="0" w:color="auto"/>
              <w:bottom w:val="single" w:sz="6" w:space="0" w:color="auto"/>
              <w:right w:val="single" w:sz="6" w:space="0" w:color="auto"/>
            </w:tcBorders>
          </w:tcPr>
          <w:p w14:paraId="547A066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854E5D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C02B1C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E6A705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4638B2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77</w:t>
            </w:r>
          </w:p>
        </w:tc>
        <w:tc>
          <w:tcPr>
            <w:tcW w:w="1304" w:type="dxa"/>
            <w:tcBorders>
              <w:top w:val="single" w:sz="6" w:space="0" w:color="auto"/>
              <w:left w:val="nil"/>
              <w:bottom w:val="single" w:sz="6" w:space="0" w:color="auto"/>
              <w:right w:val="nil"/>
            </w:tcBorders>
          </w:tcPr>
          <w:p w14:paraId="39DEF63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64</w:t>
            </w:r>
          </w:p>
        </w:tc>
        <w:tc>
          <w:tcPr>
            <w:tcW w:w="1304" w:type="dxa"/>
            <w:tcBorders>
              <w:top w:val="single" w:sz="6" w:space="0" w:color="auto"/>
              <w:left w:val="single" w:sz="6" w:space="0" w:color="auto"/>
              <w:bottom w:val="single" w:sz="6" w:space="0" w:color="auto"/>
              <w:right w:val="single" w:sz="6" w:space="0" w:color="auto"/>
            </w:tcBorders>
          </w:tcPr>
          <w:p w14:paraId="3998970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13</w:t>
            </w:r>
          </w:p>
        </w:tc>
      </w:tr>
      <w:tr w:rsidR="00C26079" w:rsidRPr="00C26079" w14:paraId="3263752D" w14:textId="77777777" w:rsidTr="00AF5422">
        <w:tc>
          <w:tcPr>
            <w:tcW w:w="3457" w:type="dxa"/>
            <w:tcBorders>
              <w:top w:val="nil"/>
              <w:left w:val="single" w:sz="6" w:space="0" w:color="auto"/>
              <w:bottom w:val="nil"/>
              <w:right w:val="nil"/>
            </w:tcBorders>
          </w:tcPr>
          <w:p w14:paraId="730C5651"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lastRenderedPageBreak/>
              <w:t>Planning and Capacity building</w:t>
            </w:r>
          </w:p>
        </w:tc>
        <w:tc>
          <w:tcPr>
            <w:tcW w:w="1304" w:type="dxa"/>
            <w:tcBorders>
              <w:top w:val="nil"/>
              <w:left w:val="single" w:sz="6" w:space="0" w:color="auto"/>
              <w:bottom w:val="nil"/>
              <w:right w:val="single" w:sz="6" w:space="0" w:color="auto"/>
            </w:tcBorders>
          </w:tcPr>
          <w:p w14:paraId="3B58628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8C8ADA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11</w:t>
            </w:r>
          </w:p>
        </w:tc>
        <w:tc>
          <w:tcPr>
            <w:tcW w:w="1304" w:type="dxa"/>
            <w:tcBorders>
              <w:top w:val="nil"/>
              <w:left w:val="single" w:sz="6" w:space="0" w:color="auto"/>
              <w:bottom w:val="nil"/>
              <w:right w:val="single" w:sz="6" w:space="0" w:color="auto"/>
            </w:tcBorders>
          </w:tcPr>
          <w:p w14:paraId="55BBE7D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103</w:t>
            </w:r>
          </w:p>
        </w:tc>
        <w:tc>
          <w:tcPr>
            <w:tcW w:w="1304" w:type="dxa"/>
            <w:tcBorders>
              <w:top w:val="nil"/>
              <w:left w:val="single" w:sz="6" w:space="0" w:color="auto"/>
              <w:bottom w:val="nil"/>
              <w:right w:val="single" w:sz="6" w:space="0" w:color="auto"/>
            </w:tcBorders>
          </w:tcPr>
          <w:p w14:paraId="24BA181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123A32C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DBA8D4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114</w:t>
            </w:r>
          </w:p>
        </w:tc>
        <w:tc>
          <w:tcPr>
            <w:tcW w:w="1304" w:type="dxa"/>
            <w:tcBorders>
              <w:top w:val="nil"/>
              <w:left w:val="nil"/>
              <w:bottom w:val="nil"/>
              <w:right w:val="nil"/>
            </w:tcBorders>
          </w:tcPr>
          <w:p w14:paraId="58CBA5B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29</w:t>
            </w:r>
          </w:p>
        </w:tc>
        <w:tc>
          <w:tcPr>
            <w:tcW w:w="1304" w:type="dxa"/>
            <w:tcBorders>
              <w:top w:val="nil"/>
              <w:left w:val="single" w:sz="6" w:space="0" w:color="auto"/>
              <w:bottom w:val="nil"/>
              <w:right w:val="single" w:sz="6" w:space="0" w:color="auto"/>
            </w:tcBorders>
          </w:tcPr>
          <w:p w14:paraId="17A1B9D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85</w:t>
            </w:r>
          </w:p>
        </w:tc>
      </w:tr>
      <w:tr w:rsidR="00C26079" w:rsidRPr="00C26079" w14:paraId="5C249EE2" w14:textId="77777777" w:rsidTr="00AF5422">
        <w:tc>
          <w:tcPr>
            <w:tcW w:w="3457" w:type="dxa"/>
            <w:tcBorders>
              <w:top w:val="single" w:sz="6" w:space="0" w:color="auto"/>
              <w:left w:val="single" w:sz="6" w:space="0" w:color="auto"/>
              <w:bottom w:val="single" w:sz="6" w:space="0" w:color="auto"/>
              <w:right w:val="nil"/>
            </w:tcBorders>
            <w:shd w:val="clear" w:color="auto" w:fill="EAF1DD" w:themeFill="accent3" w:themeFillTint="33"/>
          </w:tcPr>
          <w:p w14:paraId="2C9313CB"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H. Standing Committee Services</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16B216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150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25EDFB6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35D3AAF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75</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4519C5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21</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19E6B52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2C172D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246</w:t>
            </w:r>
          </w:p>
        </w:tc>
        <w:tc>
          <w:tcPr>
            <w:tcW w:w="1304" w:type="dxa"/>
            <w:tcBorders>
              <w:top w:val="single" w:sz="6" w:space="0" w:color="auto"/>
              <w:left w:val="nil"/>
              <w:bottom w:val="single" w:sz="6" w:space="0" w:color="auto"/>
              <w:right w:val="nil"/>
            </w:tcBorders>
            <w:shd w:val="clear" w:color="auto" w:fill="EAF1DD" w:themeFill="accent3" w:themeFillTint="33"/>
          </w:tcPr>
          <w:p w14:paraId="125E6BE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146</w:t>
            </w:r>
          </w:p>
        </w:tc>
        <w:tc>
          <w:tcPr>
            <w:tcW w:w="1304" w:type="dxa"/>
            <w:tcBorders>
              <w:top w:val="single" w:sz="6" w:space="0" w:color="auto"/>
              <w:left w:val="single" w:sz="6" w:space="0" w:color="auto"/>
              <w:bottom w:val="single" w:sz="6" w:space="0" w:color="auto"/>
              <w:right w:val="single" w:sz="6" w:space="0" w:color="auto"/>
            </w:tcBorders>
            <w:shd w:val="clear" w:color="auto" w:fill="EAF1DD" w:themeFill="accent3" w:themeFillTint="33"/>
          </w:tcPr>
          <w:p w14:paraId="4B5D7A2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100</w:t>
            </w:r>
          </w:p>
        </w:tc>
      </w:tr>
      <w:tr w:rsidR="00C26079" w:rsidRPr="00C26079" w14:paraId="29FE7D5A" w14:textId="77777777" w:rsidTr="00AF5422">
        <w:tc>
          <w:tcPr>
            <w:tcW w:w="3457" w:type="dxa"/>
            <w:tcBorders>
              <w:top w:val="nil"/>
              <w:left w:val="single" w:sz="6" w:space="0" w:color="auto"/>
              <w:bottom w:val="nil"/>
              <w:right w:val="nil"/>
            </w:tcBorders>
          </w:tcPr>
          <w:p w14:paraId="03F0271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Standing Committee delegates’ support</w:t>
            </w:r>
          </w:p>
        </w:tc>
        <w:tc>
          <w:tcPr>
            <w:tcW w:w="1304" w:type="dxa"/>
            <w:tcBorders>
              <w:top w:val="nil"/>
              <w:left w:val="single" w:sz="6" w:space="0" w:color="auto"/>
              <w:bottom w:val="nil"/>
              <w:right w:val="single" w:sz="6" w:space="0" w:color="auto"/>
            </w:tcBorders>
          </w:tcPr>
          <w:p w14:paraId="2F18287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45</w:t>
            </w:r>
          </w:p>
        </w:tc>
        <w:tc>
          <w:tcPr>
            <w:tcW w:w="1304" w:type="dxa"/>
            <w:tcBorders>
              <w:top w:val="nil"/>
              <w:left w:val="single" w:sz="6" w:space="0" w:color="auto"/>
              <w:bottom w:val="nil"/>
              <w:right w:val="single" w:sz="6" w:space="0" w:color="auto"/>
            </w:tcBorders>
          </w:tcPr>
          <w:p w14:paraId="4CD472C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D43520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AAF5A7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w:t>
            </w:r>
          </w:p>
        </w:tc>
        <w:tc>
          <w:tcPr>
            <w:tcW w:w="1304" w:type="dxa"/>
            <w:tcBorders>
              <w:top w:val="nil"/>
              <w:left w:val="single" w:sz="6" w:space="0" w:color="auto"/>
              <w:bottom w:val="nil"/>
              <w:right w:val="single" w:sz="6" w:space="0" w:color="auto"/>
            </w:tcBorders>
          </w:tcPr>
          <w:p w14:paraId="642E8BB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8B2579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51</w:t>
            </w:r>
          </w:p>
        </w:tc>
        <w:tc>
          <w:tcPr>
            <w:tcW w:w="1304" w:type="dxa"/>
            <w:tcBorders>
              <w:top w:val="nil"/>
              <w:left w:val="nil"/>
              <w:bottom w:val="nil"/>
              <w:right w:val="nil"/>
            </w:tcBorders>
          </w:tcPr>
          <w:p w14:paraId="1CD869C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355F745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51</w:t>
            </w:r>
          </w:p>
        </w:tc>
      </w:tr>
      <w:tr w:rsidR="00C26079" w:rsidRPr="00C26079" w14:paraId="5869886E" w14:textId="77777777" w:rsidTr="00AF5422">
        <w:tc>
          <w:tcPr>
            <w:tcW w:w="3457" w:type="dxa"/>
            <w:tcBorders>
              <w:top w:val="single" w:sz="6" w:space="0" w:color="auto"/>
              <w:left w:val="single" w:sz="6" w:space="0" w:color="auto"/>
              <w:bottom w:val="single" w:sz="6" w:space="0" w:color="auto"/>
              <w:right w:val="nil"/>
            </w:tcBorders>
          </w:tcPr>
          <w:p w14:paraId="231BC070"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Standing Committee meetings</w:t>
            </w:r>
          </w:p>
        </w:tc>
        <w:tc>
          <w:tcPr>
            <w:tcW w:w="1304" w:type="dxa"/>
            <w:tcBorders>
              <w:top w:val="single" w:sz="6" w:space="0" w:color="auto"/>
              <w:left w:val="single" w:sz="6" w:space="0" w:color="auto"/>
              <w:bottom w:val="single" w:sz="6" w:space="0" w:color="auto"/>
              <w:right w:val="single" w:sz="6" w:space="0" w:color="auto"/>
            </w:tcBorders>
          </w:tcPr>
          <w:p w14:paraId="7AB23AE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single" w:sz="6" w:space="0" w:color="auto"/>
              <w:bottom w:val="single" w:sz="6" w:space="0" w:color="auto"/>
              <w:right w:val="single" w:sz="6" w:space="0" w:color="auto"/>
            </w:tcBorders>
          </w:tcPr>
          <w:p w14:paraId="228A0B2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4D9C3C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138C4D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9E46F9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B9A5EA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w:t>
            </w:r>
          </w:p>
        </w:tc>
        <w:tc>
          <w:tcPr>
            <w:tcW w:w="1304" w:type="dxa"/>
            <w:tcBorders>
              <w:top w:val="single" w:sz="6" w:space="0" w:color="auto"/>
              <w:left w:val="nil"/>
              <w:bottom w:val="single" w:sz="6" w:space="0" w:color="auto"/>
              <w:right w:val="nil"/>
            </w:tcBorders>
          </w:tcPr>
          <w:p w14:paraId="0C2F1D1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w:t>
            </w:r>
          </w:p>
        </w:tc>
        <w:tc>
          <w:tcPr>
            <w:tcW w:w="1304" w:type="dxa"/>
            <w:tcBorders>
              <w:top w:val="single" w:sz="6" w:space="0" w:color="auto"/>
              <w:left w:val="single" w:sz="6" w:space="0" w:color="auto"/>
              <w:bottom w:val="single" w:sz="6" w:space="0" w:color="auto"/>
              <w:right w:val="single" w:sz="6" w:space="0" w:color="auto"/>
            </w:tcBorders>
          </w:tcPr>
          <w:p w14:paraId="067BDA1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w:t>
            </w:r>
          </w:p>
        </w:tc>
      </w:tr>
      <w:tr w:rsidR="00C26079" w:rsidRPr="00C26079" w14:paraId="1FE61F34" w14:textId="77777777" w:rsidTr="00AF5422">
        <w:tc>
          <w:tcPr>
            <w:tcW w:w="3457" w:type="dxa"/>
            <w:tcBorders>
              <w:top w:val="nil"/>
              <w:left w:val="single" w:sz="6" w:space="0" w:color="auto"/>
              <w:bottom w:val="nil"/>
              <w:right w:val="nil"/>
            </w:tcBorders>
          </w:tcPr>
          <w:p w14:paraId="63A3BE0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SC translation</w:t>
            </w:r>
          </w:p>
        </w:tc>
        <w:tc>
          <w:tcPr>
            <w:tcW w:w="1304" w:type="dxa"/>
            <w:tcBorders>
              <w:top w:val="nil"/>
              <w:left w:val="single" w:sz="6" w:space="0" w:color="auto"/>
              <w:bottom w:val="nil"/>
              <w:right w:val="single" w:sz="6" w:space="0" w:color="auto"/>
            </w:tcBorders>
          </w:tcPr>
          <w:p w14:paraId="1BBDD2C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60</w:t>
            </w:r>
          </w:p>
        </w:tc>
        <w:tc>
          <w:tcPr>
            <w:tcW w:w="1304" w:type="dxa"/>
            <w:tcBorders>
              <w:top w:val="nil"/>
              <w:left w:val="single" w:sz="6" w:space="0" w:color="auto"/>
              <w:bottom w:val="nil"/>
              <w:right w:val="single" w:sz="6" w:space="0" w:color="auto"/>
            </w:tcBorders>
          </w:tcPr>
          <w:p w14:paraId="5C4B298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A84093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662442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w:t>
            </w:r>
          </w:p>
        </w:tc>
        <w:tc>
          <w:tcPr>
            <w:tcW w:w="1304" w:type="dxa"/>
            <w:tcBorders>
              <w:top w:val="nil"/>
              <w:left w:val="single" w:sz="6" w:space="0" w:color="auto"/>
              <w:bottom w:val="nil"/>
              <w:right w:val="single" w:sz="6" w:space="0" w:color="auto"/>
            </w:tcBorders>
          </w:tcPr>
          <w:p w14:paraId="42DE008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9C661B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65</w:t>
            </w:r>
          </w:p>
        </w:tc>
        <w:tc>
          <w:tcPr>
            <w:tcW w:w="1304" w:type="dxa"/>
            <w:tcBorders>
              <w:top w:val="nil"/>
              <w:left w:val="nil"/>
              <w:bottom w:val="nil"/>
              <w:right w:val="nil"/>
            </w:tcBorders>
          </w:tcPr>
          <w:p w14:paraId="2AA008F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61</w:t>
            </w:r>
          </w:p>
        </w:tc>
        <w:tc>
          <w:tcPr>
            <w:tcW w:w="1304" w:type="dxa"/>
            <w:tcBorders>
              <w:top w:val="nil"/>
              <w:left w:val="single" w:sz="6" w:space="0" w:color="auto"/>
              <w:bottom w:val="nil"/>
              <w:right w:val="single" w:sz="6" w:space="0" w:color="auto"/>
            </w:tcBorders>
          </w:tcPr>
          <w:p w14:paraId="5885CBB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w:t>
            </w:r>
          </w:p>
        </w:tc>
      </w:tr>
      <w:tr w:rsidR="00C26079" w:rsidRPr="00C26079" w14:paraId="30335885" w14:textId="77777777" w:rsidTr="00AF5422">
        <w:tc>
          <w:tcPr>
            <w:tcW w:w="3457" w:type="dxa"/>
            <w:tcBorders>
              <w:top w:val="single" w:sz="6" w:space="0" w:color="auto"/>
              <w:left w:val="single" w:sz="6" w:space="0" w:color="auto"/>
              <w:bottom w:val="single" w:sz="6" w:space="0" w:color="auto"/>
              <w:right w:val="nil"/>
            </w:tcBorders>
          </w:tcPr>
          <w:p w14:paraId="5A47C5F0"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Simultaneous interpretation at SC meetings</w:t>
            </w:r>
          </w:p>
        </w:tc>
        <w:tc>
          <w:tcPr>
            <w:tcW w:w="1304" w:type="dxa"/>
            <w:tcBorders>
              <w:top w:val="single" w:sz="6" w:space="0" w:color="auto"/>
              <w:left w:val="single" w:sz="6" w:space="0" w:color="auto"/>
              <w:bottom w:val="single" w:sz="6" w:space="0" w:color="auto"/>
              <w:right w:val="single" w:sz="6" w:space="0" w:color="auto"/>
            </w:tcBorders>
          </w:tcPr>
          <w:p w14:paraId="0E815CE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35</w:t>
            </w:r>
          </w:p>
        </w:tc>
        <w:tc>
          <w:tcPr>
            <w:tcW w:w="1304" w:type="dxa"/>
            <w:tcBorders>
              <w:top w:val="single" w:sz="6" w:space="0" w:color="auto"/>
              <w:left w:val="single" w:sz="6" w:space="0" w:color="auto"/>
              <w:bottom w:val="single" w:sz="6" w:space="0" w:color="auto"/>
              <w:right w:val="single" w:sz="6" w:space="0" w:color="auto"/>
            </w:tcBorders>
          </w:tcPr>
          <w:p w14:paraId="13D7010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A4E8EC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2C94FF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w:t>
            </w:r>
          </w:p>
        </w:tc>
        <w:tc>
          <w:tcPr>
            <w:tcW w:w="1304" w:type="dxa"/>
            <w:tcBorders>
              <w:top w:val="single" w:sz="6" w:space="0" w:color="auto"/>
              <w:left w:val="single" w:sz="6" w:space="0" w:color="auto"/>
              <w:bottom w:val="single" w:sz="6" w:space="0" w:color="auto"/>
              <w:right w:val="single" w:sz="6" w:space="0" w:color="auto"/>
            </w:tcBorders>
          </w:tcPr>
          <w:p w14:paraId="300CF25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BB913E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39</w:t>
            </w:r>
          </w:p>
        </w:tc>
        <w:tc>
          <w:tcPr>
            <w:tcW w:w="1304" w:type="dxa"/>
            <w:tcBorders>
              <w:top w:val="single" w:sz="6" w:space="0" w:color="auto"/>
              <w:left w:val="nil"/>
              <w:bottom w:val="single" w:sz="6" w:space="0" w:color="auto"/>
              <w:right w:val="nil"/>
            </w:tcBorders>
          </w:tcPr>
          <w:p w14:paraId="063E204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17</w:t>
            </w:r>
          </w:p>
        </w:tc>
        <w:tc>
          <w:tcPr>
            <w:tcW w:w="1304" w:type="dxa"/>
            <w:tcBorders>
              <w:top w:val="single" w:sz="6" w:space="0" w:color="auto"/>
              <w:left w:val="single" w:sz="6" w:space="0" w:color="auto"/>
              <w:bottom w:val="single" w:sz="6" w:space="0" w:color="auto"/>
              <w:right w:val="single" w:sz="6" w:space="0" w:color="auto"/>
            </w:tcBorders>
          </w:tcPr>
          <w:p w14:paraId="1869DC4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22</w:t>
            </w:r>
          </w:p>
        </w:tc>
      </w:tr>
      <w:tr w:rsidR="00C26079" w:rsidRPr="00C26079" w14:paraId="41900899" w14:textId="77777777" w:rsidTr="00AF5422">
        <w:tc>
          <w:tcPr>
            <w:tcW w:w="3457" w:type="dxa"/>
            <w:tcBorders>
              <w:top w:val="nil"/>
              <w:left w:val="single" w:sz="6" w:space="0" w:color="auto"/>
              <w:bottom w:val="nil"/>
              <w:right w:val="nil"/>
            </w:tcBorders>
          </w:tcPr>
          <w:p w14:paraId="3CD7B4EB"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Effectiveness Working Group</w:t>
            </w:r>
          </w:p>
        </w:tc>
        <w:tc>
          <w:tcPr>
            <w:tcW w:w="1304" w:type="dxa"/>
            <w:tcBorders>
              <w:top w:val="nil"/>
              <w:left w:val="single" w:sz="6" w:space="0" w:color="auto"/>
              <w:bottom w:val="nil"/>
              <w:right w:val="single" w:sz="6" w:space="0" w:color="auto"/>
            </w:tcBorders>
          </w:tcPr>
          <w:p w14:paraId="3A44639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CADE8A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6C43DF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55</w:t>
            </w:r>
          </w:p>
        </w:tc>
        <w:tc>
          <w:tcPr>
            <w:tcW w:w="1304" w:type="dxa"/>
            <w:tcBorders>
              <w:top w:val="nil"/>
              <w:left w:val="single" w:sz="6" w:space="0" w:color="auto"/>
              <w:bottom w:val="nil"/>
              <w:right w:val="single" w:sz="6" w:space="0" w:color="auto"/>
            </w:tcBorders>
          </w:tcPr>
          <w:p w14:paraId="118A162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7980C5C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C3188C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55</w:t>
            </w:r>
          </w:p>
        </w:tc>
        <w:tc>
          <w:tcPr>
            <w:tcW w:w="1304" w:type="dxa"/>
            <w:tcBorders>
              <w:top w:val="nil"/>
              <w:left w:val="nil"/>
              <w:bottom w:val="nil"/>
              <w:right w:val="nil"/>
            </w:tcBorders>
          </w:tcPr>
          <w:p w14:paraId="735896B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41</w:t>
            </w:r>
          </w:p>
        </w:tc>
        <w:tc>
          <w:tcPr>
            <w:tcW w:w="1304" w:type="dxa"/>
            <w:tcBorders>
              <w:top w:val="nil"/>
              <w:left w:val="single" w:sz="6" w:space="0" w:color="auto"/>
              <w:bottom w:val="nil"/>
              <w:right w:val="single" w:sz="6" w:space="0" w:color="auto"/>
            </w:tcBorders>
          </w:tcPr>
          <w:p w14:paraId="289A468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14</w:t>
            </w:r>
          </w:p>
        </w:tc>
      </w:tr>
      <w:tr w:rsidR="00C26079" w:rsidRPr="00C26079" w14:paraId="074362B7" w14:textId="77777777" w:rsidTr="00AF5422">
        <w:tc>
          <w:tcPr>
            <w:tcW w:w="3457" w:type="dxa"/>
            <w:tcBorders>
              <w:top w:val="single" w:sz="6" w:space="0" w:color="auto"/>
              <w:left w:val="single" w:sz="6" w:space="0" w:color="auto"/>
              <w:bottom w:val="single" w:sz="6" w:space="0" w:color="auto"/>
              <w:right w:val="nil"/>
            </w:tcBorders>
          </w:tcPr>
          <w:p w14:paraId="4DA6BCD5"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Resolutions review (Res. XIII.4)</w:t>
            </w:r>
          </w:p>
        </w:tc>
        <w:tc>
          <w:tcPr>
            <w:tcW w:w="1304" w:type="dxa"/>
            <w:tcBorders>
              <w:top w:val="single" w:sz="6" w:space="0" w:color="auto"/>
              <w:left w:val="single" w:sz="6" w:space="0" w:color="auto"/>
              <w:bottom w:val="single" w:sz="6" w:space="0" w:color="auto"/>
              <w:right w:val="single" w:sz="6" w:space="0" w:color="auto"/>
            </w:tcBorders>
          </w:tcPr>
          <w:p w14:paraId="10A71CC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6070F1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7DB1D0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20</w:t>
            </w:r>
          </w:p>
        </w:tc>
        <w:tc>
          <w:tcPr>
            <w:tcW w:w="1304" w:type="dxa"/>
            <w:tcBorders>
              <w:top w:val="single" w:sz="6" w:space="0" w:color="auto"/>
              <w:left w:val="single" w:sz="6" w:space="0" w:color="auto"/>
              <w:bottom w:val="single" w:sz="6" w:space="0" w:color="auto"/>
              <w:right w:val="single" w:sz="6" w:space="0" w:color="auto"/>
            </w:tcBorders>
          </w:tcPr>
          <w:p w14:paraId="7BF490F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w:t>
            </w:r>
          </w:p>
        </w:tc>
        <w:tc>
          <w:tcPr>
            <w:tcW w:w="1304" w:type="dxa"/>
            <w:tcBorders>
              <w:top w:val="single" w:sz="6" w:space="0" w:color="auto"/>
              <w:left w:val="single" w:sz="6" w:space="0" w:color="auto"/>
              <w:bottom w:val="single" w:sz="6" w:space="0" w:color="auto"/>
              <w:right w:val="single" w:sz="6" w:space="0" w:color="auto"/>
            </w:tcBorders>
          </w:tcPr>
          <w:p w14:paraId="706B541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086AF7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26</w:t>
            </w:r>
          </w:p>
        </w:tc>
        <w:tc>
          <w:tcPr>
            <w:tcW w:w="1304" w:type="dxa"/>
            <w:tcBorders>
              <w:top w:val="single" w:sz="6" w:space="0" w:color="auto"/>
              <w:left w:val="nil"/>
              <w:bottom w:val="single" w:sz="6" w:space="0" w:color="auto"/>
              <w:right w:val="nil"/>
            </w:tcBorders>
          </w:tcPr>
          <w:p w14:paraId="2A06DE8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23</w:t>
            </w:r>
          </w:p>
        </w:tc>
        <w:tc>
          <w:tcPr>
            <w:tcW w:w="1304" w:type="dxa"/>
            <w:tcBorders>
              <w:top w:val="single" w:sz="6" w:space="0" w:color="auto"/>
              <w:left w:val="single" w:sz="6" w:space="0" w:color="auto"/>
              <w:bottom w:val="single" w:sz="6" w:space="0" w:color="auto"/>
              <w:right w:val="single" w:sz="6" w:space="0" w:color="auto"/>
            </w:tcBorders>
          </w:tcPr>
          <w:p w14:paraId="6493702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w:t>
            </w:r>
          </w:p>
        </w:tc>
      </w:tr>
      <w:tr w:rsidR="00C26079" w:rsidRPr="00C26079" w14:paraId="0C6C0B03" w14:textId="77777777" w:rsidTr="00AF5422">
        <w:tc>
          <w:tcPr>
            <w:tcW w:w="3457" w:type="dxa"/>
            <w:tcBorders>
              <w:top w:val="nil"/>
              <w:left w:val="single" w:sz="6" w:space="0" w:color="auto"/>
              <w:bottom w:val="nil"/>
              <w:right w:val="nil"/>
            </w:tcBorders>
            <w:shd w:val="clear" w:color="auto" w:fill="EAF1DD" w:themeFill="accent3" w:themeFillTint="33"/>
          </w:tcPr>
          <w:p w14:paraId="3F2EBD54"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J.  IUCN Administrative Service Charges (maximum)</w:t>
            </w:r>
          </w:p>
        </w:tc>
        <w:tc>
          <w:tcPr>
            <w:tcW w:w="1304" w:type="dxa"/>
            <w:tcBorders>
              <w:top w:val="nil"/>
              <w:left w:val="single" w:sz="6" w:space="0" w:color="auto"/>
              <w:bottom w:val="nil"/>
              <w:right w:val="single" w:sz="6" w:space="0" w:color="auto"/>
            </w:tcBorders>
            <w:shd w:val="clear" w:color="auto" w:fill="EAF1DD" w:themeFill="accent3" w:themeFillTint="33"/>
          </w:tcPr>
          <w:p w14:paraId="7F2217D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529</w:t>
            </w:r>
          </w:p>
        </w:tc>
        <w:tc>
          <w:tcPr>
            <w:tcW w:w="1304" w:type="dxa"/>
            <w:tcBorders>
              <w:top w:val="nil"/>
              <w:left w:val="single" w:sz="6" w:space="0" w:color="auto"/>
              <w:bottom w:val="nil"/>
              <w:right w:val="single" w:sz="6" w:space="0" w:color="auto"/>
            </w:tcBorders>
            <w:shd w:val="clear" w:color="auto" w:fill="EAF1DD" w:themeFill="accent3" w:themeFillTint="33"/>
          </w:tcPr>
          <w:p w14:paraId="59FA0C5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68B75EA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5DB74E1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5C3A9F6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5001A88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529</w:t>
            </w:r>
          </w:p>
        </w:tc>
        <w:tc>
          <w:tcPr>
            <w:tcW w:w="1304" w:type="dxa"/>
            <w:tcBorders>
              <w:top w:val="nil"/>
              <w:left w:val="nil"/>
              <w:bottom w:val="nil"/>
              <w:right w:val="nil"/>
            </w:tcBorders>
            <w:shd w:val="clear" w:color="auto" w:fill="EAF1DD" w:themeFill="accent3" w:themeFillTint="33"/>
          </w:tcPr>
          <w:p w14:paraId="6AAB1DC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529</w:t>
            </w:r>
          </w:p>
        </w:tc>
        <w:tc>
          <w:tcPr>
            <w:tcW w:w="1304" w:type="dxa"/>
            <w:tcBorders>
              <w:top w:val="nil"/>
              <w:left w:val="single" w:sz="6" w:space="0" w:color="auto"/>
              <w:bottom w:val="nil"/>
              <w:right w:val="single" w:sz="6" w:space="0" w:color="auto"/>
            </w:tcBorders>
            <w:shd w:val="clear" w:color="auto" w:fill="EAF1DD" w:themeFill="accent3" w:themeFillTint="33"/>
          </w:tcPr>
          <w:p w14:paraId="41A25A3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4D28B718" w14:textId="77777777" w:rsidTr="00AF5422">
        <w:tc>
          <w:tcPr>
            <w:tcW w:w="3457" w:type="dxa"/>
            <w:tcBorders>
              <w:top w:val="single" w:sz="6" w:space="0" w:color="auto"/>
              <w:left w:val="single" w:sz="6" w:space="0" w:color="auto"/>
              <w:bottom w:val="single" w:sz="6" w:space="0" w:color="auto"/>
              <w:right w:val="nil"/>
            </w:tcBorders>
          </w:tcPr>
          <w:p w14:paraId="27EF1E73"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Administration, Human Resources, Finance &amp; IT services</w:t>
            </w:r>
          </w:p>
        </w:tc>
        <w:tc>
          <w:tcPr>
            <w:tcW w:w="1304" w:type="dxa"/>
            <w:tcBorders>
              <w:top w:val="single" w:sz="6" w:space="0" w:color="auto"/>
              <w:left w:val="single" w:sz="6" w:space="0" w:color="auto"/>
              <w:bottom w:val="single" w:sz="6" w:space="0" w:color="auto"/>
              <w:right w:val="single" w:sz="6" w:space="0" w:color="auto"/>
            </w:tcBorders>
          </w:tcPr>
          <w:p w14:paraId="1B6FE9A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529</w:t>
            </w:r>
          </w:p>
        </w:tc>
        <w:tc>
          <w:tcPr>
            <w:tcW w:w="1304" w:type="dxa"/>
            <w:tcBorders>
              <w:top w:val="single" w:sz="6" w:space="0" w:color="auto"/>
              <w:left w:val="single" w:sz="6" w:space="0" w:color="auto"/>
              <w:bottom w:val="single" w:sz="6" w:space="0" w:color="auto"/>
              <w:right w:val="single" w:sz="6" w:space="0" w:color="auto"/>
            </w:tcBorders>
          </w:tcPr>
          <w:p w14:paraId="2F62CD1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C637C2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0F9F650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0F3642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45534B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529</w:t>
            </w:r>
          </w:p>
        </w:tc>
        <w:tc>
          <w:tcPr>
            <w:tcW w:w="1304" w:type="dxa"/>
            <w:tcBorders>
              <w:top w:val="single" w:sz="6" w:space="0" w:color="auto"/>
              <w:left w:val="nil"/>
              <w:bottom w:val="single" w:sz="6" w:space="0" w:color="auto"/>
              <w:right w:val="nil"/>
            </w:tcBorders>
          </w:tcPr>
          <w:p w14:paraId="13D4D5C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529</w:t>
            </w:r>
          </w:p>
        </w:tc>
        <w:tc>
          <w:tcPr>
            <w:tcW w:w="1304" w:type="dxa"/>
            <w:tcBorders>
              <w:top w:val="single" w:sz="6" w:space="0" w:color="auto"/>
              <w:left w:val="single" w:sz="6" w:space="0" w:color="auto"/>
              <w:bottom w:val="single" w:sz="6" w:space="0" w:color="auto"/>
              <w:right w:val="single" w:sz="6" w:space="0" w:color="auto"/>
            </w:tcBorders>
          </w:tcPr>
          <w:p w14:paraId="6719359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r>
      <w:tr w:rsidR="00C26079" w:rsidRPr="00C26079" w14:paraId="3C00017C" w14:textId="77777777" w:rsidTr="00AF5422">
        <w:tc>
          <w:tcPr>
            <w:tcW w:w="3457" w:type="dxa"/>
            <w:tcBorders>
              <w:top w:val="nil"/>
              <w:left w:val="single" w:sz="6" w:space="0" w:color="auto"/>
              <w:bottom w:val="nil"/>
              <w:right w:val="nil"/>
            </w:tcBorders>
            <w:shd w:val="clear" w:color="auto" w:fill="EAF1DD" w:themeFill="accent3" w:themeFillTint="33"/>
          </w:tcPr>
          <w:p w14:paraId="2E04EF22"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K.  Miscellaneous - Reserve Fund</w:t>
            </w:r>
          </w:p>
        </w:tc>
        <w:tc>
          <w:tcPr>
            <w:tcW w:w="1304" w:type="dxa"/>
            <w:tcBorders>
              <w:top w:val="nil"/>
              <w:left w:val="single" w:sz="6" w:space="0" w:color="auto"/>
              <w:bottom w:val="nil"/>
              <w:right w:val="single" w:sz="6" w:space="0" w:color="auto"/>
            </w:tcBorders>
            <w:shd w:val="clear" w:color="auto" w:fill="EAF1DD" w:themeFill="accent3" w:themeFillTint="33"/>
          </w:tcPr>
          <w:p w14:paraId="0E56B5E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349</w:t>
            </w:r>
          </w:p>
        </w:tc>
        <w:tc>
          <w:tcPr>
            <w:tcW w:w="1304" w:type="dxa"/>
            <w:tcBorders>
              <w:top w:val="nil"/>
              <w:left w:val="single" w:sz="6" w:space="0" w:color="auto"/>
              <w:bottom w:val="nil"/>
              <w:right w:val="single" w:sz="6" w:space="0" w:color="auto"/>
            </w:tcBorders>
            <w:shd w:val="clear" w:color="auto" w:fill="EAF1DD" w:themeFill="accent3" w:themeFillTint="33"/>
          </w:tcPr>
          <w:p w14:paraId="2F8D54D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shd w:val="clear" w:color="auto" w:fill="EAF1DD" w:themeFill="accent3" w:themeFillTint="33"/>
          </w:tcPr>
          <w:p w14:paraId="5BFD2BA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c>
          <w:tcPr>
            <w:tcW w:w="1304" w:type="dxa"/>
            <w:tcBorders>
              <w:top w:val="nil"/>
              <w:left w:val="single" w:sz="6" w:space="0" w:color="auto"/>
              <w:bottom w:val="nil"/>
              <w:right w:val="single" w:sz="6" w:space="0" w:color="auto"/>
            </w:tcBorders>
            <w:shd w:val="clear" w:color="auto" w:fill="EAF1DD" w:themeFill="accent3" w:themeFillTint="33"/>
          </w:tcPr>
          <w:p w14:paraId="1A80743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665</w:t>
            </w:r>
          </w:p>
        </w:tc>
        <w:tc>
          <w:tcPr>
            <w:tcW w:w="1304" w:type="dxa"/>
            <w:tcBorders>
              <w:top w:val="nil"/>
              <w:left w:val="single" w:sz="6" w:space="0" w:color="auto"/>
              <w:bottom w:val="nil"/>
              <w:right w:val="single" w:sz="6" w:space="0" w:color="auto"/>
            </w:tcBorders>
            <w:shd w:val="clear" w:color="auto" w:fill="EAF1DD" w:themeFill="accent3" w:themeFillTint="33"/>
          </w:tcPr>
          <w:p w14:paraId="4CF6636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(20)</w:t>
            </w:r>
          </w:p>
        </w:tc>
        <w:tc>
          <w:tcPr>
            <w:tcW w:w="1304" w:type="dxa"/>
            <w:tcBorders>
              <w:top w:val="nil"/>
              <w:left w:val="single" w:sz="6" w:space="0" w:color="auto"/>
              <w:bottom w:val="nil"/>
              <w:right w:val="single" w:sz="6" w:space="0" w:color="auto"/>
            </w:tcBorders>
            <w:shd w:val="clear" w:color="auto" w:fill="EAF1DD" w:themeFill="accent3" w:themeFillTint="33"/>
          </w:tcPr>
          <w:p w14:paraId="23512E7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1,019</w:t>
            </w:r>
          </w:p>
        </w:tc>
        <w:tc>
          <w:tcPr>
            <w:tcW w:w="1304" w:type="dxa"/>
            <w:tcBorders>
              <w:top w:val="nil"/>
              <w:left w:val="nil"/>
              <w:bottom w:val="nil"/>
              <w:right w:val="nil"/>
            </w:tcBorders>
            <w:shd w:val="clear" w:color="auto" w:fill="EAF1DD" w:themeFill="accent3" w:themeFillTint="33"/>
          </w:tcPr>
          <w:p w14:paraId="7C6FFA8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176</w:t>
            </w:r>
          </w:p>
        </w:tc>
        <w:tc>
          <w:tcPr>
            <w:tcW w:w="1304" w:type="dxa"/>
            <w:tcBorders>
              <w:top w:val="nil"/>
              <w:left w:val="single" w:sz="6" w:space="0" w:color="auto"/>
              <w:bottom w:val="nil"/>
              <w:right w:val="single" w:sz="6" w:space="0" w:color="auto"/>
            </w:tcBorders>
            <w:shd w:val="clear" w:color="auto" w:fill="EAF1DD" w:themeFill="accent3" w:themeFillTint="33"/>
          </w:tcPr>
          <w:p w14:paraId="6EEAAD1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843</w:t>
            </w:r>
          </w:p>
        </w:tc>
      </w:tr>
      <w:tr w:rsidR="00C26079" w:rsidRPr="00C26079" w14:paraId="4CEABD08" w14:textId="77777777" w:rsidTr="00AF5422">
        <w:tc>
          <w:tcPr>
            <w:tcW w:w="3457" w:type="dxa"/>
            <w:tcBorders>
              <w:top w:val="single" w:sz="6" w:space="0" w:color="auto"/>
              <w:left w:val="single" w:sz="6" w:space="0" w:color="auto"/>
              <w:bottom w:val="single" w:sz="6" w:space="0" w:color="auto"/>
              <w:right w:val="nil"/>
            </w:tcBorders>
          </w:tcPr>
          <w:p w14:paraId="6745C4B1"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Staff Provisions</w:t>
            </w:r>
          </w:p>
        </w:tc>
        <w:tc>
          <w:tcPr>
            <w:tcW w:w="1304" w:type="dxa"/>
            <w:tcBorders>
              <w:top w:val="single" w:sz="6" w:space="0" w:color="auto"/>
              <w:left w:val="single" w:sz="6" w:space="0" w:color="auto"/>
              <w:bottom w:val="single" w:sz="6" w:space="0" w:color="auto"/>
              <w:right w:val="single" w:sz="6" w:space="0" w:color="auto"/>
            </w:tcBorders>
          </w:tcPr>
          <w:p w14:paraId="7A97A18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50</w:t>
            </w:r>
          </w:p>
        </w:tc>
        <w:tc>
          <w:tcPr>
            <w:tcW w:w="1304" w:type="dxa"/>
            <w:tcBorders>
              <w:top w:val="single" w:sz="6" w:space="0" w:color="auto"/>
              <w:left w:val="single" w:sz="6" w:space="0" w:color="auto"/>
              <w:bottom w:val="single" w:sz="6" w:space="0" w:color="auto"/>
              <w:right w:val="single" w:sz="6" w:space="0" w:color="auto"/>
            </w:tcBorders>
          </w:tcPr>
          <w:p w14:paraId="261D839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554E7BA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EEA347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9EBBD0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23BFA2C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50</w:t>
            </w:r>
          </w:p>
        </w:tc>
        <w:tc>
          <w:tcPr>
            <w:tcW w:w="1304" w:type="dxa"/>
            <w:tcBorders>
              <w:top w:val="single" w:sz="6" w:space="0" w:color="auto"/>
              <w:left w:val="nil"/>
              <w:bottom w:val="single" w:sz="6" w:space="0" w:color="auto"/>
              <w:right w:val="nil"/>
            </w:tcBorders>
          </w:tcPr>
          <w:p w14:paraId="09D4F2C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(23)</w:t>
            </w:r>
          </w:p>
        </w:tc>
        <w:tc>
          <w:tcPr>
            <w:tcW w:w="1304" w:type="dxa"/>
            <w:tcBorders>
              <w:top w:val="single" w:sz="6" w:space="0" w:color="auto"/>
              <w:left w:val="single" w:sz="6" w:space="0" w:color="auto"/>
              <w:bottom w:val="single" w:sz="6" w:space="0" w:color="auto"/>
              <w:right w:val="single" w:sz="6" w:space="0" w:color="auto"/>
            </w:tcBorders>
          </w:tcPr>
          <w:p w14:paraId="49729C8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73</w:t>
            </w:r>
          </w:p>
        </w:tc>
      </w:tr>
      <w:tr w:rsidR="00C26079" w:rsidRPr="00C26079" w14:paraId="3A022C3C" w14:textId="77777777" w:rsidTr="00AF5422">
        <w:tc>
          <w:tcPr>
            <w:tcW w:w="3457" w:type="dxa"/>
            <w:tcBorders>
              <w:top w:val="single" w:sz="6" w:space="0" w:color="auto"/>
              <w:left w:val="single" w:sz="6" w:space="0" w:color="auto"/>
              <w:bottom w:val="single" w:sz="6" w:space="0" w:color="auto"/>
              <w:right w:val="nil"/>
            </w:tcBorders>
          </w:tcPr>
          <w:p w14:paraId="6462B04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Provision for outstanding contributions</w:t>
            </w:r>
          </w:p>
        </w:tc>
        <w:tc>
          <w:tcPr>
            <w:tcW w:w="1304" w:type="dxa"/>
            <w:tcBorders>
              <w:top w:val="single" w:sz="6" w:space="0" w:color="auto"/>
              <w:left w:val="single" w:sz="6" w:space="0" w:color="auto"/>
              <w:bottom w:val="single" w:sz="6" w:space="0" w:color="auto"/>
              <w:right w:val="single" w:sz="6" w:space="0" w:color="auto"/>
            </w:tcBorders>
          </w:tcPr>
          <w:p w14:paraId="39115B8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9F010D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9C2218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678D1EB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162</w:t>
            </w:r>
          </w:p>
        </w:tc>
        <w:tc>
          <w:tcPr>
            <w:tcW w:w="1304" w:type="dxa"/>
            <w:tcBorders>
              <w:top w:val="single" w:sz="6" w:space="0" w:color="auto"/>
              <w:left w:val="single" w:sz="6" w:space="0" w:color="auto"/>
              <w:bottom w:val="single" w:sz="6" w:space="0" w:color="auto"/>
              <w:right w:val="single" w:sz="6" w:space="0" w:color="auto"/>
            </w:tcBorders>
          </w:tcPr>
          <w:p w14:paraId="2BDF66A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4722CA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162</w:t>
            </w:r>
          </w:p>
        </w:tc>
        <w:tc>
          <w:tcPr>
            <w:tcW w:w="1304" w:type="dxa"/>
            <w:tcBorders>
              <w:top w:val="single" w:sz="6" w:space="0" w:color="auto"/>
              <w:left w:val="nil"/>
              <w:bottom w:val="single" w:sz="6" w:space="0" w:color="auto"/>
              <w:right w:val="nil"/>
            </w:tcBorders>
          </w:tcPr>
          <w:p w14:paraId="1B26B7B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94</w:t>
            </w:r>
          </w:p>
        </w:tc>
        <w:tc>
          <w:tcPr>
            <w:tcW w:w="1304" w:type="dxa"/>
            <w:tcBorders>
              <w:top w:val="single" w:sz="6" w:space="0" w:color="auto"/>
              <w:left w:val="single" w:sz="6" w:space="0" w:color="auto"/>
              <w:bottom w:val="single" w:sz="6" w:space="0" w:color="auto"/>
              <w:right w:val="single" w:sz="6" w:space="0" w:color="auto"/>
            </w:tcBorders>
          </w:tcPr>
          <w:p w14:paraId="3761B24E"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68</w:t>
            </w:r>
          </w:p>
        </w:tc>
      </w:tr>
      <w:tr w:rsidR="00C26079" w:rsidRPr="00C26079" w14:paraId="481DC593" w14:textId="77777777" w:rsidTr="00AF5422">
        <w:tc>
          <w:tcPr>
            <w:tcW w:w="3457" w:type="dxa"/>
            <w:tcBorders>
              <w:top w:val="single" w:sz="6" w:space="0" w:color="auto"/>
              <w:left w:val="single" w:sz="6" w:space="0" w:color="auto"/>
              <w:bottom w:val="single" w:sz="6" w:space="0" w:color="auto"/>
              <w:right w:val="nil"/>
            </w:tcBorders>
          </w:tcPr>
          <w:p w14:paraId="0067C1BB"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SC58 budget &amp; uncommitted carry forward savings</w:t>
            </w:r>
          </w:p>
        </w:tc>
        <w:tc>
          <w:tcPr>
            <w:tcW w:w="1304" w:type="dxa"/>
            <w:tcBorders>
              <w:top w:val="single" w:sz="6" w:space="0" w:color="auto"/>
              <w:left w:val="single" w:sz="6" w:space="0" w:color="auto"/>
              <w:bottom w:val="single" w:sz="6" w:space="0" w:color="auto"/>
              <w:right w:val="single" w:sz="6" w:space="0" w:color="auto"/>
            </w:tcBorders>
          </w:tcPr>
          <w:p w14:paraId="277FE4C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240</w:t>
            </w:r>
          </w:p>
        </w:tc>
        <w:tc>
          <w:tcPr>
            <w:tcW w:w="1304" w:type="dxa"/>
            <w:tcBorders>
              <w:top w:val="single" w:sz="6" w:space="0" w:color="auto"/>
              <w:left w:val="single" w:sz="6" w:space="0" w:color="auto"/>
              <w:bottom w:val="single" w:sz="6" w:space="0" w:color="auto"/>
              <w:right w:val="single" w:sz="6" w:space="0" w:color="auto"/>
            </w:tcBorders>
          </w:tcPr>
          <w:p w14:paraId="707932F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74A5E3B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1B1D81D4"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489</w:t>
            </w:r>
          </w:p>
        </w:tc>
        <w:tc>
          <w:tcPr>
            <w:tcW w:w="1304" w:type="dxa"/>
            <w:tcBorders>
              <w:top w:val="single" w:sz="6" w:space="0" w:color="auto"/>
              <w:left w:val="single" w:sz="6" w:space="0" w:color="auto"/>
              <w:bottom w:val="single" w:sz="6" w:space="0" w:color="auto"/>
              <w:right w:val="single" w:sz="6" w:space="0" w:color="auto"/>
            </w:tcBorders>
          </w:tcPr>
          <w:p w14:paraId="560A6B3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(20)</w:t>
            </w:r>
          </w:p>
        </w:tc>
        <w:tc>
          <w:tcPr>
            <w:tcW w:w="1304" w:type="dxa"/>
            <w:tcBorders>
              <w:top w:val="single" w:sz="6" w:space="0" w:color="auto"/>
              <w:left w:val="single" w:sz="6" w:space="0" w:color="auto"/>
              <w:bottom w:val="single" w:sz="6" w:space="0" w:color="auto"/>
              <w:right w:val="single" w:sz="6" w:space="0" w:color="auto"/>
            </w:tcBorders>
          </w:tcPr>
          <w:p w14:paraId="68C02EF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709</w:t>
            </w:r>
          </w:p>
        </w:tc>
        <w:tc>
          <w:tcPr>
            <w:tcW w:w="1304" w:type="dxa"/>
            <w:tcBorders>
              <w:top w:val="single" w:sz="6" w:space="0" w:color="auto"/>
              <w:left w:val="nil"/>
              <w:bottom w:val="single" w:sz="6" w:space="0" w:color="auto"/>
              <w:right w:val="nil"/>
            </w:tcBorders>
          </w:tcPr>
          <w:p w14:paraId="2FD5A71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27831D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709</w:t>
            </w:r>
          </w:p>
        </w:tc>
      </w:tr>
      <w:tr w:rsidR="00C26079" w:rsidRPr="00C26079" w14:paraId="092A9B01" w14:textId="77777777" w:rsidTr="00AF5422">
        <w:tc>
          <w:tcPr>
            <w:tcW w:w="3457" w:type="dxa"/>
            <w:tcBorders>
              <w:top w:val="nil"/>
              <w:left w:val="single" w:sz="6" w:space="0" w:color="auto"/>
              <w:bottom w:val="nil"/>
              <w:right w:val="nil"/>
            </w:tcBorders>
          </w:tcPr>
          <w:p w14:paraId="39316D86"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Exchange rate gains / losses</w:t>
            </w:r>
          </w:p>
        </w:tc>
        <w:tc>
          <w:tcPr>
            <w:tcW w:w="1304" w:type="dxa"/>
            <w:tcBorders>
              <w:top w:val="nil"/>
              <w:left w:val="single" w:sz="6" w:space="0" w:color="auto"/>
              <w:bottom w:val="nil"/>
              <w:right w:val="single" w:sz="6" w:space="0" w:color="auto"/>
            </w:tcBorders>
          </w:tcPr>
          <w:p w14:paraId="38436E5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0DECF67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56B72A0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4BD4851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(29)</w:t>
            </w:r>
          </w:p>
        </w:tc>
        <w:tc>
          <w:tcPr>
            <w:tcW w:w="1304" w:type="dxa"/>
            <w:tcBorders>
              <w:top w:val="nil"/>
              <w:left w:val="single" w:sz="6" w:space="0" w:color="auto"/>
              <w:bottom w:val="nil"/>
              <w:right w:val="single" w:sz="6" w:space="0" w:color="auto"/>
            </w:tcBorders>
          </w:tcPr>
          <w:p w14:paraId="3301C94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nil"/>
              <w:left w:val="single" w:sz="6" w:space="0" w:color="auto"/>
              <w:bottom w:val="nil"/>
              <w:right w:val="single" w:sz="6" w:space="0" w:color="auto"/>
            </w:tcBorders>
          </w:tcPr>
          <w:p w14:paraId="6694469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(29)</w:t>
            </w:r>
          </w:p>
        </w:tc>
        <w:tc>
          <w:tcPr>
            <w:tcW w:w="1304" w:type="dxa"/>
            <w:tcBorders>
              <w:top w:val="nil"/>
              <w:left w:val="nil"/>
              <w:bottom w:val="nil"/>
              <w:right w:val="nil"/>
            </w:tcBorders>
          </w:tcPr>
          <w:p w14:paraId="6164205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65</w:t>
            </w:r>
          </w:p>
        </w:tc>
        <w:tc>
          <w:tcPr>
            <w:tcW w:w="1304" w:type="dxa"/>
            <w:tcBorders>
              <w:top w:val="nil"/>
              <w:left w:val="single" w:sz="6" w:space="0" w:color="auto"/>
              <w:bottom w:val="nil"/>
              <w:right w:val="single" w:sz="6" w:space="0" w:color="auto"/>
            </w:tcBorders>
          </w:tcPr>
          <w:p w14:paraId="59396027"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(94)</w:t>
            </w:r>
          </w:p>
        </w:tc>
      </w:tr>
      <w:tr w:rsidR="00C26079" w:rsidRPr="00C26079" w14:paraId="06F2CC66" w14:textId="77777777" w:rsidTr="00AF5422">
        <w:tc>
          <w:tcPr>
            <w:tcW w:w="3457" w:type="dxa"/>
            <w:tcBorders>
              <w:top w:val="single" w:sz="6" w:space="0" w:color="auto"/>
              <w:left w:val="single" w:sz="6" w:space="0" w:color="auto"/>
              <w:bottom w:val="single" w:sz="6" w:space="0" w:color="auto"/>
              <w:right w:val="nil"/>
            </w:tcBorders>
          </w:tcPr>
          <w:p w14:paraId="428918E1"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Legal Services</w:t>
            </w:r>
          </w:p>
        </w:tc>
        <w:tc>
          <w:tcPr>
            <w:tcW w:w="1304" w:type="dxa"/>
            <w:tcBorders>
              <w:top w:val="single" w:sz="6" w:space="0" w:color="auto"/>
              <w:left w:val="single" w:sz="6" w:space="0" w:color="auto"/>
              <w:bottom w:val="single" w:sz="6" w:space="0" w:color="auto"/>
              <w:right w:val="single" w:sz="6" w:space="0" w:color="auto"/>
            </w:tcBorders>
          </w:tcPr>
          <w:p w14:paraId="208C4D5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59</w:t>
            </w:r>
          </w:p>
        </w:tc>
        <w:tc>
          <w:tcPr>
            <w:tcW w:w="1304" w:type="dxa"/>
            <w:tcBorders>
              <w:top w:val="single" w:sz="6" w:space="0" w:color="auto"/>
              <w:left w:val="single" w:sz="6" w:space="0" w:color="auto"/>
              <w:bottom w:val="single" w:sz="6" w:space="0" w:color="auto"/>
              <w:right w:val="single" w:sz="6" w:space="0" w:color="auto"/>
            </w:tcBorders>
          </w:tcPr>
          <w:p w14:paraId="417F3DF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4979449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25</w:t>
            </w:r>
          </w:p>
        </w:tc>
        <w:tc>
          <w:tcPr>
            <w:tcW w:w="1304" w:type="dxa"/>
            <w:tcBorders>
              <w:top w:val="single" w:sz="6" w:space="0" w:color="auto"/>
              <w:left w:val="single" w:sz="6" w:space="0" w:color="auto"/>
              <w:bottom w:val="single" w:sz="6" w:space="0" w:color="auto"/>
              <w:right w:val="single" w:sz="6" w:space="0" w:color="auto"/>
            </w:tcBorders>
          </w:tcPr>
          <w:p w14:paraId="4C49F5A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43</w:t>
            </w:r>
          </w:p>
        </w:tc>
        <w:tc>
          <w:tcPr>
            <w:tcW w:w="1304" w:type="dxa"/>
            <w:tcBorders>
              <w:top w:val="single" w:sz="6" w:space="0" w:color="auto"/>
              <w:left w:val="single" w:sz="6" w:space="0" w:color="auto"/>
              <w:bottom w:val="single" w:sz="6" w:space="0" w:color="auto"/>
              <w:right w:val="single" w:sz="6" w:space="0" w:color="auto"/>
            </w:tcBorders>
          </w:tcPr>
          <w:p w14:paraId="4C60FCF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tcPr>
          <w:p w14:paraId="3FD5D45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127</w:t>
            </w:r>
          </w:p>
        </w:tc>
        <w:tc>
          <w:tcPr>
            <w:tcW w:w="1304" w:type="dxa"/>
            <w:tcBorders>
              <w:top w:val="single" w:sz="6" w:space="0" w:color="auto"/>
              <w:left w:val="nil"/>
              <w:bottom w:val="single" w:sz="6" w:space="0" w:color="auto"/>
              <w:right w:val="nil"/>
            </w:tcBorders>
          </w:tcPr>
          <w:p w14:paraId="093FFF6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40</w:t>
            </w:r>
          </w:p>
        </w:tc>
        <w:tc>
          <w:tcPr>
            <w:tcW w:w="1304" w:type="dxa"/>
            <w:tcBorders>
              <w:top w:val="single" w:sz="6" w:space="0" w:color="auto"/>
              <w:left w:val="single" w:sz="6" w:space="0" w:color="auto"/>
              <w:bottom w:val="single" w:sz="6" w:space="0" w:color="auto"/>
              <w:right w:val="single" w:sz="6" w:space="0" w:color="auto"/>
            </w:tcBorders>
          </w:tcPr>
          <w:p w14:paraId="7736A8B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87</w:t>
            </w:r>
          </w:p>
        </w:tc>
      </w:tr>
      <w:tr w:rsidR="00C26079" w:rsidRPr="00C26079" w14:paraId="6D2603D0" w14:textId="77777777" w:rsidTr="00AF5422">
        <w:tc>
          <w:tcPr>
            <w:tcW w:w="3457" w:type="dxa"/>
            <w:tcBorders>
              <w:top w:val="nil"/>
              <w:left w:val="single" w:sz="6" w:space="0" w:color="auto"/>
              <w:bottom w:val="nil"/>
              <w:right w:val="nil"/>
            </w:tcBorders>
            <w:shd w:val="clear" w:color="auto" w:fill="D6E3BC" w:themeFill="accent3" w:themeFillTint="66"/>
          </w:tcPr>
          <w:p w14:paraId="2B9811CA"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TOTAL EXPENDITURES</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3EF36B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5,081</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0B12FD8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76</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7293C401"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588</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29D35685"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919</w:t>
            </w:r>
          </w:p>
        </w:tc>
        <w:tc>
          <w:tcPr>
            <w:tcW w:w="1304" w:type="dxa"/>
            <w:tcBorders>
              <w:top w:val="single" w:sz="6" w:space="0" w:color="auto"/>
              <w:left w:val="nil"/>
              <w:bottom w:val="single" w:sz="6" w:space="0" w:color="auto"/>
              <w:right w:val="single" w:sz="6" w:space="0" w:color="auto"/>
            </w:tcBorders>
            <w:shd w:val="clear" w:color="auto" w:fill="D6E3BC" w:themeFill="accent3" w:themeFillTint="66"/>
          </w:tcPr>
          <w:p w14:paraId="2BAB056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0</w:t>
            </w: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5AFB3F7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6,664</w:t>
            </w:r>
          </w:p>
        </w:tc>
        <w:tc>
          <w:tcPr>
            <w:tcW w:w="1304" w:type="dxa"/>
            <w:tcBorders>
              <w:top w:val="nil"/>
              <w:left w:val="nil"/>
              <w:bottom w:val="nil"/>
              <w:right w:val="nil"/>
            </w:tcBorders>
            <w:shd w:val="clear" w:color="auto" w:fill="D6E3BC" w:themeFill="accent3" w:themeFillTint="66"/>
          </w:tcPr>
          <w:p w14:paraId="73BFC75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4,363</w:t>
            </w:r>
          </w:p>
        </w:tc>
        <w:tc>
          <w:tcPr>
            <w:tcW w:w="1304" w:type="dxa"/>
            <w:tcBorders>
              <w:top w:val="nil"/>
              <w:left w:val="nil"/>
              <w:bottom w:val="nil"/>
              <w:right w:val="nil"/>
            </w:tcBorders>
            <w:shd w:val="clear" w:color="auto" w:fill="D6E3BC" w:themeFill="accent3" w:themeFillTint="66"/>
          </w:tcPr>
          <w:p w14:paraId="1F50785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2,301</w:t>
            </w:r>
          </w:p>
        </w:tc>
      </w:tr>
      <w:tr w:rsidR="00C26079" w:rsidRPr="00C26079" w14:paraId="60A6B55E" w14:textId="77777777" w:rsidTr="00AF5422">
        <w:tc>
          <w:tcPr>
            <w:tcW w:w="3457" w:type="dxa"/>
            <w:tcBorders>
              <w:top w:val="single" w:sz="6" w:space="0" w:color="auto"/>
              <w:left w:val="single" w:sz="6" w:space="0" w:color="auto"/>
              <w:bottom w:val="single" w:sz="6" w:space="0" w:color="auto"/>
              <w:right w:val="nil"/>
            </w:tcBorders>
          </w:tcPr>
          <w:p w14:paraId="666D2AB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050C748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49DFA59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23E0EC2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06CF3FAD"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57CA7E3A"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0E59619F"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1602CF7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single" w:sz="6" w:space="0" w:color="auto"/>
              <w:bottom w:val="single" w:sz="6" w:space="0" w:color="auto"/>
              <w:right w:val="single" w:sz="6" w:space="0" w:color="auto"/>
            </w:tcBorders>
          </w:tcPr>
          <w:p w14:paraId="04DE5670"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r>
      <w:tr w:rsidR="00C26079" w:rsidRPr="00C26079" w14:paraId="28868488" w14:textId="77777777" w:rsidTr="00AF5422">
        <w:tc>
          <w:tcPr>
            <w:tcW w:w="3457" w:type="dxa"/>
            <w:tcBorders>
              <w:top w:val="nil"/>
              <w:left w:val="single" w:sz="6" w:space="0" w:color="auto"/>
              <w:bottom w:val="nil"/>
              <w:right w:val="nil"/>
            </w:tcBorders>
            <w:shd w:val="clear" w:color="auto" w:fill="D6E3BC" w:themeFill="accent3" w:themeFillTint="66"/>
          </w:tcPr>
          <w:p w14:paraId="7688B734" w14:textId="77777777" w:rsidR="00C26079" w:rsidRPr="00C26079" w:rsidRDefault="00C26079">
            <w:pPr>
              <w:autoSpaceDE w:val="0"/>
              <w:autoSpaceDN w:val="0"/>
              <w:adjustRightInd w:val="0"/>
              <w:ind w:left="0" w:firstLine="0"/>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Subtotal SURPLUS/(DEFICIT)</w:t>
            </w:r>
          </w:p>
        </w:tc>
        <w:tc>
          <w:tcPr>
            <w:tcW w:w="1304" w:type="dxa"/>
            <w:tcBorders>
              <w:top w:val="single" w:sz="6" w:space="0" w:color="auto"/>
              <w:left w:val="single" w:sz="6" w:space="0" w:color="auto"/>
              <w:bottom w:val="single" w:sz="6" w:space="0" w:color="auto"/>
              <w:right w:val="nil"/>
            </w:tcBorders>
            <w:shd w:val="clear" w:color="auto" w:fill="D6E3BC" w:themeFill="accent3" w:themeFillTint="66"/>
          </w:tcPr>
          <w:p w14:paraId="75E940D8"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1069A186"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3F663951"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4FB1B5A3"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6F92068D"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50125558"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single" w:sz="6" w:space="0" w:color="auto"/>
              <w:bottom w:val="single" w:sz="6" w:space="0" w:color="auto"/>
              <w:right w:val="single" w:sz="6" w:space="0" w:color="auto"/>
            </w:tcBorders>
            <w:shd w:val="clear" w:color="auto" w:fill="D6E3BC" w:themeFill="accent3" w:themeFillTint="66"/>
          </w:tcPr>
          <w:p w14:paraId="6A60F033"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671</w:t>
            </w:r>
          </w:p>
        </w:tc>
        <w:tc>
          <w:tcPr>
            <w:tcW w:w="1304" w:type="dxa"/>
            <w:tcBorders>
              <w:top w:val="nil"/>
              <w:left w:val="single" w:sz="6" w:space="0" w:color="auto"/>
              <w:bottom w:val="nil"/>
              <w:right w:val="single" w:sz="6" w:space="0" w:color="auto"/>
            </w:tcBorders>
            <w:shd w:val="clear" w:color="auto" w:fill="D6E3BC" w:themeFill="accent3" w:themeFillTint="66"/>
          </w:tcPr>
          <w:p w14:paraId="23EBCF90"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2,254</w:t>
            </w:r>
          </w:p>
        </w:tc>
      </w:tr>
      <w:tr w:rsidR="00C26079" w:rsidRPr="00C26079" w14:paraId="4E8618F2" w14:textId="77777777" w:rsidTr="00AF5422">
        <w:tc>
          <w:tcPr>
            <w:tcW w:w="3457" w:type="dxa"/>
            <w:tcBorders>
              <w:top w:val="single" w:sz="6" w:space="0" w:color="auto"/>
              <w:left w:val="single" w:sz="6" w:space="0" w:color="auto"/>
              <w:bottom w:val="nil"/>
              <w:right w:val="nil"/>
            </w:tcBorders>
          </w:tcPr>
          <w:p w14:paraId="4B97183E" w14:textId="77777777" w:rsidR="00C26079" w:rsidRPr="00C26079" w:rsidRDefault="00C26079">
            <w:pPr>
              <w:autoSpaceDE w:val="0"/>
              <w:autoSpaceDN w:val="0"/>
              <w:adjustRightInd w:val="0"/>
              <w:ind w:left="0" w:firstLine="0"/>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Rounding corrections</w:t>
            </w:r>
          </w:p>
        </w:tc>
        <w:tc>
          <w:tcPr>
            <w:tcW w:w="1304" w:type="dxa"/>
            <w:tcBorders>
              <w:top w:val="single" w:sz="6" w:space="0" w:color="auto"/>
              <w:left w:val="nil"/>
              <w:bottom w:val="single" w:sz="6" w:space="0" w:color="auto"/>
              <w:right w:val="nil"/>
            </w:tcBorders>
          </w:tcPr>
          <w:p w14:paraId="7E89DD42"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09FA2BE9"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5D7331B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2747B398"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04C18DD6"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106B0663"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p>
        </w:tc>
        <w:tc>
          <w:tcPr>
            <w:tcW w:w="1304" w:type="dxa"/>
            <w:tcBorders>
              <w:top w:val="single" w:sz="6" w:space="0" w:color="auto"/>
              <w:left w:val="nil"/>
              <w:bottom w:val="single" w:sz="6" w:space="0" w:color="auto"/>
              <w:right w:val="nil"/>
            </w:tcBorders>
          </w:tcPr>
          <w:p w14:paraId="74E0CDEB"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w:t>
            </w:r>
          </w:p>
        </w:tc>
        <w:tc>
          <w:tcPr>
            <w:tcW w:w="1304" w:type="dxa"/>
            <w:tcBorders>
              <w:top w:val="single" w:sz="6" w:space="0" w:color="auto"/>
              <w:left w:val="single" w:sz="6" w:space="0" w:color="auto"/>
              <w:bottom w:val="single" w:sz="6" w:space="0" w:color="auto"/>
              <w:right w:val="single" w:sz="6" w:space="0" w:color="auto"/>
            </w:tcBorders>
          </w:tcPr>
          <w:p w14:paraId="6F4894EC" w14:textId="77777777" w:rsidR="00C26079" w:rsidRPr="00C26079" w:rsidRDefault="00C26079">
            <w:pPr>
              <w:autoSpaceDE w:val="0"/>
              <w:autoSpaceDN w:val="0"/>
              <w:adjustRightInd w:val="0"/>
              <w:ind w:left="0" w:firstLine="0"/>
              <w:jc w:val="right"/>
              <w:rPr>
                <w:rFonts w:asciiTheme="minorHAnsi" w:eastAsiaTheme="minorHAnsi" w:hAnsiTheme="minorHAnsi" w:cstheme="minorHAnsi"/>
                <w:color w:val="000000"/>
                <w:sz w:val="20"/>
                <w:szCs w:val="20"/>
              </w:rPr>
            </w:pPr>
            <w:r w:rsidRPr="00C26079">
              <w:rPr>
                <w:rFonts w:asciiTheme="minorHAnsi" w:eastAsiaTheme="minorHAnsi" w:hAnsiTheme="minorHAnsi" w:cstheme="minorHAnsi"/>
                <w:color w:val="000000"/>
                <w:sz w:val="20"/>
                <w:szCs w:val="20"/>
              </w:rPr>
              <w:t>1</w:t>
            </w:r>
          </w:p>
        </w:tc>
      </w:tr>
      <w:tr w:rsidR="00C26079" w:rsidRPr="00C26079" w14:paraId="5E281A03" w14:textId="77777777" w:rsidTr="00AF5422">
        <w:tc>
          <w:tcPr>
            <w:tcW w:w="3457" w:type="dxa"/>
            <w:tcBorders>
              <w:top w:val="single" w:sz="6" w:space="0" w:color="auto"/>
              <w:left w:val="single" w:sz="6" w:space="0" w:color="auto"/>
              <w:bottom w:val="single" w:sz="6" w:space="0" w:color="auto"/>
              <w:right w:val="nil"/>
            </w:tcBorders>
            <w:shd w:val="clear" w:color="auto" w:fill="D6E3BC" w:themeFill="accent3" w:themeFillTint="66"/>
          </w:tcPr>
          <w:p w14:paraId="0977D575" w14:textId="77777777" w:rsidR="00C26079" w:rsidRPr="00C26079" w:rsidRDefault="00C26079">
            <w:pPr>
              <w:autoSpaceDE w:val="0"/>
              <w:autoSpaceDN w:val="0"/>
              <w:adjustRightInd w:val="0"/>
              <w:ind w:left="0" w:firstLine="0"/>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Total Surplus</w:t>
            </w:r>
          </w:p>
        </w:tc>
        <w:tc>
          <w:tcPr>
            <w:tcW w:w="1304" w:type="dxa"/>
            <w:tcBorders>
              <w:top w:val="nil"/>
              <w:left w:val="single" w:sz="6" w:space="0" w:color="auto"/>
              <w:bottom w:val="single" w:sz="6" w:space="0" w:color="auto"/>
              <w:right w:val="nil"/>
            </w:tcBorders>
            <w:shd w:val="clear" w:color="auto" w:fill="D6E3BC" w:themeFill="accent3" w:themeFillTint="66"/>
          </w:tcPr>
          <w:p w14:paraId="55449F4D"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44A036D9"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5164EF8F"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28471ACA"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nil"/>
            </w:tcBorders>
            <w:shd w:val="clear" w:color="auto" w:fill="D6E3BC" w:themeFill="accent3" w:themeFillTint="66"/>
          </w:tcPr>
          <w:p w14:paraId="4ADB890E"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nil"/>
              <w:left w:val="nil"/>
              <w:bottom w:val="single" w:sz="6" w:space="0" w:color="auto"/>
              <w:right w:val="single" w:sz="6" w:space="0" w:color="auto"/>
            </w:tcBorders>
            <w:shd w:val="clear" w:color="auto" w:fill="D6E3BC" w:themeFill="accent3" w:themeFillTint="66"/>
          </w:tcPr>
          <w:p w14:paraId="6325B779"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p>
        </w:tc>
        <w:tc>
          <w:tcPr>
            <w:tcW w:w="1304" w:type="dxa"/>
            <w:tcBorders>
              <w:top w:val="single" w:sz="6" w:space="0" w:color="auto"/>
              <w:left w:val="nil"/>
              <w:bottom w:val="single" w:sz="6" w:space="0" w:color="auto"/>
              <w:right w:val="nil"/>
            </w:tcBorders>
            <w:shd w:val="clear" w:color="auto" w:fill="D6E3BC" w:themeFill="accent3" w:themeFillTint="66"/>
          </w:tcPr>
          <w:p w14:paraId="38FC918C"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670</w:t>
            </w:r>
          </w:p>
        </w:tc>
        <w:tc>
          <w:tcPr>
            <w:tcW w:w="1304" w:type="dxa"/>
            <w:tcBorders>
              <w:top w:val="single" w:sz="6" w:space="0" w:color="auto"/>
              <w:left w:val="nil"/>
              <w:bottom w:val="single" w:sz="6" w:space="0" w:color="auto"/>
              <w:right w:val="nil"/>
            </w:tcBorders>
            <w:shd w:val="clear" w:color="auto" w:fill="D6E3BC" w:themeFill="accent3" w:themeFillTint="66"/>
          </w:tcPr>
          <w:p w14:paraId="4C68739D" w14:textId="77777777" w:rsidR="00C26079" w:rsidRPr="00C26079" w:rsidRDefault="00C26079">
            <w:pPr>
              <w:autoSpaceDE w:val="0"/>
              <w:autoSpaceDN w:val="0"/>
              <w:adjustRightInd w:val="0"/>
              <w:ind w:left="0" w:firstLine="0"/>
              <w:jc w:val="right"/>
              <w:rPr>
                <w:rFonts w:asciiTheme="minorHAnsi" w:eastAsiaTheme="minorHAnsi" w:hAnsiTheme="minorHAnsi" w:cstheme="minorHAnsi"/>
                <w:b/>
                <w:bCs/>
                <w:color w:val="000000"/>
                <w:sz w:val="20"/>
                <w:szCs w:val="20"/>
              </w:rPr>
            </w:pPr>
            <w:r w:rsidRPr="00C26079">
              <w:rPr>
                <w:rFonts w:asciiTheme="minorHAnsi" w:eastAsiaTheme="minorHAnsi" w:hAnsiTheme="minorHAnsi" w:cstheme="minorHAnsi"/>
                <w:b/>
                <w:bCs/>
                <w:color w:val="000000"/>
                <w:sz w:val="20"/>
                <w:szCs w:val="20"/>
              </w:rPr>
              <w:t>2,253</w:t>
            </w:r>
          </w:p>
        </w:tc>
      </w:tr>
    </w:tbl>
    <w:p w14:paraId="14C0C9C0" w14:textId="292EEA30" w:rsidR="00F8252A" w:rsidRPr="007A4B88" w:rsidRDefault="007A4B88" w:rsidP="007114B2">
      <w:pPr>
        <w:ind w:left="0" w:firstLine="0"/>
        <w:rPr>
          <w:rFonts w:asciiTheme="minorHAnsi" w:eastAsia="Times New Roman" w:hAnsiTheme="minorHAnsi" w:cs="Arial"/>
          <w:b/>
          <w:bCs/>
          <w:sz w:val="20"/>
          <w:szCs w:val="20"/>
          <w:lang w:eastAsia="en-GB"/>
        </w:rPr>
      </w:pPr>
      <w:r w:rsidRPr="007A4B88">
        <w:rPr>
          <w:rFonts w:eastAsia="Times New Roman" w:cs="Calibri"/>
          <w:color w:val="000000"/>
          <w:sz w:val="20"/>
          <w:szCs w:val="20"/>
          <w:lang w:eastAsia="en-GB"/>
        </w:rPr>
        <w:t>Notes:</w:t>
      </w:r>
    </w:p>
    <w:p w14:paraId="30C56C2C" w14:textId="304FAA96" w:rsidR="007A4B88" w:rsidRPr="007A4B88" w:rsidRDefault="007A4B88" w:rsidP="007A4B88">
      <w:pPr>
        <w:ind w:left="426" w:hanging="426"/>
        <w:rPr>
          <w:rFonts w:eastAsia="Times New Roman" w:cs="Calibri"/>
          <w:color w:val="000000"/>
          <w:sz w:val="20"/>
          <w:szCs w:val="20"/>
          <w:lang w:eastAsia="en-GB"/>
        </w:rPr>
      </w:pPr>
      <w:r w:rsidRPr="007A4B88">
        <w:rPr>
          <w:rFonts w:eastAsia="Times New Roman" w:cs="Calibri"/>
          <w:color w:val="000000"/>
          <w:sz w:val="20"/>
          <w:szCs w:val="20"/>
          <w:lang w:eastAsia="en-GB"/>
        </w:rPr>
        <w:t>1)</w:t>
      </w:r>
      <w:r w:rsidRPr="007A4B88">
        <w:rPr>
          <w:rFonts w:eastAsia="Times New Roman" w:cs="Calibri"/>
          <w:color w:val="000000"/>
          <w:sz w:val="20"/>
          <w:szCs w:val="20"/>
          <w:lang w:eastAsia="en-GB"/>
        </w:rPr>
        <w:tab/>
        <w:t>Carry forward in the same budget line as per the Standing Committee Decision SC57-50</w:t>
      </w:r>
    </w:p>
    <w:p w14:paraId="071307F4" w14:textId="0F4F21DD" w:rsidR="007A4B88" w:rsidRPr="007A4B88" w:rsidRDefault="007A4B88" w:rsidP="007A4B88">
      <w:pPr>
        <w:ind w:left="426" w:hanging="426"/>
        <w:rPr>
          <w:rFonts w:eastAsia="Times New Roman" w:cs="Calibri"/>
          <w:color w:val="000000"/>
          <w:sz w:val="20"/>
          <w:szCs w:val="20"/>
          <w:lang w:eastAsia="en-GB"/>
        </w:rPr>
      </w:pPr>
      <w:r w:rsidRPr="007A4B88">
        <w:rPr>
          <w:rFonts w:eastAsia="Times New Roman" w:cs="Calibri"/>
          <w:color w:val="000000"/>
          <w:sz w:val="20"/>
          <w:szCs w:val="20"/>
          <w:lang w:eastAsia="en-GB"/>
        </w:rPr>
        <w:t>2)</w:t>
      </w:r>
      <w:r w:rsidRPr="007A4B88">
        <w:rPr>
          <w:rFonts w:ascii="Times New Roman" w:eastAsia="Times New Roman" w:hAnsi="Times New Roman"/>
          <w:color w:val="000000"/>
          <w:sz w:val="20"/>
          <w:szCs w:val="20"/>
          <w:lang w:eastAsia="en-GB"/>
        </w:rPr>
        <w:tab/>
      </w:r>
      <w:r w:rsidRPr="007A4B88">
        <w:rPr>
          <w:sz w:val="20"/>
          <w:szCs w:val="20"/>
        </w:rPr>
        <w:t>SC58 Intersessional Decisions approved</w:t>
      </w:r>
    </w:p>
    <w:p w14:paraId="31B82D25" w14:textId="7E3E1BBB" w:rsidR="007A4B88" w:rsidRDefault="007A4B88" w:rsidP="007A4B88">
      <w:pPr>
        <w:ind w:left="426" w:hanging="426"/>
        <w:rPr>
          <w:rFonts w:eastAsia="Times New Roman" w:cs="Calibri"/>
          <w:color w:val="000000"/>
          <w:sz w:val="20"/>
          <w:szCs w:val="20"/>
          <w:lang w:eastAsia="en-GB"/>
        </w:rPr>
      </w:pPr>
      <w:r w:rsidRPr="007A4B88">
        <w:rPr>
          <w:rFonts w:eastAsia="Times New Roman" w:cs="Calibri"/>
          <w:color w:val="000000"/>
          <w:sz w:val="20"/>
          <w:szCs w:val="20"/>
          <w:lang w:eastAsia="en-GB"/>
        </w:rPr>
        <w:t>3)</w:t>
      </w:r>
      <w:r w:rsidRPr="007A4B88">
        <w:rPr>
          <w:rFonts w:eastAsia="Times New Roman" w:cs="Calibri"/>
          <w:color w:val="000000"/>
          <w:sz w:val="20"/>
          <w:szCs w:val="20"/>
          <w:lang w:eastAsia="en-GB"/>
        </w:rPr>
        <w:tab/>
        <w:t>See Table 1 for the details of the pre-committed 2021 to be spent in 2021</w:t>
      </w:r>
      <w:r>
        <w:rPr>
          <w:rFonts w:eastAsia="Times New Roman" w:cs="Calibri"/>
          <w:color w:val="000000"/>
          <w:sz w:val="20"/>
          <w:szCs w:val="20"/>
          <w:lang w:eastAsia="en-GB"/>
        </w:rPr>
        <w:br w:type="page"/>
      </w:r>
    </w:p>
    <w:p w14:paraId="506A6011" w14:textId="77777777" w:rsidR="00C26079" w:rsidRDefault="00C26079" w:rsidP="007A4B88">
      <w:pPr>
        <w:ind w:left="426" w:hanging="426"/>
        <w:rPr>
          <w:rFonts w:eastAsia="Times New Roman" w:cs="Calibri"/>
          <w:color w:val="000000"/>
          <w:sz w:val="20"/>
          <w:szCs w:val="20"/>
          <w:lang w:eastAsia="en-GB"/>
        </w:rPr>
        <w:sectPr w:rsidR="00C26079" w:rsidSect="00C26079">
          <w:footerReference w:type="default" r:id="rId9"/>
          <w:pgSz w:w="16838" w:h="11906" w:orient="landscape" w:code="9"/>
          <w:pgMar w:top="1440" w:right="1440" w:bottom="1440" w:left="1440" w:header="709" w:footer="709" w:gutter="0"/>
          <w:cols w:space="708"/>
          <w:docGrid w:linePitch="360"/>
        </w:sectPr>
      </w:pPr>
    </w:p>
    <w:p w14:paraId="0B2A0F52" w14:textId="4123A26B" w:rsidR="00BA0F3C" w:rsidRDefault="001458BE" w:rsidP="007114B2">
      <w:pPr>
        <w:ind w:left="0" w:firstLine="0"/>
        <w:rPr>
          <w:rFonts w:asciiTheme="minorHAnsi" w:eastAsia="Times New Roman" w:hAnsiTheme="minorHAnsi" w:cs="Arial"/>
          <w:b/>
          <w:bCs/>
          <w:sz w:val="24"/>
          <w:szCs w:val="24"/>
          <w:lang w:eastAsia="en-GB"/>
        </w:rPr>
      </w:pPr>
      <w:r w:rsidRPr="00421152">
        <w:rPr>
          <w:rFonts w:asciiTheme="minorHAnsi" w:eastAsia="Times New Roman" w:hAnsiTheme="minorHAnsi" w:cs="Arial"/>
          <w:b/>
          <w:bCs/>
          <w:sz w:val="24"/>
          <w:szCs w:val="24"/>
          <w:lang w:eastAsia="en-GB"/>
        </w:rPr>
        <w:lastRenderedPageBreak/>
        <w:t>Annex 3</w:t>
      </w:r>
    </w:p>
    <w:p w14:paraId="098F563F" w14:textId="1A8EBE30" w:rsidR="00330040" w:rsidRDefault="001458BE" w:rsidP="007114B2">
      <w:pPr>
        <w:ind w:left="0" w:firstLine="0"/>
        <w:rPr>
          <w:rFonts w:asciiTheme="minorHAnsi" w:eastAsia="Times New Roman" w:hAnsiTheme="minorHAnsi" w:cs="Arial"/>
          <w:b/>
          <w:bCs/>
          <w:lang w:eastAsia="en-GB"/>
        </w:rPr>
      </w:pPr>
      <w:r w:rsidRPr="007114B2">
        <w:rPr>
          <w:rFonts w:asciiTheme="minorHAnsi" w:eastAsia="Times New Roman" w:hAnsiTheme="minorHAnsi" w:cs="Arial"/>
          <w:b/>
          <w:bCs/>
          <w:lang w:eastAsia="en-GB"/>
        </w:rPr>
        <w:t xml:space="preserve">Projects financed by restricted funds for the period 01 January </w:t>
      </w:r>
      <w:r w:rsidR="00A431A2" w:rsidRPr="007114B2">
        <w:rPr>
          <w:rFonts w:asciiTheme="minorHAnsi" w:eastAsia="Times New Roman" w:hAnsiTheme="minorHAnsi" w:cs="Arial"/>
          <w:b/>
          <w:bCs/>
          <w:lang w:eastAsia="en-GB"/>
        </w:rPr>
        <w:t>20</w:t>
      </w:r>
      <w:r w:rsidR="00A431A2">
        <w:rPr>
          <w:rFonts w:asciiTheme="minorHAnsi" w:eastAsia="Times New Roman" w:hAnsiTheme="minorHAnsi" w:cs="Arial"/>
          <w:b/>
          <w:bCs/>
          <w:lang w:eastAsia="en-GB"/>
        </w:rPr>
        <w:t>20</w:t>
      </w:r>
      <w:r w:rsidR="00A431A2" w:rsidRPr="007114B2">
        <w:rPr>
          <w:rFonts w:asciiTheme="minorHAnsi" w:eastAsia="Times New Roman" w:hAnsiTheme="minorHAnsi" w:cs="Arial"/>
          <w:b/>
          <w:bCs/>
          <w:lang w:eastAsia="en-GB"/>
        </w:rPr>
        <w:t xml:space="preserve"> </w:t>
      </w:r>
      <w:r w:rsidRPr="007114B2">
        <w:rPr>
          <w:rFonts w:asciiTheme="minorHAnsi" w:eastAsia="Times New Roman" w:hAnsiTheme="minorHAnsi" w:cs="Arial"/>
          <w:b/>
          <w:bCs/>
          <w:lang w:eastAsia="en-GB"/>
        </w:rPr>
        <w:t xml:space="preserve">- 31 December </w:t>
      </w:r>
      <w:r w:rsidR="00A431A2" w:rsidRPr="007114B2">
        <w:rPr>
          <w:rFonts w:asciiTheme="minorHAnsi" w:eastAsia="Times New Roman" w:hAnsiTheme="minorHAnsi" w:cs="Arial"/>
          <w:b/>
          <w:bCs/>
          <w:lang w:eastAsia="en-GB"/>
        </w:rPr>
        <w:t>20</w:t>
      </w:r>
      <w:r w:rsidR="00A431A2">
        <w:rPr>
          <w:rFonts w:asciiTheme="minorHAnsi" w:eastAsia="Times New Roman" w:hAnsiTheme="minorHAnsi" w:cs="Arial"/>
          <w:b/>
          <w:bCs/>
          <w:lang w:eastAsia="en-GB"/>
        </w:rPr>
        <w:t>20</w:t>
      </w:r>
    </w:p>
    <w:p w14:paraId="2A9B630D" w14:textId="16484F2E" w:rsidR="00413AEE" w:rsidRDefault="001458BE" w:rsidP="007114B2">
      <w:pPr>
        <w:ind w:left="0" w:firstLine="0"/>
        <w:rPr>
          <w:rFonts w:asciiTheme="minorHAnsi" w:eastAsia="Times New Roman" w:hAnsiTheme="minorHAnsi" w:cs="Arial"/>
          <w:bCs/>
          <w:i/>
          <w:sz w:val="20"/>
          <w:szCs w:val="20"/>
          <w:lang w:eastAsia="en-GB"/>
        </w:rPr>
      </w:pPr>
      <w:r w:rsidRPr="00167681">
        <w:rPr>
          <w:rFonts w:asciiTheme="minorHAnsi" w:eastAsia="Times New Roman" w:hAnsiTheme="minorHAnsi" w:cs="Arial"/>
          <w:bCs/>
          <w:i/>
          <w:sz w:val="20"/>
          <w:szCs w:val="20"/>
          <w:lang w:eastAsia="en-GB"/>
        </w:rPr>
        <w:t>(</w:t>
      </w:r>
      <w:r w:rsidR="00330040" w:rsidRPr="00167681">
        <w:rPr>
          <w:rFonts w:asciiTheme="minorHAnsi" w:eastAsia="Times New Roman" w:hAnsiTheme="minorHAnsi" w:cs="Arial"/>
          <w:bCs/>
          <w:i/>
          <w:sz w:val="20"/>
          <w:szCs w:val="20"/>
          <w:lang w:eastAsia="en-GB"/>
        </w:rPr>
        <w:t xml:space="preserve">CHF </w:t>
      </w:r>
      <w:r w:rsidR="00862FC2" w:rsidRPr="00167681">
        <w:rPr>
          <w:rFonts w:asciiTheme="minorHAnsi" w:eastAsia="Times New Roman" w:hAnsiTheme="minorHAnsi" w:cs="Arial"/>
          <w:bCs/>
          <w:i/>
          <w:sz w:val="20"/>
          <w:szCs w:val="20"/>
          <w:lang w:eastAsia="en-GB"/>
        </w:rPr>
        <w:t>‘</w:t>
      </w:r>
      <w:r w:rsidRPr="00167681">
        <w:rPr>
          <w:rFonts w:asciiTheme="minorHAnsi" w:eastAsia="Times New Roman" w:hAnsiTheme="minorHAnsi" w:cs="Arial"/>
          <w:bCs/>
          <w:i/>
          <w:sz w:val="20"/>
          <w:szCs w:val="20"/>
          <w:lang w:eastAsia="en-GB"/>
        </w:rPr>
        <w:t>000</w:t>
      </w:r>
      <w:r w:rsidR="00330040" w:rsidRPr="00167681">
        <w:rPr>
          <w:rFonts w:asciiTheme="minorHAnsi" w:eastAsia="Times New Roman" w:hAnsiTheme="minorHAnsi" w:cs="Arial"/>
          <w:bCs/>
          <w:i/>
          <w:sz w:val="20"/>
          <w:szCs w:val="20"/>
          <w:lang w:eastAsia="en-GB"/>
        </w:rPr>
        <w:t>s</w:t>
      </w:r>
      <w:r w:rsidRPr="00167681">
        <w:rPr>
          <w:rFonts w:asciiTheme="minorHAnsi" w:eastAsia="Times New Roman" w:hAnsiTheme="minorHAnsi" w:cs="Arial"/>
          <w:bCs/>
          <w:i/>
          <w:sz w:val="20"/>
          <w:szCs w:val="20"/>
          <w:lang w:eastAsia="en-GB"/>
        </w:rPr>
        <w:t>, includes possible rounding differences</w:t>
      </w:r>
      <w:r w:rsidR="00330040" w:rsidRPr="00167681">
        <w:rPr>
          <w:rFonts w:asciiTheme="minorHAnsi" w:eastAsia="Times New Roman" w:hAnsiTheme="minorHAnsi" w:cs="Arial"/>
          <w:bCs/>
          <w:i/>
          <w:sz w:val="20"/>
          <w:szCs w:val="20"/>
          <w:lang w:eastAsia="en-GB"/>
        </w:rPr>
        <w:t>)</w:t>
      </w:r>
    </w:p>
    <w:p w14:paraId="105251C4" w14:textId="6E1A46E4" w:rsidR="00666EE5" w:rsidRDefault="00666EE5">
      <w:pPr>
        <w:rPr>
          <w:rFonts w:asciiTheme="minorHAnsi" w:eastAsia="Times New Roman" w:hAnsiTheme="minorHAnsi" w:cs="Arial"/>
          <w:bCs/>
          <w:lang w:eastAsia="en-GB"/>
        </w:rPr>
      </w:pPr>
    </w:p>
    <w:tbl>
      <w:tblPr>
        <w:tblW w:w="9576" w:type="dxa"/>
        <w:tblInd w:w="-30" w:type="dxa"/>
        <w:tblLayout w:type="fixed"/>
        <w:tblLook w:val="0000" w:firstRow="0" w:lastRow="0" w:firstColumn="0" w:lastColumn="0" w:noHBand="0" w:noVBand="0"/>
      </w:tblPr>
      <w:tblGrid>
        <w:gridCol w:w="1306"/>
        <w:gridCol w:w="709"/>
        <w:gridCol w:w="2375"/>
        <w:gridCol w:w="1140"/>
        <w:gridCol w:w="1005"/>
        <w:gridCol w:w="1006"/>
        <w:gridCol w:w="1005"/>
        <w:gridCol w:w="1030"/>
      </w:tblGrid>
      <w:tr w:rsidR="00740865" w14:paraId="0A70B8E2" w14:textId="77777777" w:rsidTr="00740865">
        <w:tc>
          <w:tcPr>
            <w:tcW w:w="1306" w:type="dxa"/>
            <w:tcBorders>
              <w:top w:val="single" w:sz="12" w:space="0" w:color="auto"/>
              <w:left w:val="nil"/>
              <w:bottom w:val="nil"/>
              <w:right w:val="nil"/>
            </w:tcBorders>
            <w:shd w:val="clear" w:color="auto" w:fill="D6E3BC" w:themeFill="accent3" w:themeFillTint="66"/>
          </w:tcPr>
          <w:p w14:paraId="545C3C7A" w14:textId="77777777" w:rsidR="00740865" w:rsidRDefault="00740865">
            <w:pPr>
              <w:autoSpaceDE w:val="0"/>
              <w:autoSpaceDN w:val="0"/>
              <w:adjustRightInd w:val="0"/>
              <w:ind w:left="0" w:firstLine="0"/>
              <w:jc w:val="center"/>
              <w:rPr>
                <w:rFonts w:eastAsiaTheme="minorHAnsi" w:cs="Calibri"/>
                <w:b/>
                <w:bCs/>
                <w:color w:val="000000"/>
                <w:sz w:val="20"/>
                <w:szCs w:val="20"/>
              </w:rPr>
            </w:pPr>
            <w:r>
              <w:rPr>
                <w:rFonts w:eastAsiaTheme="minorHAnsi" w:cs="Calibri"/>
                <w:b/>
                <w:bCs/>
                <w:color w:val="000000"/>
                <w:sz w:val="20"/>
                <w:szCs w:val="20"/>
              </w:rPr>
              <w:t>Project Number</w:t>
            </w:r>
          </w:p>
        </w:tc>
        <w:tc>
          <w:tcPr>
            <w:tcW w:w="3084" w:type="dxa"/>
            <w:gridSpan w:val="2"/>
            <w:tcBorders>
              <w:top w:val="single" w:sz="12" w:space="0" w:color="auto"/>
              <w:left w:val="nil"/>
              <w:bottom w:val="nil"/>
              <w:right w:val="nil"/>
            </w:tcBorders>
            <w:shd w:val="clear" w:color="auto" w:fill="D6E3BC" w:themeFill="accent3" w:themeFillTint="66"/>
          </w:tcPr>
          <w:p w14:paraId="7188F1AE" w14:textId="77777777" w:rsidR="00740865" w:rsidRDefault="00740865">
            <w:pPr>
              <w:autoSpaceDE w:val="0"/>
              <w:autoSpaceDN w:val="0"/>
              <w:adjustRightInd w:val="0"/>
              <w:ind w:left="0" w:firstLine="0"/>
              <w:jc w:val="center"/>
              <w:rPr>
                <w:rFonts w:eastAsiaTheme="minorHAnsi" w:cs="Calibri"/>
                <w:b/>
                <w:bCs/>
                <w:color w:val="000000"/>
                <w:sz w:val="20"/>
                <w:szCs w:val="20"/>
              </w:rPr>
            </w:pPr>
            <w:r>
              <w:rPr>
                <w:rFonts w:eastAsiaTheme="minorHAnsi" w:cs="Calibri"/>
                <w:b/>
                <w:bCs/>
                <w:color w:val="000000"/>
                <w:sz w:val="20"/>
                <w:szCs w:val="20"/>
              </w:rPr>
              <w:t>Project Name</w:t>
            </w:r>
          </w:p>
        </w:tc>
        <w:tc>
          <w:tcPr>
            <w:tcW w:w="2145" w:type="dxa"/>
            <w:gridSpan w:val="2"/>
            <w:tcBorders>
              <w:top w:val="single" w:sz="12" w:space="0" w:color="auto"/>
              <w:left w:val="nil"/>
              <w:bottom w:val="nil"/>
              <w:right w:val="nil"/>
            </w:tcBorders>
            <w:shd w:val="clear" w:color="auto" w:fill="D6E3BC" w:themeFill="accent3" w:themeFillTint="66"/>
          </w:tcPr>
          <w:p w14:paraId="2DAC867D" w14:textId="77777777" w:rsidR="00740865" w:rsidRDefault="00740865">
            <w:pPr>
              <w:autoSpaceDE w:val="0"/>
              <w:autoSpaceDN w:val="0"/>
              <w:adjustRightInd w:val="0"/>
              <w:ind w:left="0" w:firstLine="0"/>
              <w:jc w:val="center"/>
              <w:rPr>
                <w:rFonts w:eastAsiaTheme="minorHAnsi" w:cs="Calibri"/>
                <w:b/>
                <w:bCs/>
                <w:color w:val="000000"/>
                <w:sz w:val="20"/>
                <w:szCs w:val="20"/>
              </w:rPr>
            </w:pPr>
            <w:r>
              <w:rPr>
                <w:rFonts w:eastAsiaTheme="minorHAnsi" w:cs="Calibri"/>
                <w:b/>
                <w:bCs/>
                <w:color w:val="000000"/>
                <w:sz w:val="20"/>
                <w:szCs w:val="20"/>
              </w:rPr>
              <w:t>Balance (deficit) at 31 December 2019</w:t>
            </w:r>
          </w:p>
        </w:tc>
        <w:tc>
          <w:tcPr>
            <w:tcW w:w="3041" w:type="dxa"/>
            <w:gridSpan w:val="3"/>
            <w:tcBorders>
              <w:top w:val="single" w:sz="12" w:space="0" w:color="auto"/>
              <w:left w:val="nil"/>
              <w:bottom w:val="nil"/>
              <w:right w:val="nil"/>
            </w:tcBorders>
            <w:shd w:val="clear" w:color="auto" w:fill="D6E3BC" w:themeFill="accent3" w:themeFillTint="66"/>
          </w:tcPr>
          <w:p w14:paraId="5ABA83CD" w14:textId="77777777" w:rsidR="00740865" w:rsidRDefault="00740865">
            <w:pPr>
              <w:autoSpaceDE w:val="0"/>
              <w:autoSpaceDN w:val="0"/>
              <w:adjustRightInd w:val="0"/>
              <w:ind w:left="0" w:firstLine="0"/>
              <w:jc w:val="center"/>
              <w:rPr>
                <w:rFonts w:eastAsiaTheme="minorHAnsi" w:cs="Calibri"/>
                <w:b/>
                <w:bCs/>
                <w:color w:val="000000"/>
                <w:sz w:val="20"/>
                <w:szCs w:val="20"/>
              </w:rPr>
            </w:pPr>
            <w:r>
              <w:rPr>
                <w:rFonts w:eastAsiaTheme="minorHAnsi" w:cs="Calibri"/>
                <w:b/>
                <w:bCs/>
                <w:color w:val="000000"/>
                <w:sz w:val="20"/>
                <w:szCs w:val="20"/>
              </w:rPr>
              <w:t>Expenditure during 2020</w:t>
            </w:r>
          </w:p>
        </w:tc>
      </w:tr>
      <w:tr w:rsidR="00740865" w14:paraId="590BB950" w14:textId="77777777" w:rsidTr="00740865">
        <w:tc>
          <w:tcPr>
            <w:tcW w:w="1306" w:type="dxa"/>
            <w:tcBorders>
              <w:top w:val="nil"/>
              <w:left w:val="nil"/>
              <w:bottom w:val="single" w:sz="12" w:space="0" w:color="auto"/>
              <w:right w:val="nil"/>
            </w:tcBorders>
            <w:shd w:val="clear" w:color="auto" w:fill="D6E3BC" w:themeFill="accent3" w:themeFillTint="66"/>
          </w:tcPr>
          <w:p w14:paraId="21716010" w14:textId="77777777" w:rsidR="00740865" w:rsidRDefault="00740865">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single" w:sz="12" w:space="0" w:color="auto"/>
              <w:right w:val="nil"/>
            </w:tcBorders>
            <w:shd w:val="clear" w:color="auto" w:fill="D6E3BC" w:themeFill="accent3" w:themeFillTint="66"/>
          </w:tcPr>
          <w:p w14:paraId="157F14DD" w14:textId="77777777" w:rsidR="00740865" w:rsidRDefault="00740865">
            <w:pPr>
              <w:autoSpaceDE w:val="0"/>
              <w:autoSpaceDN w:val="0"/>
              <w:adjustRightInd w:val="0"/>
              <w:ind w:left="0" w:firstLine="0"/>
              <w:jc w:val="right"/>
              <w:rPr>
                <w:rFonts w:eastAsiaTheme="minorHAnsi" w:cs="Calibri"/>
                <w:color w:val="000000"/>
              </w:rPr>
            </w:pPr>
          </w:p>
        </w:tc>
        <w:tc>
          <w:tcPr>
            <w:tcW w:w="1140" w:type="dxa"/>
            <w:tcBorders>
              <w:top w:val="nil"/>
              <w:left w:val="nil"/>
              <w:bottom w:val="single" w:sz="12" w:space="0" w:color="auto"/>
              <w:right w:val="nil"/>
            </w:tcBorders>
            <w:shd w:val="clear" w:color="auto" w:fill="D6E3BC" w:themeFill="accent3" w:themeFillTint="66"/>
          </w:tcPr>
          <w:p w14:paraId="47502DF6" w14:textId="77777777" w:rsidR="00740865" w:rsidRDefault="00740865">
            <w:pPr>
              <w:autoSpaceDE w:val="0"/>
              <w:autoSpaceDN w:val="0"/>
              <w:adjustRightInd w:val="0"/>
              <w:ind w:left="0" w:firstLine="0"/>
              <w:jc w:val="center"/>
              <w:rPr>
                <w:rFonts w:eastAsiaTheme="minorHAnsi" w:cs="Calibri"/>
                <w:color w:val="000000"/>
                <w:sz w:val="20"/>
                <w:szCs w:val="20"/>
              </w:rPr>
            </w:pPr>
            <w:r>
              <w:rPr>
                <w:rFonts w:eastAsiaTheme="minorHAnsi" w:cs="Calibri"/>
                <w:color w:val="000000"/>
                <w:sz w:val="20"/>
                <w:szCs w:val="20"/>
              </w:rPr>
              <w:t>(DR)/CR</w:t>
            </w:r>
          </w:p>
        </w:tc>
        <w:tc>
          <w:tcPr>
            <w:tcW w:w="1005" w:type="dxa"/>
            <w:tcBorders>
              <w:top w:val="nil"/>
              <w:left w:val="nil"/>
              <w:bottom w:val="single" w:sz="12" w:space="0" w:color="auto"/>
              <w:right w:val="nil"/>
            </w:tcBorders>
            <w:shd w:val="clear" w:color="auto" w:fill="D6E3BC" w:themeFill="accent3" w:themeFillTint="66"/>
          </w:tcPr>
          <w:p w14:paraId="6A0021BD" w14:textId="77777777" w:rsidR="00740865" w:rsidRDefault="00740865">
            <w:pPr>
              <w:autoSpaceDE w:val="0"/>
              <w:autoSpaceDN w:val="0"/>
              <w:adjustRightInd w:val="0"/>
              <w:ind w:left="0" w:firstLine="0"/>
              <w:jc w:val="center"/>
              <w:rPr>
                <w:rFonts w:eastAsiaTheme="minorHAnsi" w:cs="Calibri"/>
                <w:color w:val="000000"/>
                <w:sz w:val="20"/>
                <w:szCs w:val="20"/>
              </w:rPr>
            </w:pPr>
            <w:r>
              <w:rPr>
                <w:rFonts w:eastAsiaTheme="minorHAnsi" w:cs="Calibri"/>
                <w:color w:val="000000"/>
                <w:sz w:val="20"/>
                <w:szCs w:val="20"/>
              </w:rPr>
              <w:t>(DR)/CR</w:t>
            </w:r>
          </w:p>
        </w:tc>
        <w:tc>
          <w:tcPr>
            <w:tcW w:w="1006" w:type="dxa"/>
            <w:tcBorders>
              <w:top w:val="nil"/>
              <w:left w:val="nil"/>
              <w:bottom w:val="single" w:sz="12" w:space="0" w:color="auto"/>
              <w:right w:val="nil"/>
            </w:tcBorders>
            <w:shd w:val="clear" w:color="auto" w:fill="D6E3BC" w:themeFill="accent3" w:themeFillTint="66"/>
          </w:tcPr>
          <w:p w14:paraId="221B34AA"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(DR)/CR</w:t>
            </w:r>
          </w:p>
        </w:tc>
        <w:tc>
          <w:tcPr>
            <w:tcW w:w="1005" w:type="dxa"/>
            <w:tcBorders>
              <w:top w:val="nil"/>
              <w:left w:val="nil"/>
              <w:bottom w:val="single" w:sz="12" w:space="0" w:color="auto"/>
              <w:right w:val="nil"/>
            </w:tcBorders>
            <w:shd w:val="clear" w:color="auto" w:fill="D6E3BC" w:themeFill="accent3" w:themeFillTint="66"/>
          </w:tcPr>
          <w:p w14:paraId="08C031E8"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(DR)/CR</w:t>
            </w:r>
          </w:p>
        </w:tc>
        <w:tc>
          <w:tcPr>
            <w:tcW w:w="1030" w:type="dxa"/>
            <w:tcBorders>
              <w:top w:val="nil"/>
              <w:left w:val="nil"/>
              <w:bottom w:val="single" w:sz="12" w:space="0" w:color="auto"/>
              <w:right w:val="nil"/>
            </w:tcBorders>
            <w:shd w:val="clear" w:color="auto" w:fill="D6E3BC" w:themeFill="accent3" w:themeFillTint="66"/>
          </w:tcPr>
          <w:p w14:paraId="50474415"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(DR)/CR</w:t>
            </w:r>
          </w:p>
        </w:tc>
      </w:tr>
      <w:tr w:rsidR="00740865" w14:paraId="26D9E720" w14:textId="77777777" w:rsidTr="00740865">
        <w:tc>
          <w:tcPr>
            <w:tcW w:w="1306" w:type="dxa"/>
            <w:tcBorders>
              <w:top w:val="single" w:sz="12" w:space="0" w:color="auto"/>
              <w:left w:val="nil"/>
              <w:bottom w:val="nil"/>
              <w:right w:val="nil"/>
            </w:tcBorders>
          </w:tcPr>
          <w:p w14:paraId="31D10A2E" w14:textId="77777777" w:rsidR="00740865" w:rsidRDefault="00740865">
            <w:pPr>
              <w:autoSpaceDE w:val="0"/>
              <w:autoSpaceDN w:val="0"/>
              <w:adjustRightInd w:val="0"/>
              <w:ind w:left="0" w:firstLine="0"/>
              <w:jc w:val="right"/>
              <w:rPr>
                <w:rFonts w:eastAsiaTheme="minorHAnsi" w:cs="Calibri"/>
                <w:b/>
                <w:bCs/>
                <w:color w:val="000000"/>
                <w:sz w:val="20"/>
                <w:szCs w:val="20"/>
              </w:rPr>
            </w:pPr>
          </w:p>
        </w:tc>
        <w:tc>
          <w:tcPr>
            <w:tcW w:w="3084" w:type="dxa"/>
            <w:gridSpan w:val="2"/>
            <w:tcBorders>
              <w:top w:val="single" w:sz="12" w:space="0" w:color="auto"/>
              <w:left w:val="nil"/>
              <w:bottom w:val="nil"/>
              <w:right w:val="nil"/>
            </w:tcBorders>
          </w:tcPr>
          <w:p w14:paraId="3B805191" w14:textId="77777777" w:rsidR="00740865" w:rsidRDefault="00740865">
            <w:pPr>
              <w:autoSpaceDE w:val="0"/>
              <w:autoSpaceDN w:val="0"/>
              <w:adjustRightInd w:val="0"/>
              <w:ind w:left="0" w:firstLine="0"/>
              <w:jc w:val="right"/>
              <w:rPr>
                <w:rFonts w:eastAsiaTheme="minorHAnsi" w:cs="Calibri"/>
                <w:b/>
                <w:bCs/>
                <w:color w:val="000000"/>
                <w:sz w:val="20"/>
                <w:szCs w:val="20"/>
              </w:rPr>
            </w:pPr>
          </w:p>
        </w:tc>
        <w:tc>
          <w:tcPr>
            <w:tcW w:w="1140" w:type="dxa"/>
            <w:tcBorders>
              <w:top w:val="single" w:sz="12" w:space="0" w:color="auto"/>
              <w:left w:val="nil"/>
              <w:bottom w:val="nil"/>
              <w:right w:val="nil"/>
            </w:tcBorders>
          </w:tcPr>
          <w:p w14:paraId="44C5ECC2"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single" w:sz="12" w:space="0" w:color="auto"/>
              <w:left w:val="nil"/>
              <w:bottom w:val="nil"/>
              <w:right w:val="nil"/>
            </w:tcBorders>
          </w:tcPr>
          <w:p w14:paraId="7818BA72"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nil"/>
              <w:right w:val="nil"/>
            </w:tcBorders>
          </w:tcPr>
          <w:p w14:paraId="67B59DCC"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single" w:sz="12" w:space="0" w:color="auto"/>
              <w:left w:val="nil"/>
              <w:bottom w:val="nil"/>
              <w:right w:val="nil"/>
            </w:tcBorders>
          </w:tcPr>
          <w:p w14:paraId="3D739B03"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170E9E41" w14:textId="77777777" w:rsidR="00740865" w:rsidRDefault="00740865">
            <w:pPr>
              <w:autoSpaceDE w:val="0"/>
              <w:autoSpaceDN w:val="0"/>
              <w:adjustRightInd w:val="0"/>
              <w:ind w:left="0" w:firstLine="0"/>
              <w:jc w:val="right"/>
              <w:rPr>
                <w:rFonts w:eastAsiaTheme="minorHAnsi" w:cs="Calibri"/>
                <w:color w:val="000000"/>
              </w:rPr>
            </w:pPr>
          </w:p>
        </w:tc>
      </w:tr>
      <w:tr w:rsidR="00740865" w14:paraId="182D8AC7" w14:textId="77777777" w:rsidTr="00740865">
        <w:tc>
          <w:tcPr>
            <w:tcW w:w="4390" w:type="dxa"/>
            <w:gridSpan w:val="3"/>
            <w:tcBorders>
              <w:top w:val="nil"/>
              <w:left w:val="nil"/>
              <w:bottom w:val="nil"/>
              <w:right w:val="nil"/>
            </w:tcBorders>
          </w:tcPr>
          <w:p w14:paraId="1084835B" w14:textId="77777777" w:rsidR="00740865" w:rsidRDefault="00740865">
            <w:pPr>
              <w:autoSpaceDE w:val="0"/>
              <w:autoSpaceDN w:val="0"/>
              <w:adjustRightInd w:val="0"/>
              <w:ind w:left="0" w:firstLine="0"/>
              <w:rPr>
                <w:rFonts w:eastAsiaTheme="minorHAnsi" w:cs="Calibri"/>
                <w:b/>
                <w:bCs/>
                <w:color w:val="000000"/>
                <w:sz w:val="20"/>
                <w:szCs w:val="20"/>
                <w:u w:val="single"/>
              </w:rPr>
            </w:pPr>
            <w:r>
              <w:rPr>
                <w:rFonts w:eastAsiaTheme="minorHAnsi" w:cs="Calibri"/>
                <w:b/>
                <w:bCs/>
                <w:color w:val="000000"/>
                <w:sz w:val="20"/>
                <w:szCs w:val="20"/>
                <w:u w:val="single"/>
              </w:rPr>
              <w:t>International Cooperation</w:t>
            </w:r>
          </w:p>
        </w:tc>
        <w:tc>
          <w:tcPr>
            <w:tcW w:w="1140" w:type="dxa"/>
            <w:tcBorders>
              <w:top w:val="nil"/>
              <w:left w:val="nil"/>
              <w:bottom w:val="nil"/>
              <w:right w:val="nil"/>
            </w:tcBorders>
          </w:tcPr>
          <w:p w14:paraId="66387270"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1E8B3271"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5D1AE746"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6C275A8B"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3CC978D6" w14:textId="77777777" w:rsidR="00740865" w:rsidRDefault="00740865">
            <w:pPr>
              <w:autoSpaceDE w:val="0"/>
              <w:autoSpaceDN w:val="0"/>
              <w:adjustRightInd w:val="0"/>
              <w:ind w:left="0" w:firstLine="0"/>
              <w:jc w:val="right"/>
              <w:rPr>
                <w:rFonts w:eastAsiaTheme="minorHAnsi" w:cs="Calibri"/>
                <w:color w:val="000000"/>
              </w:rPr>
            </w:pPr>
          </w:p>
        </w:tc>
      </w:tr>
      <w:tr w:rsidR="00740865" w14:paraId="765369B8" w14:textId="77777777" w:rsidTr="00740865">
        <w:tc>
          <w:tcPr>
            <w:tcW w:w="1306" w:type="dxa"/>
            <w:tcBorders>
              <w:top w:val="nil"/>
              <w:left w:val="nil"/>
              <w:bottom w:val="nil"/>
              <w:right w:val="nil"/>
            </w:tcBorders>
          </w:tcPr>
          <w:p w14:paraId="2631B06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R100163</w:t>
            </w:r>
          </w:p>
        </w:tc>
        <w:tc>
          <w:tcPr>
            <w:tcW w:w="3084" w:type="dxa"/>
            <w:gridSpan w:val="2"/>
            <w:tcBorders>
              <w:top w:val="nil"/>
              <w:left w:val="nil"/>
              <w:bottom w:val="nil"/>
              <w:right w:val="nil"/>
            </w:tcBorders>
          </w:tcPr>
          <w:p w14:paraId="5B48935D"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SGF-2009-2020</w:t>
            </w:r>
          </w:p>
        </w:tc>
        <w:tc>
          <w:tcPr>
            <w:tcW w:w="1140" w:type="dxa"/>
            <w:tcBorders>
              <w:top w:val="nil"/>
              <w:left w:val="nil"/>
              <w:bottom w:val="nil"/>
              <w:right w:val="nil"/>
            </w:tcBorders>
          </w:tcPr>
          <w:p w14:paraId="0A4A48F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56</w:t>
            </w:r>
          </w:p>
        </w:tc>
        <w:tc>
          <w:tcPr>
            <w:tcW w:w="1005" w:type="dxa"/>
            <w:tcBorders>
              <w:top w:val="nil"/>
              <w:left w:val="nil"/>
              <w:bottom w:val="nil"/>
              <w:right w:val="nil"/>
            </w:tcBorders>
          </w:tcPr>
          <w:p w14:paraId="5EDE71C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16BF48F8"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w:t>
            </w:r>
          </w:p>
        </w:tc>
        <w:tc>
          <w:tcPr>
            <w:tcW w:w="1005" w:type="dxa"/>
            <w:tcBorders>
              <w:top w:val="nil"/>
              <w:left w:val="nil"/>
              <w:bottom w:val="nil"/>
              <w:right w:val="nil"/>
            </w:tcBorders>
          </w:tcPr>
          <w:p w14:paraId="435F00A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2EA7CC3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54</w:t>
            </w:r>
          </w:p>
        </w:tc>
      </w:tr>
      <w:tr w:rsidR="00740865" w14:paraId="00E8FA89" w14:textId="77777777" w:rsidTr="00740865">
        <w:tc>
          <w:tcPr>
            <w:tcW w:w="1306" w:type="dxa"/>
            <w:tcBorders>
              <w:top w:val="nil"/>
              <w:left w:val="nil"/>
              <w:bottom w:val="nil"/>
              <w:right w:val="nil"/>
            </w:tcBorders>
          </w:tcPr>
          <w:p w14:paraId="790BBA11"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R100265</w:t>
            </w:r>
          </w:p>
        </w:tc>
        <w:tc>
          <w:tcPr>
            <w:tcW w:w="3084" w:type="dxa"/>
            <w:gridSpan w:val="2"/>
            <w:tcBorders>
              <w:top w:val="nil"/>
              <w:left w:val="nil"/>
              <w:bottom w:val="nil"/>
              <w:right w:val="nil"/>
            </w:tcBorders>
          </w:tcPr>
          <w:p w14:paraId="51EE12B0"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SGA-Pre-2016</w:t>
            </w:r>
          </w:p>
        </w:tc>
        <w:tc>
          <w:tcPr>
            <w:tcW w:w="1140" w:type="dxa"/>
            <w:tcBorders>
              <w:top w:val="nil"/>
              <w:left w:val="nil"/>
              <w:bottom w:val="nil"/>
              <w:right w:val="nil"/>
            </w:tcBorders>
          </w:tcPr>
          <w:p w14:paraId="354FD52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231</w:t>
            </w:r>
          </w:p>
        </w:tc>
        <w:tc>
          <w:tcPr>
            <w:tcW w:w="1005" w:type="dxa"/>
            <w:tcBorders>
              <w:top w:val="nil"/>
              <w:left w:val="nil"/>
              <w:bottom w:val="nil"/>
              <w:right w:val="nil"/>
            </w:tcBorders>
          </w:tcPr>
          <w:p w14:paraId="52B15CF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794825C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5FDD358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445B62C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231</w:t>
            </w:r>
          </w:p>
        </w:tc>
      </w:tr>
      <w:tr w:rsidR="00740865" w14:paraId="12CB8F8D" w14:textId="77777777" w:rsidTr="00740865">
        <w:tc>
          <w:tcPr>
            <w:tcW w:w="1306" w:type="dxa"/>
            <w:tcBorders>
              <w:top w:val="nil"/>
              <w:left w:val="nil"/>
              <w:bottom w:val="nil"/>
              <w:right w:val="nil"/>
            </w:tcBorders>
          </w:tcPr>
          <w:p w14:paraId="04DFFA84"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R100266</w:t>
            </w:r>
          </w:p>
        </w:tc>
        <w:tc>
          <w:tcPr>
            <w:tcW w:w="3084" w:type="dxa"/>
            <w:gridSpan w:val="2"/>
            <w:tcBorders>
              <w:top w:val="nil"/>
              <w:left w:val="nil"/>
              <w:bottom w:val="nil"/>
              <w:right w:val="nil"/>
            </w:tcBorders>
          </w:tcPr>
          <w:p w14:paraId="1F9A5BE5"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SGA-2016</w:t>
            </w:r>
          </w:p>
        </w:tc>
        <w:tc>
          <w:tcPr>
            <w:tcW w:w="1140" w:type="dxa"/>
            <w:tcBorders>
              <w:top w:val="nil"/>
              <w:left w:val="nil"/>
              <w:bottom w:val="nil"/>
              <w:right w:val="nil"/>
            </w:tcBorders>
          </w:tcPr>
          <w:p w14:paraId="7FC4192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22</w:t>
            </w:r>
          </w:p>
        </w:tc>
        <w:tc>
          <w:tcPr>
            <w:tcW w:w="1005" w:type="dxa"/>
            <w:tcBorders>
              <w:top w:val="nil"/>
              <w:left w:val="nil"/>
              <w:bottom w:val="nil"/>
              <w:right w:val="nil"/>
            </w:tcBorders>
          </w:tcPr>
          <w:p w14:paraId="2106714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0F34B38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73D8B3E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5B7AD85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22</w:t>
            </w:r>
          </w:p>
        </w:tc>
      </w:tr>
      <w:tr w:rsidR="00740865" w14:paraId="6C8FE7FE" w14:textId="77777777" w:rsidTr="00740865">
        <w:tc>
          <w:tcPr>
            <w:tcW w:w="1306" w:type="dxa"/>
            <w:tcBorders>
              <w:top w:val="nil"/>
              <w:left w:val="nil"/>
              <w:bottom w:val="nil"/>
              <w:right w:val="nil"/>
            </w:tcBorders>
          </w:tcPr>
          <w:p w14:paraId="264EE24D"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R100364</w:t>
            </w:r>
          </w:p>
        </w:tc>
        <w:tc>
          <w:tcPr>
            <w:tcW w:w="3084" w:type="dxa"/>
            <w:gridSpan w:val="2"/>
            <w:tcBorders>
              <w:top w:val="nil"/>
              <w:left w:val="nil"/>
              <w:bottom w:val="nil"/>
              <w:right w:val="nil"/>
            </w:tcBorders>
          </w:tcPr>
          <w:p w14:paraId="3B4C61CA"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WFF-2014</w:t>
            </w:r>
          </w:p>
        </w:tc>
        <w:tc>
          <w:tcPr>
            <w:tcW w:w="1140" w:type="dxa"/>
            <w:tcBorders>
              <w:top w:val="nil"/>
              <w:left w:val="nil"/>
              <w:bottom w:val="nil"/>
              <w:right w:val="nil"/>
            </w:tcBorders>
          </w:tcPr>
          <w:p w14:paraId="7C50569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18</w:t>
            </w:r>
          </w:p>
        </w:tc>
        <w:tc>
          <w:tcPr>
            <w:tcW w:w="1005" w:type="dxa"/>
            <w:tcBorders>
              <w:top w:val="nil"/>
              <w:left w:val="nil"/>
              <w:bottom w:val="nil"/>
              <w:right w:val="nil"/>
            </w:tcBorders>
          </w:tcPr>
          <w:p w14:paraId="3117321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61E904E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8</w:t>
            </w:r>
          </w:p>
        </w:tc>
        <w:tc>
          <w:tcPr>
            <w:tcW w:w="1005" w:type="dxa"/>
            <w:tcBorders>
              <w:top w:val="nil"/>
              <w:left w:val="nil"/>
              <w:bottom w:val="nil"/>
              <w:right w:val="nil"/>
            </w:tcBorders>
          </w:tcPr>
          <w:p w14:paraId="436DF16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6BD1D97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26</w:t>
            </w:r>
          </w:p>
        </w:tc>
      </w:tr>
      <w:tr w:rsidR="00740865" w14:paraId="7BD1F705" w14:textId="77777777" w:rsidTr="00740865">
        <w:tc>
          <w:tcPr>
            <w:tcW w:w="1306" w:type="dxa"/>
            <w:tcBorders>
              <w:top w:val="nil"/>
              <w:left w:val="nil"/>
              <w:bottom w:val="nil"/>
              <w:right w:val="nil"/>
            </w:tcBorders>
          </w:tcPr>
          <w:p w14:paraId="67C3E598"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R100365</w:t>
            </w:r>
          </w:p>
        </w:tc>
        <w:tc>
          <w:tcPr>
            <w:tcW w:w="3084" w:type="dxa"/>
            <w:gridSpan w:val="2"/>
            <w:tcBorders>
              <w:top w:val="nil"/>
              <w:left w:val="nil"/>
              <w:bottom w:val="nil"/>
              <w:right w:val="nil"/>
            </w:tcBorders>
          </w:tcPr>
          <w:p w14:paraId="614BEED4"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WFF - 2015-2017</w:t>
            </w:r>
          </w:p>
        </w:tc>
        <w:tc>
          <w:tcPr>
            <w:tcW w:w="1140" w:type="dxa"/>
            <w:tcBorders>
              <w:top w:val="nil"/>
              <w:left w:val="nil"/>
              <w:bottom w:val="nil"/>
              <w:right w:val="nil"/>
            </w:tcBorders>
          </w:tcPr>
          <w:p w14:paraId="3916297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208</w:t>
            </w:r>
          </w:p>
        </w:tc>
        <w:tc>
          <w:tcPr>
            <w:tcW w:w="1005" w:type="dxa"/>
            <w:tcBorders>
              <w:top w:val="nil"/>
              <w:left w:val="nil"/>
              <w:bottom w:val="nil"/>
              <w:right w:val="nil"/>
            </w:tcBorders>
          </w:tcPr>
          <w:p w14:paraId="224163A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26</w:t>
            </w:r>
          </w:p>
        </w:tc>
        <w:tc>
          <w:tcPr>
            <w:tcW w:w="1006" w:type="dxa"/>
            <w:tcBorders>
              <w:top w:val="nil"/>
              <w:left w:val="nil"/>
              <w:bottom w:val="nil"/>
              <w:right w:val="nil"/>
            </w:tcBorders>
          </w:tcPr>
          <w:p w14:paraId="41995BC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(43)</w:t>
            </w:r>
          </w:p>
        </w:tc>
        <w:tc>
          <w:tcPr>
            <w:tcW w:w="1005" w:type="dxa"/>
            <w:tcBorders>
              <w:top w:val="nil"/>
              <w:left w:val="nil"/>
              <w:bottom w:val="nil"/>
              <w:right w:val="nil"/>
            </w:tcBorders>
          </w:tcPr>
          <w:p w14:paraId="3361E3A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w:t>
            </w:r>
          </w:p>
        </w:tc>
        <w:tc>
          <w:tcPr>
            <w:tcW w:w="1030" w:type="dxa"/>
            <w:tcBorders>
              <w:top w:val="nil"/>
              <w:left w:val="nil"/>
              <w:bottom w:val="nil"/>
              <w:right w:val="nil"/>
            </w:tcBorders>
          </w:tcPr>
          <w:p w14:paraId="4D66CCF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188</w:t>
            </w:r>
          </w:p>
        </w:tc>
      </w:tr>
      <w:tr w:rsidR="00740865" w14:paraId="16E5E6A4" w14:textId="77777777" w:rsidTr="00740865">
        <w:tc>
          <w:tcPr>
            <w:tcW w:w="1306" w:type="dxa"/>
            <w:tcBorders>
              <w:top w:val="nil"/>
              <w:left w:val="nil"/>
              <w:bottom w:val="nil"/>
              <w:right w:val="nil"/>
            </w:tcBorders>
          </w:tcPr>
          <w:p w14:paraId="40FE6C1C"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R100407</w:t>
            </w:r>
          </w:p>
        </w:tc>
        <w:tc>
          <w:tcPr>
            <w:tcW w:w="3084" w:type="dxa"/>
            <w:gridSpan w:val="2"/>
            <w:tcBorders>
              <w:top w:val="nil"/>
              <w:left w:val="nil"/>
              <w:bottom w:val="nil"/>
              <w:right w:val="nil"/>
            </w:tcBorders>
          </w:tcPr>
          <w:p w14:paraId="7B863A39"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RI Central Asia (Norway)</w:t>
            </w:r>
          </w:p>
        </w:tc>
        <w:tc>
          <w:tcPr>
            <w:tcW w:w="1140" w:type="dxa"/>
            <w:tcBorders>
              <w:top w:val="nil"/>
              <w:left w:val="nil"/>
              <w:bottom w:val="nil"/>
              <w:right w:val="nil"/>
            </w:tcBorders>
          </w:tcPr>
          <w:p w14:paraId="6774848E"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w:t>
            </w:r>
          </w:p>
        </w:tc>
        <w:tc>
          <w:tcPr>
            <w:tcW w:w="1005" w:type="dxa"/>
            <w:tcBorders>
              <w:top w:val="nil"/>
              <w:left w:val="nil"/>
              <w:bottom w:val="nil"/>
              <w:right w:val="nil"/>
            </w:tcBorders>
          </w:tcPr>
          <w:p w14:paraId="7C0E327E"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47B4161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62C0562E"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07B71D2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w:t>
            </w:r>
          </w:p>
        </w:tc>
      </w:tr>
      <w:tr w:rsidR="00740865" w14:paraId="2FB6D054" w14:textId="77777777" w:rsidTr="00740865">
        <w:tc>
          <w:tcPr>
            <w:tcW w:w="1306" w:type="dxa"/>
            <w:tcBorders>
              <w:top w:val="nil"/>
              <w:left w:val="nil"/>
              <w:bottom w:val="nil"/>
              <w:right w:val="nil"/>
            </w:tcBorders>
          </w:tcPr>
          <w:p w14:paraId="0CCDDF06"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R100408</w:t>
            </w:r>
          </w:p>
        </w:tc>
        <w:tc>
          <w:tcPr>
            <w:tcW w:w="3084" w:type="dxa"/>
            <w:gridSpan w:val="2"/>
            <w:tcBorders>
              <w:top w:val="nil"/>
              <w:left w:val="nil"/>
              <w:bottom w:val="nil"/>
              <w:right w:val="nil"/>
            </w:tcBorders>
          </w:tcPr>
          <w:p w14:paraId="50F19A8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Nagao Wetland Fund (NEF Japan)</w:t>
            </w:r>
          </w:p>
        </w:tc>
        <w:tc>
          <w:tcPr>
            <w:tcW w:w="1140" w:type="dxa"/>
            <w:tcBorders>
              <w:top w:val="nil"/>
              <w:left w:val="nil"/>
              <w:bottom w:val="nil"/>
              <w:right w:val="nil"/>
            </w:tcBorders>
          </w:tcPr>
          <w:p w14:paraId="5FC32E5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178</w:t>
            </w:r>
          </w:p>
        </w:tc>
        <w:tc>
          <w:tcPr>
            <w:tcW w:w="1005" w:type="dxa"/>
            <w:tcBorders>
              <w:top w:val="nil"/>
              <w:left w:val="nil"/>
              <w:bottom w:val="nil"/>
              <w:right w:val="nil"/>
            </w:tcBorders>
          </w:tcPr>
          <w:p w14:paraId="5DD4FFD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4F67C53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(19)</w:t>
            </w:r>
          </w:p>
        </w:tc>
        <w:tc>
          <w:tcPr>
            <w:tcW w:w="1005" w:type="dxa"/>
            <w:tcBorders>
              <w:top w:val="nil"/>
              <w:left w:val="nil"/>
              <w:bottom w:val="nil"/>
              <w:right w:val="nil"/>
            </w:tcBorders>
          </w:tcPr>
          <w:p w14:paraId="5B053D8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73160B2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159</w:t>
            </w:r>
          </w:p>
        </w:tc>
      </w:tr>
      <w:tr w:rsidR="00740865" w14:paraId="6FBAAB18" w14:textId="77777777" w:rsidTr="00740865">
        <w:tc>
          <w:tcPr>
            <w:tcW w:w="1306" w:type="dxa"/>
            <w:tcBorders>
              <w:top w:val="nil"/>
              <w:left w:val="nil"/>
              <w:bottom w:val="single" w:sz="12" w:space="0" w:color="auto"/>
              <w:right w:val="nil"/>
            </w:tcBorders>
          </w:tcPr>
          <w:p w14:paraId="1362F56B" w14:textId="77777777" w:rsidR="00740865" w:rsidRDefault="00740865">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single" w:sz="12" w:space="0" w:color="auto"/>
              <w:right w:val="nil"/>
            </w:tcBorders>
          </w:tcPr>
          <w:p w14:paraId="566DC79C" w14:textId="77777777" w:rsidR="00740865" w:rsidRDefault="00740865">
            <w:pPr>
              <w:autoSpaceDE w:val="0"/>
              <w:autoSpaceDN w:val="0"/>
              <w:adjustRightInd w:val="0"/>
              <w:ind w:left="0" w:firstLine="0"/>
              <w:jc w:val="right"/>
              <w:rPr>
                <w:rFonts w:eastAsiaTheme="minorHAnsi" w:cs="Calibri"/>
                <w:color w:val="000000"/>
              </w:rPr>
            </w:pPr>
          </w:p>
        </w:tc>
        <w:tc>
          <w:tcPr>
            <w:tcW w:w="1140" w:type="dxa"/>
            <w:tcBorders>
              <w:top w:val="nil"/>
              <w:left w:val="nil"/>
              <w:bottom w:val="single" w:sz="12" w:space="0" w:color="auto"/>
              <w:right w:val="nil"/>
            </w:tcBorders>
          </w:tcPr>
          <w:p w14:paraId="4C8F9F49"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3CDE97C6"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nil"/>
              <w:left w:val="nil"/>
              <w:bottom w:val="single" w:sz="12" w:space="0" w:color="auto"/>
              <w:right w:val="nil"/>
            </w:tcBorders>
          </w:tcPr>
          <w:p w14:paraId="4271621E"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12CDF4EA"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nil"/>
              <w:left w:val="nil"/>
              <w:bottom w:val="single" w:sz="12" w:space="0" w:color="auto"/>
              <w:right w:val="nil"/>
            </w:tcBorders>
          </w:tcPr>
          <w:p w14:paraId="02396A96" w14:textId="77777777" w:rsidR="00740865" w:rsidRDefault="00740865">
            <w:pPr>
              <w:autoSpaceDE w:val="0"/>
              <w:autoSpaceDN w:val="0"/>
              <w:adjustRightInd w:val="0"/>
              <w:ind w:left="0" w:firstLine="0"/>
              <w:jc w:val="right"/>
              <w:rPr>
                <w:rFonts w:eastAsiaTheme="minorHAnsi" w:cs="Calibri"/>
                <w:color w:val="000000"/>
              </w:rPr>
            </w:pPr>
          </w:p>
        </w:tc>
      </w:tr>
      <w:tr w:rsidR="00740865" w14:paraId="5670C5F4" w14:textId="77777777" w:rsidTr="00740865">
        <w:tc>
          <w:tcPr>
            <w:tcW w:w="4390" w:type="dxa"/>
            <w:gridSpan w:val="3"/>
            <w:tcBorders>
              <w:top w:val="single" w:sz="12" w:space="0" w:color="auto"/>
              <w:left w:val="nil"/>
              <w:bottom w:val="single" w:sz="12" w:space="0" w:color="auto"/>
              <w:right w:val="nil"/>
            </w:tcBorders>
            <w:shd w:val="clear" w:color="auto" w:fill="EAF1DD" w:themeFill="accent3" w:themeFillTint="33"/>
          </w:tcPr>
          <w:p w14:paraId="6742B72C" w14:textId="77777777" w:rsidR="00740865" w:rsidRDefault="00740865">
            <w:pPr>
              <w:autoSpaceDE w:val="0"/>
              <w:autoSpaceDN w:val="0"/>
              <w:adjustRightInd w:val="0"/>
              <w:ind w:left="0" w:firstLine="0"/>
              <w:rPr>
                <w:rFonts w:eastAsiaTheme="minorHAnsi" w:cs="Calibri"/>
                <w:b/>
                <w:bCs/>
                <w:color w:val="000000"/>
                <w:sz w:val="20"/>
                <w:szCs w:val="20"/>
              </w:rPr>
            </w:pPr>
            <w:r>
              <w:rPr>
                <w:rFonts w:eastAsiaTheme="minorHAnsi" w:cs="Calibri"/>
                <w:b/>
                <w:bCs/>
                <w:color w:val="000000"/>
                <w:sz w:val="20"/>
                <w:szCs w:val="20"/>
              </w:rPr>
              <w:t>Total of International Cooperation</w:t>
            </w:r>
          </w:p>
        </w:tc>
        <w:tc>
          <w:tcPr>
            <w:tcW w:w="1140" w:type="dxa"/>
            <w:tcBorders>
              <w:top w:val="nil"/>
              <w:left w:val="nil"/>
              <w:bottom w:val="single" w:sz="12" w:space="0" w:color="auto"/>
              <w:right w:val="nil"/>
            </w:tcBorders>
            <w:shd w:val="clear" w:color="auto" w:fill="EAF1DD" w:themeFill="accent3" w:themeFillTint="33"/>
          </w:tcPr>
          <w:p w14:paraId="34C68690"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715</w:t>
            </w:r>
          </w:p>
        </w:tc>
        <w:tc>
          <w:tcPr>
            <w:tcW w:w="1005" w:type="dxa"/>
            <w:tcBorders>
              <w:top w:val="nil"/>
              <w:left w:val="nil"/>
              <w:bottom w:val="single" w:sz="12" w:space="0" w:color="auto"/>
              <w:right w:val="nil"/>
            </w:tcBorders>
            <w:shd w:val="clear" w:color="auto" w:fill="EAF1DD" w:themeFill="accent3" w:themeFillTint="33"/>
          </w:tcPr>
          <w:p w14:paraId="3F250D9E"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26</w:t>
            </w:r>
          </w:p>
        </w:tc>
        <w:tc>
          <w:tcPr>
            <w:tcW w:w="1006" w:type="dxa"/>
            <w:tcBorders>
              <w:top w:val="single" w:sz="12" w:space="0" w:color="auto"/>
              <w:left w:val="nil"/>
              <w:bottom w:val="single" w:sz="12" w:space="0" w:color="auto"/>
              <w:right w:val="nil"/>
            </w:tcBorders>
            <w:shd w:val="clear" w:color="auto" w:fill="EAF1DD" w:themeFill="accent3" w:themeFillTint="33"/>
          </w:tcPr>
          <w:p w14:paraId="0B882EEF"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(57)</w:t>
            </w:r>
          </w:p>
        </w:tc>
        <w:tc>
          <w:tcPr>
            <w:tcW w:w="1005" w:type="dxa"/>
            <w:tcBorders>
              <w:top w:val="single" w:sz="12" w:space="0" w:color="auto"/>
              <w:left w:val="nil"/>
              <w:bottom w:val="single" w:sz="12" w:space="0" w:color="auto"/>
              <w:right w:val="nil"/>
            </w:tcBorders>
            <w:shd w:val="clear" w:color="auto" w:fill="EAF1DD" w:themeFill="accent3" w:themeFillTint="33"/>
          </w:tcPr>
          <w:p w14:paraId="027D33B6"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(3)</w:t>
            </w:r>
          </w:p>
        </w:tc>
        <w:tc>
          <w:tcPr>
            <w:tcW w:w="1030" w:type="dxa"/>
            <w:tcBorders>
              <w:top w:val="single" w:sz="12" w:space="0" w:color="auto"/>
              <w:left w:val="nil"/>
              <w:bottom w:val="single" w:sz="12" w:space="0" w:color="auto"/>
              <w:right w:val="nil"/>
            </w:tcBorders>
            <w:shd w:val="clear" w:color="auto" w:fill="EAF1DD" w:themeFill="accent3" w:themeFillTint="33"/>
          </w:tcPr>
          <w:p w14:paraId="18357907"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681</w:t>
            </w:r>
          </w:p>
        </w:tc>
      </w:tr>
      <w:tr w:rsidR="00740865" w14:paraId="79D5E9A3" w14:textId="77777777" w:rsidTr="00740865">
        <w:tc>
          <w:tcPr>
            <w:tcW w:w="1306" w:type="dxa"/>
            <w:tcBorders>
              <w:top w:val="nil"/>
              <w:left w:val="nil"/>
              <w:bottom w:val="nil"/>
              <w:right w:val="nil"/>
            </w:tcBorders>
          </w:tcPr>
          <w:p w14:paraId="3F670C44" w14:textId="77777777" w:rsidR="00740865" w:rsidRDefault="00740865">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nil"/>
              <w:right w:val="nil"/>
            </w:tcBorders>
          </w:tcPr>
          <w:p w14:paraId="6F4E5262" w14:textId="77777777" w:rsidR="00740865" w:rsidRDefault="00740865">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2ABB76F5"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74CF6A7F"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nil"/>
              <w:right w:val="nil"/>
            </w:tcBorders>
          </w:tcPr>
          <w:p w14:paraId="54356DA4"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single" w:sz="12" w:space="0" w:color="auto"/>
              <w:left w:val="nil"/>
              <w:bottom w:val="nil"/>
              <w:right w:val="nil"/>
            </w:tcBorders>
          </w:tcPr>
          <w:p w14:paraId="20BC0ED0"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6990FA0E" w14:textId="77777777" w:rsidR="00740865" w:rsidRDefault="00740865">
            <w:pPr>
              <w:autoSpaceDE w:val="0"/>
              <w:autoSpaceDN w:val="0"/>
              <w:adjustRightInd w:val="0"/>
              <w:ind w:left="0" w:firstLine="0"/>
              <w:jc w:val="right"/>
              <w:rPr>
                <w:rFonts w:eastAsiaTheme="minorHAnsi" w:cs="Calibri"/>
                <w:color w:val="000000"/>
              </w:rPr>
            </w:pPr>
          </w:p>
        </w:tc>
      </w:tr>
      <w:tr w:rsidR="00740865" w14:paraId="5C231F91" w14:textId="77777777" w:rsidTr="00740865">
        <w:tc>
          <w:tcPr>
            <w:tcW w:w="1306" w:type="dxa"/>
            <w:tcBorders>
              <w:top w:val="nil"/>
              <w:left w:val="nil"/>
              <w:bottom w:val="nil"/>
              <w:right w:val="nil"/>
            </w:tcBorders>
          </w:tcPr>
          <w:p w14:paraId="3F7DF288" w14:textId="77777777" w:rsidR="00740865" w:rsidRDefault="00740865">
            <w:pPr>
              <w:autoSpaceDE w:val="0"/>
              <w:autoSpaceDN w:val="0"/>
              <w:adjustRightInd w:val="0"/>
              <w:ind w:left="0" w:firstLine="0"/>
              <w:rPr>
                <w:rFonts w:eastAsiaTheme="minorHAnsi" w:cs="Calibri"/>
                <w:b/>
                <w:bCs/>
                <w:color w:val="000000"/>
                <w:sz w:val="20"/>
                <w:szCs w:val="20"/>
                <w:u w:val="single"/>
              </w:rPr>
            </w:pPr>
            <w:r>
              <w:rPr>
                <w:rFonts w:eastAsiaTheme="minorHAnsi" w:cs="Calibri"/>
                <w:b/>
                <w:bCs/>
                <w:color w:val="000000"/>
                <w:sz w:val="20"/>
                <w:szCs w:val="20"/>
                <w:u w:val="single"/>
              </w:rPr>
              <w:t>Listed Sites</w:t>
            </w:r>
          </w:p>
        </w:tc>
        <w:tc>
          <w:tcPr>
            <w:tcW w:w="3084" w:type="dxa"/>
            <w:gridSpan w:val="2"/>
            <w:tcBorders>
              <w:top w:val="nil"/>
              <w:left w:val="nil"/>
              <w:bottom w:val="nil"/>
              <w:right w:val="nil"/>
            </w:tcBorders>
          </w:tcPr>
          <w:p w14:paraId="5DCE2744" w14:textId="77777777" w:rsidR="00740865" w:rsidRDefault="00740865">
            <w:pPr>
              <w:autoSpaceDE w:val="0"/>
              <w:autoSpaceDN w:val="0"/>
              <w:adjustRightInd w:val="0"/>
              <w:ind w:left="0" w:firstLine="0"/>
              <w:jc w:val="right"/>
              <w:rPr>
                <w:rFonts w:eastAsiaTheme="minorHAnsi" w:cs="Calibri"/>
                <w:b/>
                <w:bCs/>
                <w:color w:val="000000"/>
                <w:sz w:val="20"/>
                <w:szCs w:val="20"/>
                <w:u w:val="single"/>
              </w:rPr>
            </w:pPr>
          </w:p>
        </w:tc>
        <w:tc>
          <w:tcPr>
            <w:tcW w:w="1140" w:type="dxa"/>
            <w:tcBorders>
              <w:top w:val="nil"/>
              <w:left w:val="nil"/>
              <w:bottom w:val="nil"/>
              <w:right w:val="nil"/>
            </w:tcBorders>
          </w:tcPr>
          <w:p w14:paraId="48C55011"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549D7963"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3846A34E"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08F3C719"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0B29C2CE" w14:textId="77777777" w:rsidR="00740865" w:rsidRDefault="00740865">
            <w:pPr>
              <w:autoSpaceDE w:val="0"/>
              <w:autoSpaceDN w:val="0"/>
              <w:adjustRightInd w:val="0"/>
              <w:ind w:left="0" w:firstLine="0"/>
              <w:jc w:val="right"/>
              <w:rPr>
                <w:rFonts w:eastAsiaTheme="minorHAnsi" w:cs="Calibri"/>
                <w:color w:val="000000"/>
              </w:rPr>
            </w:pPr>
          </w:p>
        </w:tc>
      </w:tr>
      <w:tr w:rsidR="00740865" w14:paraId="540FE307" w14:textId="77777777" w:rsidTr="00740865">
        <w:tc>
          <w:tcPr>
            <w:tcW w:w="1306" w:type="dxa"/>
            <w:tcBorders>
              <w:top w:val="nil"/>
              <w:left w:val="nil"/>
              <w:bottom w:val="nil"/>
              <w:right w:val="nil"/>
            </w:tcBorders>
          </w:tcPr>
          <w:p w14:paraId="4A7EE97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R100110</w:t>
            </w:r>
          </w:p>
        </w:tc>
        <w:tc>
          <w:tcPr>
            <w:tcW w:w="3084" w:type="dxa"/>
            <w:gridSpan w:val="2"/>
            <w:tcBorders>
              <w:top w:val="nil"/>
              <w:left w:val="nil"/>
              <w:bottom w:val="nil"/>
              <w:right w:val="nil"/>
            </w:tcBorders>
          </w:tcPr>
          <w:p w14:paraId="01D09597"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RAM</w:t>
            </w:r>
          </w:p>
        </w:tc>
        <w:tc>
          <w:tcPr>
            <w:tcW w:w="1140" w:type="dxa"/>
            <w:tcBorders>
              <w:top w:val="nil"/>
              <w:left w:val="nil"/>
              <w:bottom w:val="nil"/>
              <w:right w:val="nil"/>
            </w:tcBorders>
          </w:tcPr>
          <w:p w14:paraId="3A077D4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77</w:t>
            </w:r>
          </w:p>
        </w:tc>
        <w:tc>
          <w:tcPr>
            <w:tcW w:w="1005" w:type="dxa"/>
            <w:tcBorders>
              <w:top w:val="nil"/>
              <w:left w:val="nil"/>
              <w:bottom w:val="nil"/>
              <w:right w:val="nil"/>
            </w:tcBorders>
          </w:tcPr>
          <w:p w14:paraId="4C5DC1D8"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w:t>
            </w:r>
          </w:p>
        </w:tc>
        <w:tc>
          <w:tcPr>
            <w:tcW w:w="1006" w:type="dxa"/>
            <w:tcBorders>
              <w:top w:val="nil"/>
              <w:left w:val="nil"/>
              <w:bottom w:val="nil"/>
              <w:right w:val="nil"/>
            </w:tcBorders>
          </w:tcPr>
          <w:p w14:paraId="43E25D0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(18)</w:t>
            </w:r>
          </w:p>
        </w:tc>
        <w:tc>
          <w:tcPr>
            <w:tcW w:w="1005" w:type="dxa"/>
            <w:tcBorders>
              <w:top w:val="nil"/>
              <w:left w:val="nil"/>
              <w:bottom w:val="nil"/>
              <w:right w:val="nil"/>
            </w:tcBorders>
          </w:tcPr>
          <w:p w14:paraId="5E179C0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(10)</w:t>
            </w:r>
          </w:p>
        </w:tc>
        <w:tc>
          <w:tcPr>
            <w:tcW w:w="1030" w:type="dxa"/>
            <w:tcBorders>
              <w:top w:val="nil"/>
              <w:left w:val="nil"/>
              <w:bottom w:val="nil"/>
              <w:right w:val="nil"/>
            </w:tcBorders>
          </w:tcPr>
          <w:p w14:paraId="4ACA75A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53</w:t>
            </w:r>
          </w:p>
        </w:tc>
      </w:tr>
      <w:tr w:rsidR="00740865" w14:paraId="5CA827F7" w14:textId="77777777" w:rsidTr="00740865">
        <w:tc>
          <w:tcPr>
            <w:tcW w:w="1306" w:type="dxa"/>
            <w:tcBorders>
              <w:top w:val="nil"/>
              <w:left w:val="nil"/>
              <w:bottom w:val="single" w:sz="12" w:space="0" w:color="auto"/>
              <w:right w:val="nil"/>
            </w:tcBorders>
          </w:tcPr>
          <w:p w14:paraId="00856434" w14:textId="77777777" w:rsidR="00740865" w:rsidRDefault="00740865">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single" w:sz="12" w:space="0" w:color="auto"/>
              <w:right w:val="nil"/>
            </w:tcBorders>
          </w:tcPr>
          <w:p w14:paraId="1861DE82" w14:textId="77777777" w:rsidR="00740865" w:rsidRDefault="00740865">
            <w:pPr>
              <w:autoSpaceDE w:val="0"/>
              <w:autoSpaceDN w:val="0"/>
              <w:adjustRightInd w:val="0"/>
              <w:ind w:left="0" w:firstLine="0"/>
              <w:jc w:val="right"/>
              <w:rPr>
                <w:rFonts w:eastAsiaTheme="minorHAnsi" w:cs="Calibri"/>
                <w:color w:val="000000"/>
              </w:rPr>
            </w:pPr>
          </w:p>
        </w:tc>
        <w:tc>
          <w:tcPr>
            <w:tcW w:w="1140" w:type="dxa"/>
            <w:tcBorders>
              <w:top w:val="nil"/>
              <w:left w:val="nil"/>
              <w:bottom w:val="single" w:sz="12" w:space="0" w:color="auto"/>
              <w:right w:val="nil"/>
            </w:tcBorders>
          </w:tcPr>
          <w:p w14:paraId="7DA1DCDE"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45A32C78"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nil"/>
              <w:left w:val="nil"/>
              <w:bottom w:val="single" w:sz="12" w:space="0" w:color="auto"/>
              <w:right w:val="nil"/>
            </w:tcBorders>
          </w:tcPr>
          <w:p w14:paraId="1FEDC48C"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single" w:sz="12" w:space="0" w:color="auto"/>
              <w:right w:val="nil"/>
            </w:tcBorders>
          </w:tcPr>
          <w:p w14:paraId="7F99F73D"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nil"/>
              <w:left w:val="nil"/>
              <w:bottom w:val="single" w:sz="12" w:space="0" w:color="auto"/>
              <w:right w:val="nil"/>
            </w:tcBorders>
          </w:tcPr>
          <w:p w14:paraId="50AECAD5" w14:textId="77777777" w:rsidR="00740865" w:rsidRDefault="00740865">
            <w:pPr>
              <w:autoSpaceDE w:val="0"/>
              <w:autoSpaceDN w:val="0"/>
              <w:adjustRightInd w:val="0"/>
              <w:ind w:left="0" w:firstLine="0"/>
              <w:jc w:val="right"/>
              <w:rPr>
                <w:rFonts w:eastAsiaTheme="minorHAnsi" w:cs="Calibri"/>
                <w:color w:val="000000"/>
              </w:rPr>
            </w:pPr>
          </w:p>
        </w:tc>
      </w:tr>
      <w:tr w:rsidR="00740865" w14:paraId="72FBA89E" w14:textId="77777777" w:rsidTr="00740865">
        <w:tc>
          <w:tcPr>
            <w:tcW w:w="1306" w:type="dxa"/>
            <w:tcBorders>
              <w:top w:val="single" w:sz="12" w:space="0" w:color="auto"/>
              <w:left w:val="nil"/>
              <w:bottom w:val="single" w:sz="12" w:space="0" w:color="auto"/>
              <w:right w:val="nil"/>
            </w:tcBorders>
            <w:shd w:val="clear" w:color="auto" w:fill="EAF1DD" w:themeFill="accent3" w:themeFillTint="33"/>
          </w:tcPr>
          <w:p w14:paraId="3A121FB9" w14:textId="77777777" w:rsidR="00740865" w:rsidRDefault="00740865">
            <w:pPr>
              <w:autoSpaceDE w:val="0"/>
              <w:autoSpaceDN w:val="0"/>
              <w:adjustRightInd w:val="0"/>
              <w:ind w:left="0" w:firstLine="0"/>
              <w:rPr>
                <w:rFonts w:eastAsiaTheme="minorHAnsi" w:cs="Calibri"/>
                <w:b/>
                <w:bCs/>
                <w:color w:val="000000"/>
                <w:sz w:val="20"/>
                <w:szCs w:val="20"/>
              </w:rPr>
            </w:pPr>
            <w:r>
              <w:rPr>
                <w:rFonts w:eastAsiaTheme="minorHAnsi" w:cs="Calibri"/>
                <w:b/>
                <w:bCs/>
                <w:color w:val="000000"/>
                <w:sz w:val="20"/>
                <w:szCs w:val="20"/>
              </w:rPr>
              <w:t>Total of Listed Sites</w:t>
            </w:r>
          </w:p>
        </w:tc>
        <w:tc>
          <w:tcPr>
            <w:tcW w:w="3084" w:type="dxa"/>
            <w:gridSpan w:val="2"/>
            <w:tcBorders>
              <w:top w:val="single" w:sz="12" w:space="0" w:color="auto"/>
              <w:left w:val="nil"/>
              <w:bottom w:val="single" w:sz="12" w:space="0" w:color="auto"/>
              <w:right w:val="nil"/>
            </w:tcBorders>
            <w:shd w:val="clear" w:color="auto" w:fill="EAF1DD" w:themeFill="accent3" w:themeFillTint="33"/>
          </w:tcPr>
          <w:p w14:paraId="6457D2BF" w14:textId="77777777" w:rsidR="00740865" w:rsidRDefault="00740865">
            <w:pPr>
              <w:autoSpaceDE w:val="0"/>
              <w:autoSpaceDN w:val="0"/>
              <w:adjustRightInd w:val="0"/>
              <w:ind w:left="0" w:firstLine="0"/>
              <w:jc w:val="right"/>
              <w:rPr>
                <w:rFonts w:eastAsiaTheme="minorHAnsi" w:cs="Calibri"/>
                <w:b/>
                <w:bCs/>
                <w:color w:val="000000"/>
                <w:sz w:val="20"/>
                <w:szCs w:val="20"/>
              </w:rPr>
            </w:pPr>
          </w:p>
        </w:tc>
        <w:tc>
          <w:tcPr>
            <w:tcW w:w="1140" w:type="dxa"/>
            <w:tcBorders>
              <w:top w:val="nil"/>
              <w:left w:val="nil"/>
              <w:bottom w:val="single" w:sz="12" w:space="0" w:color="auto"/>
              <w:right w:val="nil"/>
            </w:tcBorders>
            <w:shd w:val="clear" w:color="auto" w:fill="EAF1DD" w:themeFill="accent3" w:themeFillTint="33"/>
          </w:tcPr>
          <w:p w14:paraId="183CE1B9"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77</w:t>
            </w:r>
          </w:p>
        </w:tc>
        <w:tc>
          <w:tcPr>
            <w:tcW w:w="1005" w:type="dxa"/>
            <w:tcBorders>
              <w:top w:val="nil"/>
              <w:left w:val="nil"/>
              <w:bottom w:val="single" w:sz="12" w:space="0" w:color="auto"/>
              <w:right w:val="nil"/>
            </w:tcBorders>
            <w:shd w:val="clear" w:color="auto" w:fill="EAF1DD" w:themeFill="accent3" w:themeFillTint="33"/>
          </w:tcPr>
          <w:p w14:paraId="72AC451B"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5</w:t>
            </w:r>
          </w:p>
        </w:tc>
        <w:tc>
          <w:tcPr>
            <w:tcW w:w="1006" w:type="dxa"/>
            <w:tcBorders>
              <w:top w:val="single" w:sz="12" w:space="0" w:color="auto"/>
              <w:left w:val="nil"/>
              <w:bottom w:val="single" w:sz="12" w:space="0" w:color="auto"/>
              <w:right w:val="nil"/>
            </w:tcBorders>
            <w:shd w:val="clear" w:color="auto" w:fill="EAF1DD" w:themeFill="accent3" w:themeFillTint="33"/>
          </w:tcPr>
          <w:p w14:paraId="55E400E9"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(18)</w:t>
            </w:r>
          </w:p>
        </w:tc>
        <w:tc>
          <w:tcPr>
            <w:tcW w:w="1005" w:type="dxa"/>
            <w:tcBorders>
              <w:top w:val="nil"/>
              <w:left w:val="nil"/>
              <w:bottom w:val="single" w:sz="12" w:space="0" w:color="auto"/>
              <w:right w:val="nil"/>
            </w:tcBorders>
            <w:shd w:val="clear" w:color="auto" w:fill="EAF1DD" w:themeFill="accent3" w:themeFillTint="33"/>
          </w:tcPr>
          <w:p w14:paraId="2703DE43"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(10)</w:t>
            </w:r>
          </w:p>
        </w:tc>
        <w:tc>
          <w:tcPr>
            <w:tcW w:w="1030" w:type="dxa"/>
            <w:tcBorders>
              <w:top w:val="single" w:sz="12" w:space="0" w:color="auto"/>
              <w:left w:val="nil"/>
              <w:bottom w:val="single" w:sz="12" w:space="0" w:color="auto"/>
              <w:right w:val="nil"/>
            </w:tcBorders>
            <w:shd w:val="clear" w:color="auto" w:fill="EAF1DD" w:themeFill="accent3" w:themeFillTint="33"/>
          </w:tcPr>
          <w:p w14:paraId="5A726E3B"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53</w:t>
            </w:r>
          </w:p>
        </w:tc>
      </w:tr>
      <w:tr w:rsidR="00740865" w14:paraId="6B502FCE" w14:textId="77777777" w:rsidTr="00740865">
        <w:tc>
          <w:tcPr>
            <w:tcW w:w="1306" w:type="dxa"/>
            <w:tcBorders>
              <w:top w:val="nil"/>
              <w:left w:val="nil"/>
              <w:bottom w:val="nil"/>
              <w:right w:val="nil"/>
            </w:tcBorders>
          </w:tcPr>
          <w:p w14:paraId="3B80B7C6" w14:textId="77777777" w:rsidR="00740865" w:rsidRDefault="00740865">
            <w:pPr>
              <w:autoSpaceDE w:val="0"/>
              <w:autoSpaceDN w:val="0"/>
              <w:adjustRightInd w:val="0"/>
              <w:ind w:left="0" w:firstLine="0"/>
              <w:rPr>
                <w:rFonts w:eastAsiaTheme="minorHAnsi" w:cs="Calibri"/>
                <w:b/>
                <w:bCs/>
                <w:color w:val="000000"/>
                <w:sz w:val="20"/>
                <w:szCs w:val="20"/>
                <w:u w:val="single"/>
              </w:rPr>
            </w:pPr>
            <w:r>
              <w:rPr>
                <w:rFonts w:eastAsiaTheme="minorHAnsi" w:cs="Calibri"/>
                <w:b/>
                <w:bCs/>
                <w:color w:val="000000"/>
                <w:sz w:val="20"/>
                <w:szCs w:val="20"/>
                <w:u w:val="single"/>
              </w:rPr>
              <w:t>Other</w:t>
            </w:r>
          </w:p>
        </w:tc>
        <w:tc>
          <w:tcPr>
            <w:tcW w:w="3084" w:type="dxa"/>
            <w:gridSpan w:val="2"/>
            <w:tcBorders>
              <w:top w:val="nil"/>
              <w:left w:val="nil"/>
              <w:bottom w:val="nil"/>
              <w:right w:val="nil"/>
            </w:tcBorders>
          </w:tcPr>
          <w:p w14:paraId="541702DE" w14:textId="77777777" w:rsidR="00740865" w:rsidRDefault="00740865">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11D5D39F"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53242D7D"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2DF1ED20"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3522C0DD"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114DA8C4" w14:textId="77777777" w:rsidR="00740865" w:rsidRDefault="00740865">
            <w:pPr>
              <w:autoSpaceDE w:val="0"/>
              <w:autoSpaceDN w:val="0"/>
              <w:adjustRightInd w:val="0"/>
              <w:ind w:left="0" w:firstLine="0"/>
              <w:jc w:val="right"/>
              <w:rPr>
                <w:rFonts w:eastAsiaTheme="minorHAnsi" w:cs="Calibri"/>
                <w:color w:val="000000"/>
              </w:rPr>
            </w:pPr>
          </w:p>
        </w:tc>
      </w:tr>
      <w:tr w:rsidR="00740865" w14:paraId="6DABEFFF" w14:textId="77777777" w:rsidTr="00740865">
        <w:tc>
          <w:tcPr>
            <w:tcW w:w="1306" w:type="dxa"/>
            <w:tcBorders>
              <w:top w:val="nil"/>
              <w:left w:val="nil"/>
              <w:bottom w:val="nil"/>
              <w:right w:val="nil"/>
            </w:tcBorders>
          </w:tcPr>
          <w:p w14:paraId="7E46F269"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R100100</w:t>
            </w:r>
          </w:p>
        </w:tc>
        <w:tc>
          <w:tcPr>
            <w:tcW w:w="3084" w:type="dxa"/>
            <w:gridSpan w:val="2"/>
            <w:tcBorders>
              <w:top w:val="nil"/>
              <w:left w:val="nil"/>
              <w:bottom w:val="nil"/>
              <w:right w:val="nil"/>
            </w:tcBorders>
          </w:tcPr>
          <w:p w14:paraId="02CE9AA9"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Admin</w:t>
            </w:r>
          </w:p>
        </w:tc>
        <w:tc>
          <w:tcPr>
            <w:tcW w:w="1140" w:type="dxa"/>
            <w:tcBorders>
              <w:top w:val="nil"/>
              <w:left w:val="nil"/>
              <w:bottom w:val="nil"/>
              <w:right w:val="nil"/>
            </w:tcBorders>
          </w:tcPr>
          <w:p w14:paraId="4B100A4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377</w:t>
            </w:r>
          </w:p>
        </w:tc>
        <w:tc>
          <w:tcPr>
            <w:tcW w:w="1005" w:type="dxa"/>
            <w:tcBorders>
              <w:top w:val="nil"/>
              <w:left w:val="nil"/>
              <w:bottom w:val="nil"/>
              <w:right w:val="nil"/>
            </w:tcBorders>
          </w:tcPr>
          <w:p w14:paraId="416636A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094CA49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5C53774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19</w:t>
            </w:r>
          </w:p>
        </w:tc>
        <w:tc>
          <w:tcPr>
            <w:tcW w:w="1030" w:type="dxa"/>
            <w:tcBorders>
              <w:top w:val="nil"/>
              <w:left w:val="nil"/>
              <w:bottom w:val="nil"/>
              <w:right w:val="nil"/>
            </w:tcBorders>
          </w:tcPr>
          <w:p w14:paraId="09145FC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396</w:t>
            </w:r>
          </w:p>
        </w:tc>
      </w:tr>
      <w:tr w:rsidR="00740865" w14:paraId="1C5FBEB2" w14:textId="77777777" w:rsidTr="00740865">
        <w:tc>
          <w:tcPr>
            <w:tcW w:w="1306" w:type="dxa"/>
            <w:tcBorders>
              <w:top w:val="nil"/>
              <w:left w:val="nil"/>
              <w:bottom w:val="nil"/>
              <w:right w:val="nil"/>
            </w:tcBorders>
          </w:tcPr>
          <w:p w14:paraId="7822F02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R100102</w:t>
            </w:r>
          </w:p>
        </w:tc>
        <w:tc>
          <w:tcPr>
            <w:tcW w:w="3084" w:type="dxa"/>
            <w:gridSpan w:val="2"/>
            <w:tcBorders>
              <w:top w:val="nil"/>
              <w:left w:val="nil"/>
              <w:bottom w:val="nil"/>
              <w:right w:val="nil"/>
            </w:tcBorders>
          </w:tcPr>
          <w:p w14:paraId="6F635B22"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RSIS redevelopment</w:t>
            </w:r>
          </w:p>
        </w:tc>
        <w:tc>
          <w:tcPr>
            <w:tcW w:w="1140" w:type="dxa"/>
            <w:tcBorders>
              <w:top w:val="nil"/>
              <w:left w:val="nil"/>
              <w:bottom w:val="nil"/>
              <w:right w:val="nil"/>
            </w:tcBorders>
          </w:tcPr>
          <w:p w14:paraId="51AC214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39</w:t>
            </w:r>
          </w:p>
        </w:tc>
        <w:tc>
          <w:tcPr>
            <w:tcW w:w="1005" w:type="dxa"/>
            <w:tcBorders>
              <w:top w:val="nil"/>
              <w:left w:val="nil"/>
              <w:bottom w:val="nil"/>
              <w:right w:val="nil"/>
            </w:tcBorders>
          </w:tcPr>
          <w:p w14:paraId="5384CF3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290D926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w:t>
            </w:r>
          </w:p>
        </w:tc>
        <w:tc>
          <w:tcPr>
            <w:tcW w:w="1005" w:type="dxa"/>
            <w:tcBorders>
              <w:top w:val="nil"/>
              <w:left w:val="nil"/>
              <w:bottom w:val="nil"/>
              <w:right w:val="nil"/>
            </w:tcBorders>
          </w:tcPr>
          <w:p w14:paraId="08B70A3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711060D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38</w:t>
            </w:r>
          </w:p>
        </w:tc>
      </w:tr>
      <w:tr w:rsidR="00740865" w14:paraId="5881CCD4" w14:textId="77777777" w:rsidTr="00740865">
        <w:tc>
          <w:tcPr>
            <w:tcW w:w="1306" w:type="dxa"/>
            <w:tcBorders>
              <w:top w:val="nil"/>
              <w:left w:val="nil"/>
              <w:bottom w:val="nil"/>
              <w:right w:val="nil"/>
            </w:tcBorders>
          </w:tcPr>
          <w:p w14:paraId="20237B1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R100103</w:t>
            </w:r>
          </w:p>
        </w:tc>
        <w:tc>
          <w:tcPr>
            <w:tcW w:w="3084" w:type="dxa"/>
            <w:gridSpan w:val="2"/>
            <w:tcBorders>
              <w:top w:val="nil"/>
              <w:left w:val="nil"/>
              <w:bottom w:val="nil"/>
              <w:right w:val="nil"/>
            </w:tcBorders>
          </w:tcPr>
          <w:p w14:paraId="0C37208B"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Web redevelopment</w:t>
            </w:r>
          </w:p>
        </w:tc>
        <w:tc>
          <w:tcPr>
            <w:tcW w:w="1140" w:type="dxa"/>
            <w:tcBorders>
              <w:top w:val="nil"/>
              <w:left w:val="nil"/>
              <w:bottom w:val="nil"/>
              <w:right w:val="nil"/>
            </w:tcBorders>
          </w:tcPr>
          <w:p w14:paraId="39E8248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64</w:t>
            </w:r>
          </w:p>
        </w:tc>
        <w:tc>
          <w:tcPr>
            <w:tcW w:w="1005" w:type="dxa"/>
            <w:tcBorders>
              <w:top w:val="nil"/>
              <w:left w:val="nil"/>
              <w:bottom w:val="nil"/>
              <w:right w:val="nil"/>
            </w:tcBorders>
          </w:tcPr>
          <w:p w14:paraId="19CE131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11BEBD6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5D75222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71AB6D0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64</w:t>
            </w:r>
          </w:p>
        </w:tc>
      </w:tr>
      <w:tr w:rsidR="00740865" w14:paraId="0030E2BA" w14:textId="77777777" w:rsidTr="00740865">
        <w:tc>
          <w:tcPr>
            <w:tcW w:w="1306" w:type="dxa"/>
            <w:tcBorders>
              <w:top w:val="nil"/>
              <w:left w:val="nil"/>
              <w:bottom w:val="nil"/>
              <w:right w:val="nil"/>
            </w:tcBorders>
          </w:tcPr>
          <w:p w14:paraId="069BB876"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R100104</w:t>
            </w:r>
          </w:p>
        </w:tc>
        <w:tc>
          <w:tcPr>
            <w:tcW w:w="3084" w:type="dxa"/>
            <w:gridSpan w:val="2"/>
            <w:tcBorders>
              <w:top w:val="nil"/>
              <w:left w:val="nil"/>
              <w:bottom w:val="nil"/>
              <w:right w:val="nil"/>
            </w:tcBorders>
          </w:tcPr>
          <w:p w14:paraId="1F00395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Development</w:t>
            </w:r>
          </w:p>
        </w:tc>
        <w:tc>
          <w:tcPr>
            <w:tcW w:w="1140" w:type="dxa"/>
            <w:tcBorders>
              <w:top w:val="nil"/>
              <w:left w:val="nil"/>
              <w:bottom w:val="nil"/>
              <w:right w:val="nil"/>
            </w:tcBorders>
          </w:tcPr>
          <w:p w14:paraId="66A5B55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27</w:t>
            </w:r>
          </w:p>
        </w:tc>
        <w:tc>
          <w:tcPr>
            <w:tcW w:w="1005" w:type="dxa"/>
            <w:tcBorders>
              <w:top w:val="nil"/>
              <w:left w:val="nil"/>
              <w:bottom w:val="nil"/>
              <w:right w:val="nil"/>
            </w:tcBorders>
          </w:tcPr>
          <w:p w14:paraId="7E29F36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2A6B0CA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67D268D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0E0C129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27</w:t>
            </w:r>
          </w:p>
        </w:tc>
      </w:tr>
      <w:tr w:rsidR="00740865" w14:paraId="3A1673CB" w14:textId="77777777" w:rsidTr="00740865">
        <w:tc>
          <w:tcPr>
            <w:tcW w:w="1306" w:type="dxa"/>
            <w:tcBorders>
              <w:top w:val="nil"/>
              <w:left w:val="nil"/>
              <w:bottom w:val="nil"/>
              <w:right w:val="nil"/>
            </w:tcBorders>
          </w:tcPr>
          <w:p w14:paraId="6E76A6D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R100105</w:t>
            </w:r>
          </w:p>
        </w:tc>
        <w:tc>
          <w:tcPr>
            <w:tcW w:w="3084" w:type="dxa"/>
            <w:gridSpan w:val="2"/>
            <w:tcBorders>
              <w:top w:val="nil"/>
              <w:left w:val="nil"/>
              <w:bottom w:val="nil"/>
              <w:right w:val="nil"/>
            </w:tcBorders>
          </w:tcPr>
          <w:p w14:paraId="58EAE1C4"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Science Review</w:t>
            </w:r>
          </w:p>
        </w:tc>
        <w:tc>
          <w:tcPr>
            <w:tcW w:w="1140" w:type="dxa"/>
            <w:tcBorders>
              <w:top w:val="nil"/>
              <w:left w:val="nil"/>
              <w:bottom w:val="nil"/>
              <w:right w:val="nil"/>
            </w:tcBorders>
          </w:tcPr>
          <w:p w14:paraId="45E400D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33</w:t>
            </w:r>
          </w:p>
        </w:tc>
        <w:tc>
          <w:tcPr>
            <w:tcW w:w="1005" w:type="dxa"/>
            <w:tcBorders>
              <w:top w:val="nil"/>
              <w:left w:val="nil"/>
              <w:bottom w:val="nil"/>
              <w:right w:val="nil"/>
            </w:tcBorders>
          </w:tcPr>
          <w:p w14:paraId="5700C30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53476AC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75D7BF0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70C7BFD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33</w:t>
            </w:r>
          </w:p>
        </w:tc>
      </w:tr>
      <w:tr w:rsidR="00740865" w14:paraId="5386DD49" w14:textId="77777777" w:rsidTr="00740865">
        <w:tc>
          <w:tcPr>
            <w:tcW w:w="1306" w:type="dxa"/>
            <w:tcBorders>
              <w:top w:val="nil"/>
              <w:left w:val="nil"/>
              <w:bottom w:val="nil"/>
              <w:right w:val="nil"/>
            </w:tcBorders>
          </w:tcPr>
          <w:p w14:paraId="0A64F58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R100106</w:t>
            </w:r>
          </w:p>
        </w:tc>
        <w:tc>
          <w:tcPr>
            <w:tcW w:w="3084" w:type="dxa"/>
            <w:gridSpan w:val="2"/>
            <w:tcBorders>
              <w:top w:val="nil"/>
              <w:left w:val="nil"/>
              <w:bottom w:val="nil"/>
              <w:right w:val="nil"/>
            </w:tcBorders>
          </w:tcPr>
          <w:p w14:paraId="5E2B4FF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Strategic Plan 2016</w:t>
            </w:r>
          </w:p>
        </w:tc>
        <w:tc>
          <w:tcPr>
            <w:tcW w:w="1140" w:type="dxa"/>
            <w:tcBorders>
              <w:top w:val="nil"/>
              <w:left w:val="nil"/>
              <w:bottom w:val="nil"/>
              <w:right w:val="nil"/>
            </w:tcBorders>
          </w:tcPr>
          <w:p w14:paraId="3EA8C65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18</w:t>
            </w:r>
          </w:p>
        </w:tc>
        <w:tc>
          <w:tcPr>
            <w:tcW w:w="1005" w:type="dxa"/>
            <w:tcBorders>
              <w:top w:val="nil"/>
              <w:left w:val="nil"/>
              <w:bottom w:val="nil"/>
              <w:right w:val="nil"/>
            </w:tcBorders>
          </w:tcPr>
          <w:p w14:paraId="6BCD2C1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3920D18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3B1244C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46E4D33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18</w:t>
            </w:r>
          </w:p>
        </w:tc>
      </w:tr>
      <w:tr w:rsidR="00740865" w14:paraId="06D3B7D5" w14:textId="77777777" w:rsidTr="00740865">
        <w:tc>
          <w:tcPr>
            <w:tcW w:w="1306" w:type="dxa"/>
            <w:tcBorders>
              <w:top w:val="nil"/>
              <w:left w:val="nil"/>
              <w:bottom w:val="nil"/>
              <w:right w:val="nil"/>
            </w:tcBorders>
          </w:tcPr>
          <w:p w14:paraId="77E4153B"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R100108</w:t>
            </w:r>
          </w:p>
        </w:tc>
        <w:tc>
          <w:tcPr>
            <w:tcW w:w="3084" w:type="dxa"/>
            <w:gridSpan w:val="2"/>
            <w:tcBorders>
              <w:top w:val="nil"/>
              <w:left w:val="nil"/>
              <w:bottom w:val="nil"/>
              <w:right w:val="nil"/>
            </w:tcBorders>
          </w:tcPr>
          <w:p w14:paraId="040F5EDD"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COP12 Translation (FOEN-CH)</w:t>
            </w:r>
          </w:p>
        </w:tc>
        <w:tc>
          <w:tcPr>
            <w:tcW w:w="1140" w:type="dxa"/>
            <w:tcBorders>
              <w:top w:val="nil"/>
              <w:left w:val="nil"/>
              <w:bottom w:val="nil"/>
              <w:right w:val="nil"/>
            </w:tcBorders>
          </w:tcPr>
          <w:p w14:paraId="5CB7037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45</w:t>
            </w:r>
          </w:p>
        </w:tc>
        <w:tc>
          <w:tcPr>
            <w:tcW w:w="1005" w:type="dxa"/>
            <w:tcBorders>
              <w:top w:val="nil"/>
              <w:left w:val="nil"/>
              <w:bottom w:val="nil"/>
              <w:right w:val="nil"/>
            </w:tcBorders>
          </w:tcPr>
          <w:p w14:paraId="740C315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12CD92E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738A4A1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1B4A275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45</w:t>
            </w:r>
          </w:p>
        </w:tc>
      </w:tr>
      <w:tr w:rsidR="00740865" w14:paraId="6F374297" w14:textId="77777777" w:rsidTr="00740865">
        <w:tc>
          <w:tcPr>
            <w:tcW w:w="1306" w:type="dxa"/>
            <w:tcBorders>
              <w:top w:val="nil"/>
              <w:left w:val="nil"/>
              <w:bottom w:val="nil"/>
              <w:right w:val="nil"/>
            </w:tcBorders>
          </w:tcPr>
          <w:p w14:paraId="03401297"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R100190</w:t>
            </w:r>
          </w:p>
        </w:tc>
        <w:tc>
          <w:tcPr>
            <w:tcW w:w="3084" w:type="dxa"/>
            <w:gridSpan w:val="2"/>
            <w:tcBorders>
              <w:top w:val="nil"/>
              <w:left w:val="nil"/>
              <w:bottom w:val="nil"/>
              <w:right w:val="nil"/>
            </w:tcBorders>
          </w:tcPr>
          <w:p w14:paraId="4C15E4C6"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Water cycle</w:t>
            </w:r>
          </w:p>
        </w:tc>
        <w:tc>
          <w:tcPr>
            <w:tcW w:w="1140" w:type="dxa"/>
            <w:tcBorders>
              <w:top w:val="nil"/>
              <w:left w:val="nil"/>
              <w:bottom w:val="nil"/>
              <w:right w:val="nil"/>
            </w:tcBorders>
          </w:tcPr>
          <w:p w14:paraId="7EF6696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11</w:t>
            </w:r>
          </w:p>
        </w:tc>
        <w:tc>
          <w:tcPr>
            <w:tcW w:w="1005" w:type="dxa"/>
            <w:tcBorders>
              <w:top w:val="nil"/>
              <w:left w:val="nil"/>
              <w:bottom w:val="nil"/>
              <w:right w:val="nil"/>
            </w:tcBorders>
          </w:tcPr>
          <w:p w14:paraId="4E37883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4371652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70421B0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3312B1A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11</w:t>
            </w:r>
          </w:p>
        </w:tc>
      </w:tr>
      <w:tr w:rsidR="00740865" w14:paraId="13A4938E" w14:textId="77777777" w:rsidTr="00740865">
        <w:tc>
          <w:tcPr>
            <w:tcW w:w="1306" w:type="dxa"/>
            <w:tcBorders>
              <w:top w:val="nil"/>
              <w:left w:val="nil"/>
              <w:bottom w:val="nil"/>
              <w:right w:val="nil"/>
            </w:tcBorders>
          </w:tcPr>
          <w:p w14:paraId="360287A7"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R100311</w:t>
            </w:r>
          </w:p>
        </w:tc>
        <w:tc>
          <w:tcPr>
            <w:tcW w:w="3084" w:type="dxa"/>
            <w:gridSpan w:val="2"/>
            <w:tcBorders>
              <w:top w:val="nil"/>
              <w:left w:val="nil"/>
              <w:bottom w:val="nil"/>
              <w:right w:val="nil"/>
            </w:tcBorders>
          </w:tcPr>
          <w:p w14:paraId="1A1AE19E"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Rio Cruces</w:t>
            </w:r>
          </w:p>
        </w:tc>
        <w:tc>
          <w:tcPr>
            <w:tcW w:w="1140" w:type="dxa"/>
            <w:tcBorders>
              <w:top w:val="nil"/>
              <w:left w:val="nil"/>
              <w:bottom w:val="nil"/>
              <w:right w:val="nil"/>
            </w:tcBorders>
          </w:tcPr>
          <w:p w14:paraId="144E3CF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52</w:t>
            </w:r>
          </w:p>
        </w:tc>
        <w:tc>
          <w:tcPr>
            <w:tcW w:w="1005" w:type="dxa"/>
            <w:tcBorders>
              <w:top w:val="nil"/>
              <w:left w:val="nil"/>
              <w:bottom w:val="nil"/>
              <w:right w:val="nil"/>
            </w:tcBorders>
          </w:tcPr>
          <w:p w14:paraId="1885D66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617E0A5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3B60D52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0CDCF4B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52</w:t>
            </w:r>
          </w:p>
        </w:tc>
      </w:tr>
      <w:tr w:rsidR="00740865" w14:paraId="1EC1D81D" w14:textId="77777777" w:rsidTr="00740865">
        <w:tc>
          <w:tcPr>
            <w:tcW w:w="1306" w:type="dxa"/>
            <w:tcBorders>
              <w:top w:val="nil"/>
              <w:left w:val="nil"/>
              <w:bottom w:val="nil"/>
              <w:right w:val="nil"/>
            </w:tcBorders>
          </w:tcPr>
          <w:p w14:paraId="2BBD7339"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R100640</w:t>
            </w:r>
          </w:p>
        </w:tc>
        <w:tc>
          <w:tcPr>
            <w:tcW w:w="3084" w:type="dxa"/>
            <w:gridSpan w:val="2"/>
            <w:tcBorders>
              <w:top w:val="nil"/>
              <w:left w:val="nil"/>
              <w:bottom w:val="nil"/>
              <w:right w:val="nil"/>
            </w:tcBorders>
          </w:tcPr>
          <w:p w14:paraId="1DFA13D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COP14 - China</w:t>
            </w:r>
          </w:p>
        </w:tc>
        <w:tc>
          <w:tcPr>
            <w:tcW w:w="1140" w:type="dxa"/>
            <w:tcBorders>
              <w:top w:val="nil"/>
              <w:left w:val="nil"/>
              <w:bottom w:val="nil"/>
              <w:right w:val="nil"/>
            </w:tcBorders>
          </w:tcPr>
          <w:p w14:paraId="1DD9146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(4)</w:t>
            </w:r>
          </w:p>
        </w:tc>
        <w:tc>
          <w:tcPr>
            <w:tcW w:w="1005" w:type="dxa"/>
            <w:tcBorders>
              <w:top w:val="nil"/>
              <w:left w:val="nil"/>
              <w:bottom w:val="nil"/>
              <w:right w:val="nil"/>
            </w:tcBorders>
          </w:tcPr>
          <w:p w14:paraId="2BF0645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4046754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6A0D576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1CDE7F2E"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(4)</w:t>
            </w:r>
          </w:p>
        </w:tc>
      </w:tr>
      <w:tr w:rsidR="00740865" w14:paraId="5B947B93" w14:textId="77777777" w:rsidTr="00740865">
        <w:tc>
          <w:tcPr>
            <w:tcW w:w="1306" w:type="dxa"/>
            <w:tcBorders>
              <w:top w:val="nil"/>
              <w:left w:val="nil"/>
              <w:bottom w:val="nil"/>
              <w:right w:val="nil"/>
            </w:tcBorders>
          </w:tcPr>
          <w:p w14:paraId="0D8C8031"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R100700</w:t>
            </w:r>
          </w:p>
        </w:tc>
        <w:tc>
          <w:tcPr>
            <w:tcW w:w="3084" w:type="dxa"/>
            <w:gridSpan w:val="2"/>
            <w:tcBorders>
              <w:top w:val="nil"/>
              <w:left w:val="nil"/>
              <w:bottom w:val="nil"/>
              <w:right w:val="nil"/>
            </w:tcBorders>
          </w:tcPr>
          <w:p w14:paraId="621E9F5B"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CEPA</w:t>
            </w:r>
          </w:p>
        </w:tc>
        <w:tc>
          <w:tcPr>
            <w:tcW w:w="1140" w:type="dxa"/>
            <w:tcBorders>
              <w:top w:val="nil"/>
              <w:left w:val="nil"/>
              <w:bottom w:val="nil"/>
              <w:right w:val="nil"/>
            </w:tcBorders>
          </w:tcPr>
          <w:p w14:paraId="4BD451CE"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8</w:t>
            </w:r>
          </w:p>
        </w:tc>
        <w:tc>
          <w:tcPr>
            <w:tcW w:w="1005" w:type="dxa"/>
            <w:tcBorders>
              <w:top w:val="nil"/>
              <w:left w:val="nil"/>
              <w:bottom w:val="nil"/>
              <w:right w:val="nil"/>
            </w:tcBorders>
          </w:tcPr>
          <w:p w14:paraId="2B532D5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30FE625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w:t>
            </w:r>
          </w:p>
        </w:tc>
        <w:tc>
          <w:tcPr>
            <w:tcW w:w="1005" w:type="dxa"/>
            <w:tcBorders>
              <w:top w:val="nil"/>
              <w:left w:val="nil"/>
              <w:bottom w:val="nil"/>
              <w:right w:val="nil"/>
            </w:tcBorders>
          </w:tcPr>
          <w:p w14:paraId="2A0F0B8E"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1E3B14AA"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11</w:t>
            </w:r>
          </w:p>
        </w:tc>
      </w:tr>
      <w:tr w:rsidR="00740865" w14:paraId="17222A00" w14:textId="77777777" w:rsidTr="00740865">
        <w:tc>
          <w:tcPr>
            <w:tcW w:w="1306" w:type="dxa"/>
            <w:tcBorders>
              <w:top w:val="nil"/>
              <w:left w:val="nil"/>
              <w:bottom w:val="nil"/>
              <w:right w:val="nil"/>
            </w:tcBorders>
          </w:tcPr>
          <w:p w14:paraId="6A558A9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R100816</w:t>
            </w:r>
          </w:p>
        </w:tc>
        <w:tc>
          <w:tcPr>
            <w:tcW w:w="3084" w:type="dxa"/>
            <w:gridSpan w:val="2"/>
            <w:tcBorders>
              <w:top w:val="nil"/>
              <w:left w:val="nil"/>
              <w:bottom w:val="nil"/>
              <w:right w:val="nil"/>
            </w:tcBorders>
          </w:tcPr>
          <w:p w14:paraId="6EB3D5E4"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Danone 2016-2020</w:t>
            </w:r>
          </w:p>
        </w:tc>
        <w:tc>
          <w:tcPr>
            <w:tcW w:w="1140" w:type="dxa"/>
            <w:tcBorders>
              <w:top w:val="nil"/>
              <w:left w:val="nil"/>
              <w:bottom w:val="nil"/>
              <w:right w:val="nil"/>
            </w:tcBorders>
          </w:tcPr>
          <w:p w14:paraId="04218DC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204</w:t>
            </w:r>
          </w:p>
        </w:tc>
        <w:tc>
          <w:tcPr>
            <w:tcW w:w="1005" w:type="dxa"/>
            <w:tcBorders>
              <w:top w:val="nil"/>
              <w:left w:val="nil"/>
              <w:bottom w:val="nil"/>
              <w:right w:val="nil"/>
            </w:tcBorders>
          </w:tcPr>
          <w:p w14:paraId="1647FDC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62DEAA6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(67)</w:t>
            </w:r>
          </w:p>
        </w:tc>
        <w:tc>
          <w:tcPr>
            <w:tcW w:w="1005" w:type="dxa"/>
            <w:tcBorders>
              <w:top w:val="nil"/>
              <w:left w:val="nil"/>
              <w:bottom w:val="nil"/>
              <w:right w:val="nil"/>
            </w:tcBorders>
          </w:tcPr>
          <w:p w14:paraId="133B403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(6)</w:t>
            </w:r>
          </w:p>
        </w:tc>
        <w:tc>
          <w:tcPr>
            <w:tcW w:w="1030" w:type="dxa"/>
            <w:tcBorders>
              <w:top w:val="nil"/>
              <w:left w:val="nil"/>
              <w:bottom w:val="nil"/>
              <w:right w:val="nil"/>
            </w:tcBorders>
          </w:tcPr>
          <w:p w14:paraId="631AD31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131</w:t>
            </w:r>
          </w:p>
        </w:tc>
      </w:tr>
      <w:tr w:rsidR="00740865" w14:paraId="22935844" w14:textId="77777777" w:rsidTr="00740865">
        <w:tc>
          <w:tcPr>
            <w:tcW w:w="1306" w:type="dxa"/>
            <w:tcBorders>
              <w:top w:val="nil"/>
              <w:left w:val="nil"/>
              <w:bottom w:val="nil"/>
              <w:right w:val="nil"/>
            </w:tcBorders>
          </w:tcPr>
          <w:p w14:paraId="14B1FE65"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R100904</w:t>
            </w:r>
          </w:p>
        </w:tc>
        <w:tc>
          <w:tcPr>
            <w:tcW w:w="3084" w:type="dxa"/>
            <w:gridSpan w:val="2"/>
            <w:tcBorders>
              <w:top w:val="nil"/>
              <w:left w:val="nil"/>
              <w:bottom w:val="nil"/>
              <w:right w:val="nil"/>
            </w:tcBorders>
          </w:tcPr>
          <w:p w14:paraId="0B792B9B"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STRP NON-CORE</w:t>
            </w:r>
          </w:p>
        </w:tc>
        <w:tc>
          <w:tcPr>
            <w:tcW w:w="1140" w:type="dxa"/>
            <w:tcBorders>
              <w:top w:val="nil"/>
              <w:left w:val="nil"/>
              <w:bottom w:val="nil"/>
              <w:right w:val="nil"/>
            </w:tcBorders>
          </w:tcPr>
          <w:p w14:paraId="428A94A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145</w:t>
            </w:r>
          </w:p>
        </w:tc>
        <w:tc>
          <w:tcPr>
            <w:tcW w:w="1005" w:type="dxa"/>
            <w:tcBorders>
              <w:top w:val="nil"/>
              <w:left w:val="nil"/>
              <w:bottom w:val="nil"/>
              <w:right w:val="nil"/>
            </w:tcBorders>
          </w:tcPr>
          <w:p w14:paraId="59759F1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1065EA3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30D6E8D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3FAE738A"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145</w:t>
            </w:r>
          </w:p>
        </w:tc>
      </w:tr>
      <w:tr w:rsidR="00740865" w14:paraId="632E2627" w14:textId="77777777" w:rsidTr="00740865">
        <w:tc>
          <w:tcPr>
            <w:tcW w:w="1306" w:type="dxa"/>
            <w:tcBorders>
              <w:top w:val="nil"/>
              <w:left w:val="nil"/>
              <w:bottom w:val="nil"/>
              <w:right w:val="nil"/>
            </w:tcBorders>
          </w:tcPr>
          <w:p w14:paraId="09ADE819"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R100915</w:t>
            </w:r>
          </w:p>
        </w:tc>
        <w:tc>
          <w:tcPr>
            <w:tcW w:w="3084" w:type="dxa"/>
            <w:gridSpan w:val="2"/>
            <w:tcBorders>
              <w:top w:val="nil"/>
              <w:left w:val="nil"/>
              <w:bottom w:val="nil"/>
              <w:right w:val="nil"/>
            </w:tcBorders>
          </w:tcPr>
          <w:p w14:paraId="6FADADD1"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GENDER WORK</w:t>
            </w:r>
          </w:p>
        </w:tc>
        <w:tc>
          <w:tcPr>
            <w:tcW w:w="1140" w:type="dxa"/>
            <w:tcBorders>
              <w:top w:val="nil"/>
              <w:left w:val="nil"/>
              <w:bottom w:val="nil"/>
              <w:right w:val="nil"/>
            </w:tcBorders>
          </w:tcPr>
          <w:p w14:paraId="74F2279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43</w:t>
            </w:r>
          </w:p>
        </w:tc>
        <w:tc>
          <w:tcPr>
            <w:tcW w:w="1005" w:type="dxa"/>
            <w:tcBorders>
              <w:top w:val="nil"/>
              <w:left w:val="nil"/>
              <w:bottom w:val="nil"/>
              <w:right w:val="nil"/>
            </w:tcBorders>
          </w:tcPr>
          <w:p w14:paraId="08E648BE"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0581560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(32)</w:t>
            </w:r>
          </w:p>
        </w:tc>
        <w:tc>
          <w:tcPr>
            <w:tcW w:w="1005" w:type="dxa"/>
            <w:tcBorders>
              <w:top w:val="nil"/>
              <w:left w:val="nil"/>
              <w:bottom w:val="nil"/>
              <w:right w:val="nil"/>
            </w:tcBorders>
          </w:tcPr>
          <w:p w14:paraId="4DCD019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4CC2AB3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11</w:t>
            </w:r>
          </w:p>
        </w:tc>
      </w:tr>
      <w:tr w:rsidR="00740865" w14:paraId="62456A15" w14:textId="77777777" w:rsidTr="00740865">
        <w:tc>
          <w:tcPr>
            <w:tcW w:w="1306" w:type="dxa"/>
            <w:tcBorders>
              <w:top w:val="nil"/>
              <w:left w:val="nil"/>
              <w:bottom w:val="nil"/>
              <w:right w:val="nil"/>
            </w:tcBorders>
          </w:tcPr>
          <w:p w14:paraId="7C7A9E9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R101001</w:t>
            </w:r>
          </w:p>
        </w:tc>
        <w:tc>
          <w:tcPr>
            <w:tcW w:w="3084" w:type="dxa"/>
            <w:gridSpan w:val="2"/>
            <w:tcBorders>
              <w:top w:val="nil"/>
              <w:left w:val="nil"/>
              <w:bottom w:val="nil"/>
              <w:right w:val="nil"/>
            </w:tcBorders>
          </w:tcPr>
          <w:p w14:paraId="072269A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WCMC, Online National Report Format</w:t>
            </w:r>
          </w:p>
        </w:tc>
        <w:tc>
          <w:tcPr>
            <w:tcW w:w="1140" w:type="dxa"/>
            <w:tcBorders>
              <w:top w:val="nil"/>
              <w:left w:val="nil"/>
              <w:bottom w:val="nil"/>
              <w:right w:val="nil"/>
            </w:tcBorders>
          </w:tcPr>
          <w:p w14:paraId="4E3B4BF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w:t>
            </w:r>
          </w:p>
        </w:tc>
        <w:tc>
          <w:tcPr>
            <w:tcW w:w="1005" w:type="dxa"/>
            <w:tcBorders>
              <w:top w:val="nil"/>
              <w:left w:val="nil"/>
              <w:bottom w:val="nil"/>
              <w:right w:val="nil"/>
            </w:tcBorders>
          </w:tcPr>
          <w:p w14:paraId="53DEDE1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27FBB0AA"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w:t>
            </w:r>
          </w:p>
        </w:tc>
        <w:tc>
          <w:tcPr>
            <w:tcW w:w="1005" w:type="dxa"/>
            <w:tcBorders>
              <w:top w:val="nil"/>
              <w:left w:val="nil"/>
              <w:bottom w:val="nil"/>
              <w:right w:val="nil"/>
            </w:tcBorders>
          </w:tcPr>
          <w:p w14:paraId="7DB5311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2B29163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r>
      <w:tr w:rsidR="00740865" w14:paraId="42D044DF" w14:textId="77777777" w:rsidTr="00740865">
        <w:tc>
          <w:tcPr>
            <w:tcW w:w="1306" w:type="dxa"/>
            <w:tcBorders>
              <w:top w:val="nil"/>
              <w:left w:val="nil"/>
              <w:bottom w:val="nil"/>
              <w:right w:val="nil"/>
            </w:tcBorders>
          </w:tcPr>
          <w:p w14:paraId="1C039361"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R101003</w:t>
            </w:r>
          </w:p>
        </w:tc>
        <w:tc>
          <w:tcPr>
            <w:tcW w:w="3084" w:type="dxa"/>
            <w:gridSpan w:val="2"/>
            <w:tcBorders>
              <w:top w:val="nil"/>
              <w:left w:val="nil"/>
              <w:bottom w:val="nil"/>
              <w:right w:val="nil"/>
            </w:tcBorders>
          </w:tcPr>
          <w:p w14:paraId="5039AB5B"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MAVA 13-32</w:t>
            </w:r>
          </w:p>
        </w:tc>
        <w:tc>
          <w:tcPr>
            <w:tcW w:w="1140" w:type="dxa"/>
            <w:tcBorders>
              <w:top w:val="nil"/>
              <w:left w:val="nil"/>
              <w:bottom w:val="nil"/>
              <w:right w:val="nil"/>
            </w:tcBorders>
          </w:tcPr>
          <w:p w14:paraId="4F6FA7F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7</w:t>
            </w:r>
          </w:p>
        </w:tc>
        <w:tc>
          <w:tcPr>
            <w:tcW w:w="1005" w:type="dxa"/>
            <w:tcBorders>
              <w:top w:val="nil"/>
              <w:left w:val="nil"/>
              <w:bottom w:val="nil"/>
              <w:right w:val="nil"/>
            </w:tcBorders>
          </w:tcPr>
          <w:p w14:paraId="098B636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43715AD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(7)</w:t>
            </w:r>
          </w:p>
        </w:tc>
        <w:tc>
          <w:tcPr>
            <w:tcW w:w="1005" w:type="dxa"/>
            <w:tcBorders>
              <w:top w:val="nil"/>
              <w:left w:val="nil"/>
              <w:bottom w:val="nil"/>
              <w:right w:val="nil"/>
            </w:tcBorders>
          </w:tcPr>
          <w:p w14:paraId="6EB767B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0D1391E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r>
      <w:tr w:rsidR="00740865" w14:paraId="570AB6B9" w14:textId="77777777" w:rsidTr="00740865">
        <w:tc>
          <w:tcPr>
            <w:tcW w:w="1306" w:type="dxa"/>
            <w:tcBorders>
              <w:top w:val="nil"/>
              <w:left w:val="nil"/>
              <w:bottom w:val="nil"/>
              <w:right w:val="nil"/>
            </w:tcBorders>
          </w:tcPr>
          <w:p w14:paraId="4AEEFA9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R101006</w:t>
            </w:r>
          </w:p>
        </w:tc>
        <w:tc>
          <w:tcPr>
            <w:tcW w:w="3084" w:type="dxa"/>
            <w:gridSpan w:val="2"/>
            <w:tcBorders>
              <w:top w:val="nil"/>
              <w:left w:val="nil"/>
              <w:bottom w:val="nil"/>
              <w:right w:val="nil"/>
            </w:tcBorders>
          </w:tcPr>
          <w:p w14:paraId="4D0FB1E4"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Climate Change</w:t>
            </w:r>
          </w:p>
        </w:tc>
        <w:tc>
          <w:tcPr>
            <w:tcW w:w="1140" w:type="dxa"/>
            <w:tcBorders>
              <w:top w:val="nil"/>
              <w:left w:val="nil"/>
              <w:bottom w:val="nil"/>
              <w:right w:val="nil"/>
            </w:tcBorders>
          </w:tcPr>
          <w:p w14:paraId="6E28658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51</w:t>
            </w:r>
          </w:p>
        </w:tc>
        <w:tc>
          <w:tcPr>
            <w:tcW w:w="1005" w:type="dxa"/>
            <w:tcBorders>
              <w:top w:val="nil"/>
              <w:left w:val="nil"/>
              <w:bottom w:val="nil"/>
              <w:right w:val="nil"/>
            </w:tcBorders>
          </w:tcPr>
          <w:p w14:paraId="1ECB9C8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0440883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(22)</w:t>
            </w:r>
          </w:p>
        </w:tc>
        <w:tc>
          <w:tcPr>
            <w:tcW w:w="1005" w:type="dxa"/>
            <w:tcBorders>
              <w:top w:val="nil"/>
              <w:left w:val="nil"/>
              <w:bottom w:val="nil"/>
              <w:right w:val="nil"/>
            </w:tcBorders>
          </w:tcPr>
          <w:p w14:paraId="3AB7518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25C022F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28</w:t>
            </w:r>
          </w:p>
        </w:tc>
      </w:tr>
      <w:tr w:rsidR="00740865" w14:paraId="49EC3629" w14:textId="77777777" w:rsidTr="00740865">
        <w:tc>
          <w:tcPr>
            <w:tcW w:w="1306" w:type="dxa"/>
            <w:tcBorders>
              <w:top w:val="nil"/>
              <w:left w:val="nil"/>
              <w:bottom w:val="nil"/>
              <w:right w:val="nil"/>
            </w:tcBorders>
          </w:tcPr>
          <w:p w14:paraId="5110B23F"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R101007</w:t>
            </w:r>
          </w:p>
        </w:tc>
        <w:tc>
          <w:tcPr>
            <w:tcW w:w="3084" w:type="dxa"/>
            <w:gridSpan w:val="2"/>
            <w:tcBorders>
              <w:top w:val="nil"/>
              <w:left w:val="nil"/>
              <w:bottom w:val="nil"/>
              <w:right w:val="nil"/>
            </w:tcBorders>
          </w:tcPr>
          <w:p w14:paraId="0892E8F7"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Tropical Peatlands</w:t>
            </w:r>
          </w:p>
        </w:tc>
        <w:tc>
          <w:tcPr>
            <w:tcW w:w="1140" w:type="dxa"/>
            <w:tcBorders>
              <w:top w:val="nil"/>
              <w:left w:val="nil"/>
              <w:bottom w:val="nil"/>
              <w:right w:val="nil"/>
            </w:tcBorders>
          </w:tcPr>
          <w:p w14:paraId="0700098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65</w:t>
            </w:r>
          </w:p>
        </w:tc>
        <w:tc>
          <w:tcPr>
            <w:tcW w:w="1005" w:type="dxa"/>
            <w:tcBorders>
              <w:top w:val="nil"/>
              <w:left w:val="nil"/>
              <w:bottom w:val="nil"/>
              <w:right w:val="nil"/>
            </w:tcBorders>
          </w:tcPr>
          <w:p w14:paraId="277B141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37BE236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(12)</w:t>
            </w:r>
          </w:p>
        </w:tc>
        <w:tc>
          <w:tcPr>
            <w:tcW w:w="1005" w:type="dxa"/>
            <w:tcBorders>
              <w:top w:val="nil"/>
              <w:left w:val="nil"/>
              <w:bottom w:val="nil"/>
              <w:right w:val="nil"/>
            </w:tcBorders>
          </w:tcPr>
          <w:p w14:paraId="1460DB9F"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62D614E3"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53</w:t>
            </w:r>
          </w:p>
        </w:tc>
      </w:tr>
      <w:tr w:rsidR="00740865" w14:paraId="4666DF46" w14:textId="77777777" w:rsidTr="00740865">
        <w:tc>
          <w:tcPr>
            <w:tcW w:w="1306" w:type="dxa"/>
            <w:tcBorders>
              <w:top w:val="nil"/>
              <w:left w:val="nil"/>
              <w:bottom w:val="nil"/>
              <w:right w:val="nil"/>
            </w:tcBorders>
          </w:tcPr>
          <w:p w14:paraId="05E699BE"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R101108</w:t>
            </w:r>
          </w:p>
        </w:tc>
        <w:tc>
          <w:tcPr>
            <w:tcW w:w="3084" w:type="dxa"/>
            <w:gridSpan w:val="2"/>
            <w:tcBorders>
              <w:top w:val="nil"/>
              <w:left w:val="nil"/>
              <w:bottom w:val="nil"/>
              <w:right w:val="nil"/>
            </w:tcBorders>
          </w:tcPr>
          <w:p w14:paraId="7AA4AF2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Ramsar 50th Anniversary 2021</w:t>
            </w:r>
          </w:p>
        </w:tc>
        <w:tc>
          <w:tcPr>
            <w:tcW w:w="1140" w:type="dxa"/>
            <w:tcBorders>
              <w:top w:val="nil"/>
              <w:left w:val="nil"/>
              <w:bottom w:val="single" w:sz="12" w:space="0" w:color="auto"/>
              <w:right w:val="nil"/>
            </w:tcBorders>
          </w:tcPr>
          <w:p w14:paraId="1ADFDCD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single" w:sz="12" w:space="0" w:color="auto"/>
              <w:right w:val="nil"/>
            </w:tcBorders>
          </w:tcPr>
          <w:p w14:paraId="1928A33D"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16</w:t>
            </w:r>
          </w:p>
        </w:tc>
        <w:tc>
          <w:tcPr>
            <w:tcW w:w="1006" w:type="dxa"/>
            <w:tcBorders>
              <w:top w:val="nil"/>
              <w:left w:val="nil"/>
              <w:bottom w:val="single" w:sz="12" w:space="0" w:color="auto"/>
              <w:right w:val="nil"/>
            </w:tcBorders>
          </w:tcPr>
          <w:p w14:paraId="470B214B"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single" w:sz="12" w:space="0" w:color="auto"/>
              <w:right w:val="nil"/>
            </w:tcBorders>
          </w:tcPr>
          <w:p w14:paraId="110914B0"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single" w:sz="12" w:space="0" w:color="auto"/>
              <w:right w:val="nil"/>
            </w:tcBorders>
          </w:tcPr>
          <w:p w14:paraId="246B60A2"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16</w:t>
            </w:r>
          </w:p>
        </w:tc>
      </w:tr>
      <w:tr w:rsidR="00740865" w14:paraId="1502A311" w14:textId="77777777" w:rsidTr="00740865">
        <w:tc>
          <w:tcPr>
            <w:tcW w:w="1306" w:type="dxa"/>
            <w:tcBorders>
              <w:top w:val="single" w:sz="12" w:space="0" w:color="auto"/>
              <w:left w:val="nil"/>
              <w:bottom w:val="single" w:sz="12" w:space="0" w:color="auto"/>
              <w:right w:val="nil"/>
            </w:tcBorders>
            <w:shd w:val="clear" w:color="auto" w:fill="EAF1DD" w:themeFill="accent3" w:themeFillTint="33"/>
          </w:tcPr>
          <w:p w14:paraId="739051A6" w14:textId="77777777" w:rsidR="00740865" w:rsidRDefault="00740865">
            <w:pPr>
              <w:autoSpaceDE w:val="0"/>
              <w:autoSpaceDN w:val="0"/>
              <w:adjustRightInd w:val="0"/>
              <w:ind w:left="0" w:firstLine="0"/>
              <w:rPr>
                <w:rFonts w:eastAsiaTheme="minorHAnsi" w:cs="Calibri"/>
                <w:b/>
                <w:bCs/>
                <w:color w:val="000000"/>
                <w:sz w:val="20"/>
                <w:szCs w:val="20"/>
              </w:rPr>
            </w:pPr>
            <w:r>
              <w:rPr>
                <w:rFonts w:eastAsiaTheme="minorHAnsi" w:cs="Calibri"/>
                <w:b/>
                <w:bCs/>
                <w:color w:val="000000"/>
                <w:sz w:val="20"/>
                <w:szCs w:val="20"/>
              </w:rPr>
              <w:t>Total of Other</w:t>
            </w:r>
          </w:p>
        </w:tc>
        <w:tc>
          <w:tcPr>
            <w:tcW w:w="3084" w:type="dxa"/>
            <w:gridSpan w:val="2"/>
            <w:tcBorders>
              <w:top w:val="single" w:sz="12" w:space="0" w:color="auto"/>
              <w:left w:val="nil"/>
              <w:bottom w:val="single" w:sz="12" w:space="0" w:color="auto"/>
              <w:right w:val="nil"/>
            </w:tcBorders>
            <w:shd w:val="clear" w:color="auto" w:fill="EAF1DD" w:themeFill="accent3" w:themeFillTint="33"/>
          </w:tcPr>
          <w:p w14:paraId="0299499D" w14:textId="77777777" w:rsidR="00740865" w:rsidRDefault="00740865">
            <w:pPr>
              <w:autoSpaceDE w:val="0"/>
              <w:autoSpaceDN w:val="0"/>
              <w:adjustRightInd w:val="0"/>
              <w:ind w:left="0" w:firstLine="0"/>
              <w:jc w:val="right"/>
              <w:rPr>
                <w:rFonts w:eastAsiaTheme="minorHAnsi" w:cs="Calibri"/>
                <w:b/>
                <w:bCs/>
                <w:color w:val="000000"/>
                <w:sz w:val="20"/>
                <w:szCs w:val="20"/>
              </w:rPr>
            </w:pPr>
          </w:p>
        </w:tc>
        <w:tc>
          <w:tcPr>
            <w:tcW w:w="1140" w:type="dxa"/>
            <w:tcBorders>
              <w:top w:val="nil"/>
              <w:left w:val="nil"/>
              <w:bottom w:val="single" w:sz="12" w:space="0" w:color="auto"/>
              <w:right w:val="nil"/>
            </w:tcBorders>
            <w:shd w:val="clear" w:color="auto" w:fill="EAF1DD" w:themeFill="accent3" w:themeFillTint="33"/>
          </w:tcPr>
          <w:p w14:paraId="4DA9CCB3"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1,189</w:t>
            </w:r>
          </w:p>
        </w:tc>
        <w:tc>
          <w:tcPr>
            <w:tcW w:w="1005" w:type="dxa"/>
            <w:tcBorders>
              <w:top w:val="nil"/>
              <w:left w:val="nil"/>
              <w:bottom w:val="single" w:sz="12" w:space="0" w:color="auto"/>
              <w:right w:val="nil"/>
            </w:tcBorders>
            <w:shd w:val="clear" w:color="auto" w:fill="EAF1DD" w:themeFill="accent3" w:themeFillTint="33"/>
          </w:tcPr>
          <w:p w14:paraId="061EBF82"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16</w:t>
            </w:r>
          </w:p>
        </w:tc>
        <w:tc>
          <w:tcPr>
            <w:tcW w:w="1006" w:type="dxa"/>
            <w:tcBorders>
              <w:top w:val="single" w:sz="12" w:space="0" w:color="auto"/>
              <w:left w:val="nil"/>
              <w:bottom w:val="single" w:sz="12" w:space="0" w:color="auto"/>
              <w:right w:val="nil"/>
            </w:tcBorders>
            <w:shd w:val="clear" w:color="auto" w:fill="EAF1DD" w:themeFill="accent3" w:themeFillTint="33"/>
          </w:tcPr>
          <w:p w14:paraId="64A5857D"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(142)</w:t>
            </w:r>
          </w:p>
        </w:tc>
        <w:tc>
          <w:tcPr>
            <w:tcW w:w="1005" w:type="dxa"/>
            <w:tcBorders>
              <w:top w:val="single" w:sz="12" w:space="0" w:color="auto"/>
              <w:left w:val="nil"/>
              <w:bottom w:val="single" w:sz="12" w:space="0" w:color="auto"/>
              <w:right w:val="nil"/>
            </w:tcBorders>
            <w:shd w:val="clear" w:color="auto" w:fill="EAF1DD" w:themeFill="accent3" w:themeFillTint="33"/>
          </w:tcPr>
          <w:p w14:paraId="3CFEED25"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13</w:t>
            </w:r>
          </w:p>
        </w:tc>
        <w:tc>
          <w:tcPr>
            <w:tcW w:w="1030" w:type="dxa"/>
            <w:tcBorders>
              <w:top w:val="single" w:sz="12" w:space="0" w:color="auto"/>
              <w:left w:val="nil"/>
              <w:bottom w:val="single" w:sz="12" w:space="0" w:color="auto"/>
              <w:right w:val="nil"/>
            </w:tcBorders>
            <w:shd w:val="clear" w:color="auto" w:fill="EAF1DD" w:themeFill="accent3" w:themeFillTint="33"/>
          </w:tcPr>
          <w:p w14:paraId="1ADC6B07"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1,076</w:t>
            </w:r>
          </w:p>
        </w:tc>
      </w:tr>
      <w:tr w:rsidR="00740865" w14:paraId="623277A6" w14:textId="77777777" w:rsidTr="00740865">
        <w:tc>
          <w:tcPr>
            <w:tcW w:w="1306" w:type="dxa"/>
            <w:tcBorders>
              <w:top w:val="nil"/>
              <w:left w:val="nil"/>
              <w:bottom w:val="nil"/>
              <w:right w:val="nil"/>
            </w:tcBorders>
          </w:tcPr>
          <w:p w14:paraId="21368D82" w14:textId="77777777" w:rsidR="00740865" w:rsidRDefault="00740865">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nil"/>
              <w:right w:val="nil"/>
            </w:tcBorders>
          </w:tcPr>
          <w:p w14:paraId="44DF6EE5" w14:textId="77777777" w:rsidR="00740865" w:rsidRDefault="00740865">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4AAE29A6"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168092B5"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nil"/>
              <w:right w:val="nil"/>
            </w:tcBorders>
          </w:tcPr>
          <w:p w14:paraId="5D88F594" w14:textId="77777777" w:rsidR="00740865" w:rsidRDefault="00740865">
            <w:pPr>
              <w:autoSpaceDE w:val="0"/>
              <w:autoSpaceDN w:val="0"/>
              <w:adjustRightInd w:val="0"/>
              <w:ind w:left="0" w:firstLine="0"/>
              <w:jc w:val="right"/>
              <w:rPr>
                <w:rFonts w:ascii="Arial" w:eastAsiaTheme="minorHAnsi" w:hAnsi="Arial" w:cs="Arial"/>
                <w:color w:val="000000"/>
                <w:sz w:val="20"/>
                <w:szCs w:val="20"/>
              </w:rPr>
            </w:pPr>
          </w:p>
        </w:tc>
        <w:tc>
          <w:tcPr>
            <w:tcW w:w="1005" w:type="dxa"/>
            <w:tcBorders>
              <w:top w:val="single" w:sz="12" w:space="0" w:color="auto"/>
              <w:left w:val="nil"/>
              <w:bottom w:val="nil"/>
              <w:right w:val="nil"/>
            </w:tcBorders>
          </w:tcPr>
          <w:p w14:paraId="6A422813"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07083DAB" w14:textId="77777777" w:rsidR="00740865" w:rsidRDefault="00740865">
            <w:pPr>
              <w:autoSpaceDE w:val="0"/>
              <w:autoSpaceDN w:val="0"/>
              <w:adjustRightInd w:val="0"/>
              <w:ind w:left="0" w:firstLine="0"/>
              <w:jc w:val="right"/>
              <w:rPr>
                <w:rFonts w:ascii="Arial" w:eastAsiaTheme="minorHAnsi" w:hAnsi="Arial" w:cs="Arial"/>
                <w:color w:val="000000"/>
                <w:sz w:val="20"/>
                <w:szCs w:val="20"/>
              </w:rPr>
            </w:pPr>
          </w:p>
        </w:tc>
      </w:tr>
      <w:tr w:rsidR="00740865" w14:paraId="5929F9FD" w14:textId="77777777" w:rsidTr="00740865">
        <w:tc>
          <w:tcPr>
            <w:tcW w:w="2015" w:type="dxa"/>
            <w:gridSpan w:val="2"/>
            <w:tcBorders>
              <w:top w:val="nil"/>
              <w:left w:val="nil"/>
              <w:bottom w:val="nil"/>
              <w:right w:val="nil"/>
            </w:tcBorders>
          </w:tcPr>
          <w:p w14:paraId="452513CA" w14:textId="77777777" w:rsidR="00740865" w:rsidRDefault="00740865">
            <w:pPr>
              <w:autoSpaceDE w:val="0"/>
              <w:autoSpaceDN w:val="0"/>
              <w:adjustRightInd w:val="0"/>
              <w:ind w:left="0" w:firstLine="0"/>
              <w:rPr>
                <w:rFonts w:eastAsiaTheme="minorHAnsi" w:cs="Calibri"/>
                <w:b/>
                <w:bCs/>
                <w:color w:val="000000"/>
                <w:sz w:val="20"/>
                <w:szCs w:val="20"/>
                <w:u w:val="single"/>
              </w:rPr>
            </w:pPr>
            <w:r>
              <w:rPr>
                <w:rFonts w:eastAsiaTheme="minorHAnsi" w:cs="Calibri"/>
                <w:b/>
                <w:bCs/>
                <w:color w:val="000000"/>
                <w:sz w:val="20"/>
                <w:szCs w:val="20"/>
                <w:u w:val="single"/>
              </w:rPr>
              <w:t>Regional Initiatives</w:t>
            </w:r>
          </w:p>
        </w:tc>
        <w:tc>
          <w:tcPr>
            <w:tcW w:w="2375" w:type="dxa"/>
            <w:tcBorders>
              <w:top w:val="nil"/>
              <w:left w:val="nil"/>
              <w:bottom w:val="nil"/>
              <w:right w:val="nil"/>
            </w:tcBorders>
          </w:tcPr>
          <w:p w14:paraId="3A750938" w14:textId="77777777" w:rsidR="00740865" w:rsidRDefault="00740865">
            <w:pPr>
              <w:autoSpaceDE w:val="0"/>
              <w:autoSpaceDN w:val="0"/>
              <w:adjustRightInd w:val="0"/>
              <w:ind w:left="0" w:firstLine="0"/>
              <w:jc w:val="right"/>
              <w:rPr>
                <w:rFonts w:eastAsiaTheme="minorHAnsi" w:cs="Calibri"/>
                <w:b/>
                <w:bCs/>
                <w:color w:val="000000"/>
                <w:sz w:val="20"/>
                <w:szCs w:val="20"/>
                <w:u w:val="single"/>
              </w:rPr>
            </w:pPr>
          </w:p>
        </w:tc>
        <w:tc>
          <w:tcPr>
            <w:tcW w:w="1140" w:type="dxa"/>
            <w:tcBorders>
              <w:top w:val="nil"/>
              <w:left w:val="nil"/>
              <w:bottom w:val="nil"/>
              <w:right w:val="nil"/>
            </w:tcBorders>
          </w:tcPr>
          <w:p w14:paraId="36EF8535"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1DD61042"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nil"/>
              <w:left w:val="nil"/>
              <w:bottom w:val="nil"/>
              <w:right w:val="nil"/>
            </w:tcBorders>
          </w:tcPr>
          <w:p w14:paraId="383A6AD3"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3420F8FE"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nil"/>
              <w:left w:val="nil"/>
              <w:bottom w:val="nil"/>
              <w:right w:val="nil"/>
            </w:tcBorders>
          </w:tcPr>
          <w:p w14:paraId="6FFD0807" w14:textId="77777777" w:rsidR="00740865" w:rsidRDefault="00740865">
            <w:pPr>
              <w:autoSpaceDE w:val="0"/>
              <w:autoSpaceDN w:val="0"/>
              <w:adjustRightInd w:val="0"/>
              <w:ind w:left="0" w:firstLine="0"/>
              <w:jc w:val="right"/>
              <w:rPr>
                <w:rFonts w:eastAsiaTheme="minorHAnsi" w:cs="Calibri"/>
                <w:color w:val="000000"/>
              </w:rPr>
            </w:pPr>
          </w:p>
        </w:tc>
      </w:tr>
      <w:tr w:rsidR="00740865" w14:paraId="0212C536" w14:textId="77777777" w:rsidTr="00740865">
        <w:tc>
          <w:tcPr>
            <w:tcW w:w="1306" w:type="dxa"/>
            <w:tcBorders>
              <w:top w:val="nil"/>
              <w:left w:val="nil"/>
              <w:bottom w:val="nil"/>
              <w:right w:val="nil"/>
            </w:tcBorders>
          </w:tcPr>
          <w:p w14:paraId="3A684C15"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R100146</w:t>
            </w:r>
          </w:p>
        </w:tc>
        <w:tc>
          <w:tcPr>
            <w:tcW w:w="3084" w:type="dxa"/>
            <w:gridSpan w:val="2"/>
            <w:tcBorders>
              <w:top w:val="nil"/>
              <w:left w:val="nil"/>
              <w:bottom w:val="nil"/>
              <w:right w:val="nil"/>
            </w:tcBorders>
          </w:tcPr>
          <w:p w14:paraId="4E3B8E0E"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Caribbean Wetlands</w:t>
            </w:r>
          </w:p>
        </w:tc>
        <w:tc>
          <w:tcPr>
            <w:tcW w:w="1140" w:type="dxa"/>
            <w:tcBorders>
              <w:top w:val="nil"/>
              <w:left w:val="nil"/>
              <w:bottom w:val="nil"/>
              <w:right w:val="nil"/>
            </w:tcBorders>
          </w:tcPr>
          <w:p w14:paraId="5DC5936A"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5" w:type="dxa"/>
            <w:tcBorders>
              <w:top w:val="nil"/>
              <w:left w:val="nil"/>
              <w:bottom w:val="nil"/>
              <w:right w:val="nil"/>
            </w:tcBorders>
          </w:tcPr>
          <w:p w14:paraId="7FB52BA9"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06" w:type="dxa"/>
            <w:tcBorders>
              <w:top w:val="nil"/>
              <w:left w:val="nil"/>
              <w:bottom w:val="nil"/>
              <w:right w:val="nil"/>
            </w:tcBorders>
          </w:tcPr>
          <w:p w14:paraId="6458F0A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w:t>
            </w:r>
          </w:p>
        </w:tc>
        <w:tc>
          <w:tcPr>
            <w:tcW w:w="1005" w:type="dxa"/>
            <w:tcBorders>
              <w:top w:val="nil"/>
              <w:left w:val="nil"/>
              <w:bottom w:val="nil"/>
              <w:right w:val="nil"/>
            </w:tcBorders>
          </w:tcPr>
          <w:p w14:paraId="4314ECB1"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14C91AB8"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(2)</w:t>
            </w:r>
          </w:p>
        </w:tc>
      </w:tr>
      <w:tr w:rsidR="00740865" w14:paraId="44D1A912" w14:textId="77777777" w:rsidTr="00740865">
        <w:tc>
          <w:tcPr>
            <w:tcW w:w="1306" w:type="dxa"/>
            <w:tcBorders>
              <w:top w:val="nil"/>
              <w:left w:val="nil"/>
              <w:bottom w:val="nil"/>
              <w:right w:val="nil"/>
            </w:tcBorders>
          </w:tcPr>
          <w:p w14:paraId="25245D38"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R100200</w:t>
            </w:r>
          </w:p>
        </w:tc>
        <w:tc>
          <w:tcPr>
            <w:tcW w:w="3084" w:type="dxa"/>
            <w:gridSpan w:val="2"/>
            <w:tcBorders>
              <w:top w:val="nil"/>
              <w:left w:val="nil"/>
              <w:bottom w:val="nil"/>
              <w:right w:val="nil"/>
            </w:tcBorders>
          </w:tcPr>
          <w:p w14:paraId="7F18F473" w14:textId="77777777" w:rsidR="00740865" w:rsidRDefault="00740865">
            <w:pPr>
              <w:autoSpaceDE w:val="0"/>
              <w:autoSpaceDN w:val="0"/>
              <w:adjustRightInd w:val="0"/>
              <w:ind w:left="0" w:firstLine="0"/>
              <w:rPr>
                <w:rFonts w:eastAsiaTheme="minorHAnsi" w:cs="Calibri"/>
                <w:color w:val="000000"/>
                <w:sz w:val="20"/>
                <w:szCs w:val="20"/>
              </w:rPr>
            </w:pPr>
            <w:r>
              <w:rPr>
                <w:rFonts w:eastAsiaTheme="minorHAnsi" w:cs="Calibri"/>
                <w:color w:val="000000"/>
                <w:sz w:val="20"/>
                <w:szCs w:val="20"/>
              </w:rPr>
              <w:t>AVC, African Regional Initiatives</w:t>
            </w:r>
          </w:p>
        </w:tc>
        <w:tc>
          <w:tcPr>
            <w:tcW w:w="1140" w:type="dxa"/>
            <w:tcBorders>
              <w:top w:val="nil"/>
              <w:left w:val="nil"/>
              <w:bottom w:val="single" w:sz="12" w:space="0" w:color="auto"/>
              <w:right w:val="nil"/>
            </w:tcBorders>
          </w:tcPr>
          <w:p w14:paraId="7B66DF14"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93</w:t>
            </w:r>
          </w:p>
        </w:tc>
        <w:tc>
          <w:tcPr>
            <w:tcW w:w="1005" w:type="dxa"/>
            <w:tcBorders>
              <w:top w:val="nil"/>
              <w:left w:val="nil"/>
              <w:bottom w:val="single" w:sz="12" w:space="0" w:color="auto"/>
              <w:right w:val="nil"/>
            </w:tcBorders>
          </w:tcPr>
          <w:p w14:paraId="3488F37C"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12</w:t>
            </w:r>
          </w:p>
        </w:tc>
        <w:tc>
          <w:tcPr>
            <w:tcW w:w="1006" w:type="dxa"/>
            <w:tcBorders>
              <w:top w:val="nil"/>
              <w:left w:val="nil"/>
              <w:bottom w:val="single" w:sz="12" w:space="0" w:color="auto"/>
              <w:right w:val="nil"/>
            </w:tcBorders>
          </w:tcPr>
          <w:p w14:paraId="04F1A136"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(37)</w:t>
            </w:r>
          </w:p>
        </w:tc>
        <w:tc>
          <w:tcPr>
            <w:tcW w:w="1005" w:type="dxa"/>
            <w:tcBorders>
              <w:top w:val="nil"/>
              <w:left w:val="nil"/>
              <w:bottom w:val="single" w:sz="12" w:space="0" w:color="auto"/>
              <w:right w:val="nil"/>
            </w:tcBorders>
          </w:tcPr>
          <w:p w14:paraId="44C23AD5"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w:t>
            </w:r>
          </w:p>
        </w:tc>
        <w:tc>
          <w:tcPr>
            <w:tcW w:w="1030" w:type="dxa"/>
            <w:tcBorders>
              <w:top w:val="nil"/>
              <w:left w:val="nil"/>
              <w:bottom w:val="nil"/>
              <w:right w:val="nil"/>
            </w:tcBorders>
          </w:tcPr>
          <w:p w14:paraId="6A57C947" w14:textId="77777777" w:rsidR="00740865" w:rsidRDefault="00740865">
            <w:pPr>
              <w:autoSpaceDE w:val="0"/>
              <w:autoSpaceDN w:val="0"/>
              <w:adjustRightInd w:val="0"/>
              <w:ind w:left="0" w:firstLine="0"/>
              <w:jc w:val="right"/>
              <w:rPr>
                <w:rFonts w:eastAsiaTheme="minorHAnsi" w:cs="Calibri"/>
                <w:color w:val="000000"/>
                <w:sz w:val="20"/>
                <w:szCs w:val="20"/>
              </w:rPr>
            </w:pPr>
            <w:r>
              <w:rPr>
                <w:rFonts w:eastAsiaTheme="minorHAnsi" w:cs="Calibri"/>
                <w:color w:val="000000"/>
                <w:sz w:val="20"/>
                <w:szCs w:val="20"/>
              </w:rPr>
              <w:t>68</w:t>
            </w:r>
          </w:p>
        </w:tc>
      </w:tr>
      <w:tr w:rsidR="00740865" w14:paraId="5686DA55" w14:textId="77777777" w:rsidTr="00740865">
        <w:tc>
          <w:tcPr>
            <w:tcW w:w="4390" w:type="dxa"/>
            <w:gridSpan w:val="3"/>
            <w:tcBorders>
              <w:top w:val="single" w:sz="12" w:space="0" w:color="auto"/>
              <w:left w:val="nil"/>
              <w:bottom w:val="single" w:sz="12" w:space="0" w:color="auto"/>
              <w:right w:val="nil"/>
            </w:tcBorders>
            <w:shd w:val="clear" w:color="auto" w:fill="EAF1DD" w:themeFill="accent3" w:themeFillTint="33"/>
          </w:tcPr>
          <w:p w14:paraId="3A4FF02E" w14:textId="77777777" w:rsidR="00740865" w:rsidRDefault="00740865">
            <w:pPr>
              <w:autoSpaceDE w:val="0"/>
              <w:autoSpaceDN w:val="0"/>
              <w:adjustRightInd w:val="0"/>
              <w:ind w:left="0" w:firstLine="0"/>
              <w:rPr>
                <w:rFonts w:eastAsiaTheme="minorHAnsi" w:cs="Calibri"/>
                <w:b/>
                <w:bCs/>
                <w:color w:val="000000"/>
                <w:sz w:val="20"/>
                <w:szCs w:val="20"/>
              </w:rPr>
            </w:pPr>
            <w:r>
              <w:rPr>
                <w:rFonts w:eastAsiaTheme="minorHAnsi" w:cs="Calibri"/>
                <w:b/>
                <w:bCs/>
                <w:color w:val="000000"/>
                <w:sz w:val="20"/>
                <w:szCs w:val="20"/>
              </w:rPr>
              <w:t>Total of Regional Initiatives</w:t>
            </w:r>
          </w:p>
        </w:tc>
        <w:tc>
          <w:tcPr>
            <w:tcW w:w="1140" w:type="dxa"/>
            <w:tcBorders>
              <w:top w:val="nil"/>
              <w:left w:val="nil"/>
              <w:bottom w:val="single" w:sz="12" w:space="0" w:color="auto"/>
              <w:right w:val="nil"/>
            </w:tcBorders>
            <w:shd w:val="clear" w:color="auto" w:fill="EAF1DD" w:themeFill="accent3" w:themeFillTint="33"/>
          </w:tcPr>
          <w:p w14:paraId="3BC610C9"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93</w:t>
            </w:r>
          </w:p>
        </w:tc>
        <w:tc>
          <w:tcPr>
            <w:tcW w:w="1005" w:type="dxa"/>
            <w:tcBorders>
              <w:top w:val="nil"/>
              <w:left w:val="nil"/>
              <w:bottom w:val="single" w:sz="12" w:space="0" w:color="auto"/>
              <w:right w:val="nil"/>
            </w:tcBorders>
            <w:shd w:val="clear" w:color="auto" w:fill="EAF1DD" w:themeFill="accent3" w:themeFillTint="33"/>
          </w:tcPr>
          <w:p w14:paraId="387EB740"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12</w:t>
            </w:r>
          </w:p>
        </w:tc>
        <w:tc>
          <w:tcPr>
            <w:tcW w:w="1006" w:type="dxa"/>
            <w:tcBorders>
              <w:top w:val="nil"/>
              <w:left w:val="nil"/>
              <w:bottom w:val="single" w:sz="12" w:space="0" w:color="auto"/>
              <w:right w:val="nil"/>
            </w:tcBorders>
            <w:shd w:val="clear" w:color="auto" w:fill="EAF1DD" w:themeFill="accent3" w:themeFillTint="33"/>
          </w:tcPr>
          <w:p w14:paraId="7048EFFC"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(38)</w:t>
            </w:r>
          </w:p>
        </w:tc>
        <w:tc>
          <w:tcPr>
            <w:tcW w:w="1005" w:type="dxa"/>
            <w:tcBorders>
              <w:top w:val="nil"/>
              <w:left w:val="nil"/>
              <w:bottom w:val="single" w:sz="12" w:space="0" w:color="auto"/>
              <w:right w:val="nil"/>
            </w:tcBorders>
            <w:shd w:val="clear" w:color="auto" w:fill="EAF1DD" w:themeFill="accent3" w:themeFillTint="33"/>
          </w:tcPr>
          <w:p w14:paraId="392B794E"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w:t>
            </w:r>
          </w:p>
        </w:tc>
        <w:tc>
          <w:tcPr>
            <w:tcW w:w="1030" w:type="dxa"/>
            <w:tcBorders>
              <w:top w:val="single" w:sz="12" w:space="0" w:color="auto"/>
              <w:left w:val="nil"/>
              <w:bottom w:val="single" w:sz="12" w:space="0" w:color="auto"/>
              <w:right w:val="nil"/>
            </w:tcBorders>
            <w:shd w:val="clear" w:color="auto" w:fill="EAF1DD" w:themeFill="accent3" w:themeFillTint="33"/>
          </w:tcPr>
          <w:p w14:paraId="53D96865"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66</w:t>
            </w:r>
          </w:p>
        </w:tc>
      </w:tr>
      <w:tr w:rsidR="00740865" w14:paraId="1218F589" w14:textId="77777777" w:rsidTr="00740865">
        <w:tc>
          <w:tcPr>
            <w:tcW w:w="1306" w:type="dxa"/>
            <w:tcBorders>
              <w:top w:val="nil"/>
              <w:left w:val="nil"/>
              <w:bottom w:val="nil"/>
              <w:right w:val="nil"/>
            </w:tcBorders>
          </w:tcPr>
          <w:p w14:paraId="0E72E173" w14:textId="77777777" w:rsidR="00740865" w:rsidRDefault="00740865">
            <w:pPr>
              <w:autoSpaceDE w:val="0"/>
              <w:autoSpaceDN w:val="0"/>
              <w:adjustRightInd w:val="0"/>
              <w:ind w:left="0" w:firstLine="0"/>
              <w:jc w:val="right"/>
              <w:rPr>
                <w:rFonts w:eastAsiaTheme="minorHAnsi" w:cs="Calibri"/>
                <w:color w:val="000000"/>
              </w:rPr>
            </w:pPr>
          </w:p>
        </w:tc>
        <w:tc>
          <w:tcPr>
            <w:tcW w:w="3084" w:type="dxa"/>
            <w:gridSpan w:val="2"/>
            <w:tcBorders>
              <w:top w:val="nil"/>
              <w:left w:val="nil"/>
              <w:bottom w:val="nil"/>
              <w:right w:val="nil"/>
            </w:tcBorders>
          </w:tcPr>
          <w:p w14:paraId="683FA1D6" w14:textId="77777777" w:rsidR="00740865" w:rsidRDefault="00740865">
            <w:pPr>
              <w:autoSpaceDE w:val="0"/>
              <w:autoSpaceDN w:val="0"/>
              <w:adjustRightInd w:val="0"/>
              <w:ind w:left="0" w:firstLine="0"/>
              <w:jc w:val="right"/>
              <w:rPr>
                <w:rFonts w:eastAsiaTheme="minorHAnsi" w:cs="Calibri"/>
                <w:color w:val="000000"/>
              </w:rPr>
            </w:pPr>
          </w:p>
        </w:tc>
        <w:tc>
          <w:tcPr>
            <w:tcW w:w="1140" w:type="dxa"/>
            <w:tcBorders>
              <w:top w:val="nil"/>
              <w:left w:val="nil"/>
              <w:bottom w:val="nil"/>
              <w:right w:val="nil"/>
            </w:tcBorders>
          </w:tcPr>
          <w:p w14:paraId="6C307D42"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1B424A1C" w14:textId="77777777" w:rsidR="00740865" w:rsidRDefault="00740865">
            <w:pPr>
              <w:autoSpaceDE w:val="0"/>
              <w:autoSpaceDN w:val="0"/>
              <w:adjustRightInd w:val="0"/>
              <w:ind w:left="0" w:firstLine="0"/>
              <w:jc w:val="right"/>
              <w:rPr>
                <w:rFonts w:eastAsiaTheme="minorHAnsi" w:cs="Calibri"/>
                <w:color w:val="000000"/>
              </w:rPr>
            </w:pPr>
          </w:p>
        </w:tc>
        <w:tc>
          <w:tcPr>
            <w:tcW w:w="1006" w:type="dxa"/>
            <w:tcBorders>
              <w:top w:val="single" w:sz="12" w:space="0" w:color="auto"/>
              <w:left w:val="nil"/>
              <w:bottom w:val="double" w:sz="6" w:space="0" w:color="auto"/>
              <w:right w:val="nil"/>
            </w:tcBorders>
          </w:tcPr>
          <w:p w14:paraId="5921D4D5" w14:textId="77777777" w:rsidR="00740865" w:rsidRDefault="00740865">
            <w:pPr>
              <w:autoSpaceDE w:val="0"/>
              <w:autoSpaceDN w:val="0"/>
              <w:adjustRightInd w:val="0"/>
              <w:ind w:left="0" w:firstLine="0"/>
              <w:jc w:val="right"/>
              <w:rPr>
                <w:rFonts w:eastAsiaTheme="minorHAnsi" w:cs="Calibri"/>
                <w:color w:val="000000"/>
              </w:rPr>
            </w:pPr>
          </w:p>
        </w:tc>
        <w:tc>
          <w:tcPr>
            <w:tcW w:w="1005" w:type="dxa"/>
            <w:tcBorders>
              <w:top w:val="nil"/>
              <w:left w:val="nil"/>
              <w:bottom w:val="nil"/>
              <w:right w:val="nil"/>
            </w:tcBorders>
          </w:tcPr>
          <w:p w14:paraId="01EEE638" w14:textId="77777777" w:rsidR="00740865" w:rsidRDefault="00740865">
            <w:pPr>
              <w:autoSpaceDE w:val="0"/>
              <w:autoSpaceDN w:val="0"/>
              <w:adjustRightInd w:val="0"/>
              <w:ind w:left="0" w:firstLine="0"/>
              <w:jc w:val="right"/>
              <w:rPr>
                <w:rFonts w:eastAsiaTheme="minorHAnsi" w:cs="Calibri"/>
                <w:color w:val="000000"/>
              </w:rPr>
            </w:pPr>
          </w:p>
        </w:tc>
        <w:tc>
          <w:tcPr>
            <w:tcW w:w="1030" w:type="dxa"/>
            <w:tcBorders>
              <w:top w:val="single" w:sz="12" w:space="0" w:color="auto"/>
              <w:left w:val="nil"/>
              <w:bottom w:val="nil"/>
              <w:right w:val="nil"/>
            </w:tcBorders>
          </w:tcPr>
          <w:p w14:paraId="4502A8F7" w14:textId="77777777" w:rsidR="00740865" w:rsidRDefault="00740865">
            <w:pPr>
              <w:autoSpaceDE w:val="0"/>
              <w:autoSpaceDN w:val="0"/>
              <w:adjustRightInd w:val="0"/>
              <w:ind w:left="0" w:firstLine="0"/>
              <w:jc w:val="right"/>
              <w:rPr>
                <w:rFonts w:eastAsiaTheme="minorHAnsi" w:cs="Calibri"/>
                <w:color w:val="000000"/>
              </w:rPr>
            </w:pPr>
          </w:p>
        </w:tc>
      </w:tr>
      <w:tr w:rsidR="00740865" w14:paraId="183FE794" w14:textId="77777777" w:rsidTr="00740865">
        <w:tc>
          <w:tcPr>
            <w:tcW w:w="1306" w:type="dxa"/>
            <w:tcBorders>
              <w:top w:val="double" w:sz="6" w:space="0" w:color="auto"/>
              <w:left w:val="nil"/>
              <w:bottom w:val="double" w:sz="6" w:space="0" w:color="auto"/>
              <w:right w:val="nil"/>
            </w:tcBorders>
            <w:shd w:val="clear" w:color="auto" w:fill="D6E3BC" w:themeFill="accent3" w:themeFillTint="66"/>
          </w:tcPr>
          <w:p w14:paraId="62903F2A" w14:textId="77777777" w:rsidR="00740865" w:rsidRDefault="00740865">
            <w:pPr>
              <w:autoSpaceDE w:val="0"/>
              <w:autoSpaceDN w:val="0"/>
              <w:adjustRightInd w:val="0"/>
              <w:ind w:left="0" w:firstLine="0"/>
              <w:rPr>
                <w:rFonts w:eastAsiaTheme="minorHAnsi" w:cs="Calibri"/>
                <w:b/>
                <w:bCs/>
                <w:color w:val="000000"/>
                <w:sz w:val="20"/>
                <w:szCs w:val="20"/>
              </w:rPr>
            </w:pPr>
            <w:r>
              <w:rPr>
                <w:rFonts w:eastAsiaTheme="minorHAnsi" w:cs="Calibri"/>
                <w:b/>
                <w:bCs/>
                <w:color w:val="000000"/>
                <w:sz w:val="20"/>
                <w:szCs w:val="20"/>
              </w:rPr>
              <w:t>Grand Total</w:t>
            </w:r>
          </w:p>
        </w:tc>
        <w:tc>
          <w:tcPr>
            <w:tcW w:w="3084" w:type="dxa"/>
            <w:gridSpan w:val="2"/>
            <w:tcBorders>
              <w:top w:val="double" w:sz="6" w:space="0" w:color="auto"/>
              <w:left w:val="nil"/>
              <w:bottom w:val="double" w:sz="6" w:space="0" w:color="auto"/>
              <w:right w:val="nil"/>
            </w:tcBorders>
            <w:shd w:val="clear" w:color="auto" w:fill="D6E3BC" w:themeFill="accent3" w:themeFillTint="66"/>
          </w:tcPr>
          <w:p w14:paraId="52D42984" w14:textId="77777777" w:rsidR="00740865" w:rsidRDefault="00740865">
            <w:pPr>
              <w:autoSpaceDE w:val="0"/>
              <w:autoSpaceDN w:val="0"/>
              <w:adjustRightInd w:val="0"/>
              <w:ind w:left="0" w:firstLine="0"/>
              <w:jc w:val="right"/>
              <w:rPr>
                <w:rFonts w:eastAsiaTheme="minorHAnsi" w:cs="Calibri"/>
                <w:b/>
                <w:bCs/>
                <w:color w:val="000000"/>
                <w:sz w:val="20"/>
                <w:szCs w:val="20"/>
              </w:rPr>
            </w:pPr>
          </w:p>
        </w:tc>
        <w:tc>
          <w:tcPr>
            <w:tcW w:w="1140" w:type="dxa"/>
            <w:tcBorders>
              <w:top w:val="double" w:sz="6" w:space="0" w:color="auto"/>
              <w:left w:val="nil"/>
              <w:bottom w:val="double" w:sz="6" w:space="0" w:color="auto"/>
              <w:right w:val="nil"/>
            </w:tcBorders>
            <w:shd w:val="clear" w:color="auto" w:fill="D6E3BC" w:themeFill="accent3" w:themeFillTint="66"/>
          </w:tcPr>
          <w:p w14:paraId="30497F13"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2,073</w:t>
            </w:r>
          </w:p>
        </w:tc>
        <w:tc>
          <w:tcPr>
            <w:tcW w:w="1005" w:type="dxa"/>
            <w:tcBorders>
              <w:top w:val="double" w:sz="6" w:space="0" w:color="auto"/>
              <w:left w:val="nil"/>
              <w:bottom w:val="double" w:sz="6" w:space="0" w:color="auto"/>
              <w:right w:val="nil"/>
            </w:tcBorders>
            <w:shd w:val="clear" w:color="auto" w:fill="D6E3BC" w:themeFill="accent3" w:themeFillTint="66"/>
          </w:tcPr>
          <w:p w14:paraId="0E9CD8BE"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59</w:t>
            </w:r>
          </w:p>
        </w:tc>
        <w:tc>
          <w:tcPr>
            <w:tcW w:w="1006" w:type="dxa"/>
            <w:tcBorders>
              <w:top w:val="double" w:sz="6" w:space="0" w:color="auto"/>
              <w:left w:val="nil"/>
              <w:bottom w:val="double" w:sz="6" w:space="0" w:color="auto"/>
              <w:right w:val="nil"/>
            </w:tcBorders>
            <w:shd w:val="clear" w:color="auto" w:fill="D6E3BC" w:themeFill="accent3" w:themeFillTint="66"/>
          </w:tcPr>
          <w:p w14:paraId="3233A686"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(256)</w:t>
            </w:r>
          </w:p>
        </w:tc>
        <w:tc>
          <w:tcPr>
            <w:tcW w:w="1005" w:type="dxa"/>
            <w:tcBorders>
              <w:top w:val="double" w:sz="6" w:space="0" w:color="auto"/>
              <w:left w:val="nil"/>
              <w:bottom w:val="double" w:sz="6" w:space="0" w:color="auto"/>
              <w:right w:val="nil"/>
            </w:tcBorders>
            <w:shd w:val="clear" w:color="auto" w:fill="D6E3BC" w:themeFill="accent3" w:themeFillTint="66"/>
          </w:tcPr>
          <w:p w14:paraId="028830AF"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w:t>
            </w:r>
          </w:p>
        </w:tc>
        <w:tc>
          <w:tcPr>
            <w:tcW w:w="1030" w:type="dxa"/>
            <w:tcBorders>
              <w:top w:val="double" w:sz="6" w:space="0" w:color="auto"/>
              <w:left w:val="nil"/>
              <w:bottom w:val="double" w:sz="6" w:space="0" w:color="auto"/>
              <w:right w:val="nil"/>
            </w:tcBorders>
            <w:shd w:val="clear" w:color="auto" w:fill="D6E3BC" w:themeFill="accent3" w:themeFillTint="66"/>
          </w:tcPr>
          <w:p w14:paraId="3DC0606C" w14:textId="77777777" w:rsidR="00740865" w:rsidRDefault="00740865">
            <w:pPr>
              <w:autoSpaceDE w:val="0"/>
              <w:autoSpaceDN w:val="0"/>
              <w:adjustRightInd w:val="0"/>
              <w:ind w:left="0" w:firstLine="0"/>
              <w:jc w:val="right"/>
              <w:rPr>
                <w:rFonts w:eastAsiaTheme="minorHAnsi" w:cs="Calibri"/>
                <w:b/>
                <w:bCs/>
                <w:color w:val="000000"/>
                <w:sz w:val="20"/>
                <w:szCs w:val="20"/>
              </w:rPr>
            </w:pPr>
            <w:r>
              <w:rPr>
                <w:rFonts w:eastAsiaTheme="minorHAnsi" w:cs="Calibri"/>
                <w:b/>
                <w:bCs/>
                <w:color w:val="000000"/>
                <w:sz w:val="20"/>
                <w:szCs w:val="20"/>
              </w:rPr>
              <w:t>1,876</w:t>
            </w:r>
          </w:p>
        </w:tc>
      </w:tr>
    </w:tbl>
    <w:p w14:paraId="011E7AB0" w14:textId="77777777" w:rsidR="00740865" w:rsidRDefault="00740865">
      <w:pPr>
        <w:rPr>
          <w:rFonts w:asciiTheme="minorHAnsi" w:eastAsia="Times New Roman" w:hAnsiTheme="minorHAnsi" w:cs="Arial"/>
          <w:bCs/>
          <w:lang w:eastAsia="en-GB"/>
        </w:rPr>
        <w:sectPr w:rsidR="00740865" w:rsidSect="00C26079">
          <w:footerReference w:type="default" r:id="rId10"/>
          <w:pgSz w:w="11906" w:h="16838" w:code="9"/>
          <w:pgMar w:top="1440" w:right="1440" w:bottom="1440" w:left="1440" w:header="709" w:footer="709" w:gutter="0"/>
          <w:cols w:space="708"/>
          <w:docGrid w:linePitch="360"/>
        </w:sectPr>
      </w:pPr>
    </w:p>
    <w:p w14:paraId="3DF4A4BD" w14:textId="2FF8F2C4" w:rsidR="0074567B" w:rsidRPr="00D8194D" w:rsidRDefault="0035205F" w:rsidP="00666EE5">
      <w:pPr>
        <w:rPr>
          <w:rFonts w:asciiTheme="minorHAnsi" w:eastAsia="Times New Roman" w:hAnsiTheme="minorHAnsi" w:cs="Arial"/>
          <w:b/>
          <w:bCs/>
          <w:sz w:val="24"/>
          <w:szCs w:val="24"/>
          <w:lang w:eastAsia="en-GB"/>
        </w:rPr>
      </w:pPr>
      <w:r w:rsidRPr="00D8194D">
        <w:rPr>
          <w:rFonts w:asciiTheme="minorHAnsi" w:eastAsia="Times New Roman" w:hAnsiTheme="minorHAnsi" w:cs="Arial"/>
          <w:b/>
          <w:bCs/>
          <w:sz w:val="24"/>
          <w:szCs w:val="24"/>
          <w:lang w:eastAsia="en-GB"/>
        </w:rPr>
        <w:lastRenderedPageBreak/>
        <w:t>Annex</w:t>
      </w:r>
      <w:r w:rsidR="004D23F7" w:rsidRPr="00D8194D">
        <w:rPr>
          <w:rFonts w:asciiTheme="minorHAnsi" w:eastAsia="Times New Roman" w:hAnsiTheme="minorHAnsi" w:cs="Arial"/>
          <w:b/>
          <w:bCs/>
          <w:sz w:val="24"/>
          <w:szCs w:val="24"/>
          <w:lang w:eastAsia="en-GB"/>
        </w:rPr>
        <w:t xml:space="preserve"> </w:t>
      </w:r>
      <w:r w:rsidR="007E0A1A" w:rsidRPr="00D8194D">
        <w:rPr>
          <w:rFonts w:asciiTheme="minorHAnsi" w:eastAsia="Times New Roman" w:hAnsiTheme="minorHAnsi" w:cs="Arial"/>
          <w:b/>
          <w:bCs/>
          <w:sz w:val="24"/>
          <w:szCs w:val="24"/>
          <w:lang w:eastAsia="en-GB"/>
        </w:rPr>
        <w:t>4</w:t>
      </w:r>
    </w:p>
    <w:p w14:paraId="76CB7523" w14:textId="72B09090" w:rsidR="001404C4" w:rsidRPr="00D8194D" w:rsidRDefault="0035205F" w:rsidP="00E42F5B">
      <w:pPr>
        <w:ind w:left="0" w:firstLine="0"/>
        <w:rPr>
          <w:rFonts w:asciiTheme="minorHAnsi" w:eastAsia="Times New Roman" w:hAnsiTheme="minorHAnsi" w:cs="Arial"/>
          <w:b/>
          <w:bCs/>
          <w:sz w:val="24"/>
          <w:szCs w:val="24"/>
          <w:lang w:eastAsia="en-GB"/>
        </w:rPr>
      </w:pPr>
      <w:r w:rsidRPr="00D8194D">
        <w:rPr>
          <w:rFonts w:asciiTheme="minorHAnsi" w:eastAsia="Times New Roman" w:hAnsiTheme="minorHAnsi" w:cs="Arial"/>
          <w:b/>
          <w:bCs/>
          <w:sz w:val="24"/>
          <w:szCs w:val="24"/>
          <w:lang w:eastAsia="en-GB"/>
        </w:rPr>
        <w:t xml:space="preserve">Proposed Core Budget </w:t>
      </w:r>
      <w:r w:rsidR="009F5180" w:rsidRPr="00D8194D">
        <w:rPr>
          <w:rFonts w:asciiTheme="minorHAnsi" w:eastAsia="Times New Roman" w:hAnsiTheme="minorHAnsi" w:cs="Arial"/>
          <w:b/>
          <w:bCs/>
          <w:sz w:val="24"/>
          <w:szCs w:val="24"/>
          <w:lang w:eastAsia="en-GB"/>
        </w:rPr>
        <w:t>202</w:t>
      </w:r>
      <w:r w:rsidR="00C55CF1">
        <w:rPr>
          <w:rFonts w:asciiTheme="minorHAnsi" w:eastAsia="Times New Roman" w:hAnsiTheme="minorHAnsi" w:cs="Arial"/>
          <w:b/>
          <w:bCs/>
          <w:sz w:val="24"/>
          <w:szCs w:val="24"/>
          <w:lang w:eastAsia="en-GB"/>
        </w:rPr>
        <w:t>1</w:t>
      </w:r>
      <w:r w:rsidR="00B33709" w:rsidRPr="00D8194D">
        <w:rPr>
          <w:rFonts w:asciiTheme="minorHAnsi" w:eastAsia="Times New Roman" w:hAnsiTheme="minorHAnsi" w:cs="Arial"/>
          <w:b/>
          <w:bCs/>
          <w:sz w:val="24"/>
          <w:szCs w:val="24"/>
          <w:lang w:eastAsia="en-GB"/>
        </w:rPr>
        <w:t xml:space="preserve"> </w:t>
      </w:r>
    </w:p>
    <w:p w14:paraId="0A68605A" w14:textId="154E4576" w:rsidR="006A5240" w:rsidRDefault="00330040" w:rsidP="00E42F5B">
      <w:pPr>
        <w:ind w:left="0" w:firstLine="0"/>
        <w:rPr>
          <w:rFonts w:asciiTheme="minorHAnsi" w:eastAsia="Times New Roman" w:hAnsiTheme="minorHAnsi" w:cs="Arial"/>
          <w:bCs/>
          <w:i/>
          <w:sz w:val="20"/>
          <w:szCs w:val="20"/>
          <w:lang w:eastAsia="en-GB"/>
        </w:rPr>
      </w:pPr>
      <w:r w:rsidRPr="00167681">
        <w:rPr>
          <w:rFonts w:asciiTheme="minorHAnsi" w:eastAsia="Times New Roman" w:hAnsiTheme="minorHAnsi" w:cs="Arial"/>
          <w:bCs/>
          <w:i/>
          <w:sz w:val="20"/>
          <w:szCs w:val="20"/>
          <w:lang w:eastAsia="en-GB"/>
        </w:rPr>
        <w:t>(CHF ‘000s, includes possible rounding differences)</w:t>
      </w:r>
    </w:p>
    <w:p w14:paraId="3E955E92" w14:textId="7047CB28" w:rsidR="00A431A2" w:rsidRDefault="00A431A2" w:rsidP="00E42F5B">
      <w:pPr>
        <w:ind w:left="0" w:firstLine="0"/>
        <w:rPr>
          <w:rFonts w:asciiTheme="minorHAnsi" w:eastAsia="Times New Roman" w:hAnsiTheme="minorHAnsi" w:cs="Arial"/>
          <w:b/>
          <w:bCs/>
          <w:lang w:eastAsia="en-GB"/>
        </w:rPr>
      </w:pPr>
    </w:p>
    <w:tbl>
      <w:tblPr>
        <w:tblW w:w="14312" w:type="dxa"/>
        <w:tblLayout w:type="fixed"/>
        <w:tblLook w:val="04A0" w:firstRow="1" w:lastRow="0" w:firstColumn="1" w:lastColumn="0" w:noHBand="0" w:noVBand="1"/>
      </w:tblPr>
      <w:tblGrid>
        <w:gridCol w:w="4983"/>
        <w:gridCol w:w="1554"/>
        <w:gridCol w:w="1555"/>
        <w:gridCol w:w="1555"/>
        <w:gridCol w:w="1555"/>
        <w:gridCol w:w="1555"/>
        <w:gridCol w:w="1555"/>
      </w:tblGrid>
      <w:tr w:rsidR="003E3939" w:rsidRPr="003E3939" w14:paraId="441D9AD4" w14:textId="77777777" w:rsidTr="008B645E">
        <w:trPr>
          <w:cantSplit/>
          <w:tblHeader/>
        </w:trPr>
        <w:tc>
          <w:tcPr>
            <w:tcW w:w="4983" w:type="dxa"/>
            <w:tcBorders>
              <w:top w:val="single" w:sz="4" w:space="0" w:color="auto"/>
              <w:left w:val="single" w:sz="4" w:space="0" w:color="auto"/>
              <w:bottom w:val="nil"/>
              <w:right w:val="nil"/>
            </w:tcBorders>
            <w:shd w:val="clear" w:color="000000" w:fill="D6E3BC"/>
            <w:vAlign w:val="center"/>
            <w:hideMark/>
          </w:tcPr>
          <w:p w14:paraId="06BAC0FC" w14:textId="77777777" w:rsidR="003E3939" w:rsidRPr="003E3939" w:rsidRDefault="003E3939" w:rsidP="00834FE6">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2021 Ramsar Budget</w:t>
            </w:r>
            <w:r w:rsidRPr="003E3939">
              <w:rPr>
                <w:rFonts w:eastAsia="Times New Roman" w:cs="Calibri"/>
                <w:b/>
                <w:bCs/>
                <w:color w:val="000000"/>
                <w:sz w:val="20"/>
                <w:szCs w:val="20"/>
                <w:lang w:eastAsia="en-GB"/>
              </w:rPr>
              <w:br/>
            </w:r>
            <w:r w:rsidRPr="003E3939">
              <w:rPr>
                <w:rFonts w:eastAsia="Times New Roman" w:cs="Calibri"/>
                <w:b/>
                <w:bCs/>
                <w:color w:val="000000"/>
                <w:sz w:val="20"/>
                <w:szCs w:val="20"/>
                <w:lang w:eastAsia="en-GB"/>
              </w:rPr>
              <w:br/>
              <w:t>COP13 Approved</w:t>
            </w:r>
          </w:p>
        </w:tc>
        <w:tc>
          <w:tcPr>
            <w:tcW w:w="1554" w:type="dxa"/>
            <w:tcBorders>
              <w:top w:val="single" w:sz="4" w:space="0" w:color="auto"/>
              <w:left w:val="single" w:sz="4" w:space="0" w:color="auto"/>
              <w:bottom w:val="nil"/>
              <w:right w:val="single" w:sz="4" w:space="0" w:color="auto"/>
            </w:tcBorders>
            <w:shd w:val="clear" w:color="000000" w:fill="D6E3BC"/>
            <w:vAlign w:val="center"/>
            <w:hideMark/>
          </w:tcPr>
          <w:p w14:paraId="458A403D" w14:textId="77777777" w:rsidR="003E3939" w:rsidRPr="003E3939" w:rsidRDefault="003E3939" w:rsidP="00834FE6">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Approved budget (COP13-approved)</w:t>
            </w:r>
          </w:p>
        </w:tc>
        <w:tc>
          <w:tcPr>
            <w:tcW w:w="1555" w:type="dxa"/>
            <w:tcBorders>
              <w:top w:val="single" w:sz="4" w:space="0" w:color="auto"/>
              <w:left w:val="nil"/>
              <w:bottom w:val="nil"/>
              <w:right w:val="single" w:sz="4" w:space="0" w:color="auto"/>
            </w:tcBorders>
            <w:shd w:val="clear" w:color="000000" w:fill="D6E3BC"/>
            <w:vAlign w:val="center"/>
            <w:hideMark/>
          </w:tcPr>
          <w:p w14:paraId="63CF42F1" w14:textId="77777777" w:rsidR="003E3939" w:rsidRPr="003E3939" w:rsidRDefault="003E3939" w:rsidP="00834FE6">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Authorised use of surplus COP13 XIII.2 (for 2020)</w:t>
            </w:r>
          </w:p>
        </w:tc>
        <w:tc>
          <w:tcPr>
            <w:tcW w:w="1555" w:type="dxa"/>
            <w:tcBorders>
              <w:top w:val="single" w:sz="4" w:space="0" w:color="auto"/>
              <w:left w:val="single" w:sz="4" w:space="0" w:color="auto"/>
              <w:bottom w:val="nil"/>
              <w:right w:val="single" w:sz="4" w:space="0" w:color="auto"/>
            </w:tcBorders>
            <w:shd w:val="clear" w:color="000000" w:fill="D6E3BC"/>
            <w:vAlign w:val="center"/>
            <w:hideMark/>
          </w:tcPr>
          <w:p w14:paraId="21480F23" w14:textId="77777777" w:rsidR="003E3939" w:rsidRPr="003E3939" w:rsidRDefault="003E3939" w:rsidP="00834FE6">
            <w:pPr>
              <w:ind w:left="0" w:firstLine="0"/>
              <w:jc w:val="center"/>
              <w:rPr>
                <w:rFonts w:eastAsia="Times New Roman" w:cs="Calibri"/>
                <w:b/>
                <w:bCs/>
                <w:sz w:val="20"/>
                <w:szCs w:val="20"/>
                <w:lang w:eastAsia="en-GB"/>
              </w:rPr>
            </w:pPr>
            <w:r w:rsidRPr="003E3939">
              <w:rPr>
                <w:rFonts w:eastAsia="Times New Roman" w:cs="Calibri"/>
                <w:b/>
                <w:bCs/>
                <w:sz w:val="20"/>
                <w:szCs w:val="20"/>
                <w:lang w:eastAsia="en-GB"/>
              </w:rPr>
              <w:t>Pre-committed 2020 to be spent in 2021</w:t>
            </w:r>
          </w:p>
        </w:tc>
        <w:tc>
          <w:tcPr>
            <w:tcW w:w="1555" w:type="dxa"/>
            <w:tcBorders>
              <w:top w:val="single" w:sz="4" w:space="0" w:color="auto"/>
              <w:left w:val="nil"/>
              <w:bottom w:val="nil"/>
              <w:right w:val="single" w:sz="4" w:space="0" w:color="auto"/>
            </w:tcBorders>
            <w:shd w:val="clear" w:color="000000" w:fill="D6E3BC"/>
            <w:vAlign w:val="center"/>
            <w:hideMark/>
          </w:tcPr>
          <w:p w14:paraId="647987A8" w14:textId="424DDCE1" w:rsidR="003E3939" w:rsidRPr="003E3939" w:rsidRDefault="003E3939" w:rsidP="00834FE6">
            <w:pPr>
              <w:ind w:left="0" w:firstLine="0"/>
              <w:jc w:val="center"/>
              <w:rPr>
                <w:rFonts w:eastAsia="Times New Roman" w:cs="Calibri"/>
                <w:b/>
                <w:bCs/>
                <w:sz w:val="20"/>
                <w:szCs w:val="20"/>
                <w:lang w:eastAsia="en-GB"/>
              </w:rPr>
            </w:pPr>
            <w:r w:rsidRPr="003E3939">
              <w:rPr>
                <w:rFonts w:eastAsia="Times New Roman" w:cs="Calibri"/>
                <w:b/>
                <w:bCs/>
                <w:sz w:val="20"/>
                <w:szCs w:val="20"/>
                <w:lang w:eastAsia="en-GB"/>
              </w:rPr>
              <w:t xml:space="preserve">Uncommitted </w:t>
            </w:r>
            <w:r w:rsidR="00591B93">
              <w:rPr>
                <w:rFonts w:eastAsia="Times New Roman" w:cs="Calibri"/>
                <w:b/>
                <w:bCs/>
                <w:sz w:val="20"/>
                <w:szCs w:val="20"/>
                <w:lang w:eastAsia="en-GB"/>
              </w:rPr>
              <w:t xml:space="preserve">savings </w:t>
            </w:r>
            <w:r w:rsidR="00072AE1">
              <w:rPr>
                <w:rFonts w:eastAsia="Times New Roman" w:cs="Calibri"/>
                <w:b/>
                <w:bCs/>
                <w:sz w:val="20"/>
                <w:szCs w:val="20"/>
                <w:lang w:eastAsia="en-GB"/>
              </w:rPr>
              <w:t>2020</w:t>
            </w:r>
            <w:r w:rsidR="00591B93">
              <w:rPr>
                <w:rFonts w:eastAsia="Times New Roman" w:cs="Calibri"/>
                <w:b/>
                <w:bCs/>
                <w:sz w:val="20"/>
                <w:szCs w:val="20"/>
                <w:lang w:eastAsia="en-GB"/>
              </w:rPr>
              <w:t xml:space="preserve"> </w:t>
            </w:r>
            <w:r w:rsidRPr="003E3939">
              <w:rPr>
                <w:rFonts w:eastAsia="Times New Roman" w:cs="Calibri"/>
                <w:b/>
                <w:bCs/>
                <w:sz w:val="20"/>
                <w:szCs w:val="20"/>
                <w:lang w:eastAsia="en-GB"/>
              </w:rPr>
              <w:t>carr</w:t>
            </w:r>
            <w:r w:rsidR="00591B93">
              <w:rPr>
                <w:rFonts w:eastAsia="Times New Roman" w:cs="Calibri"/>
                <w:b/>
                <w:bCs/>
                <w:sz w:val="20"/>
                <w:szCs w:val="20"/>
                <w:lang w:eastAsia="en-GB"/>
              </w:rPr>
              <w:t>ied</w:t>
            </w:r>
            <w:r w:rsidRPr="003E3939">
              <w:rPr>
                <w:rFonts w:eastAsia="Times New Roman" w:cs="Calibri"/>
                <w:b/>
                <w:bCs/>
                <w:sz w:val="20"/>
                <w:szCs w:val="20"/>
                <w:lang w:eastAsia="en-GB"/>
              </w:rPr>
              <w:t xml:space="preserve"> forward to 2021</w:t>
            </w:r>
          </w:p>
        </w:tc>
        <w:tc>
          <w:tcPr>
            <w:tcW w:w="1555" w:type="dxa"/>
            <w:tcBorders>
              <w:top w:val="single" w:sz="4" w:space="0" w:color="auto"/>
              <w:left w:val="nil"/>
              <w:bottom w:val="nil"/>
              <w:right w:val="single" w:sz="4" w:space="0" w:color="auto"/>
            </w:tcBorders>
            <w:shd w:val="clear" w:color="000000" w:fill="D6E3BC"/>
            <w:vAlign w:val="center"/>
            <w:hideMark/>
          </w:tcPr>
          <w:p w14:paraId="25561EFC" w14:textId="77777777" w:rsidR="003E3939" w:rsidRPr="003E3939" w:rsidRDefault="003E3939" w:rsidP="00834FE6">
            <w:pPr>
              <w:ind w:left="0" w:firstLine="0"/>
              <w:jc w:val="center"/>
              <w:rPr>
                <w:rFonts w:eastAsia="Times New Roman" w:cs="Calibri"/>
                <w:b/>
                <w:bCs/>
                <w:sz w:val="20"/>
                <w:szCs w:val="20"/>
                <w:lang w:eastAsia="en-GB"/>
              </w:rPr>
            </w:pPr>
            <w:r w:rsidRPr="003E3939">
              <w:rPr>
                <w:rFonts w:eastAsia="Times New Roman" w:cs="Calibri"/>
                <w:b/>
                <w:bCs/>
                <w:sz w:val="20"/>
                <w:szCs w:val="20"/>
                <w:lang w:eastAsia="en-GB"/>
              </w:rPr>
              <w:t>Proposal Secretariat budget 2021 adjustments to COP13 approved budget*</w:t>
            </w:r>
          </w:p>
        </w:tc>
        <w:tc>
          <w:tcPr>
            <w:tcW w:w="1555" w:type="dxa"/>
            <w:tcBorders>
              <w:top w:val="single" w:sz="4" w:space="0" w:color="auto"/>
              <w:left w:val="nil"/>
              <w:bottom w:val="nil"/>
              <w:right w:val="single" w:sz="4" w:space="0" w:color="auto"/>
            </w:tcBorders>
            <w:shd w:val="clear" w:color="000000" w:fill="D6E3BC"/>
            <w:vAlign w:val="center"/>
            <w:hideMark/>
          </w:tcPr>
          <w:p w14:paraId="73EF730C" w14:textId="77777777" w:rsidR="003E3939" w:rsidRPr="003E3939" w:rsidRDefault="003E3939" w:rsidP="00834FE6">
            <w:pPr>
              <w:ind w:left="0" w:firstLine="0"/>
              <w:jc w:val="center"/>
              <w:rPr>
                <w:rFonts w:eastAsia="Times New Roman" w:cs="Calibri"/>
                <w:b/>
                <w:bCs/>
                <w:sz w:val="20"/>
                <w:szCs w:val="20"/>
                <w:lang w:eastAsia="en-GB"/>
              </w:rPr>
            </w:pPr>
            <w:r w:rsidRPr="003E3939">
              <w:rPr>
                <w:rFonts w:eastAsia="Times New Roman" w:cs="Calibri"/>
                <w:b/>
                <w:bCs/>
                <w:sz w:val="20"/>
                <w:szCs w:val="20"/>
                <w:lang w:eastAsia="en-GB"/>
              </w:rPr>
              <w:t>Total 2021 budget (with uncommitted carry forward)</w:t>
            </w:r>
          </w:p>
        </w:tc>
      </w:tr>
      <w:tr w:rsidR="008B645E" w:rsidRPr="003E3939" w14:paraId="3A34F492" w14:textId="77777777" w:rsidTr="008B645E">
        <w:trPr>
          <w:cantSplit/>
          <w:tblHeader/>
        </w:trPr>
        <w:tc>
          <w:tcPr>
            <w:tcW w:w="4983" w:type="dxa"/>
            <w:tcBorders>
              <w:top w:val="nil"/>
              <w:left w:val="single" w:sz="4" w:space="0" w:color="auto"/>
              <w:right w:val="nil"/>
            </w:tcBorders>
            <w:shd w:val="clear" w:color="000000" w:fill="D6E3BC"/>
            <w:vAlign w:val="center"/>
            <w:hideMark/>
          </w:tcPr>
          <w:p w14:paraId="06322FE3" w14:textId="77777777" w:rsidR="008B645E" w:rsidRPr="003E3939" w:rsidRDefault="008B645E" w:rsidP="003E3939">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CHF ‘000s</w:t>
            </w:r>
          </w:p>
        </w:tc>
        <w:tc>
          <w:tcPr>
            <w:tcW w:w="1554" w:type="dxa"/>
            <w:tcBorders>
              <w:top w:val="nil"/>
              <w:left w:val="single" w:sz="4" w:space="0" w:color="auto"/>
              <w:bottom w:val="single" w:sz="4" w:space="0" w:color="000000"/>
              <w:right w:val="single" w:sz="4" w:space="0" w:color="auto"/>
            </w:tcBorders>
            <w:shd w:val="clear" w:color="000000" w:fill="D6E3BC"/>
            <w:vAlign w:val="center"/>
            <w:hideMark/>
          </w:tcPr>
          <w:p w14:paraId="4E63DAE6" w14:textId="77777777" w:rsidR="008B645E" w:rsidRPr="003E3939" w:rsidRDefault="008B645E" w:rsidP="003E3939">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(A)</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67D195AD" w14:textId="77777777" w:rsidR="008B645E" w:rsidRPr="003E3939" w:rsidRDefault="008B645E" w:rsidP="003E3939">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(B)</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6E67EBCE" w14:textId="77777777" w:rsidR="008B645E" w:rsidRPr="003E3939" w:rsidRDefault="008B645E" w:rsidP="003E3939">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(C)</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23CE3580" w14:textId="77777777" w:rsidR="008B645E" w:rsidRPr="003E3939" w:rsidRDefault="008B645E" w:rsidP="003E3939">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(D)</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38E72620" w14:textId="77777777" w:rsidR="008B645E" w:rsidRPr="003E3939" w:rsidRDefault="008B645E" w:rsidP="003E3939">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(E)</w:t>
            </w:r>
          </w:p>
        </w:tc>
        <w:tc>
          <w:tcPr>
            <w:tcW w:w="1555" w:type="dxa"/>
            <w:tcBorders>
              <w:top w:val="nil"/>
              <w:left w:val="single" w:sz="4" w:space="0" w:color="auto"/>
              <w:bottom w:val="single" w:sz="4" w:space="0" w:color="000000"/>
              <w:right w:val="single" w:sz="4" w:space="0" w:color="auto"/>
            </w:tcBorders>
            <w:shd w:val="clear" w:color="000000" w:fill="D6E3BC"/>
            <w:vAlign w:val="center"/>
            <w:hideMark/>
          </w:tcPr>
          <w:p w14:paraId="16AE5D10" w14:textId="77777777" w:rsidR="008B645E" w:rsidRPr="003E3939" w:rsidRDefault="008B645E" w:rsidP="003E3939">
            <w:pPr>
              <w:ind w:left="0" w:firstLine="0"/>
              <w:jc w:val="center"/>
              <w:rPr>
                <w:rFonts w:eastAsia="Times New Roman" w:cs="Calibri"/>
                <w:b/>
                <w:bCs/>
                <w:color w:val="000000"/>
                <w:sz w:val="20"/>
                <w:szCs w:val="20"/>
                <w:lang w:eastAsia="en-GB"/>
              </w:rPr>
            </w:pPr>
            <w:r w:rsidRPr="003E3939">
              <w:rPr>
                <w:rFonts w:eastAsia="Times New Roman" w:cs="Calibri"/>
                <w:b/>
                <w:bCs/>
                <w:color w:val="000000"/>
                <w:sz w:val="20"/>
                <w:szCs w:val="20"/>
                <w:lang w:eastAsia="en-GB"/>
              </w:rPr>
              <w:t>(F=A+B+C+D+E)</w:t>
            </w:r>
          </w:p>
        </w:tc>
      </w:tr>
      <w:tr w:rsidR="003E3939" w:rsidRPr="003E3939" w14:paraId="105CE1FE" w14:textId="77777777" w:rsidTr="00834FE6">
        <w:trPr>
          <w:trHeight w:val="270"/>
        </w:trPr>
        <w:tc>
          <w:tcPr>
            <w:tcW w:w="4983" w:type="dxa"/>
            <w:tcBorders>
              <w:top w:val="single" w:sz="4" w:space="0" w:color="auto"/>
              <w:left w:val="single" w:sz="4" w:space="0" w:color="auto"/>
              <w:bottom w:val="single" w:sz="4" w:space="0" w:color="auto"/>
              <w:right w:val="nil"/>
            </w:tcBorders>
            <w:shd w:val="clear" w:color="auto" w:fill="auto"/>
            <w:noWrap/>
            <w:vAlign w:val="center"/>
            <w:hideMark/>
          </w:tcPr>
          <w:p w14:paraId="1879A6E3" w14:textId="77777777" w:rsidR="003E3939" w:rsidRPr="003E3939" w:rsidRDefault="003E3939" w:rsidP="003E3939">
            <w:pPr>
              <w:ind w:left="0" w:firstLine="0"/>
              <w:rPr>
                <w:rFonts w:eastAsia="Times New Roman" w:cs="Calibri"/>
                <w:b/>
                <w:bCs/>
                <w:color w:val="000000"/>
                <w:sz w:val="20"/>
                <w:szCs w:val="20"/>
                <w:lang w:eastAsia="en-GB"/>
              </w:rPr>
            </w:pPr>
            <w:r w:rsidRPr="003E3939">
              <w:rPr>
                <w:rFonts w:eastAsia="Times New Roman" w:cs="Calibri"/>
                <w:b/>
                <w:bCs/>
                <w:color w:val="000000"/>
                <w:sz w:val="20"/>
                <w:szCs w:val="20"/>
                <w:lang w:eastAsia="en-GB"/>
              </w:rPr>
              <w:t>INCOME</w:t>
            </w:r>
          </w:p>
        </w:tc>
        <w:tc>
          <w:tcPr>
            <w:tcW w:w="1554" w:type="dxa"/>
            <w:tcBorders>
              <w:top w:val="nil"/>
              <w:left w:val="nil"/>
              <w:bottom w:val="nil"/>
              <w:right w:val="nil"/>
            </w:tcBorders>
            <w:shd w:val="clear" w:color="auto" w:fill="auto"/>
            <w:noWrap/>
            <w:vAlign w:val="center"/>
            <w:hideMark/>
          </w:tcPr>
          <w:p w14:paraId="0E040E90" w14:textId="77777777" w:rsidR="003E3939" w:rsidRPr="003E3939" w:rsidRDefault="003E3939" w:rsidP="003E3939">
            <w:pPr>
              <w:ind w:left="0" w:firstLine="0"/>
              <w:rPr>
                <w:rFonts w:eastAsia="Times New Roman" w:cs="Calibri"/>
                <w:b/>
                <w:bCs/>
                <w:color w:val="000000"/>
                <w:sz w:val="20"/>
                <w:szCs w:val="20"/>
                <w:lang w:eastAsia="en-GB"/>
              </w:rPr>
            </w:pPr>
          </w:p>
        </w:tc>
        <w:tc>
          <w:tcPr>
            <w:tcW w:w="1555" w:type="dxa"/>
            <w:tcBorders>
              <w:top w:val="nil"/>
              <w:left w:val="nil"/>
              <w:bottom w:val="nil"/>
              <w:right w:val="nil"/>
            </w:tcBorders>
            <w:shd w:val="clear" w:color="auto" w:fill="auto"/>
            <w:noWrap/>
            <w:vAlign w:val="center"/>
            <w:hideMark/>
          </w:tcPr>
          <w:p w14:paraId="4CAF685A" w14:textId="77777777" w:rsidR="003E3939" w:rsidRPr="003E3939" w:rsidRDefault="003E3939" w:rsidP="003E3939">
            <w:pPr>
              <w:ind w:left="0" w:firstLine="0"/>
              <w:rPr>
                <w:rFonts w:ascii="Times New Roman" w:eastAsia="Times New Roman" w:hAnsi="Times New Roman"/>
                <w:sz w:val="20"/>
                <w:szCs w:val="20"/>
                <w:lang w:eastAsia="en-GB"/>
              </w:rPr>
            </w:pPr>
          </w:p>
        </w:tc>
        <w:tc>
          <w:tcPr>
            <w:tcW w:w="1555" w:type="dxa"/>
            <w:tcBorders>
              <w:top w:val="nil"/>
              <w:left w:val="single" w:sz="4" w:space="0" w:color="auto"/>
              <w:bottom w:val="nil"/>
              <w:right w:val="nil"/>
            </w:tcBorders>
            <w:shd w:val="clear" w:color="auto" w:fill="auto"/>
            <w:noWrap/>
            <w:vAlign w:val="bottom"/>
            <w:hideMark/>
          </w:tcPr>
          <w:p w14:paraId="00432DD3"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c>
          <w:tcPr>
            <w:tcW w:w="1555" w:type="dxa"/>
            <w:tcBorders>
              <w:top w:val="nil"/>
              <w:left w:val="nil"/>
              <w:bottom w:val="nil"/>
              <w:right w:val="nil"/>
            </w:tcBorders>
            <w:shd w:val="clear" w:color="auto" w:fill="auto"/>
            <w:noWrap/>
            <w:vAlign w:val="bottom"/>
            <w:hideMark/>
          </w:tcPr>
          <w:p w14:paraId="2C41A50F" w14:textId="77777777" w:rsidR="003E3939" w:rsidRPr="003E3939" w:rsidRDefault="003E3939" w:rsidP="003E3939">
            <w:pPr>
              <w:ind w:left="0" w:firstLine="0"/>
              <w:rPr>
                <w:rFonts w:ascii="Arial" w:eastAsia="Times New Roman" w:hAnsi="Arial" w:cs="Arial"/>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6D660D22" w14:textId="77777777" w:rsidR="003E3939" w:rsidRPr="003E3939" w:rsidRDefault="003E3939" w:rsidP="003E3939">
            <w:pPr>
              <w:ind w:left="0" w:firstLine="0"/>
              <w:rPr>
                <w:rFonts w:ascii="Times New Roman" w:eastAsia="Times New Roman" w:hAnsi="Times New Roman"/>
                <w:sz w:val="20"/>
                <w:szCs w:val="20"/>
                <w:lang w:eastAsia="en-GB"/>
              </w:rPr>
            </w:pPr>
          </w:p>
        </w:tc>
        <w:tc>
          <w:tcPr>
            <w:tcW w:w="1555" w:type="dxa"/>
            <w:tcBorders>
              <w:top w:val="single" w:sz="4" w:space="0" w:color="auto"/>
              <w:left w:val="nil"/>
              <w:bottom w:val="single" w:sz="4" w:space="0" w:color="auto"/>
              <w:right w:val="single" w:sz="4" w:space="0" w:color="auto"/>
            </w:tcBorders>
            <w:shd w:val="clear" w:color="auto" w:fill="auto"/>
            <w:noWrap/>
            <w:vAlign w:val="bottom"/>
            <w:hideMark/>
          </w:tcPr>
          <w:p w14:paraId="7F12D406"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r>
      <w:tr w:rsidR="003E3939" w:rsidRPr="003E3939" w14:paraId="592AFC0E"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65691D5"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Parties’ Contributions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522579E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3,779</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2C3B2B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B2D9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4A007B9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F91D46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88F368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3,779</w:t>
            </w:r>
          </w:p>
        </w:tc>
      </w:tr>
      <w:tr w:rsidR="003E3939" w:rsidRPr="003E3939" w14:paraId="3A9B91BA"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114955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Voluntary contributions</w:t>
            </w:r>
          </w:p>
        </w:tc>
        <w:tc>
          <w:tcPr>
            <w:tcW w:w="1554" w:type="dxa"/>
            <w:tcBorders>
              <w:top w:val="nil"/>
              <w:left w:val="nil"/>
              <w:bottom w:val="single" w:sz="4" w:space="0" w:color="auto"/>
              <w:right w:val="single" w:sz="4" w:space="0" w:color="auto"/>
            </w:tcBorders>
            <w:shd w:val="clear" w:color="auto" w:fill="auto"/>
            <w:noWrap/>
            <w:vAlign w:val="center"/>
            <w:hideMark/>
          </w:tcPr>
          <w:p w14:paraId="6DB1951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1,065</w:t>
            </w:r>
          </w:p>
        </w:tc>
        <w:tc>
          <w:tcPr>
            <w:tcW w:w="1555" w:type="dxa"/>
            <w:tcBorders>
              <w:top w:val="nil"/>
              <w:left w:val="nil"/>
              <w:bottom w:val="single" w:sz="4" w:space="0" w:color="auto"/>
              <w:right w:val="single" w:sz="4" w:space="0" w:color="auto"/>
            </w:tcBorders>
            <w:shd w:val="clear" w:color="auto" w:fill="auto"/>
            <w:noWrap/>
            <w:vAlign w:val="center"/>
            <w:hideMark/>
          </w:tcPr>
          <w:p w14:paraId="50B1DB4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2358AD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B1CD48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C11A77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5C516BA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1,065</w:t>
            </w:r>
          </w:p>
        </w:tc>
      </w:tr>
      <w:tr w:rsidR="003E3939" w:rsidRPr="003E3939" w14:paraId="70D9F485"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D325EEA"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Income Tax</w:t>
            </w:r>
          </w:p>
        </w:tc>
        <w:tc>
          <w:tcPr>
            <w:tcW w:w="1554" w:type="dxa"/>
            <w:tcBorders>
              <w:top w:val="nil"/>
              <w:left w:val="nil"/>
              <w:bottom w:val="single" w:sz="4" w:space="0" w:color="auto"/>
              <w:right w:val="single" w:sz="4" w:space="0" w:color="auto"/>
            </w:tcBorders>
            <w:shd w:val="clear" w:color="auto" w:fill="auto"/>
            <w:noWrap/>
            <w:vAlign w:val="center"/>
            <w:hideMark/>
          </w:tcPr>
          <w:p w14:paraId="107028C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225</w:t>
            </w:r>
          </w:p>
        </w:tc>
        <w:tc>
          <w:tcPr>
            <w:tcW w:w="1555" w:type="dxa"/>
            <w:tcBorders>
              <w:top w:val="nil"/>
              <w:left w:val="nil"/>
              <w:bottom w:val="single" w:sz="4" w:space="0" w:color="auto"/>
              <w:right w:val="single" w:sz="4" w:space="0" w:color="auto"/>
            </w:tcBorders>
            <w:shd w:val="clear" w:color="auto" w:fill="auto"/>
            <w:noWrap/>
            <w:vAlign w:val="center"/>
            <w:hideMark/>
          </w:tcPr>
          <w:p w14:paraId="39D81D6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2ECAF1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D06DC4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B3E5DF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2A7F7C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225</w:t>
            </w:r>
          </w:p>
        </w:tc>
      </w:tr>
      <w:tr w:rsidR="003E3939" w:rsidRPr="003E3939" w14:paraId="26D8305F"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48680FC"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Other Income (including Interest Income)</w:t>
            </w:r>
          </w:p>
        </w:tc>
        <w:tc>
          <w:tcPr>
            <w:tcW w:w="1554" w:type="dxa"/>
            <w:tcBorders>
              <w:top w:val="nil"/>
              <w:left w:val="nil"/>
              <w:bottom w:val="single" w:sz="4" w:space="0" w:color="auto"/>
              <w:right w:val="single" w:sz="4" w:space="0" w:color="auto"/>
            </w:tcBorders>
            <w:shd w:val="clear" w:color="auto" w:fill="auto"/>
            <w:noWrap/>
            <w:vAlign w:val="center"/>
            <w:hideMark/>
          </w:tcPr>
          <w:p w14:paraId="670F285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12</w:t>
            </w:r>
          </w:p>
        </w:tc>
        <w:tc>
          <w:tcPr>
            <w:tcW w:w="1555" w:type="dxa"/>
            <w:tcBorders>
              <w:top w:val="nil"/>
              <w:left w:val="nil"/>
              <w:bottom w:val="single" w:sz="4" w:space="0" w:color="auto"/>
              <w:right w:val="single" w:sz="4" w:space="0" w:color="auto"/>
            </w:tcBorders>
            <w:shd w:val="clear" w:color="auto" w:fill="auto"/>
            <w:noWrap/>
            <w:vAlign w:val="center"/>
            <w:hideMark/>
          </w:tcPr>
          <w:p w14:paraId="4B8ADDD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96CFA8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4D34E0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965459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D2BDD5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12</w:t>
            </w:r>
          </w:p>
        </w:tc>
      </w:tr>
      <w:tr w:rsidR="003E3939" w:rsidRPr="003E3939" w14:paraId="4D55D8C9"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4EC48274" w14:textId="77777777" w:rsidR="003E3939" w:rsidRPr="003E3939" w:rsidRDefault="003E3939" w:rsidP="003E3939">
            <w:pPr>
              <w:ind w:left="0" w:firstLine="0"/>
              <w:rPr>
                <w:rFonts w:eastAsia="Times New Roman" w:cs="Calibri"/>
                <w:b/>
                <w:bCs/>
                <w:color w:val="000000"/>
                <w:sz w:val="20"/>
                <w:szCs w:val="20"/>
                <w:lang w:eastAsia="en-GB"/>
              </w:rPr>
            </w:pPr>
            <w:r w:rsidRPr="003E3939">
              <w:rPr>
                <w:rFonts w:eastAsia="Times New Roman" w:cs="Calibri"/>
                <w:b/>
                <w:bCs/>
                <w:color w:val="000000"/>
                <w:sz w:val="20"/>
                <w:szCs w:val="20"/>
                <w:lang w:eastAsia="en-GB"/>
              </w:rPr>
              <w:t>TOTAL INCOME</w:t>
            </w:r>
          </w:p>
        </w:tc>
        <w:tc>
          <w:tcPr>
            <w:tcW w:w="1554" w:type="dxa"/>
            <w:tcBorders>
              <w:top w:val="nil"/>
              <w:left w:val="nil"/>
              <w:bottom w:val="single" w:sz="4" w:space="0" w:color="auto"/>
              <w:right w:val="single" w:sz="4" w:space="0" w:color="auto"/>
            </w:tcBorders>
            <w:shd w:val="clear" w:color="000000" w:fill="EAF1DD"/>
            <w:noWrap/>
            <w:vAlign w:val="center"/>
            <w:hideMark/>
          </w:tcPr>
          <w:p w14:paraId="63CD8317"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5,081</w:t>
            </w:r>
          </w:p>
        </w:tc>
        <w:tc>
          <w:tcPr>
            <w:tcW w:w="1555" w:type="dxa"/>
            <w:tcBorders>
              <w:top w:val="nil"/>
              <w:left w:val="nil"/>
              <w:bottom w:val="single" w:sz="4" w:space="0" w:color="auto"/>
              <w:right w:val="single" w:sz="4" w:space="0" w:color="auto"/>
            </w:tcBorders>
            <w:shd w:val="clear" w:color="000000" w:fill="EAF1DD"/>
            <w:noWrap/>
            <w:vAlign w:val="center"/>
            <w:hideMark/>
          </w:tcPr>
          <w:p w14:paraId="5E2AF939"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31A7E0D1"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106874FD"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125CD731"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 </w:t>
            </w:r>
          </w:p>
        </w:tc>
        <w:tc>
          <w:tcPr>
            <w:tcW w:w="1555" w:type="dxa"/>
            <w:tcBorders>
              <w:top w:val="nil"/>
              <w:left w:val="nil"/>
              <w:bottom w:val="single" w:sz="4" w:space="0" w:color="auto"/>
              <w:right w:val="single" w:sz="4" w:space="0" w:color="auto"/>
            </w:tcBorders>
            <w:shd w:val="clear" w:color="000000" w:fill="EAF1DD"/>
            <w:noWrap/>
            <w:vAlign w:val="center"/>
            <w:hideMark/>
          </w:tcPr>
          <w:p w14:paraId="0EB83F02"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5,081</w:t>
            </w:r>
          </w:p>
        </w:tc>
      </w:tr>
      <w:tr w:rsidR="003E3939" w:rsidRPr="003E3939" w14:paraId="2832480B" w14:textId="77777777" w:rsidTr="00834FE6">
        <w:trPr>
          <w:trHeight w:val="270"/>
        </w:trPr>
        <w:tc>
          <w:tcPr>
            <w:tcW w:w="4983" w:type="dxa"/>
            <w:tcBorders>
              <w:top w:val="nil"/>
              <w:left w:val="single" w:sz="4" w:space="0" w:color="auto"/>
              <w:bottom w:val="nil"/>
              <w:right w:val="nil"/>
            </w:tcBorders>
            <w:shd w:val="clear" w:color="auto" w:fill="auto"/>
            <w:noWrap/>
            <w:vAlign w:val="bottom"/>
            <w:hideMark/>
          </w:tcPr>
          <w:p w14:paraId="716A8589"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c>
          <w:tcPr>
            <w:tcW w:w="1554" w:type="dxa"/>
            <w:tcBorders>
              <w:top w:val="nil"/>
              <w:left w:val="nil"/>
              <w:bottom w:val="nil"/>
              <w:right w:val="nil"/>
            </w:tcBorders>
            <w:shd w:val="clear" w:color="auto" w:fill="auto"/>
            <w:noWrap/>
            <w:vAlign w:val="bottom"/>
            <w:hideMark/>
          </w:tcPr>
          <w:p w14:paraId="1E91D5E7" w14:textId="77777777" w:rsidR="003E3939" w:rsidRPr="003E3939" w:rsidRDefault="003E3939" w:rsidP="003E3939">
            <w:pPr>
              <w:ind w:left="0" w:firstLine="0"/>
              <w:rPr>
                <w:rFonts w:ascii="Arial" w:eastAsia="Times New Roman" w:hAnsi="Arial" w:cs="Arial"/>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5BC7BF94" w14:textId="77777777" w:rsidR="003E3939" w:rsidRPr="003E3939" w:rsidRDefault="003E3939" w:rsidP="003E3939">
            <w:pPr>
              <w:ind w:left="0" w:firstLine="0"/>
              <w:rPr>
                <w:rFonts w:ascii="Times New Roman" w:eastAsia="Times New Roman" w:hAnsi="Times New Roman"/>
                <w:sz w:val="20"/>
                <w:szCs w:val="20"/>
                <w:lang w:eastAsia="en-GB"/>
              </w:rPr>
            </w:pPr>
          </w:p>
        </w:tc>
        <w:tc>
          <w:tcPr>
            <w:tcW w:w="1555" w:type="dxa"/>
            <w:tcBorders>
              <w:top w:val="nil"/>
              <w:left w:val="single" w:sz="4" w:space="0" w:color="auto"/>
              <w:bottom w:val="nil"/>
              <w:right w:val="nil"/>
            </w:tcBorders>
            <w:shd w:val="clear" w:color="auto" w:fill="auto"/>
            <w:noWrap/>
            <w:vAlign w:val="bottom"/>
            <w:hideMark/>
          </w:tcPr>
          <w:p w14:paraId="190D879B"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c>
          <w:tcPr>
            <w:tcW w:w="1555" w:type="dxa"/>
            <w:tcBorders>
              <w:top w:val="nil"/>
              <w:left w:val="single" w:sz="4" w:space="0" w:color="auto"/>
              <w:bottom w:val="nil"/>
              <w:right w:val="nil"/>
            </w:tcBorders>
            <w:shd w:val="clear" w:color="auto" w:fill="auto"/>
            <w:noWrap/>
            <w:vAlign w:val="bottom"/>
            <w:hideMark/>
          </w:tcPr>
          <w:p w14:paraId="3717FBEF"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c>
          <w:tcPr>
            <w:tcW w:w="1555" w:type="dxa"/>
            <w:tcBorders>
              <w:top w:val="nil"/>
              <w:left w:val="single" w:sz="4" w:space="0" w:color="auto"/>
              <w:bottom w:val="nil"/>
              <w:right w:val="nil"/>
            </w:tcBorders>
            <w:shd w:val="clear" w:color="auto" w:fill="auto"/>
            <w:noWrap/>
            <w:vAlign w:val="bottom"/>
            <w:hideMark/>
          </w:tcPr>
          <w:p w14:paraId="2E28C343"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c>
          <w:tcPr>
            <w:tcW w:w="1555" w:type="dxa"/>
            <w:tcBorders>
              <w:top w:val="nil"/>
              <w:left w:val="nil"/>
              <w:bottom w:val="nil"/>
              <w:right w:val="single" w:sz="4" w:space="0" w:color="auto"/>
            </w:tcBorders>
            <w:shd w:val="clear" w:color="auto" w:fill="auto"/>
            <w:noWrap/>
            <w:vAlign w:val="bottom"/>
            <w:hideMark/>
          </w:tcPr>
          <w:p w14:paraId="6CD7A718"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r>
      <w:tr w:rsidR="003E3939" w:rsidRPr="003E3939" w14:paraId="67292860" w14:textId="77777777" w:rsidTr="00834FE6">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2C029F72" w14:textId="77777777" w:rsidR="003E3939" w:rsidRPr="003E3939" w:rsidRDefault="003E3939" w:rsidP="003E3939">
            <w:pPr>
              <w:ind w:left="0" w:firstLine="0"/>
              <w:rPr>
                <w:rFonts w:eastAsia="Times New Roman" w:cs="Calibri"/>
                <w:b/>
                <w:bCs/>
                <w:color w:val="000000"/>
                <w:sz w:val="20"/>
                <w:szCs w:val="20"/>
                <w:lang w:eastAsia="en-GB"/>
              </w:rPr>
            </w:pPr>
            <w:r w:rsidRPr="003E3939">
              <w:rPr>
                <w:rFonts w:eastAsia="Times New Roman" w:cs="Calibri"/>
                <w:b/>
                <w:bCs/>
                <w:color w:val="000000"/>
                <w:sz w:val="20"/>
                <w:szCs w:val="20"/>
                <w:lang w:eastAsia="en-GB"/>
              </w:rPr>
              <w:t>EXPENDITURES</w:t>
            </w:r>
          </w:p>
        </w:tc>
        <w:tc>
          <w:tcPr>
            <w:tcW w:w="1554" w:type="dxa"/>
            <w:tcBorders>
              <w:top w:val="nil"/>
              <w:left w:val="nil"/>
              <w:bottom w:val="nil"/>
              <w:right w:val="nil"/>
            </w:tcBorders>
            <w:shd w:val="clear" w:color="auto" w:fill="auto"/>
            <w:noWrap/>
            <w:vAlign w:val="bottom"/>
            <w:hideMark/>
          </w:tcPr>
          <w:p w14:paraId="7BAB9CE5" w14:textId="77777777" w:rsidR="003E3939" w:rsidRPr="003E3939" w:rsidRDefault="003E3939" w:rsidP="003E3939">
            <w:pPr>
              <w:ind w:left="0" w:firstLine="0"/>
              <w:rPr>
                <w:rFonts w:eastAsia="Times New Roman" w:cs="Calibri"/>
                <w:b/>
                <w:bCs/>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01AEFE26" w14:textId="77777777" w:rsidR="003E3939" w:rsidRPr="003E3939" w:rsidRDefault="003E3939" w:rsidP="003E3939">
            <w:pPr>
              <w:ind w:left="0" w:firstLine="0"/>
              <w:rPr>
                <w:rFonts w:ascii="Times New Roman" w:eastAsia="Times New Roman" w:hAnsi="Times New Roman"/>
                <w:sz w:val="20"/>
                <w:szCs w:val="20"/>
                <w:lang w:eastAsia="en-GB"/>
              </w:rPr>
            </w:pPr>
          </w:p>
        </w:tc>
        <w:tc>
          <w:tcPr>
            <w:tcW w:w="1555" w:type="dxa"/>
            <w:tcBorders>
              <w:top w:val="nil"/>
              <w:left w:val="single" w:sz="4" w:space="0" w:color="auto"/>
              <w:bottom w:val="nil"/>
              <w:right w:val="nil"/>
            </w:tcBorders>
            <w:shd w:val="clear" w:color="auto" w:fill="auto"/>
            <w:noWrap/>
            <w:vAlign w:val="bottom"/>
            <w:hideMark/>
          </w:tcPr>
          <w:p w14:paraId="31589C25"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c>
          <w:tcPr>
            <w:tcW w:w="1555" w:type="dxa"/>
            <w:tcBorders>
              <w:top w:val="nil"/>
              <w:left w:val="nil"/>
              <w:bottom w:val="nil"/>
              <w:right w:val="nil"/>
            </w:tcBorders>
            <w:shd w:val="clear" w:color="auto" w:fill="auto"/>
            <w:noWrap/>
            <w:vAlign w:val="bottom"/>
            <w:hideMark/>
          </w:tcPr>
          <w:p w14:paraId="2F6B14F5" w14:textId="77777777" w:rsidR="003E3939" w:rsidRPr="003E3939" w:rsidRDefault="003E3939" w:rsidP="003E3939">
            <w:pPr>
              <w:ind w:left="0" w:firstLine="0"/>
              <w:rPr>
                <w:rFonts w:ascii="Arial" w:eastAsia="Times New Roman" w:hAnsi="Arial" w:cs="Arial"/>
                <w:color w:val="000000"/>
                <w:sz w:val="20"/>
                <w:szCs w:val="20"/>
                <w:lang w:eastAsia="en-GB"/>
              </w:rPr>
            </w:pPr>
          </w:p>
        </w:tc>
        <w:tc>
          <w:tcPr>
            <w:tcW w:w="1555" w:type="dxa"/>
            <w:tcBorders>
              <w:top w:val="nil"/>
              <w:left w:val="nil"/>
              <w:bottom w:val="nil"/>
              <w:right w:val="nil"/>
            </w:tcBorders>
            <w:shd w:val="clear" w:color="auto" w:fill="auto"/>
            <w:noWrap/>
            <w:vAlign w:val="bottom"/>
            <w:hideMark/>
          </w:tcPr>
          <w:p w14:paraId="3A0FB97F" w14:textId="77777777" w:rsidR="003E3939" w:rsidRPr="003E3939" w:rsidRDefault="003E3939" w:rsidP="003E3939">
            <w:pPr>
              <w:ind w:left="0" w:firstLine="0"/>
              <w:rPr>
                <w:rFonts w:ascii="Times New Roman" w:eastAsia="Times New Roman" w:hAnsi="Times New Roman"/>
                <w:sz w:val="20"/>
                <w:szCs w:val="20"/>
                <w:lang w:eastAsia="en-GB"/>
              </w:rPr>
            </w:pPr>
          </w:p>
        </w:tc>
        <w:tc>
          <w:tcPr>
            <w:tcW w:w="1555" w:type="dxa"/>
            <w:tcBorders>
              <w:top w:val="nil"/>
              <w:left w:val="nil"/>
              <w:bottom w:val="single" w:sz="4" w:space="0" w:color="auto"/>
              <w:right w:val="single" w:sz="4" w:space="0" w:color="auto"/>
            </w:tcBorders>
            <w:shd w:val="clear" w:color="auto" w:fill="auto"/>
            <w:noWrap/>
            <w:vAlign w:val="bottom"/>
            <w:hideMark/>
          </w:tcPr>
          <w:p w14:paraId="084C0359" w14:textId="77777777" w:rsidR="003E3939" w:rsidRPr="003E3939" w:rsidRDefault="003E3939" w:rsidP="003E3939">
            <w:pPr>
              <w:ind w:left="0" w:firstLine="0"/>
              <w:rPr>
                <w:rFonts w:ascii="Arial" w:eastAsia="Times New Roman" w:hAnsi="Arial" w:cs="Arial"/>
                <w:color w:val="000000"/>
                <w:sz w:val="20"/>
                <w:szCs w:val="20"/>
                <w:lang w:eastAsia="en-GB"/>
              </w:rPr>
            </w:pPr>
            <w:r w:rsidRPr="003E3939">
              <w:rPr>
                <w:rFonts w:ascii="Arial" w:eastAsia="Times New Roman" w:hAnsi="Arial" w:cs="Arial"/>
                <w:color w:val="000000"/>
                <w:sz w:val="20"/>
                <w:szCs w:val="20"/>
                <w:lang w:eastAsia="en-GB"/>
              </w:rPr>
              <w:t> </w:t>
            </w:r>
          </w:p>
        </w:tc>
      </w:tr>
      <w:tr w:rsidR="003E3939" w:rsidRPr="003E3939" w14:paraId="067E01F4"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30FEC9CF" w14:textId="71E280FA"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A.  Secretariat Senior Management</w:t>
            </w:r>
            <w:r w:rsidR="009D009D">
              <w:rPr>
                <w:rFonts w:eastAsia="Times New Roman" w:cs="Calibri"/>
                <w:color w:val="000000"/>
                <w:sz w:val="20"/>
                <w:szCs w:val="20"/>
                <w:lang w:eastAsia="en-GB"/>
              </w:rPr>
              <w:t xml:space="preserve"> and Governance</w:t>
            </w:r>
          </w:p>
        </w:tc>
        <w:tc>
          <w:tcPr>
            <w:tcW w:w="1554" w:type="dxa"/>
            <w:tcBorders>
              <w:top w:val="single" w:sz="4" w:space="0" w:color="auto"/>
              <w:left w:val="nil"/>
              <w:bottom w:val="single" w:sz="4" w:space="0" w:color="auto"/>
              <w:right w:val="single" w:sz="4" w:space="0" w:color="auto"/>
            </w:tcBorders>
            <w:shd w:val="clear" w:color="000000" w:fill="EAF1DD"/>
            <w:noWrap/>
            <w:vAlign w:val="center"/>
            <w:hideMark/>
          </w:tcPr>
          <w:p w14:paraId="3990E95C"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1,033</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07553C20"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w:t>
            </w:r>
          </w:p>
        </w:tc>
        <w:tc>
          <w:tcPr>
            <w:tcW w:w="155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6BF058F6"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7E91BE30"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175</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383A3C23"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18</w:t>
            </w:r>
          </w:p>
        </w:tc>
        <w:tc>
          <w:tcPr>
            <w:tcW w:w="1555" w:type="dxa"/>
            <w:tcBorders>
              <w:top w:val="nil"/>
              <w:left w:val="nil"/>
              <w:bottom w:val="single" w:sz="4" w:space="0" w:color="auto"/>
              <w:right w:val="single" w:sz="4" w:space="0" w:color="auto"/>
            </w:tcBorders>
            <w:shd w:val="clear" w:color="000000" w:fill="EAF1DD"/>
            <w:noWrap/>
            <w:vAlign w:val="center"/>
            <w:hideMark/>
          </w:tcPr>
          <w:p w14:paraId="2D21D891"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1,231</w:t>
            </w:r>
          </w:p>
        </w:tc>
      </w:tr>
      <w:tr w:rsidR="003E3939" w:rsidRPr="003E3939" w14:paraId="489971F2"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B1DA7DD"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Salaries and social costs</w:t>
            </w:r>
          </w:p>
        </w:tc>
        <w:tc>
          <w:tcPr>
            <w:tcW w:w="1554" w:type="dxa"/>
            <w:tcBorders>
              <w:top w:val="nil"/>
              <w:left w:val="nil"/>
              <w:bottom w:val="single" w:sz="4" w:space="0" w:color="auto"/>
              <w:right w:val="single" w:sz="4" w:space="0" w:color="auto"/>
            </w:tcBorders>
            <w:shd w:val="clear" w:color="auto" w:fill="auto"/>
            <w:noWrap/>
            <w:vAlign w:val="center"/>
            <w:hideMark/>
          </w:tcPr>
          <w:p w14:paraId="2BBD81E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942</w:t>
            </w:r>
          </w:p>
        </w:tc>
        <w:tc>
          <w:tcPr>
            <w:tcW w:w="1555" w:type="dxa"/>
            <w:tcBorders>
              <w:top w:val="nil"/>
              <w:left w:val="nil"/>
              <w:bottom w:val="single" w:sz="4" w:space="0" w:color="auto"/>
              <w:right w:val="single" w:sz="4" w:space="0" w:color="auto"/>
            </w:tcBorders>
            <w:shd w:val="clear" w:color="auto" w:fill="auto"/>
            <w:noWrap/>
            <w:vAlign w:val="center"/>
            <w:hideMark/>
          </w:tcPr>
          <w:p w14:paraId="202E6D9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02F037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6A3A167"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101</w:t>
            </w:r>
          </w:p>
        </w:tc>
        <w:tc>
          <w:tcPr>
            <w:tcW w:w="1555" w:type="dxa"/>
            <w:tcBorders>
              <w:top w:val="nil"/>
              <w:left w:val="nil"/>
              <w:bottom w:val="single" w:sz="4" w:space="0" w:color="auto"/>
              <w:right w:val="single" w:sz="4" w:space="0" w:color="auto"/>
            </w:tcBorders>
            <w:shd w:val="clear" w:color="auto" w:fill="auto"/>
            <w:noWrap/>
            <w:vAlign w:val="center"/>
            <w:hideMark/>
          </w:tcPr>
          <w:p w14:paraId="1E73AB5C"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5681B21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1,103</w:t>
            </w:r>
          </w:p>
        </w:tc>
      </w:tr>
      <w:tr w:rsidR="003E3939" w:rsidRPr="003E3939" w14:paraId="2B7E70B4"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1B53219"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Other employment benefits</w:t>
            </w:r>
          </w:p>
        </w:tc>
        <w:tc>
          <w:tcPr>
            <w:tcW w:w="1554" w:type="dxa"/>
            <w:tcBorders>
              <w:top w:val="nil"/>
              <w:left w:val="nil"/>
              <w:bottom w:val="single" w:sz="4" w:space="0" w:color="auto"/>
              <w:right w:val="single" w:sz="4" w:space="0" w:color="auto"/>
            </w:tcBorders>
            <w:shd w:val="clear" w:color="auto" w:fill="auto"/>
            <w:noWrap/>
            <w:vAlign w:val="center"/>
            <w:hideMark/>
          </w:tcPr>
          <w:p w14:paraId="5F4FB31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51</w:t>
            </w:r>
          </w:p>
        </w:tc>
        <w:tc>
          <w:tcPr>
            <w:tcW w:w="1555" w:type="dxa"/>
            <w:tcBorders>
              <w:top w:val="nil"/>
              <w:left w:val="nil"/>
              <w:bottom w:val="single" w:sz="4" w:space="0" w:color="auto"/>
              <w:right w:val="single" w:sz="4" w:space="0" w:color="auto"/>
            </w:tcBorders>
            <w:shd w:val="clear" w:color="auto" w:fill="auto"/>
            <w:noWrap/>
            <w:vAlign w:val="center"/>
            <w:hideMark/>
          </w:tcPr>
          <w:p w14:paraId="0F9724B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678D3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3A24F6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04CDE28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(42)</w:t>
            </w:r>
          </w:p>
        </w:tc>
        <w:tc>
          <w:tcPr>
            <w:tcW w:w="1555" w:type="dxa"/>
            <w:tcBorders>
              <w:top w:val="nil"/>
              <w:left w:val="nil"/>
              <w:bottom w:val="single" w:sz="4" w:space="0" w:color="auto"/>
              <w:right w:val="single" w:sz="4" w:space="0" w:color="auto"/>
            </w:tcBorders>
            <w:shd w:val="clear" w:color="auto" w:fill="auto"/>
            <w:noWrap/>
            <w:vAlign w:val="center"/>
            <w:hideMark/>
          </w:tcPr>
          <w:p w14:paraId="6977943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59</w:t>
            </w:r>
          </w:p>
        </w:tc>
      </w:tr>
      <w:tr w:rsidR="003E3939" w:rsidRPr="003E3939" w14:paraId="7359AB25"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CB677FE"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Travel</w:t>
            </w:r>
          </w:p>
        </w:tc>
        <w:tc>
          <w:tcPr>
            <w:tcW w:w="1554" w:type="dxa"/>
            <w:tcBorders>
              <w:top w:val="nil"/>
              <w:left w:val="nil"/>
              <w:bottom w:val="single" w:sz="4" w:space="0" w:color="auto"/>
              <w:right w:val="single" w:sz="4" w:space="0" w:color="auto"/>
            </w:tcBorders>
            <w:shd w:val="clear" w:color="auto" w:fill="auto"/>
            <w:noWrap/>
            <w:vAlign w:val="center"/>
            <w:hideMark/>
          </w:tcPr>
          <w:p w14:paraId="6F26138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40</w:t>
            </w:r>
          </w:p>
        </w:tc>
        <w:tc>
          <w:tcPr>
            <w:tcW w:w="1555" w:type="dxa"/>
            <w:tcBorders>
              <w:top w:val="nil"/>
              <w:left w:val="nil"/>
              <w:bottom w:val="single" w:sz="4" w:space="0" w:color="auto"/>
              <w:right w:val="single" w:sz="4" w:space="0" w:color="auto"/>
            </w:tcBorders>
            <w:shd w:val="clear" w:color="auto" w:fill="auto"/>
            <w:noWrap/>
            <w:vAlign w:val="center"/>
            <w:hideMark/>
          </w:tcPr>
          <w:p w14:paraId="22C7199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B2DE56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AC6DD6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24</w:t>
            </w:r>
          </w:p>
        </w:tc>
        <w:tc>
          <w:tcPr>
            <w:tcW w:w="1555" w:type="dxa"/>
            <w:tcBorders>
              <w:top w:val="nil"/>
              <w:left w:val="nil"/>
              <w:bottom w:val="single" w:sz="4" w:space="0" w:color="auto"/>
              <w:right w:val="single" w:sz="4" w:space="0" w:color="auto"/>
            </w:tcBorders>
            <w:shd w:val="clear" w:color="auto" w:fill="auto"/>
            <w:noWrap/>
            <w:vAlign w:val="center"/>
            <w:hideMark/>
          </w:tcPr>
          <w:p w14:paraId="7A27FC8C"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B10820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69</w:t>
            </w:r>
          </w:p>
        </w:tc>
      </w:tr>
      <w:tr w:rsidR="003E3939" w:rsidRPr="003E3939" w14:paraId="52AFB0DD"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5207B1D6"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B.  Resource Mobilization and Outreach</w:t>
            </w:r>
          </w:p>
        </w:tc>
        <w:tc>
          <w:tcPr>
            <w:tcW w:w="1554" w:type="dxa"/>
            <w:tcBorders>
              <w:top w:val="nil"/>
              <w:left w:val="nil"/>
              <w:bottom w:val="single" w:sz="4" w:space="0" w:color="auto"/>
              <w:right w:val="single" w:sz="4" w:space="0" w:color="auto"/>
            </w:tcBorders>
            <w:shd w:val="clear" w:color="000000" w:fill="EAF1DD"/>
            <w:noWrap/>
            <w:vAlign w:val="center"/>
            <w:hideMark/>
          </w:tcPr>
          <w:p w14:paraId="0C3E4147"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603</w:t>
            </w:r>
          </w:p>
        </w:tc>
        <w:tc>
          <w:tcPr>
            <w:tcW w:w="1555" w:type="dxa"/>
            <w:tcBorders>
              <w:top w:val="nil"/>
              <w:left w:val="nil"/>
              <w:bottom w:val="single" w:sz="4" w:space="0" w:color="auto"/>
              <w:right w:val="single" w:sz="4" w:space="0" w:color="auto"/>
            </w:tcBorders>
            <w:shd w:val="clear" w:color="000000" w:fill="EAF1DD"/>
            <w:noWrap/>
            <w:vAlign w:val="center"/>
            <w:hideMark/>
          </w:tcPr>
          <w:p w14:paraId="4B5AEECC"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45</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7A87F62D"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164</w:t>
            </w:r>
          </w:p>
        </w:tc>
        <w:tc>
          <w:tcPr>
            <w:tcW w:w="1555" w:type="dxa"/>
            <w:tcBorders>
              <w:top w:val="nil"/>
              <w:left w:val="nil"/>
              <w:bottom w:val="single" w:sz="4" w:space="0" w:color="auto"/>
              <w:right w:val="single" w:sz="4" w:space="0" w:color="auto"/>
            </w:tcBorders>
            <w:shd w:val="clear" w:color="000000" w:fill="EAF1DD"/>
            <w:noWrap/>
            <w:vAlign w:val="center"/>
            <w:hideMark/>
          </w:tcPr>
          <w:p w14:paraId="4CFC1608"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50</w:t>
            </w:r>
          </w:p>
        </w:tc>
        <w:tc>
          <w:tcPr>
            <w:tcW w:w="1555" w:type="dxa"/>
            <w:tcBorders>
              <w:top w:val="nil"/>
              <w:left w:val="nil"/>
              <w:bottom w:val="single" w:sz="4" w:space="0" w:color="auto"/>
              <w:right w:val="single" w:sz="4" w:space="0" w:color="auto"/>
            </w:tcBorders>
            <w:shd w:val="clear" w:color="000000" w:fill="EAF1DD"/>
            <w:noWrap/>
            <w:vAlign w:val="center"/>
            <w:hideMark/>
          </w:tcPr>
          <w:p w14:paraId="7DE60A24"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(70)</w:t>
            </w:r>
          </w:p>
        </w:tc>
        <w:tc>
          <w:tcPr>
            <w:tcW w:w="1555" w:type="dxa"/>
            <w:tcBorders>
              <w:top w:val="nil"/>
              <w:left w:val="nil"/>
              <w:bottom w:val="single" w:sz="4" w:space="0" w:color="auto"/>
              <w:right w:val="single" w:sz="4" w:space="0" w:color="auto"/>
            </w:tcBorders>
            <w:shd w:val="clear" w:color="000000" w:fill="EAF1DD"/>
            <w:noWrap/>
            <w:vAlign w:val="center"/>
            <w:hideMark/>
          </w:tcPr>
          <w:p w14:paraId="7D201417"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791</w:t>
            </w:r>
          </w:p>
        </w:tc>
      </w:tr>
      <w:tr w:rsidR="003E3939" w:rsidRPr="003E3939" w14:paraId="08C7B0A6"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920E787"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Salaries and social costs</w:t>
            </w:r>
          </w:p>
        </w:tc>
        <w:tc>
          <w:tcPr>
            <w:tcW w:w="1554" w:type="dxa"/>
            <w:tcBorders>
              <w:top w:val="nil"/>
              <w:left w:val="nil"/>
              <w:bottom w:val="single" w:sz="4" w:space="0" w:color="auto"/>
              <w:right w:val="single" w:sz="4" w:space="0" w:color="auto"/>
            </w:tcBorders>
            <w:shd w:val="clear" w:color="auto" w:fill="auto"/>
            <w:noWrap/>
            <w:vAlign w:val="center"/>
            <w:hideMark/>
          </w:tcPr>
          <w:p w14:paraId="3E5EE65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462</w:t>
            </w:r>
          </w:p>
        </w:tc>
        <w:tc>
          <w:tcPr>
            <w:tcW w:w="1555" w:type="dxa"/>
            <w:tcBorders>
              <w:top w:val="nil"/>
              <w:left w:val="nil"/>
              <w:bottom w:val="single" w:sz="4" w:space="0" w:color="auto"/>
              <w:right w:val="single" w:sz="4" w:space="0" w:color="auto"/>
            </w:tcBorders>
            <w:shd w:val="clear" w:color="auto" w:fill="auto"/>
            <w:noWrap/>
            <w:vAlign w:val="center"/>
            <w:hideMark/>
          </w:tcPr>
          <w:p w14:paraId="59B71ED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28429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08FF5D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0DD8436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(70)</w:t>
            </w:r>
          </w:p>
        </w:tc>
        <w:tc>
          <w:tcPr>
            <w:tcW w:w="1555" w:type="dxa"/>
            <w:tcBorders>
              <w:top w:val="nil"/>
              <w:left w:val="nil"/>
              <w:bottom w:val="single" w:sz="4" w:space="0" w:color="auto"/>
              <w:right w:val="single" w:sz="4" w:space="0" w:color="auto"/>
            </w:tcBorders>
            <w:shd w:val="clear" w:color="auto" w:fill="auto"/>
            <w:noWrap/>
            <w:vAlign w:val="center"/>
            <w:hideMark/>
          </w:tcPr>
          <w:p w14:paraId="3C9DB22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427</w:t>
            </w:r>
          </w:p>
        </w:tc>
      </w:tr>
      <w:tr w:rsidR="003E3939" w:rsidRPr="003E3939" w14:paraId="0F593523"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FD0922A"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Other employment benefits</w:t>
            </w:r>
          </w:p>
        </w:tc>
        <w:tc>
          <w:tcPr>
            <w:tcW w:w="1554" w:type="dxa"/>
            <w:tcBorders>
              <w:top w:val="nil"/>
              <w:left w:val="nil"/>
              <w:bottom w:val="single" w:sz="4" w:space="0" w:color="auto"/>
              <w:right w:val="single" w:sz="4" w:space="0" w:color="auto"/>
            </w:tcBorders>
            <w:shd w:val="clear" w:color="auto" w:fill="auto"/>
            <w:noWrap/>
            <w:vAlign w:val="center"/>
            <w:hideMark/>
          </w:tcPr>
          <w:p w14:paraId="2F84488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w:t>
            </w:r>
          </w:p>
        </w:tc>
        <w:tc>
          <w:tcPr>
            <w:tcW w:w="1555" w:type="dxa"/>
            <w:tcBorders>
              <w:top w:val="nil"/>
              <w:left w:val="nil"/>
              <w:bottom w:val="single" w:sz="4" w:space="0" w:color="auto"/>
              <w:right w:val="single" w:sz="4" w:space="0" w:color="auto"/>
            </w:tcBorders>
            <w:shd w:val="clear" w:color="auto" w:fill="auto"/>
            <w:noWrap/>
            <w:vAlign w:val="center"/>
            <w:hideMark/>
          </w:tcPr>
          <w:p w14:paraId="00DE181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34DF52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0C3B79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2F67AF12"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7B3FF6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14</w:t>
            </w:r>
          </w:p>
        </w:tc>
      </w:tr>
      <w:tr w:rsidR="003E3939" w:rsidRPr="003E3939" w14:paraId="476672F2" w14:textId="77777777" w:rsidTr="00834FE6">
        <w:trPr>
          <w:trHeight w:val="24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C582DB8"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CEPA Program</w:t>
            </w:r>
          </w:p>
        </w:tc>
        <w:tc>
          <w:tcPr>
            <w:tcW w:w="1554" w:type="dxa"/>
            <w:tcBorders>
              <w:top w:val="nil"/>
              <w:left w:val="nil"/>
              <w:bottom w:val="single" w:sz="4" w:space="0" w:color="auto"/>
              <w:right w:val="single" w:sz="4" w:space="0" w:color="auto"/>
            </w:tcBorders>
            <w:shd w:val="clear" w:color="auto" w:fill="auto"/>
            <w:noWrap/>
            <w:vAlign w:val="center"/>
            <w:hideMark/>
          </w:tcPr>
          <w:p w14:paraId="0DDED9E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30</w:t>
            </w:r>
          </w:p>
        </w:tc>
        <w:tc>
          <w:tcPr>
            <w:tcW w:w="1555" w:type="dxa"/>
            <w:tcBorders>
              <w:top w:val="nil"/>
              <w:left w:val="nil"/>
              <w:bottom w:val="single" w:sz="4" w:space="0" w:color="auto"/>
              <w:right w:val="single" w:sz="4" w:space="0" w:color="auto"/>
            </w:tcBorders>
            <w:shd w:val="clear" w:color="auto" w:fill="auto"/>
            <w:noWrap/>
            <w:vAlign w:val="center"/>
            <w:hideMark/>
          </w:tcPr>
          <w:p w14:paraId="395AB96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88784A0"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53</w:t>
            </w:r>
          </w:p>
        </w:tc>
        <w:tc>
          <w:tcPr>
            <w:tcW w:w="1555" w:type="dxa"/>
            <w:tcBorders>
              <w:top w:val="nil"/>
              <w:left w:val="nil"/>
              <w:bottom w:val="single" w:sz="4" w:space="0" w:color="auto"/>
              <w:right w:val="single" w:sz="4" w:space="0" w:color="auto"/>
            </w:tcBorders>
            <w:shd w:val="clear" w:color="auto" w:fill="auto"/>
            <w:noWrap/>
            <w:vAlign w:val="center"/>
            <w:hideMark/>
          </w:tcPr>
          <w:p w14:paraId="31F7D0A8"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B0C9167"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C32E41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83</w:t>
            </w:r>
          </w:p>
        </w:tc>
      </w:tr>
      <w:tr w:rsidR="003E3939" w:rsidRPr="003E3939" w14:paraId="160CE1C0" w14:textId="77777777" w:rsidTr="00834FE6">
        <w:trPr>
          <w:trHeight w:val="525"/>
        </w:trPr>
        <w:tc>
          <w:tcPr>
            <w:tcW w:w="4983" w:type="dxa"/>
            <w:tcBorders>
              <w:top w:val="nil"/>
              <w:left w:val="single" w:sz="4" w:space="0" w:color="auto"/>
              <w:bottom w:val="single" w:sz="4" w:space="0" w:color="auto"/>
              <w:right w:val="single" w:sz="4" w:space="0" w:color="auto"/>
            </w:tcBorders>
            <w:shd w:val="clear" w:color="auto" w:fill="auto"/>
            <w:vAlign w:val="center"/>
            <w:hideMark/>
          </w:tcPr>
          <w:p w14:paraId="40548727"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Comms, Translations, Publications and Reporting Implementation</w:t>
            </w:r>
          </w:p>
        </w:tc>
        <w:tc>
          <w:tcPr>
            <w:tcW w:w="1554" w:type="dxa"/>
            <w:tcBorders>
              <w:top w:val="nil"/>
              <w:left w:val="nil"/>
              <w:bottom w:val="single" w:sz="4" w:space="0" w:color="auto"/>
              <w:right w:val="single" w:sz="4" w:space="0" w:color="auto"/>
            </w:tcBorders>
            <w:shd w:val="clear" w:color="auto" w:fill="auto"/>
            <w:noWrap/>
            <w:vAlign w:val="center"/>
            <w:hideMark/>
          </w:tcPr>
          <w:p w14:paraId="05D1C9D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5C38514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79328BF"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79</w:t>
            </w:r>
          </w:p>
        </w:tc>
        <w:tc>
          <w:tcPr>
            <w:tcW w:w="1555" w:type="dxa"/>
            <w:tcBorders>
              <w:top w:val="nil"/>
              <w:left w:val="nil"/>
              <w:bottom w:val="single" w:sz="4" w:space="0" w:color="auto"/>
              <w:right w:val="single" w:sz="4" w:space="0" w:color="auto"/>
            </w:tcBorders>
            <w:shd w:val="clear" w:color="auto" w:fill="auto"/>
            <w:noWrap/>
            <w:vAlign w:val="center"/>
            <w:hideMark/>
          </w:tcPr>
          <w:p w14:paraId="638F0F4F"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24B4782"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D02F8B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179</w:t>
            </w:r>
          </w:p>
        </w:tc>
      </w:tr>
      <w:tr w:rsidR="003E3939" w:rsidRPr="003E3939" w14:paraId="64341EC7" w14:textId="77777777" w:rsidTr="00834FE6">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073D35A1"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WWD</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523F21C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AFFA34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28191D"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20</w:t>
            </w:r>
          </w:p>
        </w:tc>
        <w:tc>
          <w:tcPr>
            <w:tcW w:w="1555" w:type="dxa"/>
            <w:tcBorders>
              <w:top w:val="nil"/>
              <w:left w:val="nil"/>
              <w:bottom w:val="single" w:sz="4" w:space="0" w:color="auto"/>
              <w:right w:val="single" w:sz="4" w:space="0" w:color="auto"/>
            </w:tcBorders>
            <w:shd w:val="clear" w:color="auto" w:fill="auto"/>
            <w:noWrap/>
            <w:vAlign w:val="center"/>
            <w:hideMark/>
          </w:tcPr>
          <w:p w14:paraId="49582F19"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713A973"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85872A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20</w:t>
            </w:r>
          </w:p>
        </w:tc>
      </w:tr>
      <w:tr w:rsidR="003E3939" w:rsidRPr="003E3939" w14:paraId="7A675981" w14:textId="77777777" w:rsidTr="00834FE6">
        <w:trPr>
          <w:trHeight w:val="270"/>
        </w:trPr>
        <w:tc>
          <w:tcPr>
            <w:tcW w:w="4983" w:type="dxa"/>
            <w:tcBorders>
              <w:top w:val="single" w:sz="4" w:space="0" w:color="auto"/>
              <w:left w:val="single" w:sz="4" w:space="0" w:color="auto"/>
              <w:bottom w:val="single" w:sz="4" w:space="0" w:color="auto"/>
              <w:right w:val="nil"/>
            </w:tcBorders>
            <w:shd w:val="clear" w:color="auto" w:fill="auto"/>
            <w:noWrap/>
            <w:vAlign w:val="center"/>
            <w:hideMark/>
          </w:tcPr>
          <w:p w14:paraId="3E8DA085"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50th Anniversary 2021</w:t>
            </w:r>
          </w:p>
        </w:tc>
        <w:tc>
          <w:tcPr>
            <w:tcW w:w="15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53DB3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5E0CCE9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DCD32"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8</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595D14E"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F8B6484"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19C0B3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8</w:t>
            </w:r>
          </w:p>
        </w:tc>
      </w:tr>
      <w:tr w:rsidR="003E3939" w:rsidRPr="003E3939" w14:paraId="741D1681" w14:textId="77777777" w:rsidTr="008B645E">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94DC"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Web/IT support and Development</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0E18A47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36</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269922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92C8E"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4</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6BCEE826"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BACEC38"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33EF084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40</w:t>
            </w:r>
          </w:p>
        </w:tc>
      </w:tr>
      <w:tr w:rsidR="003E3939" w:rsidRPr="003E3939" w14:paraId="2C8FF51C" w14:textId="77777777" w:rsidTr="008B645E">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F55218"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lastRenderedPageBreak/>
              <w:t>Travel</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505B26A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53E7B16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CE41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A16A73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218A0B3"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25D9B8B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20</w:t>
            </w:r>
          </w:p>
        </w:tc>
      </w:tr>
      <w:tr w:rsidR="003E3939" w:rsidRPr="003E3939" w14:paraId="2F2F5131"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29BB0898"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C.  Regional Advice and Support</w:t>
            </w:r>
          </w:p>
        </w:tc>
        <w:tc>
          <w:tcPr>
            <w:tcW w:w="1554" w:type="dxa"/>
            <w:tcBorders>
              <w:top w:val="nil"/>
              <w:left w:val="nil"/>
              <w:bottom w:val="single" w:sz="4" w:space="0" w:color="auto"/>
              <w:right w:val="single" w:sz="4" w:space="0" w:color="auto"/>
            </w:tcBorders>
            <w:shd w:val="clear" w:color="000000" w:fill="EAF1DD"/>
            <w:noWrap/>
            <w:vAlign w:val="center"/>
            <w:hideMark/>
          </w:tcPr>
          <w:p w14:paraId="07456565"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1,361</w:t>
            </w:r>
          </w:p>
        </w:tc>
        <w:tc>
          <w:tcPr>
            <w:tcW w:w="1555" w:type="dxa"/>
            <w:tcBorders>
              <w:top w:val="nil"/>
              <w:left w:val="nil"/>
              <w:bottom w:val="single" w:sz="4" w:space="0" w:color="auto"/>
              <w:right w:val="single" w:sz="4" w:space="0" w:color="auto"/>
            </w:tcBorders>
            <w:shd w:val="clear" w:color="000000" w:fill="EAF1DD"/>
            <w:noWrap/>
            <w:vAlign w:val="center"/>
            <w:hideMark/>
          </w:tcPr>
          <w:p w14:paraId="0C4F93AF"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63E158B2"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96</w:t>
            </w:r>
          </w:p>
        </w:tc>
        <w:tc>
          <w:tcPr>
            <w:tcW w:w="1555" w:type="dxa"/>
            <w:tcBorders>
              <w:top w:val="nil"/>
              <w:left w:val="nil"/>
              <w:bottom w:val="single" w:sz="4" w:space="0" w:color="auto"/>
              <w:right w:val="single" w:sz="4" w:space="0" w:color="auto"/>
            </w:tcBorders>
            <w:shd w:val="clear" w:color="000000" w:fill="EAF1DD"/>
            <w:noWrap/>
            <w:vAlign w:val="center"/>
            <w:hideMark/>
          </w:tcPr>
          <w:p w14:paraId="57148060"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225</w:t>
            </w:r>
          </w:p>
        </w:tc>
        <w:tc>
          <w:tcPr>
            <w:tcW w:w="1555" w:type="dxa"/>
            <w:tcBorders>
              <w:top w:val="nil"/>
              <w:left w:val="nil"/>
              <w:bottom w:val="single" w:sz="4" w:space="0" w:color="auto"/>
              <w:right w:val="single" w:sz="4" w:space="0" w:color="auto"/>
            </w:tcBorders>
            <w:shd w:val="clear" w:color="000000" w:fill="EAF1DD"/>
            <w:noWrap/>
            <w:vAlign w:val="center"/>
            <w:hideMark/>
          </w:tcPr>
          <w:p w14:paraId="488DC94D"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(45)</w:t>
            </w:r>
          </w:p>
        </w:tc>
        <w:tc>
          <w:tcPr>
            <w:tcW w:w="1555" w:type="dxa"/>
            <w:tcBorders>
              <w:top w:val="nil"/>
              <w:left w:val="nil"/>
              <w:bottom w:val="single" w:sz="4" w:space="0" w:color="auto"/>
              <w:right w:val="single" w:sz="4" w:space="0" w:color="auto"/>
            </w:tcBorders>
            <w:shd w:val="clear" w:color="000000" w:fill="EAF1DD"/>
            <w:noWrap/>
            <w:vAlign w:val="center"/>
            <w:hideMark/>
          </w:tcPr>
          <w:p w14:paraId="0270746E"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1,647</w:t>
            </w:r>
          </w:p>
        </w:tc>
      </w:tr>
      <w:tr w:rsidR="003E3939" w:rsidRPr="003E3939" w14:paraId="5A29FF16"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54A853E"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Salaries and social costs</w:t>
            </w:r>
          </w:p>
        </w:tc>
        <w:tc>
          <w:tcPr>
            <w:tcW w:w="1554" w:type="dxa"/>
            <w:tcBorders>
              <w:top w:val="nil"/>
              <w:left w:val="nil"/>
              <w:bottom w:val="single" w:sz="4" w:space="0" w:color="auto"/>
              <w:right w:val="single" w:sz="4" w:space="0" w:color="auto"/>
            </w:tcBorders>
            <w:shd w:val="clear" w:color="auto" w:fill="auto"/>
            <w:noWrap/>
            <w:vAlign w:val="center"/>
            <w:hideMark/>
          </w:tcPr>
          <w:p w14:paraId="56E66E1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1,214</w:t>
            </w:r>
          </w:p>
        </w:tc>
        <w:tc>
          <w:tcPr>
            <w:tcW w:w="1555" w:type="dxa"/>
            <w:tcBorders>
              <w:top w:val="nil"/>
              <w:left w:val="nil"/>
              <w:bottom w:val="single" w:sz="4" w:space="0" w:color="auto"/>
              <w:right w:val="single" w:sz="4" w:space="0" w:color="auto"/>
            </w:tcBorders>
            <w:shd w:val="clear" w:color="auto" w:fill="auto"/>
            <w:noWrap/>
            <w:vAlign w:val="center"/>
            <w:hideMark/>
          </w:tcPr>
          <w:p w14:paraId="611A6F0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E213C8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C1ACAB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187</w:t>
            </w:r>
          </w:p>
        </w:tc>
        <w:tc>
          <w:tcPr>
            <w:tcW w:w="1555" w:type="dxa"/>
            <w:tcBorders>
              <w:top w:val="nil"/>
              <w:left w:val="nil"/>
              <w:bottom w:val="single" w:sz="4" w:space="0" w:color="auto"/>
              <w:right w:val="single" w:sz="4" w:space="0" w:color="auto"/>
            </w:tcBorders>
            <w:shd w:val="clear" w:color="auto" w:fill="auto"/>
            <w:noWrap/>
            <w:vAlign w:val="center"/>
            <w:hideMark/>
          </w:tcPr>
          <w:p w14:paraId="5AE0EFD4"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025D8E5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1,366</w:t>
            </w:r>
          </w:p>
        </w:tc>
      </w:tr>
      <w:tr w:rsidR="003E3939" w:rsidRPr="003E3939" w14:paraId="3127E8AF"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82BCF48"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Other employment benefits</w:t>
            </w:r>
          </w:p>
        </w:tc>
        <w:tc>
          <w:tcPr>
            <w:tcW w:w="1554" w:type="dxa"/>
            <w:tcBorders>
              <w:top w:val="nil"/>
              <w:left w:val="nil"/>
              <w:bottom w:val="single" w:sz="4" w:space="0" w:color="auto"/>
              <w:right w:val="single" w:sz="4" w:space="0" w:color="auto"/>
            </w:tcBorders>
            <w:shd w:val="clear" w:color="auto" w:fill="auto"/>
            <w:noWrap/>
            <w:vAlign w:val="center"/>
            <w:hideMark/>
          </w:tcPr>
          <w:p w14:paraId="63BBB0E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327F880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917DA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58D7F9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13</w:t>
            </w:r>
          </w:p>
        </w:tc>
        <w:tc>
          <w:tcPr>
            <w:tcW w:w="1555" w:type="dxa"/>
            <w:tcBorders>
              <w:top w:val="nil"/>
              <w:left w:val="nil"/>
              <w:bottom w:val="single" w:sz="4" w:space="0" w:color="auto"/>
              <w:right w:val="single" w:sz="4" w:space="0" w:color="auto"/>
            </w:tcBorders>
            <w:shd w:val="clear" w:color="auto" w:fill="auto"/>
            <w:noWrap/>
            <w:vAlign w:val="center"/>
            <w:hideMark/>
          </w:tcPr>
          <w:p w14:paraId="40640E6F" w14:textId="77777777" w:rsidR="003E3939" w:rsidRPr="003E3939" w:rsidRDefault="003E3939" w:rsidP="003E3939">
            <w:pPr>
              <w:ind w:left="0" w:firstLine="0"/>
              <w:rPr>
                <w:rFonts w:eastAsia="Times New Roman" w:cs="Calibri"/>
                <w:sz w:val="20"/>
                <w:szCs w:val="20"/>
                <w:lang w:eastAsia="en-GB"/>
              </w:rPr>
            </w:pPr>
            <w:r w:rsidRPr="003E3939">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598A7E9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84</w:t>
            </w:r>
          </w:p>
        </w:tc>
      </w:tr>
      <w:tr w:rsidR="003E3939" w:rsidRPr="003E3939" w14:paraId="6D0BB9B5"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3165C63"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Travel</w:t>
            </w:r>
          </w:p>
        </w:tc>
        <w:tc>
          <w:tcPr>
            <w:tcW w:w="1554" w:type="dxa"/>
            <w:tcBorders>
              <w:top w:val="nil"/>
              <w:left w:val="nil"/>
              <w:bottom w:val="single" w:sz="4" w:space="0" w:color="auto"/>
              <w:right w:val="single" w:sz="4" w:space="0" w:color="auto"/>
            </w:tcBorders>
            <w:shd w:val="clear" w:color="auto" w:fill="auto"/>
            <w:noWrap/>
            <w:vAlign w:val="center"/>
            <w:hideMark/>
          </w:tcPr>
          <w:p w14:paraId="6BE3217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75</w:t>
            </w:r>
          </w:p>
        </w:tc>
        <w:tc>
          <w:tcPr>
            <w:tcW w:w="1555" w:type="dxa"/>
            <w:tcBorders>
              <w:top w:val="nil"/>
              <w:left w:val="nil"/>
              <w:bottom w:val="single" w:sz="4" w:space="0" w:color="auto"/>
              <w:right w:val="single" w:sz="4" w:space="0" w:color="auto"/>
            </w:tcBorders>
            <w:shd w:val="clear" w:color="auto" w:fill="auto"/>
            <w:noWrap/>
            <w:vAlign w:val="center"/>
            <w:hideMark/>
          </w:tcPr>
          <w:p w14:paraId="0388F5A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45E77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CCD45C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19FAA7B5"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4000781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100</w:t>
            </w:r>
          </w:p>
        </w:tc>
      </w:tr>
      <w:tr w:rsidR="003E3939" w:rsidRPr="003E3939" w14:paraId="2A74CD53"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5E04D29"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Ramsar Advisory Missions</w:t>
            </w:r>
          </w:p>
        </w:tc>
        <w:tc>
          <w:tcPr>
            <w:tcW w:w="1554" w:type="dxa"/>
            <w:tcBorders>
              <w:top w:val="nil"/>
              <w:left w:val="nil"/>
              <w:bottom w:val="single" w:sz="4" w:space="0" w:color="auto"/>
              <w:right w:val="single" w:sz="4" w:space="0" w:color="auto"/>
            </w:tcBorders>
            <w:shd w:val="clear" w:color="auto" w:fill="auto"/>
            <w:noWrap/>
            <w:vAlign w:val="center"/>
            <w:hideMark/>
          </w:tcPr>
          <w:p w14:paraId="38FD1A3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0E2FD8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F26010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96</w:t>
            </w:r>
          </w:p>
        </w:tc>
        <w:tc>
          <w:tcPr>
            <w:tcW w:w="1555" w:type="dxa"/>
            <w:tcBorders>
              <w:top w:val="nil"/>
              <w:left w:val="nil"/>
              <w:bottom w:val="single" w:sz="4" w:space="0" w:color="auto"/>
              <w:right w:val="single" w:sz="4" w:space="0" w:color="auto"/>
            </w:tcBorders>
            <w:shd w:val="clear" w:color="auto" w:fill="auto"/>
            <w:noWrap/>
            <w:vAlign w:val="center"/>
            <w:hideMark/>
          </w:tcPr>
          <w:p w14:paraId="7003796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0568132" w14:textId="77777777" w:rsidR="003E3939" w:rsidRPr="003E3939" w:rsidRDefault="003E3939" w:rsidP="003E3939">
            <w:pPr>
              <w:ind w:left="0" w:firstLine="0"/>
              <w:rPr>
                <w:rFonts w:eastAsia="Times New Roman" w:cs="Calibri"/>
                <w:sz w:val="20"/>
                <w:szCs w:val="20"/>
                <w:lang w:eastAsia="en-GB"/>
              </w:rPr>
            </w:pPr>
            <w:r w:rsidRPr="003E3939">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1A74E5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96</w:t>
            </w:r>
          </w:p>
        </w:tc>
      </w:tr>
      <w:tr w:rsidR="003E3939" w:rsidRPr="003E3939" w14:paraId="7D3AC6ED"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5DF5B6B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D.  Support to Regional Initiatives</w:t>
            </w:r>
          </w:p>
        </w:tc>
        <w:tc>
          <w:tcPr>
            <w:tcW w:w="1554" w:type="dxa"/>
            <w:tcBorders>
              <w:top w:val="nil"/>
              <w:left w:val="nil"/>
              <w:bottom w:val="single" w:sz="4" w:space="0" w:color="auto"/>
              <w:right w:val="single" w:sz="4" w:space="0" w:color="auto"/>
            </w:tcBorders>
            <w:shd w:val="clear" w:color="000000" w:fill="EAF1DD"/>
            <w:noWrap/>
            <w:vAlign w:val="center"/>
            <w:hideMark/>
          </w:tcPr>
          <w:p w14:paraId="366EF128"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100</w:t>
            </w:r>
          </w:p>
        </w:tc>
        <w:tc>
          <w:tcPr>
            <w:tcW w:w="1555" w:type="dxa"/>
            <w:tcBorders>
              <w:top w:val="nil"/>
              <w:left w:val="nil"/>
              <w:bottom w:val="single" w:sz="4" w:space="0" w:color="auto"/>
              <w:right w:val="single" w:sz="4" w:space="0" w:color="auto"/>
            </w:tcBorders>
            <w:shd w:val="clear" w:color="000000" w:fill="EAF1DD"/>
            <w:noWrap/>
            <w:vAlign w:val="center"/>
            <w:hideMark/>
          </w:tcPr>
          <w:p w14:paraId="5926563C"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2EC7194F"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97</w:t>
            </w:r>
          </w:p>
        </w:tc>
        <w:tc>
          <w:tcPr>
            <w:tcW w:w="1555" w:type="dxa"/>
            <w:tcBorders>
              <w:top w:val="nil"/>
              <w:left w:val="nil"/>
              <w:bottom w:val="single" w:sz="4" w:space="0" w:color="auto"/>
              <w:right w:val="single" w:sz="4" w:space="0" w:color="auto"/>
            </w:tcBorders>
            <w:shd w:val="clear" w:color="000000" w:fill="EAF1DD"/>
            <w:noWrap/>
            <w:vAlign w:val="center"/>
            <w:hideMark/>
          </w:tcPr>
          <w:p w14:paraId="2722B98D"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7A35257E"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63EC59B8"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197</w:t>
            </w:r>
          </w:p>
        </w:tc>
      </w:tr>
      <w:tr w:rsidR="003E3939" w:rsidRPr="003E3939" w14:paraId="76F46188" w14:textId="77777777" w:rsidTr="00834FE6">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52EE5F31" w14:textId="77777777" w:rsidR="003E3939" w:rsidRPr="003E3939" w:rsidRDefault="003E3939" w:rsidP="003E3939">
            <w:pPr>
              <w:ind w:left="0" w:firstLine="0"/>
              <w:rPr>
                <w:rFonts w:eastAsia="Times New Roman" w:cs="Calibri"/>
                <w:color w:val="000000"/>
                <w:sz w:val="20"/>
                <w:szCs w:val="20"/>
                <w:lang w:val="es-ES" w:eastAsia="en-GB"/>
              </w:rPr>
            </w:pPr>
            <w:r w:rsidRPr="003E3939">
              <w:rPr>
                <w:rFonts w:eastAsia="Times New Roman" w:cs="Calibri"/>
                <w:color w:val="000000"/>
                <w:sz w:val="20"/>
                <w:szCs w:val="20"/>
                <w:lang w:val="es-ES" w:eastAsia="en-GB"/>
              </w:rPr>
              <w:t>RI WG Res. XIII.9,p9 para 10</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1DC6C6A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DBEAA3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694BB6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21</w:t>
            </w:r>
          </w:p>
        </w:tc>
        <w:tc>
          <w:tcPr>
            <w:tcW w:w="1555" w:type="dxa"/>
            <w:tcBorders>
              <w:top w:val="nil"/>
              <w:left w:val="nil"/>
              <w:bottom w:val="single" w:sz="4" w:space="0" w:color="auto"/>
              <w:right w:val="single" w:sz="4" w:space="0" w:color="auto"/>
            </w:tcBorders>
            <w:shd w:val="clear" w:color="auto" w:fill="auto"/>
            <w:noWrap/>
            <w:vAlign w:val="center"/>
            <w:hideMark/>
          </w:tcPr>
          <w:p w14:paraId="52E6138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F888D0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496C44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21</w:t>
            </w:r>
          </w:p>
        </w:tc>
      </w:tr>
      <w:tr w:rsidR="003E3939" w:rsidRPr="003E3939" w14:paraId="524A5595" w14:textId="77777777" w:rsidTr="00834FE6">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184E8FC7"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Proposal Writing for RRIs</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18EE720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E993AE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774966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EBA4D3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C307353"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9C4E9C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r>
      <w:tr w:rsidR="003E3939" w:rsidRPr="003E3939" w14:paraId="2E1A0444"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8C2157E"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Activity 1: Senegal Basin</w:t>
            </w:r>
          </w:p>
        </w:tc>
        <w:tc>
          <w:tcPr>
            <w:tcW w:w="1554" w:type="dxa"/>
            <w:tcBorders>
              <w:top w:val="nil"/>
              <w:left w:val="nil"/>
              <w:bottom w:val="single" w:sz="4" w:space="0" w:color="auto"/>
              <w:right w:val="single" w:sz="4" w:space="0" w:color="auto"/>
            </w:tcBorders>
            <w:shd w:val="clear" w:color="auto" w:fill="auto"/>
            <w:noWrap/>
            <w:vAlign w:val="center"/>
            <w:hideMark/>
          </w:tcPr>
          <w:p w14:paraId="18BF268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7835621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300881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671805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B558D5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5C1BB5C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r>
      <w:tr w:rsidR="003E3939" w:rsidRPr="003E3939" w14:paraId="62E364C4"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7225E2D"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Activity 2: Amazon Basin</w:t>
            </w:r>
          </w:p>
        </w:tc>
        <w:tc>
          <w:tcPr>
            <w:tcW w:w="1554" w:type="dxa"/>
            <w:tcBorders>
              <w:top w:val="nil"/>
              <w:left w:val="nil"/>
              <w:bottom w:val="single" w:sz="4" w:space="0" w:color="auto"/>
              <w:right w:val="single" w:sz="4" w:space="0" w:color="auto"/>
            </w:tcBorders>
            <w:shd w:val="clear" w:color="auto" w:fill="auto"/>
            <w:noWrap/>
            <w:vAlign w:val="center"/>
            <w:hideMark/>
          </w:tcPr>
          <w:p w14:paraId="3C83A40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2138D63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7FF4B9"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76</w:t>
            </w:r>
          </w:p>
        </w:tc>
        <w:tc>
          <w:tcPr>
            <w:tcW w:w="1555" w:type="dxa"/>
            <w:tcBorders>
              <w:top w:val="nil"/>
              <w:left w:val="nil"/>
              <w:bottom w:val="single" w:sz="4" w:space="0" w:color="auto"/>
              <w:right w:val="single" w:sz="4" w:space="0" w:color="auto"/>
            </w:tcBorders>
            <w:shd w:val="clear" w:color="auto" w:fill="auto"/>
            <w:noWrap/>
            <w:vAlign w:val="center"/>
            <w:hideMark/>
          </w:tcPr>
          <w:p w14:paraId="73DC1BC5"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E22481B"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435113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101</w:t>
            </w:r>
          </w:p>
        </w:tc>
      </w:tr>
      <w:tr w:rsidR="003E3939" w:rsidRPr="003E3939" w14:paraId="1DF8FC8E"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89DACF6"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Activity 3: Central Asia</w:t>
            </w:r>
          </w:p>
        </w:tc>
        <w:tc>
          <w:tcPr>
            <w:tcW w:w="1554" w:type="dxa"/>
            <w:tcBorders>
              <w:top w:val="nil"/>
              <w:left w:val="nil"/>
              <w:bottom w:val="single" w:sz="4" w:space="0" w:color="auto"/>
              <w:right w:val="single" w:sz="4" w:space="0" w:color="auto"/>
            </w:tcBorders>
            <w:shd w:val="clear" w:color="auto" w:fill="auto"/>
            <w:noWrap/>
            <w:vAlign w:val="center"/>
            <w:hideMark/>
          </w:tcPr>
          <w:p w14:paraId="6401399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1E0A9EE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8800B3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33A44E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D70F25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10D802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r>
      <w:tr w:rsidR="003E3939" w:rsidRPr="003E3939" w14:paraId="479381F6"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3FD9E83"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Activity 4: Indo-Burma</w:t>
            </w:r>
          </w:p>
        </w:tc>
        <w:tc>
          <w:tcPr>
            <w:tcW w:w="1554" w:type="dxa"/>
            <w:tcBorders>
              <w:top w:val="nil"/>
              <w:left w:val="nil"/>
              <w:bottom w:val="single" w:sz="4" w:space="0" w:color="auto"/>
              <w:right w:val="single" w:sz="4" w:space="0" w:color="auto"/>
            </w:tcBorders>
            <w:shd w:val="clear" w:color="auto" w:fill="auto"/>
            <w:noWrap/>
            <w:vAlign w:val="center"/>
            <w:hideMark/>
          </w:tcPr>
          <w:p w14:paraId="63B6FA0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7DA1E04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6264E4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694BF4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37B9C7A"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82ED44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r>
      <w:tr w:rsidR="003E3939" w:rsidRPr="003E3939" w14:paraId="456F6D02"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00ED9B1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E.  Scientific and Technical Services</w:t>
            </w:r>
          </w:p>
        </w:tc>
        <w:tc>
          <w:tcPr>
            <w:tcW w:w="1554" w:type="dxa"/>
            <w:tcBorders>
              <w:top w:val="nil"/>
              <w:left w:val="nil"/>
              <w:bottom w:val="single" w:sz="4" w:space="0" w:color="auto"/>
              <w:right w:val="single" w:sz="4" w:space="0" w:color="auto"/>
            </w:tcBorders>
            <w:shd w:val="clear" w:color="000000" w:fill="EAF1DD"/>
            <w:noWrap/>
            <w:vAlign w:val="center"/>
            <w:hideMark/>
          </w:tcPr>
          <w:p w14:paraId="3663FB07"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722</w:t>
            </w:r>
          </w:p>
        </w:tc>
        <w:tc>
          <w:tcPr>
            <w:tcW w:w="1555" w:type="dxa"/>
            <w:tcBorders>
              <w:top w:val="nil"/>
              <w:left w:val="nil"/>
              <w:bottom w:val="single" w:sz="4" w:space="0" w:color="auto"/>
              <w:right w:val="single" w:sz="4" w:space="0" w:color="auto"/>
            </w:tcBorders>
            <w:shd w:val="clear" w:color="000000" w:fill="EAF1DD"/>
            <w:noWrap/>
            <w:vAlign w:val="center"/>
            <w:hideMark/>
          </w:tcPr>
          <w:p w14:paraId="34A2196E"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49B666C1"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114</w:t>
            </w:r>
          </w:p>
        </w:tc>
        <w:tc>
          <w:tcPr>
            <w:tcW w:w="1555" w:type="dxa"/>
            <w:tcBorders>
              <w:top w:val="nil"/>
              <w:left w:val="nil"/>
              <w:bottom w:val="single" w:sz="4" w:space="0" w:color="auto"/>
              <w:right w:val="single" w:sz="4" w:space="0" w:color="auto"/>
            </w:tcBorders>
            <w:shd w:val="clear" w:color="000000" w:fill="EAF1DD"/>
            <w:noWrap/>
            <w:vAlign w:val="center"/>
            <w:hideMark/>
          </w:tcPr>
          <w:p w14:paraId="7590D320"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328</w:t>
            </w:r>
          </w:p>
        </w:tc>
        <w:tc>
          <w:tcPr>
            <w:tcW w:w="1555" w:type="dxa"/>
            <w:tcBorders>
              <w:top w:val="nil"/>
              <w:left w:val="nil"/>
              <w:bottom w:val="single" w:sz="4" w:space="0" w:color="auto"/>
              <w:right w:val="single" w:sz="4" w:space="0" w:color="auto"/>
            </w:tcBorders>
            <w:shd w:val="clear" w:color="000000" w:fill="EAF1DD"/>
            <w:noWrap/>
            <w:vAlign w:val="center"/>
            <w:hideMark/>
          </w:tcPr>
          <w:p w14:paraId="50006ABC"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52</w:t>
            </w:r>
          </w:p>
        </w:tc>
        <w:tc>
          <w:tcPr>
            <w:tcW w:w="1555" w:type="dxa"/>
            <w:tcBorders>
              <w:top w:val="nil"/>
              <w:left w:val="nil"/>
              <w:bottom w:val="single" w:sz="4" w:space="0" w:color="auto"/>
              <w:right w:val="single" w:sz="4" w:space="0" w:color="auto"/>
            </w:tcBorders>
            <w:shd w:val="clear" w:color="000000" w:fill="EAF1DD"/>
            <w:noWrap/>
            <w:vAlign w:val="center"/>
            <w:hideMark/>
          </w:tcPr>
          <w:p w14:paraId="3B0B8EBB"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1,221</w:t>
            </w:r>
          </w:p>
        </w:tc>
      </w:tr>
      <w:tr w:rsidR="003E3939" w:rsidRPr="003E3939" w14:paraId="7484B6F8"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EB5ADB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Salaries and social costs</w:t>
            </w:r>
          </w:p>
        </w:tc>
        <w:tc>
          <w:tcPr>
            <w:tcW w:w="1554" w:type="dxa"/>
            <w:tcBorders>
              <w:top w:val="nil"/>
              <w:left w:val="nil"/>
              <w:bottom w:val="single" w:sz="4" w:space="0" w:color="auto"/>
              <w:right w:val="single" w:sz="4" w:space="0" w:color="auto"/>
            </w:tcBorders>
            <w:shd w:val="clear" w:color="auto" w:fill="auto"/>
            <w:noWrap/>
            <w:vAlign w:val="center"/>
            <w:hideMark/>
          </w:tcPr>
          <w:p w14:paraId="7AD6CE2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575</w:t>
            </w:r>
          </w:p>
        </w:tc>
        <w:tc>
          <w:tcPr>
            <w:tcW w:w="1555" w:type="dxa"/>
            <w:tcBorders>
              <w:top w:val="nil"/>
              <w:left w:val="nil"/>
              <w:bottom w:val="single" w:sz="4" w:space="0" w:color="auto"/>
              <w:right w:val="single" w:sz="4" w:space="0" w:color="auto"/>
            </w:tcBorders>
            <w:shd w:val="clear" w:color="auto" w:fill="auto"/>
            <w:noWrap/>
            <w:vAlign w:val="center"/>
            <w:hideMark/>
          </w:tcPr>
          <w:p w14:paraId="1DAE90B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CF3B14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BE3B12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226</w:t>
            </w:r>
          </w:p>
        </w:tc>
        <w:tc>
          <w:tcPr>
            <w:tcW w:w="1555" w:type="dxa"/>
            <w:tcBorders>
              <w:top w:val="nil"/>
              <w:left w:val="nil"/>
              <w:bottom w:val="single" w:sz="4" w:space="0" w:color="auto"/>
              <w:right w:val="single" w:sz="4" w:space="0" w:color="auto"/>
            </w:tcBorders>
            <w:shd w:val="clear" w:color="auto" w:fill="auto"/>
            <w:noWrap/>
            <w:vAlign w:val="center"/>
            <w:hideMark/>
          </w:tcPr>
          <w:p w14:paraId="290F0067" w14:textId="77777777" w:rsidR="003E3939" w:rsidRPr="003E3939" w:rsidRDefault="003E3939" w:rsidP="003E3939">
            <w:pPr>
              <w:ind w:left="0" w:firstLine="0"/>
              <w:rPr>
                <w:rFonts w:eastAsia="Times New Roman" w:cs="Calibri"/>
                <w:sz w:val="20"/>
                <w:szCs w:val="20"/>
                <w:lang w:eastAsia="en-GB"/>
              </w:rPr>
            </w:pPr>
            <w:r w:rsidRPr="003E3939">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F8F38D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801</w:t>
            </w:r>
          </w:p>
        </w:tc>
      </w:tr>
      <w:tr w:rsidR="003E3939" w:rsidRPr="003E3939" w14:paraId="60582E4C"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26C35A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Other employment benefits</w:t>
            </w:r>
          </w:p>
        </w:tc>
        <w:tc>
          <w:tcPr>
            <w:tcW w:w="1554" w:type="dxa"/>
            <w:tcBorders>
              <w:top w:val="nil"/>
              <w:left w:val="nil"/>
              <w:bottom w:val="single" w:sz="4" w:space="0" w:color="auto"/>
              <w:right w:val="single" w:sz="4" w:space="0" w:color="auto"/>
            </w:tcBorders>
            <w:shd w:val="clear" w:color="auto" w:fill="auto"/>
            <w:noWrap/>
            <w:vAlign w:val="center"/>
            <w:hideMark/>
          </w:tcPr>
          <w:p w14:paraId="2C529DA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w:t>
            </w:r>
          </w:p>
        </w:tc>
        <w:tc>
          <w:tcPr>
            <w:tcW w:w="1555" w:type="dxa"/>
            <w:tcBorders>
              <w:top w:val="nil"/>
              <w:left w:val="nil"/>
              <w:bottom w:val="single" w:sz="4" w:space="0" w:color="auto"/>
              <w:right w:val="single" w:sz="4" w:space="0" w:color="auto"/>
            </w:tcBorders>
            <w:shd w:val="clear" w:color="auto" w:fill="auto"/>
            <w:noWrap/>
            <w:vAlign w:val="center"/>
            <w:hideMark/>
          </w:tcPr>
          <w:p w14:paraId="78762D8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8BCD66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w:t>
            </w:r>
          </w:p>
        </w:tc>
        <w:tc>
          <w:tcPr>
            <w:tcW w:w="1555" w:type="dxa"/>
            <w:tcBorders>
              <w:top w:val="nil"/>
              <w:left w:val="nil"/>
              <w:bottom w:val="single" w:sz="4" w:space="0" w:color="auto"/>
              <w:right w:val="single" w:sz="4" w:space="0" w:color="auto"/>
            </w:tcBorders>
            <w:shd w:val="clear" w:color="auto" w:fill="auto"/>
            <w:noWrap/>
            <w:vAlign w:val="center"/>
            <w:hideMark/>
          </w:tcPr>
          <w:p w14:paraId="2F790E5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2282E45"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42</w:t>
            </w:r>
          </w:p>
        </w:tc>
        <w:tc>
          <w:tcPr>
            <w:tcW w:w="1555" w:type="dxa"/>
            <w:tcBorders>
              <w:top w:val="nil"/>
              <w:left w:val="nil"/>
              <w:bottom w:val="single" w:sz="4" w:space="0" w:color="auto"/>
              <w:right w:val="single" w:sz="4" w:space="0" w:color="auto"/>
            </w:tcBorders>
            <w:shd w:val="clear" w:color="auto" w:fill="auto"/>
            <w:noWrap/>
            <w:vAlign w:val="center"/>
            <w:hideMark/>
          </w:tcPr>
          <w:p w14:paraId="6A83E0E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53</w:t>
            </w:r>
          </w:p>
        </w:tc>
      </w:tr>
      <w:tr w:rsidR="003E3939" w:rsidRPr="003E3939" w14:paraId="0EE7EE01"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1F509C7"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Travel</w:t>
            </w:r>
          </w:p>
        </w:tc>
        <w:tc>
          <w:tcPr>
            <w:tcW w:w="1554" w:type="dxa"/>
            <w:tcBorders>
              <w:top w:val="nil"/>
              <w:left w:val="nil"/>
              <w:bottom w:val="single" w:sz="4" w:space="0" w:color="auto"/>
              <w:right w:val="single" w:sz="4" w:space="0" w:color="auto"/>
            </w:tcBorders>
            <w:shd w:val="clear" w:color="auto" w:fill="auto"/>
            <w:noWrap/>
            <w:vAlign w:val="center"/>
            <w:hideMark/>
          </w:tcPr>
          <w:p w14:paraId="2084EDE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26A7DC9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0C6314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E5D088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w:t>
            </w:r>
          </w:p>
        </w:tc>
        <w:tc>
          <w:tcPr>
            <w:tcW w:w="1555" w:type="dxa"/>
            <w:tcBorders>
              <w:top w:val="nil"/>
              <w:left w:val="nil"/>
              <w:bottom w:val="single" w:sz="4" w:space="0" w:color="auto"/>
              <w:right w:val="single" w:sz="4" w:space="0" w:color="auto"/>
            </w:tcBorders>
            <w:shd w:val="clear" w:color="auto" w:fill="auto"/>
            <w:noWrap/>
            <w:vAlign w:val="center"/>
            <w:hideMark/>
          </w:tcPr>
          <w:p w14:paraId="721DAC96"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7772EC8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24</w:t>
            </w:r>
          </w:p>
        </w:tc>
      </w:tr>
      <w:tr w:rsidR="003E3939" w:rsidRPr="003E3939" w14:paraId="6C54F177"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2A24772"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Travel STRP Chair</w:t>
            </w:r>
          </w:p>
        </w:tc>
        <w:tc>
          <w:tcPr>
            <w:tcW w:w="1554" w:type="dxa"/>
            <w:tcBorders>
              <w:top w:val="nil"/>
              <w:left w:val="nil"/>
              <w:bottom w:val="single" w:sz="4" w:space="0" w:color="auto"/>
              <w:right w:val="single" w:sz="4" w:space="0" w:color="auto"/>
            </w:tcBorders>
            <w:shd w:val="clear" w:color="auto" w:fill="auto"/>
            <w:noWrap/>
            <w:vAlign w:val="center"/>
            <w:hideMark/>
          </w:tcPr>
          <w:p w14:paraId="569BCB4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w:t>
            </w:r>
          </w:p>
        </w:tc>
        <w:tc>
          <w:tcPr>
            <w:tcW w:w="1555" w:type="dxa"/>
            <w:tcBorders>
              <w:top w:val="nil"/>
              <w:left w:val="nil"/>
              <w:bottom w:val="single" w:sz="4" w:space="0" w:color="auto"/>
              <w:right w:val="single" w:sz="4" w:space="0" w:color="auto"/>
            </w:tcBorders>
            <w:shd w:val="clear" w:color="auto" w:fill="auto"/>
            <w:noWrap/>
            <w:vAlign w:val="center"/>
            <w:hideMark/>
          </w:tcPr>
          <w:p w14:paraId="31D1A41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2906BD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98598A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w:t>
            </w:r>
          </w:p>
        </w:tc>
        <w:tc>
          <w:tcPr>
            <w:tcW w:w="1555" w:type="dxa"/>
            <w:tcBorders>
              <w:top w:val="nil"/>
              <w:left w:val="nil"/>
              <w:bottom w:val="single" w:sz="4" w:space="0" w:color="auto"/>
              <w:right w:val="single" w:sz="4" w:space="0" w:color="auto"/>
            </w:tcBorders>
            <w:shd w:val="clear" w:color="auto" w:fill="auto"/>
            <w:noWrap/>
            <w:vAlign w:val="center"/>
            <w:hideMark/>
          </w:tcPr>
          <w:p w14:paraId="653F1DEE" w14:textId="77777777" w:rsidR="003E3939" w:rsidRPr="003E3939" w:rsidRDefault="003E3939" w:rsidP="003E3939">
            <w:pPr>
              <w:ind w:left="0" w:firstLine="0"/>
              <w:rPr>
                <w:rFonts w:eastAsia="Times New Roman" w:cs="Calibri"/>
                <w:sz w:val="20"/>
                <w:szCs w:val="20"/>
                <w:lang w:eastAsia="en-GB"/>
              </w:rPr>
            </w:pPr>
            <w:r w:rsidRPr="003E3939">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16C21A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12</w:t>
            </w:r>
          </w:p>
        </w:tc>
      </w:tr>
      <w:tr w:rsidR="003E3939" w:rsidRPr="003E3939" w14:paraId="0D738CBE"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1C05998"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STRP implementation</w:t>
            </w:r>
          </w:p>
        </w:tc>
        <w:tc>
          <w:tcPr>
            <w:tcW w:w="1554" w:type="dxa"/>
            <w:tcBorders>
              <w:top w:val="nil"/>
              <w:left w:val="nil"/>
              <w:bottom w:val="single" w:sz="4" w:space="0" w:color="auto"/>
              <w:right w:val="single" w:sz="4" w:space="0" w:color="auto"/>
            </w:tcBorders>
            <w:shd w:val="clear" w:color="auto" w:fill="auto"/>
            <w:noWrap/>
            <w:vAlign w:val="center"/>
            <w:hideMark/>
          </w:tcPr>
          <w:p w14:paraId="1B39DD5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15ECD9C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A6C51B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68885EF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24</w:t>
            </w:r>
          </w:p>
        </w:tc>
        <w:tc>
          <w:tcPr>
            <w:tcW w:w="1555" w:type="dxa"/>
            <w:tcBorders>
              <w:top w:val="nil"/>
              <w:left w:val="nil"/>
              <w:bottom w:val="single" w:sz="4" w:space="0" w:color="auto"/>
              <w:right w:val="single" w:sz="4" w:space="0" w:color="auto"/>
            </w:tcBorders>
            <w:shd w:val="clear" w:color="auto" w:fill="auto"/>
            <w:noWrap/>
            <w:vAlign w:val="center"/>
            <w:hideMark/>
          </w:tcPr>
          <w:p w14:paraId="52B09A2D"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5C1785C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99</w:t>
            </w:r>
          </w:p>
        </w:tc>
      </w:tr>
      <w:tr w:rsidR="003E3939" w:rsidRPr="003E3939" w14:paraId="20140DF0"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24EB150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STRP meetings</w:t>
            </w:r>
          </w:p>
        </w:tc>
        <w:tc>
          <w:tcPr>
            <w:tcW w:w="1554" w:type="dxa"/>
            <w:tcBorders>
              <w:top w:val="nil"/>
              <w:left w:val="nil"/>
              <w:bottom w:val="single" w:sz="4" w:space="0" w:color="auto"/>
              <w:right w:val="single" w:sz="4" w:space="0" w:color="auto"/>
            </w:tcBorders>
            <w:shd w:val="clear" w:color="auto" w:fill="auto"/>
            <w:noWrap/>
            <w:vAlign w:val="center"/>
            <w:hideMark/>
          </w:tcPr>
          <w:p w14:paraId="6991F29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1F13CD1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B0B7F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78E3DD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44</w:t>
            </w:r>
          </w:p>
        </w:tc>
        <w:tc>
          <w:tcPr>
            <w:tcW w:w="1555" w:type="dxa"/>
            <w:tcBorders>
              <w:top w:val="nil"/>
              <w:left w:val="nil"/>
              <w:bottom w:val="single" w:sz="4" w:space="0" w:color="auto"/>
              <w:right w:val="single" w:sz="4" w:space="0" w:color="auto"/>
            </w:tcBorders>
            <w:shd w:val="clear" w:color="auto" w:fill="auto"/>
            <w:noWrap/>
            <w:vAlign w:val="center"/>
            <w:hideMark/>
          </w:tcPr>
          <w:p w14:paraId="26E678E2"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2B8369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94</w:t>
            </w:r>
          </w:p>
        </w:tc>
      </w:tr>
      <w:tr w:rsidR="003E3939" w:rsidRPr="003E3939" w14:paraId="567B7CA9"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C676F0E"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SDG 6.61 (Inventories)</w:t>
            </w:r>
          </w:p>
        </w:tc>
        <w:tc>
          <w:tcPr>
            <w:tcW w:w="1554" w:type="dxa"/>
            <w:tcBorders>
              <w:top w:val="nil"/>
              <w:left w:val="nil"/>
              <w:bottom w:val="single" w:sz="4" w:space="0" w:color="auto"/>
              <w:right w:val="single" w:sz="4" w:space="0" w:color="auto"/>
            </w:tcBorders>
            <w:shd w:val="clear" w:color="auto" w:fill="auto"/>
            <w:noWrap/>
            <w:vAlign w:val="center"/>
            <w:hideMark/>
          </w:tcPr>
          <w:p w14:paraId="671C2EC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F3B2EB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C7C9CB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72</w:t>
            </w:r>
          </w:p>
        </w:tc>
        <w:tc>
          <w:tcPr>
            <w:tcW w:w="1555" w:type="dxa"/>
            <w:tcBorders>
              <w:top w:val="nil"/>
              <w:left w:val="nil"/>
              <w:bottom w:val="single" w:sz="4" w:space="0" w:color="auto"/>
              <w:right w:val="single" w:sz="4" w:space="0" w:color="auto"/>
            </w:tcBorders>
            <w:shd w:val="clear" w:color="auto" w:fill="auto"/>
            <w:noWrap/>
            <w:vAlign w:val="center"/>
            <w:hideMark/>
          </w:tcPr>
          <w:p w14:paraId="3395F29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A87CB2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689FB5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72</w:t>
            </w:r>
          </w:p>
        </w:tc>
      </w:tr>
      <w:tr w:rsidR="003E3939" w:rsidRPr="003E3939" w14:paraId="7BDE2842"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A6A539B" w14:textId="39C3887F"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Ramsar Sites Information Service (maintenance and develop</w:t>
            </w:r>
            <w:r>
              <w:rPr>
                <w:rFonts w:eastAsia="Times New Roman" w:cs="Calibri"/>
                <w:color w:val="000000"/>
                <w:sz w:val="20"/>
                <w:szCs w:val="20"/>
                <w:lang w:eastAsia="en-GB"/>
              </w:rPr>
              <w:t>ment</w:t>
            </w:r>
            <w:r w:rsidRPr="003E3939">
              <w:rPr>
                <w:rFonts w:eastAsia="Times New Roman" w:cs="Calibri"/>
                <w:color w:val="000000"/>
                <w:sz w:val="20"/>
                <w:szCs w:val="20"/>
                <w:lang w:eastAsia="en-GB"/>
              </w:rPr>
              <w:t>)</w:t>
            </w:r>
          </w:p>
        </w:tc>
        <w:tc>
          <w:tcPr>
            <w:tcW w:w="1554" w:type="dxa"/>
            <w:tcBorders>
              <w:top w:val="nil"/>
              <w:left w:val="nil"/>
              <w:bottom w:val="single" w:sz="4" w:space="0" w:color="auto"/>
              <w:right w:val="single" w:sz="4" w:space="0" w:color="auto"/>
            </w:tcBorders>
            <w:shd w:val="clear" w:color="auto" w:fill="auto"/>
            <w:noWrap/>
            <w:vAlign w:val="center"/>
            <w:hideMark/>
          </w:tcPr>
          <w:p w14:paraId="3C1656F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43</w:t>
            </w:r>
          </w:p>
        </w:tc>
        <w:tc>
          <w:tcPr>
            <w:tcW w:w="1555" w:type="dxa"/>
            <w:tcBorders>
              <w:top w:val="nil"/>
              <w:left w:val="nil"/>
              <w:bottom w:val="single" w:sz="4" w:space="0" w:color="auto"/>
              <w:right w:val="single" w:sz="4" w:space="0" w:color="auto"/>
            </w:tcBorders>
            <w:shd w:val="clear" w:color="auto" w:fill="auto"/>
            <w:noWrap/>
            <w:vAlign w:val="center"/>
            <w:hideMark/>
          </w:tcPr>
          <w:p w14:paraId="4012627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598126"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0BC4E9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23</w:t>
            </w:r>
          </w:p>
        </w:tc>
        <w:tc>
          <w:tcPr>
            <w:tcW w:w="1555" w:type="dxa"/>
            <w:tcBorders>
              <w:top w:val="nil"/>
              <w:left w:val="nil"/>
              <w:bottom w:val="single" w:sz="4" w:space="0" w:color="auto"/>
              <w:right w:val="single" w:sz="4" w:space="0" w:color="auto"/>
            </w:tcBorders>
            <w:shd w:val="clear" w:color="auto" w:fill="auto"/>
            <w:noWrap/>
            <w:vAlign w:val="center"/>
            <w:hideMark/>
          </w:tcPr>
          <w:p w14:paraId="431F009E"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767957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66</w:t>
            </w:r>
          </w:p>
        </w:tc>
      </w:tr>
      <w:tr w:rsidR="003E3939" w:rsidRPr="003E3939" w14:paraId="0BCEC6AF"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noWrap/>
            <w:vAlign w:val="center"/>
            <w:hideMark/>
          </w:tcPr>
          <w:p w14:paraId="14BB5BFF"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G.  Administration/Web</w:t>
            </w:r>
          </w:p>
        </w:tc>
        <w:tc>
          <w:tcPr>
            <w:tcW w:w="1554" w:type="dxa"/>
            <w:tcBorders>
              <w:top w:val="nil"/>
              <w:left w:val="nil"/>
              <w:bottom w:val="single" w:sz="4" w:space="0" w:color="auto"/>
              <w:right w:val="single" w:sz="4" w:space="0" w:color="auto"/>
            </w:tcBorders>
            <w:shd w:val="clear" w:color="000000" w:fill="EAF1DD"/>
            <w:noWrap/>
            <w:vAlign w:val="center"/>
            <w:hideMark/>
          </w:tcPr>
          <w:p w14:paraId="72C50E64"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444</w:t>
            </w:r>
          </w:p>
        </w:tc>
        <w:tc>
          <w:tcPr>
            <w:tcW w:w="1555" w:type="dxa"/>
            <w:tcBorders>
              <w:top w:val="nil"/>
              <w:left w:val="nil"/>
              <w:bottom w:val="single" w:sz="4" w:space="0" w:color="auto"/>
              <w:right w:val="single" w:sz="4" w:space="0" w:color="auto"/>
            </w:tcBorders>
            <w:shd w:val="clear" w:color="000000" w:fill="EAF1DD"/>
            <w:noWrap/>
            <w:vAlign w:val="center"/>
            <w:hideMark/>
          </w:tcPr>
          <w:p w14:paraId="0CC5FA7B"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11</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222706BE"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95</w:t>
            </w:r>
          </w:p>
        </w:tc>
        <w:tc>
          <w:tcPr>
            <w:tcW w:w="1555" w:type="dxa"/>
            <w:tcBorders>
              <w:top w:val="nil"/>
              <w:left w:val="nil"/>
              <w:bottom w:val="single" w:sz="4" w:space="0" w:color="auto"/>
              <w:right w:val="single" w:sz="4" w:space="0" w:color="auto"/>
            </w:tcBorders>
            <w:shd w:val="clear" w:color="000000" w:fill="EAF1DD"/>
            <w:noWrap/>
            <w:vAlign w:val="center"/>
            <w:hideMark/>
          </w:tcPr>
          <w:p w14:paraId="4E3A7A7E"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16</w:t>
            </w:r>
          </w:p>
        </w:tc>
        <w:tc>
          <w:tcPr>
            <w:tcW w:w="1555" w:type="dxa"/>
            <w:tcBorders>
              <w:top w:val="nil"/>
              <w:left w:val="nil"/>
              <w:bottom w:val="single" w:sz="4" w:space="0" w:color="auto"/>
              <w:right w:val="single" w:sz="4" w:space="0" w:color="auto"/>
            </w:tcBorders>
            <w:shd w:val="clear" w:color="000000" w:fill="EAF1DD"/>
            <w:noWrap/>
            <w:vAlign w:val="center"/>
            <w:hideMark/>
          </w:tcPr>
          <w:p w14:paraId="347A1AF3"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45</w:t>
            </w:r>
          </w:p>
        </w:tc>
        <w:tc>
          <w:tcPr>
            <w:tcW w:w="1555" w:type="dxa"/>
            <w:tcBorders>
              <w:top w:val="nil"/>
              <w:left w:val="nil"/>
              <w:bottom w:val="single" w:sz="4" w:space="0" w:color="auto"/>
              <w:right w:val="single" w:sz="4" w:space="0" w:color="auto"/>
            </w:tcBorders>
            <w:shd w:val="clear" w:color="000000" w:fill="EAF1DD"/>
            <w:noWrap/>
            <w:vAlign w:val="center"/>
            <w:hideMark/>
          </w:tcPr>
          <w:p w14:paraId="4B68BAB0"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611</w:t>
            </w:r>
          </w:p>
        </w:tc>
      </w:tr>
      <w:tr w:rsidR="003E3939" w:rsidRPr="003E3939" w14:paraId="4F8DAA32" w14:textId="77777777" w:rsidTr="008B645E">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6A8EBC3"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Salaries and social costs</w:t>
            </w:r>
          </w:p>
        </w:tc>
        <w:tc>
          <w:tcPr>
            <w:tcW w:w="1554" w:type="dxa"/>
            <w:tcBorders>
              <w:top w:val="nil"/>
              <w:left w:val="nil"/>
              <w:bottom w:val="single" w:sz="4" w:space="0" w:color="auto"/>
              <w:right w:val="single" w:sz="4" w:space="0" w:color="auto"/>
            </w:tcBorders>
            <w:shd w:val="clear" w:color="auto" w:fill="auto"/>
            <w:noWrap/>
            <w:vAlign w:val="center"/>
            <w:hideMark/>
          </w:tcPr>
          <w:p w14:paraId="6969568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323</w:t>
            </w:r>
          </w:p>
        </w:tc>
        <w:tc>
          <w:tcPr>
            <w:tcW w:w="1555" w:type="dxa"/>
            <w:tcBorders>
              <w:top w:val="nil"/>
              <w:left w:val="nil"/>
              <w:bottom w:val="single" w:sz="4" w:space="0" w:color="auto"/>
              <w:right w:val="single" w:sz="4" w:space="0" w:color="auto"/>
            </w:tcBorders>
            <w:shd w:val="clear" w:color="auto" w:fill="auto"/>
            <w:noWrap/>
            <w:vAlign w:val="center"/>
            <w:hideMark/>
          </w:tcPr>
          <w:p w14:paraId="092A60B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9CC881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68CFA9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w:t>
            </w:r>
          </w:p>
        </w:tc>
        <w:tc>
          <w:tcPr>
            <w:tcW w:w="1555" w:type="dxa"/>
            <w:tcBorders>
              <w:top w:val="nil"/>
              <w:left w:val="nil"/>
              <w:bottom w:val="single" w:sz="4" w:space="0" w:color="auto"/>
              <w:right w:val="single" w:sz="4" w:space="0" w:color="auto"/>
            </w:tcBorders>
            <w:shd w:val="clear" w:color="auto" w:fill="auto"/>
            <w:noWrap/>
            <w:vAlign w:val="center"/>
            <w:hideMark/>
          </w:tcPr>
          <w:p w14:paraId="1976942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751F5F0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336</w:t>
            </w:r>
          </w:p>
        </w:tc>
      </w:tr>
      <w:tr w:rsidR="003E3939" w:rsidRPr="003E3939" w14:paraId="0821A793" w14:textId="77777777" w:rsidTr="008B645E">
        <w:trPr>
          <w:trHeight w:val="270"/>
        </w:trPr>
        <w:tc>
          <w:tcPr>
            <w:tcW w:w="4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71669"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lastRenderedPageBreak/>
              <w:t>Other employment benefits</w:t>
            </w:r>
          </w:p>
        </w:tc>
        <w:tc>
          <w:tcPr>
            <w:tcW w:w="1554" w:type="dxa"/>
            <w:tcBorders>
              <w:top w:val="single" w:sz="4" w:space="0" w:color="auto"/>
              <w:left w:val="nil"/>
              <w:bottom w:val="single" w:sz="4" w:space="0" w:color="auto"/>
              <w:right w:val="single" w:sz="4" w:space="0" w:color="auto"/>
            </w:tcBorders>
            <w:shd w:val="clear" w:color="auto" w:fill="auto"/>
            <w:noWrap/>
            <w:vAlign w:val="center"/>
            <w:hideMark/>
          </w:tcPr>
          <w:p w14:paraId="58B3703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76E5D9E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57BE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0CE8EC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F493880"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single" w:sz="4" w:space="0" w:color="auto"/>
              <w:left w:val="nil"/>
              <w:bottom w:val="single" w:sz="4" w:space="0" w:color="auto"/>
              <w:right w:val="single" w:sz="4" w:space="0" w:color="auto"/>
            </w:tcBorders>
            <w:shd w:val="clear" w:color="auto" w:fill="auto"/>
            <w:noWrap/>
            <w:vAlign w:val="center"/>
            <w:hideMark/>
          </w:tcPr>
          <w:p w14:paraId="07093AC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w:t>
            </w:r>
          </w:p>
        </w:tc>
      </w:tr>
      <w:tr w:rsidR="003E3939" w:rsidRPr="003E3939" w14:paraId="64C012A0"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0E266D1D"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Staff hiring and departure costs</w:t>
            </w:r>
          </w:p>
        </w:tc>
        <w:tc>
          <w:tcPr>
            <w:tcW w:w="1554" w:type="dxa"/>
            <w:tcBorders>
              <w:top w:val="nil"/>
              <w:left w:val="nil"/>
              <w:bottom w:val="single" w:sz="4" w:space="0" w:color="auto"/>
              <w:right w:val="single" w:sz="4" w:space="0" w:color="auto"/>
            </w:tcBorders>
            <w:shd w:val="clear" w:color="auto" w:fill="auto"/>
            <w:noWrap/>
            <w:vAlign w:val="center"/>
            <w:hideMark/>
          </w:tcPr>
          <w:p w14:paraId="73349DE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25</w:t>
            </w:r>
          </w:p>
        </w:tc>
        <w:tc>
          <w:tcPr>
            <w:tcW w:w="1555" w:type="dxa"/>
            <w:tcBorders>
              <w:top w:val="nil"/>
              <w:left w:val="nil"/>
              <w:bottom w:val="single" w:sz="4" w:space="0" w:color="auto"/>
              <w:right w:val="single" w:sz="4" w:space="0" w:color="auto"/>
            </w:tcBorders>
            <w:shd w:val="clear" w:color="auto" w:fill="auto"/>
            <w:noWrap/>
            <w:vAlign w:val="center"/>
            <w:hideMark/>
          </w:tcPr>
          <w:p w14:paraId="449B91F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F3C3C9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64EDA16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0B56EFBA"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2137623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70</w:t>
            </w:r>
          </w:p>
        </w:tc>
      </w:tr>
      <w:tr w:rsidR="003E3939" w:rsidRPr="003E3939" w14:paraId="3D7F6C29"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7976FDF"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Travel</w:t>
            </w:r>
          </w:p>
        </w:tc>
        <w:tc>
          <w:tcPr>
            <w:tcW w:w="1554" w:type="dxa"/>
            <w:tcBorders>
              <w:top w:val="nil"/>
              <w:left w:val="nil"/>
              <w:bottom w:val="single" w:sz="4" w:space="0" w:color="auto"/>
              <w:right w:val="single" w:sz="4" w:space="0" w:color="auto"/>
            </w:tcBorders>
            <w:shd w:val="clear" w:color="auto" w:fill="auto"/>
            <w:noWrap/>
            <w:vAlign w:val="center"/>
            <w:hideMark/>
          </w:tcPr>
          <w:p w14:paraId="47AB9F7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E128AA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85EE9E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C3F778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9D9CD50"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3A64A5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r>
      <w:tr w:rsidR="003E3939" w:rsidRPr="003E3939" w14:paraId="4368654A"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C653856"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Equipment/Office Supplies</w:t>
            </w:r>
          </w:p>
        </w:tc>
        <w:tc>
          <w:tcPr>
            <w:tcW w:w="1554" w:type="dxa"/>
            <w:tcBorders>
              <w:top w:val="nil"/>
              <w:left w:val="nil"/>
              <w:bottom w:val="single" w:sz="4" w:space="0" w:color="auto"/>
              <w:right w:val="single" w:sz="4" w:space="0" w:color="auto"/>
            </w:tcBorders>
            <w:shd w:val="clear" w:color="auto" w:fill="auto"/>
            <w:noWrap/>
            <w:vAlign w:val="center"/>
            <w:hideMark/>
          </w:tcPr>
          <w:p w14:paraId="322F141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95</w:t>
            </w:r>
          </w:p>
        </w:tc>
        <w:tc>
          <w:tcPr>
            <w:tcW w:w="1555" w:type="dxa"/>
            <w:tcBorders>
              <w:top w:val="nil"/>
              <w:left w:val="nil"/>
              <w:bottom w:val="single" w:sz="4" w:space="0" w:color="auto"/>
              <w:right w:val="single" w:sz="4" w:space="0" w:color="auto"/>
            </w:tcBorders>
            <w:shd w:val="clear" w:color="auto" w:fill="auto"/>
            <w:noWrap/>
            <w:vAlign w:val="center"/>
            <w:hideMark/>
          </w:tcPr>
          <w:p w14:paraId="532339F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743AC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AFFFA6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13</w:t>
            </w:r>
          </w:p>
        </w:tc>
        <w:tc>
          <w:tcPr>
            <w:tcW w:w="1555" w:type="dxa"/>
            <w:tcBorders>
              <w:top w:val="nil"/>
              <w:left w:val="nil"/>
              <w:bottom w:val="single" w:sz="4" w:space="0" w:color="auto"/>
              <w:right w:val="single" w:sz="4" w:space="0" w:color="auto"/>
            </w:tcBorders>
            <w:shd w:val="clear" w:color="auto" w:fill="auto"/>
            <w:noWrap/>
            <w:vAlign w:val="center"/>
            <w:hideMark/>
          </w:tcPr>
          <w:p w14:paraId="5935080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2827FA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108</w:t>
            </w:r>
          </w:p>
        </w:tc>
      </w:tr>
      <w:tr w:rsidR="003E3939" w:rsidRPr="003E3939" w14:paraId="3D2C1759"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7029B22"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Planning and Capacity building</w:t>
            </w:r>
          </w:p>
        </w:tc>
        <w:tc>
          <w:tcPr>
            <w:tcW w:w="1554" w:type="dxa"/>
            <w:tcBorders>
              <w:top w:val="nil"/>
              <w:left w:val="nil"/>
              <w:bottom w:val="single" w:sz="4" w:space="0" w:color="auto"/>
              <w:right w:val="single" w:sz="4" w:space="0" w:color="auto"/>
            </w:tcBorders>
            <w:shd w:val="clear" w:color="auto" w:fill="auto"/>
            <w:noWrap/>
            <w:vAlign w:val="center"/>
            <w:hideMark/>
          </w:tcPr>
          <w:p w14:paraId="5A06134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61DB5C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11</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CD25A5F"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85</w:t>
            </w:r>
          </w:p>
        </w:tc>
        <w:tc>
          <w:tcPr>
            <w:tcW w:w="1555" w:type="dxa"/>
            <w:tcBorders>
              <w:top w:val="nil"/>
              <w:left w:val="nil"/>
              <w:bottom w:val="single" w:sz="4" w:space="0" w:color="auto"/>
              <w:right w:val="single" w:sz="4" w:space="0" w:color="auto"/>
            </w:tcBorders>
            <w:shd w:val="clear" w:color="auto" w:fill="auto"/>
            <w:noWrap/>
            <w:vAlign w:val="center"/>
            <w:hideMark/>
          </w:tcPr>
          <w:p w14:paraId="1CE1BD44"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B268983"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07615B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96</w:t>
            </w:r>
          </w:p>
        </w:tc>
      </w:tr>
      <w:tr w:rsidR="003E3939" w:rsidRPr="003E3939" w14:paraId="4BF1D367" w14:textId="77777777" w:rsidTr="00834FE6">
        <w:trPr>
          <w:trHeight w:val="270"/>
        </w:trPr>
        <w:tc>
          <w:tcPr>
            <w:tcW w:w="4983" w:type="dxa"/>
            <w:tcBorders>
              <w:top w:val="single" w:sz="4" w:space="0" w:color="auto"/>
              <w:left w:val="single" w:sz="4" w:space="0" w:color="auto"/>
              <w:bottom w:val="single" w:sz="4" w:space="0" w:color="auto"/>
              <w:right w:val="single" w:sz="4" w:space="0" w:color="auto"/>
            </w:tcBorders>
            <w:shd w:val="clear" w:color="000000" w:fill="EAF1DD"/>
            <w:vAlign w:val="center"/>
            <w:hideMark/>
          </w:tcPr>
          <w:p w14:paraId="5F889390"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H. Standing Committee Services</w:t>
            </w:r>
          </w:p>
        </w:tc>
        <w:tc>
          <w:tcPr>
            <w:tcW w:w="1554" w:type="dxa"/>
            <w:tcBorders>
              <w:top w:val="single" w:sz="4" w:space="0" w:color="auto"/>
              <w:left w:val="nil"/>
              <w:bottom w:val="single" w:sz="4" w:space="0" w:color="auto"/>
              <w:right w:val="single" w:sz="4" w:space="0" w:color="auto"/>
            </w:tcBorders>
            <w:shd w:val="clear" w:color="000000" w:fill="EAF1DD"/>
            <w:noWrap/>
            <w:vAlign w:val="center"/>
            <w:hideMark/>
          </w:tcPr>
          <w:p w14:paraId="1591DA2D"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150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176BA22E"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single" w:sz="4" w:space="0" w:color="auto"/>
              <w:left w:val="single" w:sz="4" w:space="0" w:color="auto"/>
              <w:bottom w:val="single" w:sz="4" w:space="0" w:color="auto"/>
              <w:right w:val="single" w:sz="4" w:space="0" w:color="auto"/>
            </w:tcBorders>
            <w:shd w:val="clear" w:color="000000" w:fill="EAF1DD"/>
            <w:noWrap/>
            <w:vAlign w:val="center"/>
            <w:hideMark/>
          </w:tcPr>
          <w:p w14:paraId="17396A2C"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17</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10AADAF3"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83</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059E6244"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single" w:sz="4" w:space="0" w:color="auto"/>
              <w:left w:val="nil"/>
              <w:bottom w:val="single" w:sz="4" w:space="0" w:color="auto"/>
              <w:right w:val="single" w:sz="4" w:space="0" w:color="auto"/>
            </w:tcBorders>
            <w:shd w:val="clear" w:color="000000" w:fill="EAF1DD"/>
            <w:noWrap/>
            <w:vAlign w:val="center"/>
            <w:hideMark/>
          </w:tcPr>
          <w:p w14:paraId="282C70D8"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250</w:t>
            </w:r>
          </w:p>
        </w:tc>
      </w:tr>
      <w:tr w:rsidR="003E3939" w:rsidRPr="003E3939" w14:paraId="14691484"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747F475"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Standing Committee delegates’ support</w:t>
            </w:r>
          </w:p>
        </w:tc>
        <w:tc>
          <w:tcPr>
            <w:tcW w:w="1554" w:type="dxa"/>
            <w:tcBorders>
              <w:top w:val="nil"/>
              <w:left w:val="nil"/>
              <w:bottom w:val="single" w:sz="4" w:space="0" w:color="auto"/>
              <w:right w:val="single" w:sz="4" w:space="0" w:color="auto"/>
            </w:tcBorders>
            <w:shd w:val="clear" w:color="auto" w:fill="auto"/>
            <w:noWrap/>
            <w:vAlign w:val="center"/>
            <w:hideMark/>
          </w:tcPr>
          <w:p w14:paraId="3E79DE6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45</w:t>
            </w:r>
          </w:p>
        </w:tc>
        <w:tc>
          <w:tcPr>
            <w:tcW w:w="1555" w:type="dxa"/>
            <w:tcBorders>
              <w:top w:val="nil"/>
              <w:left w:val="nil"/>
              <w:bottom w:val="single" w:sz="4" w:space="0" w:color="auto"/>
              <w:right w:val="single" w:sz="4" w:space="0" w:color="auto"/>
            </w:tcBorders>
            <w:shd w:val="clear" w:color="auto" w:fill="auto"/>
            <w:noWrap/>
            <w:vAlign w:val="center"/>
            <w:hideMark/>
          </w:tcPr>
          <w:p w14:paraId="6456149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60083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60291F3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51</w:t>
            </w:r>
          </w:p>
        </w:tc>
        <w:tc>
          <w:tcPr>
            <w:tcW w:w="1555" w:type="dxa"/>
            <w:tcBorders>
              <w:top w:val="nil"/>
              <w:left w:val="nil"/>
              <w:bottom w:val="single" w:sz="4" w:space="0" w:color="auto"/>
              <w:right w:val="single" w:sz="4" w:space="0" w:color="auto"/>
            </w:tcBorders>
            <w:shd w:val="clear" w:color="auto" w:fill="auto"/>
            <w:noWrap/>
            <w:vAlign w:val="center"/>
            <w:hideMark/>
          </w:tcPr>
          <w:p w14:paraId="24A07CDE"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BE3275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96</w:t>
            </w:r>
          </w:p>
        </w:tc>
      </w:tr>
      <w:tr w:rsidR="003E3939" w:rsidRPr="003E3939" w14:paraId="7153BFBE"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E44D29D"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Standing Committee meetings</w:t>
            </w:r>
          </w:p>
        </w:tc>
        <w:tc>
          <w:tcPr>
            <w:tcW w:w="1554" w:type="dxa"/>
            <w:tcBorders>
              <w:top w:val="nil"/>
              <w:left w:val="nil"/>
              <w:bottom w:val="single" w:sz="4" w:space="0" w:color="auto"/>
              <w:right w:val="single" w:sz="4" w:space="0" w:color="auto"/>
            </w:tcBorders>
            <w:shd w:val="clear" w:color="auto" w:fill="auto"/>
            <w:noWrap/>
            <w:vAlign w:val="center"/>
            <w:hideMark/>
          </w:tcPr>
          <w:p w14:paraId="51508F8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10</w:t>
            </w:r>
          </w:p>
        </w:tc>
        <w:tc>
          <w:tcPr>
            <w:tcW w:w="1555" w:type="dxa"/>
            <w:tcBorders>
              <w:top w:val="nil"/>
              <w:left w:val="nil"/>
              <w:bottom w:val="single" w:sz="4" w:space="0" w:color="auto"/>
              <w:right w:val="single" w:sz="4" w:space="0" w:color="auto"/>
            </w:tcBorders>
            <w:shd w:val="clear" w:color="auto" w:fill="auto"/>
            <w:noWrap/>
            <w:vAlign w:val="center"/>
            <w:hideMark/>
          </w:tcPr>
          <w:p w14:paraId="1A9EF44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F0D1CA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51137F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6</w:t>
            </w:r>
          </w:p>
        </w:tc>
        <w:tc>
          <w:tcPr>
            <w:tcW w:w="1555" w:type="dxa"/>
            <w:tcBorders>
              <w:top w:val="nil"/>
              <w:left w:val="nil"/>
              <w:bottom w:val="single" w:sz="4" w:space="0" w:color="auto"/>
              <w:right w:val="single" w:sz="4" w:space="0" w:color="auto"/>
            </w:tcBorders>
            <w:shd w:val="clear" w:color="auto" w:fill="auto"/>
            <w:noWrap/>
            <w:vAlign w:val="center"/>
            <w:hideMark/>
          </w:tcPr>
          <w:p w14:paraId="509CDDE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CF9418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16</w:t>
            </w:r>
          </w:p>
        </w:tc>
      </w:tr>
      <w:tr w:rsidR="003E3939" w:rsidRPr="003E3939" w14:paraId="2ACED30D"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34EFC4D9"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SC translation</w:t>
            </w:r>
          </w:p>
        </w:tc>
        <w:tc>
          <w:tcPr>
            <w:tcW w:w="1554" w:type="dxa"/>
            <w:tcBorders>
              <w:top w:val="nil"/>
              <w:left w:val="nil"/>
              <w:bottom w:val="single" w:sz="4" w:space="0" w:color="auto"/>
              <w:right w:val="single" w:sz="4" w:space="0" w:color="auto"/>
            </w:tcBorders>
            <w:shd w:val="clear" w:color="auto" w:fill="auto"/>
            <w:noWrap/>
            <w:vAlign w:val="center"/>
            <w:hideMark/>
          </w:tcPr>
          <w:p w14:paraId="6D5F972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60</w:t>
            </w:r>
          </w:p>
        </w:tc>
        <w:tc>
          <w:tcPr>
            <w:tcW w:w="1555" w:type="dxa"/>
            <w:tcBorders>
              <w:top w:val="nil"/>
              <w:left w:val="nil"/>
              <w:bottom w:val="single" w:sz="4" w:space="0" w:color="auto"/>
              <w:right w:val="single" w:sz="4" w:space="0" w:color="auto"/>
            </w:tcBorders>
            <w:shd w:val="clear" w:color="auto" w:fill="auto"/>
            <w:noWrap/>
            <w:vAlign w:val="center"/>
            <w:hideMark/>
          </w:tcPr>
          <w:p w14:paraId="07371A6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FC8382"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D4E04DE"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4</w:t>
            </w:r>
          </w:p>
        </w:tc>
        <w:tc>
          <w:tcPr>
            <w:tcW w:w="1555" w:type="dxa"/>
            <w:tcBorders>
              <w:top w:val="nil"/>
              <w:left w:val="nil"/>
              <w:bottom w:val="single" w:sz="4" w:space="0" w:color="auto"/>
              <w:right w:val="single" w:sz="4" w:space="0" w:color="auto"/>
            </w:tcBorders>
            <w:shd w:val="clear" w:color="auto" w:fill="auto"/>
            <w:noWrap/>
            <w:vAlign w:val="center"/>
            <w:hideMark/>
          </w:tcPr>
          <w:p w14:paraId="151D8F0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2A055D08"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64</w:t>
            </w:r>
          </w:p>
        </w:tc>
      </w:tr>
      <w:tr w:rsidR="003E3939" w:rsidRPr="003E3939" w14:paraId="652118C4"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5B8356B7"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Simultaneous interpretation at SC meetings</w:t>
            </w:r>
          </w:p>
        </w:tc>
        <w:tc>
          <w:tcPr>
            <w:tcW w:w="1554" w:type="dxa"/>
            <w:tcBorders>
              <w:top w:val="nil"/>
              <w:left w:val="nil"/>
              <w:bottom w:val="single" w:sz="4" w:space="0" w:color="auto"/>
              <w:right w:val="single" w:sz="4" w:space="0" w:color="auto"/>
            </w:tcBorders>
            <w:shd w:val="clear" w:color="auto" w:fill="auto"/>
            <w:noWrap/>
            <w:vAlign w:val="center"/>
            <w:hideMark/>
          </w:tcPr>
          <w:p w14:paraId="58A27EC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35</w:t>
            </w:r>
          </w:p>
        </w:tc>
        <w:tc>
          <w:tcPr>
            <w:tcW w:w="1555" w:type="dxa"/>
            <w:tcBorders>
              <w:top w:val="nil"/>
              <w:left w:val="nil"/>
              <w:bottom w:val="single" w:sz="4" w:space="0" w:color="auto"/>
              <w:right w:val="single" w:sz="4" w:space="0" w:color="auto"/>
            </w:tcBorders>
            <w:shd w:val="clear" w:color="auto" w:fill="auto"/>
            <w:noWrap/>
            <w:vAlign w:val="center"/>
            <w:hideMark/>
          </w:tcPr>
          <w:p w14:paraId="6CE6590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BF25F5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C40B24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22</w:t>
            </w:r>
          </w:p>
        </w:tc>
        <w:tc>
          <w:tcPr>
            <w:tcW w:w="1555" w:type="dxa"/>
            <w:tcBorders>
              <w:top w:val="nil"/>
              <w:left w:val="nil"/>
              <w:bottom w:val="single" w:sz="4" w:space="0" w:color="auto"/>
              <w:right w:val="single" w:sz="4" w:space="0" w:color="auto"/>
            </w:tcBorders>
            <w:shd w:val="clear" w:color="auto" w:fill="auto"/>
            <w:noWrap/>
            <w:vAlign w:val="center"/>
            <w:hideMark/>
          </w:tcPr>
          <w:p w14:paraId="5903F235"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076FBFE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57</w:t>
            </w:r>
          </w:p>
        </w:tc>
      </w:tr>
      <w:tr w:rsidR="003E3939" w:rsidRPr="003E3939" w14:paraId="477BDD39"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41C004F9"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Effectiveness Working Group</w:t>
            </w:r>
          </w:p>
        </w:tc>
        <w:tc>
          <w:tcPr>
            <w:tcW w:w="1554" w:type="dxa"/>
            <w:tcBorders>
              <w:top w:val="nil"/>
              <w:left w:val="nil"/>
              <w:bottom w:val="single" w:sz="4" w:space="0" w:color="auto"/>
              <w:right w:val="single" w:sz="4" w:space="0" w:color="auto"/>
            </w:tcBorders>
            <w:shd w:val="clear" w:color="auto" w:fill="auto"/>
            <w:noWrap/>
            <w:vAlign w:val="center"/>
            <w:hideMark/>
          </w:tcPr>
          <w:p w14:paraId="7E8BA24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DDCF46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099DED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14</w:t>
            </w:r>
          </w:p>
        </w:tc>
        <w:tc>
          <w:tcPr>
            <w:tcW w:w="1555" w:type="dxa"/>
            <w:tcBorders>
              <w:top w:val="nil"/>
              <w:left w:val="nil"/>
              <w:bottom w:val="single" w:sz="4" w:space="0" w:color="auto"/>
              <w:right w:val="single" w:sz="4" w:space="0" w:color="auto"/>
            </w:tcBorders>
            <w:shd w:val="clear" w:color="auto" w:fill="auto"/>
            <w:noWrap/>
            <w:vAlign w:val="center"/>
            <w:hideMark/>
          </w:tcPr>
          <w:p w14:paraId="1A062DB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A141F30"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0FD7B9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14</w:t>
            </w:r>
          </w:p>
        </w:tc>
      </w:tr>
      <w:tr w:rsidR="003E3939" w:rsidRPr="003E3939" w14:paraId="427BC42F"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5E2AD8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Resolutions review (Res. XIII.4)</w:t>
            </w:r>
          </w:p>
        </w:tc>
        <w:tc>
          <w:tcPr>
            <w:tcW w:w="1554" w:type="dxa"/>
            <w:tcBorders>
              <w:top w:val="nil"/>
              <w:left w:val="nil"/>
              <w:bottom w:val="single" w:sz="4" w:space="0" w:color="auto"/>
              <w:right w:val="single" w:sz="4" w:space="0" w:color="auto"/>
            </w:tcBorders>
            <w:shd w:val="clear" w:color="auto" w:fill="auto"/>
            <w:noWrap/>
            <w:vAlign w:val="center"/>
            <w:hideMark/>
          </w:tcPr>
          <w:p w14:paraId="1428A589"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6632BF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99BF13"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3</w:t>
            </w:r>
          </w:p>
        </w:tc>
        <w:tc>
          <w:tcPr>
            <w:tcW w:w="1555" w:type="dxa"/>
            <w:tcBorders>
              <w:top w:val="nil"/>
              <w:left w:val="nil"/>
              <w:bottom w:val="single" w:sz="4" w:space="0" w:color="auto"/>
              <w:right w:val="single" w:sz="4" w:space="0" w:color="auto"/>
            </w:tcBorders>
            <w:shd w:val="clear" w:color="auto" w:fill="auto"/>
            <w:noWrap/>
            <w:vAlign w:val="center"/>
            <w:hideMark/>
          </w:tcPr>
          <w:p w14:paraId="064425EE" w14:textId="77777777" w:rsidR="003E3939" w:rsidRPr="003E3939" w:rsidRDefault="003E3939" w:rsidP="003E3939">
            <w:pPr>
              <w:ind w:left="0" w:firstLine="0"/>
              <w:jc w:val="right"/>
              <w:rPr>
                <w:rFonts w:eastAsia="Times New Roman" w:cs="Calibri"/>
                <w:sz w:val="20"/>
                <w:szCs w:val="20"/>
                <w:lang w:eastAsia="en-GB"/>
              </w:rPr>
            </w:pPr>
            <w:r w:rsidRPr="003E3939">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7F6FCFC2" w14:textId="77777777" w:rsidR="003E3939" w:rsidRPr="003E3939" w:rsidRDefault="003E3939" w:rsidP="003E3939">
            <w:pPr>
              <w:ind w:left="0" w:firstLine="0"/>
              <w:rPr>
                <w:rFonts w:eastAsia="Times New Roman" w:cs="Calibri"/>
                <w:color w:val="0070C0"/>
                <w:sz w:val="20"/>
                <w:szCs w:val="20"/>
                <w:lang w:eastAsia="en-GB"/>
              </w:rPr>
            </w:pPr>
            <w:r w:rsidRPr="003E3939">
              <w:rPr>
                <w:rFonts w:eastAsia="Times New Roman" w:cs="Calibri"/>
                <w:color w:val="0070C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7F823D6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3</w:t>
            </w:r>
          </w:p>
        </w:tc>
      </w:tr>
      <w:tr w:rsidR="003E3939" w:rsidRPr="003E3939" w14:paraId="440E6110" w14:textId="77777777" w:rsidTr="00834FE6">
        <w:trPr>
          <w:trHeight w:val="255"/>
        </w:trPr>
        <w:tc>
          <w:tcPr>
            <w:tcW w:w="4983" w:type="dxa"/>
            <w:tcBorders>
              <w:top w:val="nil"/>
              <w:left w:val="single" w:sz="4" w:space="0" w:color="auto"/>
              <w:bottom w:val="single" w:sz="4" w:space="0" w:color="auto"/>
              <w:right w:val="single" w:sz="4" w:space="0" w:color="auto"/>
            </w:tcBorders>
            <w:shd w:val="clear" w:color="000000" w:fill="EAF1DD"/>
            <w:vAlign w:val="center"/>
            <w:hideMark/>
          </w:tcPr>
          <w:p w14:paraId="21221877"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J.  IUCN Administrative Service Charges (max.)</w:t>
            </w:r>
          </w:p>
        </w:tc>
        <w:tc>
          <w:tcPr>
            <w:tcW w:w="1554" w:type="dxa"/>
            <w:tcBorders>
              <w:top w:val="nil"/>
              <w:left w:val="nil"/>
              <w:bottom w:val="single" w:sz="4" w:space="0" w:color="auto"/>
              <w:right w:val="single" w:sz="4" w:space="0" w:color="auto"/>
            </w:tcBorders>
            <w:shd w:val="clear" w:color="000000" w:fill="EAF1DD"/>
            <w:noWrap/>
            <w:vAlign w:val="center"/>
            <w:hideMark/>
          </w:tcPr>
          <w:p w14:paraId="34115B75"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560</w:t>
            </w:r>
          </w:p>
        </w:tc>
        <w:tc>
          <w:tcPr>
            <w:tcW w:w="1555" w:type="dxa"/>
            <w:tcBorders>
              <w:top w:val="nil"/>
              <w:left w:val="nil"/>
              <w:bottom w:val="single" w:sz="4" w:space="0" w:color="auto"/>
              <w:right w:val="single" w:sz="4" w:space="0" w:color="auto"/>
            </w:tcBorders>
            <w:shd w:val="clear" w:color="000000" w:fill="EAF1DD"/>
            <w:noWrap/>
            <w:vAlign w:val="center"/>
            <w:hideMark/>
          </w:tcPr>
          <w:p w14:paraId="18EE6342"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0C62A6F5"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3FABBF86"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3ADF4C33"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237B162C"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560</w:t>
            </w:r>
          </w:p>
        </w:tc>
      </w:tr>
      <w:tr w:rsidR="003E3939" w:rsidRPr="003E3939" w14:paraId="1DEFEA5C"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6AE7CCC"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Administration, Human Resources, Finance &amp; IT services</w:t>
            </w:r>
          </w:p>
        </w:tc>
        <w:tc>
          <w:tcPr>
            <w:tcW w:w="1554" w:type="dxa"/>
            <w:tcBorders>
              <w:top w:val="nil"/>
              <w:left w:val="nil"/>
              <w:bottom w:val="single" w:sz="4" w:space="0" w:color="auto"/>
              <w:right w:val="single" w:sz="4" w:space="0" w:color="auto"/>
            </w:tcBorders>
            <w:shd w:val="clear" w:color="auto" w:fill="auto"/>
            <w:noWrap/>
            <w:vAlign w:val="center"/>
            <w:hideMark/>
          </w:tcPr>
          <w:p w14:paraId="1EF6A41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560</w:t>
            </w:r>
          </w:p>
        </w:tc>
        <w:tc>
          <w:tcPr>
            <w:tcW w:w="1555" w:type="dxa"/>
            <w:tcBorders>
              <w:top w:val="nil"/>
              <w:left w:val="nil"/>
              <w:bottom w:val="single" w:sz="4" w:space="0" w:color="auto"/>
              <w:right w:val="single" w:sz="4" w:space="0" w:color="auto"/>
            </w:tcBorders>
            <w:shd w:val="clear" w:color="auto" w:fill="auto"/>
            <w:noWrap/>
            <w:vAlign w:val="center"/>
            <w:hideMark/>
          </w:tcPr>
          <w:p w14:paraId="77018AC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135C34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690F2ED"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1C4452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319E38A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560</w:t>
            </w:r>
          </w:p>
        </w:tc>
      </w:tr>
      <w:tr w:rsidR="003E3939" w:rsidRPr="003E3939" w14:paraId="12877ECB" w14:textId="77777777" w:rsidTr="00834FE6">
        <w:trPr>
          <w:trHeight w:val="270"/>
        </w:trPr>
        <w:tc>
          <w:tcPr>
            <w:tcW w:w="4983" w:type="dxa"/>
            <w:tcBorders>
              <w:top w:val="nil"/>
              <w:left w:val="single" w:sz="4" w:space="0" w:color="auto"/>
              <w:bottom w:val="single" w:sz="4" w:space="0" w:color="auto"/>
              <w:right w:val="single" w:sz="4" w:space="0" w:color="auto"/>
            </w:tcBorders>
            <w:shd w:val="clear" w:color="000000" w:fill="EAF1DD"/>
            <w:noWrap/>
            <w:vAlign w:val="center"/>
            <w:hideMark/>
          </w:tcPr>
          <w:p w14:paraId="17FE8BCA"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K.  Miscellaneous - Reserve Fund</w:t>
            </w:r>
          </w:p>
        </w:tc>
        <w:tc>
          <w:tcPr>
            <w:tcW w:w="1554" w:type="dxa"/>
            <w:tcBorders>
              <w:top w:val="nil"/>
              <w:left w:val="nil"/>
              <w:bottom w:val="single" w:sz="4" w:space="0" w:color="auto"/>
              <w:right w:val="single" w:sz="4" w:space="0" w:color="auto"/>
            </w:tcBorders>
            <w:shd w:val="clear" w:color="000000" w:fill="EAF1DD"/>
            <w:noWrap/>
            <w:vAlign w:val="center"/>
            <w:hideMark/>
          </w:tcPr>
          <w:p w14:paraId="1B4578FC"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109</w:t>
            </w:r>
          </w:p>
        </w:tc>
        <w:tc>
          <w:tcPr>
            <w:tcW w:w="1555" w:type="dxa"/>
            <w:tcBorders>
              <w:top w:val="nil"/>
              <w:left w:val="nil"/>
              <w:bottom w:val="single" w:sz="4" w:space="0" w:color="auto"/>
              <w:right w:val="single" w:sz="4" w:space="0" w:color="auto"/>
            </w:tcBorders>
            <w:shd w:val="clear" w:color="000000" w:fill="EAF1DD"/>
            <w:noWrap/>
            <w:vAlign w:val="center"/>
            <w:hideMark/>
          </w:tcPr>
          <w:p w14:paraId="533F22A7"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000000" w:fill="EAF1DD"/>
            <w:noWrap/>
            <w:vAlign w:val="center"/>
            <w:hideMark/>
          </w:tcPr>
          <w:p w14:paraId="382148F8"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129</w:t>
            </w:r>
          </w:p>
        </w:tc>
        <w:tc>
          <w:tcPr>
            <w:tcW w:w="1555" w:type="dxa"/>
            <w:tcBorders>
              <w:top w:val="nil"/>
              <w:left w:val="nil"/>
              <w:bottom w:val="single" w:sz="4" w:space="0" w:color="auto"/>
              <w:right w:val="single" w:sz="4" w:space="0" w:color="auto"/>
            </w:tcBorders>
            <w:shd w:val="clear" w:color="000000" w:fill="EAF1DD"/>
            <w:noWrap/>
            <w:vAlign w:val="center"/>
            <w:hideMark/>
          </w:tcPr>
          <w:p w14:paraId="6FF925F0"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714</w:t>
            </w:r>
          </w:p>
        </w:tc>
        <w:tc>
          <w:tcPr>
            <w:tcW w:w="1555" w:type="dxa"/>
            <w:tcBorders>
              <w:top w:val="nil"/>
              <w:left w:val="nil"/>
              <w:bottom w:val="single" w:sz="4" w:space="0" w:color="auto"/>
              <w:right w:val="single" w:sz="4" w:space="0" w:color="auto"/>
            </w:tcBorders>
            <w:shd w:val="clear" w:color="000000" w:fill="EAF1DD"/>
            <w:noWrap/>
            <w:vAlign w:val="center"/>
            <w:hideMark/>
          </w:tcPr>
          <w:p w14:paraId="44314BD8"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EAF1DD"/>
            <w:noWrap/>
            <w:vAlign w:val="center"/>
            <w:hideMark/>
          </w:tcPr>
          <w:p w14:paraId="3237676D"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951</w:t>
            </w:r>
          </w:p>
        </w:tc>
      </w:tr>
      <w:tr w:rsidR="003E3939" w:rsidRPr="003E3939" w14:paraId="2C975109"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7317DC1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Staff Provisions</w:t>
            </w:r>
          </w:p>
        </w:tc>
        <w:tc>
          <w:tcPr>
            <w:tcW w:w="1554" w:type="dxa"/>
            <w:tcBorders>
              <w:top w:val="nil"/>
              <w:left w:val="nil"/>
              <w:bottom w:val="single" w:sz="4" w:space="0" w:color="auto"/>
              <w:right w:val="single" w:sz="4" w:space="0" w:color="auto"/>
            </w:tcBorders>
            <w:shd w:val="clear" w:color="auto" w:fill="auto"/>
            <w:noWrap/>
            <w:vAlign w:val="center"/>
            <w:hideMark/>
          </w:tcPr>
          <w:p w14:paraId="7562DD27" w14:textId="6DEBA49E" w:rsidR="003E3939" w:rsidRPr="00340E62" w:rsidRDefault="000B2A00"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50</w:t>
            </w:r>
          </w:p>
        </w:tc>
        <w:tc>
          <w:tcPr>
            <w:tcW w:w="1555" w:type="dxa"/>
            <w:tcBorders>
              <w:top w:val="nil"/>
              <w:left w:val="nil"/>
              <w:bottom w:val="single" w:sz="4" w:space="0" w:color="auto"/>
              <w:right w:val="single" w:sz="4" w:space="0" w:color="auto"/>
            </w:tcBorders>
            <w:shd w:val="clear" w:color="auto" w:fill="auto"/>
            <w:noWrap/>
            <w:vAlign w:val="center"/>
            <w:hideMark/>
          </w:tcPr>
          <w:p w14:paraId="6CCB24F7" w14:textId="77777777" w:rsidR="003E3939" w:rsidRPr="00340E62" w:rsidRDefault="003E3939"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856050D" w14:textId="77777777" w:rsidR="003E3939" w:rsidRPr="00340E62" w:rsidRDefault="003E3939"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270C9E2A" w14:textId="77777777" w:rsidR="003E3939" w:rsidRPr="00340E62" w:rsidRDefault="003E3939"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73</w:t>
            </w:r>
          </w:p>
        </w:tc>
        <w:tc>
          <w:tcPr>
            <w:tcW w:w="1555" w:type="dxa"/>
            <w:tcBorders>
              <w:top w:val="nil"/>
              <w:left w:val="nil"/>
              <w:bottom w:val="single" w:sz="4" w:space="0" w:color="auto"/>
              <w:right w:val="single" w:sz="4" w:space="0" w:color="auto"/>
            </w:tcBorders>
            <w:shd w:val="clear" w:color="auto" w:fill="auto"/>
            <w:noWrap/>
            <w:vAlign w:val="center"/>
            <w:hideMark/>
          </w:tcPr>
          <w:p w14:paraId="2A1C6DF4" w14:textId="77777777" w:rsidR="003E3939" w:rsidRPr="00340E62" w:rsidRDefault="003E3939" w:rsidP="003E3939">
            <w:pPr>
              <w:ind w:left="0" w:firstLine="0"/>
              <w:rPr>
                <w:rFonts w:eastAsia="Times New Roman" w:cs="Calibri"/>
                <w:color w:val="000000"/>
                <w:sz w:val="20"/>
                <w:szCs w:val="20"/>
                <w:lang w:eastAsia="en-GB"/>
              </w:rPr>
            </w:pPr>
            <w:r w:rsidRPr="00340E62">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FB2E210" w14:textId="041733AB" w:rsidR="003E3939" w:rsidRPr="00340E62" w:rsidRDefault="000B2A00"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123</w:t>
            </w:r>
          </w:p>
        </w:tc>
      </w:tr>
      <w:tr w:rsidR="003E3939" w:rsidRPr="003E3939" w14:paraId="1F32D3B4" w14:textId="77777777" w:rsidTr="00834FE6">
        <w:trPr>
          <w:trHeight w:val="270"/>
        </w:trPr>
        <w:tc>
          <w:tcPr>
            <w:tcW w:w="4983" w:type="dxa"/>
            <w:tcBorders>
              <w:top w:val="nil"/>
              <w:left w:val="single" w:sz="4" w:space="0" w:color="auto"/>
              <w:bottom w:val="single" w:sz="4" w:space="0" w:color="auto"/>
              <w:right w:val="nil"/>
            </w:tcBorders>
            <w:shd w:val="clear" w:color="auto" w:fill="auto"/>
            <w:noWrap/>
            <w:vAlign w:val="center"/>
            <w:hideMark/>
          </w:tcPr>
          <w:p w14:paraId="440C9C36"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Provision for outstanding contributions</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32D1AA92" w14:textId="0925DAC0" w:rsidR="003E3939" w:rsidRPr="00340E62" w:rsidRDefault="000B2A00"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0896C8C" w14:textId="77777777" w:rsidR="003E3939" w:rsidRPr="00340E62" w:rsidRDefault="003E3939"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315F19B" w14:textId="77777777" w:rsidR="003E3939" w:rsidRPr="00340E62" w:rsidRDefault="003E3939" w:rsidP="003E3939">
            <w:pPr>
              <w:ind w:left="0" w:firstLine="0"/>
              <w:jc w:val="right"/>
              <w:rPr>
                <w:rFonts w:eastAsia="Times New Roman" w:cs="Calibri"/>
                <w:sz w:val="20"/>
                <w:szCs w:val="20"/>
                <w:lang w:eastAsia="en-GB"/>
              </w:rPr>
            </w:pPr>
            <w:r w:rsidRPr="00340E62">
              <w:rPr>
                <w:rFonts w:eastAsia="Times New Roman" w:cs="Calibri"/>
                <w:sz w:val="20"/>
                <w:szCs w:val="20"/>
                <w:lang w:eastAsia="en-GB"/>
              </w:rPr>
              <w:t>68</w:t>
            </w:r>
          </w:p>
        </w:tc>
        <w:tc>
          <w:tcPr>
            <w:tcW w:w="1555" w:type="dxa"/>
            <w:tcBorders>
              <w:top w:val="nil"/>
              <w:left w:val="nil"/>
              <w:bottom w:val="single" w:sz="4" w:space="0" w:color="auto"/>
              <w:right w:val="single" w:sz="4" w:space="0" w:color="auto"/>
            </w:tcBorders>
            <w:shd w:val="clear" w:color="auto" w:fill="auto"/>
            <w:noWrap/>
            <w:vAlign w:val="center"/>
            <w:hideMark/>
          </w:tcPr>
          <w:p w14:paraId="1BE28A5F" w14:textId="77777777" w:rsidR="003E3939" w:rsidRPr="00340E62" w:rsidRDefault="003E3939" w:rsidP="003E3939">
            <w:pPr>
              <w:ind w:left="0" w:firstLine="0"/>
              <w:jc w:val="right"/>
              <w:rPr>
                <w:rFonts w:eastAsia="Times New Roman" w:cs="Calibri"/>
                <w:sz w:val="20"/>
                <w:szCs w:val="20"/>
                <w:lang w:eastAsia="en-GB"/>
              </w:rPr>
            </w:pPr>
            <w:r w:rsidRPr="00340E62">
              <w:rPr>
                <w:rFonts w:eastAsia="Times New Roman" w:cs="Calibri"/>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CE327CA" w14:textId="77777777" w:rsidR="003E3939" w:rsidRPr="00340E62" w:rsidRDefault="003E3939" w:rsidP="003E3939">
            <w:pPr>
              <w:ind w:left="0" w:firstLine="0"/>
              <w:rPr>
                <w:rFonts w:eastAsia="Times New Roman" w:cs="Calibri"/>
                <w:sz w:val="20"/>
                <w:szCs w:val="20"/>
                <w:lang w:eastAsia="en-GB"/>
              </w:rPr>
            </w:pPr>
            <w:r w:rsidRPr="00340E62">
              <w:rPr>
                <w:rFonts w:eastAsia="Times New Roman" w:cs="Calibri"/>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117A62F4" w14:textId="0C45B100" w:rsidR="003E3939" w:rsidRPr="00340E62" w:rsidRDefault="000B2A00" w:rsidP="003E3939">
            <w:pPr>
              <w:ind w:left="0" w:firstLine="0"/>
              <w:jc w:val="right"/>
              <w:rPr>
                <w:rFonts w:eastAsia="Times New Roman" w:cs="Calibri"/>
                <w:color w:val="000000"/>
                <w:sz w:val="20"/>
                <w:szCs w:val="20"/>
                <w:lang w:eastAsia="en-GB"/>
              </w:rPr>
            </w:pPr>
            <w:r w:rsidRPr="00340E62">
              <w:rPr>
                <w:rFonts w:eastAsia="Times New Roman" w:cs="Calibri"/>
                <w:color w:val="000000"/>
                <w:sz w:val="20"/>
                <w:szCs w:val="20"/>
                <w:lang w:eastAsia="en-GB"/>
              </w:rPr>
              <w:t>68</w:t>
            </w:r>
          </w:p>
        </w:tc>
      </w:tr>
      <w:tr w:rsidR="003E3939" w:rsidRPr="003E3939" w14:paraId="293B8535" w14:textId="77777777" w:rsidTr="00340E62">
        <w:trPr>
          <w:trHeight w:val="90"/>
        </w:trPr>
        <w:tc>
          <w:tcPr>
            <w:tcW w:w="4983" w:type="dxa"/>
            <w:tcBorders>
              <w:top w:val="nil"/>
              <w:left w:val="single" w:sz="4" w:space="0" w:color="auto"/>
              <w:bottom w:val="single" w:sz="4" w:space="0" w:color="auto"/>
              <w:right w:val="nil"/>
            </w:tcBorders>
            <w:shd w:val="clear" w:color="auto" w:fill="auto"/>
            <w:noWrap/>
            <w:vAlign w:val="center"/>
            <w:hideMark/>
          </w:tcPr>
          <w:p w14:paraId="7BF0688B"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SC58 budget &amp; uncommitted carry forward savings</w:t>
            </w:r>
          </w:p>
        </w:tc>
        <w:tc>
          <w:tcPr>
            <w:tcW w:w="1554" w:type="dxa"/>
            <w:tcBorders>
              <w:top w:val="nil"/>
              <w:left w:val="single" w:sz="4" w:space="0" w:color="auto"/>
              <w:bottom w:val="single" w:sz="4" w:space="0" w:color="auto"/>
              <w:right w:val="single" w:sz="4" w:space="0" w:color="auto"/>
            </w:tcBorders>
            <w:shd w:val="clear" w:color="auto" w:fill="auto"/>
            <w:noWrap/>
            <w:vAlign w:val="center"/>
            <w:hideMark/>
          </w:tcPr>
          <w:p w14:paraId="50E799A0"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5FFD7626"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9AA86A5"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3DFC1E91"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709</w:t>
            </w:r>
          </w:p>
        </w:tc>
        <w:tc>
          <w:tcPr>
            <w:tcW w:w="1555" w:type="dxa"/>
            <w:tcBorders>
              <w:top w:val="nil"/>
              <w:left w:val="nil"/>
              <w:bottom w:val="single" w:sz="4" w:space="0" w:color="auto"/>
              <w:right w:val="single" w:sz="4" w:space="0" w:color="auto"/>
            </w:tcBorders>
            <w:shd w:val="clear" w:color="auto" w:fill="auto"/>
            <w:noWrap/>
            <w:vAlign w:val="center"/>
            <w:hideMark/>
          </w:tcPr>
          <w:p w14:paraId="0C2D641D"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466724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709</w:t>
            </w:r>
          </w:p>
        </w:tc>
      </w:tr>
      <w:tr w:rsidR="003E3939" w:rsidRPr="003E3939" w14:paraId="57FCE224"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6B72138C"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Exchange rate gains / losses</w:t>
            </w:r>
          </w:p>
        </w:tc>
        <w:tc>
          <w:tcPr>
            <w:tcW w:w="1554" w:type="dxa"/>
            <w:tcBorders>
              <w:top w:val="nil"/>
              <w:left w:val="nil"/>
              <w:bottom w:val="single" w:sz="4" w:space="0" w:color="auto"/>
              <w:right w:val="single" w:sz="4" w:space="0" w:color="auto"/>
            </w:tcBorders>
            <w:shd w:val="clear" w:color="auto" w:fill="auto"/>
            <w:noWrap/>
            <w:vAlign w:val="center"/>
            <w:hideMark/>
          </w:tcPr>
          <w:p w14:paraId="1264E523"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43B72C2F"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526D0F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nil"/>
              <w:bottom w:val="single" w:sz="4" w:space="0" w:color="auto"/>
              <w:right w:val="single" w:sz="4" w:space="0" w:color="auto"/>
            </w:tcBorders>
            <w:shd w:val="clear" w:color="auto" w:fill="auto"/>
            <w:noWrap/>
            <w:vAlign w:val="center"/>
            <w:hideMark/>
          </w:tcPr>
          <w:p w14:paraId="1D2AFE3A"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(94)</w:t>
            </w:r>
          </w:p>
        </w:tc>
        <w:tc>
          <w:tcPr>
            <w:tcW w:w="1555" w:type="dxa"/>
            <w:tcBorders>
              <w:top w:val="nil"/>
              <w:left w:val="nil"/>
              <w:bottom w:val="single" w:sz="4" w:space="0" w:color="auto"/>
              <w:right w:val="single" w:sz="4" w:space="0" w:color="auto"/>
            </w:tcBorders>
            <w:shd w:val="clear" w:color="auto" w:fill="auto"/>
            <w:noWrap/>
            <w:vAlign w:val="center"/>
            <w:hideMark/>
          </w:tcPr>
          <w:p w14:paraId="1567CBE4"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4A05B4F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(94)</w:t>
            </w:r>
          </w:p>
        </w:tc>
      </w:tr>
      <w:tr w:rsidR="003E3939" w:rsidRPr="003E3939" w14:paraId="066CDA12" w14:textId="77777777" w:rsidTr="00834FE6">
        <w:trPr>
          <w:trHeight w:val="270"/>
        </w:trPr>
        <w:tc>
          <w:tcPr>
            <w:tcW w:w="4983" w:type="dxa"/>
            <w:tcBorders>
              <w:top w:val="nil"/>
              <w:left w:val="single" w:sz="4" w:space="0" w:color="auto"/>
              <w:bottom w:val="single" w:sz="4" w:space="0" w:color="auto"/>
              <w:right w:val="single" w:sz="4" w:space="0" w:color="auto"/>
            </w:tcBorders>
            <w:shd w:val="clear" w:color="auto" w:fill="auto"/>
            <w:noWrap/>
            <w:vAlign w:val="center"/>
            <w:hideMark/>
          </w:tcPr>
          <w:p w14:paraId="1B7C5A91"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Legal Services</w:t>
            </w:r>
          </w:p>
        </w:tc>
        <w:tc>
          <w:tcPr>
            <w:tcW w:w="1554" w:type="dxa"/>
            <w:tcBorders>
              <w:top w:val="nil"/>
              <w:left w:val="nil"/>
              <w:bottom w:val="single" w:sz="4" w:space="0" w:color="auto"/>
              <w:right w:val="single" w:sz="4" w:space="0" w:color="auto"/>
            </w:tcBorders>
            <w:shd w:val="clear" w:color="auto" w:fill="auto"/>
            <w:noWrap/>
            <w:vAlign w:val="center"/>
            <w:hideMark/>
          </w:tcPr>
          <w:p w14:paraId="0CAB3E34"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59</w:t>
            </w:r>
          </w:p>
        </w:tc>
        <w:tc>
          <w:tcPr>
            <w:tcW w:w="1555" w:type="dxa"/>
            <w:tcBorders>
              <w:top w:val="nil"/>
              <w:left w:val="nil"/>
              <w:bottom w:val="single" w:sz="4" w:space="0" w:color="auto"/>
              <w:right w:val="single" w:sz="4" w:space="0" w:color="auto"/>
            </w:tcBorders>
            <w:shd w:val="clear" w:color="auto" w:fill="auto"/>
            <w:noWrap/>
            <w:vAlign w:val="center"/>
            <w:hideMark/>
          </w:tcPr>
          <w:p w14:paraId="207DF5FB"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0</w:t>
            </w:r>
          </w:p>
        </w:tc>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B5274A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61</w:t>
            </w:r>
          </w:p>
        </w:tc>
        <w:tc>
          <w:tcPr>
            <w:tcW w:w="1555" w:type="dxa"/>
            <w:tcBorders>
              <w:top w:val="nil"/>
              <w:left w:val="nil"/>
              <w:bottom w:val="single" w:sz="4" w:space="0" w:color="auto"/>
              <w:right w:val="single" w:sz="4" w:space="0" w:color="auto"/>
            </w:tcBorders>
            <w:shd w:val="clear" w:color="auto" w:fill="auto"/>
            <w:noWrap/>
            <w:vAlign w:val="center"/>
            <w:hideMark/>
          </w:tcPr>
          <w:p w14:paraId="4551F5AC"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26</w:t>
            </w:r>
          </w:p>
        </w:tc>
        <w:tc>
          <w:tcPr>
            <w:tcW w:w="1555" w:type="dxa"/>
            <w:tcBorders>
              <w:top w:val="nil"/>
              <w:left w:val="nil"/>
              <w:bottom w:val="single" w:sz="4" w:space="0" w:color="auto"/>
              <w:right w:val="single" w:sz="4" w:space="0" w:color="auto"/>
            </w:tcBorders>
            <w:shd w:val="clear" w:color="auto" w:fill="auto"/>
            <w:noWrap/>
            <w:vAlign w:val="center"/>
            <w:hideMark/>
          </w:tcPr>
          <w:p w14:paraId="744A9A81" w14:textId="77777777" w:rsidR="003E3939" w:rsidRPr="003E3939" w:rsidRDefault="003E3939" w:rsidP="003E3939">
            <w:pPr>
              <w:ind w:left="0" w:firstLine="0"/>
              <w:rPr>
                <w:rFonts w:eastAsia="Times New Roman" w:cs="Calibri"/>
                <w:color w:val="000000"/>
                <w:sz w:val="20"/>
                <w:szCs w:val="20"/>
                <w:lang w:eastAsia="en-GB"/>
              </w:rPr>
            </w:pPr>
            <w:r w:rsidRPr="003E3939">
              <w:rPr>
                <w:rFonts w:eastAsia="Times New Roman" w:cs="Calibri"/>
                <w:color w:val="000000"/>
                <w:sz w:val="20"/>
                <w:szCs w:val="20"/>
                <w:lang w:eastAsia="en-GB"/>
              </w:rPr>
              <w:t> </w:t>
            </w:r>
          </w:p>
        </w:tc>
        <w:tc>
          <w:tcPr>
            <w:tcW w:w="1555" w:type="dxa"/>
            <w:tcBorders>
              <w:top w:val="nil"/>
              <w:left w:val="nil"/>
              <w:bottom w:val="single" w:sz="4" w:space="0" w:color="auto"/>
              <w:right w:val="single" w:sz="4" w:space="0" w:color="auto"/>
            </w:tcBorders>
            <w:shd w:val="clear" w:color="auto" w:fill="auto"/>
            <w:noWrap/>
            <w:vAlign w:val="center"/>
            <w:hideMark/>
          </w:tcPr>
          <w:p w14:paraId="6D162A97" w14:textId="77777777" w:rsidR="003E3939" w:rsidRPr="003E3939" w:rsidRDefault="003E3939" w:rsidP="003E3939">
            <w:pPr>
              <w:ind w:left="0" w:firstLine="0"/>
              <w:jc w:val="right"/>
              <w:rPr>
                <w:rFonts w:eastAsia="Times New Roman" w:cs="Calibri"/>
                <w:color w:val="000000"/>
                <w:sz w:val="20"/>
                <w:szCs w:val="20"/>
                <w:lang w:eastAsia="en-GB"/>
              </w:rPr>
            </w:pPr>
            <w:r w:rsidRPr="003E3939">
              <w:rPr>
                <w:rFonts w:eastAsia="Times New Roman" w:cs="Calibri"/>
                <w:color w:val="000000"/>
                <w:sz w:val="20"/>
                <w:szCs w:val="20"/>
                <w:lang w:eastAsia="en-GB"/>
              </w:rPr>
              <w:t>145</w:t>
            </w:r>
          </w:p>
        </w:tc>
      </w:tr>
      <w:tr w:rsidR="003E3939" w:rsidRPr="003E3939" w14:paraId="78D53981" w14:textId="77777777" w:rsidTr="00834FE6">
        <w:trPr>
          <w:trHeight w:val="300"/>
        </w:trPr>
        <w:tc>
          <w:tcPr>
            <w:tcW w:w="4983" w:type="dxa"/>
            <w:tcBorders>
              <w:top w:val="nil"/>
              <w:left w:val="single" w:sz="4" w:space="0" w:color="auto"/>
              <w:bottom w:val="single" w:sz="4" w:space="0" w:color="auto"/>
              <w:right w:val="single" w:sz="4" w:space="0" w:color="auto"/>
            </w:tcBorders>
            <w:shd w:val="clear" w:color="000000" w:fill="D6E3BC"/>
            <w:noWrap/>
            <w:vAlign w:val="center"/>
            <w:hideMark/>
          </w:tcPr>
          <w:p w14:paraId="18F697B8" w14:textId="77777777" w:rsidR="003E3939" w:rsidRPr="003E3939" w:rsidRDefault="003E3939" w:rsidP="003E3939">
            <w:pPr>
              <w:ind w:left="0" w:firstLine="0"/>
              <w:rPr>
                <w:rFonts w:eastAsia="Times New Roman" w:cs="Calibri"/>
                <w:b/>
                <w:bCs/>
                <w:color w:val="000000"/>
                <w:sz w:val="20"/>
                <w:szCs w:val="20"/>
                <w:lang w:eastAsia="en-GB"/>
              </w:rPr>
            </w:pPr>
            <w:r w:rsidRPr="003E3939">
              <w:rPr>
                <w:rFonts w:eastAsia="Times New Roman" w:cs="Calibri"/>
                <w:b/>
                <w:bCs/>
                <w:color w:val="000000"/>
                <w:sz w:val="20"/>
                <w:szCs w:val="20"/>
                <w:lang w:eastAsia="en-GB"/>
              </w:rPr>
              <w:t>TOTAL EXPENDITURES</w:t>
            </w:r>
          </w:p>
        </w:tc>
        <w:tc>
          <w:tcPr>
            <w:tcW w:w="1554" w:type="dxa"/>
            <w:tcBorders>
              <w:top w:val="nil"/>
              <w:left w:val="nil"/>
              <w:bottom w:val="single" w:sz="4" w:space="0" w:color="auto"/>
              <w:right w:val="single" w:sz="4" w:space="0" w:color="auto"/>
            </w:tcBorders>
            <w:shd w:val="clear" w:color="000000" w:fill="D6E3BC"/>
            <w:noWrap/>
            <w:vAlign w:val="center"/>
            <w:hideMark/>
          </w:tcPr>
          <w:p w14:paraId="472723A4"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5,081</w:t>
            </w:r>
          </w:p>
        </w:tc>
        <w:tc>
          <w:tcPr>
            <w:tcW w:w="1555" w:type="dxa"/>
            <w:tcBorders>
              <w:top w:val="nil"/>
              <w:left w:val="nil"/>
              <w:bottom w:val="single" w:sz="4" w:space="0" w:color="auto"/>
              <w:right w:val="single" w:sz="4" w:space="0" w:color="auto"/>
            </w:tcBorders>
            <w:shd w:val="clear" w:color="000000" w:fill="D6E3BC"/>
            <w:noWrap/>
            <w:vAlign w:val="center"/>
            <w:hideMark/>
          </w:tcPr>
          <w:p w14:paraId="438F3474"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76</w:t>
            </w:r>
          </w:p>
        </w:tc>
        <w:tc>
          <w:tcPr>
            <w:tcW w:w="1555" w:type="dxa"/>
            <w:tcBorders>
              <w:top w:val="nil"/>
              <w:left w:val="single" w:sz="4" w:space="0" w:color="auto"/>
              <w:bottom w:val="single" w:sz="4" w:space="0" w:color="auto"/>
              <w:right w:val="single" w:sz="4" w:space="0" w:color="auto"/>
            </w:tcBorders>
            <w:shd w:val="clear" w:color="000000" w:fill="D6E3BC"/>
            <w:noWrap/>
            <w:vAlign w:val="center"/>
            <w:hideMark/>
          </w:tcPr>
          <w:p w14:paraId="67DC12DD"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712</w:t>
            </w:r>
          </w:p>
        </w:tc>
        <w:tc>
          <w:tcPr>
            <w:tcW w:w="1555" w:type="dxa"/>
            <w:tcBorders>
              <w:top w:val="nil"/>
              <w:left w:val="nil"/>
              <w:bottom w:val="single" w:sz="4" w:space="0" w:color="auto"/>
              <w:right w:val="single" w:sz="4" w:space="0" w:color="auto"/>
            </w:tcBorders>
            <w:shd w:val="clear" w:color="000000" w:fill="D6E3BC"/>
            <w:noWrap/>
            <w:vAlign w:val="center"/>
            <w:hideMark/>
          </w:tcPr>
          <w:p w14:paraId="00CCA87E"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1,590</w:t>
            </w:r>
          </w:p>
        </w:tc>
        <w:tc>
          <w:tcPr>
            <w:tcW w:w="1555" w:type="dxa"/>
            <w:tcBorders>
              <w:top w:val="nil"/>
              <w:left w:val="nil"/>
              <w:bottom w:val="single" w:sz="4" w:space="0" w:color="auto"/>
              <w:right w:val="single" w:sz="4" w:space="0" w:color="auto"/>
            </w:tcBorders>
            <w:shd w:val="clear" w:color="000000" w:fill="D6E3BC"/>
            <w:noWrap/>
            <w:vAlign w:val="center"/>
            <w:hideMark/>
          </w:tcPr>
          <w:p w14:paraId="46689515"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0</w:t>
            </w:r>
          </w:p>
        </w:tc>
        <w:tc>
          <w:tcPr>
            <w:tcW w:w="1555" w:type="dxa"/>
            <w:tcBorders>
              <w:top w:val="nil"/>
              <w:left w:val="nil"/>
              <w:bottom w:val="single" w:sz="4" w:space="0" w:color="auto"/>
              <w:right w:val="single" w:sz="4" w:space="0" w:color="auto"/>
            </w:tcBorders>
            <w:shd w:val="clear" w:color="000000" w:fill="D6E3BC"/>
            <w:noWrap/>
            <w:vAlign w:val="center"/>
            <w:hideMark/>
          </w:tcPr>
          <w:p w14:paraId="352C2005" w14:textId="77777777" w:rsidR="003E3939" w:rsidRPr="003E3939" w:rsidRDefault="003E3939" w:rsidP="003E3939">
            <w:pPr>
              <w:ind w:left="0" w:firstLine="0"/>
              <w:jc w:val="right"/>
              <w:rPr>
                <w:rFonts w:eastAsia="Times New Roman" w:cs="Calibri"/>
                <w:b/>
                <w:bCs/>
                <w:color w:val="000000"/>
                <w:sz w:val="20"/>
                <w:szCs w:val="20"/>
                <w:lang w:eastAsia="en-GB"/>
              </w:rPr>
            </w:pPr>
            <w:r w:rsidRPr="003E3939">
              <w:rPr>
                <w:rFonts w:eastAsia="Times New Roman" w:cs="Calibri"/>
                <w:b/>
                <w:bCs/>
                <w:color w:val="000000"/>
                <w:sz w:val="20"/>
                <w:szCs w:val="20"/>
                <w:lang w:eastAsia="en-GB"/>
              </w:rPr>
              <w:t>7,459</w:t>
            </w:r>
          </w:p>
        </w:tc>
      </w:tr>
    </w:tbl>
    <w:p w14:paraId="5794B63F" w14:textId="78C92F71" w:rsidR="0036778B" w:rsidRPr="008B645E" w:rsidRDefault="00834FE6" w:rsidP="00E42F5B">
      <w:pPr>
        <w:ind w:left="0" w:firstLine="0"/>
        <w:rPr>
          <w:rFonts w:asciiTheme="minorHAnsi" w:eastAsia="Times New Roman" w:hAnsiTheme="minorHAnsi" w:cstheme="minorHAnsi"/>
          <w:b/>
          <w:bCs/>
          <w:lang w:eastAsia="en-GB"/>
        </w:rPr>
      </w:pPr>
      <w:r w:rsidRPr="008B645E">
        <w:rPr>
          <w:rFonts w:asciiTheme="minorHAnsi" w:eastAsia="Times New Roman" w:hAnsiTheme="minorHAnsi" w:cstheme="minorHAnsi"/>
          <w:b/>
          <w:bCs/>
          <w:color w:val="000000"/>
          <w:sz w:val="20"/>
          <w:szCs w:val="20"/>
          <w:lang w:eastAsia="en-GB"/>
        </w:rPr>
        <w:t>Note:</w:t>
      </w:r>
    </w:p>
    <w:p w14:paraId="369C68FB" w14:textId="77777777" w:rsidR="00834FE6" w:rsidRPr="008B645E" w:rsidRDefault="00834FE6" w:rsidP="00834FE6">
      <w:pPr>
        <w:ind w:left="0" w:firstLine="0"/>
        <w:rPr>
          <w:rFonts w:asciiTheme="minorHAnsi" w:eastAsia="Times New Roman" w:hAnsiTheme="minorHAnsi" w:cstheme="minorHAnsi"/>
          <w:color w:val="000000"/>
          <w:sz w:val="20"/>
          <w:szCs w:val="20"/>
          <w:lang w:eastAsia="en-GB"/>
        </w:rPr>
      </w:pPr>
      <w:r w:rsidRPr="008B645E">
        <w:rPr>
          <w:rFonts w:asciiTheme="minorHAnsi" w:eastAsia="Times New Roman" w:hAnsiTheme="minorHAnsi" w:cstheme="minorHAnsi"/>
          <w:color w:val="000000"/>
          <w:sz w:val="20"/>
          <w:szCs w:val="20"/>
          <w:lang w:eastAsia="en-GB"/>
        </w:rPr>
        <w:t>*adjustments are made to COP13 approved budget between the existing budget lines, not to carry forwards</w:t>
      </w:r>
    </w:p>
    <w:p w14:paraId="0B72953E" w14:textId="77777777" w:rsidR="00B32336" w:rsidRPr="003956B3" w:rsidRDefault="00B32336" w:rsidP="007E2564">
      <w:pPr>
        <w:ind w:left="0" w:right="-154" w:firstLine="0"/>
        <w:rPr>
          <w:sz w:val="20"/>
          <w:szCs w:val="20"/>
        </w:rPr>
      </w:pPr>
    </w:p>
    <w:sectPr w:rsidR="00B32336" w:rsidRPr="003956B3" w:rsidSect="00834FE6">
      <w:footerReference w:type="default" r:id="rId11"/>
      <w:pgSz w:w="16838" w:h="11906" w:orient="landscape" w:code="9"/>
      <w:pgMar w:top="1440" w:right="1440" w:bottom="1440"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C47385" w16cid:durableId="2450EF4D"/>
  <w16cid:commentId w16cid:paraId="57D57E66" w16cid:durableId="2450EF4E"/>
  <w16cid:commentId w16cid:paraId="7D322FB2" w16cid:durableId="24523D03"/>
  <w16cid:commentId w16cid:paraId="3FD9748E" w16cid:durableId="2450F43A"/>
  <w16cid:commentId w16cid:paraId="249FADAB" w16cid:durableId="2450EF4F"/>
  <w16cid:commentId w16cid:paraId="20CD39E0" w16cid:durableId="2450EF50"/>
  <w16cid:commentId w16cid:paraId="30C6031B" w16cid:durableId="24523F29"/>
  <w16cid:commentId w16cid:paraId="154A04D3" w16cid:durableId="2452408A"/>
  <w16cid:commentId w16cid:paraId="3B0C1234" w16cid:durableId="2450EF51"/>
  <w16cid:commentId w16cid:paraId="426F9E38" w16cid:durableId="2450EF52"/>
  <w16cid:commentId w16cid:paraId="2EC663F3" w16cid:durableId="245255F7"/>
  <w16cid:commentId w16cid:paraId="72685252" w16cid:durableId="243A9800"/>
  <w16cid:commentId w16cid:paraId="56FBA0BD" w16cid:durableId="2450EF54"/>
  <w16cid:commentId w16cid:paraId="686EEB4C" w16cid:durableId="2450EF55"/>
  <w16cid:commentId w16cid:paraId="0301FF01" w16cid:durableId="2450EF56"/>
  <w16cid:commentId w16cid:paraId="3E919282" w16cid:durableId="2450EF57"/>
  <w16cid:commentId w16cid:paraId="1EF84DE6" w16cid:durableId="2450EF58"/>
  <w16cid:commentId w16cid:paraId="3A82D4EA" w16cid:durableId="2450EF59"/>
  <w16cid:commentId w16cid:paraId="58ADACED" w16cid:durableId="2450EF5A"/>
  <w16cid:commentId w16cid:paraId="572527F2" w16cid:durableId="24525762"/>
  <w16cid:commentId w16cid:paraId="3259C5E4" w16cid:durableId="2450EF5B"/>
  <w16cid:commentId w16cid:paraId="5264076C" w16cid:durableId="24525863"/>
  <w16cid:commentId w16cid:paraId="51C518CD" w16cid:durableId="2450EF5C"/>
  <w16cid:commentId w16cid:paraId="06BF562D" w16cid:durableId="2450EF5D"/>
  <w16cid:commentId w16cid:paraId="10E729CD" w16cid:durableId="2450EF5E"/>
  <w16cid:commentId w16cid:paraId="004054AB" w16cid:durableId="2450EF5F"/>
  <w16cid:commentId w16cid:paraId="59E80019" w16cid:durableId="24525C6E"/>
  <w16cid:commentId w16cid:paraId="3CB9CEF7" w16cid:durableId="2450EF60"/>
  <w16cid:commentId w16cid:paraId="3B07EF6C" w16cid:durableId="2450EF61"/>
  <w16cid:commentId w16cid:paraId="57A2E8C9" w16cid:durableId="2450EF62"/>
  <w16cid:commentId w16cid:paraId="321CF7E1" w16cid:durableId="2450EF63"/>
  <w16cid:commentId w16cid:paraId="50B3A4E1" w16cid:durableId="2450EF64"/>
  <w16cid:commentId w16cid:paraId="06089252" w16cid:durableId="2450EF65"/>
  <w16cid:commentId w16cid:paraId="6B51F7F0" w16cid:durableId="2450EF66"/>
  <w16cid:commentId w16cid:paraId="76223879" w16cid:durableId="2450EF67"/>
  <w16cid:commentId w16cid:paraId="62E4FFA8" w16cid:durableId="2450EF68"/>
  <w16cid:commentId w16cid:paraId="71A7758C" w16cid:durableId="2450EF69"/>
  <w16cid:commentId w16cid:paraId="1BBD96D6" w16cid:durableId="24525DFA"/>
  <w16cid:commentId w16cid:paraId="7F3410A6" w16cid:durableId="2450EF6A"/>
  <w16cid:commentId w16cid:paraId="470C0CD6" w16cid:durableId="2450EF6B"/>
  <w16cid:commentId w16cid:paraId="28733FF0" w16cid:durableId="2450EF6C"/>
  <w16cid:commentId w16cid:paraId="388583D7" w16cid:durableId="2450EF6D"/>
  <w16cid:commentId w16cid:paraId="24515194" w16cid:durableId="2450EF6E"/>
  <w16cid:commentId w16cid:paraId="7EFDACA5" w16cid:durableId="2450EF6F"/>
  <w16cid:commentId w16cid:paraId="657F1CDE" w16cid:durableId="2450EF70"/>
  <w16cid:commentId w16cid:paraId="2CBA3D3D" w16cid:durableId="2450EF71"/>
  <w16cid:commentId w16cid:paraId="5480FE44" w16cid:durableId="2450EF72"/>
  <w16cid:commentId w16cid:paraId="587CE782" w16cid:durableId="2450EF73"/>
  <w16cid:commentId w16cid:paraId="6031016B" w16cid:durableId="2450EF74"/>
  <w16cid:commentId w16cid:paraId="2FE8F350" w16cid:durableId="24525FDA"/>
  <w16cid:commentId w16cid:paraId="4D48545A" w16cid:durableId="2450EF75"/>
  <w16cid:commentId w16cid:paraId="602D0868" w16cid:durableId="2450EF76"/>
  <w16cid:commentId w16cid:paraId="4AFFC32A" w16cid:durableId="2450EF77"/>
  <w16cid:commentId w16cid:paraId="6AD8DBBB" w16cid:durableId="2450EF78"/>
  <w16cid:commentId w16cid:paraId="51CD53DD" w16cid:durableId="2450EF79"/>
  <w16cid:commentId w16cid:paraId="50123DA7" w16cid:durableId="2450EF7A"/>
  <w16cid:commentId w16cid:paraId="0FBCBFBF" w16cid:durableId="2450EF7B"/>
  <w16cid:commentId w16cid:paraId="412722FC" w16cid:durableId="245261C6"/>
  <w16cid:commentId w16cid:paraId="710CE5D7" w16cid:durableId="2450EF7C"/>
  <w16cid:commentId w16cid:paraId="16DA4B44" w16cid:durableId="2450EF7D"/>
  <w16cid:commentId w16cid:paraId="45A42244" w16cid:durableId="2452623D"/>
  <w16cid:commentId w16cid:paraId="4D314066" w16cid:durableId="2450EF7E"/>
  <w16cid:commentId w16cid:paraId="7CDFB6E1" w16cid:durableId="24525BBA"/>
  <w16cid:commentId w16cid:paraId="4A0F0AB3" w16cid:durableId="2450EF7F"/>
  <w16cid:commentId w16cid:paraId="19B80701" w16cid:durableId="2450EF80"/>
  <w16cid:commentId w16cid:paraId="1BAA33A1" w16cid:durableId="24526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0C4E8" w14:textId="77777777" w:rsidR="00ED620B" w:rsidRDefault="00ED620B" w:rsidP="00DF2386">
      <w:r>
        <w:separator/>
      </w:r>
    </w:p>
  </w:endnote>
  <w:endnote w:type="continuationSeparator" w:id="0">
    <w:p w14:paraId="2A0DF4C7" w14:textId="77777777" w:rsidR="00ED620B" w:rsidRDefault="00ED620B"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63BC1" w14:textId="25EB0831" w:rsidR="00ED620B" w:rsidRDefault="00ED620B" w:rsidP="002137E0">
    <w:pPr>
      <w:pStyle w:val="Header"/>
      <w:rPr>
        <w:noProof/>
      </w:rPr>
    </w:pPr>
    <w:r>
      <w:rPr>
        <w:sz w:val="20"/>
        <w:szCs w:val="20"/>
      </w:rPr>
      <w:t>SC59 Doc.8.1</w:t>
    </w:r>
    <w:r>
      <w:tab/>
    </w:r>
    <w:r>
      <w:tab/>
    </w:r>
    <w:sdt>
      <w:sdtPr>
        <w:id w:val="-1790969534"/>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B627D">
          <w:rPr>
            <w:noProof/>
            <w:sz w:val="20"/>
            <w:szCs w:val="20"/>
          </w:rPr>
          <w:t>6</w:t>
        </w:r>
        <w:r w:rsidRPr="00F344DE">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459F7" w14:textId="162F8B4A" w:rsidR="00ED620B" w:rsidRDefault="00ED620B" w:rsidP="00C26079">
    <w:pPr>
      <w:pStyle w:val="Header"/>
      <w:tabs>
        <w:tab w:val="clear" w:pos="9026"/>
        <w:tab w:val="right" w:pos="13892"/>
      </w:tabs>
      <w:rPr>
        <w:noProof/>
      </w:rPr>
    </w:pPr>
    <w:r>
      <w:rPr>
        <w:sz w:val="20"/>
        <w:szCs w:val="20"/>
      </w:rPr>
      <w:t>SC59 Doc.8.1</w:t>
    </w:r>
    <w:r>
      <w:tab/>
    </w:r>
    <w:r>
      <w:tab/>
    </w:r>
    <w:sdt>
      <w:sdtPr>
        <w:id w:val="1347904159"/>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B627D">
          <w:rPr>
            <w:noProof/>
            <w:sz w:val="20"/>
            <w:szCs w:val="20"/>
          </w:rPr>
          <w:t>16</w:t>
        </w:r>
        <w:r w:rsidRPr="00F344DE">
          <w:rPr>
            <w:noProof/>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E45A5" w14:textId="190515BF" w:rsidR="00ED620B" w:rsidRDefault="00ED620B" w:rsidP="002137E0">
    <w:pPr>
      <w:pStyle w:val="Header"/>
      <w:rPr>
        <w:noProof/>
      </w:rPr>
    </w:pPr>
    <w:r>
      <w:rPr>
        <w:sz w:val="20"/>
        <w:szCs w:val="20"/>
      </w:rPr>
      <w:t>SC59 Doc.8.1</w:t>
    </w:r>
    <w:r>
      <w:tab/>
    </w:r>
    <w:r>
      <w:tab/>
    </w:r>
    <w:sdt>
      <w:sdtPr>
        <w:id w:val="-1878082740"/>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B627D">
          <w:rPr>
            <w:noProof/>
            <w:sz w:val="20"/>
            <w:szCs w:val="20"/>
          </w:rPr>
          <w:t>17</w:t>
        </w:r>
        <w:r w:rsidRPr="00F344DE">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7136" w14:textId="0CB7D12F" w:rsidR="00ED620B" w:rsidRDefault="00ED620B" w:rsidP="00834FE6">
    <w:pPr>
      <w:pStyle w:val="Header"/>
      <w:tabs>
        <w:tab w:val="clear" w:pos="9026"/>
        <w:tab w:val="right" w:pos="13892"/>
      </w:tabs>
      <w:rPr>
        <w:noProof/>
      </w:rPr>
    </w:pPr>
    <w:r>
      <w:rPr>
        <w:sz w:val="20"/>
        <w:szCs w:val="20"/>
      </w:rPr>
      <w:t>SC59 Doc.8.1</w:t>
    </w:r>
    <w:r>
      <w:tab/>
    </w:r>
    <w:r>
      <w:tab/>
    </w:r>
    <w:sdt>
      <w:sdtPr>
        <w:id w:val="-1378549985"/>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CB627D">
          <w:rPr>
            <w:noProof/>
            <w:sz w:val="20"/>
            <w:szCs w:val="20"/>
          </w:rPr>
          <w:t>20</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2266D" w14:textId="77777777" w:rsidR="00ED620B" w:rsidRDefault="00ED620B" w:rsidP="00DF2386">
      <w:r>
        <w:separator/>
      </w:r>
    </w:p>
  </w:footnote>
  <w:footnote w:type="continuationSeparator" w:id="0">
    <w:p w14:paraId="4D1273C9" w14:textId="77777777" w:rsidR="00ED620B" w:rsidRDefault="00ED620B" w:rsidP="00DF2386">
      <w:r>
        <w:continuationSeparator/>
      </w:r>
    </w:p>
  </w:footnote>
  <w:footnote w:id="1">
    <w:p w14:paraId="3815565D" w14:textId="74EC2756" w:rsidR="00ED620B" w:rsidRDefault="00ED620B" w:rsidP="00DE37B5">
      <w:pPr>
        <w:pStyle w:val="FootnoteText"/>
        <w:ind w:left="0" w:firstLine="0"/>
      </w:pPr>
      <w:r>
        <w:rPr>
          <w:rStyle w:val="FootnoteReference"/>
        </w:rPr>
        <w:footnoteRef/>
      </w:r>
      <w:r>
        <w:t xml:space="preserve"> See </w:t>
      </w:r>
      <w:hyperlink r:id="rId1" w:history="1">
        <w:r w:rsidRPr="00B557A1">
          <w:rPr>
            <w:rStyle w:val="Hyperlink"/>
          </w:rPr>
          <w:t>https://www.ramsar.org/sites/default/files/documents/library/report_auditor_ramsar_2020_e.pdf</w:t>
        </w:r>
      </w:hyperlink>
      <w:r>
        <w:t xml:space="preserve"> </w:t>
      </w:r>
    </w:p>
  </w:footnote>
  <w:footnote w:id="2">
    <w:p w14:paraId="754AB860" w14:textId="25F5D8E1" w:rsidR="00ED620B" w:rsidRDefault="00ED620B" w:rsidP="00DE37B5">
      <w:pPr>
        <w:pStyle w:val="FootnoteText"/>
        <w:ind w:left="0" w:firstLine="0"/>
      </w:pPr>
      <w:r>
        <w:rPr>
          <w:rStyle w:val="FootnoteReference"/>
        </w:rPr>
        <w:footnoteRef/>
      </w:r>
      <w:r>
        <w:t xml:space="preserve">  </w:t>
      </w:r>
      <w:r w:rsidRPr="00CD3D1A">
        <w:t>Decision SC57-50</w:t>
      </w:r>
      <w:r>
        <w:t>:</w:t>
      </w:r>
      <w:r w:rsidRPr="00CD3D1A">
        <w:t xml:space="preserve"> “In accordance with the responsibilities defined in Resolution 5.2 on </w:t>
      </w:r>
      <w:r w:rsidRPr="00A87BA0">
        <w:rPr>
          <w:i/>
        </w:rPr>
        <w:t>Financial and budgetary matters</w:t>
      </w:r>
      <w:r w:rsidRPr="00CD3D1A">
        <w:t>, Annex, 3, paragraph 8, the Standing Committee agreed that uncommitted/unexpended balances for budget lines can be carried forward to the next year within the triennium and presented to the following meeting of the Subgroup on Finance</w:t>
      </w:r>
      <w:r>
        <w:t>.</w:t>
      </w:r>
      <w:r w:rsidRPr="00CD3D1A">
        <w:t>”</w:t>
      </w:r>
    </w:p>
  </w:footnote>
  <w:footnote w:id="3">
    <w:p w14:paraId="63C0602E" w14:textId="01FFC300" w:rsidR="00ED620B" w:rsidRDefault="00ED620B" w:rsidP="00301DF1">
      <w:pPr>
        <w:pStyle w:val="FootnoteText"/>
        <w:ind w:left="0" w:firstLine="0"/>
      </w:pPr>
      <w:r>
        <w:rPr>
          <w:rStyle w:val="FootnoteReference"/>
        </w:rPr>
        <w:footnoteRef/>
      </w:r>
      <w:r>
        <w:t xml:space="preserve"> See paragraph 23 of Resolution X.2 on </w:t>
      </w:r>
      <w:r w:rsidRPr="00301DF1">
        <w:rPr>
          <w:i/>
        </w:rPr>
        <w:t>Financial and budgetary matters</w:t>
      </w:r>
      <w:r>
        <w:t xml:space="preserve">, </w:t>
      </w:r>
      <w:hyperlink r:id="rId2" w:history="1">
        <w:r>
          <w:rPr>
            <w:rStyle w:val="Hyperlink"/>
          </w:rPr>
          <w:t>https://www.ramsar.org/document/resolution-x2-financial-and-budgetary-matters</w:t>
        </w:r>
      </w:hyperlink>
      <w:r>
        <w:t>.</w:t>
      </w:r>
    </w:p>
  </w:footnote>
  <w:footnote w:id="4">
    <w:p w14:paraId="74F45D47" w14:textId="77777777" w:rsidR="00ED620B" w:rsidRDefault="00ED620B" w:rsidP="00A86768">
      <w:pPr>
        <w:pStyle w:val="FootnoteText"/>
      </w:pPr>
      <w:r>
        <w:rPr>
          <w:rStyle w:val="FootnoteReference"/>
        </w:rPr>
        <w:footnoteRef/>
      </w:r>
      <w:r>
        <w:t xml:space="preserve"> See </w:t>
      </w:r>
      <w:hyperlink r:id="rId3" w:history="1">
        <w:r>
          <w:rPr>
            <w:rStyle w:val="Hyperlink"/>
          </w:rPr>
          <w:t>https://www.ramsar.org/document/sc55-doc82-iucn-review-of-non-core-finances</w:t>
        </w:r>
      </w:hyperlink>
    </w:p>
  </w:footnote>
  <w:footnote w:id="5">
    <w:p w14:paraId="56C1C109" w14:textId="4F0EDB31" w:rsidR="00ED620B" w:rsidRDefault="00ED620B" w:rsidP="006A24F1">
      <w:pPr>
        <w:pStyle w:val="FootnoteText"/>
        <w:ind w:left="0" w:firstLine="0"/>
      </w:pPr>
      <w:r>
        <w:rPr>
          <w:rStyle w:val="FootnoteReference"/>
        </w:rPr>
        <w:footnoteRef/>
      </w:r>
      <w:r>
        <w:t xml:space="preserve"> See the notes to the audited statements at </w:t>
      </w:r>
      <w:hyperlink r:id="rId4" w:history="1">
        <w:r w:rsidRPr="00B557A1">
          <w:rPr>
            <w:rStyle w:val="Hyperlink"/>
          </w:rPr>
          <w:t>https://www.ramsar.org/sites/default/files/documents/library/report_auditor_ramsar_2020_e.pdf</w:t>
        </w:r>
      </w:hyperlink>
    </w:p>
    <w:p w14:paraId="75CD008C" w14:textId="7F37751F" w:rsidR="00ED620B" w:rsidRDefault="00ED620B" w:rsidP="006A24F1">
      <w:pPr>
        <w:pStyle w:val="FootnoteText"/>
        <w:ind w:left="0" w:firstLin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9C9"/>
    <w:multiLevelType w:val="hybridMultilevel"/>
    <w:tmpl w:val="9C7CB2F0"/>
    <w:lvl w:ilvl="0" w:tplc="B1C8B4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3D74D7"/>
    <w:multiLevelType w:val="hybridMultilevel"/>
    <w:tmpl w:val="7B3C4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146E8"/>
    <w:multiLevelType w:val="hybridMultilevel"/>
    <w:tmpl w:val="2D22B76C"/>
    <w:lvl w:ilvl="0" w:tplc="3F2CF7BA">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236686"/>
    <w:multiLevelType w:val="hybridMultilevel"/>
    <w:tmpl w:val="57FA6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F24303B"/>
    <w:multiLevelType w:val="hybridMultilevel"/>
    <w:tmpl w:val="6E506C7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143DD"/>
    <w:multiLevelType w:val="hybridMultilevel"/>
    <w:tmpl w:val="DD7EAA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225714"/>
    <w:multiLevelType w:val="hybridMultilevel"/>
    <w:tmpl w:val="413AAD70"/>
    <w:lvl w:ilvl="0" w:tplc="1718538E">
      <w:start w:val="1"/>
      <w:numFmt w:val="decimal"/>
      <w:lvlText w:val="%1)"/>
      <w:lvlJc w:val="left"/>
      <w:pPr>
        <w:ind w:left="360" w:hanging="360"/>
      </w:pPr>
      <w:rPr>
        <w:rFonts w:ascii="Calibri" w:eastAsia="Calibri" w:hAnsi="Calibri" w:cs="Times New Roman"/>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B6543E6"/>
    <w:multiLevelType w:val="hybridMultilevel"/>
    <w:tmpl w:val="0F34B6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C05253"/>
    <w:multiLevelType w:val="hybridMultilevel"/>
    <w:tmpl w:val="D69CB3FA"/>
    <w:lvl w:ilvl="0" w:tplc="4D74E1F4">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6916AC"/>
    <w:multiLevelType w:val="hybridMultilevel"/>
    <w:tmpl w:val="EBACB382"/>
    <w:lvl w:ilvl="0" w:tplc="020A7542">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D93EE8"/>
    <w:multiLevelType w:val="hybridMultilevel"/>
    <w:tmpl w:val="19624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9F2388"/>
    <w:multiLevelType w:val="hybridMultilevel"/>
    <w:tmpl w:val="FA52CD78"/>
    <w:lvl w:ilvl="0" w:tplc="98D80A50">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3" w15:restartNumberingAfterBreak="0">
    <w:nsid w:val="5E732D44"/>
    <w:multiLevelType w:val="hybridMultilevel"/>
    <w:tmpl w:val="6A189B2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99547FB"/>
    <w:multiLevelType w:val="hybridMultilevel"/>
    <w:tmpl w:val="4344E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8"/>
  </w:num>
  <w:num w:numId="5">
    <w:abstractNumId w:val="12"/>
  </w:num>
  <w:num w:numId="6">
    <w:abstractNumId w:val="3"/>
  </w:num>
  <w:num w:numId="7">
    <w:abstractNumId w:val="2"/>
  </w:num>
  <w:num w:numId="8">
    <w:abstractNumId w:val="7"/>
  </w:num>
  <w:num w:numId="9">
    <w:abstractNumId w:val="6"/>
  </w:num>
  <w:num w:numId="10">
    <w:abstractNumId w:val="14"/>
  </w:num>
  <w:num w:numId="11">
    <w:abstractNumId w:val="9"/>
  </w:num>
  <w:num w:numId="12">
    <w:abstractNumId w:val="5"/>
  </w:num>
  <w:num w:numId="13">
    <w:abstractNumId w:val="11"/>
  </w:num>
  <w:num w:numId="14">
    <w:abstractNumId w:val="1"/>
  </w:num>
  <w:num w:numId="15">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86"/>
    <w:rsid w:val="000012BB"/>
    <w:rsid w:val="000016C0"/>
    <w:rsid w:val="0000371F"/>
    <w:rsid w:val="00004171"/>
    <w:rsid w:val="00005D80"/>
    <w:rsid w:val="00005E5F"/>
    <w:rsid w:val="00006A52"/>
    <w:rsid w:val="00006CF6"/>
    <w:rsid w:val="00007309"/>
    <w:rsid w:val="00007908"/>
    <w:rsid w:val="0001295D"/>
    <w:rsid w:val="00013B5D"/>
    <w:rsid w:val="00014168"/>
    <w:rsid w:val="00014DD6"/>
    <w:rsid w:val="00016CD1"/>
    <w:rsid w:val="00017583"/>
    <w:rsid w:val="00017A16"/>
    <w:rsid w:val="00020298"/>
    <w:rsid w:val="00020C2D"/>
    <w:rsid w:val="00020C56"/>
    <w:rsid w:val="00021F0E"/>
    <w:rsid w:val="00024104"/>
    <w:rsid w:val="0002452B"/>
    <w:rsid w:val="00024537"/>
    <w:rsid w:val="00024832"/>
    <w:rsid w:val="00024E01"/>
    <w:rsid w:val="00025210"/>
    <w:rsid w:val="00025536"/>
    <w:rsid w:val="00026E09"/>
    <w:rsid w:val="0002761D"/>
    <w:rsid w:val="000279C5"/>
    <w:rsid w:val="00027FCD"/>
    <w:rsid w:val="000308AC"/>
    <w:rsid w:val="000308D5"/>
    <w:rsid w:val="00030DC9"/>
    <w:rsid w:val="00031058"/>
    <w:rsid w:val="00031851"/>
    <w:rsid w:val="00031C72"/>
    <w:rsid w:val="0003253E"/>
    <w:rsid w:val="0003296A"/>
    <w:rsid w:val="00032E44"/>
    <w:rsid w:val="00034C8A"/>
    <w:rsid w:val="00037CE0"/>
    <w:rsid w:val="00041947"/>
    <w:rsid w:val="0004214F"/>
    <w:rsid w:val="00043287"/>
    <w:rsid w:val="00044E37"/>
    <w:rsid w:val="00047393"/>
    <w:rsid w:val="000506B6"/>
    <w:rsid w:val="000518FC"/>
    <w:rsid w:val="00051ADC"/>
    <w:rsid w:val="00053929"/>
    <w:rsid w:val="00056AA6"/>
    <w:rsid w:val="000575AD"/>
    <w:rsid w:val="0006178A"/>
    <w:rsid w:val="00062093"/>
    <w:rsid w:val="0006294A"/>
    <w:rsid w:val="00062A46"/>
    <w:rsid w:val="00062E4A"/>
    <w:rsid w:val="0006326D"/>
    <w:rsid w:val="00063F47"/>
    <w:rsid w:val="00064E24"/>
    <w:rsid w:val="00064EA7"/>
    <w:rsid w:val="00064EDC"/>
    <w:rsid w:val="00065B4A"/>
    <w:rsid w:val="00065E42"/>
    <w:rsid w:val="00066E98"/>
    <w:rsid w:val="000678A6"/>
    <w:rsid w:val="00067EDC"/>
    <w:rsid w:val="00070655"/>
    <w:rsid w:val="00070FD2"/>
    <w:rsid w:val="00071D98"/>
    <w:rsid w:val="00072AE1"/>
    <w:rsid w:val="000732F2"/>
    <w:rsid w:val="00073E51"/>
    <w:rsid w:val="00074DE8"/>
    <w:rsid w:val="000751CA"/>
    <w:rsid w:val="00075D8D"/>
    <w:rsid w:val="000776EE"/>
    <w:rsid w:val="0008181C"/>
    <w:rsid w:val="00082297"/>
    <w:rsid w:val="0008231A"/>
    <w:rsid w:val="0008295B"/>
    <w:rsid w:val="00082D5E"/>
    <w:rsid w:val="000844F9"/>
    <w:rsid w:val="0008758E"/>
    <w:rsid w:val="000875B8"/>
    <w:rsid w:val="000931DF"/>
    <w:rsid w:val="00093F6E"/>
    <w:rsid w:val="00095913"/>
    <w:rsid w:val="00096FAE"/>
    <w:rsid w:val="000974AE"/>
    <w:rsid w:val="00097AE2"/>
    <w:rsid w:val="00097AE5"/>
    <w:rsid w:val="00097C4A"/>
    <w:rsid w:val="000A0568"/>
    <w:rsid w:val="000A156E"/>
    <w:rsid w:val="000A212C"/>
    <w:rsid w:val="000A3E3E"/>
    <w:rsid w:val="000B0EA8"/>
    <w:rsid w:val="000B13F3"/>
    <w:rsid w:val="000B16B8"/>
    <w:rsid w:val="000B1951"/>
    <w:rsid w:val="000B2366"/>
    <w:rsid w:val="000B2759"/>
    <w:rsid w:val="000B2A00"/>
    <w:rsid w:val="000B2D8F"/>
    <w:rsid w:val="000B380C"/>
    <w:rsid w:val="000B4332"/>
    <w:rsid w:val="000B6881"/>
    <w:rsid w:val="000C10F5"/>
    <w:rsid w:val="000C126C"/>
    <w:rsid w:val="000C2046"/>
    <w:rsid w:val="000C2336"/>
    <w:rsid w:val="000C240E"/>
    <w:rsid w:val="000C2489"/>
    <w:rsid w:val="000C3829"/>
    <w:rsid w:val="000C3FCA"/>
    <w:rsid w:val="000C57BA"/>
    <w:rsid w:val="000C5FFB"/>
    <w:rsid w:val="000C6755"/>
    <w:rsid w:val="000C7083"/>
    <w:rsid w:val="000C786F"/>
    <w:rsid w:val="000D1BFA"/>
    <w:rsid w:val="000D3FBF"/>
    <w:rsid w:val="000D46E7"/>
    <w:rsid w:val="000D5C76"/>
    <w:rsid w:val="000D6AC7"/>
    <w:rsid w:val="000E1138"/>
    <w:rsid w:val="000E18F4"/>
    <w:rsid w:val="000E211D"/>
    <w:rsid w:val="000E2FA0"/>
    <w:rsid w:val="000E34D0"/>
    <w:rsid w:val="000E47E9"/>
    <w:rsid w:val="000E6DC0"/>
    <w:rsid w:val="000E7FB6"/>
    <w:rsid w:val="000F001B"/>
    <w:rsid w:val="000F051B"/>
    <w:rsid w:val="000F05DB"/>
    <w:rsid w:val="000F0730"/>
    <w:rsid w:val="000F1513"/>
    <w:rsid w:val="000F23C3"/>
    <w:rsid w:val="000F4030"/>
    <w:rsid w:val="000F435C"/>
    <w:rsid w:val="000F466E"/>
    <w:rsid w:val="000F48F9"/>
    <w:rsid w:val="000F5372"/>
    <w:rsid w:val="000F547A"/>
    <w:rsid w:val="000F55F2"/>
    <w:rsid w:val="000F5E23"/>
    <w:rsid w:val="000F66B9"/>
    <w:rsid w:val="000F688E"/>
    <w:rsid w:val="000F710F"/>
    <w:rsid w:val="001002FA"/>
    <w:rsid w:val="00103196"/>
    <w:rsid w:val="001032EA"/>
    <w:rsid w:val="00103B40"/>
    <w:rsid w:val="00105960"/>
    <w:rsid w:val="00105D6D"/>
    <w:rsid w:val="001068D9"/>
    <w:rsid w:val="00106AEC"/>
    <w:rsid w:val="00106C18"/>
    <w:rsid w:val="00107704"/>
    <w:rsid w:val="00107F64"/>
    <w:rsid w:val="00107FE6"/>
    <w:rsid w:val="0011042A"/>
    <w:rsid w:val="00110B4F"/>
    <w:rsid w:val="00110C51"/>
    <w:rsid w:val="00112016"/>
    <w:rsid w:val="0011271D"/>
    <w:rsid w:val="00112F62"/>
    <w:rsid w:val="00114BA0"/>
    <w:rsid w:val="00114DCB"/>
    <w:rsid w:val="00115F0E"/>
    <w:rsid w:val="00116212"/>
    <w:rsid w:val="0012096C"/>
    <w:rsid w:val="00122175"/>
    <w:rsid w:val="0012223B"/>
    <w:rsid w:val="00122481"/>
    <w:rsid w:val="0012252E"/>
    <w:rsid w:val="0012277D"/>
    <w:rsid w:val="00123E7D"/>
    <w:rsid w:val="0012507E"/>
    <w:rsid w:val="00126808"/>
    <w:rsid w:val="0012722A"/>
    <w:rsid w:val="00127828"/>
    <w:rsid w:val="00127B41"/>
    <w:rsid w:val="001319B8"/>
    <w:rsid w:val="0013219D"/>
    <w:rsid w:val="00133C51"/>
    <w:rsid w:val="0013410C"/>
    <w:rsid w:val="00134BDB"/>
    <w:rsid w:val="0013536D"/>
    <w:rsid w:val="001404C4"/>
    <w:rsid w:val="0014052F"/>
    <w:rsid w:val="00140EA0"/>
    <w:rsid w:val="001419BE"/>
    <w:rsid w:val="001438BD"/>
    <w:rsid w:val="00143C80"/>
    <w:rsid w:val="00144820"/>
    <w:rsid w:val="00145434"/>
    <w:rsid w:val="001458BE"/>
    <w:rsid w:val="00146777"/>
    <w:rsid w:val="00146B5F"/>
    <w:rsid w:val="00147DAD"/>
    <w:rsid w:val="001504A4"/>
    <w:rsid w:val="00150C96"/>
    <w:rsid w:val="00150E18"/>
    <w:rsid w:val="00150F4B"/>
    <w:rsid w:val="00151B98"/>
    <w:rsid w:val="00152AA1"/>
    <w:rsid w:val="0015502B"/>
    <w:rsid w:val="00155171"/>
    <w:rsid w:val="00155710"/>
    <w:rsid w:val="00155BC3"/>
    <w:rsid w:val="00155F5F"/>
    <w:rsid w:val="001571E1"/>
    <w:rsid w:val="001614FA"/>
    <w:rsid w:val="00161871"/>
    <w:rsid w:val="00161BDA"/>
    <w:rsid w:val="00162710"/>
    <w:rsid w:val="00162EE8"/>
    <w:rsid w:val="00163F72"/>
    <w:rsid w:val="00164326"/>
    <w:rsid w:val="001644A8"/>
    <w:rsid w:val="001649E7"/>
    <w:rsid w:val="001653A7"/>
    <w:rsid w:val="00165F44"/>
    <w:rsid w:val="001670DE"/>
    <w:rsid w:val="00167681"/>
    <w:rsid w:val="001709AB"/>
    <w:rsid w:val="00171618"/>
    <w:rsid w:val="00172AC9"/>
    <w:rsid w:val="001730E3"/>
    <w:rsid w:val="001748F5"/>
    <w:rsid w:val="00174E4A"/>
    <w:rsid w:val="00175433"/>
    <w:rsid w:val="001757C1"/>
    <w:rsid w:val="00175897"/>
    <w:rsid w:val="00175B8C"/>
    <w:rsid w:val="00176A64"/>
    <w:rsid w:val="00176B34"/>
    <w:rsid w:val="0018037B"/>
    <w:rsid w:val="001808B3"/>
    <w:rsid w:val="001819B1"/>
    <w:rsid w:val="00181A6C"/>
    <w:rsid w:val="00182B75"/>
    <w:rsid w:val="00183EDE"/>
    <w:rsid w:val="0018460B"/>
    <w:rsid w:val="00184E6B"/>
    <w:rsid w:val="0018553C"/>
    <w:rsid w:val="001855E9"/>
    <w:rsid w:val="00186339"/>
    <w:rsid w:val="0018640D"/>
    <w:rsid w:val="00186F3E"/>
    <w:rsid w:val="00187421"/>
    <w:rsid w:val="001918B8"/>
    <w:rsid w:val="001922F3"/>
    <w:rsid w:val="001938E4"/>
    <w:rsid w:val="00194AEB"/>
    <w:rsid w:val="00195107"/>
    <w:rsid w:val="0019536E"/>
    <w:rsid w:val="0019556E"/>
    <w:rsid w:val="00195A41"/>
    <w:rsid w:val="001968D7"/>
    <w:rsid w:val="00196992"/>
    <w:rsid w:val="001A104F"/>
    <w:rsid w:val="001A1EBA"/>
    <w:rsid w:val="001A29A6"/>
    <w:rsid w:val="001A2D10"/>
    <w:rsid w:val="001A3867"/>
    <w:rsid w:val="001A3EA4"/>
    <w:rsid w:val="001A4DA4"/>
    <w:rsid w:val="001A77CC"/>
    <w:rsid w:val="001B20EC"/>
    <w:rsid w:val="001B299C"/>
    <w:rsid w:val="001B3288"/>
    <w:rsid w:val="001B3385"/>
    <w:rsid w:val="001B551E"/>
    <w:rsid w:val="001B5DAB"/>
    <w:rsid w:val="001B6041"/>
    <w:rsid w:val="001B65F9"/>
    <w:rsid w:val="001B67AA"/>
    <w:rsid w:val="001B6A54"/>
    <w:rsid w:val="001B7279"/>
    <w:rsid w:val="001B73C2"/>
    <w:rsid w:val="001C0243"/>
    <w:rsid w:val="001C11BE"/>
    <w:rsid w:val="001C3229"/>
    <w:rsid w:val="001C5386"/>
    <w:rsid w:val="001C5E41"/>
    <w:rsid w:val="001C77BC"/>
    <w:rsid w:val="001D0741"/>
    <w:rsid w:val="001D0B77"/>
    <w:rsid w:val="001D1E46"/>
    <w:rsid w:val="001D2107"/>
    <w:rsid w:val="001D3678"/>
    <w:rsid w:val="001D3FD1"/>
    <w:rsid w:val="001D48BB"/>
    <w:rsid w:val="001D4DD2"/>
    <w:rsid w:val="001D58A8"/>
    <w:rsid w:val="001D5B80"/>
    <w:rsid w:val="001D697C"/>
    <w:rsid w:val="001D71EF"/>
    <w:rsid w:val="001D72F3"/>
    <w:rsid w:val="001E00E3"/>
    <w:rsid w:val="001E0171"/>
    <w:rsid w:val="001E0361"/>
    <w:rsid w:val="001E1873"/>
    <w:rsid w:val="001E1A30"/>
    <w:rsid w:val="001E2987"/>
    <w:rsid w:val="001E359B"/>
    <w:rsid w:val="001E45FF"/>
    <w:rsid w:val="001E4A43"/>
    <w:rsid w:val="001E67EE"/>
    <w:rsid w:val="001E7677"/>
    <w:rsid w:val="001E7894"/>
    <w:rsid w:val="001E7ADD"/>
    <w:rsid w:val="001E7B2D"/>
    <w:rsid w:val="001E7E9C"/>
    <w:rsid w:val="001E7FA6"/>
    <w:rsid w:val="001F0844"/>
    <w:rsid w:val="001F1A2B"/>
    <w:rsid w:val="001F1F7D"/>
    <w:rsid w:val="001F2349"/>
    <w:rsid w:val="001F34DB"/>
    <w:rsid w:val="001F38EA"/>
    <w:rsid w:val="001F3DC3"/>
    <w:rsid w:val="001F4117"/>
    <w:rsid w:val="001F4497"/>
    <w:rsid w:val="001F6253"/>
    <w:rsid w:val="001F657E"/>
    <w:rsid w:val="001F7360"/>
    <w:rsid w:val="001F760A"/>
    <w:rsid w:val="001F79E9"/>
    <w:rsid w:val="002005D2"/>
    <w:rsid w:val="00200E88"/>
    <w:rsid w:val="00201722"/>
    <w:rsid w:val="00201A04"/>
    <w:rsid w:val="002021BF"/>
    <w:rsid w:val="00202224"/>
    <w:rsid w:val="0020298B"/>
    <w:rsid w:val="00202BE8"/>
    <w:rsid w:val="00202D2F"/>
    <w:rsid w:val="002038EA"/>
    <w:rsid w:val="00206111"/>
    <w:rsid w:val="002064A3"/>
    <w:rsid w:val="00206AF7"/>
    <w:rsid w:val="0021024C"/>
    <w:rsid w:val="00210A8F"/>
    <w:rsid w:val="00211A70"/>
    <w:rsid w:val="00211E61"/>
    <w:rsid w:val="00212942"/>
    <w:rsid w:val="002135D9"/>
    <w:rsid w:val="002137E0"/>
    <w:rsid w:val="00213C8C"/>
    <w:rsid w:val="00215D0B"/>
    <w:rsid w:val="00216155"/>
    <w:rsid w:val="00216504"/>
    <w:rsid w:val="002174A1"/>
    <w:rsid w:val="00217B35"/>
    <w:rsid w:val="00220A4E"/>
    <w:rsid w:val="00220E81"/>
    <w:rsid w:val="002214D7"/>
    <w:rsid w:val="0022294E"/>
    <w:rsid w:val="00222BB0"/>
    <w:rsid w:val="002234CE"/>
    <w:rsid w:val="002238A2"/>
    <w:rsid w:val="002249B1"/>
    <w:rsid w:val="002253A7"/>
    <w:rsid w:val="00225A7C"/>
    <w:rsid w:val="002262E5"/>
    <w:rsid w:val="002262FE"/>
    <w:rsid w:val="0023074E"/>
    <w:rsid w:val="0023128B"/>
    <w:rsid w:val="002314B9"/>
    <w:rsid w:val="00231F97"/>
    <w:rsid w:val="002324F0"/>
    <w:rsid w:val="00235E12"/>
    <w:rsid w:val="0023624E"/>
    <w:rsid w:val="0023713D"/>
    <w:rsid w:val="002414B3"/>
    <w:rsid w:val="00241AFC"/>
    <w:rsid w:val="00241BD9"/>
    <w:rsid w:val="00242921"/>
    <w:rsid w:val="00242C38"/>
    <w:rsid w:val="00243C9A"/>
    <w:rsid w:val="00243F73"/>
    <w:rsid w:val="00245529"/>
    <w:rsid w:val="002468FA"/>
    <w:rsid w:val="002473AC"/>
    <w:rsid w:val="0024781C"/>
    <w:rsid w:val="0025180E"/>
    <w:rsid w:val="00254016"/>
    <w:rsid w:val="00254205"/>
    <w:rsid w:val="00255D02"/>
    <w:rsid w:val="00255EF0"/>
    <w:rsid w:val="002569BC"/>
    <w:rsid w:val="0025754C"/>
    <w:rsid w:val="00257DB6"/>
    <w:rsid w:val="00264303"/>
    <w:rsid w:val="00264D73"/>
    <w:rsid w:val="002657EF"/>
    <w:rsid w:val="002702BA"/>
    <w:rsid w:val="00270C34"/>
    <w:rsid w:val="00271D3D"/>
    <w:rsid w:val="00272226"/>
    <w:rsid w:val="00273027"/>
    <w:rsid w:val="00273609"/>
    <w:rsid w:val="00273B0B"/>
    <w:rsid w:val="00273EDF"/>
    <w:rsid w:val="002741AC"/>
    <w:rsid w:val="00275C41"/>
    <w:rsid w:val="00275D94"/>
    <w:rsid w:val="00275F13"/>
    <w:rsid w:val="0027691D"/>
    <w:rsid w:val="00280B31"/>
    <w:rsid w:val="002819C0"/>
    <w:rsid w:val="00284478"/>
    <w:rsid w:val="00284E2E"/>
    <w:rsid w:val="00285887"/>
    <w:rsid w:val="00285981"/>
    <w:rsid w:val="00285F05"/>
    <w:rsid w:val="00286D37"/>
    <w:rsid w:val="00290674"/>
    <w:rsid w:val="00291E74"/>
    <w:rsid w:val="00295556"/>
    <w:rsid w:val="00295BB5"/>
    <w:rsid w:val="00295BEE"/>
    <w:rsid w:val="002A1371"/>
    <w:rsid w:val="002A1A4B"/>
    <w:rsid w:val="002A1BB6"/>
    <w:rsid w:val="002A1D70"/>
    <w:rsid w:val="002A3250"/>
    <w:rsid w:val="002A427A"/>
    <w:rsid w:val="002A5A4D"/>
    <w:rsid w:val="002A5B1A"/>
    <w:rsid w:val="002A5F1E"/>
    <w:rsid w:val="002A6728"/>
    <w:rsid w:val="002A76E0"/>
    <w:rsid w:val="002A7962"/>
    <w:rsid w:val="002B0D26"/>
    <w:rsid w:val="002B10BB"/>
    <w:rsid w:val="002B18A7"/>
    <w:rsid w:val="002B27B1"/>
    <w:rsid w:val="002B402A"/>
    <w:rsid w:val="002B419F"/>
    <w:rsid w:val="002B4262"/>
    <w:rsid w:val="002B478C"/>
    <w:rsid w:val="002B4EEA"/>
    <w:rsid w:val="002B4F3C"/>
    <w:rsid w:val="002B503B"/>
    <w:rsid w:val="002B60B8"/>
    <w:rsid w:val="002B61AE"/>
    <w:rsid w:val="002B670A"/>
    <w:rsid w:val="002B7987"/>
    <w:rsid w:val="002C0076"/>
    <w:rsid w:val="002C0F62"/>
    <w:rsid w:val="002C1ED4"/>
    <w:rsid w:val="002C293C"/>
    <w:rsid w:val="002C37CC"/>
    <w:rsid w:val="002C38F3"/>
    <w:rsid w:val="002C443F"/>
    <w:rsid w:val="002C4FFE"/>
    <w:rsid w:val="002C5FB7"/>
    <w:rsid w:val="002C6BA6"/>
    <w:rsid w:val="002C6D4E"/>
    <w:rsid w:val="002C7B1B"/>
    <w:rsid w:val="002D04F2"/>
    <w:rsid w:val="002D31A7"/>
    <w:rsid w:val="002D3CC9"/>
    <w:rsid w:val="002D5184"/>
    <w:rsid w:val="002D5A4D"/>
    <w:rsid w:val="002D6B55"/>
    <w:rsid w:val="002D6DD5"/>
    <w:rsid w:val="002D76F8"/>
    <w:rsid w:val="002E0DFE"/>
    <w:rsid w:val="002E1255"/>
    <w:rsid w:val="002E186A"/>
    <w:rsid w:val="002E22AF"/>
    <w:rsid w:val="002E2EC4"/>
    <w:rsid w:val="002E3398"/>
    <w:rsid w:val="002E3C7E"/>
    <w:rsid w:val="002E5B1D"/>
    <w:rsid w:val="002E5F9E"/>
    <w:rsid w:val="002E6166"/>
    <w:rsid w:val="002E7D4F"/>
    <w:rsid w:val="002F0826"/>
    <w:rsid w:val="002F2543"/>
    <w:rsid w:val="002F2BB4"/>
    <w:rsid w:val="002F2D08"/>
    <w:rsid w:val="002F312A"/>
    <w:rsid w:val="002F4CFC"/>
    <w:rsid w:val="002F5B7C"/>
    <w:rsid w:val="002F6793"/>
    <w:rsid w:val="002F6A98"/>
    <w:rsid w:val="002F74F9"/>
    <w:rsid w:val="002F777D"/>
    <w:rsid w:val="00301BD4"/>
    <w:rsid w:val="00301DF1"/>
    <w:rsid w:val="00302FEE"/>
    <w:rsid w:val="00302FF3"/>
    <w:rsid w:val="0030357A"/>
    <w:rsid w:val="00304ECC"/>
    <w:rsid w:val="00304F7C"/>
    <w:rsid w:val="00305FC7"/>
    <w:rsid w:val="003060F6"/>
    <w:rsid w:val="00306F34"/>
    <w:rsid w:val="0031018C"/>
    <w:rsid w:val="00310E68"/>
    <w:rsid w:val="003110A9"/>
    <w:rsid w:val="00311940"/>
    <w:rsid w:val="00311E13"/>
    <w:rsid w:val="00315503"/>
    <w:rsid w:val="003165A3"/>
    <w:rsid w:val="0031679A"/>
    <w:rsid w:val="00317471"/>
    <w:rsid w:val="003204BB"/>
    <w:rsid w:val="00320D9B"/>
    <w:rsid w:val="003218F4"/>
    <w:rsid w:val="00321AAD"/>
    <w:rsid w:val="00321C39"/>
    <w:rsid w:val="00321D0D"/>
    <w:rsid w:val="003236D1"/>
    <w:rsid w:val="00323FF1"/>
    <w:rsid w:val="00324398"/>
    <w:rsid w:val="003243FB"/>
    <w:rsid w:val="00324E91"/>
    <w:rsid w:val="003254DB"/>
    <w:rsid w:val="00326625"/>
    <w:rsid w:val="00327DAF"/>
    <w:rsid w:val="00327F63"/>
    <w:rsid w:val="00330040"/>
    <w:rsid w:val="00330F27"/>
    <w:rsid w:val="003323B0"/>
    <w:rsid w:val="00332FCB"/>
    <w:rsid w:val="00333BAF"/>
    <w:rsid w:val="00335206"/>
    <w:rsid w:val="00335504"/>
    <w:rsid w:val="003367D4"/>
    <w:rsid w:val="00336A77"/>
    <w:rsid w:val="00337CA6"/>
    <w:rsid w:val="00340811"/>
    <w:rsid w:val="00340E62"/>
    <w:rsid w:val="00341810"/>
    <w:rsid w:val="00342C26"/>
    <w:rsid w:val="00343932"/>
    <w:rsid w:val="003439AE"/>
    <w:rsid w:val="0034574A"/>
    <w:rsid w:val="00345828"/>
    <w:rsid w:val="00346BD5"/>
    <w:rsid w:val="00347439"/>
    <w:rsid w:val="00350A33"/>
    <w:rsid w:val="0035205F"/>
    <w:rsid w:val="003523B0"/>
    <w:rsid w:val="003531DE"/>
    <w:rsid w:val="00354A66"/>
    <w:rsid w:val="00354F4E"/>
    <w:rsid w:val="00355FC7"/>
    <w:rsid w:val="003562A0"/>
    <w:rsid w:val="00357790"/>
    <w:rsid w:val="0036085B"/>
    <w:rsid w:val="00363545"/>
    <w:rsid w:val="00364316"/>
    <w:rsid w:val="003644C5"/>
    <w:rsid w:val="00364A91"/>
    <w:rsid w:val="00364E8B"/>
    <w:rsid w:val="00365F8A"/>
    <w:rsid w:val="003667FF"/>
    <w:rsid w:val="00366F42"/>
    <w:rsid w:val="003672B9"/>
    <w:rsid w:val="0036778B"/>
    <w:rsid w:val="00370A11"/>
    <w:rsid w:val="0037103C"/>
    <w:rsid w:val="00372580"/>
    <w:rsid w:val="003736CC"/>
    <w:rsid w:val="00373FD6"/>
    <w:rsid w:val="00374172"/>
    <w:rsid w:val="00376478"/>
    <w:rsid w:val="003766DA"/>
    <w:rsid w:val="00377657"/>
    <w:rsid w:val="00377C90"/>
    <w:rsid w:val="00377D33"/>
    <w:rsid w:val="00380059"/>
    <w:rsid w:val="003802F2"/>
    <w:rsid w:val="003814AD"/>
    <w:rsid w:val="0038188C"/>
    <w:rsid w:val="0038245C"/>
    <w:rsid w:val="00383EED"/>
    <w:rsid w:val="00383F07"/>
    <w:rsid w:val="00384FC3"/>
    <w:rsid w:val="00385FC5"/>
    <w:rsid w:val="003906A4"/>
    <w:rsid w:val="00390ED1"/>
    <w:rsid w:val="0039249B"/>
    <w:rsid w:val="003956B3"/>
    <w:rsid w:val="00396ABD"/>
    <w:rsid w:val="003A0924"/>
    <w:rsid w:val="003A0DBF"/>
    <w:rsid w:val="003A1334"/>
    <w:rsid w:val="003A168F"/>
    <w:rsid w:val="003A3804"/>
    <w:rsid w:val="003A3AE1"/>
    <w:rsid w:val="003A415A"/>
    <w:rsid w:val="003A52BE"/>
    <w:rsid w:val="003A5866"/>
    <w:rsid w:val="003A6989"/>
    <w:rsid w:val="003A6DE6"/>
    <w:rsid w:val="003A6E9F"/>
    <w:rsid w:val="003B0AD8"/>
    <w:rsid w:val="003B0BC9"/>
    <w:rsid w:val="003B2F42"/>
    <w:rsid w:val="003B392E"/>
    <w:rsid w:val="003B4658"/>
    <w:rsid w:val="003B4987"/>
    <w:rsid w:val="003B5828"/>
    <w:rsid w:val="003B58D4"/>
    <w:rsid w:val="003C048D"/>
    <w:rsid w:val="003C0ACD"/>
    <w:rsid w:val="003C2E56"/>
    <w:rsid w:val="003C35D2"/>
    <w:rsid w:val="003C4036"/>
    <w:rsid w:val="003C4700"/>
    <w:rsid w:val="003C5CE3"/>
    <w:rsid w:val="003D02F4"/>
    <w:rsid w:val="003D0862"/>
    <w:rsid w:val="003D1A17"/>
    <w:rsid w:val="003D1E05"/>
    <w:rsid w:val="003D2112"/>
    <w:rsid w:val="003D4304"/>
    <w:rsid w:val="003D4B82"/>
    <w:rsid w:val="003D4CD6"/>
    <w:rsid w:val="003D5354"/>
    <w:rsid w:val="003D548E"/>
    <w:rsid w:val="003D6105"/>
    <w:rsid w:val="003D733E"/>
    <w:rsid w:val="003E0522"/>
    <w:rsid w:val="003E07A7"/>
    <w:rsid w:val="003E0E6D"/>
    <w:rsid w:val="003E2167"/>
    <w:rsid w:val="003E3555"/>
    <w:rsid w:val="003E3939"/>
    <w:rsid w:val="003E44D9"/>
    <w:rsid w:val="003E4F49"/>
    <w:rsid w:val="003E63A7"/>
    <w:rsid w:val="003E7324"/>
    <w:rsid w:val="003E762E"/>
    <w:rsid w:val="003F135F"/>
    <w:rsid w:val="003F3307"/>
    <w:rsid w:val="003F3DE5"/>
    <w:rsid w:val="003F55A0"/>
    <w:rsid w:val="003F621E"/>
    <w:rsid w:val="003F65E9"/>
    <w:rsid w:val="003F7DF4"/>
    <w:rsid w:val="00400F6E"/>
    <w:rsid w:val="00401624"/>
    <w:rsid w:val="0040226B"/>
    <w:rsid w:val="0040314A"/>
    <w:rsid w:val="0040340A"/>
    <w:rsid w:val="0040500A"/>
    <w:rsid w:val="00405D78"/>
    <w:rsid w:val="00405D9B"/>
    <w:rsid w:val="0041005A"/>
    <w:rsid w:val="00411932"/>
    <w:rsid w:val="00413AEE"/>
    <w:rsid w:val="00413EC4"/>
    <w:rsid w:val="004142A8"/>
    <w:rsid w:val="004144E2"/>
    <w:rsid w:val="00414B55"/>
    <w:rsid w:val="00414EAE"/>
    <w:rsid w:val="0041534E"/>
    <w:rsid w:val="0042091F"/>
    <w:rsid w:val="00421152"/>
    <w:rsid w:val="004228C7"/>
    <w:rsid w:val="00425178"/>
    <w:rsid w:val="0042566B"/>
    <w:rsid w:val="0042598C"/>
    <w:rsid w:val="0042798B"/>
    <w:rsid w:val="004301E0"/>
    <w:rsid w:val="0043030E"/>
    <w:rsid w:val="00432A60"/>
    <w:rsid w:val="0043385E"/>
    <w:rsid w:val="00434024"/>
    <w:rsid w:val="00434913"/>
    <w:rsid w:val="00435DEA"/>
    <w:rsid w:val="00435F43"/>
    <w:rsid w:val="004403CF"/>
    <w:rsid w:val="00440644"/>
    <w:rsid w:val="004410EB"/>
    <w:rsid w:val="00441474"/>
    <w:rsid w:val="004426DF"/>
    <w:rsid w:val="00443003"/>
    <w:rsid w:val="00443025"/>
    <w:rsid w:val="0044415F"/>
    <w:rsid w:val="00444598"/>
    <w:rsid w:val="00444A1F"/>
    <w:rsid w:val="00445E61"/>
    <w:rsid w:val="00447472"/>
    <w:rsid w:val="004474F8"/>
    <w:rsid w:val="004479ED"/>
    <w:rsid w:val="00450A97"/>
    <w:rsid w:val="00451361"/>
    <w:rsid w:val="00453196"/>
    <w:rsid w:val="00453C82"/>
    <w:rsid w:val="00453CBF"/>
    <w:rsid w:val="0045636F"/>
    <w:rsid w:val="00457280"/>
    <w:rsid w:val="00457C23"/>
    <w:rsid w:val="00460135"/>
    <w:rsid w:val="00460BC0"/>
    <w:rsid w:val="00463B36"/>
    <w:rsid w:val="00463CEC"/>
    <w:rsid w:val="00463E7C"/>
    <w:rsid w:val="004645D3"/>
    <w:rsid w:val="00464D2B"/>
    <w:rsid w:val="00465271"/>
    <w:rsid w:val="004669A9"/>
    <w:rsid w:val="00466B04"/>
    <w:rsid w:val="00466E1C"/>
    <w:rsid w:val="00467887"/>
    <w:rsid w:val="00467A9F"/>
    <w:rsid w:val="00467C90"/>
    <w:rsid w:val="0047303C"/>
    <w:rsid w:val="00473B7E"/>
    <w:rsid w:val="0047485C"/>
    <w:rsid w:val="004749C1"/>
    <w:rsid w:val="00474E0B"/>
    <w:rsid w:val="004753C0"/>
    <w:rsid w:val="0047725A"/>
    <w:rsid w:val="00477550"/>
    <w:rsid w:val="00483069"/>
    <w:rsid w:val="00483CE3"/>
    <w:rsid w:val="004844A8"/>
    <w:rsid w:val="00484987"/>
    <w:rsid w:val="0048657F"/>
    <w:rsid w:val="00486F1A"/>
    <w:rsid w:val="00487D67"/>
    <w:rsid w:val="00492D48"/>
    <w:rsid w:val="004930A1"/>
    <w:rsid w:val="00495073"/>
    <w:rsid w:val="004951C5"/>
    <w:rsid w:val="00495842"/>
    <w:rsid w:val="0049606F"/>
    <w:rsid w:val="00496196"/>
    <w:rsid w:val="00496317"/>
    <w:rsid w:val="004963DA"/>
    <w:rsid w:val="00496803"/>
    <w:rsid w:val="0049688C"/>
    <w:rsid w:val="00496914"/>
    <w:rsid w:val="00497009"/>
    <w:rsid w:val="004A1C0C"/>
    <w:rsid w:val="004A2ABC"/>
    <w:rsid w:val="004A2F10"/>
    <w:rsid w:val="004A3FFD"/>
    <w:rsid w:val="004A48FE"/>
    <w:rsid w:val="004A4983"/>
    <w:rsid w:val="004A50E5"/>
    <w:rsid w:val="004A565C"/>
    <w:rsid w:val="004A61B3"/>
    <w:rsid w:val="004A688C"/>
    <w:rsid w:val="004A763B"/>
    <w:rsid w:val="004B185D"/>
    <w:rsid w:val="004B21BA"/>
    <w:rsid w:val="004B21F7"/>
    <w:rsid w:val="004B3048"/>
    <w:rsid w:val="004B476E"/>
    <w:rsid w:val="004B4805"/>
    <w:rsid w:val="004B64A4"/>
    <w:rsid w:val="004B6688"/>
    <w:rsid w:val="004B6DE6"/>
    <w:rsid w:val="004B7D93"/>
    <w:rsid w:val="004C00DF"/>
    <w:rsid w:val="004C03D9"/>
    <w:rsid w:val="004C0B65"/>
    <w:rsid w:val="004C325C"/>
    <w:rsid w:val="004C386C"/>
    <w:rsid w:val="004C3CBA"/>
    <w:rsid w:val="004C504A"/>
    <w:rsid w:val="004C5084"/>
    <w:rsid w:val="004C6D8E"/>
    <w:rsid w:val="004C7297"/>
    <w:rsid w:val="004C7511"/>
    <w:rsid w:val="004C798D"/>
    <w:rsid w:val="004D0395"/>
    <w:rsid w:val="004D0F14"/>
    <w:rsid w:val="004D0F32"/>
    <w:rsid w:val="004D203A"/>
    <w:rsid w:val="004D20BE"/>
    <w:rsid w:val="004D23F7"/>
    <w:rsid w:val="004D25A8"/>
    <w:rsid w:val="004D30AB"/>
    <w:rsid w:val="004D419B"/>
    <w:rsid w:val="004D4506"/>
    <w:rsid w:val="004D47EA"/>
    <w:rsid w:val="004D7734"/>
    <w:rsid w:val="004D7E5C"/>
    <w:rsid w:val="004E01FE"/>
    <w:rsid w:val="004E06D3"/>
    <w:rsid w:val="004E1047"/>
    <w:rsid w:val="004E1C7E"/>
    <w:rsid w:val="004E1F30"/>
    <w:rsid w:val="004E1F42"/>
    <w:rsid w:val="004E30C5"/>
    <w:rsid w:val="004E36F5"/>
    <w:rsid w:val="004E391E"/>
    <w:rsid w:val="004E59AF"/>
    <w:rsid w:val="004E68DE"/>
    <w:rsid w:val="004E6A21"/>
    <w:rsid w:val="004E7A42"/>
    <w:rsid w:val="004E7F8B"/>
    <w:rsid w:val="004F058A"/>
    <w:rsid w:val="004F24E7"/>
    <w:rsid w:val="004F250A"/>
    <w:rsid w:val="004F31FF"/>
    <w:rsid w:val="004F40E8"/>
    <w:rsid w:val="004F4ED1"/>
    <w:rsid w:val="004F5397"/>
    <w:rsid w:val="004F5AD0"/>
    <w:rsid w:val="004F6BEB"/>
    <w:rsid w:val="004F7181"/>
    <w:rsid w:val="004F72DA"/>
    <w:rsid w:val="00500CA7"/>
    <w:rsid w:val="00501D4A"/>
    <w:rsid w:val="00502524"/>
    <w:rsid w:val="00502C54"/>
    <w:rsid w:val="00504DE2"/>
    <w:rsid w:val="00507CA3"/>
    <w:rsid w:val="00510980"/>
    <w:rsid w:val="00510BD7"/>
    <w:rsid w:val="005110EF"/>
    <w:rsid w:val="005113AA"/>
    <w:rsid w:val="00511834"/>
    <w:rsid w:val="005127EC"/>
    <w:rsid w:val="00513689"/>
    <w:rsid w:val="00513871"/>
    <w:rsid w:val="005139ED"/>
    <w:rsid w:val="00515275"/>
    <w:rsid w:val="00516ECE"/>
    <w:rsid w:val="00517760"/>
    <w:rsid w:val="005202CD"/>
    <w:rsid w:val="00520563"/>
    <w:rsid w:val="00520788"/>
    <w:rsid w:val="00520A09"/>
    <w:rsid w:val="005210D8"/>
    <w:rsid w:val="005213B0"/>
    <w:rsid w:val="005215EB"/>
    <w:rsid w:val="005219C3"/>
    <w:rsid w:val="005219C4"/>
    <w:rsid w:val="0052275F"/>
    <w:rsid w:val="0052399E"/>
    <w:rsid w:val="005244A4"/>
    <w:rsid w:val="005247E1"/>
    <w:rsid w:val="00526B39"/>
    <w:rsid w:val="0052703D"/>
    <w:rsid w:val="005271A6"/>
    <w:rsid w:val="0052720A"/>
    <w:rsid w:val="005273D4"/>
    <w:rsid w:val="005276E3"/>
    <w:rsid w:val="00527783"/>
    <w:rsid w:val="005277E7"/>
    <w:rsid w:val="00527FC1"/>
    <w:rsid w:val="0053102E"/>
    <w:rsid w:val="005315C8"/>
    <w:rsid w:val="0053569F"/>
    <w:rsid w:val="005360D1"/>
    <w:rsid w:val="00540CB6"/>
    <w:rsid w:val="00540FEB"/>
    <w:rsid w:val="00541B20"/>
    <w:rsid w:val="00541F61"/>
    <w:rsid w:val="005423C8"/>
    <w:rsid w:val="00542521"/>
    <w:rsid w:val="00542F90"/>
    <w:rsid w:val="00543775"/>
    <w:rsid w:val="00544E1D"/>
    <w:rsid w:val="00545537"/>
    <w:rsid w:val="00545582"/>
    <w:rsid w:val="00545B60"/>
    <w:rsid w:val="0055175A"/>
    <w:rsid w:val="00552061"/>
    <w:rsid w:val="005538B2"/>
    <w:rsid w:val="00553973"/>
    <w:rsid w:val="00555956"/>
    <w:rsid w:val="00555CC4"/>
    <w:rsid w:val="00557C2F"/>
    <w:rsid w:val="0056228F"/>
    <w:rsid w:val="00562F9E"/>
    <w:rsid w:val="0056596F"/>
    <w:rsid w:val="005679B4"/>
    <w:rsid w:val="00567A71"/>
    <w:rsid w:val="00570D82"/>
    <w:rsid w:val="00571C21"/>
    <w:rsid w:val="00573E80"/>
    <w:rsid w:val="00573F8B"/>
    <w:rsid w:val="00577361"/>
    <w:rsid w:val="005774B9"/>
    <w:rsid w:val="00580141"/>
    <w:rsid w:val="00580695"/>
    <w:rsid w:val="00580871"/>
    <w:rsid w:val="005814B5"/>
    <w:rsid w:val="00581829"/>
    <w:rsid w:val="00582723"/>
    <w:rsid w:val="0058392B"/>
    <w:rsid w:val="0058398D"/>
    <w:rsid w:val="00583E4B"/>
    <w:rsid w:val="00586667"/>
    <w:rsid w:val="00586A7E"/>
    <w:rsid w:val="00586C35"/>
    <w:rsid w:val="0059019B"/>
    <w:rsid w:val="00591B93"/>
    <w:rsid w:val="00591F68"/>
    <w:rsid w:val="00592B40"/>
    <w:rsid w:val="005951D6"/>
    <w:rsid w:val="005953C4"/>
    <w:rsid w:val="005975E2"/>
    <w:rsid w:val="005A313D"/>
    <w:rsid w:val="005A324D"/>
    <w:rsid w:val="005A32DA"/>
    <w:rsid w:val="005A3804"/>
    <w:rsid w:val="005A41C9"/>
    <w:rsid w:val="005A4408"/>
    <w:rsid w:val="005A4A88"/>
    <w:rsid w:val="005A4CF1"/>
    <w:rsid w:val="005A5AD3"/>
    <w:rsid w:val="005A75B7"/>
    <w:rsid w:val="005A7A18"/>
    <w:rsid w:val="005B54A2"/>
    <w:rsid w:val="005B5EB9"/>
    <w:rsid w:val="005B69BD"/>
    <w:rsid w:val="005B6CE5"/>
    <w:rsid w:val="005C102F"/>
    <w:rsid w:val="005C136E"/>
    <w:rsid w:val="005C2CFD"/>
    <w:rsid w:val="005C353C"/>
    <w:rsid w:val="005C4B91"/>
    <w:rsid w:val="005C509C"/>
    <w:rsid w:val="005C53F3"/>
    <w:rsid w:val="005C665A"/>
    <w:rsid w:val="005D00D4"/>
    <w:rsid w:val="005D0F51"/>
    <w:rsid w:val="005D12B9"/>
    <w:rsid w:val="005D3AFC"/>
    <w:rsid w:val="005D3E9D"/>
    <w:rsid w:val="005D43A8"/>
    <w:rsid w:val="005D4EFF"/>
    <w:rsid w:val="005D5242"/>
    <w:rsid w:val="005D70F2"/>
    <w:rsid w:val="005D7E5B"/>
    <w:rsid w:val="005E160C"/>
    <w:rsid w:val="005E2844"/>
    <w:rsid w:val="005E297F"/>
    <w:rsid w:val="005E2F27"/>
    <w:rsid w:val="005E321B"/>
    <w:rsid w:val="005E4B12"/>
    <w:rsid w:val="005E525C"/>
    <w:rsid w:val="005E64D3"/>
    <w:rsid w:val="005E6E2E"/>
    <w:rsid w:val="005E761F"/>
    <w:rsid w:val="005F093A"/>
    <w:rsid w:val="005F0DF6"/>
    <w:rsid w:val="005F24BB"/>
    <w:rsid w:val="005F28AE"/>
    <w:rsid w:val="005F3A8D"/>
    <w:rsid w:val="005F6D4D"/>
    <w:rsid w:val="00600BDE"/>
    <w:rsid w:val="00600E5B"/>
    <w:rsid w:val="00601130"/>
    <w:rsid w:val="00601404"/>
    <w:rsid w:val="006032A6"/>
    <w:rsid w:val="006041A2"/>
    <w:rsid w:val="00605E92"/>
    <w:rsid w:val="006114F4"/>
    <w:rsid w:val="006137D4"/>
    <w:rsid w:val="00613E01"/>
    <w:rsid w:val="00615A5C"/>
    <w:rsid w:val="00616014"/>
    <w:rsid w:val="00617575"/>
    <w:rsid w:val="00617E8B"/>
    <w:rsid w:val="00620208"/>
    <w:rsid w:val="00620DE3"/>
    <w:rsid w:val="0062158F"/>
    <w:rsid w:val="0062467F"/>
    <w:rsid w:val="00624B6F"/>
    <w:rsid w:val="00624F62"/>
    <w:rsid w:val="006256D3"/>
    <w:rsid w:val="00625846"/>
    <w:rsid w:val="00625BC9"/>
    <w:rsid w:val="00626AAF"/>
    <w:rsid w:val="00626ACC"/>
    <w:rsid w:val="006270A9"/>
    <w:rsid w:val="00627BB7"/>
    <w:rsid w:val="00627E65"/>
    <w:rsid w:val="00630583"/>
    <w:rsid w:val="006308CF"/>
    <w:rsid w:val="00633B97"/>
    <w:rsid w:val="00633CFE"/>
    <w:rsid w:val="00633DD5"/>
    <w:rsid w:val="00636B62"/>
    <w:rsid w:val="0064183C"/>
    <w:rsid w:val="00643592"/>
    <w:rsid w:val="00644238"/>
    <w:rsid w:val="006443D2"/>
    <w:rsid w:val="00644A13"/>
    <w:rsid w:val="00645C8C"/>
    <w:rsid w:val="0064639B"/>
    <w:rsid w:val="006464E3"/>
    <w:rsid w:val="0065127D"/>
    <w:rsid w:val="0065136E"/>
    <w:rsid w:val="006559BB"/>
    <w:rsid w:val="006567F6"/>
    <w:rsid w:val="00656BBF"/>
    <w:rsid w:val="006574AD"/>
    <w:rsid w:val="00660691"/>
    <w:rsid w:val="006612A0"/>
    <w:rsid w:val="00661E90"/>
    <w:rsid w:val="00662CD5"/>
    <w:rsid w:val="006631A2"/>
    <w:rsid w:val="006646B9"/>
    <w:rsid w:val="006656E1"/>
    <w:rsid w:val="00665B62"/>
    <w:rsid w:val="00666EE5"/>
    <w:rsid w:val="006674A7"/>
    <w:rsid w:val="00667E1E"/>
    <w:rsid w:val="00670D71"/>
    <w:rsid w:val="00670EBF"/>
    <w:rsid w:val="006712F6"/>
    <w:rsid w:val="0067160D"/>
    <w:rsid w:val="00671ED8"/>
    <w:rsid w:val="006728F4"/>
    <w:rsid w:val="00672A78"/>
    <w:rsid w:val="00674A48"/>
    <w:rsid w:val="00675168"/>
    <w:rsid w:val="0067607E"/>
    <w:rsid w:val="00676267"/>
    <w:rsid w:val="00676B0D"/>
    <w:rsid w:val="00676F93"/>
    <w:rsid w:val="00677029"/>
    <w:rsid w:val="006802FB"/>
    <w:rsid w:val="00680FBF"/>
    <w:rsid w:val="0068105F"/>
    <w:rsid w:val="006819FA"/>
    <w:rsid w:val="006821F4"/>
    <w:rsid w:val="006823FE"/>
    <w:rsid w:val="0068385F"/>
    <w:rsid w:val="006874C9"/>
    <w:rsid w:val="006923A9"/>
    <w:rsid w:val="006924D5"/>
    <w:rsid w:val="006925E6"/>
    <w:rsid w:val="00692FBD"/>
    <w:rsid w:val="006941B2"/>
    <w:rsid w:val="006954F7"/>
    <w:rsid w:val="00695735"/>
    <w:rsid w:val="00696CD3"/>
    <w:rsid w:val="006A0B54"/>
    <w:rsid w:val="006A102F"/>
    <w:rsid w:val="006A24F1"/>
    <w:rsid w:val="006A2C5A"/>
    <w:rsid w:val="006A2C8D"/>
    <w:rsid w:val="006A4032"/>
    <w:rsid w:val="006A4C5B"/>
    <w:rsid w:val="006A5240"/>
    <w:rsid w:val="006A663F"/>
    <w:rsid w:val="006A7C3C"/>
    <w:rsid w:val="006A7C47"/>
    <w:rsid w:val="006A7F7E"/>
    <w:rsid w:val="006B1364"/>
    <w:rsid w:val="006B2AFB"/>
    <w:rsid w:val="006B42D7"/>
    <w:rsid w:val="006B595B"/>
    <w:rsid w:val="006B6981"/>
    <w:rsid w:val="006B6F03"/>
    <w:rsid w:val="006B74A1"/>
    <w:rsid w:val="006C0D7B"/>
    <w:rsid w:val="006C120C"/>
    <w:rsid w:val="006C15C3"/>
    <w:rsid w:val="006C1657"/>
    <w:rsid w:val="006C2281"/>
    <w:rsid w:val="006C3F1C"/>
    <w:rsid w:val="006C4234"/>
    <w:rsid w:val="006C4E73"/>
    <w:rsid w:val="006C63FB"/>
    <w:rsid w:val="006C72B2"/>
    <w:rsid w:val="006C79A5"/>
    <w:rsid w:val="006C7F1C"/>
    <w:rsid w:val="006D1624"/>
    <w:rsid w:val="006D32FC"/>
    <w:rsid w:val="006D3531"/>
    <w:rsid w:val="006D37D1"/>
    <w:rsid w:val="006D4FE3"/>
    <w:rsid w:val="006D57CA"/>
    <w:rsid w:val="006D5829"/>
    <w:rsid w:val="006D598A"/>
    <w:rsid w:val="006D6A50"/>
    <w:rsid w:val="006D777A"/>
    <w:rsid w:val="006D7EBC"/>
    <w:rsid w:val="006E10B2"/>
    <w:rsid w:val="006E2F73"/>
    <w:rsid w:val="006E322F"/>
    <w:rsid w:val="006E3E7E"/>
    <w:rsid w:val="006E414B"/>
    <w:rsid w:val="006E53B3"/>
    <w:rsid w:val="006E735B"/>
    <w:rsid w:val="006E73DA"/>
    <w:rsid w:val="006E7DCE"/>
    <w:rsid w:val="006F17E1"/>
    <w:rsid w:val="006F21D2"/>
    <w:rsid w:val="006F4CE4"/>
    <w:rsid w:val="006F4FD1"/>
    <w:rsid w:val="006F5710"/>
    <w:rsid w:val="006F57A0"/>
    <w:rsid w:val="006F5D9A"/>
    <w:rsid w:val="00701409"/>
    <w:rsid w:val="00701FF8"/>
    <w:rsid w:val="0070238D"/>
    <w:rsid w:val="00702CD4"/>
    <w:rsid w:val="00703094"/>
    <w:rsid w:val="00703560"/>
    <w:rsid w:val="00704976"/>
    <w:rsid w:val="007050FF"/>
    <w:rsid w:val="00706EAB"/>
    <w:rsid w:val="00710352"/>
    <w:rsid w:val="007107C4"/>
    <w:rsid w:val="00710D2E"/>
    <w:rsid w:val="00710E87"/>
    <w:rsid w:val="007114B2"/>
    <w:rsid w:val="00711BC0"/>
    <w:rsid w:val="00713E0D"/>
    <w:rsid w:val="00714E11"/>
    <w:rsid w:val="00715CB9"/>
    <w:rsid w:val="00716705"/>
    <w:rsid w:val="00720451"/>
    <w:rsid w:val="00720947"/>
    <w:rsid w:val="00720F75"/>
    <w:rsid w:val="007221A9"/>
    <w:rsid w:val="0072227C"/>
    <w:rsid w:val="0072232A"/>
    <w:rsid w:val="00722C56"/>
    <w:rsid w:val="00722C82"/>
    <w:rsid w:val="007231DF"/>
    <w:rsid w:val="00723515"/>
    <w:rsid w:val="007239DA"/>
    <w:rsid w:val="007245C5"/>
    <w:rsid w:val="00725111"/>
    <w:rsid w:val="00725C22"/>
    <w:rsid w:val="0072606C"/>
    <w:rsid w:val="007314CE"/>
    <w:rsid w:val="007319AB"/>
    <w:rsid w:val="007319CE"/>
    <w:rsid w:val="00732405"/>
    <w:rsid w:val="00732B82"/>
    <w:rsid w:val="007333FE"/>
    <w:rsid w:val="00733561"/>
    <w:rsid w:val="00735327"/>
    <w:rsid w:val="00736511"/>
    <w:rsid w:val="00736E0B"/>
    <w:rsid w:val="0073706F"/>
    <w:rsid w:val="00740865"/>
    <w:rsid w:val="00744554"/>
    <w:rsid w:val="0074567B"/>
    <w:rsid w:val="00747962"/>
    <w:rsid w:val="00747E18"/>
    <w:rsid w:val="00750416"/>
    <w:rsid w:val="00751B3E"/>
    <w:rsid w:val="00751CEA"/>
    <w:rsid w:val="00751FF2"/>
    <w:rsid w:val="00752764"/>
    <w:rsid w:val="0075376A"/>
    <w:rsid w:val="00753CDA"/>
    <w:rsid w:val="00755504"/>
    <w:rsid w:val="007558F4"/>
    <w:rsid w:val="00755F14"/>
    <w:rsid w:val="00756669"/>
    <w:rsid w:val="00756E28"/>
    <w:rsid w:val="00757D03"/>
    <w:rsid w:val="007610F9"/>
    <w:rsid w:val="00761FB6"/>
    <w:rsid w:val="007632DC"/>
    <w:rsid w:val="007644D6"/>
    <w:rsid w:val="007646FE"/>
    <w:rsid w:val="007650B5"/>
    <w:rsid w:val="00766186"/>
    <w:rsid w:val="00766962"/>
    <w:rsid w:val="007672B7"/>
    <w:rsid w:val="0076745F"/>
    <w:rsid w:val="00767524"/>
    <w:rsid w:val="00771645"/>
    <w:rsid w:val="00772106"/>
    <w:rsid w:val="00772619"/>
    <w:rsid w:val="0077267E"/>
    <w:rsid w:val="00772F09"/>
    <w:rsid w:val="007740B7"/>
    <w:rsid w:val="007743CD"/>
    <w:rsid w:val="00775287"/>
    <w:rsid w:val="00775CD8"/>
    <w:rsid w:val="0077681D"/>
    <w:rsid w:val="007768A1"/>
    <w:rsid w:val="00776C90"/>
    <w:rsid w:val="00776FB3"/>
    <w:rsid w:val="0078135F"/>
    <w:rsid w:val="00782645"/>
    <w:rsid w:val="00782D04"/>
    <w:rsid w:val="007831D2"/>
    <w:rsid w:val="00784983"/>
    <w:rsid w:val="00784C15"/>
    <w:rsid w:val="007855E1"/>
    <w:rsid w:val="00785623"/>
    <w:rsid w:val="0078678C"/>
    <w:rsid w:val="007867BB"/>
    <w:rsid w:val="00787E33"/>
    <w:rsid w:val="00790432"/>
    <w:rsid w:val="0079083B"/>
    <w:rsid w:val="00790C01"/>
    <w:rsid w:val="00792EB2"/>
    <w:rsid w:val="007933C8"/>
    <w:rsid w:val="0079366D"/>
    <w:rsid w:val="00793F47"/>
    <w:rsid w:val="00795936"/>
    <w:rsid w:val="00796924"/>
    <w:rsid w:val="00797BC5"/>
    <w:rsid w:val="007A0716"/>
    <w:rsid w:val="007A1335"/>
    <w:rsid w:val="007A243E"/>
    <w:rsid w:val="007A27BC"/>
    <w:rsid w:val="007A2A6E"/>
    <w:rsid w:val="007A2D1C"/>
    <w:rsid w:val="007A3CB6"/>
    <w:rsid w:val="007A4875"/>
    <w:rsid w:val="007A4B88"/>
    <w:rsid w:val="007A4ECA"/>
    <w:rsid w:val="007A61B7"/>
    <w:rsid w:val="007A6CC3"/>
    <w:rsid w:val="007A7DAB"/>
    <w:rsid w:val="007B0668"/>
    <w:rsid w:val="007B18DD"/>
    <w:rsid w:val="007B1E33"/>
    <w:rsid w:val="007B228B"/>
    <w:rsid w:val="007B2601"/>
    <w:rsid w:val="007B2641"/>
    <w:rsid w:val="007B26DA"/>
    <w:rsid w:val="007B3700"/>
    <w:rsid w:val="007B531C"/>
    <w:rsid w:val="007C01AC"/>
    <w:rsid w:val="007C13FC"/>
    <w:rsid w:val="007C1B02"/>
    <w:rsid w:val="007C3013"/>
    <w:rsid w:val="007C37F9"/>
    <w:rsid w:val="007C47AE"/>
    <w:rsid w:val="007C5105"/>
    <w:rsid w:val="007C6E09"/>
    <w:rsid w:val="007C7095"/>
    <w:rsid w:val="007D02A0"/>
    <w:rsid w:val="007D0AE2"/>
    <w:rsid w:val="007D188B"/>
    <w:rsid w:val="007D33F4"/>
    <w:rsid w:val="007D3C31"/>
    <w:rsid w:val="007D3C57"/>
    <w:rsid w:val="007D5070"/>
    <w:rsid w:val="007D6DA7"/>
    <w:rsid w:val="007D6EB5"/>
    <w:rsid w:val="007D744B"/>
    <w:rsid w:val="007E0A1A"/>
    <w:rsid w:val="007E0EA4"/>
    <w:rsid w:val="007E2564"/>
    <w:rsid w:val="007E2D4B"/>
    <w:rsid w:val="007E33F7"/>
    <w:rsid w:val="007E3BFD"/>
    <w:rsid w:val="007E471B"/>
    <w:rsid w:val="007F0728"/>
    <w:rsid w:val="007F0A14"/>
    <w:rsid w:val="007F0D77"/>
    <w:rsid w:val="007F2AF9"/>
    <w:rsid w:val="007F3094"/>
    <w:rsid w:val="007F3ABE"/>
    <w:rsid w:val="007F3E4C"/>
    <w:rsid w:val="007F501B"/>
    <w:rsid w:val="007F5D74"/>
    <w:rsid w:val="007F6533"/>
    <w:rsid w:val="00801256"/>
    <w:rsid w:val="00801FCF"/>
    <w:rsid w:val="00802289"/>
    <w:rsid w:val="00802652"/>
    <w:rsid w:val="00802C57"/>
    <w:rsid w:val="00805B32"/>
    <w:rsid w:val="00807A78"/>
    <w:rsid w:val="0081351B"/>
    <w:rsid w:val="00814C9F"/>
    <w:rsid w:val="0081667C"/>
    <w:rsid w:val="00816808"/>
    <w:rsid w:val="008173F3"/>
    <w:rsid w:val="00822751"/>
    <w:rsid w:val="00823903"/>
    <w:rsid w:val="00823FF6"/>
    <w:rsid w:val="00824E43"/>
    <w:rsid w:val="00824F48"/>
    <w:rsid w:val="00825424"/>
    <w:rsid w:val="00825A5B"/>
    <w:rsid w:val="00826709"/>
    <w:rsid w:val="008267C6"/>
    <w:rsid w:val="008276E8"/>
    <w:rsid w:val="00827D03"/>
    <w:rsid w:val="008328E9"/>
    <w:rsid w:val="00834967"/>
    <w:rsid w:val="00834C83"/>
    <w:rsid w:val="00834FE6"/>
    <w:rsid w:val="00835082"/>
    <w:rsid w:val="0083589B"/>
    <w:rsid w:val="00835BCB"/>
    <w:rsid w:val="00835CDC"/>
    <w:rsid w:val="00840536"/>
    <w:rsid w:val="008424C6"/>
    <w:rsid w:val="00842E75"/>
    <w:rsid w:val="00844E61"/>
    <w:rsid w:val="00845248"/>
    <w:rsid w:val="0084654B"/>
    <w:rsid w:val="00847570"/>
    <w:rsid w:val="00847625"/>
    <w:rsid w:val="008508CC"/>
    <w:rsid w:val="00850B09"/>
    <w:rsid w:val="008510C3"/>
    <w:rsid w:val="0085126E"/>
    <w:rsid w:val="00851E50"/>
    <w:rsid w:val="00852801"/>
    <w:rsid w:val="00852A48"/>
    <w:rsid w:val="00853C6D"/>
    <w:rsid w:val="0085489C"/>
    <w:rsid w:val="00855EBF"/>
    <w:rsid w:val="00856977"/>
    <w:rsid w:val="0085742B"/>
    <w:rsid w:val="0086106F"/>
    <w:rsid w:val="0086116F"/>
    <w:rsid w:val="0086165A"/>
    <w:rsid w:val="00862FC2"/>
    <w:rsid w:val="0086305C"/>
    <w:rsid w:val="00863425"/>
    <w:rsid w:val="00863B9D"/>
    <w:rsid w:val="00863BE6"/>
    <w:rsid w:val="0086541E"/>
    <w:rsid w:val="008662B7"/>
    <w:rsid w:val="00866F17"/>
    <w:rsid w:val="00870CB6"/>
    <w:rsid w:val="00872444"/>
    <w:rsid w:val="0087246A"/>
    <w:rsid w:val="00872B40"/>
    <w:rsid w:val="008737DE"/>
    <w:rsid w:val="008775BC"/>
    <w:rsid w:val="00877FE8"/>
    <w:rsid w:val="00880FB8"/>
    <w:rsid w:val="00881800"/>
    <w:rsid w:val="008825A0"/>
    <w:rsid w:val="00882609"/>
    <w:rsid w:val="00882F1B"/>
    <w:rsid w:val="00883712"/>
    <w:rsid w:val="008845B7"/>
    <w:rsid w:val="00884A5D"/>
    <w:rsid w:val="00885591"/>
    <w:rsid w:val="008855BC"/>
    <w:rsid w:val="00886131"/>
    <w:rsid w:val="008861B8"/>
    <w:rsid w:val="00886249"/>
    <w:rsid w:val="00886C90"/>
    <w:rsid w:val="00890496"/>
    <w:rsid w:val="0089261A"/>
    <w:rsid w:val="00892CE9"/>
    <w:rsid w:val="00893636"/>
    <w:rsid w:val="008940A6"/>
    <w:rsid w:val="00894C5C"/>
    <w:rsid w:val="00894CE5"/>
    <w:rsid w:val="0089506B"/>
    <w:rsid w:val="00895280"/>
    <w:rsid w:val="00896643"/>
    <w:rsid w:val="00896D37"/>
    <w:rsid w:val="008A1922"/>
    <w:rsid w:val="008A1F61"/>
    <w:rsid w:val="008A23C2"/>
    <w:rsid w:val="008A347C"/>
    <w:rsid w:val="008A35E8"/>
    <w:rsid w:val="008A3B21"/>
    <w:rsid w:val="008A4B2A"/>
    <w:rsid w:val="008A63B8"/>
    <w:rsid w:val="008A70CE"/>
    <w:rsid w:val="008A73A2"/>
    <w:rsid w:val="008A73C8"/>
    <w:rsid w:val="008A7E5E"/>
    <w:rsid w:val="008B1247"/>
    <w:rsid w:val="008B157F"/>
    <w:rsid w:val="008B2ABF"/>
    <w:rsid w:val="008B2B9E"/>
    <w:rsid w:val="008B645E"/>
    <w:rsid w:val="008B65DD"/>
    <w:rsid w:val="008C0483"/>
    <w:rsid w:val="008C0AA6"/>
    <w:rsid w:val="008C18DC"/>
    <w:rsid w:val="008C22B4"/>
    <w:rsid w:val="008C25E4"/>
    <w:rsid w:val="008C2DAE"/>
    <w:rsid w:val="008C33A8"/>
    <w:rsid w:val="008C35B8"/>
    <w:rsid w:val="008C3A00"/>
    <w:rsid w:val="008C4848"/>
    <w:rsid w:val="008C6372"/>
    <w:rsid w:val="008C703C"/>
    <w:rsid w:val="008C7774"/>
    <w:rsid w:val="008D106E"/>
    <w:rsid w:val="008D13C8"/>
    <w:rsid w:val="008D2D48"/>
    <w:rsid w:val="008D35AB"/>
    <w:rsid w:val="008D5860"/>
    <w:rsid w:val="008D5BB1"/>
    <w:rsid w:val="008D6157"/>
    <w:rsid w:val="008D76BB"/>
    <w:rsid w:val="008E00BF"/>
    <w:rsid w:val="008E3029"/>
    <w:rsid w:val="008E36DB"/>
    <w:rsid w:val="008E48BA"/>
    <w:rsid w:val="008E55BA"/>
    <w:rsid w:val="008E66EE"/>
    <w:rsid w:val="008E683D"/>
    <w:rsid w:val="008E6995"/>
    <w:rsid w:val="008F1C5D"/>
    <w:rsid w:val="008F4B8B"/>
    <w:rsid w:val="008F4DA8"/>
    <w:rsid w:val="008F5C19"/>
    <w:rsid w:val="008F5CCF"/>
    <w:rsid w:val="008F5E92"/>
    <w:rsid w:val="008F7FC4"/>
    <w:rsid w:val="00900074"/>
    <w:rsid w:val="00900459"/>
    <w:rsid w:val="00900A1A"/>
    <w:rsid w:val="00900C65"/>
    <w:rsid w:val="0090114F"/>
    <w:rsid w:val="00902261"/>
    <w:rsid w:val="00903E7A"/>
    <w:rsid w:val="00904A56"/>
    <w:rsid w:val="00904C0A"/>
    <w:rsid w:val="009059A9"/>
    <w:rsid w:val="009063E7"/>
    <w:rsid w:val="0090753F"/>
    <w:rsid w:val="00910060"/>
    <w:rsid w:val="00910C00"/>
    <w:rsid w:val="00911363"/>
    <w:rsid w:val="009151C4"/>
    <w:rsid w:val="009153D4"/>
    <w:rsid w:val="00916078"/>
    <w:rsid w:val="00917B9D"/>
    <w:rsid w:val="00917DF5"/>
    <w:rsid w:val="00920FA8"/>
    <w:rsid w:val="009223BB"/>
    <w:rsid w:val="009232F2"/>
    <w:rsid w:val="00923342"/>
    <w:rsid w:val="009238C5"/>
    <w:rsid w:val="00923B9F"/>
    <w:rsid w:val="00923F44"/>
    <w:rsid w:val="009244AD"/>
    <w:rsid w:val="0092515E"/>
    <w:rsid w:val="00927A2B"/>
    <w:rsid w:val="00930BA2"/>
    <w:rsid w:val="00931DCD"/>
    <w:rsid w:val="0093328F"/>
    <w:rsid w:val="0093362F"/>
    <w:rsid w:val="00934BF9"/>
    <w:rsid w:val="00934D5D"/>
    <w:rsid w:val="00936293"/>
    <w:rsid w:val="009364F7"/>
    <w:rsid w:val="0093795D"/>
    <w:rsid w:val="009379C8"/>
    <w:rsid w:val="009401C8"/>
    <w:rsid w:val="00940C29"/>
    <w:rsid w:val="0094138F"/>
    <w:rsid w:val="00941557"/>
    <w:rsid w:val="00941945"/>
    <w:rsid w:val="00941E7E"/>
    <w:rsid w:val="00941F90"/>
    <w:rsid w:val="00942026"/>
    <w:rsid w:val="00942840"/>
    <w:rsid w:val="00942FBD"/>
    <w:rsid w:val="009433D2"/>
    <w:rsid w:val="00946EF3"/>
    <w:rsid w:val="0094770B"/>
    <w:rsid w:val="00947DA1"/>
    <w:rsid w:val="0095098C"/>
    <w:rsid w:val="00952D57"/>
    <w:rsid w:val="00954B84"/>
    <w:rsid w:val="0095500A"/>
    <w:rsid w:val="00955C94"/>
    <w:rsid w:val="00957F77"/>
    <w:rsid w:val="00960BF3"/>
    <w:rsid w:val="009616D3"/>
    <w:rsid w:val="00961C92"/>
    <w:rsid w:val="009645BE"/>
    <w:rsid w:val="009647EC"/>
    <w:rsid w:val="00965839"/>
    <w:rsid w:val="00965B6F"/>
    <w:rsid w:val="00966BF5"/>
    <w:rsid w:val="00966C0B"/>
    <w:rsid w:val="00967BB4"/>
    <w:rsid w:val="009705DA"/>
    <w:rsid w:val="00970747"/>
    <w:rsid w:val="009715DE"/>
    <w:rsid w:val="00972473"/>
    <w:rsid w:val="00973A19"/>
    <w:rsid w:val="00974E61"/>
    <w:rsid w:val="0097613E"/>
    <w:rsid w:val="00976533"/>
    <w:rsid w:val="00976D55"/>
    <w:rsid w:val="009803E8"/>
    <w:rsid w:val="00981C74"/>
    <w:rsid w:val="0098230A"/>
    <w:rsid w:val="00983E8B"/>
    <w:rsid w:val="0098711C"/>
    <w:rsid w:val="00987AA8"/>
    <w:rsid w:val="00990677"/>
    <w:rsid w:val="0099187E"/>
    <w:rsid w:val="00991A7D"/>
    <w:rsid w:val="009924BD"/>
    <w:rsid w:val="00993751"/>
    <w:rsid w:val="00993B5C"/>
    <w:rsid w:val="00993E40"/>
    <w:rsid w:val="00995C3B"/>
    <w:rsid w:val="0099769F"/>
    <w:rsid w:val="00997B4C"/>
    <w:rsid w:val="00997B52"/>
    <w:rsid w:val="00997D8E"/>
    <w:rsid w:val="009A14E0"/>
    <w:rsid w:val="009A176F"/>
    <w:rsid w:val="009A25E0"/>
    <w:rsid w:val="009A29FB"/>
    <w:rsid w:val="009A36BC"/>
    <w:rsid w:val="009A3C86"/>
    <w:rsid w:val="009A3EEF"/>
    <w:rsid w:val="009A4759"/>
    <w:rsid w:val="009A4FF6"/>
    <w:rsid w:val="009A51C2"/>
    <w:rsid w:val="009A5805"/>
    <w:rsid w:val="009A65E1"/>
    <w:rsid w:val="009A7727"/>
    <w:rsid w:val="009B0982"/>
    <w:rsid w:val="009B0B07"/>
    <w:rsid w:val="009B11E9"/>
    <w:rsid w:val="009B2267"/>
    <w:rsid w:val="009B2EB0"/>
    <w:rsid w:val="009B3163"/>
    <w:rsid w:val="009B3310"/>
    <w:rsid w:val="009B44BD"/>
    <w:rsid w:val="009B4FB3"/>
    <w:rsid w:val="009B5C76"/>
    <w:rsid w:val="009B6273"/>
    <w:rsid w:val="009B70F9"/>
    <w:rsid w:val="009B7477"/>
    <w:rsid w:val="009B75F1"/>
    <w:rsid w:val="009C13B9"/>
    <w:rsid w:val="009C1677"/>
    <w:rsid w:val="009C47C7"/>
    <w:rsid w:val="009C4D29"/>
    <w:rsid w:val="009C4E55"/>
    <w:rsid w:val="009C5380"/>
    <w:rsid w:val="009C55B1"/>
    <w:rsid w:val="009C5CE3"/>
    <w:rsid w:val="009C67A2"/>
    <w:rsid w:val="009D009D"/>
    <w:rsid w:val="009D09AD"/>
    <w:rsid w:val="009D0B87"/>
    <w:rsid w:val="009D13E0"/>
    <w:rsid w:val="009D1EC5"/>
    <w:rsid w:val="009D2783"/>
    <w:rsid w:val="009D2CC9"/>
    <w:rsid w:val="009D3819"/>
    <w:rsid w:val="009D425A"/>
    <w:rsid w:val="009D5002"/>
    <w:rsid w:val="009D7BD2"/>
    <w:rsid w:val="009D7CF3"/>
    <w:rsid w:val="009E0AE8"/>
    <w:rsid w:val="009E0E95"/>
    <w:rsid w:val="009E49FA"/>
    <w:rsid w:val="009E4AA0"/>
    <w:rsid w:val="009E4DC7"/>
    <w:rsid w:val="009E5117"/>
    <w:rsid w:val="009E5374"/>
    <w:rsid w:val="009E5BDE"/>
    <w:rsid w:val="009E699F"/>
    <w:rsid w:val="009E7D0C"/>
    <w:rsid w:val="009F0B00"/>
    <w:rsid w:val="009F2A50"/>
    <w:rsid w:val="009F345D"/>
    <w:rsid w:val="009F372A"/>
    <w:rsid w:val="009F406C"/>
    <w:rsid w:val="009F5180"/>
    <w:rsid w:val="009F5383"/>
    <w:rsid w:val="009F57D2"/>
    <w:rsid w:val="009F5E65"/>
    <w:rsid w:val="009F6F1D"/>
    <w:rsid w:val="00A0143B"/>
    <w:rsid w:val="00A03E09"/>
    <w:rsid w:val="00A03E56"/>
    <w:rsid w:val="00A0434C"/>
    <w:rsid w:val="00A04BB1"/>
    <w:rsid w:val="00A04F22"/>
    <w:rsid w:val="00A050C4"/>
    <w:rsid w:val="00A105B6"/>
    <w:rsid w:val="00A10F42"/>
    <w:rsid w:val="00A1302C"/>
    <w:rsid w:val="00A13218"/>
    <w:rsid w:val="00A134D2"/>
    <w:rsid w:val="00A136F7"/>
    <w:rsid w:val="00A146A7"/>
    <w:rsid w:val="00A14AD4"/>
    <w:rsid w:val="00A1501B"/>
    <w:rsid w:val="00A154A5"/>
    <w:rsid w:val="00A167E4"/>
    <w:rsid w:val="00A17890"/>
    <w:rsid w:val="00A17CF2"/>
    <w:rsid w:val="00A20021"/>
    <w:rsid w:val="00A205DC"/>
    <w:rsid w:val="00A22579"/>
    <w:rsid w:val="00A227A3"/>
    <w:rsid w:val="00A22823"/>
    <w:rsid w:val="00A234FD"/>
    <w:rsid w:val="00A245AB"/>
    <w:rsid w:val="00A24A70"/>
    <w:rsid w:val="00A250D6"/>
    <w:rsid w:val="00A25F96"/>
    <w:rsid w:val="00A279A7"/>
    <w:rsid w:val="00A27E73"/>
    <w:rsid w:val="00A30780"/>
    <w:rsid w:val="00A31010"/>
    <w:rsid w:val="00A3128F"/>
    <w:rsid w:val="00A31490"/>
    <w:rsid w:val="00A315EE"/>
    <w:rsid w:val="00A32455"/>
    <w:rsid w:val="00A32C9A"/>
    <w:rsid w:val="00A32EA1"/>
    <w:rsid w:val="00A33165"/>
    <w:rsid w:val="00A342A6"/>
    <w:rsid w:val="00A35C6A"/>
    <w:rsid w:val="00A35D43"/>
    <w:rsid w:val="00A36110"/>
    <w:rsid w:val="00A36407"/>
    <w:rsid w:val="00A36C33"/>
    <w:rsid w:val="00A3777C"/>
    <w:rsid w:val="00A4108E"/>
    <w:rsid w:val="00A4183B"/>
    <w:rsid w:val="00A42238"/>
    <w:rsid w:val="00A4305D"/>
    <w:rsid w:val="00A431A2"/>
    <w:rsid w:val="00A446A5"/>
    <w:rsid w:val="00A47386"/>
    <w:rsid w:val="00A47D17"/>
    <w:rsid w:val="00A51FC7"/>
    <w:rsid w:val="00A523BE"/>
    <w:rsid w:val="00A5297A"/>
    <w:rsid w:val="00A53625"/>
    <w:rsid w:val="00A53F01"/>
    <w:rsid w:val="00A545D6"/>
    <w:rsid w:val="00A553C2"/>
    <w:rsid w:val="00A5575A"/>
    <w:rsid w:val="00A558E3"/>
    <w:rsid w:val="00A55E34"/>
    <w:rsid w:val="00A5646F"/>
    <w:rsid w:val="00A56C67"/>
    <w:rsid w:val="00A57073"/>
    <w:rsid w:val="00A5797D"/>
    <w:rsid w:val="00A57A90"/>
    <w:rsid w:val="00A57DA1"/>
    <w:rsid w:val="00A60B73"/>
    <w:rsid w:val="00A60D34"/>
    <w:rsid w:val="00A61887"/>
    <w:rsid w:val="00A6267E"/>
    <w:rsid w:val="00A64F9C"/>
    <w:rsid w:val="00A653DC"/>
    <w:rsid w:val="00A67F12"/>
    <w:rsid w:val="00A70BAE"/>
    <w:rsid w:val="00A71BFB"/>
    <w:rsid w:val="00A72C87"/>
    <w:rsid w:val="00A7307F"/>
    <w:rsid w:val="00A734D2"/>
    <w:rsid w:val="00A74D4B"/>
    <w:rsid w:val="00A74FCD"/>
    <w:rsid w:val="00A74FF1"/>
    <w:rsid w:val="00A75267"/>
    <w:rsid w:val="00A76AAD"/>
    <w:rsid w:val="00A76D19"/>
    <w:rsid w:val="00A7701F"/>
    <w:rsid w:val="00A77200"/>
    <w:rsid w:val="00A772AB"/>
    <w:rsid w:val="00A779A7"/>
    <w:rsid w:val="00A80080"/>
    <w:rsid w:val="00A81018"/>
    <w:rsid w:val="00A82238"/>
    <w:rsid w:val="00A85520"/>
    <w:rsid w:val="00A8663A"/>
    <w:rsid w:val="00A86768"/>
    <w:rsid w:val="00A86DA6"/>
    <w:rsid w:val="00A8724D"/>
    <w:rsid w:val="00A87681"/>
    <w:rsid w:val="00A87BA0"/>
    <w:rsid w:val="00A900E8"/>
    <w:rsid w:val="00A90341"/>
    <w:rsid w:val="00A90C75"/>
    <w:rsid w:val="00A91246"/>
    <w:rsid w:val="00A917EF"/>
    <w:rsid w:val="00A93AD5"/>
    <w:rsid w:val="00A9471F"/>
    <w:rsid w:val="00A94C44"/>
    <w:rsid w:val="00A960C8"/>
    <w:rsid w:val="00A963BF"/>
    <w:rsid w:val="00A968DF"/>
    <w:rsid w:val="00AA024A"/>
    <w:rsid w:val="00AA0C67"/>
    <w:rsid w:val="00AA14FC"/>
    <w:rsid w:val="00AA3DF1"/>
    <w:rsid w:val="00AA5751"/>
    <w:rsid w:val="00AA5AB6"/>
    <w:rsid w:val="00AA69CE"/>
    <w:rsid w:val="00AA7AFA"/>
    <w:rsid w:val="00AB0CA9"/>
    <w:rsid w:val="00AB232A"/>
    <w:rsid w:val="00AB4541"/>
    <w:rsid w:val="00AB4951"/>
    <w:rsid w:val="00AB49AB"/>
    <w:rsid w:val="00AB5653"/>
    <w:rsid w:val="00AB61F8"/>
    <w:rsid w:val="00AB73FC"/>
    <w:rsid w:val="00AC07E6"/>
    <w:rsid w:val="00AC07F1"/>
    <w:rsid w:val="00AC1C79"/>
    <w:rsid w:val="00AC3603"/>
    <w:rsid w:val="00AC5BA6"/>
    <w:rsid w:val="00AC6729"/>
    <w:rsid w:val="00AC6B8A"/>
    <w:rsid w:val="00AC7E21"/>
    <w:rsid w:val="00AD0595"/>
    <w:rsid w:val="00AD0650"/>
    <w:rsid w:val="00AD0AE9"/>
    <w:rsid w:val="00AD0F59"/>
    <w:rsid w:val="00AD3CE9"/>
    <w:rsid w:val="00AD3EB7"/>
    <w:rsid w:val="00AD6525"/>
    <w:rsid w:val="00AD6EB6"/>
    <w:rsid w:val="00AD751E"/>
    <w:rsid w:val="00AE109C"/>
    <w:rsid w:val="00AE14CA"/>
    <w:rsid w:val="00AE2219"/>
    <w:rsid w:val="00AE2D1A"/>
    <w:rsid w:val="00AE2EA2"/>
    <w:rsid w:val="00AE3C1B"/>
    <w:rsid w:val="00AE402D"/>
    <w:rsid w:val="00AE43C7"/>
    <w:rsid w:val="00AE5291"/>
    <w:rsid w:val="00AE6660"/>
    <w:rsid w:val="00AE672A"/>
    <w:rsid w:val="00AF0D9D"/>
    <w:rsid w:val="00AF27AC"/>
    <w:rsid w:val="00AF3C32"/>
    <w:rsid w:val="00AF4483"/>
    <w:rsid w:val="00AF4D09"/>
    <w:rsid w:val="00AF539B"/>
    <w:rsid w:val="00AF5422"/>
    <w:rsid w:val="00AF5B5A"/>
    <w:rsid w:val="00AF5F70"/>
    <w:rsid w:val="00AF67BE"/>
    <w:rsid w:val="00AF749F"/>
    <w:rsid w:val="00AF7B2E"/>
    <w:rsid w:val="00B007D4"/>
    <w:rsid w:val="00B00E07"/>
    <w:rsid w:val="00B0187C"/>
    <w:rsid w:val="00B01FA5"/>
    <w:rsid w:val="00B025DD"/>
    <w:rsid w:val="00B03C55"/>
    <w:rsid w:val="00B04516"/>
    <w:rsid w:val="00B054BE"/>
    <w:rsid w:val="00B101C9"/>
    <w:rsid w:val="00B108EC"/>
    <w:rsid w:val="00B10EA9"/>
    <w:rsid w:val="00B119AF"/>
    <w:rsid w:val="00B1295D"/>
    <w:rsid w:val="00B13A85"/>
    <w:rsid w:val="00B14F8E"/>
    <w:rsid w:val="00B153DB"/>
    <w:rsid w:val="00B17032"/>
    <w:rsid w:val="00B205B9"/>
    <w:rsid w:val="00B2068E"/>
    <w:rsid w:val="00B20B9E"/>
    <w:rsid w:val="00B21D97"/>
    <w:rsid w:val="00B22316"/>
    <w:rsid w:val="00B23624"/>
    <w:rsid w:val="00B24EE0"/>
    <w:rsid w:val="00B25892"/>
    <w:rsid w:val="00B25F54"/>
    <w:rsid w:val="00B2601D"/>
    <w:rsid w:val="00B26242"/>
    <w:rsid w:val="00B27B64"/>
    <w:rsid w:val="00B3105C"/>
    <w:rsid w:val="00B31256"/>
    <w:rsid w:val="00B315A0"/>
    <w:rsid w:val="00B32336"/>
    <w:rsid w:val="00B33709"/>
    <w:rsid w:val="00B33898"/>
    <w:rsid w:val="00B34756"/>
    <w:rsid w:val="00B34A18"/>
    <w:rsid w:val="00B35466"/>
    <w:rsid w:val="00B35FF3"/>
    <w:rsid w:val="00B362A8"/>
    <w:rsid w:val="00B3694E"/>
    <w:rsid w:val="00B37061"/>
    <w:rsid w:val="00B37DA4"/>
    <w:rsid w:val="00B45795"/>
    <w:rsid w:val="00B460F5"/>
    <w:rsid w:val="00B468CE"/>
    <w:rsid w:val="00B47662"/>
    <w:rsid w:val="00B47A2B"/>
    <w:rsid w:val="00B5204A"/>
    <w:rsid w:val="00B5318A"/>
    <w:rsid w:val="00B5364F"/>
    <w:rsid w:val="00B55BCE"/>
    <w:rsid w:val="00B56679"/>
    <w:rsid w:val="00B579CB"/>
    <w:rsid w:val="00B60835"/>
    <w:rsid w:val="00B60B96"/>
    <w:rsid w:val="00B61B3F"/>
    <w:rsid w:val="00B6236E"/>
    <w:rsid w:val="00B62468"/>
    <w:rsid w:val="00B626CD"/>
    <w:rsid w:val="00B6428C"/>
    <w:rsid w:val="00B677D9"/>
    <w:rsid w:val="00B67EE6"/>
    <w:rsid w:val="00B70083"/>
    <w:rsid w:val="00B71B58"/>
    <w:rsid w:val="00B7366D"/>
    <w:rsid w:val="00B75CAF"/>
    <w:rsid w:val="00B77030"/>
    <w:rsid w:val="00B77650"/>
    <w:rsid w:val="00B77808"/>
    <w:rsid w:val="00B8005A"/>
    <w:rsid w:val="00B821BB"/>
    <w:rsid w:val="00B82EC1"/>
    <w:rsid w:val="00B837A3"/>
    <w:rsid w:val="00B83AD6"/>
    <w:rsid w:val="00B8400C"/>
    <w:rsid w:val="00B84445"/>
    <w:rsid w:val="00B8707C"/>
    <w:rsid w:val="00B94C5D"/>
    <w:rsid w:val="00B9530B"/>
    <w:rsid w:val="00B97377"/>
    <w:rsid w:val="00BA0CB9"/>
    <w:rsid w:val="00BA0F3C"/>
    <w:rsid w:val="00BA2789"/>
    <w:rsid w:val="00BA2947"/>
    <w:rsid w:val="00BA5048"/>
    <w:rsid w:val="00BA5C94"/>
    <w:rsid w:val="00BA5E73"/>
    <w:rsid w:val="00BA6543"/>
    <w:rsid w:val="00BA6557"/>
    <w:rsid w:val="00BA7107"/>
    <w:rsid w:val="00BA73D5"/>
    <w:rsid w:val="00BA7542"/>
    <w:rsid w:val="00BA7D11"/>
    <w:rsid w:val="00BB1A0B"/>
    <w:rsid w:val="00BB22EA"/>
    <w:rsid w:val="00BB28F6"/>
    <w:rsid w:val="00BB295B"/>
    <w:rsid w:val="00BB2C4B"/>
    <w:rsid w:val="00BB2DFA"/>
    <w:rsid w:val="00BB455D"/>
    <w:rsid w:val="00BB4A2E"/>
    <w:rsid w:val="00BB5CF1"/>
    <w:rsid w:val="00BB5F26"/>
    <w:rsid w:val="00BB6CC5"/>
    <w:rsid w:val="00BB6FA7"/>
    <w:rsid w:val="00BB73D3"/>
    <w:rsid w:val="00BB7AF1"/>
    <w:rsid w:val="00BC088A"/>
    <w:rsid w:val="00BC0EEC"/>
    <w:rsid w:val="00BC1123"/>
    <w:rsid w:val="00BC2609"/>
    <w:rsid w:val="00BC2EB0"/>
    <w:rsid w:val="00BC32DC"/>
    <w:rsid w:val="00BC5A2F"/>
    <w:rsid w:val="00BC617C"/>
    <w:rsid w:val="00BD196C"/>
    <w:rsid w:val="00BD1DFC"/>
    <w:rsid w:val="00BD2756"/>
    <w:rsid w:val="00BD2863"/>
    <w:rsid w:val="00BD5CBA"/>
    <w:rsid w:val="00BD60E7"/>
    <w:rsid w:val="00BD6DB2"/>
    <w:rsid w:val="00BD75DB"/>
    <w:rsid w:val="00BD778B"/>
    <w:rsid w:val="00BE05CF"/>
    <w:rsid w:val="00BE0A0F"/>
    <w:rsid w:val="00BE0C6F"/>
    <w:rsid w:val="00BE2571"/>
    <w:rsid w:val="00BE27BC"/>
    <w:rsid w:val="00BE3240"/>
    <w:rsid w:val="00BE48CD"/>
    <w:rsid w:val="00BE67F0"/>
    <w:rsid w:val="00BF09C3"/>
    <w:rsid w:val="00BF0D31"/>
    <w:rsid w:val="00BF2BE8"/>
    <w:rsid w:val="00BF306E"/>
    <w:rsid w:val="00BF3B3A"/>
    <w:rsid w:val="00BF4AFD"/>
    <w:rsid w:val="00BF4DB0"/>
    <w:rsid w:val="00BF5F30"/>
    <w:rsid w:val="00BF7BCA"/>
    <w:rsid w:val="00C00919"/>
    <w:rsid w:val="00C00A25"/>
    <w:rsid w:val="00C00B4D"/>
    <w:rsid w:val="00C0185E"/>
    <w:rsid w:val="00C0268B"/>
    <w:rsid w:val="00C02E87"/>
    <w:rsid w:val="00C03255"/>
    <w:rsid w:val="00C0407F"/>
    <w:rsid w:val="00C04BC6"/>
    <w:rsid w:val="00C06E57"/>
    <w:rsid w:val="00C07033"/>
    <w:rsid w:val="00C07DBD"/>
    <w:rsid w:val="00C1039F"/>
    <w:rsid w:val="00C10514"/>
    <w:rsid w:val="00C13145"/>
    <w:rsid w:val="00C13B23"/>
    <w:rsid w:val="00C13F4F"/>
    <w:rsid w:val="00C14316"/>
    <w:rsid w:val="00C14B83"/>
    <w:rsid w:val="00C14D49"/>
    <w:rsid w:val="00C16883"/>
    <w:rsid w:val="00C17496"/>
    <w:rsid w:val="00C2010A"/>
    <w:rsid w:val="00C21A80"/>
    <w:rsid w:val="00C22215"/>
    <w:rsid w:val="00C2327D"/>
    <w:rsid w:val="00C23752"/>
    <w:rsid w:val="00C2406E"/>
    <w:rsid w:val="00C2427E"/>
    <w:rsid w:val="00C26062"/>
    <w:rsid w:val="00C26079"/>
    <w:rsid w:val="00C263E4"/>
    <w:rsid w:val="00C303C3"/>
    <w:rsid w:val="00C3045E"/>
    <w:rsid w:val="00C309E0"/>
    <w:rsid w:val="00C31C53"/>
    <w:rsid w:val="00C33E5A"/>
    <w:rsid w:val="00C342C9"/>
    <w:rsid w:val="00C34538"/>
    <w:rsid w:val="00C34747"/>
    <w:rsid w:val="00C35A35"/>
    <w:rsid w:val="00C35EBF"/>
    <w:rsid w:val="00C36222"/>
    <w:rsid w:val="00C36C76"/>
    <w:rsid w:val="00C378FE"/>
    <w:rsid w:val="00C42674"/>
    <w:rsid w:val="00C42F6F"/>
    <w:rsid w:val="00C43428"/>
    <w:rsid w:val="00C43683"/>
    <w:rsid w:val="00C45173"/>
    <w:rsid w:val="00C4545A"/>
    <w:rsid w:val="00C45606"/>
    <w:rsid w:val="00C467C8"/>
    <w:rsid w:val="00C473F6"/>
    <w:rsid w:val="00C501D4"/>
    <w:rsid w:val="00C50540"/>
    <w:rsid w:val="00C50729"/>
    <w:rsid w:val="00C507DE"/>
    <w:rsid w:val="00C518C9"/>
    <w:rsid w:val="00C52BA8"/>
    <w:rsid w:val="00C54315"/>
    <w:rsid w:val="00C543C6"/>
    <w:rsid w:val="00C54A21"/>
    <w:rsid w:val="00C54D5B"/>
    <w:rsid w:val="00C5516D"/>
    <w:rsid w:val="00C55CF1"/>
    <w:rsid w:val="00C57513"/>
    <w:rsid w:val="00C5783B"/>
    <w:rsid w:val="00C57BA5"/>
    <w:rsid w:val="00C57F39"/>
    <w:rsid w:val="00C61174"/>
    <w:rsid w:val="00C62007"/>
    <w:rsid w:val="00C62065"/>
    <w:rsid w:val="00C62675"/>
    <w:rsid w:val="00C63E27"/>
    <w:rsid w:val="00C65278"/>
    <w:rsid w:val="00C66CDE"/>
    <w:rsid w:val="00C70D1A"/>
    <w:rsid w:val="00C710C1"/>
    <w:rsid w:val="00C713AE"/>
    <w:rsid w:val="00C72A2A"/>
    <w:rsid w:val="00C730BF"/>
    <w:rsid w:val="00C73471"/>
    <w:rsid w:val="00C74DB0"/>
    <w:rsid w:val="00C75087"/>
    <w:rsid w:val="00C80619"/>
    <w:rsid w:val="00C81415"/>
    <w:rsid w:val="00C81805"/>
    <w:rsid w:val="00C819DA"/>
    <w:rsid w:val="00C820C3"/>
    <w:rsid w:val="00C8303A"/>
    <w:rsid w:val="00C865B8"/>
    <w:rsid w:val="00C86979"/>
    <w:rsid w:val="00C907FE"/>
    <w:rsid w:val="00C908C0"/>
    <w:rsid w:val="00C911FC"/>
    <w:rsid w:val="00C91784"/>
    <w:rsid w:val="00C93113"/>
    <w:rsid w:val="00C93379"/>
    <w:rsid w:val="00C93FA8"/>
    <w:rsid w:val="00C946CD"/>
    <w:rsid w:val="00C94A20"/>
    <w:rsid w:val="00C94D44"/>
    <w:rsid w:val="00C954AB"/>
    <w:rsid w:val="00C96461"/>
    <w:rsid w:val="00C9664D"/>
    <w:rsid w:val="00C96788"/>
    <w:rsid w:val="00C976D0"/>
    <w:rsid w:val="00CA08CF"/>
    <w:rsid w:val="00CA0E3E"/>
    <w:rsid w:val="00CA1EF7"/>
    <w:rsid w:val="00CA3881"/>
    <w:rsid w:val="00CA4BD3"/>
    <w:rsid w:val="00CA6702"/>
    <w:rsid w:val="00CA6C66"/>
    <w:rsid w:val="00CB0294"/>
    <w:rsid w:val="00CB1C4F"/>
    <w:rsid w:val="00CB3186"/>
    <w:rsid w:val="00CB5586"/>
    <w:rsid w:val="00CB6134"/>
    <w:rsid w:val="00CB627D"/>
    <w:rsid w:val="00CB6FE0"/>
    <w:rsid w:val="00CC000A"/>
    <w:rsid w:val="00CC01F6"/>
    <w:rsid w:val="00CC0661"/>
    <w:rsid w:val="00CC217C"/>
    <w:rsid w:val="00CC24F5"/>
    <w:rsid w:val="00CC3282"/>
    <w:rsid w:val="00CC3682"/>
    <w:rsid w:val="00CC3A48"/>
    <w:rsid w:val="00CC555A"/>
    <w:rsid w:val="00CD188E"/>
    <w:rsid w:val="00CD1D81"/>
    <w:rsid w:val="00CD27F9"/>
    <w:rsid w:val="00CD3D1A"/>
    <w:rsid w:val="00CD426B"/>
    <w:rsid w:val="00CD769A"/>
    <w:rsid w:val="00CE0D89"/>
    <w:rsid w:val="00CE1195"/>
    <w:rsid w:val="00CE1715"/>
    <w:rsid w:val="00CE1D0B"/>
    <w:rsid w:val="00CE2725"/>
    <w:rsid w:val="00CE2C6E"/>
    <w:rsid w:val="00CE5656"/>
    <w:rsid w:val="00CE5886"/>
    <w:rsid w:val="00CE73B9"/>
    <w:rsid w:val="00CE750F"/>
    <w:rsid w:val="00CF0FD2"/>
    <w:rsid w:val="00CF1355"/>
    <w:rsid w:val="00CF138C"/>
    <w:rsid w:val="00CF2A10"/>
    <w:rsid w:val="00CF2C6E"/>
    <w:rsid w:val="00CF3397"/>
    <w:rsid w:val="00CF43B6"/>
    <w:rsid w:val="00CF5814"/>
    <w:rsid w:val="00CF5D9F"/>
    <w:rsid w:val="00CF61FB"/>
    <w:rsid w:val="00CF62A2"/>
    <w:rsid w:val="00CF67EB"/>
    <w:rsid w:val="00CF7979"/>
    <w:rsid w:val="00D00038"/>
    <w:rsid w:val="00D026B6"/>
    <w:rsid w:val="00D02F95"/>
    <w:rsid w:val="00D0731E"/>
    <w:rsid w:val="00D103B6"/>
    <w:rsid w:val="00D10CBB"/>
    <w:rsid w:val="00D1107C"/>
    <w:rsid w:val="00D15AEB"/>
    <w:rsid w:val="00D160CB"/>
    <w:rsid w:val="00D16F43"/>
    <w:rsid w:val="00D17B8F"/>
    <w:rsid w:val="00D2050B"/>
    <w:rsid w:val="00D206C3"/>
    <w:rsid w:val="00D22DA6"/>
    <w:rsid w:val="00D23E63"/>
    <w:rsid w:val="00D245A1"/>
    <w:rsid w:val="00D24D73"/>
    <w:rsid w:val="00D24E55"/>
    <w:rsid w:val="00D25CC8"/>
    <w:rsid w:val="00D268F3"/>
    <w:rsid w:val="00D302CE"/>
    <w:rsid w:val="00D31278"/>
    <w:rsid w:val="00D31409"/>
    <w:rsid w:val="00D31C30"/>
    <w:rsid w:val="00D32A47"/>
    <w:rsid w:val="00D340BA"/>
    <w:rsid w:val="00D3419E"/>
    <w:rsid w:val="00D3547F"/>
    <w:rsid w:val="00D36F52"/>
    <w:rsid w:val="00D375C2"/>
    <w:rsid w:val="00D37A5C"/>
    <w:rsid w:val="00D41457"/>
    <w:rsid w:val="00D414B1"/>
    <w:rsid w:val="00D415E2"/>
    <w:rsid w:val="00D418B6"/>
    <w:rsid w:val="00D41D55"/>
    <w:rsid w:val="00D42055"/>
    <w:rsid w:val="00D434FB"/>
    <w:rsid w:val="00D43C97"/>
    <w:rsid w:val="00D4539F"/>
    <w:rsid w:val="00D4727D"/>
    <w:rsid w:val="00D475F4"/>
    <w:rsid w:val="00D50BB9"/>
    <w:rsid w:val="00D51685"/>
    <w:rsid w:val="00D52AA9"/>
    <w:rsid w:val="00D534C9"/>
    <w:rsid w:val="00D535A9"/>
    <w:rsid w:val="00D53944"/>
    <w:rsid w:val="00D54A47"/>
    <w:rsid w:val="00D57862"/>
    <w:rsid w:val="00D57AB8"/>
    <w:rsid w:val="00D629B8"/>
    <w:rsid w:val="00D63371"/>
    <w:rsid w:val="00D633E7"/>
    <w:rsid w:val="00D647C3"/>
    <w:rsid w:val="00D67522"/>
    <w:rsid w:val="00D677A7"/>
    <w:rsid w:val="00D72430"/>
    <w:rsid w:val="00D72597"/>
    <w:rsid w:val="00D72DC8"/>
    <w:rsid w:val="00D72DDC"/>
    <w:rsid w:val="00D73142"/>
    <w:rsid w:val="00D73DDA"/>
    <w:rsid w:val="00D7462E"/>
    <w:rsid w:val="00D751EA"/>
    <w:rsid w:val="00D755B7"/>
    <w:rsid w:val="00D75AFF"/>
    <w:rsid w:val="00D75D67"/>
    <w:rsid w:val="00D76E4A"/>
    <w:rsid w:val="00D7776A"/>
    <w:rsid w:val="00D803EF"/>
    <w:rsid w:val="00D812B8"/>
    <w:rsid w:val="00D8194D"/>
    <w:rsid w:val="00D81FD6"/>
    <w:rsid w:val="00D82516"/>
    <w:rsid w:val="00D82766"/>
    <w:rsid w:val="00D84D91"/>
    <w:rsid w:val="00D852AF"/>
    <w:rsid w:val="00D87A0A"/>
    <w:rsid w:val="00D90262"/>
    <w:rsid w:val="00D90922"/>
    <w:rsid w:val="00D92B35"/>
    <w:rsid w:val="00D938AB"/>
    <w:rsid w:val="00D95CBC"/>
    <w:rsid w:val="00D960A0"/>
    <w:rsid w:val="00D9633A"/>
    <w:rsid w:val="00D9670C"/>
    <w:rsid w:val="00D96755"/>
    <w:rsid w:val="00D96DE7"/>
    <w:rsid w:val="00D9712F"/>
    <w:rsid w:val="00D97360"/>
    <w:rsid w:val="00D97394"/>
    <w:rsid w:val="00D97CAE"/>
    <w:rsid w:val="00DA12D0"/>
    <w:rsid w:val="00DA2B5B"/>
    <w:rsid w:val="00DA2E72"/>
    <w:rsid w:val="00DA46C2"/>
    <w:rsid w:val="00DA578B"/>
    <w:rsid w:val="00DA5D46"/>
    <w:rsid w:val="00DA6127"/>
    <w:rsid w:val="00DA6334"/>
    <w:rsid w:val="00DA6FAA"/>
    <w:rsid w:val="00DA7BE0"/>
    <w:rsid w:val="00DA7C0C"/>
    <w:rsid w:val="00DB10A8"/>
    <w:rsid w:val="00DB19FD"/>
    <w:rsid w:val="00DB442F"/>
    <w:rsid w:val="00DB52BE"/>
    <w:rsid w:val="00DB623C"/>
    <w:rsid w:val="00DB7060"/>
    <w:rsid w:val="00DB787B"/>
    <w:rsid w:val="00DC0921"/>
    <w:rsid w:val="00DC0D32"/>
    <w:rsid w:val="00DC10B9"/>
    <w:rsid w:val="00DC1D97"/>
    <w:rsid w:val="00DC2BDC"/>
    <w:rsid w:val="00DC30C3"/>
    <w:rsid w:val="00DC34DB"/>
    <w:rsid w:val="00DC40CE"/>
    <w:rsid w:val="00DC41BA"/>
    <w:rsid w:val="00DC49DD"/>
    <w:rsid w:val="00DC5FC9"/>
    <w:rsid w:val="00DC6804"/>
    <w:rsid w:val="00DC6EAD"/>
    <w:rsid w:val="00DC7020"/>
    <w:rsid w:val="00DC7204"/>
    <w:rsid w:val="00DD0118"/>
    <w:rsid w:val="00DD02FD"/>
    <w:rsid w:val="00DD06AD"/>
    <w:rsid w:val="00DD11D8"/>
    <w:rsid w:val="00DD24F7"/>
    <w:rsid w:val="00DD6086"/>
    <w:rsid w:val="00DD65A4"/>
    <w:rsid w:val="00DD6B53"/>
    <w:rsid w:val="00DD71E2"/>
    <w:rsid w:val="00DE0698"/>
    <w:rsid w:val="00DE0F22"/>
    <w:rsid w:val="00DE1179"/>
    <w:rsid w:val="00DE37B5"/>
    <w:rsid w:val="00DE43CA"/>
    <w:rsid w:val="00DE542C"/>
    <w:rsid w:val="00DE5D75"/>
    <w:rsid w:val="00DE6208"/>
    <w:rsid w:val="00DE6299"/>
    <w:rsid w:val="00DE63F0"/>
    <w:rsid w:val="00DE67E9"/>
    <w:rsid w:val="00DF0404"/>
    <w:rsid w:val="00DF1D6D"/>
    <w:rsid w:val="00DF2386"/>
    <w:rsid w:val="00DF47CD"/>
    <w:rsid w:val="00DF64E5"/>
    <w:rsid w:val="00DF7909"/>
    <w:rsid w:val="00DF7FE7"/>
    <w:rsid w:val="00E00083"/>
    <w:rsid w:val="00E012F0"/>
    <w:rsid w:val="00E01342"/>
    <w:rsid w:val="00E02B6E"/>
    <w:rsid w:val="00E03835"/>
    <w:rsid w:val="00E06DA9"/>
    <w:rsid w:val="00E10665"/>
    <w:rsid w:val="00E10D99"/>
    <w:rsid w:val="00E14B58"/>
    <w:rsid w:val="00E1551C"/>
    <w:rsid w:val="00E15F60"/>
    <w:rsid w:val="00E16A60"/>
    <w:rsid w:val="00E16CC2"/>
    <w:rsid w:val="00E21282"/>
    <w:rsid w:val="00E215B3"/>
    <w:rsid w:val="00E2282D"/>
    <w:rsid w:val="00E2327D"/>
    <w:rsid w:val="00E246D8"/>
    <w:rsid w:val="00E253A0"/>
    <w:rsid w:val="00E25888"/>
    <w:rsid w:val="00E27915"/>
    <w:rsid w:val="00E27D44"/>
    <w:rsid w:val="00E27EBA"/>
    <w:rsid w:val="00E3014F"/>
    <w:rsid w:val="00E308E6"/>
    <w:rsid w:val="00E31C01"/>
    <w:rsid w:val="00E32440"/>
    <w:rsid w:val="00E337BF"/>
    <w:rsid w:val="00E33B83"/>
    <w:rsid w:val="00E35DD4"/>
    <w:rsid w:val="00E3621C"/>
    <w:rsid w:val="00E37BA7"/>
    <w:rsid w:val="00E37FD9"/>
    <w:rsid w:val="00E41079"/>
    <w:rsid w:val="00E42115"/>
    <w:rsid w:val="00E42F5B"/>
    <w:rsid w:val="00E43E6D"/>
    <w:rsid w:val="00E43F8B"/>
    <w:rsid w:val="00E4405A"/>
    <w:rsid w:val="00E46367"/>
    <w:rsid w:val="00E472B8"/>
    <w:rsid w:val="00E474AC"/>
    <w:rsid w:val="00E509AF"/>
    <w:rsid w:val="00E523FF"/>
    <w:rsid w:val="00E526F8"/>
    <w:rsid w:val="00E53B79"/>
    <w:rsid w:val="00E57506"/>
    <w:rsid w:val="00E61CC2"/>
    <w:rsid w:val="00E625A0"/>
    <w:rsid w:val="00E63735"/>
    <w:rsid w:val="00E63F0B"/>
    <w:rsid w:val="00E64581"/>
    <w:rsid w:val="00E64BA3"/>
    <w:rsid w:val="00E651BE"/>
    <w:rsid w:val="00E658F0"/>
    <w:rsid w:val="00E6689D"/>
    <w:rsid w:val="00E675AE"/>
    <w:rsid w:val="00E7033E"/>
    <w:rsid w:val="00E71602"/>
    <w:rsid w:val="00E72C60"/>
    <w:rsid w:val="00E736EE"/>
    <w:rsid w:val="00E74CDB"/>
    <w:rsid w:val="00E74FC5"/>
    <w:rsid w:val="00E755EA"/>
    <w:rsid w:val="00E75E9F"/>
    <w:rsid w:val="00E7726B"/>
    <w:rsid w:val="00E772E5"/>
    <w:rsid w:val="00E8159A"/>
    <w:rsid w:val="00E822EB"/>
    <w:rsid w:val="00E8249B"/>
    <w:rsid w:val="00E84205"/>
    <w:rsid w:val="00E8596C"/>
    <w:rsid w:val="00E86878"/>
    <w:rsid w:val="00E911FD"/>
    <w:rsid w:val="00E9130A"/>
    <w:rsid w:val="00E91F83"/>
    <w:rsid w:val="00E921A2"/>
    <w:rsid w:val="00E92342"/>
    <w:rsid w:val="00E92730"/>
    <w:rsid w:val="00E92DCD"/>
    <w:rsid w:val="00E93B56"/>
    <w:rsid w:val="00E93BB6"/>
    <w:rsid w:val="00E94759"/>
    <w:rsid w:val="00E950BB"/>
    <w:rsid w:val="00E95665"/>
    <w:rsid w:val="00E95F52"/>
    <w:rsid w:val="00EA0263"/>
    <w:rsid w:val="00EA0987"/>
    <w:rsid w:val="00EA1333"/>
    <w:rsid w:val="00EA13DA"/>
    <w:rsid w:val="00EA1FF6"/>
    <w:rsid w:val="00EA2765"/>
    <w:rsid w:val="00EA33CB"/>
    <w:rsid w:val="00EA3A7F"/>
    <w:rsid w:val="00EA3FC2"/>
    <w:rsid w:val="00EA444A"/>
    <w:rsid w:val="00EA44B5"/>
    <w:rsid w:val="00EA4DD8"/>
    <w:rsid w:val="00EA683B"/>
    <w:rsid w:val="00EB1034"/>
    <w:rsid w:val="00EB151B"/>
    <w:rsid w:val="00EB2FE6"/>
    <w:rsid w:val="00EB4CBD"/>
    <w:rsid w:val="00EB642F"/>
    <w:rsid w:val="00EB6F37"/>
    <w:rsid w:val="00EB7DA6"/>
    <w:rsid w:val="00EC0504"/>
    <w:rsid w:val="00EC0525"/>
    <w:rsid w:val="00EC1205"/>
    <w:rsid w:val="00EC13B3"/>
    <w:rsid w:val="00EC1696"/>
    <w:rsid w:val="00EC1AA4"/>
    <w:rsid w:val="00EC32C4"/>
    <w:rsid w:val="00EC3671"/>
    <w:rsid w:val="00EC61E0"/>
    <w:rsid w:val="00EC6CBC"/>
    <w:rsid w:val="00EC72B0"/>
    <w:rsid w:val="00ED018D"/>
    <w:rsid w:val="00ED13F4"/>
    <w:rsid w:val="00ED1F5E"/>
    <w:rsid w:val="00ED36F8"/>
    <w:rsid w:val="00ED39D8"/>
    <w:rsid w:val="00ED49D6"/>
    <w:rsid w:val="00ED555B"/>
    <w:rsid w:val="00ED6057"/>
    <w:rsid w:val="00ED620B"/>
    <w:rsid w:val="00ED64A9"/>
    <w:rsid w:val="00ED64C2"/>
    <w:rsid w:val="00ED7BB2"/>
    <w:rsid w:val="00EE0EB6"/>
    <w:rsid w:val="00EE309D"/>
    <w:rsid w:val="00EE31AB"/>
    <w:rsid w:val="00EE458C"/>
    <w:rsid w:val="00EE484E"/>
    <w:rsid w:val="00EE4EE3"/>
    <w:rsid w:val="00EE63B0"/>
    <w:rsid w:val="00EE7199"/>
    <w:rsid w:val="00EF08F0"/>
    <w:rsid w:val="00EF0AB8"/>
    <w:rsid w:val="00EF17AC"/>
    <w:rsid w:val="00EF29EA"/>
    <w:rsid w:val="00EF56B7"/>
    <w:rsid w:val="00EF5C41"/>
    <w:rsid w:val="00EF5C9D"/>
    <w:rsid w:val="00EF5E91"/>
    <w:rsid w:val="00EF666E"/>
    <w:rsid w:val="00F02473"/>
    <w:rsid w:val="00F02552"/>
    <w:rsid w:val="00F02661"/>
    <w:rsid w:val="00F03C83"/>
    <w:rsid w:val="00F04266"/>
    <w:rsid w:val="00F05E48"/>
    <w:rsid w:val="00F05E6F"/>
    <w:rsid w:val="00F078F1"/>
    <w:rsid w:val="00F1054B"/>
    <w:rsid w:val="00F117D1"/>
    <w:rsid w:val="00F1291E"/>
    <w:rsid w:val="00F12D14"/>
    <w:rsid w:val="00F12DEB"/>
    <w:rsid w:val="00F1556C"/>
    <w:rsid w:val="00F15D4B"/>
    <w:rsid w:val="00F165FF"/>
    <w:rsid w:val="00F174F3"/>
    <w:rsid w:val="00F175F5"/>
    <w:rsid w:val="00F204C2"/>
    <w:rsid w:val="00F212AF"/>
    <w:rsid w:val="00F21C3F"/>
    <w:rsid w:val="00F228A7"/>
    <w:rsid w:val="00F244A3"/>
    <w:rsid w:val="00F253B4"/>
    <w:rsid w:val="00F26404"/>
    <w:rsid w:val="00F27F55"/>
    <w:rsid w:val="00F30BFA"/>
    <w:rsid w:val="00F32065"/>
    <w:rsid w:val="00F32A17"/>
    <w:rsid w:val="00F32D03"/>
    <w:rsid w:val="00F32D5B"/>
    <w:rsid w:val="00F3443C"/>
    <w:rsid w:val="00F344DE"/>
    <w:rsid w:val="00F36780"/>
    <w:rsid w:val="00F36F5F"/>
    <w:rsid w:val="00F36FA4"/>
    <w:rsid w:val="00F376CC"/>
    <w:rsid w:val="00F43CEA"/>
    <w:rsid w:val="00F440F9"/>
    <w:rsid w:val="00F442BD"/>
    <w:rsid w:val="00F44D2C"/>
    <w:rsid w:val="00F45CC2"/>
    <w:rsid w:val="00F51E7B"/>
    <w:rsid w:val="00F5393C"/>
    <w:rsid w:val="00F53F39"/>
    <w:rsid w:val="00F547A8"/>
    <w:rsid w:val="00F54855"/>
    <w:rsid w:val="00F55052"/>
    <w:rsid w:val="00F551D6"/>
    <w:rsid w:val="00F55389"/>
    <w:rsid w:val="00F553CC"/>
    <w:rsid w:val="00F5542F"/>
    <w:rsid w:val="00F55684"/>
    <w:rsid w:val="00F573D2"/>
    <w:rsid w:val="00F60C5C"/>
    <w:rsid w:val="00F62079"/>
    <w:rsid w:val="00F62368"/>
    <w:rsid w:val="00F624C0"/>
    <w:rsid w:val="00F64385"/>
    <w:rsid w:val="00F6516D"/>
    <w:rsid w:val="00F6652D"/>
    <w:rsid w:val="00F66F94"/>
    <w:rsid w:val="00F70A79"/>
    <w:rsid w:val="00F70F19"/>
    <w:rsid w:val="00F71EAD"/>
    <w:rsid w:val="00F72237"/>
    <w:rsid w:val="00F72F74"/>
    <w:rsid w:val="00F73E71"/>
    <w:rsid w:val="00F7408E"/>
    <w:rsid w:val="00F74893"/>
    <w:rsid w:val="00F76A53"/>
    <w:rsid w:val="00F81721"/>
    <w:rsid w:val="00F8252A"/>
    <w:rsid w:val="00F82F05"/>
    <w:rsid w:val="00F83985"/>
    <w:rsid w:val="00F83C91"/>
    <w:rsid w:val="00F83EC8"/>
    <w:rsid w:val="00F845D3"/>
    <w:rsid w:val="00F84BD4"/>
    <w:rsid w:val="00F852B9"/>
    <w:rsid w:val="00F861A9"/>
    <w:rsid w:val="00F86933"/>
    <w:rsid w:val="00F9197D"/>
    <w:rsid w:val="00F91BD4"/>
    <w:rsid w:val="00F93D83"/>
    <w:rsid w:val="00F95092"/>
    <w:rsid w:val="00F95CA0"/>
    <w:rsid w:val="00F96BA5"/>
    <w:rsid w:val="00F973A1"/>
    <w:rsid w:val="00F97495"/>
    <w:rsid w:val="00FA030D"/>
    <w:rsid w:val="00FA0633"/>
    <w:rsid w:val="00FA07D3"/>
    <w:rsid w:val="00FA0846"/>
    <w:rsid w:val="00FA10E7"/>
    <w:rsid w:val="00FA1C88"/>
    <w:rsid w:val="00FA229C"/>
    <w:rsid w:val="00FA374C"/>
    <w:rsid w:val="00FA42D8"/>
    <w:rsid w:val="00FA553B"/>
    <w:rsid w:val="00FA7271"/>
    <w:rsid w:val="00FA7A26"/>
    <w:rsid w:val="00FB03BD"/>
    <w:rsid w:val="00FB0D9D"/>
    <w:rsid w:val="00FB187B"/>
    <w:rsid w:val="00FB19B9"/>
    <w:rsid w:val="00FB1F2D"/>
    <w:rsid w:val="00FB2057"/>
    <w:rsid w:val="00FB41AD"/>
    <w:rsid w:val="00FB5403"/>
    <w:rsid w:val="00FB5632"/>
    <w:rsid w:val="00FB584E"/>
    <w:rsid w:val="00FB5B4B"/>
    <w:rsid w:val="00FB620F"/>
    <w:rsid w:val="00FB66C4"/>
    <w:rsid w:val="00FB6AC8"/>
    <w:rsid w:val="00FB7688"/>
    <w:rsid w:val="00FB7B82"/>
    <w:rsid w:val="00FB7D22"/>
    <w:rsid w:val="00FC0BF5"/>
    <w:rsid w:val="00FC192D"/>
    <w:rsid w:val="00FC40CB"/>
    <w:rsid w:val="00FC462B"/>
    <w:rsid w:val="00FC51FB"/>
    <w:rsid w:val="00FC5AAA"/>
    <w:rsid w:val="00FD2E2F"/>
    <w:rsid w:val="00FD30C7"/>
    <w:rsid w:val="00FD3719"/>
    <w:rsid w:val="00FD47F3"/>
    <w:rsid w:val="00FD4F37"/>
    <w:rsid w:val="00FD5106"/>
    <w:rsid w:val="00FD67D3"/>
    <w:rsid w:val="00FD7E3B"/>
    <w:rsid w:val="00FE0913"/>
    <w:rsid w:val="00FE1016"/>
    <w:rsid w:val="00FE2266"/>
    <w:rsid w:val="00FE3C89"/>
    <w:rsid w:val="00FE4857"/>
    <w:rsid w:val="00FE657F"/>
    <w:rsid w:val="00FE7466"/>
    <w:rsid w:val="00FE77DF"/>
    <w:rsid w:val="00FF0082"/>
    <w:rsid w:val="00FF0BF2"/>
    <w:rsid w:val="00FF1234"/>
    <w:rsid w:val="00FF2DC2"/>
    <w:rsid w:val="00FF35B1"/>
    <w:rsid w:val="00FF4EEC"/>
    <w:rsid w:val="00FF51BB"/>
    <w:rsid w:val="00FF6ED7"/>
    <w:rsid w:val="00FF75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054BED9F"/>
  <w15:docId w15:val="{C828B960-F5B1-45B9-83F6-5D7B3387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qFormat/>
    <w:rsid w:val="006C1657"/>
    <w:pPr>
      <w:keepNext/>
      <w:ind w:left="0" w:firstLine="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Heading1Char">
    <w:name w:val="Heading 1 Char"/>
    <w:basedOn w:val="DefaultParagraphFont"/>
    <w:link w:val="Heading1"/>
    <w:rsid w:val="006C1657"/>
    <w:rPr>
      <w:rFonts w:ascii="Times New Roman" w:eastAsia="Times New Roman" w:hAnsi="Times New Roman" w:cs="Times New Roman"/>
      <w:b/>
      <w:sz w:val="28"/>
      <w:szCs w:val="20"/>
    </w:rPr>
  </w:style>
  <w:style w:type="character" w:customStyle="1" w:styleId="MGfulltextChar">
    <w:name w:val="MG_fulltext Char"/>
    <w:basedOn w:val="DefaultParagraphFont"/>
    <w:link w:val="MGfulltext"/>
    <w:locked/>
    <w:rsid w:val="00EC13B3"/>
    <w:rPr>
      <w:rFonts w:ascii="Arial" w:eastAsia="Times New Roman" w:hAnsi="Arial" w:cs="Arial"/>
      <w:sz w:val="24"/>
      <w:szCs w:val="24"/>
      <w:lang w:val="en-US"/>
    </w:rPr>
  </w:style>
  <w:style w:type="paragraph" w:customStyle="1" w:styleId="MGfulltext">
    <w:name w:val="MG_fulltext"/>
    <w:basedOn w:val="Normal"/>
    <w:link w:val="MGfulltextChar"/>
    <w:qFormat/>
    <w:rsid w:val="00EC13B3"/>
    <w:pPr>
      <w:spacing w:after="120"/>
      <w:ind w:left="0" w:firstLine="0"/>
    </w:pPr>
    <w:rPr>
      <w:rFonts w:ascii="Arial" w:eastAsia="Times New Roman" w:hAnsi="Arial" w:cs="Arial"/>
      <w:sz w:val="24"/>
      <w:szCs w:val="24"/>
      <w:lang w:val="en-US"/>
    </w:rPr>
  </w:style>
  <w:style w:type="character" w:styleId="FollowedHyperlink">
    <w:name w:val="FollowedHyperlink"/>
    <w:basedOn w:val="DefaultParagraphFont"/>
    <w:uiPriority w:val="99"/>
    <w:semiHidden/>
    <w:unhideWhenUsed/>
    <w:rsid w:val="00F442BD"/>
    <w:rPr>
      <w:color w:val="800080" w:themeColor="followedHyperlink"/>
      <w:u w:val="single"/>
    </w:rPr>
  </w:style>
  <w:style w:type="paragraph" w:customStyle="1" w:styleId="Default">
    <w:name w:val="Default"/>
    <w:rsid w:val="000F05DB"/>
    <w:pPr>
      <w:autoSpaceDE w:val="0"/>
      <w:autoSpaceDN w:val="0"/>
      <w:adjustRightInd w:val="0"/>
      <w:ind w:left="0" w:firstLine="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0345">
      <w:bodyDiv w:val="1"/>
      <w:marLeft w:val="0"/>
      <w:marRight w:val="0"/>
      <w:marTop w:val="0"/>
      <w:marBottom w:val="0"/>
      <w:divBdr>
        <w:top w:val="none" w:sz="0" w:space="0" w:color="auto"/>
        <w:left w:val="none" w:sz="0" w:space="0" w:color="auto"/>
        <w:bottom w:val="none" w:sz="0" w:space="0" w:color="auto"/>
        <w:right w:val="none" w:sz="0" w:space="0" w:color="auto"/>
      </w:divBdr>
    </w:div>
    <w:div w:id="49041270">
      <w:bodyDiv w:val="1"/>
      <w:marLeft w:val="0"/>
      <w:marRight w:val="0"/>
      <w:marTop w:val="0"/>
      <w:marBottom w:val="0"/>
      <w:divBdr>
        <w:top w:val="none" w:sz="0" w:space="0" w:color="auto"/>
        <w:left w:val="none" w:sz="0" w:space="0" w:color="auto"/>
        <w:bottom w:val="none" w:sz="0" w:space="0" w:color="auto"/>
        <w:right w:val="none" w:sz="0" w:space="0" w:color="auto"/>
      </w:divBdr>
    </w:div>
    <w:div w:id="87502889">
      <w:bodyDiv w:val="1"/>
      <w:marLeft w:val="0"/>
      <w:marRight w:val="0"/>
      <w:marTop w:val="0"/>
      <w:marBottom w:val="0"/>
      <w:divBdr>
        <w:top w:val="none" w:sz="0" w:space="0" w:color="auto"/>
        <w:left w:val="none" w:sz="0" w:space="0" w:color="auto"/>
        <w:bottom w:val="none" w:sz="0" w:space="0" w:color="auto"/>
        <w:right w:val="none" w:sz="0" w:space="0" w:color="auto"/>
      </w:divBdr>
    </w:div>
    <w:div w:id="110975716">
      <w:bodyDiv w:val="1"/>
      <w:marLeft w:val="0"/>
      <w:marRight w:val="0"/>
      <w:marTop w:val="0"/>
      <w:marBottom w:val="0"/>
      <w:divBdr>
        <w:top w:val="none" w:sz="0" w:space="0" w:color="auto"/>
        <w:left w:val="none" w:sz="0" w:space="0" w:color="auto"/>
        <w:bottom w:val="none" w:sz="0" w:space="0" w:color="auto"/>
        <w:right w:val="none" w:sz="0" w:space="0" w:color="auto"/>
      </w:divBdr>
    </w:div>
    <w:div w:id="126900481">
      <w:bodyDiv w:val="1"/>
      <w:marLeft w:val="0"/>
      <w:marRight w:val="0"/>
      <w:marTop w:val="0"/>
      <w:marBottom w:val="0"/>
      <w:divBdr>
        <w:top w:val="none" w:sz="0" w:space="0" w:color="auto"/>
        <w:left w:val="none" w:sz="0" w:space="0" w:color="auto"/>
        <w:bottom w:val="none" w:sz="0" w:space="0" w:color="auto"/>
        <w:right w:val="none" w:sz="0" w:space="0" w:color="auto"/>
      </w:divBdr>
    </w:div>
    <w:div w:id="184248061">
      <w:bodyDiv w:val="1"/>
      <w:marLeft w:val="0"/>
      <w:marRight w:val="0"/>
      <w:marTop w:val="0"/>
      <w:marBottom w:val="0"/>
      <w:divBdr>
        <w:top w:val="none" w:sz="0" w:space="0" w:color="auto"/>
        <w:left w:val="none" w:sz="0" w:space="0" w:color="auto"/>
        <w:bottom w:val="none" w:sz="0" w:space="0" w:color="auto"/>
        <w:right w:val="none" w:sz="0" w:space="0" w:color="auto"/>
      </w:divBdr>
    </w:div>
    <w:div w:id="228344969">
      <w:bodyDiv w:val="1"/>
      <w:marLeft w:val="0"/>
      <w:marRight w:val="0"/>
      <w:marTop w:val="0"/>
      <w:marBottom w:val="0"/>
      <w:divBdr>
        <w:top w:val="none" w:sz="0" w:space="0" w:color="auto"/>
        <w:left w:val="none" w:sz="0" w:space="0" w:color="auto"/>
        <w:bottom w:val="none" w:sz="0" w:space="0" w:color="auto"/>
        <w:right w:val="none" w:sz="0" w:space="0" w:color="auto"/>
      </w:divBdr>
    </w:div>
    <w:div w:id="236212610">
      <w:bodyDiv w:val="1"/>
      <w:marLeft w:val="0"/>
      <w:marRight w:val="0"/>
      <w:marTop w:val="0"/>
      <w:marBottom w:val="0"/>
      <w:divBdr>
        <w:top w:val="none" w:sz="0" w:space="0" w:color="auto"/>
        <w:left w:val="none" w:sz="0" w:space="0" w:color="auto"/>
        <w:bottom w:val="none" w:sz="0" w:space="0" w:color="auto"/>
        <w:right w:val="none" w:sz="0" w:space="0" w:color="auto"/>
      </w:divBdr>
    </w:div>
    <w:div w:id="240608503">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263853830">
      <w:bodyDiv w:val="1"/>
      <w:marLeft w:val="0"/>
      <w:marRight w:val="0"/>
      <w:marTop w:val="0"/>
      <w:marBottom w:val="0"/>
      <w:divBdr>
        <w:top w:val="none" w:sz="0" w:space="0" w:color="auto"/>
        <w:left w:val="none" w:sz="0" w:space="0" w:color="auto"/>
        <w:bottom w:val="none" w:sz="0" w:space="0" w:color="auto"/>
        <w:right w:val="none" w:sz="0" w:space="0" w:color="auto"/>
      </w:divBdr>
    </w:div>
    <w:div w:id="270356173">
      <w:bodyDiv w:val="1"/>
      <w:marLeft w:val="0"/>
      <w:marRight w:val="0"/>
      <w:marTop w:val="0"/>
      <w:marBottom w:val="0"/>
      <w:divBdr>
        <w:top w:val="none" w:sz="0" w:space="0" w:color="auto"/>
        <w:left w:val="none" w:sz="0" w:space="0" w:color="auto"/>
        <w:bottom w:val="none" w:sz="0" w:space="0" w:color="auto"/>
        <w:right w:val="none" w:sz="0" w:space="0" w:color="auto"/>
      </w:divBdr>
    </w:div>
    <w:div w:id="353043189">
      <w:bodyDiv w:val="1"/>
      <w:marLeft w:val="0"/>
      <w:marRight w:val="0"/>
      <w:marTop w:val="0"/>
      <w:marBottom w:val="0"/>
      <w:divBdr>
        <w:top w:val="none" w:sz="0" w:space="0" w:color="auto"/>
        <w:left w:val="none" w:sz="0" w:space="0" w:color="auto"/>
        <w:bottom w:val="none" w:sz="0" w:space="0" w:color="auto"/>
        <w:right w:val="none" w:sz="0" w:space="0" w:color="auto"/>
      </w:divBdr>
    </w:div>
    <w:div w:id="373390764">
      <w:bodyDiv w:val="1"/>
      <w:marLeft w:val="0"/>
      <w:marRight w:val="0"/>
      <w:marTop w:val="0"/>
      <w:marBottom w:val="0"/>
      <w:divBdr>
        <w:top w:val="none" w:sz="0" w:space="0" w:color="auto"/>
        <w:left w:val="none" w:sz="0" w:space="0" w:color="auto"/>
        <w:bottom w:val="none" w:sz="0" w:space="0" w:color="auto"/>
        <w:right w:val="none" w:sz="0" w:space="0" w:color="auto"/>
      </w:divBdr>
    </w:div>
    <w:div w:id="468475417">
      <w:bodyDiv w:val="1"/>
      <w:marLeft w:val="0"/>
      <w:marRight w:val="0"/>
      <w:marTop w:val="0"/>
      <w:marBottom w:val="0"/>
      <w:divBdr>
        <w:top w:val="none" w:sz="0" w:space="0" w:color="auto"/>
        <w:left w:val="none" w:sz="0" w:space="0" w:color="auto"/>
        <w:bottom w:val="none" w:sz="0" w:space="0" w:color="auto"/>
        <w:right w:val="none" w:sz="0" w:space="0" w:color="auto"/>
      </w:divBdr>
    </w:div>
    <w:div w:id="474838711">
      <w:bodyDiv w:val="1"/>
      <w:marLeft w:val="0"/>
      <w:marRight w:val="0"/>
      <w:marTop w:val="0"/>
      <w:marBottom w:val="0"/>
      <w:divBdr>
        <w:top w:val="none" w:sz="0" w:space="0" w:color="auto"/>
        <w:left w:val="none" w:sz="0" w:space="0" w:color="auto"/>
        <w:bottom w:val="none" w:sz="0" w:space="0" w:color="auto"/>
        <w:right w:val="none" w:sz="0" w:space="0" w:color="auto"/>
      </w:divBdr>
    </w:div>
    <w:div w:id="483814646">
      <w:bodyDiv w:val="1"/>
      <w:marLeft w:val="0"/>
      <w:marRight w:val="0"/>
      <w:marTop w:val="0"/>
      <w:marBottom w:val="0"/>
      <w:divBdr>
        <w:top w:val="none" w:sz="0" w:space="0" w:color="auto"/>
        <w:left w:val="none" w:sz="0" w:space="0" w:color="auto"/>
        <w:bottom w:val="none" w:sz="0" w:space="0" w:color="auto"/>
        <w:right w:val="none" w:sz="0" w:space="0" w:color="auto"/>
      </w:divBdr>
    </w:div>
    <w:div w:id="529490990">
      <w:bodyDiv w:val="1"/>
      <w:marLeft w:val="0"/>
      <w:marRight w:val="0"/>
      <w:marTop w:val="0"/>
      <w:marBottom w:val="0"/>
      <w:divBdr>
        <w:top w:val="none" w:sz="0" w:space="0" w:color="auto"/>
        <w:left w:val="none" w:sz="0" w:space="0" w:color="auto"/>
        <w:bottom w:val="none" w:sz="0" w:space="0" w:color="auto"/>
        <w:right w:val="none" w:sz="0" w:space="0" w:color="auto"/>
      </w:divBdr>
    </w:div>
    <w:div w:id="561213895">
      <w:bodyDiv w:val="1"/>
      <w:marLeft w:val="0"/>
      <w:marRight w:val="0"/>
      <w:marTop w:val="0"/>
      <w:marBottom w:val="0"/>
      <w:divBdr>
        <w:top w:val="none" w:sz="0" w:space="0" w:color="auto"/>
        <w:left w:val="none" w:sz="0" w:space="0" w:color="auto"/>
        <w:bottom w:val="none" w:sz="0" w:space="0" w:color="auto"/>
        <w:right w:val="none" w:sz="0" w:space="0" w:color="auto"/>
      </w:divBdr>
    </w:div>
    <w:div w:id="564606640">
      <w:bodyDiv w:val="1"/>
      <w:marLeft w:val="0"/>
      <w:marRight w:val="0"/>
      <w:marTop w:val="0"/>
      <w:marBottom w:val="0"/>
      <w:divBdr>
        <w:top w:val="none" w:sz="0" w:space="0" w:color="auto"/>
        <w:left w:val="none" w:sz="0" w:space="0" w:color="auto"/>
        <w:bottom w:val="none" w:sz="0" w:space="0" w:color="auto"/>
        <w:right w:val="none" w:sz="0" w:space="0" w:color="auto"/>
      </w:divBdr>
    </w:div>
    <w:div w:id="578708627">
      <w:bodyDiv w:val="1"/>
      <w:marLeft w:val="0"/>
      <w:marRight w:val="0"/>
      <w:marTop w:val="0"/>
      <w:marBottom w:val="0"/>
      <w:divBdr>
        <w:top w:val="none" w:sz="0" w:space="0" w:color="auto"/>
        <w:left w:val="none" w:sz="0" w:space="0" w:color="auto"/>
        <w:bottom w:val="none" w:sz="0" w:space="0" w:color="auto"/>
        <w:right w:val="none" w:sz="0" w:space="0" w:color="auto"/>
      </w:divBdr>
    </w:div>
    <w:div w:id="629408491">
      <w:bodyDiv w:val="1"/>
      <w:marLeft w:val="0"/>
      <w:marRight w:val="0"/>
      <w:marTop w:val="0"/>
      <w:marBottom w:val="0"/>
      <w:divBdr>
        <w:top w:val="none" w:sz="0" w:space="0" w:color="auto"/>
        <w:left w:val="none" w:sz="0" w:space="0" w:color="auto"/>
        <w:bottom w:val="none" w:sz="0" w:space="0" w:color="auto"/>
        <w:right w:val="none" w:sz="0" w:space="0" w:color="auto"/>
      </w:divBdr>
    </w:div>
    <w:div w:id="635911892">
      <w:bodyDiv w:val="1"/>
      <w:marLeft w:val="0"/>
      <w:marRight w:val="0"/>
      <w:marTop w:val="0"/>
      <w:marBottom w:val="0"/>
      <w:divBdr>
        <w:top w:val="none" w:sz="0" w:space="0" w:color="auto"/>
        <w:left w:val="none" w:sz="0" w:space="0" w:color="auto"/>
        <w:bottom w:val="none" w:sz="0" w:space="0" w:color="auto"/>
        <w:right w:val="none" w:sz="0" w:space="0" w:color="auto"/>
      </w:divBdr>
    </w:div>
    <w:div w:id="636959627">
      <w:bodyDiv w:val="1"/>
      <w:marLeft w:val="0"/>
      <w:marRight w:val="0"/>
      <w:marTop w:val="0"/>
      <w:marBottom w:val="0"/>
      <w:divBdr>
        <w:top w:val="none" w:sz="0" w:space="0" w:color="auto"/>
        <w:left w:val="none" w:sz="0" w:space="0" w:color="auto"/>
        <w:bottom w:val="none" w:sz="0" w:space="0" w:color="auto"/>
        <w:right w:val="none" w:sz="0" w:space="0" w:color="auto"/>
      </w:divBdr>
    </w:div>
    <w:div w:id="669795413">
      <w:bodyDiv w:val="1"/>
      <w:marLeft w:val="0"/>
      <w:marRight w:val="0"/>
      <w:marTop w:val="0"/>
      <w:marBottom w:val="0"/>
      <w:divBdr>
        <w:top w:val="none" w:sz="0" w:space="0" w:color="auto"/>
        <w:left w:val="none" w:sz="0" w:space="0" w:color="auto"/>
        <w:bottom w:val="none" w:sz="0" w:space="0" w:color="auto"/>
        <w:right w:val="none" w:sz="0" w:space="0" w:color="auto"/>
      </w:divBdr>
    </w:div>
    <w:div w:id="709260574">
      <w:bodyDiv w:val="1"/>
      <w:marLeft w:val="0"/>
      <w:marRight w:val="0"/>
      <w:marTop w:val="0"/>
      <w:marBottom w:val="0"/>
      <w:divBdr>
        <w:top w:val="none" w:sz="0" w:space="0" w:color="auto"/>
        <w:left w:val="none" w:sz="0" w:space="0" w:color="auto"/>
        <w:bottom w:val="none" w:sz="0" w:space="0" w:color="auto"/>
        <w:right w:val="none" w:sz="0" w:space="0" w:color="auto"/>
      </w:divBdr>
    </w:div>
    <w:div w:id="758791302">
      <w:bodyDiv w:val="1"/>
      <w:marLeft w:val="0"/>
      <w:marRight w:val="0"/>
      <w:marTop w:val="0"/>
      <w:marBottom w:val="0"/>
      <w:divBdr>
        <w:top w:val="none" w:sz="0" w:space="0" w:color="auto"/>
        <w:left w:val="none" w:sz="0" w:space="0" w:color="auto"/>
        <w:bottom w:val="none" w:sz="0" w:space="0" w:color="auto"/>
        <w:right w:val="none" w:sz="0" w:space="0" w:color="auto"/>
      </w:divBdr>
    </w:div>
    <w:div w:id="774374291">
      <w:bodyDiv w:val="1"/>
      <w:marLeft w:val="0"/>
      <w:marRight w:val="0"/>
      <w:marTop w:val="0"/>
      <w:marBottom w:val="0"/>
      <w:divBdr>
        <w:top w:val="none" w:sz="0" w:space="0" w:color="auto"/>
        <w:left w:val="none" w:sz="0" w:space="0" w:color="auto"/>
        <w:bottom w:val="none" w:sz="0" w:space="0" w:color="auto"/>
        <w:right w:val="none" w:sz="0" w:space="0" w:color="auto"/>
      </w:divBdr>
    </w:div>
    <w:div w:id="817459962">
      <w:bodyDiv w:val="1"/>
      <w:marLeft w:val="0"/>
      <w:marRight w:val="0"/>
      <w:marTop w:val="0"/>
      <w:marBottom w:val="0"/>
      <w:divBdr>
        <w:top w:val="none" w:sz="0" w:space="0" w:color="auto"/>
        <w:left w:val="none" w:sz="0" w:space="0" w:color="auto"/>
        <w:bottom w:val="none" w:sz="0" w:space="0" w:color="auto"/>
        <w:right w:val="none" w:sz="0" w:space="0" w:color="auto"/>
      </w:divBdr>
    </w:div>
    <w:div w:id="827480616">
      <w:bodyDiv w:val="1"/>
      <w:marLeft w:val="0"/>
      <w:marRight w:val="0"/>
      <w:marTop w:val="0"/>
      <w:marBottom w:val="0"/>
      <w:divBdr>
        <w:top w:val="none" w:sz="0" w:space="0" w:color="auto"/>
        <w:left w:val="none" w:sz="0" w:space="0" w:color="auto"/>
        <w:bottom w:val="none" w:sz="0" w:space="0" w:color="auto"/>
        <w:right w:val="none" w:sz="0" w:space="0" w:color="auto"/>
      </w:divBdr>
    </w:div>
    <w:div w:id="828592090">
      <w:bodyDiv w:val="1"/>
      <w:marLeft w:val="0"/>
      <w:marRight w:val="0"/>
      <w:marTop w:val="0"/>
      <w:marBottom w:val="0"/>
      <w:divBdr>
        <w:top w:val="none" w:sz="0" w:space="0" w:color="auto"/>
        <w:left w:val="none" w:sz="0" w:space="0" w:color="auto"/>
        <w:bottom w:val="none" w:sz="0" w:space="0" w:color="auto"/>
        <w:right w:val="none" w:sz="0" w:space="0" w:color="auto"/>
      </w:divBdr>
    </w:div>
    <w:div w:id="843593543">
      <w:bodyDiv w:val="1"/>
      <w:marLeft w:val="0"/>
      <w:marRight w:val="0"/>
      <w:marTop w:val="0"/>
      <w:marBottom w:val="0"/>
      <w:divBdr>
        <w:top w:val="none" w:sz="0" w:space="0" w:color="auto"/>
        <w:left w:val="none" w:sz="0" w:space="0" w:color="auto"/>
        <w:bottom w:val="none" w:sz="0" w:space="0" w:color="auto"/>
        <w:right w:val="none" w:sz="0" w:space="0" w:color="auto"/>
      </w:divBdr>
    </w:div>
    <w:div w:id="845898004">
      <w:bodyDiv w:val="1"/>
      <w:marLeft w:val="0"/>
      <w:marRight w:val="0"/>
      <w:marTop w:val="0"/>
      <w:marBottom w:val="0"/>
      <w:divBdr>
        <w:top w:val="none" w:sz="0" w:space="0" w:color="auto"/>
        <w:left w:val="none" w:sz="0" w:space="0" w:color="auto"/>
        <w:bottom w:val="none" w:sz="0" w:space="0" w:color="auto"/>
        <w:right w:val="none" w:sz="0" w:space="0" w:color="auto"/>
      </w:divBdr>
    </w:div>
    <w:div w:id="852955996">
      <w:bodyDiv w:val="1"/>
      <w:marLeft w:val="0"/>
      <w:marRight w:val="0"/>
      <w:marTop w:val="0"/>
      <w:marBottom w:val="0"/>
      <w:divBdr>
        <w:top w:val="none" w:sz="0" w:space="0" w:color="auto"/>
        <w:left w:val="none" w:sz="0" w:space="0" w:color="auto"/>
        <w:bottom w:val="none" w:sz="0" w:space="0" w:color="auto"/>
        <w:right w:val="none" w:sz="0" w:space="0" w:color="auto"/>
      </w:divBdr>
    </w:div>
    <w:div w:id="860975932">
      <w:bodyDiv w:val="1"/>
      <w:marLeft w:val="0"/>
      <w:marRight w:val="0"/>
      <w:marTop w:val="0"/>
      <w:marBottom w:val="0"/>
      <w:divBdr>
        <w:top w:val="none" w:sz="0" w:space="0" w:color="auto"/>
        <w:left w:val="none" w:sz="0" w:space="0" w:color="auto"/>
        <w:bottom w:val="none" w:sz="0" w:space="0" w:color="auto"/>
        <w:right w:val="none" w:sz="0" w:space="0" w:color="auto"/>
      </w:divBdr>
    </w:div>
    <w:div w:id="876430544">
      <w:bodyDiv w:val="1"/>
      <w:marLeft w:val="0"/>
      <w:marRight w:val="0"/>
      <w:marTop w:val="0"/>
      <w:marBottom w:val="0"/>
      <w:divBdr>
        <w:top w:val="none" w:sz="0" w:space="0" w:color="auto"/>
        <w:left w:val="none" w:sz="0" w:space="0" w:color="auto"/>
        <w:bottom w:val="none" w:sz="0" w:space="0" w:color="auto"/>
        <w:right w:val="none" w:sz="0" w:space="0" w:color="auto"/>
      </w:divBdr>
    </w:div>
    <w:div w:id="877398845">
      <w:bodyDiv w:val="1"/>
      <w:marLeft w:val="0"/>
      <w:marRight w:val="0"/>
      <w:marTop w:val="0"/>
      <w:marBottom w:val="0"/>
      <w:divBdr>
        <w:top w:val="none" w:sz="0" w:space="0" w:color="auto"/>
        <w:left w:val="none" w:sz="0" w:space="0" w:color="auto"/>
        <w:bottom w:val="none" w:sz="0" w:space="0" w:color="auto"/>
        <w:right w:val="none" w:sz="0" w:space="0" w:color="auto"/>
      </w:divBdr>
    </w:div>
    <w:div w:id="898898777">
      <w:bodyDiv w:val="1"/>
      <w:marLeft w:val="0"/>
      <w:marRight w:val="0"/>
      <w:marTop w:val="0"/>
      <w:marBottom w:val="0"/>
      <w:divBdr>
        <w:top w:val="none" w:sz="0" w:space="0" w:color="auto"/>
        <w:left w:val="none" w:sz="0" w:space="0" w:color="auto"/>
        <w:bottom w:val="none" w:sz="0" w:space="0" w:color="auto"/>
        <w:right w:val="none" w:sz="0" w:space="0" w:color="auto"/>
      </w:divBdr>
    </w:div>
    <w:div w:id="946813050">
      <w:bodyDiv w:val="1"/>
      <w:marLeft w:val="0"/>
      <w:marRight w:val="0"/>
      <w:marTop w:val="0"/>
      <w:marBottom w:val="0"/>
      <w:divBdr>
        <w:top w:val="none" w:sz="0" w:space="0" w:color="auto"/>
        <w:left w:val="none" w:sz="0" w:space="0" w:color="auto"/>
        <w:bottom w:val="none" w:sz="0" w:space="0" w:color="auto"/>
        <w:right w:val="none" w:sz="0" w:space="0" w:color="auto"/>
      </w:divBdr>
    </w:div>
    <w:div w:id="1058088653">
      <w:bodyDiv w:val="1"/>
      <w:marLeft w:val="0"/>
      <w:marRight w:val="0"/>
      <w:marTop w:val="0"/>
      <w:marBottom w:val="0"/>
      <w:divBdr>
        <w:top w:val="none" w:sz="0" w:space="0" w:color="auto"/>
        <w:left w:val="none" w:sz="0" w:space="0" w:color="auto"/>
        <w:bottom w:val="none" w:sz="0" w:space="0" w:color="auto"/>
        <w:right w:val="none" w:sz="0" w:space="0" w:color="auto"/>
      </w:divBdr>
    </w:div>
    <w:div w:id="1072846830">
      <w:bodyDiv w:val="1"/>
      <w:marLeft w:val="0"/>
      <w:marRight w:val="0"/>
      <w:marTop w:val="0"/>
      <w:marBottom w:val="0"/>
      <w:divBdr>
        <w:top w:val="none" w:sz="0" w:space="0" w:color="auto"/>
        <w:left w:val="none" w:sz="0" w:space="0" w:color="auto"/>
        <w:bottom w:val="none" w:sz="0" w:space="0" w:color="auto"/>
        <w:right w:val="none" w:sz="0" w:space="0" w:color="auto"/>
      </w:divBdr>
    </w:div>
    <w:div w:id="1079064468">
      <w:bodyDiv w:val="1"/>
      <w:marLeft w:val="0"/>
      <w:marRight w:val="0"/>
      <w:marTop w:val="0"/>
      <w:marBottom w:val="0"/>
      <w:divBdr>
        <w:top w:val="none" w:sz="0" w:space="0" w:color="auto"/>
        <w:left w:val="none" w:sz="0" w:space="0" w:color="auto"/>
        <w:bottom w:val="none" w:sz="0" w:space="0" w:color="auto"/>
        <w:right w:val="none" w:sz="0" w:space="0" w:color="auto"/>
      </w:divBdr>
    </w:div>
    <w:div w:id="1103841805">
      <w:bodyDiv w:val="1"/>
      <w:marLeft w:val="0"/>
      <w:marRight w:val="0"/>
      <w:marTop w:val="0"/>
      <w:marBottom w:val="0"/>
      <w:divBdr>
        <w:top w:val="none" w:sz="0" w:space="0" w:color="auto"/>
        <w:left w:val="none" w:sz="0" w:space="0" w:color="auto"/>
        <w:bottom w:val="none" w:sz="0" w:space="0" w:color="auto"/>
        <w:right w:val="none" w:sz="0" w:space="0" w:color="auto"/>
      </w:divBdr>
    </w:div>
    <w:div w:id="1124695675">
      <w:bodyDiv w:val="1"/>
      <w:marLeft w:val="0"/>
      <w:marRight w:val="0"/>
      <w:marTop w:val="0"/>
      <w:marBottom w:val="0"/>
      <w:divBdr>
        <w:top w:val="none" w:sz="0" w:space="0" w:color="auto"/>
        <w:left w:val="none" w:sz="0" w:space="0" w:color="auto"/>
        <w:bottom w:val="none" w:sz="0" w:space="0" w:color="auto"/>
        <w:right w:val="none" w:sz="0" w:space="0" w:color="auto"/>
      </w:divBdr>
    </w:div>
    <w:div w:id="1146052516">
      <w:bodyDiv w:val="1"/>
      <w:marLeft w:val="0"/>
      <w:marRight w:val="0"/>
      <w:marTop w:val="0"/>
      <w:marBottom w:val="0"/>
      <w:divBdr>
        <w:top w:val="none" w:sz="0" w:space="0" w:color="auto"/>
        <w:left w:val="none" w:sz="0" w:space="0" w:color="auto"/>
        <w:bottom w:val="none" w:sz="0" w:space="0" w:color="auto"/>
        <w:right w:val="none" w:sz="0" w:space="0" w:color="auto"/>
      </w:divBdr>
    </w:div>
    <w:div w:id="1161239191">
      <w:bodyDiv w:val="1"/>
      <w:marLeft w:val="0"/>
      <w:marRight w:val="0"/>
      <w:marTop w:val="0"/>
      <w:marBottom w:val="0"/>
      <w:divBdr>
        <w:top w:val="none" w:sz="0" w:space="0" w:color="auto"/>
        <w:left w:val="none" w:sz="0" w:space="0" w:color="auto"/>
        <w:bottom w:val="none" w:sz="0" w:space="0" w:color="auto"/>
        <w:right w:val="none" w:sz="0" w:space="0" w:color="auto"/>
      </w:divBdr>
    </w:div>
    <w:div w:id="1166746680">
      <w:bodyDiv w:val="1"/>
      <w:marLeft w:val="0"/>
      <w:marRight w:val="0"/>
      <w:marTop w:val="0"/>
      <w:marBottom w:val="0"/>
      <w:divBdr>
        <w:top w:val="none" w:sz="0" w:space="0" w:color="auto"/>
        <w:left w:val="none" w:sz="0" w:space="0" w:color="auto"/>
        <w:bottom w:val="none" w:sz="0" w:space="0" w:color="auto"/>
        <w:right w:val="none" w:sz="0" w:space="0" w:color="auto"/>
      </w:divBdr>
    </w:div>
    <w:div w:id="1190023636">
      <w:bodyDiv w:val="1"/>
      <w:marLeft w:val="0"/>
      <w:marRight w:val="0"/>
      <w:marTop w:val="0"/>
      <w:marBottom w:val="0"/>
      <w:divBdr>
        <w:top w:val="none" w:sz="0" w:space="0" w:color="auto"/>
        <w:left w:val="none" w:sz="0" w:space="0" w:color="auto"/>
        <w:bottom w:val="none" w:sz="0" w:space="0" w:color="auto"/>
        <w:right w:val="none" w:sz="0" w:space="0" w:color="auto"/>
      </w:divBdr>
    </w:div>
    <w:div w:id="1246648406">
      <w:bodyDiv w:val="1"/>
      <w:marLeft w:val="0"/>
      <w:marRight w:val="0"/>
      <w:marTop w:val="0"/>
      <w:marBottom w:val="0"/>
      <w:divBdr>
        <w:top w:val="none" w:sz="0" w:space="0" w:color="auto"/>
        <w:left w:val="none" w:sz="0" w:space="0" w:color="auto"/>
        <w:bottom w:val="none" w:sz="0" w:space="0" w:color="auto"/>
        <w:right w:val="none" w:sz="0" w:space="0" w:color="auto"/>
      </w:divBdr>
    </w:div>
    <w:div w:id="1263488212">
      <w:bodyDiv w:val="1"/>
      <w:marLeft w:val="0"/>
      <w:marRight w:val="0"/>
      <w:marTop w:val="0"/>
      <w:marBottom w:val="0"/>
      <w:divBdr>
        <w:top w:val="none" w:sz="0" w:space="0" w:color="auto"/>
        <w:left w:val="none" w:sz="0" w:space="0" w:color="auto"/>
        <w:bottom w:val="none" w:sz="0" w:space="0" w:color="auto"/>
        <w:right w:val="none" w:sz="0" w:space="0" w:color="auto"/>
      </w:divBdr>
    </w:div>
    <w:div w:id="1280188908">
      <w:bodyDiv w:val="1"/>
      <w:marLeft w:val="0"/>
      <w:marRight w:val="0"/>
      <w:marTop w:val="0"/>
      <w:marBottom w:val="0"/>
      <w:divBdr>
        <w:top w:val="none" w:sz="0" w:space="0" w:color="auto"/>
        <w:left w:val="none" w:sz="0" w:space="0" w:color="auto"/>
        <w:bottom w:val="none" w:sz="0" w:space="0" w:color="auto"/>
        <w:right w:val="none" w:sz="0" w:space="0" w:color="auto"/>
      </w:divBdr>
    </w:div>
    <w:div w:id="1321614517">
      <w:bodyDiv w:val="1"/>
      <w:marLeft w:val="0"/>
      <w:marRight w:val="0"/>
      <w:marTop w:val="0"/>
      <w:marBottom w:val="0"/>
      <w:divBdr>
        <w:top w:val="none" w:sz="0" w:space="0" w:color="auto"/>
        <w:left w:val="none" w:sz="0" w:space="0" w:color="auto"/>
        <w:bottom w:val="none" w:sz="0" w:space="0" w:color="auto"/>
        <w:right w:val="none" w:sz="0" w:space="0" w:color="auto"/>
      </w:divBdr>
    </w:div>
    <w:div w:id="1329022222">
      <w:bodyDiv w:val="1"/>
      <w:marLeft w:val="0"/>
      <w:marRight w:val="0"/>
      <w:marTop w:val="0"/>
      <w:marBottom w:val="0"/>
      <w:divBdr>
        <w:top w:val="none" w:sz="0" w:space="0" w:color="auto"/>
        <w:left w:val="none" w:sz="0" w:space="0" w:color="auto"/>
        <w:bottom w:val="none" w:sz="0" w:space="0" w:color="auto"/>
        <w:right w:val="none" w:sz="0" w:space="0" w:color="auto"/>
      </w:divBdr>
    </w:div>
    <w:div w:id="1418820012">
      <w:bodyDiv w:val="1"/>
      <w:marLeft w:val="0"/>
      <w:marRight w:val="0"/>
      <w:marTop w:val="0"/>
      <w:marBottom w:val="0"/>
      <w:divBdr>
        <w:top w:val="none" w:sz="0" w:space="0" w:color="auto"/>
        <w:left w:val="none" w:sz="0" w:space="0" w:color="auto"/>
        <w:bottom w:val="none" w:sz="0" w:space="0" w:color="auto"/>
        <w:right w:val="none" w:sz="0" w:space="0" w:color="auto"/>
      </w:divBdr>
    </w:div>
    <w:div w:id="1428305590">
      <w:bodyDiv w:val="1"/>
      <w:marLeft w:val="0"/>
      <w:marRight w:val="0"/>
      <w:marTop w:val="0"/>
      <w:marBottom w:val="0"/>
      <w:divBdr>
        <w:top w:val="none" w:sz="0" w:space="0" w:color="auto"/>
        <w:left w:val="none" w:sz="0" w:space="0" w:color="auto"/>
        <w:bottom w:val="none" w:sz="0" w:space="0" w:color="auto"/>
        <w:right w:val="none" w:sz="0" w:space="0" w:color="auto"/>
      </w:divBdr>
    </w:div>
    <w:div w:id="1442535205">
      <w:bodyDiv w:val="1"/>
      <w:marLeft w:val="0"/>
      <w:marRight w:val="0"/>
      <w:marTop w:val="0"/>
      <w:marBottom w:val="0"/>
      <w:divBdr>
        <w:top w:val="none" w:sz="0" w:space="0" w:color="auto"/>
        <w:left w:val="none" w:sz="0" w:space="0" w:color="auto"/>
        <w:bottom w:val="none" w:sz="0" w:space="0" w:color="auto"/>
        <w:right w:val="none" w:sz="0" w:space="0" w:color="auto"/>
      </w:divBdr>
    </w:div>
    <w:div w:id="1461804430">
      <w:bodyDiv w:val="1"/>
      <w:marLeft w:val="0"/>
      <w:marRight w:val="0"/>
      <w:marTop w:val="0"/>
      <w:marBottom w:val="0"/>
      <w:divBdr>
        <w:top w:val="none" w:sz="0" w:space="0" w:color="auto"/>
        <w:left w:val="none" w:sz="0" w:space="0" w:color="auto"/>
        <w:bottom w:val="none" w:sz="0" w:space="0" w:color="auto"/>
        <w:right w:val="none" w:sz="0" w:space="0" w:color="auto"/>
      </w:divBdr>
    </w:div>
    <w:div w:id="1473209951">
      <w:bodyDiv w:val="1"/>
      <w:marLeft w:val="0"/>
      <w:marRight w:val="0"/>
      <w:marTop w:val="0"/>
      <w:marBottom w:val="0"/>
      <w:divBdr>
        <w:top w:val="none" w:sz="0" w:space="0" w:color="auto"/>
        <w:left w:val="none" w:sz="0" w:space="0" w:color="auto"/>
        <w:bottom w:val="none" w:sz="0" w:space="0" w:color="auto"/>
        <w:right w:val="none" w:sz="0" w:space="0" w:color="auto"/>
      </w:divBdr>
    </w:div>
    <w:div w:id="1473710735">
      <w:bodyDiv w:val="1"/>
      <w:marLeft w:val="0"/>
      <w:marRight w:val="0"/>
      <w:marTop w:val="0"/>
      <w:marBottom w:val="0"/>
      <w:divBdr>
        <w:top w:val="none" w:sz="0" w:space="0" w:color="auto"/>
        <w:left w:val="none" w:sz="0" w:space="0" w:color="auto"/>
        <w:bottom w:val="none" w:sz="0" w:space="0" w:color="auto"/>
        <w:right w:val="none" w:sz="0" w:space="0" w:color="auto"/>
      </w:divBdr>
    </w:div>
    <w:div w:id="1522430974">
      <w:bodyDiv w:val="1"/>
      <w:marLeft w:val="0"/>
      <w:marRight w:val="0"/>
      <w:marTop w:val="0"/>
      <w:marBottom w:val="0"/>
      <w:divBdr>
        <w:top w:val="none" w:sz="0" w:space="0" w:color="auto"/>
        <w:left w:val="none" w:sz="0" w:space="0" w:color="auto"/>
        <w:bottom w:val="none" w:sz="0" w:space="0" w:color="auto"/>
        <w:right w:val="none" w:sz="0" w:space="0" w:color="auto"/>
      </w:divBdr>
    </w:div>
    <w:div w:id="1529830537">
      <w:bodyDiv w:val="1"/>
      <w:marLeft w:val="0"/>
      <w:marRight w:val="0"/>
      <w:marTop w:val="0"/>
      <w:marBottom w:val="0"/>
      <w:divBdr>
        <w:top w:val="none" w:sz="0" w:space="0" w:color="auto"/>
        <w:left w:val="none" w:sz="0" w:space="0" w:color="auto"/>
        <w:bottom w:val="none" w:sz="0" w:space="0" w:color="auto"/>
        <w:right w:val="none" w:sz="0" w:space="0" w:color="auto"/>
      </w:divBdr>
    </w:div>
    <w:div w:id="1584873058">
      <w:bodyDiv w:val="1"/>
      <w:marLeft w:val="0"/>
      <w:marRight w:val="0"/>
      <w:marTop w:val="0"/>
      <w:marBottom w:val="0"/>
      <w:divBdr>
        <w:top w:val="none" w:sz="0" w:space="0" w:color="auto"/>
        <w:left w:val="none" w:sz="0" w:space="0" w:color="auto"/>
        <w:bottom w:val="none" w:sz="0" w:space="0" w:color="auto"/>
        <w:right w:val="none" w:sz="0" w:space="0" w:color="auto"/>
      </w:divBdr>
    </w:div>
    <w:div w:id="1586453300">
      <w:bodyDiv w:val="1"/>
      <w:marLeft w:val="0"/>
      <w:marRight w:val="0"/>
      <w:marTop w:val="0"/>
      <w:marBottom w:val="0"/>
      <w:divBdr>
        <w:top w:val="none" w:sz="0" w:space="0" w:color="auto"/>
        <w:left w:val="none" w:sz="0" w:space="0" w:color="auto"/>
        <w:bottom w:val="none" w:sz="0" w:space="0" w:color="auto"/>
        <w:right w:val="none" w:sz="0" w:space="0" w:color="auto"/>
      </w:divBdr>
    </w:div>
    <w:div w:id="1594587273">
      <w:bodyDiv w:val="1"/>
      <w:marLeft w:val="0"/>
      <w:marRight w:val="0"/>
      <w:marTop w:val="0"/>
      <w:marBottom w:val="0"/>
      <w:divBdr>
        <w:top w:val="none" w:sz="0" w:space="0" w:color="auto"/>
        <w:left w:val="none" w:sz="0" w:space="0" w:color="auto"/>
        <w:bottom w:val="none" w:sz="0" w:space="0" w:color="auto"/>
        <w:right w:val="none" w:sz="0" w:space="0" w:color="auto"/>
      </w:divBdr>
    </w:div>
    <w:div w:id="1626544291">
      <w:bodyDiv w:val="1"/>
      <w:marLeft w:val="0"/>
      <w:marRight w:val="0"/>
      <w:marTop w:val="0"/>
      <w:marBottom w:val="0"/>
      <w:divBdr>
        <w:top w:val="none" w:sz="0" w:space="0" w:color="auto"/>
        <w:left w:val="none" w:sz="0" w:space="0" w:color="auto"/>
        <w:bottom w:val="none" w:sz="0" w:space="0" w:color="auto"/>
        <w:right w:val="none" w:sz="0" w:space="0" w:color="auto"/>
      </w:divBdr>
    </w:div>
    <w:div w:id="1683971806">
      <w:bodyDiv w:val="1"/>
      <w:marLeft w:val="0"/>
      <w:marRight w:val="0"/>
      <w:marTop w:val="0"/>
      <w:marBottom w:val="0"/>
      <w:divBdr>
        <w:top w:val="none" w:sz="0" w:space="0" w:color="auto"/>
        <w:left w:val="none" w:sz="0" w:space="0" w:color="auto"/>
        <w:bottom w:val="none" w:sz="0" w:space="0" w:color="auto"/>
        <w:right w:val="none" w:sz="0" w:space="0" w:color="auto"/>
      </w:divBdr>
    </w:div>
    <w:div w:id="1686594691">
      <w:bodyDiv w:val="1"/>
      <w:marLeft w:val="0"/>
      <w:marRight w:val="0"/>
      <w:marTop w:val="0"/>
      <w:marBottom w:val="0"/>
      <w:divBdr>
        <w:top w:val="none" w:sz="0" w:space="0" w:color="auto"/>
        <w:left w:val="none" w:sz="0" w:space="0" w:color="auto"/>
        <w:bottom w:val="none" w:sz="0" w:space="0" w:color="auto"/>
        <w:right w:val="none" w:sz="0" w:space="0" w:color="auto"/>
      </w:divBdr>
    </w:div>
    <w:div w:id="1693647169">
      <w:bodyDiv w:val="1"/>
      <w:marLeft w:val="0"/>
      <w:marRight w:val="0"/>
      <w:marTop w:val="0"/>
      <w:marBottom w:val="0"/>
      <w:divBdr>
        <w:top w:val="none" w:sz="0" w:space="0" w:color="auto"/>
        <w:left w:val="none" w:sz="0" w:space="0" w:color="auto"/>
        <w:bottom w:val="none" w:sz="0" w:space="0" w:color="auto"/>
        <w:right w:val="none" w:sz="0" w:space="0" w:color="auto"/>
      </w:divBdr>
    </w:div>
    <w:div w:id="1757359630">
      <w:bodyDiv w:val="1"/>
      <w:marLeft w:val="0"/>
      <w:marRight w:val="0"/>
      <w:marTop w:val="0"/>
      <w:marBottom w:val="0"/>
      <w:divBdr>
        <w:top w:val="none" w:sz="0" w:space="0" w:color="auto"/>
        <w:left w:val="none" w:sz="0" w:space="0" w:color="auto"/>
        <w:bottom w:val="none" w:sz="0" w:space="0" w:color="auto"/>
        <w:right w:val="none" w:sz="0" w:space="0" w:color="auto"/>
      </w:divBdr>
    </w:div>
    <w:div w:id="1870989242">
      <w:bodyDiv w:val="1"/>
      <w:marLeft w:val="0"/>
      <w:marRight w:val="0"/>
      <w:marTop w:val="0"/>
      <w:marBottom w:val="0"/>
      <w:divBdr>
        <w:top w:val="none" w:sz="0" w:space="0" w:color="auto"/>
        <w:left w:val="none" w:sz="0" w:space="0" w:color="auto"/>
        <w:bottom w:val="none" w:sz="0" w:space="0" w:color="auto"/>
        <w:right w:val="none" w:sz="0" w:space="0" w:color="auto"/>
      </w:divBdr>
    </w:div>
    <w:div w:id="1879854164">
      <w:bodyDiv w:val="1"/>
      <w:marLeft w:val="0"/>
      <w:marRight w:val="0"/>
      <w:marTop w:val="0"/>
      <w:marBottom w:val="0"/>
      <w:divBdr>
        <w:top w:val="none" w:sz="0" w:space="0" w:color="auto"/>
        <w:left w:val="none" w:sz="0" w:space="0" w:color="auto"/>
        <w:bottom w:val="none" w:sz="0" w:space="0" w:color="auto"/>
        <w:right w:val="none" w:sz="0" w:space="0" w:color="auto"/>
      </w:divBdr>
    </w:div>
    <w:div w:id="1880971559">
      <w:bodyDiv w:val="1"/>
      <w:marLeft w:val="0"/>
      <w:marRight w:val="0"/>
      <w:marTop w:val="0"/>
      <w:marBottom w:val="0"/>
      <w:divBdr>
        <w:top w:val="none" w:sz="0" w:space="0" w:color="auto"/>
        <w:left w:val="none" w:sz="0" w:space="0" w:color="auto"/>
        <w:bottom w:val="none" w:sz="0" w:space="0" w:color="auto"/>
        <w:right w:val="none" w:sz="0" w:space="0" w:color="auto"/>
      </w:divBdr>
    </w:div>
    <w:div w:id="1883784601">
      <w:bodyDiv w:val="1"/>
      <w:marLeft w:val="0"/>
      <w:marRight w:val="0"/>
      <w:marTop w:val="0"/>
      <w:marBottom w:val="0"/>
      <w:divBdr>
        <w:top w:val="none" w:sz="0" w:space="0" w:color="auto"/>
        <w:left w:val="none" w:sz="0" w:space="0" w:color="auto"/>
        <w:bottom w:val="none" w:sz="0" w:space="0" w:color="auto"/>
        <w:right w:val="none" w:sz="0" w:space="0" w:color="auto"/>
      </w:divBdr>
    </w:div>
    <w:div w:id="1893731659">
      <w:bodyDiv w:val="1"/>
      <w:marLeft w:val="0"/>
      <w:marRight w:val="0"/>
      <w:marTop w:val="0"/>
      <w:marBottom w:val="0"/>
      <w:divBdr>
        <w:top w:val="none" w:sz="0" w:space="0" w:color="auto"/>
        <w:left w:val="none" w:sz="0" w:space="0" w:color="auto"/>
        <w:bottom w:val="none" w:sz="0" w:space="0" w:color="auto"/>
        <w:right w:val="none" w:sz="0" w:space="0" w:color="auto"/>
      </w:divBdr>
    </w:div>
    <w:div w:id="1894390081">
      <w:bodyDiv w:val="1"/>
      <w:marLeft w:val="0"/>
      <w:marRight w:val="0"/>
      <w:marTop w:val="0"/>
      <w:marBottom w:val="0"/>
      <w:divBdr>
        <w:top w:val="none" w:sz="0" w:space="0" w:color="auto"/>
        <w:left w:val="none" w:sz="0" w:space="0" w:color="auto"/>
        <w:bottom w:val="none" w:sz="0" w:space="0" w:color="auto"/>
        <w:right w:val="none" w:sz="0" w:space="0" w:color="auto"/>
      </w:divBdr>
    </w:div>
    <w:div w:id="1894540766">
      <w:bodyDiv w:val="1"/>
      <w:marLeft w:val="0"/>
      <w:marRight w:val="0"/>
      <w:marTop w:val="0"/>
      <w:marBottom w:val="0"/>
      <w:divBdr>
        <w:top w:val="none" w:sz="0" w:space="0" w:color="auto"/>
        <w:left w:val="none" w:sz="0" w:space="0" w:color="auto"/>
        <w:bottom w:val="none" w:sz="0" w:space="0" w:color="auto"/>
        <w:right w:val="none" w:sz="0" w:space="0" w:color="auto"/>
      </w:divBdr>
    </w:div>
    <w:div w:id="1919093595">
      <w:bodyDiv w:val="1"/>
      <w:marLeft w:val="0"/>
      <w:marRight w:val="0"/>
      <w:marTop w:val="0"/>
      <w:marBottom w:val="0"/>
      <w:divBdr>
        <w:top w:val="none" w:sz="0" w:space="0" w:color="auto"/>
        <w:left w:val="none" w:sz="0" w:space="0" w:color="auto"/>
        <w:bottom w:val="none" w:sz="0" w:space="0" w:color="auto"/>
        <w:right w:val="none" w:sz="0" w:space="0" w:color="auto"/>
      </w:divBdr>
    </w:div>
    <w:div w:id="1936135457">
      <w:bodyDiv w:val="1"/>
      <w:marLeft w:val="0"/>
      <w:marRight w:val="0"/>
      <w:marTop w:val="0"/>
      <w:marBottom w:val="0"/>
      <w:divBdr>
        <w:top w:val="none" w:sz="0" w:space="0" w:color="auto"/>
        <w:left w:val="none" w:sz="0" w:space="0" w:color="auto"/>
        <w:bottom w:val="none" w:sz="0" w:space="0" w:color="auto"/>
        <w:right w:val="none" w:sz="0" w:space="0" w:color="auto"/>
      </w:divBdr>
    </w:div>
    <w:div w:id="1937907554">
      <w:bodyDiv w:val="1"/>
      <w:marLeft w:val="0"/>
      <w:marRight w:val="0"/>
      <w:marTop w:val="0"/>
      <w:marBottom w:val="0"/>
      <w:divBdr>
        <w:top w:val="none" w:sz="0" w:space="0" w:color="auto"/>
        <w:left w:val="none" w:sz="0" w:space="0" w:color="auto"/>
        <w:bottom w:val="none" w:sz="0" w:space="0" w:color="auto"/>
        <w:right w:val="none" w:sz="0" w:space="0" w:color="auto"/>
      </w:divBdr>
    </w:div>
    <w:div w:id="1972858608">
      <w:bodyDiv w:val="1"/>
      <w:marLeft w:val="0"/>
      <w:marRight w:val="0"/>
      <w:marTop w:val="0"/>
      <w:marBottom w:val="0"/>
      <w:divBdr>
        <w:top w:val="none" w:sz="0" w:space="0" w:color="auto"/>
        <w:left w:val="none" w:sz="0" w:space="0" w:color="auto"/>
        <w:bottom w:val="none" w:sz="0" w:space="0" w:color="auto"/>
        <w:right w:val="none" w:sz="0" w:space="0" w:color="auto"/>
      </w:divBdr>
    </w:div>
    <w:div w:id="1984000331">
      <w:bodyDiv w:val="1"/>
      <w:marLeft w:val="0"/>
      <w:marRight w:val="0"/>
      <w:marTop w:val="0"/>
      <w:marBottom w:val="0"/>
      <w:divBdr>
        <w:top w:val="none" w:sz="0" w:space="0" w:color="auto"/>
        <w:left w:val="none" w:sz="0" w:space="0" w:color="auto"/>
        <w:bottom w:val="none" w:sz="0" w:space="0" w:color="auto"/>
        <w:right w:val="none" w:sz="0" w:space="0" w:color="auto"/>
      </w:divBdr>
    </w:div>
    <w:div w:id="2006008081">
      <w:bodyDiv w:val="1"/>
      <w:marLeft w:val="0"/>
      <w:marRight w:val="0"/>
      <w:marTop w:val="0"/>
      <w:marBottom w:val="0"/>
      <w:divBdr>
        <w:top w:val="none" w:sz="0" w:space="0" w:color="auto"/>
        <w:left w:val="none" w:sz="0" w:space="0" w:color="auto"/>
        <w:bottom w:val="none" w:sz="0" w:space="0" w:color="auto"/>
        <w:right w:val="none" w:sz="0" w:space="0" w:color="auto"/>
      </w:divBdr>
    </w:div>
    <w:div w:id="2027051742">
      <w:bodyDiv w:val="1"/>
      <w:marLeft w:val="0"/>
      <w:marRight w:val="0"/>
      <w:marTop w:val="0"/>
      <w:marBottom w:val="0"/>
      <w:divBdr>
        <w:top w:val="none" w:sz="0" w:space="0" w:color="auto"/>
        <w:left w:val="none" w:sz="0" w:space="0" w:color="auto"/>
        <w:bottom w:val="none" w:sz="0" w:space="0" w:color="auto"/>
        <w:right w:val="none" w:sz="0" w:space="0" w:color="auto"/>
      </w:divBdr>
    </w:div>
    <w:div w:id="2030327710">
      <w:bodyDiv w:val="1"/>
      <w:marLeft w:val="0"/>
      <w:marRight w:val="0"/>
      <w:marTop w:val="0"/>
      <w:marBottom w:val="0"/>
      <w:divBdr>
        <w:top w:val="none" w:sz="0" w:space="0" w:color="auto"/>
        <w:left w:val="none" w:sz="0" w:space="0" w:color="auto"/>
        <w:bottom w:val="none" w:sz="0" w:space="0" w:color="auto"/>
        <w:right w:val="none" w:sz="0" w:space="0" w:color="auto"/>
      </w:divBdr>
    </w:div>
    <w:div w:id="2037659021">
      <w:bodyDiv w:val="1"/>
      <w:marLeft w:val="0"/>
      <w:marRight w:val="0"/>
      <w:marTop w:val="0"/>
      <w:marBottom w:val="0"/>
      <w:divBdr>
        <w:top w:val="none" w:sz="0" w:space="0" w:color="auto"/>
        <w:left w:val="none" w:sz="0" w:space="0" w:color="auto"/>
        <w:bottom w:val="none" w:sz="0" w:space="0" w:color="auto"/>
        <w:right w:val="none" w:sz="0" w:space="0" w:color="auto"/>
      </w:divBdr>
    </w:div>
    <w:div w:id="2108037667">
      <w:bodyDiv w:val="1"/>
      <w:marLeft w:val="0"/>
      <w:marRight w:val="0"/>
      <w:marTop w:val="0"/>
      <w:marBottom w:val="0"/>
      <w:divBdr>
        <w:top w:val="none" w:sz="0" w:space="0" w:color="auto"/>
        <w:left w:val="none" w:sz="0" w:space="0" w:color="auto"/>
        <w:bottom w:val="none" w:sz="0" w:space="0" w:color="auto"/>
        <w:right w:val="none" w:sz="0" w:space="0" w:color="auto"/>
      </w:divBdr>
    </w:div>
    <w:div w:id="2129661880">
      <w:bodyDiv w:val="1"/>
      <w:marLeft w:val="0"/>
      <w:marRight w:val="0"/>
      <w:marTop w:val="0"/>
      <w:marBottom w:val="0"/>
      <w:divBdr>
        <w:top w:val="none" w:sz="0" w:space="0" w:color="auto"/>
        <w:left w:val="none" w:sz="0" w:space="0" w:color="auto"/>
        <w:bottom w:val="none" w:sz="0" w:space="0" w:color="auto"/>
        <w:right w:val="none" w:sz="0" w:space="0" w:color="auto"/>
      </w:divBdr>
    </w:div>
    <w:div w:id="213636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amsar.org/document/sc55-doc82-iucn-review-of-non-core-finances" TargetMode="External"/><Relationship Id="rId2" Type="http://schemas.openxmlformats.org/officeDocument/2006/relationships/hyperlink" Target="https://www.ramsar.org/document/resolution-x2-financial-and-budgetary-matters" TargetMode="External"/><Relationship Id="rId1" Type="http://schemas.openxmlformats.org/officeDocument/2006/relationships/hyperlink" Target="https://www.ramsar.org/sites/default/files/documents/library/report_auditor_ramsar_2020_e.pdf" TargetMode="External"/><Relationship Id="rId4" Type="http://schemas.openxmlformats.org/officeDocument/2006/relationships/hyperlink" Target="https://www.ramsar.org/sites/default/files/documents/library/report_auditor_ramsar_2020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04D07-9B82-490E-9976-6A827CB7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6196</Words>
  <Characters>35320</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Ramsar\KatzM</dc:creator>
  <cp:lastModifiedBy>Ed Jennings</cp:lastModifiedBy>
  <cp:revision>3</cp:revision>
  <cp:lastPrinted>2021-05-21T11:59:00Z</cp:lastPrinted>
  <dcterms:created xsi:type="dcterms:W3CDTF">2021-05-27T15:09:00Z</dcterms:created>
  <dcterms:modified xsi:type="dcterms:W3CDTF">2021-05-31T09:33:00Z</dcterms:modified>
</cp:coreProperties>
</file>