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A4CE7" w14:textId="77777777" w:rsidR="00275F13" w:rsidRPr="00360A0A" w:rsidRDefault="00664D04"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rPr>
      </w:pPr>
      <w:r w:rsidRPr="00360A0A">
        <w:rPr>
          <w:bCs/>
          <w:sz w:val="24"/>
          <w:szCs w:val="24"/>
        </w:rPr>
        <w:t>THE</w:t>
      </w:r>
      <w:r w:rsidR="00360A0A" w:rsidRPr="00360A0A">
        <w:rPr>
          <w:bCs/>
          <w:sz w:val="24"/>
          <w:szCs w:val="24"/>
        </w:rPr>
        <w:t xml:space="preserve"> </w:t>
      </w:r>
      <w:r w:rsidR="00DF2386" w:rsidRPr="00360A0A">
        <w:rPr>
          <w:bCs/>
          <w:sz w:val="24"/>
          <w:szCs w:val="24"/>
        </w:rPr>
        <w:t>CONVENTION</w:t>
      </w:r>
      <w:r w:rsidR="00360A0A" w:rsidRPr="00360A0A">
        <w:rPr>
          <w:bCs/>
          <w:sz w:val="24"/>
          <w:szCs w:val="24"/>
        </w:rPr>
        <w:t xml:space="preserve"> </w:t>
      </w:r>
      <w:r w:rsidR="00DF2386" w:rsidRPr="00360A0A">
        <w:rPr>
          <w:bCs/>
          <w:sz w:val="24"/>
          <w:szCs w:val="24"/>
        </w:rPr>
        <w:t>ON</w:t>
      </w:r>
      <w:r w:rsidR="00360A0A" w:rsidRPr="00360A0A">
        <w:rPr>
          <w:bCs/>
          <w:sz w:val="24"/>
          <w:szCs w:val="24"/>
        </w:rPr>
        <w:t xml:space="preserve"> </w:t>
      </w:r>
      <w:r w:rsidR="00DF2386" w:rsidRPr="00360A0A">
        <w:rPr>
          <w:bCs/>
          <w:sz w:val="24"/>
          <w:szCs w:val="24"/>
        </w:rPr>
        <w:t>WETLANDS</w:t>
      </w:r>
      <w:r w:rsidR="00360A0A" w:rsidRPr="00360A0A">
        <w:rPr>
          <w:bCs/>
          <w:sz w:val="24"/>
          <w:szCs w:val="24"/>
        </w:rPr>
        <w:t xml:space="preserve"> </w:t>
      </w:r>
    </w:p>
    <w:p w14:paraId="64051A33" w14:textId="329608B5" w:rsidR="00DF2386" w:rsidRPr="00360A0A"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rPr>
      </w:pPr>
      <w:r w:rsidRPr="00360A0A">
        <w:rPr>
          <w:bCs/>
          <w:sz w:val="24"/>
          <w:szCs w:val="24"/>
        </w:rPr>
        <w:t>5</w:t>
      </w:r>
      <w:r w:rsidR="00D249C2">
        <w:rPr>
          <w:bCs/>
          <w:sz w:val="24"/>
          <w:szCs w:val="24"/>
        </w:rPr>
        <w:t>9</w:t>
      </w:r>
      <w:r w:rsidR="00275F13" w:rsidRPr="00360A0A">
        <w:rPr>
          <w:bCs/>
          <w:sz w:val="24"/>
          <w:szCs w:val="24"/>
        </w:rPr>
        <w:t>th</w:t>
      </w:r>
      <w:r w:rsidR="00360A0A" w:rsidRPr="00360A0A">
        <w:rPr>
          <w:bCs/>
          <w:sz w:val="24"/>
          <w:szCs w:val="24"/>
        </w:rPr>
        <w:t xml:space="preserve"> </w:t>
      </w:r>
      <w:r w:rsidRPr="00360A0A">
        <w:rPr>
          <w:bCs/>
          <w:sz w:val="24"/>
          <w:szCs w:val="24"/>
        </w:rPr>
        <w:t>Meeting</w:t>
      </w:r>
      <w:r w:rsidR="00360A0A" w:rsidRPr="00360A0A">
        <w:rPr>
          <w:bCs/>
          <w:sz w:val="24"/>
          <w:szCs w:val="24"/>
        </w:rPr>
        <w:t xml:space="preserve"> </w:t>
      </w:r>
      <w:r w:rsidRPr="00360A0A">
        <w:rPr>
          <w:bCs/>
          <w:sz w:val="24"/>
          <w:szCs w:val="24"/>
        </w:rPr>
        <w:t>of</w:t>
      </w:r>
      <w:r w:rsidR="00360A0A" w:rsidRPr="00360A0A">
        <w:rPr>
          <w:bCs/>
          <w:sz w:val="24"/>
          <w:szCs w:val="24"/>
        </w:rPr>
        <w:t xml:space="preserve"> </w:t>
      </w:r>
      <w:r w:rsidRPr="00360A0A">
        <w:rPr>
          <w:bCs/>
          <w:sz w:val="24"/>
          <w:szCs w:val="24"/>
        </w:rPr>
        <w:t>the</w:t>
      </w:r>
      <w:r w:rsidR="00360A0A" w:rsidRPr="00360A0A">
        <w:rPr>
          <w:bCs/>
          <w:sz w:val="24"/>
          <w:szCs w:val="24"/>
        </w:rPr>
        <w:t xml:space="preserve"> </w:t>
      </w:r>
      <w:r w:rsidRPr="00360A0A">
        <w:rPr>
          <w:bCs/>
          <w:sz w:val="24"/>
          <w:szCs w:val="24"/>
        </w:rPr>
        <w:t>Standing</w:t>
      </w:r>
      <w:r w:rsidR="00360A0A" w:rsidRPr="00360A0A">
        <w:rPr>
          <w:bCs/>
          <w:sz w:val="24"/>
          <w:szCs w:val="24"/>
        </w:rPr>
        <w:t xml:space="preserve"> </w:t>
      </w:r>
      <w:r w:rsidRPr="00360A0A">
        <w:rPr>
          <w:bCs/>
          <w:sz w:val="24"/>
          <w:szCs w:val="24"/>
        </w:rPr>
        <w:t>Committee</w:t>
      </w:r>
    </w:p>
    <w:p w14:paraId="32CB0007" w14:textId="4314D80A" w:rsidR="00DF2386" w:rsidRPr="00360A0A"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lang w:val="de-CH"/>
        </w:rPr>
      </w:pPr>
      <w:r w:rsidRPr="00360A0A">
        <w:rPr>
          <w:bCs/>
          <w:sz w:val="24"/>
          <w:szCs w:val="24"/>
          <w:lang w:val="de-CH"/>
        </w:rPr>
        <w:t>Gland,</w:t>
      </w:r>
      <w:r w:rsidR="00360A0A" w:rsidRPr="00360A0A">
        <w:rPr>
          <w:bCs/>
          <w:sz w:val="24"/>
          <w:szCs w:val="24"/>
          <w:lang w:val="de-CH"/>
        </w:rPr>
        <w:t xml:space="preserve"> </w:t>
      </w:r>
      <w:r w:rsidRPr="00360A0A">
        <w:rPr>
          <w:bCs/>
          <w:sz w:val="24"/>
          <w:szCs w:val="24"/>
          <w:lang w:val="de-CH"/>
        </w:rPr>
        <w:t>Switzerland,</w:t>
      </w:r>
      <w:r w:rsidR="00360A0A" w:rsidRPr="00360A0A">
        <w:rPr>
          <w:bCs/>
          <w:sz w:val="24"/>
          <w:szCs w:val="24"/>
          <w:lang w:val="de-CH"/>
        </w:rPr>
        <w:t xml:space="preserve"> </w:t>
      </w:r>
      <w:r w:rsidR="00373DFF" w:rsidRPr="00360A0A">
        <w:rPr>
          <w:bCs/>
          <w:sz w:val="24"/>
          <w:szCs w:val="24"/>
          <w:lang w:val="de-CH"/>
        </w:rPr>
        <w:t>2</w:t>
      </w:r>
      <w:r w:rsidR="00D249C2">
        <w:rPr>
          <w:bCs/>
          <w:sz w:val="24"/>
          <w:szCs w:val="24"/>
          <w:lang w:val="de-CH"/>
        </w:rPr>
        <w:t>1 – 25 June, 2021</w:t>
      </w:r>
    </w:p>
    <w:p w14:paraId="30CCDCCB" w14:textId="77777777" w:rsidR="00DF2386" w:rsidRPr="00360A0A" w:rsidRDefault="00DF2386" w:rsidP="00623F05">
      <w:pPr>
        <w:ind w:left="0" w:firstLine="0"/>
        <w:outlineLvl w:val="0"/>
        <w:rPr>
          <w:b/>
          <w:lang w:val="de-CH"/>
        </w:rPr>
      </w:pPr>
    </w:p>
    <w:p w14:paraId="3E3F1FD4" w14:textId="43B50A96" w:rsidR="00DF2386" w:rsidRPr="0091699B" w:rsidRDefault="00DF2386" w:rsidP="00623F05">
      <w:pPr>
        <w:ind w:left="0" w:firstLine="0"/>
        <w:jc w:val="right"/>
        <w:rPr>
          <w:rFonts w:cs="Arial"/>
          <w:sz w:val="28"/>
          <w:szCs w:val="28"/>
          <w:lang w:val="de-CH"/>
        </w:rPr>
      </w:pPr>
      <w:r w:rsidRPr="004142B8">
        <w:rPr>
          <w:rFonts w:cs="Arial"/>
          <w:b/>
          <w:sz w:val="28"/>
          <w:szCs w:val="28"/>
          <w:lang w:val="de-CH"/>
        </w:rPr>
        <w:t>SC5</w:t>
      </w:r>
      <w:r w:rsidR="00D249C2" w:rsidRPr="004142B8">
        <w:rPr>
          <w:rFonts w:cs="Arial"/>
          <w:b/>
          <w:sz w:val="28"/>
          <w:szCs w:val="28"/>
          <w:lang w:val="de-CH"/>
        </w:rPr>
        <w:t>9</w:t>
      </w:r>
      <w:r w:rsidR="00360A0A" w:rsidRPr="004142B8">
        <w:rPr>
          <w:rFonts w:cs="Arial"/>
          <w:b/>
          <w:sz w:val="28"/>
          <w:szCs w:val="28"/>
          <w:lang w:val="de-CH"/>
        </w:rPr>
        <w:t xml:space="preserve"> </w:t>
      </w:r>
      <w:r w:rsidR="00373DFF" w:rsidRPr="004142B8">
        <w:rPr>
          <w:rFonts w:cs="Arial"/>
          <w:b/>
          <w:sz w:val="28"/>
          <w:szCs w:val="28"/>
          <w:lang w:val="de-CH"/>
        </w:rPr>
        <w:t>Doc</w:t>
      </w:r>
      <w:r w:rsidR="00043DAD" w:rsidRPr="004142B8">
        <w:rPr>
          <w:rFonts w:cs="Arial"/>
          <w:b/>
          <w:sz w:val="28"/>
          <w:szCs w:val="28"/>
          <w:lang w:val="de-CH"/>
        </w:rPr>
        <w:t>.</w:t>
      </w:r>
      <w:r w:rsidR="00BA0F41">
        <w:rPr>
          <w:rFonts w:cs="Arial"/>
          <w:b/>
          <w:sz w:val="28"/>
          <w:szCs w:val="28"/>
          <w:lang w:val="de-CH"/>
        </w:rPr>
        <w:t>6</w:t>
      </w:r>
    </w:p>
    <w:p w14:paraId="16B4D7D1" w14:textId="77777777" w:rsidR="00DF2386" w:rsidRPr="0091699B" w:rsidRDefault="00DF2386" w:rsidP="00623F05">
      <w:pPr>
        <w:ind w:left="0" w:firstLine="0"/>
        <w:rPr>
          <w:rFonts w:cs="Arial"/>
          <w:b/>
          <w:sz w:val="28"/>
          <w:szCs w:val="28"/>
          <w:lang w:val="de-CH"/>
        </w:rPr>
      </w:pPr>
    </w:p>
    <w:p w14:paraId="32C83190" w14:textId="77777777" w:rsidR="00DF2386" w:rsidRPr="00360A0A" w:rsidRDefault="00E90337" w:rsidP="00623F05">
      <w:pPr>
        <w:ind w:left="0" w:firstLine="0"/>
        <w:jc w:val="center"/>
        <w:rPr>
          <w:rFonts w:cs="Arial"/>
          <w:b/>
          <w:sz w:val="28"/>
          <w:szCs w:val="28"/>
        </w:rPr>
      </w:pPr>
      <w:r w:rsidRPr="00360A0A">
        <w:rPr>
          <w:rFonts w:cs="Arial"/>
          <w:b/>
          <w:sz w:val="28"/>
          <w:szCs w:val="28"/>
        </w:rPr>
        <w:t>Report</w:t>
      </w:r>
      <w:r w:rsidR="00360A0A" w:rsidRPr="00360A0A">
        <w:rPr>
          <w:rFonts w:cs="Arial"/>
          <w:b/>
          <w:sz w:val="28"/>
          <w:szCs w:val="28"/>
        </w:rPr>
        <w:t xml:space="preserve"> </w:t>
      </w:r>
      <w:r w:rsidR="0006506B" w:rsidRPr="00360A0A">
        <w:rPr>
          <w:rFonts w:cs="Arial"/>
          <w:b/>
          <w:sz w:val="28"/>
          <w:szCs w:val="28"/>
        </w:rPr>
        <w:t>of</w:t>
      </w:r>
      <w:r w:rsidR="00360A0A" w:rsidRPr="00360A0A">
        <w:rPr>
          <w:rFonts w:cs="Arial"/>
          <w:b/>
          <w:sz w:val="28"/>
          <w:szCs w:val="28"/>
        </w:rPr>
        <w:t xml:space="preserve"> </w:t>
      </w:r>
      <w:r w:rsidR="0006506B" w:rsidRPr="00360A0A">
        <w:rPr>
          <w:rFonts w:cs="Arial"/>
          <w:b/>
          <w:sz w:val="28"/>
          <w:szCs w:val="28"/>
        </w:rPr>
        <w:t>the</w:t>
      </w:r>
      <w:r w:rsidR="00360A0A" w:rsidRPr="00360A0A">
        <w:rPr>
          <w:rFonts w:cs="Arial"/>
          <w:b/>
          <w:sz w:val="28"/>
          <w:szCs w:val="28"/>
        </w:rPr>
        <w:t xml:space="preserve"> </w:t>
      </w:r>
      <w:r w:rsidR="0006506B" w:rsidRPr="00360A0A">
        <w:rPr>
          <w:rFonts w:cs="Arial"/>
          <w:b/>
          <w:sz w:val="28"/>
          <w:szCs w:val="28"/>
        </w:rPr>
        <w:t>Secretary</w:t>
      </w:r>
      <w:r w:rsidR="00360A0A" w:rsidRPr="00360A0A">
        <w:rPr>
          <w:rFonts w:cs="Arial"/>
          <w:b/>
          <w:sz w:val="28"/>
          <w:szCs w:val="28"/>
        </w:rPr>
        <w:t xml:space="preserve"> </w:t>
      </w:r>
      <w:r w:rsidR="0006506B" w:rsidRPr="00360A0A">
        <w:rPr>
          <w:rFonts w:cs="Arial"/>
          <w:b/>
          <w:sz w:val="28"/>
          <w:szCs w:val="28"/>
        </w:rPr>
        <w:t>General</w:t>
      </w:r>
    </w:p>
    <w:p w14:paraId="45222379" w14:textId="77777777" w:rsidR="00DF2386" w:rsidRPr="00360A0A" w:rsidRDefault="00DF2386" w:rsidP="00623F05">
      <w:pPr>
        <w:ind w:left="0" w:firstLine="0"/>
        <w:rPr>
          <w:rFonts w:ascii="Garamond" w:hAnsi="Garamond" w:cs="Arial"/>
          <w:sz w:val="28"/>
          <w:szCs w:val="28"/>
        </w:rPr>
      </w:pPr>
    </w:p>
    <w:p w14:paraId="49B7C1B5" w14:textId="77777777" w:rsidR="000C2489" w:rsidRPr="00360A0A" w:rsidRDefault="009A7780" w:rsidP="00623F05">
      <w:pPr>
        <w:autoSpaceDE w:val="0"/>
        <w:autoSpaceDN w:val="0"/>
        <w:adjustRightInd w:val="0"/>
        <w:ind w:left="0" w:firstLine="0"/>
        <w:rPr>
          <w:rFonts w:asciiTheme="minorHAnsi" w:eastAsiaTheme="minorHAnsi" w:hAnsiTheme="minorHAnsi" w:cs="Calibri-Bold"/>
          <w:b/>
          <w:bCs/>
        </w:rPr>
      </w:pPr>
      <w:r w:rsidRPr="00360A0A">
        <w:rPr>
          <w:noProof/>
          <w:lang w:eastAsia="en-GB"/>
        </w:rPr>
        <mc:AlternateContent>
          <mc:Choice Requires="wps">
            <w:drawing>
              <wp:inline distT="0" distB="0" distL="0" distR="0" wp14:anchorId="5946B0EA" wp14:editId="6DFC8194">
                <wp:extent cx="5731510" cy="922867"/>
                <wp:effectExtent l="0" t="0" r="2159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2867"/>
                        </a:xfrm>
                        <a:prstGeom prst="rect">
                          <a:avLst/>
                        </a:prstGeom>
                        <a:solidFill>
                          <a:srgbClr val="FFFFFF"/>
                        </a:solidFill>
                        <a:ln w="9525">
                          <a:solidFill>
                            <a:srgbClr val="000000"/>
                          </a:solidFill>
                          <a:miter lim="800000"/>
                          <a:headEnd/>
                          <a:tailEnd/>
                        </a:ln>
                      </wps:spPr>
                      <wps:txbx>
                        <w:txbxContent>
                          <w:p w14:paraId="529AC737" w14:textId="77777777" w:rsidR="00A95A13" w:rsidRDefault="00A95A13" w:rsidP="000C2489">
                            <w:pPr>
                              <w:rPr>
                                <w:b/>
                                <w:bCs/>
                              </w:rPr>
                            </w:pPr>
                            <w:r>
                              <w:rPr>
                                <w:b/>
                                <w:bCs/>
                              </w:rPr>
                              <w:t>Actions requested:</w:t>
                            </w:r>
                          </w:p>
                          <w:p w14:paraId="16D96C57" w14:textId="77777777" w:rsidR="00A95A13" w:rsidRDefault="00A95A13" w:rsidP="000C2489">
                            <w:pPr>
                              <w:pStyle w:val="ColorfulList-Accent11"/>
                              <w:ind w:left="0"/>
                            </w:pPr>
                          </w:p>
                          <w:p w14:paraId="2E1DF38A" w14:textId="0FDAE3F2" w:rsidR="00A95A13" w:rsidRDefault="00A95A13" w:rsidP="005D6C72">
                            <w:pPr>
                              <w:pStyle w:val="ColorfulList-Accent11"/>
                              <w:ind w:left="0" w:firstLine="0"/>
                            </w:pPr>
                            <w:r>
                              <w:t xml:space="preserve">The Standing Committee is </w:t>
                            </w:r>
                            <w:r>
                              <w:rPr>
                                <w:rFonts w:cs="Calibri"/>
                              </w:rPr>
                              <w:t>invited to note the reports of the Secretary General for the periods 18 April 2019 – 30 March 2020 and 30 March 2020 – 30 April 2021.</w:t>
                            </w:r>
                          </w:p>
                          <w:p w14:paraId="4E14B5DF" w14:textId="77777777" w:rsidR="00A95A13" w:rsidRPr="00F32D03" w:rsidRDefault="00A95A13"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5946B0EA" id="_x0000_t202" coordsize="21600,21600" o:spt="202" path="m,l,21600r21600,l21600,xe">
                <v:stroke joinstyle="miter"/>
                <v:path gradientshapeok="t" o:connecttype="rect"/>
              </v:shapetype>
              <v:shape id="Text Box 1" o:spid="_x0000_s1026" type="#_x0000_t202" style="width:451.3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">
                <v:textbox>
                  <w:txbxContent>
                    <w:p w14:paraId="529AC737" w14:textId="77777777" w:rsidR="00A95A13" w:rsidRDefault="00A95A13" w:rsidP="000C2489">
                      <w:pPr>
                        <w:rPr>
                          <w:b/>
                          <w:bCs/>
                        </w:rPr>
                      </w:pPr>
                      <w:r>
                        <w:rPr>
                          <w:b/>
                          <w:bCs/>
                        </w:rPr>
                        <w:t>Actions requested:</w:t>
                      </w:r>
                    </w:p>
                    <w:p w14:paraId="16D96C57" w14:textId="77777777" w:rsidR="00A95A13" w:rsidRDefault="00A95A13" w:rsidP="000C2489">
                      <w:pPr>
                        <w:pStyle w:val="ColorfulList-Accent11"/>
                        <w:ind w:left="0"/>
                      </w:pPr>
                    </w:p>
                    <w:p w14:paraId="2E1DF38A" w14:textId="0FDAE3F2" w:rsidR="00A95A13" w:rsidRDefault="00A95A13" w:rsidP="005D6C72">
                      <w:pPr>
                        <w:pStyle w:val="ColorfulList-Accent11"/>
                        <w:ind w:left="0" w:firstLine="0"/>
                      </w:pPr>
                      <w:r>
                        <w:t xml:space="preserve">The Standing Committee is </w:t>
                      </w:r>
                      <w:r>
                        <w:rPr>
                          <w:rFonts w:cs="Calibri"/>
                        </w:rPr>
                        <w:t>invited to note the reports of the Secretary General for the periods 18 April 2019 – 30 March 2020 and 30 March 2020 – 30 April 2021.</w:t>
                      </w:r>
                    </w:p>
                    <w:p w14:paraId="4E14B5DF" w14:textId="77777777" w:rsidR="00A95A13" w:rsidRPr="00F32D03" w:rsidRDefault="00A95A13" w:rsidP="00275F13">
                      <w:pPr>
                        <w:pStyle w:val="ColorfulList-Accent11"/>
                        <w:ind w:left="-425" w:firstLine="0"/>
                      </w:pPr>
                    </w:p>
                  </w:txbxContent>
                </v:textbox>
                <w10:anchorlock/>
              </v:shape>
            </w:pict>
          </mc:Fallback>
        </mc:AlternateContent>
      </w:r>
    </w:p>
    <w:p w14:paraId="298F140C" w14:textId="77777777" w:rsidR="000C2489" w:rsidRPr="00360A0A" w:rsidRDefault="000C2489" w:rsidP="00623F05">
      <w:pPr>
        <w:ind w:left="0" w:firstLine="0"/>
        <w:rPr>
          <w:rFonts w:asciiTheme="minorHAnsi" w:hAnsiTheme="minorHAnsi" w:cstheme="minorHAnsi"/>
          <w:b/>
        </w:rPr>
      </w:pPr>
    </w:p>
    <w:p w14:paraId="7100DB49" w14:textId="77777777" w:rsidR="00E90337" w:rsidRPr="00360A0A" w:rsidRDefault="00E90337" w:rsidP="00623F05">
      <w:pPr>
        <w:rPr>
          <w:rFonts w:asciiTheme="minorHAnsi" w:hAnsiTheme="minorHAnsi" w:cstheme="minorHAnsi"/>
          <w:b/>
        </w:rPr>
      </w:pPr>
    </w:p>
    <w:p w14:paraId="48E971EF" w14:textId="78AB2003" w:rsidR="00015D7B" w:rsidRPr="00FD77A8" w:rsidRDefault="00E90337" w:rsidP="00623F05">
      <w:pPr>
        <w:pStyle w:val="ListParagraph"/>
        <w:numPr>
          <w:ilvl w:val="0"/>
          <w:numId w:val="40"/>
        </w:numPr>
        <w:ind w:left="425" w:hanging="425"/>
        <w:rPr>
          <w:rFonts w:asciiTheme="minorHAnsi" w:eastAsiaTheme="minorHAnsi" w:hAnsiTheme="minorHAnsi" w:cstheme="minorHAnsi"/>
        </w:rPr>
      </w:pPr>
      <w:r w:rsidRPr="00FD77A8">
        <w:rPr>
          <w:rFonts w:asciiTheme="minorHAnsi" w:hAnsiTheme="minorHAnsi" w:cstheme="minorHAnsi"/>
        </w:rPr>
        <w:t>This</w:t>
      </w:r>
      <w:r w:rsidR="00360A0A" w:rsidRPr="00FD77A8">
        <w:rPr>
          <w:rFonts w:asciiTheme="minorHAnsi" w:hAnsiTheme="minorHAnsi" w:cstheme="minorHAnsi"/>
        </w:rPr>
        <w:t xml:space="preserve"> </w:t>
      </w:r>
      <w:r w:rsidRPr="00FD77A8">
        <w:rPr>
          <w:rFonts w:asciiTheme="minorHAnsi" w:hAnsiTheme="minorHAnsi" w:cstheme="minorHAnsi"/>
        </w:rPr>
        <w:t>report</w:t>
      </w:r>
      <w:r w:rsidR="00360A0A" w:rsidRPr="00FD77A8">
        <w:rPr>
          <w:rFonts w:asciiTheme="minorHAnsi" w:hAnsiTheme="minorHAnsi" w:cstheme="minorHAnsi"/>
        </w:rPr>
        <w:t xml:space="preserve"> </w:t>
      </w:r>
      <w:r w:rsidRPr="00FD77A8">
        <w:rPr>
          <w:rFonts w:asciiTheme="minorHAnsi" w:hAnsiTheme="minorHAnsi" w:cstheme="minorHAnsi"/>
        </w:rPr>
        <w:t>covers</w:t>
      </w:r>
      <w:r w:rsidR="00360A0A" w:rsidRPr="00FD77A8">
        <w:rPr>
          <w:rFonts w:asciiTheme="minorHAnsi" w:hAnsiTheme="minorHAnsi" w:cstheme="minorHAnsi"/>
        </w:rPr>
        <w:t xml:space="preserve"> </w:t>
      </w:r>
      <w:r w:rsidRPr="00FD77A8">
        <w:rPr>
          <w:rFonts w:asciiTheme="minorHAnsi" w:hAnsiTheme="minorHAnsi" w:cstheme="minorHAnsi"/>
        </w:rPr>
        <w:t>the</w:t>
      </w:r>
      <w:r w:rsidR="00360A0A" w:rsidRPr="00FD77A8">
        <w:rPr>
          <w:rFonts w:asciiTheme="minorHAnsi" w:hAnsiTheme="minorHAnsi" w:cstheme="minorHAnsi"/>
        </w:rPr>
        <w:t xml:space="preserve"> </w:t>
      </w:r>
      <w:r w:rsidRPr="00FD77A8">
        <w:rPr>
          <w:rFonts w:asciiTheme="minorHAnsi" w:hAnsiTheme="minorHAnsi" w:cstheme="minorHAnsi"/>
        </w:rPr>
        <w:t>work</w:t>
      </w:r>
      <w:r w:rsidR="00360A0A" w:rsidRPr="00FD77A8">
        <w:rPr>
          <w:rFonts w:asciiTheme="minorHAnsi" w:hAnsiTheme="minorHAnsi" w:cstheme="minorHAnsi"/>
        </w:rPr>
        <w:t xml:space="preserve"> </w:t>
      </w:r>
      <w:r w:rsidRPr="00FD77A8">
        <w:rPr>
          <w:rFonts w:asciiTheme="minorHAnsi" w:hAnsiTheme="minorHAnsi" w:cstheme="minorHAnsi"/>
        </w:rPr>
        <w:t>of</w:t>
      </w:r>
      <w:r w:rsidR="00360A0A" w:rsidRPr="00FD77A8">
        <w:rPr>
          <w:rFonts w:asciiTheme="minorHAnsi" w:hAnsiTheme="minorHAnsi" w:cstheme="minorHAnsi"/>
        </w:rPr>
        <w:t xml:space="preserve"> </w:t>
      </w:r>
      <w:r w:rsidRPr="00FD77A8">
        <w:rPr>
          <w:rFonts w:asciiTheme="minorHAnsi" w:hAnsiTheme="minorHAnsi" w:cstheme="minorHAnsi"/>
        </w:rPr>
        <w:t>the</w:t>
      </w:r>
      <w:r w:rsidR="00360A0A" w:rsidRPr="00FD77A8">
        <w:rPr>
          <w:rFonts w:asciiTheme="minorHAnsi" w:hAnsiTheme="minorHAnsi" w:cstheme="minorHAnsi"/>
        </w:rPr>
        <w:t xml:space="preserve"> </w:t>
      </w:r>
      <w:r w:rsidRPr="00FD77A8">
        <w:rPr>
          <w:rFonts w:asciiTheme="minorHAnsi" w:hAnsiTheme="minorHAnsi" w:cstheme="minorHAnsi"/>
        </w:rPr>
        <w:t>Secret</w:t>
      </w:r>
      <w:r w:rsidR="00624345" w:rsidRPr="00FD77A8">
        <w:rPr>
          <w:rFonts w:asciiTheme="minorHAnsi" w:hAnsiTheme="minorHAnsi" w:cstheme="minorHAnsi"/>
        </w:rPr>
        <w:t>ariat</w:t>
      </w:r>
      <w:r w:rsidR="00360A0A" w:rsidRPr="00FD77A8">
        <w:rPr>
          <w:rFonts w:asciiTheme="minorHAnsi" w:hAnsiTheme="minorHAnsi" w:cstheme="minorHAnsi"/>
        </w:rPr>
        <w:t xml:space="preserve"> </w:t>
      </w:r>
      <w:r w:rsidR="00624345" w:rsidRPr="00FD77A8">
        <w:rPr>
          <w:rFonts w:asciiTheme="minorHAnsi" w:hAnsiTheme="minorHAnsi" w:cstheme="minorHAnsi"/>
        </w:rPr>
        <w:t>from</w:t>
      </w:r>
      <w:r w:rsidR="00360A0A" w:rsidRPr="00FD77A8">
        <w:rPr>
          <w:rFonts w:asciiTheme="minorHAnsi" w:hAnsiTheme="minorHAnsi" w:cstheme="minorHAnsi"/>
        </w:rPr>
        <w:t xml:space="preserve"> </w:t>
      </w:r>
      <w:r w:rsidR="00624345" w:rsidRPr="00FD77A8">
        <w:rPr>
          <w:rFonts w:asciiTheme="minorHAnsi" w:hAnsiTheme="minorHAnsi" w:cstheme="minorHAnsi"/>
        </w:rPr>
        <w:t>the</w:t>
      </w:r>
      <w:r w:rsidR="00360A0A" w:rsidRPr="00FD77A8">
        <w:rPr>
          <w:rFonts w:asciiTheme="minorHAnsi" w:hAnsiTheme="minorHAnsi" w:cstheme="minorHAnsi"/>
        </w:rPr>
        <w:t xml:space="preserve"> </w:t>
      </w:r>
      <w:r w:rsidR="0021254D" w:rsidRPr="00FD77A8">
        <w:rPr>
          <w:rFonts w:asciiTheme="minorHAnsi" w:hAnsiTheme="minorHAnsi" w:cstheme="minorHAnsi"/>
        </w:rPr>
        <w:t>publishing</w:t>
      </w:r>
      <w:r w:rsidR="00360A0A" w:rsidRPr="00FD77A8">
        <w:rPr>
          <w:rFonts w:asciiTheme="minorHAnsi" w:hAnsiTheme="minorHAnsi" w:cstheme="minorHAnsi"/>
        </w:rPr>
        <w:t xml:space="preserve"> </w:t>
      </w:r>
      <w:r w:rsidR="0021254D" w:rsidRPr="00FD77A8">
        <w:rPr>
          <w:rFonts w:asciiTheme="minorHAnsi" w:hAnsiTheme="minorHAnsi" w:cstheme="minorHAnsi"/>
        </w:rPr>
        <w:t>of</w:t>
      </w:r>
      <w:r w:rsidR="00360A0A" w:rsidRPr="00FD77A8">
        <w:rPr>
          <w:rFonts w:asciiTheme="minorHAnsi" w:hAnsiTheme="minorHAnsi" w:cstheme="minorHAnsi"/>
        </w:rPr>
        <w:t xml:space="preserve"> </w:t>
      </w:r>
      <w:r w:rsidR="0021254D" w:rsidRPr="00FD77A8">
        <w:rPr>
          <w:rFonts w:asciiTheme="minorHAnsi" w:hAnsiTheme="minorHAnsi" w:cstheme="minorHAnsi"/>
        </w:rPr>
        <w:t>the</w:t>
      </w:r>
      <w:r w:rsidR="00360A0A" w:rsidRPr="00FD77A8">
        <w:rPr>
          <w:rFonts w:asciiTheme="minorHAnsi" w:hAnsiTheme="minorHAnsi" w:cstheme="minorHAnsi"/>
        </w:rPr>
        <w:t xml:space="preserve"> </w:t>
      </w:r>
      <w:r w:rsidR="0021254D" w:rsidRPr="00AB5F89">
        <w:rPr>
          <w:rFonts w:asciiTheme="minorHAnsi" w:hAnsiTheme="minorHAnsi" w:cstheme="minorHAnsi"/>
          <w:i/>
        </w:rPr>
        <w:t>Report</w:t>
      </w:r>
      <w:r w:rsidR="00360A0A" w:rsidRPr="00AB5F89">
        <w:rPr>
          <w:rFonts w:asciiTheme="minorHAnsi" w:hAnsiTheme="minorHAnsi" w:cstheme="minorHAnsi"/>
          <w:i/>
        </w:rPr>
        <w:t xml:space="preserve"> </w:t>
      </w:r>
      <w:r w:rsidR="0021254D" w:rsidRPr="00AB5F89">
        <w:rPr>
          <w:rFonts w:asciiTheme="minorHAnsi" w:hAnsiTheme="minorHAnsi" w:cstheme="minorHAnsi"/>
          <w:i/>
        </w:rPr>
        <w:t>of</w:t>
      </w:r>
      <w:r w:rsidR="00360A0A" w:rsidRPr="00AB5F89">
        <w:rPr>
          <w:rFonts w:asciiTheme="minorHAnsi" w:hAnsiTheme="minorHAnsi" w:cstheme="minorHAnsi"/>
          <w:i/>
        </w:rPr>
        <w:t xml:space="preserve"> </w:t>
      </w:r>
      <w:r w:rsidR="0021254D" w:rsidRPr="00AB5F89">
        <w:rPr>
          <w:rFonts w:asciiTheme="minorHAnsi" w:hAnsiTheme="minorHAnsi" w:cstheme="minorHAnsi"/>
          <w:i/>
        </w:rPr>
        <w:t>the</w:t>
      </w:r>
      <w:r w:rsidR="00360A0A" w:rsidRPr="00AB5F89">
        <w:rPr>
          <w:rFonts w:asciiTheme="minorHAnsi" w:hAnsiTheme="minorHAnsi" w:cstheme="minorHAnsi"/>
          <w:i/>
        </w:rPr>
        <w:t xml:space="preserve"> </w:t>
      </w:r>
      <w:r w:rsidR="0021254D" w:rsidRPr="00AB5F89">
        <w:rPr>
          <w:rFonts w:asciiTheme="minorHAnsi" w:hAnsiTheme="minorHAnsi" w:cstheme="minorHAnsi"/>
          <w:i/>
        </w:rPr>
        <w:t>Secretary</w:t>
      </w:r>
      <w:r w:rsidR="00360A0A" w:rsidRPr="00AB5F89">
        <w:rPr>
          <w:rFonts w:asciiTheme="minorHAnsi" w:hAnsiTheme="minorHAnsi" w:cstheme="minorHAnsi"/>
          <w:i/>
        </w:rPr>
        <w:t xml:space="preserve"> </w:t>
      </w:r>
      <w:r w:rsidR="0021254D" w:rsidRPr="00AB5F89">
        <w:rPr>
          <w:rFonts w:asciiTheme="minorHAnsi" w:hAnsiTheme="minorHAnsi" w:cstheme="minorHAnsi"/>
          <w:i/>
        </w:rPr>
        <w:t>General</w:t>
      </w:r>
      <w:r w:rsidR="00360A0A" w:rsidRPr="00FD77A8">
        <w:rPr>
          <w:rFonts w:asciiTheme="minorHAnsi" w:hAnsiTheme="minorHAnsi" w:cstheme="minorHAnsi"/>
        </w:rPr>
        <w:t xml:space="preserve"> </w:t>
      </w:r>
      <w:r w:rsidR="00420614" w:rsidRPr="00FD77A8">
        <w:rPr>
          <w:rFonts w:asciiTheme="minorHAnsi" w:hAnsiTheme="minorHAnsi" w:cstheme="minorHAnsi"/>
        </w:rPr>
        <w:t>to</w:t>
      </w:r>
      <w:r w:rsidR="00360A0A" w:rsidRPr="00FD77A8">
        <w:rPr>
          <w:rFonts w:asciiTheme="minorHAnsi" w:hAnsiTheme="minorHAnsi" w:cstheme="minorHAnsi"/>
        </w:rPr>
        <w:t xml:space="preserve"> </w:t>
      </w:r>
      <w:r w:rsidR="00420614" w:rsidRPr="00FD77A8">
        <w:rPr>
          <w:rFonts w:asciiTheme="minorHAnsi" w:hAnsiTheme="minorHAnsi" w:cstheme="minorHAnsi"/>
        </w:rPr>
        <w:t>the</w:t>
      </w:r>
      <w:r w:rsidR="00360A0A" w:rsidRPr="00FD77A8">
        <w:rPr>
          <w:rFonts w:asciiTheme="minorHAnsi" w:hAnsiTheme="minorHAnsi" w:cstheme="minorHAnsi"/>
        </w:rPr>
        <w:t xml:space="preserve"> </w:t>
      </w:r>
      <w:r w:rsidR="00420614" w:rsidRPr="00FD77A8">
        <w:rPr>
          <w:rFonts w:asciiTheme="minorHAnsi" w:hAnsiTheme="minorHAnsi" w:cstheme="minorHAnsi"/>
        </w:rPr>
        <w:t>5</w:t>
      </w:r>
      <w:r w:rsidR="00D249C2" w:rsidRPr="00FD77A8">
        <w:rPr>
          <w:rFonts w:asciiTheme="minorHAnsi" w:hAnsiTheme="minorHAnsi" w:cstheme="minorHAnsi"/>
        </w:rPr>
        <w:t>8</w:t>
      </w:r>
      <w:r w:rsidR="00420614" w:rsidRPr="00FD77A8">
        <w:rPr>
          <w:rFonts w:asciiTheme="minorHAnsi" w:hAnsiTheme="minorHAnsi" w:cstheme="minorHAnsi"/>
        </w:rPr>
        <w:t>th</w:t>
      </w:r>
      <w:r w:rsidR="00360A0A" w:rsidRPr="00FD77A8">
        <w:rPr>
          <w:rFonts w:asciiTheme="minorHAnsi" w:hAnsiTheme="minorHAnsi" w:cstheme="minorHAnsi"/>
        </w:rPr>
        <w:t xml:space="preserve"> </w:t>
      </w:r>
      <w:r w:rsidR="00420614" w:rsidRPr="00FD77A8">
        <w:rPr>
          <w:rFonts w:asciiTheme="minorHAnsi" w:hAnsiTheme="minorHAnsi" w:cstheme="minorHAnsi"/>
        </w:rPr>
        <w:t>meeting</w:t>
      </w:r>
      <w:r w:rsidR="00360A0A" w:rsidRPr="00FD77A8">
        <w:rPr>
          <w:rFonts w:asciiTheme="minorHAnsi" w:hAnsiTheme="minorHAnsi" w:cstheme="minorHAnsi"/>
        </w:rPr>
        <w:t xml:space="preserve"> </w:t>
      </w:r>
      <w:r w:rsidR="00420614" w:rsidRPr="00FD77A8">
        <w:rPr>
          <w:rFonts w:asciiTheme="minorHAnsi" w:hAnsiTheme="minorHAnsi" w:cstheme="minorHAnsi"/>
        </w:rPr>
        <w:t>of</w:t>
      </w:r>
      <w:r w:rsidR="00360A0A" w:rsidRPr="00FD77A8">
        <w:rPr>
          <w:rFonts w:asciiTheme="minorHAnsi" w:hAnsiTheme="minorHAnsi" w:cstheme="minorHAnsi"/>
        </w:rPr>
        <w:t xml:space="preserve"> </w:t>
      </w:r>
      <w:r w:rsidR="00420614" w:rsidRPr="00FD77A8">
        <w:rPr>
          <w:rFonts w:asciiTheme="minorHAnsi" w:hAnsiTheme="minorHAnsi" w:cstheme="minorHAnsi"/>
        </w:rPr>
        <w:t>the</w:t>
      </w:r>
      <w:r w:rsidR="00360A0A" w:rsidRPr="00FD77A8">
        <w:rPr>
          <w:rFonts w:asciiTheme="minorHAnsi" w:hAnsiTheme="minorHAnsi" w:cstheme="minorHAnsi"/>
        </w:rPr>
        <w:t xml:space="preserve"> </w:t>
      </w:r>
      <w:r w:rsidR="00420614" w:rsidRPr="00FD77A8">
        <w:rPr>
          <w:rFonts w:asciiTheme="minorHAnsi" w:hAnsiTheme="minorHAnsi" w:cstheme="minorHAnsi"/>
        </w:rPr>
        <w:t>Standing</w:t>
      </w:r>
      <w:r w:rsidR="00360A0A" w:rsidRPr="00FD77A8">
        <w:rPr>
          <w:rFonts w:asciiTheme="minorHAnsi" w:hAnsiTheme="minorHAnsi" w:cstheme="minorHAnsi"/>
        </w:rPr>
        <w:t xml:space="preserve"> </w:t>
      </w:r>
      <w:r w:rsidR="00420614" w:rsidRPr="00FD77A8">
        <w:rPr>
          <w:rFonts w:asciiTheme="minorHAnsi" w:hAnsiTheme="minorHAnsi" w:cstheme="minorHAnsi"/>
        </w:rPr>
        <w:t>Committee</w:t>
      </w:r>
      <w:r w:rsidR="00360A0A" w:rsidRPr="00FD77A8">
        <w:rPr>
          <w:rFonts w:asciiTheme="minorHAnsi" w:hAnsiTheme="minorHAnsi" w:cstheme="minorHAnsi"/>
        </w:rPr>
        <w:t xml:space="preserve"> </w:t>
      </w:r>
      <w:r w:rsidR="00420614" w:rsidRPr="00FD77A8">
        <w:rPr>
          <w:rFonts w:asciiTheme="minorHAnsi" w:hAnsiTheme="minorHAnsi" w:cstheme="minorHAnsi"/>
        </w:rPr>
        <w:t>(SC5</w:t>
      </w:r>
      <w:r w:rsidR="00D249C2" w:rsidRPr="00FD77A8">
        <w:rPr>
          <w:rFonts w:asciiTheme="minorHAnsi" w:hAnsiTheme="minorHAnsi" w:cstheme="minorHAnsi"/>
        </w:rPr>
        <w:t>8</w:t>
      </w:r>
      <w:r w:rsidR="00420614" w:rsidRPr="00FD77A8">
        <w:rPr>
          <w:rFonts w:asciiTheme="minorHAnsi" w:hAnsiTheme="minorHAnsi" w:cstheme="minorHAnsi"/>
        </w:rPr>
        <w:t>)</w:t>
      </w:r>
      <w:r w:rsidR="00360A0A" w:rsidRPr="00FD77A8">
        <w:rPr>
          <w:rFonts w:asciiTheme="minorHAnsi" w:hAnsiTheme="minorHAnsi" w:cstheme="minorHAnsi"/>
        </w:rPr>
        <w:t xml:space="preserve"> </w:t>
      </w:r>
      <w:r w:rsidR="00AB236F" w:rsidRPr="00FD77A8">
        <w:rPr>
          <w:rFonts w:asciiTheme="minorHAnsi" w:hAnsiTheme="minorHAnsi" w:cstheme="minorHAnsi"/>
        </w:rPr>
        <w:t>on</w:t>
      </w:r>
      <w:r w:rsidR="00360A0A" w:rsidRPr="00FD77A8">
        <w:rPr>
          <w:rFonts w:asciiTheme="minorHAnsi" w:hAnsiTheme="minorHAnsi" w:cstheme="minorHAnsi"/>
        </w:rPr>
        <w:t xml:space="preserve"> </w:t>
      </w:r>
      <w:r w:rsidR="00D249C2" w:rsidRPr="00FD77A8">
        <w:rPr>
          <w:rFonts w:asciiTheme="minorHAnsi" w:hAnsiTheme="minorHAnsi" w:cstheme="minorHAnsi"/>
        </w:rPr>
        <w:t>30 March</w:t>
      </w:r>
      <w:r w:rsidR="00360A0A" w:rsidRPr="00FD77A8">
        <w:rPr>
          <w:rFonts w:asciiTheme="minorHAnsi" w:hAnsiTheme="minorHAnsi" w:cstheme="minorHAnsi"/>
        </w:rPr>
        <w:t xml:space="preserve"> </w:t>
      </w:r>
      <w:r w:rsidR="00373DFF" w:rsidRPr="00FD77A8">
        <w:rPr>
          <w:rFonts w:asciiTheme="minorHAnsi" w:hAnsiTheme="minorHAnsi" w:cstheme="minorHAnsi"/>
        </w:rPr>
        <w:t>20</w:t>
      </w:r>
      <w:r w:rsidR="00D249C2" w:rsidRPr="00FD77A8">
        <w:rPr>
          <w:rFonts w:asciiTheme="minorHAnsi" w:hAnsiTheme="minorHAnsi" w:cstheme="minorHAnsi"/>
        </w:rPr>
        <w:t>20</w:t>
      </w:r>
      <w:r w:rsidR="00F1152F" w:rsidRPr="00FD77A8">
        <w:rPr>
          <w:rFonts w:asciiTheme="minorHAnsi" w:hAnsiTheme="minorHAnsi" w:cstheme="minorHAnsi"/>
        </w:rPr>
        <w:t>,</w:t>
      </w:r>
      <w:r w:rsidR="00360A0A" w:rsidRPr="00FD77A8">
        <w:rPr>
          <w:rFonts w:asciiTheme="minorHAnsi" w:hAnsiTheme="minorHAnsi" w:cstheme="minorHAnsi"/>
        </w:rPr>
        <w:t xml:space="preserve"> </w:t>
      </w:r>
      <w:r w:rsidR="00373DFF" w:rsidRPr="00FD77A8">
        <w:rPr>
          <w:rFonts w:asciiTheme="minorHAnsi" w:hAnsiTheme="minorHAnsi" w:cstheme="minorHAnsi"/>
        </w:rPr>
        <w:t>through</w:t>
      </w:r>
      <w:r w:rsidR="00360A0A" w:rsidRPr="00FD77A8">
        <w:rPr>
          <w:rFonts w:asciiTheme="minorHAnsi" w:hAnsiTheme="minorHAnsi" w:cstheme="minorHAnsi"/>
        </w:rPr>
        <w:t xml:space="preserve"> to </w:t>
      </w:r>
      <w:r w:rsidR="00A10856" w:rsidRPr="00FD77A8">
        <w:rPr>
          <w:rFonts w:asciiTheme="minorHAnsi" w:hAnsiTheme="minorHAnsi" w:cstheme="minorHAnsi"/>
        </w:rPr>
        <w:t>3</w:t>
      </w:r>
      <w:r w:rsidR="00D249C2" w:rsidRPr="00FD77A8">
        <w:rPr>
          <w:rFonts w:asciiTheme="minorHAnsi" w:hAnsiTheme="minorHAnsi" w:cstheme="minorHAnsi"/>
        </w:rPr>
        <w:t>0</w:t>
      </w:r>
      <w:r w:rsidR="00360A0A" w:rsidRPr="00FD77A8">
        <w:rPr>
          <w:rFonts w:asciiTheme="minorHAnsi" w:hAnsiTheme="minorHAnsi" w:cstheme="minorHAnsi"/>
        </w:rPr>
        <w:t xml:space="preserve"> </w:t>
      </w:r>
      <w:r w:rsidR="00D249C2" w:rsidRPr="00FD77A8">
        <w:rPr>
          <w:rFonts w:asciiTheme="minorHAnsi" w:hAnsiTheme="minorHAnsi" w:cstheme="minorHAnsi"/>
        </w:rPr>
        <w:t>April</w:t>
      </w:r>
      <w:r w:rsidR="00360A0A" w:rsidRPr="00FD77A8">
        <w:rPr>
          <w:rFonts w:asciiTheme="minorHAnsi" w:hAnsiTheme="minorHAnsi" w:cstheme="minorHAnsi"/>
        </w:rPr>
        <w:t xml:space="preserve"> </w:t>
      </w:r>
      <w:r w:rsidR="00373DFF" w:rsidRPr="00FD77A8">
        <w:rPr>
          <w:rFonts w:asciiTheme="minorHAnsi" w:hAnsiTheme="minorHAnsi" w:cstheme="minorHAnsi"/>
        </w:rPr>
        <w:t>202</w:t>
      </w:r>
      <w:r w:rsidR="00D249C2" w:rsidRPr="00FD77A8">
        <w:rPr>
          <w:rFonts w:asciiTheme="minorHAnsi" w:hAnsiTheme="minorHAnsi" w:cstheme="minorHAnsi"/>
        </w:rPr>
        <w:t>1</w:t>
      </w:r>
      <w:r w:rsidR="00703D9A" w:rsidRPr="00FD77A8">
        <w:rPr>
          <w:rFonts w:asciiTheme="minorHAnsi" w:hAnsiTheme="minorHAnsi" w:cstheme="minorHAnsi"/>
        </w:rPr>
        <w:t xml:space="preserve">. </w:t>
      </w:r>
      <w:r w:rsidR="00013A89">
        <w:rPr>
          <w:rFonts w:asciiTheme="minorHAnsi" w:hAnsiTheme="minorHAnsi" w:cstheme="minorHAnsi"/>
        </w:rPr>
        <w:t>It</w:t>
      </w:r>
      <w:r w:rsidR="00360A0A" w:rsidRPr="00FD77A8">
        <w:rPr>
          <w:rFonts w:asciiTheme="minorHAnsi" w:hAnsiTheme="minorHAnsi" w:cstheme="minorHAnsi"/>
        </w:rPr>
        <w:t xml:space="preserve"> </w:t>
      </w:r>
      <w:r w:rsidR="00624345" w:rsidRPr="00FD77A8">
        <w:rPr>
          <w:rFonts w:asciiTheme="minorHAnsi" w:hAnsiTheme="minorHAnsi" w:cstheme="minorHAnsi"/>
        </w:rPr>
        <w:t>provides</w:t>
      </w:r>
      <w:r w:rsidR="00360A0A" w:rsidRPr="00FD77A8">
        <w:rPr>
          <w:rFonts w:asciiTheme="minorHAnsi" w:hAnsiTheme="minorHAnsi" w:cstheme="minorHAnsi"/>
        </w:rPr>
        <w:t xml:space="preserve"> </w:t>
      </w:r>
      <w:r w:rsidR="00624345" w:rsidRPr="00FD77A8">
        <w:rPr>
          <w:rFonts w:asciiTheme="minorHAnsi" w:hAnsiTheme="minorHAnsi" w:cstheme="minorHAnsi"/>
        </w:rPr>
        <w:t>both</w:t>
      </w:r>
      <w:r w:rsidR="00360A0A" w:rsidRPr="00FD77A8">
        <w:rPr>
          <w:rFonts w:asciiTheme="minorHAnsi" w:hAnsiTheme="minorHAnsi" w:cstheme="minorHAnsi"/>
        </w:rPr>
        <w:t xml:space="preserve"> </w:t>
      </w:r>
      <w:r w:rsidR="00624345" w:rsidRPr="00FD77A8">
        <w:rPr>
          <w:rFonts w:asciiTheme="minorHAnsi" w:hAnsiTheme="minorHAnsi" w:cstheme="minorHAnsi"/>
        </w:rPr>
        <w:t>an</w:t>
      </w:r>
      <w:r w:rsidR="00360A0A" w:rsidRPr="00FD77A8">
        <w:rPr>
          <w:rFonts w:asciiTheme="minorHAnsi" w:hAnsiTheme="minorHAnsi" w:cstheme="minorHAnsi"/>
        </w:rPr>
        <w:t xml:space="preserve"> </w:t>
      </w:r>
      <w:r w:rsidR="00624345" w:rsidRPr="00FD77A8">
        <w:rPr>
          <w:rFonts w:asciiTheme="minorHAnsi" w:hAnsiTheme="minorHAnsi" w:cstheme="minorHAnsi"/>
        </w:rPr>
        <w:t>overview</w:t>
      </w:r>
      <w:r w:rsidR="00360A0A" w:rsidRPr="00FD77A8">
        <w:rPr>
          <w:rFonts w:asciiTheme="minorHAnsi" w:hAnsiTheme="minorHAnsi" w:cstheme="minorHAnsi"/>
        </w:rPr>
        <w:t xml:space="preserve"> </w:t>
      </w:r>
      <w:r w:rsidR="00624345" w:rsidRPr="00FD77A8">
        <w:rPr>
          <w:rFonts w:asciiTheme="minorHAnsi" w:hAnsiTheme="minorHAnsi" w:cstheme="minorHAnsi"/>
        </w:rPr>
        <w:t>and</w:t>
      </w:r>
      <w:r w:rsidR="00360A0A" w:rsidRPr="00FD77A8">
        <w:rPr>
          <w:rFonts w:asciiTheme="minorHAnsi" w:hAnsiTheme="minorHAnsi" w:cstheme="minorHAnsi"/>
        </w:rPr>
        <w:t xml:space="preserve"> </w:t>
      </w:r>
      <w:r w:rsidR="00624345" w:rsidRPr="00FD77A8">
        <w:rPr>
          <w:rFonts w:asciiTheme="minorHAnsi" w:hAnsiTheme="minorHAnsi" w:cstheme="minorHAnsi"/>
        </w:rPr>
        <w:t>selected</w:t>
      </w:r>
      <w:r w:rsidR="00360A0A" w:rsidRPr="00FD77A8">
        <w:rPr>
          <w:rFonts w:asciiTheme="minorHAnsi" w:hAnsiTheme="minorHAnsi" w:cstheme="minorHAnsi"/>
        </w:rPr>
        <w:t xml:space="preserve"> </w:t>
      </w:r>
      <w:r w:rsidR="00624345" w:rsidRPr="00FD77A8">
        <w:rPr>
          <w:rFonts w:asciiTheme="minorHAnsi" w:hAnsiTheme="minorHAnsi" w:cstheme="minorHAnsi"/>
        </w:rPr>
        <w:t>highlights</w:t>
      </w:r>
      <w:r w:rsidR="00360A0A" w:rsidRPr="00FD77A8">
        <w:rPr>
          <w:rFonts w:asciiTheme="minorHAnsi" w:hAnsiTheme="minorHAnsi" w:cstheme="minorHAnsi"/>
        </w:rPr>
        <w:t xml:space="preserve"> </w:t>
      </w:r>
      <w:r w:rsidR="00624345" w:rsidRPr="00FD77A8">
        <w:rPr>
          <w:rFonts w:asciiTheme="minorHAnsi" w:hAnsiTheme="minorHAnsi" w:cstheme="minorHAnsi"/>
        </w:rPr>
        <w:t>of</w:t>
      </w:r>
      <w:r w:rsidR="00360A0A" w:rsidRPr="00FD77A8">
        <w:rPr>
          <w:rFonts w:asciiTheme="minorHAnsi" w:hAnsiTheme="minorHAnsi" w:cstheme="minorHAnsi"/>
        </w:rPr>
        <w:t xml:space="preserve"> </w:t>
      </w:r>
      <w:r w:rsidR="00624345" w:rsidRPr="00FD77A8">
        <w:rPr>
          <w:rFonts w:asciiTheme="minorHAnsi" w:hAnsiTheme="minorHAnsi" w:cstheme="minorHAnsi"/>
        </w:rPr>
        <w:t>the</w:t>
      </w:r>
      <w:r w:rsidR="00360A0A" w:rsidRPr="00FD77A8">
        <w:rPr>
          <w:rFonts w:asciiTheme="minorHAnsi" w:hAnsiTheme="minorHAnsi" w:cstheme="minorHAnsi"/>
        </w:rPr>
        <w:t xml:space="preserve"> </w:t>
      </w:r>
      <w:r w:rsidR="00624345" w:rsidRPr="00FD77A8">
        <w:rPr>
          <w:rFonts w:asciiTheme="minorHAnsi" w:hAnsiTheme="minorHAnsi" w:cstheme="minorHAnsi"/>
        </w:rPr>
        <w:t>work</w:t>
      </w:r>
      <w:r w:rsidR="00360A0A" w:rsidRPr="00FD77A8">
        <w:rPr>
          <w:rFonts w:asciiTheme="minorHAnsi" w:hAnsiTheme="minorHAnsi" w:cstheme="minorHAnsi"/>
        </w:rPr>
        <w:t xml:space="preserve"> </w:t>
      </w:r>
      <w:r w:rsidR="00624345" w:rsidRPr="00FD77A8">
        <w:rPr>
          <w:rFonts w:asciiTheme="minorHAnsi" w:hAnsiTheme="minorHAnsi" w:cstheme="minorHAnsi"/>
        </w:rPr>
        <w:t>completed</w:t>
      </w:r>
      <w:r w:rsidR="00360A0A" w:rsidRPr="00FD77A8">
        <w:rPr>
          <w:rFonts w:asciiTheme="minorHAnsi" w:hAnsiTheme="minorHAnsi" w:cstheme="minorHAnsi"/>
        </w:rPr>
        <w:t xml:space="preserve"> </w:t>
      </w:r>
      <w:r w:rsidR="00624345" w:rsidRPr="00FD77A8">
        <w:rPr>
          <w:rFonts w:asciiTheme="minorHAnsi" w:hAnsiTheme="minorHAnsi" w:cstheme="minorHAnsi"/>
        </w:rPr>
        <w:t>during</w:t>
      </w:r>
      <w:r w:rsidR="00360A0A" w:rsidRPr="00FD77A8">
        <w:rPr>
          <w:rFonts w:asciiTheme="minorHAnsi" w:hAnsiTheme="minorHAnsi" w:cstheme="minorHAnsi"/>
        </w:rPr>
        <w:t xml:space="preserve"> </w:t>
      </w:r>
      <w:r w:rsidR="00624345" w:rsidRPr="00FD77A8">
        <w:rPr>
          <w:rFonts w:asciiTheme="minorHAnsi" w:hAnsiTheme="minorHAnsi" w:cstheme="minorHAnsi"/>
        </w:rPr>
        <w:t>this</w:t>
      </w:r>
      <w:r w:rsidR="00360A0A" w:rsidRPr="00FD77A8">
        <w:rPr>
          <w:rFonts w:asciiTheme="minorHAnsi" w:hAnsiTheme="minorHAnsi" w:cstheme="minorHAnsi"/>
        </w:rPr>
        <w:t xml:space="preserve"> </w:t>
      </w:r>
      <w:r w:rsidR="00624345" w:rsidRPr="00FD77A8">
        <w:rPr>
          <w:rFonts w:asciiTheme="minorHAnsi" w:hAnsiTheme="minorHAnsi" w:cstheme="minorHAnsi"/>
        </w:rPr>
        <w:t>period.</w:t>
      </w:r>
      <w:r w:rsidR="00360A0A" w:rsidRPr="00FD77A8">
        <w:rPr>
          <w:rFonts w:asciiTheme="minorHAnsi" w:hAnsiTheme="minorHAnsi" w:cstheme="minorHAnsi"/>
        </w:rPr>
        <w:t xml:space="preserve"> </w:t>
      </w:r>
      <w:r w:rsidR="00AF074F" w:rsidRPr="00FD77A8">
        <w:rPr>
          <w:rFonts w:asciiTheme="minorHAnsi" w:hAnsiTheme="minorHAnsi" w:cstheme="minorHAnsi"/>
        </w:rPr>
        <w:t>Given that the S</w:t>
      </w:r>
      <w:r w:rsidR="00013A89">
        <w:rPr>
          <w:rFonts w:asciiTheme="minorHAnsi" w:hAnsiTheme="minorHAnsi" w:cstheme="minorHAnsi"/>
        </w:rPr>
        <w:t xml:space="preserve">tanding </w:t>
      </w:r>
      <w:r w:rsidR="00AF074F" w:rsidRPr="00FD77A8">
        <w:rPr>
          <w:rFonts w:asciiTheme="minorHAnsi" w:hAnsiTheme="minorHAnsi" w:cstheme="minorHAnsi"/>
        </w:rPr>
        <w:t>C</w:t>
      </w:r>
      <w:r w:rsidR="00013A89">
        <w:rPr>
          <w:rFonts w:asciiTheme="minorHAnsi" w:hAnsiTheme="minorHAnsi" w:cstheme="minorHAnsi"/>
        </w:rPr>
        <w:t>ommittee</w:t>
      </w:r>
      <w:r w:rsidR="00AF074F" w:rsidRPr="00FD77A8">
        <w:rPr>
          <w:rFonts w:asciiTheme="minorHAnsi" w:hAnsiTheme="minorHAnsi" w:cstheme="minorHAnsi"/>
        </w:rPr>
        <w:t xml:space="preserve"> could not consider the </w:t>
      </w:r>
      <w:r w:rsidR="00BC0809">
        <w:rPr>
          <w:rFonts w:asciiTheme="minorHAnsi" w:hAnsiTheme="minorHAnsi" w:cstheme="minorHAnsi"/>
        </w:rPr>
        <w:t xml:space="preserve">earlier report at </w:t>
      </w:r>
      <w:r w:rsidR="00013A89">
        <w:rPr>
          <w:rFonts w:asciiTheme="minorHAnsi" w:hAnsiTheme="minorHAnsi" w:cstheme="minorHAnsi"/>
        </w:rPr>
        <w:t>SC58</w:t>
      </w:r>
      <w:r w:rsidR="00BC0809">
        <w:rPr>
          <w:rFonts w:asciiTheme="minorHAnsi" w:hAnsiTheme="minorHAnsi" w:cstheme="minorHAnsi"/>
        </w:rPr>
        <w:t>,</w:t>
      </w:r>
      <w:r w:rsidR="00AF074F" w:rsidRPr="00FD77A8">
        <w:rPr>
          <w:rFonts w:asciiTheme="minorHAnsi" w:hAnsiTheme="minorHAnsi" w:cstheme="minorHAnsi"/>
        </w:rPr>
        <w:t xml:space="preserve"> it is asked to also note that report, published as document SC58 Doc.6</w:t>
      </w:r>
      <w:r w:rsidR="002722DC">
        <w:rPr>
          <w:rStyle w:val="FootnoteReference"/>
          <w:rFonts w:asciiTheme="minorHAnsi" w:hAnsiTheme="minorHAnsi" w:cstheme="minorHAnsi"/>
        </w:rPr>
        <w:footnoteReference w:id="1"/>
      </w:r>
      <w:r w:rsidR="00AF074F" w:rsidRPr="00FD77A8">
        <w:rPr>
          <w:rFonts w:asciiTheme="minorHAnsi" w:hAnsiTheme="minorHAnsi" w:cstheme="minorHAnsi"/>
        </w:rPr>
        <w:t>.</w:t>
      </w:r>
    </w:p>
    <w:p w14:paraId="3EC4C5C0" w14:textId="77777777" w:rsidR="00DD0A59" w:rsidRPr="00360A0A" w:rsidRDefault="00DD0A59" w:rsidP="00623F05">
      <w:pPr>
        <w:rPr>
          <w:rFonts w:asciiTheme="minorHAnsi" w:hAnsiTheme="minorHAnsi" w:cstheme="minorHAnsi"/>
        </w:rPr>
      </w:pPr>
    </w:p>
    <w:p w14:paraId="1DE32E1E" w14:textId="25B89D3F" w:rsidR="00015D7B" w:rsidRPr="00360A0A" w:rsidRDefault="00664D04" w:rsidP="00623F05">
      <w:pPr>
        <w:rPr>
          <w:rFonts w:asciiTheme="minorHAnsi" w:hAnsiTheme="minorHAnsi" w:cstheme="minorHAnsi"/>
        </w:rPr>
      </w:pPr>
      <w:r w:rsidRPr="00360A0A">
        <w:rPr>
          <w:rFonts w:asciiTheme="minorHAnsi" w:hAnsiTheme="minorHAnsi" w:cstheme="minorHAnsi"/>
        </w:rPr>
        <w:t>2.</w:t>
      </w:r>
      <w:r w:rsidRPr="00360A0A">
        <w:rPr>
          <w:rFonts w:asciiTheme="minorHAnsi" w:hAnsiTheme="minorHAnsi" w:cstheme="minorHAnsi"/>
        </w:rPr>
        <w:tab/>
      </w:r>
      <w:r w:rsidR="00373DFF" w:rsidRPr="00360A0A">
        <w:rPr>
          <w:rFonts w:asciiTheme="minorHAnsi" w:hAnsiTheme="minorHAnsi" w:cstheme="minorHAnsi"/>
        </w:rPr>
        <w:t>This</w:t>
      </w:r>
      <w:r w:rsidR="00360A0A" w:rsidRPr="00360A0A">
        <w:rPr>
          <w:rFonts w:asciiTheme="minorHAnsi" w:hAnsiTheme="minorHAnsi" w:cstheme="minorHAnsi"/>
        </w:rPr>
        <w:t xml:space="preserve"> </w:t>
      </w:r>
      <w:r w:rsidR="00373DFF" w:rsidRPr="00360A0A">
        <w:rPr>
          <w:rFonts w:asciiTheme="minorHAnsi" w:hAnsiTheme="minorHAnsi" w:cstheme="minorHAnsi"/>
        </w:rPr>
        <w:t>past</w:t>
      </w:r>
      <w:r w:rsidR="00360A0A" w:rsidRPr="00360A0A">
        <w:rPr>
          <w:rFonts w:asciiTheme="minorHAnsi" w:hAnsiTheme="minorHAnsi" w:cstheme="minorHAnsi"/>
        </w:rPr>
        <w:t xml:space="preserve"> </w:t>
      </w:r>
      <w:r w:rsidR="00373DFF" w:rsidRPr="00360A0A">
        <w:rPr>
          <w:rFonts w:asciiTheme="minorHAnsi" w:hAnsiTheme="minorHAnsi" w:cstheme="minorHAnsi"/>
        </w:rPr>
        <w:t>year</w:t>
      </w:r>
      <w:r w:rsidR="00AA1D45">
        <w:rPr>
          <w:rFonts w:asciiTheme="minorHAnsi" w:hAnsiTheme="minorHAnsi" w:cstheme="minorHAnsi"/>
        </w:rPr>
        <w:t xml:space="preserve"> </w:t>
      </w:r>
      <w:r w:rsidR="0054481A" w:rsidRPr="00360A0A">
        <w:rPr>
          <w:rFonts w:asciiTheme="minorHAnsi" w:hAnsiTheme="minorHAnsi" w:cstheme="minorHAnsi"/>
        </w:rPr>
        <w:t>has</w:t>
      </w:r>
      <w:r w:rsidR="00360A0A" w:rsidRPr="00360A0A">
        <w:rPr>
          <w:rFonts w:asciiTheme="minorHAnsi" w:hAnsiTheme="minorHAnsi" w:cstheme="minorHAnsi"/>
        </w:rPr>
        <w:t xml:space="preserve"> </w:t>
      </w:r>
      <w:r w:rsidR="0054481A" w:rsidRPr="00360A0A">
        <w:rPr>
          <w:rFonts w:asciiTheme="minorHAnsi" w:hAnsiTheme="minorHAnsi" w:cstheme="minorHAnsi"/>
        </w:rPr>
        <w:t>been</w:t>
      </w:r>
      <w:r w:rsidR="00360A0A" w:rsidRPr="00360A0A">
        <w:rPr>
          <w:rFonts w:asciiTheme="minorHAnsi" w:hAnsiTheme="minorHAnsi" w:cstheme="minorHAnsi"/>
        </w:rPr>
        <w:t xml:space="preserve"> </w:t>
      </w:r>
      <w:r w:rsidR="00AF074F">
        <w:rPr>
          <w:rFonts w:asciiTheme="minorHAnsi" w:hAnsiTheme="minorHAnsi" w:cstheme="minorHAnsi"/>
        </w:rPr>
        <w:t xml:space="preserve">marked by the COVID-19 pandemic which affected the lives of people across the world. The pandemic also had implications on the operations of the Convention, including travel restrictions resulting in the cancellation of face-to-face meetings of its governing and subsidiary bodies, </w:t>
      </w:r>
      <w:r w:rsidR="00E64EDF">
        <w:rPr>
          <w:rFonts w:asciiTheme="minorHAnsi" w:hAnsiTheme="minorHAnsi" w:cstheme="minorHAnsi"/>
        </w:rPr>
        <w:t>and in limitations to implement</w:t>
      </w:r>
      <w:r w:rsidR="002722DC">
        <w:rPr>
          <w:rFonts w:asciiTheme="minorHAnsi" w:hAnsiTheme="minorHAnsi" w:cstheme="minorHAnsi"/>
        </w:rPr>
        <w:t>ation of</w:t>
      </w:r>
      <w:r w:rsidR="00E64EDF">
        <w:rPr>
          <w:rFonts w:asciiTheme="minorHAnsi" w:hAnsiTheme="minorHAnsi" w:cstheme="minorHAnsi"/>
        </w:rPr>
        <w:t xml:space="preserve"> its provisions by </w:t>
      </w:r>
      <w:r w:rsidR="002722DC">
        <w:rPr>
          <w:rFonts w:asciiTheme="minorHAnsi" w:hAnsiTheme="minorHAnsi" w:cstheme="minorHAnsi"/>
        </w:rPr>
        <w:t xml:space="preserve">Contracting </w:t>
      </w:r>
      <w:r w:rsidR="00E64EDF">
        <w:rPr>
          <w:rFonts w:asciiTheme="minorHAnsi" w:hAnsiTheme="minorHAnsi" w:cstheme="minorHAnsi"/>
        </w:rPr>
        <w:t>Parties and the Secretariat.</w:t>
      </w:r>
      <w:r w:rsidR="00013A89">
        <w:rPr>
          <w:rFonts w:asciiTheme="minorHAnsi" w:hAnsiTheme="minorHAnsi" w:cstheme="minorHAnsi"/>
        </w:rPr>
        <w:t xml:space="preserve"> </w:t>
      </w:r>
      <w:r w:rsidR="00E64EDF" w:rsidRPr="00E64EDF">
        <w:rPr>
          <w:rFonts w:asciiTheme="minorHAnsi" w:hAnsiTheme="minorHAnsi" w:cstheme="minorHAnsi"/>
        </w:rPr>
        <w:t xml:space="preserve">Still, </w:t>
      </w:r>
      <w:r w:rsidR="00D94795">
        <w:rPr>
          <w:rFonts w:asciiTheme="minorHAnsi" w:hAnsiTheme="minorHAnsi" w:cstheme="minorHAnsi"/>
        </w:rPr>
        <w:t xml:space="preserve">considerable </w:t>
      </w:r>
      <w:r w:rsidR="00E64EDF" w:rsidRPr="00E64EDF">
        <w:rPr>
          <w:rFonts w:asciiTheme="minorHAnsi" w:hAnsiTheme="minorHAnsi" w:cstheme="minorHAnsi"/>
        </w:rPr>
        <w:t xml:space="preserve">action continued to be taken by </w:t>
      </w:r>
      <w:r w:rsidR="0054481A" w:rsidRPr="00E64EDF">
        <w:rPr>
          <w:rFonts w:asciiTheme="minorHAnsi" w:hAnsiTheme="minorHAnsi" w:cstheme="minorHAnsi"/>
        </w:rPr>
        <w:t>both</w:t>
      </w:r>
      <w:r w:rsidR="00360A0A" w:rsidRPr="00E64EDF">
        <w:rPr>
          <w:rFonts w:asciiTheme="minorHAnsi" w:hAnsiTheme="minorHAnsi" w:cstheme="minorHAnsi"/>
        </w:rPr>
        <w:t xml:space="preserve"> </w:t>
      </w:r>
      <w:r w:rsidR="00420614" w:rsidRPr="00E64EDF">
        <w:rPr>
          <w:rFonts w:asciiTheme="minorHAnsi" w:hAnsiTheme="minorHAnsi" w:cstheme="minorHAnsi"/>
        </w:rPr>
        <w:t>Contracting</w:t>
      </w:r>
      <w:r w:rsidR="00360A0A" w:rsidRPr="00E64EDF">
        <w:rPr>
          <w:rFonts w:asciiTheme="minorHAnsi" w:hAnsiTheme="minorHAnsi" w:cstheme="minorHAnsi"/>
        </w:rPr>
        <w:t xml:space="preserve"> </w:t>
      </w:r>
      <w:r w:rsidR="00373DFF" w:rsidRPr="00E64EDF">
        <w:rPr>
          <w:rFonts w:asciiTheme="minorHAnsi" w:hAnsiTheme="minorHAnsi" w:cstheme="minorHAnsi"/>
        </w:rPr>
        <w:t>Parties</w:t>
      </w:r>
      <w:r w:rsidR="00360A0A" w:rsidRPr="00E64EDF">
        <w:rPr>
          <w:rFonts w:asciiTheme="minorHAnsi" w:hAnsiTheme="minorHAnsi" w:cstheme="minorHAnsi"/>
        </w:rPr>
        <w:t xml:space="preserve"> </w:t>
      </w:r>
      <w:r w:rsidR="00373DFF" w:rsidRPr="00E64EDF">
        <w:rPr>
          <w:rFonts w:asciiTheme="minorHAnsi" w:hAnsiTheme="minorHAnsi" w:cstheme="minorHAnsi"/>
        </w:rPr>
        <w:t>and</w:t>
      </w:r>
      <w:r w:rsidR="00360A0A" w:rsidRPr="00E64EDF">
        <w:rPr>
          <w:rFonts w:asciiTheme="minorHAnsi" w:hAnsiTheme="minorHAnsi" w:cstheme="minorHAnsi"/>
        </w:rPr>
        <w:t xml:space="preserve"> </w:t>
      </w:r>
      <w:r w:rsidR="00373DFF" w:rsidRPr="00E64EDF">
        <w:rPr>
          <w:rFonts w:asciiTheme="minorHAnsi" w:hAnsiTheme="minorHAnsi" w:cstheme="minorHAnsi"/>
        </w:rPr>
        <w:t>the</w:t>
      </w:r>
      <w:r w:rsidR="00360A0A" w:rsidRPr="00E64EDF">
        <w:rPr>
          <w:rFonts w:asciiTheme="minorHAnsi" w:hAnsiTheme="minorHAnsi" w:cstheme="minorHAnsi"/>
        </w:rPr>
        <w:t xml:space="preserve"> </w:t>
      </w:r>
      <w:r w:rsidR="00373DFF" w:rsidRPr="00E64EDF">
        <w:rPr>
          <w:rFonts w:asciiTheme="minorHAnsi" w:hAnsiTheme="minorHAnsi" w:cstheme="minorHAnsi"/>
        </w:rPr>
        <w:t>Secretariat</w:t>
      </w:r>
      <w:r w:rsidR="00360A0A" w:rsidRPr="00E64EDF">
        <w:rPr>
          <w:rFonts w:asciiTheme="minorHAnsi" w:hAnsiTheme="minorHAnsi" w:cstheme="minorHAnsi"/>
        </w:rPr>
        <w:t xml:space="preserve"> </w:t>
      </w:r>
      <w:r w:rsidR="00373DFF" w:rsidRPr="00E64EDF">
        <w:rPr>
          <w:rFonts w:asciiTheme="minorHAnsi" w:hAnsiTheme="minorHAnsi" w:cstheme="minorHAnsi"/>
        </w:rPr>
        <w:t>to</w:t>
      </w:r>
      <w:r w:rsidR="00360A0A" w:rsidRPr="00E64EDF">
        <w:rPr>
          <w:rFonts w:asciiTheme="minorHAnsi" w:hAnsiTheme="minorHAnsi" w:cstheme="minorHAnsi"/>
        </w:rPr>
        <w:t xml:space="preserve"> </w:t>
      </w:r>
      <w:r w:rsidR="00373DFF" w:rsidRPr="00E64EDF">
        <w:rPr>
          <w:rFonts w:asciiTheme="minorHAnsi" w:hAnsiTheme="minorHAnsi" w:cstheme="minorHAnsi"/>
        </w:rPr>
        <w:t>implement</w:t>
      </w:r>
      <w:r w:rsidR="00360A0A" w:rsidRPr="00E64EDF">
        <w:rPr>
          <w:rFonts w:asciiTheme="minorHAnsi" w:hAnsiTheme="minorHAnsi" w:cstheme="minorHAnsi"/>
        </w:rPr>
        <w:t xml:space="preserve"> </w:t>
      </w:r>
      <w:r w:rsidR="00373DFF" w:rsidRPr="00E64EDF">
        <w:rPr>
          <w:rFonts w:asciiTheme="minorHAnsi" w:hAnsiTheme="minorHAnsi" w:cstheme="minorHAnsi"/>
        </w:rPr>
        <w:t>the</w:t>
      </w:r>
      <w:r w:rsidR="00360A0A" w:rsidRPr="00E64EDF">
        <w:rPr>
          <w:rFonts w:asciiTheme="minorHAnsi" w:hAnsiTheme="minorHAnsi" w:cstheme="minorHAnsi"/>
        </w:rPr>
        <w:t xml:space="preserve"> </w:t>
      </w:r>
      <w:r w:rsidR="00373DFF" w:rsidRPr="00E64EDF">
        <w:rPr>
          <w:rFonts w:asciiTheme="minorHAnsi" w:hAnsiTheme="minorHAnsi" w:cstheme="minorHAnsi"/>
        </w:rPr>
        <w:t>decisions</w:t>
      </w:r>
      <w:r w:rsidR="00360A0A" w:rsidRPr="00E64EDF">
        <w:rPr>
          <w:rFonts w:asciiTheme="minorHAnsi" w:hAnsiTheme="minorHAnsi" w:cstheme="minorHAnsi"/>
        </w:rPr>
        <w:t xml:space="preserve"> </w:t>
      </w:r>
      <w:r w:rsidR="00373DFF" w:rsidRPr="00E64EDF">
        <w:rPr>
          <w:rFonts w:asciiTheme="minorHAnsi" w:hAnsiTheme="minorHAnsi" w:cstheme="minorHAnsi"/>
        </w:rPr>
        <w:t>taken</w:t>
      </w:r>
      <w:r w:rsidR="00360A0A" w:rsidRPr="00E64EDF">
        <w:rPr>
          <w:rFonts w:asciiTheme="minorHAnsi" w:hAnsiTheme="minorHAnsi" w:cstheme="minorHAnsi"/>
        </w:rPr>
        <w:t xml:space="preserve"> </w:t>
      </w:r>
      <w:r w:rsidR="00373DFF" w:rsidRPr="00E64EDF">
        <w:rPr>
          <w:rFonts w:asciiTheme="minorHAnsi" w:hAnsiTheme="minorHAnsi" w:cstheme="minorHAnsi"/>
        </w:rPr>
        <w:t>at</w:t>
      </w:r>
      <w:r w:rsidR="00360A0A" w:rsidRPr="00E64EDF">
        <w:rPr>
          <w:rFonts w:asciiTheme="minorHAnsi" w:hAnsiTheme="minorHAnsi" w:cstheme="minorHAnsi"/>
        </w:rPr>
        <w:t xml:space="preserve"> </w:t>
      </w:r>
      <w:r w:rsidR="00420614" w:rsidRPr="00E64EDF">
        <w:rPr>
          <w:rFonts w:asciiTheme="minorHAnsi" w:hAnsiTheme="minorHAnsi" w:cstheme="minorHAnsi"/>
        </w:rPr>
        <w:t>the</w:t>
      </w:r>
      <w:r w:rsidR="00360A0A" w:rsidRPr="00E64EDF">
        <w:rPr>
          <w:rFonts w:asciiTheme="minorHAnsi" w:hAnsiTheme="minorHAnsi" w:cstheme="minorHAnsi"/>
        </w:rPr>
        <w:t xml:space="preserve"> </w:t>
      </w:r>
      <w:r w:rsidR="00420614" w:rsidRPr="00E64EDF">
        <w:rPr>
          <w:rFonts w:asciiTheme="minorHAnsi" w:hAnsiTheme="minorHAnsi" w:cstheme="minorHAnsi"/>
        </w:rPr>
        <w:t>13th</w:t>
      </w:r>
      <w:r w:rsidR="00360A0A" w:rsidRPr="00E64EDF">
        <w:rPr>
          <w:rFonts w:asciiTheme="minorHAnsi" w:hAnsiTheme="minorHAnsi" w:cstheme="minorHAnsi"/>
        </w:rPr>
        <w:t xml:space="preserve"> </w:t>
      </w:r>
      <w:r w:rsidR="00420614" w:rsidRPr="00E64EDF">
        <w:rPr>
          <w:rFonts w:asciiTheme="minorHAnsi" w:hAnsiTheme="minorHAnsi" w:cstheme="minorHAnsi"/>
        </w:rPr>
        <w:t>meeting</w:t>
      </w:r>
      <w:r w:rsidR="00360A0A" w:rsidRPr="00E64EDF">
        <w:rPr>
          <w:rFonts w:asciiTheme="minorHAnsi" w:hAnsiTheme="minorHAnsi" w:cstheme="minorHAnsi"/>
        </w:rPr>
        <w:t xml:space="preserve"> </w:t>
      </w:r>
      <w:r w:rsidR="00420614" w:rsidRPr="00E64EDF">
        <w:rPr>
          <w:rFonts w:asciiTheme="minorHAnsi" w:hAnsiTheme="minorHAnsi" w:cstheme="minorHAnsi"/>
        </w:rPr>
        <w:t>of</w:t>
      </w:r>
      <w:r w:rsidR="00360A0A" w:rsidRPr="00E64EDF">
        <w:rPr>
          <w:rFonts w:asciiTheme="minorHAnsi" w:hAnsiTheme="minorHAnsi" w:cstheme="minorHAnsi"/>
        </w:rPr>
        <w:t xml:space="preserve"> </w:t>
      </w:r>
      <w:r w:rsidR="00420614" w:rsidRPr="00E64EDF">
        <w:rPr>
          <w:rFonts w:asciiTheme="minorHAnsi" w:hAnsiTheme="minorHAnsi" w:cstheme="minorHAnsi"/>
        </w:rPr>
        <w:t>the</w:t>
      </w:r>
      <w:r w:rsidR="00360A0A" w:rsidRPr="00E64EDF">
        <w:rPr>
          <w:rFonts w:asciiTheme="minorHAnsi" w:hAnsiTheme="minorHAnsi" w:cstheme="minorHAnsi"/>
        </w:rPr>
        <w:t xml:space="preserve"> </w:t>
      </w:r>
      <w:r w:rsidR="00420614" w:rsidRPr="00E64EDF">
        <w:rPr>
          <w:rFonts w:asciiTheme="minorHAnsi" w:hAnsiTheme="minorHAnsi" w:cstheme="minorHAnsi"/>
        </w:rPr>
        <w:t>Conference</w:t>
      </w:r>
      <w:r w:rsidR="00360A0A" w:rsidRPr="00E64EDF">
        <w:rPr>
          <w:rFonts w:asciiTheme="minorHAnsi" w:hAnsiTheme="minorHAnsi" w:cstheme="minorHAnsi"/>
        </w:rPr>
        <w:t xml:space="preserve"> </w:t>
      </w:r>
      <w:r w:rsidR="00420614" w:rsidRPr="00E64EDF">
        <w:rPr>
          <w:rFonts w:asciiTheme="minorHAnsi" w:hAnsiTheme="minorHAnsi" w:cstheme="minorHAnsi"/>
        </w:rPr>
        <w:t>of</w:t>
      </w:r>
      <w:r w:rsidR="00360A0A" w:rsidRPr="00E64EDF">
        <w:rPr>
          <w:rFonts w:asciiTheme="minorHAnsi" w:hAnsiTheme="minorHAnsi" w:cstheme="minorHAnsi"/>
        </w:rPr>
        <w:t xml:space="preserve"> </w:t>
      </w:r>
      <w:r w:rsidR="00420614" w:rsidRPr="00E64EDF">
        <w:rPr>
          <w:rFonts w:asciiTheme="minorHAnsi" w:hAnsiTheme="minorHAnsi" w:cstheme="minorHAnsi"/>
        </w:rPr>
        <w:t>the</w:t>
      </w:r>
      <w:r w:rsidR="00360A0A" w:rsidRPr="00E64EDF">
        <w:rPr>
          <w:rFonts w:asciiTheme="minorHAnsi" w:hAnsiTheme="minorHAnsi" w:cstheme="minorHAnsi"/>
        </w:rPr>
        <w:t xml:space="preserve"> </w:t>
      </w:r>
      <w:r w:rsidR="00420614" w:rsidRPr="00E64EDF">
        <w:rPr>
          <w:rFonts w:asciiTheme="minorHAnsi" w:hAnsiTheme="minorHAnsi" w:cstheme="minorHAnsi"/>
        </w:rPr>
        <w:t>Contracting</w:t>
      </w:r>
      <w:r w:rsidR="00360A0A" w:rsidRPr="00E64EDF">
        <w:rPr>
          <w:rFonts w:asciiTheme="minorHAnsi" w:hAnsiTheme="minorHAnsi" w:cstheme="minorHAnsi"/>
        </w:rPr>
        <w:t xml:space="preserve"> </w:t>
      </w:r>
      <w:r w:rsidR="00420614" w:rsidRPr="00E64EDF">
        <w:rPr>
          <w:rFonts w:asciiTheme="minorHAnsi" w:hAnsiTheme="minorHAnsi" w:cstheme="minorHAnsi"/>
        </w:rPr>
        <w:t>Parties</w:t>
      </w:r>
      <w:r w:rsidR="00360A0A" w:rsidRPr="00E64EDF">
        <w:rPr>
          <w:rFonts w:asciiTheme="minorHAnsi" w:hAnsiTheme="minorHAnsi" w:cstheme="minorHAnsi"/>
        </w:rPr>
        <w:t xml:space="preserve"> </w:t>
      </w:r>
      <w:r w:rsidR="00420614" w:rsidRPr="00E64EDF">
        <w:rPr>
          <w:rFonts w:asciiTheme="minorHAnsi" w:hAnsiTheme="minorHAnsi" w:cstheme="minorHAnsi"/>
        </w:rPr>
        <w:t>(</w:t>
      </w:r>
      <w:r w:rsidR="00373DFF" w:rsidRPr="00E64EDF">
        <w:rPr>
          <w:rFonts w:asciiTheme="minorHAnsi" w:hAnsiTheme="minorHAnsi" w:cstheme="minorHAnsi"/>
        </w:rPr>
        <w:t>COP13</w:t>
      </w:r>
      <w:r w:rsidR="00420614" w:rsidRPr="00E64EDF">
        <w:rPr>
          <w:rFonts w:asciiTheme="minorHAnsi" w:hAnsiTheme="minorHAnsi" w:cstheme="minorHAnsi"/>
        </w:rPr>
        <w:t>)</w:t>
      </w:r>
      <w:r w:rsidR="00360A0A" w:rsidRPr="00E64EDF">
        <w:rPr>
          <w:rFonts w:asciiTheme="minorHAnsi" w:hAnsiTheme="minorHAnsi" w:cstheme="minorHAnsi"/>
        </w:rPr>
        <w:t xml:space="preserve"> </w:t>
      </w:r>
      <w:r w:rsidR="008346DF" w:rsidRPr="00E64EDF">
        <w:rPr>
          <w:rFonts w:asciiTheme="minorHAnsi" w:hAnsiTheme="minorHAnsi" w:cstheme="minorHAnsi"/>
        </w:rPr>
        <w:t xml:space="preserve">and </w:t>
      </w:r>
      <w:r w:rsidR="00013A89">
        <w:rPr>
          <w:rFonts w:asciiTheme="minorHAnsi" w:hAnsiTheme="minorHAnsi" w:cstheme="minorHAnsi"/>
        </w:rPr>
        <w:t>at SC57 and SC58,</w:t>
      </w:r>
      <w:r w:rsidR="008346DF" w:rsidRPr="00E64EDF">
        <w:rPr>
          <w:rFonts w:asciiTheme="minorHAnsi" w:hAnsiTheme="minorHAnsi" w:cstheme="minorHAnsi"/>
        </w:rPr>
        <w:t xml:space="preserve"> </w:t>
      </w:r>
      <w:r w:rsidR="00D94795">
        <w:rPr>
          <w:rFonts w:asciiTheme="minorHAnsi" w:hAnsiTheme="minorHAnsi" w:cstheme="minorHAnsi"/>
        </w:rPr>
        <w:t>adapting to</w:t>
      </w:r>
      <w:r w:rsidR="00013A89">
        <w:rPr>
          <w:rFonts w:asciiTheme="minorHAnsi" w:hAnsiTheme="minorHAnsi" w:cstheme="minorHAnsi"/>
        </w:rPr>
        <w:t xml:space="preserve"> </w:t>
      </w:r>
      <w:r w:rsidR="008346DF" w:rsidRPr="00E64EDF">
        <w:rPr>
          <w:rFonts w:asciiTheme="minorHAnsi" w:hAnsiTheme="minorHAnsi" w:cstheme="minorHAnsi"/>
        </w:rPr>
        <w:t xml:space="preserve">the context </w:t>
      </w:r>
      <w:r w:rsidR="00AA1D45" w:rsidRPr="00E64EDF">
        <w:rPr>
          <w:rFonts w:asciiTheme="minorHAnsi" w:hAnsiTheme="minorHAnsi" w:cstheme="minorHAnsi"/>
        </w:rPr>
        <w:t xml:space="preserve">of </w:t>
      </w:r>
      <w:r w:rsidR="00BA0F41" w:rsidRPr="00E64EDF">
        <w:rPr>
          <w:rFonts w:asciiTheme="minorHAnsi" w:hAnsiTheme="minorHAnsi" w:cstheme="minorHAnsi"/>
        </w:rPr>
        <w:t xml:space="preserve">the </w:t>
      </w:r>
      <w:r w:rsidR="00AA1D45" w:rsidRPr="00E64EDF">
        <w:rPr>
          <w:rFonts w:asciiTheme="minorHAnsi" w:hAnsiTheme="minorHAnsi" w:cstheme="minorHAnsi"/>
        </w:rPr>
        <w:t>new working environmen</w:t>
      </w:r>
      <w:r w:rsidR="00BA0F41" w:rsidRPr="00E64EDF">
        <w:rPr>
          <w:rFonts w:asciiTheme="minorHAnsi" w:hAnsiTheme="minorHAnsi" w:cstheme="minorHAnsi"/>
        </w:rPr>
        <w:t>t resulting from the</w:t>
      </w:r>
      <w:r w:rsidR="00AA1D45" w:rsidRPr="00E64EDF">
        <w:rPr>
          <w:rFonts w:asciiTheme="minorHAnsi" w:hAnsiTheme="minorHAnsi" w:cstheme="minorHAnsi"/>
        </w:rPr>
        <w:t xml:space="preserve"> </w:t>
      </w:r>
      <w:r w:rsidR="008346DF" w:rsidRPr="00E64EDF">
        <w:rPr>
          <w:rFonts w:asciiTheme="minorHAnsi" w:hAnsiTheme="minorHAnsi" w:cstheme="minorHAnsi"/>
        </w:rPr>
        <w:t>COVID-19</w:t>
      </w:r>
      <w:r w:rsidR="00BA0F41" w:rsidRPr="00E64EDF">
        <w:rPr>
          <w:rFonts w:asciiTheme="minorHAnsi" w:hAnsiTheme="minorHAnsi" w:cstheme="minorHAnsi"/>
        </w:rPr>
        <w:t xml:space="preserve"> pandemic</w:t>
      </w:r>
      <w:r w:rsidR="0054481A" w:rsidRPr="00E64EDF">
        <w:rPr>
          <w:rFonts w:asciiTheme="minorHAnsi" w:hAnsiTheme="minorHAnsi" w:cstheme="minorHAnsi"/>
        </w:rPr>
        <w:t>.</w:t>
      </w:r>
      <w:r w:rsidR="00360A0A" w:rsidRPr="00E64EDF">
        <w:rPr>
          <w:rFonts w:asciiTheme="minorHAnsi" w:hAnsiTheme="minorHAnsi" w:cstheme="minorHAnsi"/>
        </w:rPr>
        <w:t xml:space="preserve"> </w:t>
      </w:r>
      <w:r w:rsidR="00E64EDF">
        <w:rPr>
          <w:rFonts w:asciiTheme="minorHAnsi" w:hAnsiTheme="minorHAnsi" w:cstheme="minorHAnsi"/>
        </w:rPr>
        <w:t>From the Secretariat</w:t>
      </w:r>
      <w:r w:rsidR="001C2C01">
        <w:rPr>
          <w:rFonts w:asciiTheme="minorHAnsi" w:hAnsiTheme="minorHAnsi" w:cstheme="minorHAnsi"/>
        </w:rPr>
        <w:t>’</w:t>
      </w:r>
      <w:r w:rsidR="00013A89">
        <w:rPr>
          <w:rFonts w:asciiTheme="minorHAnsi" w:hAnsiTheme="minorHAnsi" w:cstheme="minorHAnsi"/>
        </w:rPr>
        <w:t>s</w:t>
      </w:r>
      <w:r w:rsidR="00E64EDF">
        <w:rPr>
          <w:rFonts w:asciiTheme="minorHAnsi" w:hAnsiTheme="minorHAnsi" w:cstheme="minorHAnsi"/>
        </w:rPr>
        <w:t xml:space="preserve"> perspective,</w:t>
      </w:r>
      <w:r w:rsidR="005E00E3">
        <w:rPr>
          <w:rFonts w:asciiTheme="minorHAnsi" w:hAnsiTheme="minorHAnsi" w:cstheme="minorHAnsi"/>
        </w:rPr>
        <w:t xml:space="preserve"> a</w:t>
      </w:r>
      <w:r w:rsidR="005E00E3" w:rsidRPr="005E00E3">
        <w:rPr>
          <w:rFonts w:asciiTheme="minorHAnsi" w:hAnsiTheme="minorHAnsi" w:cstheme="minorHAnsi"/>
        </w:rPr>
        <w:t xml:space="preserve">ctions were taken to enable staff to quickly and effectively work from home. </w:t>
      </w:r>
      <w:r w:rsidR="00BA0F41">
        <w:rPr>
          <w:rFonts w:asciiTheme="minorHAnsi" w:hAnsiTheme="minorHAnsi" w:cstheme="minorHAnsi"/>
        </w:rPr>
        <w:t xml:space="preserve">Previous efforts to strengthen IT infrastructure and train staff on </w:t>
      </w:r>
      <w:r w:rsidR="000B2F00">
        <w:rPr>
          <w:rFonts w:asciiTheme="minorHAnsi" w:hAnsiTheme="minorHAnsi" w:cstheme="minorHAnsi"/>
        </w:rPr>
        <w:t>the utilization of online tools</w:t>
      </w:r>
      <w:r w:rsidR="005E00E3" w:rsidRPr="005E00E3">
        <w:rPr>
          <w:rFonts w:asciiTheme="minorHAnsi" w:hAnsiTheme="minorHAnsi" w:cstheme="minorHAnsi"/>
        </w:rPr>
        <w:t xml:space="preserve"> allowed </w:t>
      </w:r>
      <w:r w:rsidR="00BA0F41">
        <w:rPr>
          <w:rFonts w:asciiTheme="minorHAnsi" w:hAnsiTheme="minorHAnsi" w:cstheme="minorHAnsi"/>
        </w:rPr>
        <w:t>the Secretariat</w:t>
      </w:r>
      <w:r w:rsidR="005E00E3" w:rsidRPr="005E00E3">
        <w:rPr>
          <w:rFonts w:asciiTheme="minorHAnsi" w:hAnsiTheme="minorHAnsi" w:cstheme="minorHAnsi"/>
        </w:rPr>
        <w:t xml:space="preserve"> to work in a coordinated and effective manner despite working remotely. The Secretariat embraced new technologies to</w:t>
      </w:r>
      <w:r w:rsidR="00013A89">
        <w:rPr>
          <w:rFonts w:asciiTheme="minorHAnsi" w:hAnsiTheme="minorHAnsi" w:cstheme="minorHAnsi"/>
        </w:rPr>
        <w:t xml:space="preserve"> </w:t>
      </w:r>
      <w:r w:rsidR="00E64EDF">
        <w:rPr>
          <w:rFonts w:asciiTheme="minorHAnsi" w:hAnsiTheme="minorHAnsi" w:cstheme="minorHAnsi"/>
        </w:rPr>
        <w:t>support</w:t>
      </w:r>
      <w:r w:rsidR="00013A89">
        <w:rPr>
          <w:rFonts w:asciiTheme="minorHAnsi" w:hAnsiTheme="minorHAnsi" w:cstheme="minorHAnsi"/>
        </w:rPr>
        <w:t xml:space="preserve"> </w:t>
      </w:r>
      <w:r w:rsidR="005E00E3" w:rsidRPr="005E00E3">
        <w:rPr>
          <w:rFonts w:asciiTheme="minorHAnsi" w:hAnsiTheme="minorHAnsi" w:cstheme="minorHAnsi"/>
        </w:rPr>
        <w:t>the work of Contracting Parties</w:t>
      </w:r>
      <w:r w:rsidR="00B83E79">
        <w:rPr>
          <w:rFonts w:asciiTheme="minorHAnsi" w:hAnsiTheme="minorHAnsi" w:cstheme="minorHAnsi"/>
        </w:rPr>
        <w:t xml:space="preserve"> </w:t>
      </w:r>
      <w:r w:rsidR="00FF4392">
        <w:rPr>
          <w:rFonts w:asciiTheme="minorHAnsi" w:hAnsiTheme="minorHAnsi" w:cstheme="minorHAnsi"/>
        </w:rPr>
        <w:t>including for their processes of decision making.</w:t>
      </w:r>
      <w:r w:rsidR="00013A89">
        <w:rPr>
          <w:rFonts w:asciiTheme="minorHAnsi" w:hAnsiTheme="minorHAnsi" w:cstheme="minorHAnsi"/>
        </w:rPr>
        <w:t xml:space="preserve"> </w:t>
      </w:r>
      <w:r w:rsidR="008346DF">
        <w:rPr>
          <w:rFonts w:asciiTheme="minorHAnsi" w:hAnsiTheme="minorHAnsi" w:cstheme="minorHAnsi"/>
        </w:rPr>
        <w:t>Despite the challenges presented by COVID-19,</w:t>
      </w:r>
      <w:r w:rsidR="00AA1D45">
        <w:rPr>
          <w:rFonts w:asciiTheme="minorHAnsi" w:hAnsiTheme="minorHAnsi" w:cstheme="minorHAnsi"/>
        </w:rPr>
        <w:t xml:space="preserve"> </w:t>
      </w:r>
      <w:r w:rsidR="008346DF">
        <w:rPr>
          <w:rFonts w:asciiTheme="minorHAnsi" w:hAnsiTheme="minorHAnsi" w:cstheme="minorHAnsi"/>
        </w:rPr>
        <w:t>t</w:t>
      </w:r>
      <w:r w:rsidR="00624345" w:rsidRPr="00360A0A">
        <w:rPr>
          <w:rFonts w:asciiTheme="minorHAnsi" w:hAnsiTheme="minorHAnsi" w:cstheme="minorHAnsi"/>
        </w:rPr>
        <w:t>he</w:t>
      </w:r>
      <w:r w:rsidR="00360A0A" w:rsidRPr="00360A0A">
        <w:rPr>
          <w:rFonts w:asciiTheme="minorHAnsi" w:hAnsiTheme="minorHAnsi" w:cstheme="minorHAnsi"/>
        </w:rPr>
        <w:t xml:space="preserve"> </w:t>
      </w:r>
      <w:r w:rsidR="00624345" w:rsidRPr="00360A0A">
        <w:rPr>
          <w:rFonts w:asciiTheme="minorHAnsi" w:hAnsiTheme="minorHAnsi" w:cstheme="minorHAnsi"/>
        </w:rPr>
        <w:t>Secretariat</w:t>
      </w:r>
      <w:r w:rsidR="00360A0A" w:rsidRPr="00360A0A">
        <w:rPr>
          <w:rFonts w:asciiTheme="minorHAnsi" w:hAnsiTheme="minorHAnsi" w:cstheme="minorHAnsi"/>
        </w:rPr>
        <w:t xml:space="preserve"> </w:t>
      </w:r>
      <w:r w:rsidR="00624345" w:rsidRPr="00360A0A">
        <w:rPr>
          <w:rFonts w:asciiTheme="minorHAnsi" w:hAnsiTheme="minorHAnsi" w:cstheme="minorHAnsi"/>
        </w:rPr>
        <w:t>continues</w:t>
      </w:r>
      <w:r w:rsidR="00360A0A" w:rsidRPr="00360A0A">
        <w:rPr>
          <w:rFonts w:asciiTheme="minorHAnsi" w:hAnsiTheme="minorHAnsi" w:cstheme="minorHAnsi"/>
        </w:rPr>
        <w:t xml:space="preserve"> </w:t>
      </w:r>
      <w:r w:rsidR="00624345" w:rsidRPr="00360A0A">
        <w:rPr>
          <w:rFonts w:asciiTheme="minorHAnsi" w:hAnsiTheme="minorHAnsi" w:cstheme="minorHAnsi"/>
        </w:rPr>
        <w:t>its</w:t>
      </w:r>
      <w:r w:rsidR="00360A0A" w:rsidRPr="00360A0A">
        <w:rPr>
          <w:rFonts w:asciiTheme="minorHAnsi" w:hAnsiTheme="minorHAnsi" w:cstheme="minorHAnsi"/>
        </w:rPr>
        <w:t xml:space="preserve"> </w:t>
      </w:r>
      <w:r w:rsidR="00624345" w:rsidRPr="00360A0A">
        <w:rPr>
          <w:rFonts w:asciiTheme="minorHAnsi" w:hAnsiTheme="minorHAnsi" w:cstheme="minorHAnsi"/>
        </w:rPr>
        <w:t>commitment</w:t>
      </w:r>
      <w:r w:rsidR="00360A0A" w:rsidRPr="00360A0A">
        <w:rPr>
          <w:rFonts w:asciiTheme="minorHAnsi" w:hAnsiTheme="minorHAnsi" w:cstheme="minorHAnsi"/>
        </w:rPr>
        <w:t xml:space="preserve"> </w:t>
      </w:r>
      <w:r w:rsidR="00624345"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strengthen</w:t>
      </w:r>
      <w:r w:rsidR="00360A0A" w:rsidRPr="00360A0A">
        <w:rPr>
          <w:rFonts w:asciiTheme="minorHAnsi" w:hAnsiTheme="minorHAnsi" w:cstheme="minorHAnsi"/>
        </w:rPr>
        <w:t xml:space="preserve"> </w:t>
      </w:r>
      <w:r w:rsidR="00624345" w:rsidRPr="00360A0A">
        <w:rPr>
          <w:rFonts w:asciiTheme="minorHAnsi" w:hAnsiTheme="minorHAnsi" w:cstheme="minorHAnsi"/>
        </w:rPr>
        <w:t>its</w:t>
      </w:r>
      <w:r w:rsidR="00360A0A" w:rsidRPr="00360A0A">
        <w:rPr>
          <w:rFonts w:asciiTheme="minorHAnsi" w:hAnsiTheme="minorHAnsi" w:cstheme="minorHAnsi"/>
        </w:rPr>
        <w:t xml:space="preserve"> </w:t>
      </w:r>
      <w:r w:rsidR="00624345" w:rsidRPr="00360A0A">
        <w:rPr>
          <w:rFonts w:asciiTheme="minorHAnsi" w:hAnsiTheme="minorHAnsi" w:cstheme="minorHAnsi"/>
        </w:rPr>
        <w:t>work</w:t>
      </w:r>
      <w:r w:rsidR="00360A0A" w:rsidRPr="00360A0A">
        <w:rPr>
          <w:rFonts w:asciiTheme="minorHAnsi" w:hAnsiTheme="minorHAnsi" w:cstheme="minorHAnsi"/>
        </w:rPr>
        <w:t xml:space="preserve"> </w:t>
      </w:r>
      <w:r w:rsidR="00624345"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effectively</w:t>
      </w:r>
      <w:r w:rsidR="00360A0A" w:rsidRPr="00360A0A">
        <w:rPr>
          <w:rFonts w:asciiTheme="minorHAnsi" w:hAnsiTheme="minorHAnsi" w:cstheme="minorHAnsi"/>
        </w:rPr>
        <w:t xml:space="preserve"> </w:t>
      </w:r>
      <w:r w:rsidR="00624345" w:rsidRPr="00360A0A">
        <w:rPr>
          <w:rFonts w:asciiTheme="minorHAnsi" w:hAnsiTheme="minorHAnsi" w:cstheme="minorHAnsi"/>
        </w:rPr>
        <w:t>deliver</w:t>
      </w:r>
      <w:r w:rsidR="00360A0A" w:rsidRPr="00360A0A">
        <w:rPr>
          <w:rFonts w:asciiTheme="minorHAnsi" w:hAnsiTheme="minorHAnsi" w:cstheme="minorHAnsi"/>
        </w:rPr>
        <w:t xml:space="preserve"> </w:t>
      </w:r>
      <w:r w:rsidR="00AA1D45">
        <w:rPr>
          <w:rFonts w:asciiTheme="minorHAnsi" w:hAnsiTheme="minorHAnsi" w:cstheme="minorHAnsi"/>
        </w:rPr>
        <w:t xml:space="preserve">on </w:t>
      </w:r>
      <w:r w:rsidR="00624345" w:rsidRPr="00360A0A">
        <w:rPr>
          <w:rFonts w:asciiTheme="minorHAnsi" w:hAnsiTheme="minorHAnsi" w:cstheme="minorHAnsi"/>
        </w:rPr>
        <w:t>its</w:t>
      </w:r>
      <w:r w:rsidR="00360A0A" w:rsidRPr="00360A0A">
        <w:rPr>
          <w:rFonts w:asciiTheme="minorHAnsi" w:hAnsiTheme="minorHAnsi" w:cstheme="minorHAnsi"/>
        </w:rPr>
        <w:t xml:space="preserve"> </w:t>
      </w:r>
      <w:r w:rsidR="00624345" w:rsidRPr="00360A0A">
        <w:rPr>
          <w:rFonts w:asciiTheme="minorHAnsi" w:hAnsiTheme="minorHAnsi" w:cstheme="minorHAnsi"/>
        </w:rPr>
        <w:t>mandate</w:t>
      </w:r>
      <w:r w:rsidR="00360A0A" w:rsidRPr="00360A0A">
        <w:rPr>
          <w:rFonts w:asciiTheme="minorHAnsi" w:hAnsiTheme="minorHAnsi" w:cstheme="minorHAnsi"/>
        </w:rPr>
        <w:t xml:space="preserve"> </w:t>
      </w:r>
      <w:r w:rsidR="00624345" w:rsidRPr="00360A0A">
        <w:rPr>
          <w:rFonts w:asciiTheme="minorHAnsi" w:hAnsiTheme="minorHAnsi" w:cstheme="minorHAnsi"/>
        </w:rPr>
        <w:t>specified</w:t>
      </w:r>
      <w:r w:rsidR="00360A0A" w:rsidRPr="00360A0A">
        <w:rPr>
          <w:rFonts w:asciiTheme="minorHAnsi" w:hAnsiTheme="minorHAnsi" w:cstheme="minorHAnsi"/>
        </w:rPr>
        <w:t xml:space="preserve"> </w:t>
      </w:r>
      <w:r w:rsidR="00624345" w:rsidRPr="00360A0A">
        <w:rPr>
          <w:rFonts w:asciiTheme="minorHAnsi" w:hAnsiTheme="minorHAnsi" w:cstheme="minorHAnsi"/>
        </w:rPr>
        <w:t>in</w:t>
      </w:r>
      <w:r w:rsidR="00360A0A" w:rsidRPr="00360A0A">
        <w:rPr>
          <w:rFonts w:asciiTheme="minorHAnsi" w:hAnsiTheme="minorHAnsi" w:cstheme="minorHAnsi"/>
        </w:rPr>
        <w:t xml:space="preserve"> </w:t>
      </w:r>
      <w:r w:rsidR="00624345" w:rsidRPr="00360A0A">
        <w:rPr>
          <w:rFonts w:asciiTheme="minorHAnsi" w:hAnsiTheme="minorHAnsi" w:cstheme="minorHAnsi"/>
        </w:rPr>
        <w:t>Article</w:t>
      </w:r>
      <w:r w:rsidR="00360A0A" w:rsidRPr="00360A0A">
        <w:rPr>
          <w:rFonts w:asciiTheme="minorHAnsi" w:hAnsiTheme="minorHAnsi" w:cstheme="minorHAnsi"/>
        </w:rPr>
        <w:t xml:space="preserve"> </w:t>
      </w:r>
      <w:r w:rsidR="00624345" w:rsidRPr="00360A0A">
        <w:rPr>
          <w:rFonts w:asciiTheme="minorHAnsi" w:hAnsiTheme="minorHAnsi" w:cstheme="minorHAnsi"/>
        </w:rPr>
        <w:t>8</w:t>
      </w:r>
      <w:r w:rsidR="00360A0A" w:rsidRPr="00360A0A">
        <w:rPr>
          <w:rFonts w:asciiTheme="minorHAnsi" w:hAnsiTheme="minorHAnsi" w:cstheme="minorHAnsi"/>
        </w:rPr>
        <w:t xml:space="preserve"> </w:t>
      </w:r>
      <w:r w:rsidR="00624345" w:rsidRPr="00360A0A">
        <w:rPr>
          <w:rFonts w:asciiTheme="minorHAnsi" w:hAnsiTheme="minorHAnsi" w:cstheme="minorHAnsi"/>
        </w:rPr>
        <w:t>of</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Convention,</w:t>
      </w:r>
      <w:r w:rsidR="00360A0A" w:rsidRPr="00360A0A">
        <w:rPr>
          <w:rFonts w:asciiTheme="minorHAnsi" w:hAnsiTheme="minorHAnsi" w:cstheme="minorHAnsi"/>
        </w:rPr>
        <w:t xml:space="preserve"> </w:t>
      </w:r>
      <w:r w:rsidR="00E45830"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implement</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instructions</w:t>
      </w:r>
      <w:r w:rsidR="00360A0A" w:rsidRPr="00360A0A">
        <w:rPr>
          <w:rFonts w:asciiTheme="minorHAnsi" w:hAnsiTheme="minorHAnsi" w:cstheme="minorHAnsi"/>
        </w:rPr>
        <w:t xml:space="preserve"> </w:t>
      </w:r>
      <w:r w:rsidR="00624345" w:rsidRPr="00360A0A">
        <w:rPr>
          <w:rFonts w:asciiTheme="minorHAnsi" w:hAnsiTheme="minorHAnsi" w:cstheme="minorHAnsi"/>
        </w:rPr>
        <w:t>given</w:t>
      </w:r>
      <w:r w:rsidR="00360A0A" w:rsidRPr="00360A0A">
        <w:rPr>
          <w:rFonts w:asciiTheme="minorHAnsi" w:hAnsiTheme="minorHAnsi" w:cstheme="minorHAnsi"/>
        </w:rPr>
        <w:t xml:space="preserve"> </w:t>
      </w:r>
      <w:r w:rsidR="00624345"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it</w:t>
      </w:r>
      <w:r w:rsidR="00360A0A" w:rsidRPr="00360A0A">
        <w:rPr>
          <w:rFonts w:asciiTheme="minorHAnsi" w:hAnsiTheme="minorHAnsi" w:cstheme="minorHAnsi"/>
        </w:rPr>
        <w:t xml:space="preserve"> </w:t>
      </w:r>
      <w:r w:rsidR="00624345" w:rsidRPr="00360A0A">
        <w:rPr>
          <w:rFonts w:asciiTheme="minorHAnsi" w:hAnsiTheme="minorHAnsi" w:cstheme="minorHAnsi"/>
        </w:rPr>
        <w:t>by</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Conference</w:t>
      </w:r>
      <w:r w:rsidR="00360A0A" w:rsidRPr="00360A0A">
        <w:rPr>
          <w:rFonts w:asciiTheme="minorHAnsi" w:hAnsiTheme="minorHAnsi" w:cstheme="minorHAnsi"/>
        </w:rPr>
        <w:t xml:space="preserve"> </w:t>
      </w:r>
      <w:r w:rsidR="00624345" w:rsidRPr="00360A0A">
        <w:rPr>
          <w:rFonts w:asciiTheme="minorHAnsi" w:hAnsiTheme="minorHAnsi" w:cstheme="minorHAnsi"/>
        </w:rPr>
        <w:t>of</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Contracting</w:t>
      </w:r>
      <w:r w:rsidR="00360A0A" w:rsidRPr="00360A0A">
        <w:rPr>
          <w:rFonts w:asciiTheme="minorHAnsi" w:hAnsiTheme="minorHAnsi" w:cstheme="minorHAnsi"/>
        </w:rPr>
        <w:t xml:space="preserve"> </w:t>
      </w:r>
      <w:r w:rsidR="00624345" w:rsidRPr="00360A0A">
        <w:rPr>
          <w:rFonts w:asciiTheme="minorHAnsi" w:hAnsiTheme="minorHAnsi" w:cstheme="minorHAnsi"/>
        </w:rPr>
        <w:t>Parties</w:t>
      </w:r>
      <w:r w:rsidR="00360A0A" w:rsidRPr="00360A0A">
        <w:rPr>
          <w:rFonts w:asciiTheme="minorHAnsi" w:hAnsiTheme="minorHAnsi" w:cstheme="minorHAnsi"/>
        </w:rPr>
        <w:t xml:space="preserve"> </w:t>
      </w:r>
      <w:r w:rsidR="00624345" w:rsidRPr="00360A0A">
        <w:rPr>
          <w:rFonts w:asciiTheme="minorHAnsi" w:hAnsiTheme="minorHAnsi" w:cstheme="minorHAnsi"/>
        </w:rPr>
        <w:t>and</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Standing</w:t>
      </w:r>
      <w:r w:rsidR="00360A0A" w:rsidRPr="00360A0A">
        <w:rPr>
          <w:rFonts w:asciiTheme="minorHAnsi" w:hAnsiTheme="minorHAnsi" w:cstheme="minorHAnsi"/>
        </w:rPr>
        <w:t xml:space="preserve"> </w:t>
      </w:r>
      <w:r w:rsidR="00624345" w:rsidRPr="00360A0A">
        <w:rPr>
          <w:rFonts w:asciiTheme="minorHAnsi" w:hAnsiTheme="minorHAnsi" w:cstheme="minorHAnsi"/>
        </w:rPr>
        <w:t>Committee,</w:t>
      </w:r>
      <w:r w:rsidR="00360A0A" w:rsidRPr="00360A0A">
        <w:rPr>
          <w:rFonts w:asciiTheme="minorHAnsi" w:hAnsiTheme="minorHAnsi" w:cstheme="minorHAnsi"/>
        </w:rPr>
        <w:t xml:space="preserve"> </w:t>
      </w:r>
      <w:r w:rsidR="00624345" w:rsidRPr="00360A0A">
        <w:rPr>
          <w:rFonts w:asciiTheme="minorHAnsi" w:hAnsiTheme="minorHAnsi" w:cstheme="minorHAnsi"/>
        </w:rPr>
        <w:t>and</w:t>
      </w:r>
      <w:r w:rsidR="00360A0A" w:rsidRPr="00360A0A">
        <w:rPr>
          <w:rFonts w:asciiTheme="minorHAnsi" w:hAnsiTheme="minorHAnsi" w:cstheme="minorHAnsi"/>
        </w:rPr>
        <w:t xml:space="preserve"> </w:t>
      </w:r>
      <w:r w:rsidR="00624345"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support</w:t>
      </w:r>
      <w:r w:rsidR="00360A0A" w:rsidRPr="00360A0A">
        <w:rPr>
          <w:rFonts w:asciiTheme="minorHAnsi" w:hAnsiTheme="minorHAnsi" w:cstheme="minorHAnsi"/>
        </w:rPr>
        <w:t xml:space="preserve"> </w:t>
      </w:r>
      <w:r w:rsidR="00624345" w:rsidRPr="00360A0A">
        <w:rPr>
          <w:rFonts w:asciiTheme="minorHAnsi" w:hAnsiTheme="minorHAnsi" w:cstheme="minorHAnsi"/>
        </w:rPr>
        <w:t>Parties</w:t>
      </w:r>
      <w:r w:rsidR="00360A0A" w:rsidRPr="00360A0A">
        <w:rPr>
          <w:rFonts w:asciiTheme="minorHAnsi" w:hAnsiTheme="minorHAnsi" w:cstheme="minorHAnsi"/>
        </w:rPr>
        <w:t xml:space="preserve"> </w:t>
      </w:r>
      <w:r w:rsidR="00624345" w:rsidRPr="00360A0A">
        <w:rPr>
          <w:rFonts w:asciiTheme="minorHAnsi" w:hAnsiTheme="minorHAnsi" w:cstheme="minorHAnsi"/>
        </w:rPr>
        <w:t>to</w:t>
      </w:r>
      <w:r w:rsidR="00360A0A" w:rsidRPr="00360A0A">
        <w:rPr>
          <w:rFonts w:asciiTheme="minorHAnsi" w:hAnsiTheme="minorHAnsi" w:cstheme="minorHAnsi"/>
        </w:rPr>
        <w:t xml:space="preserve"> </w:t>
      </w:r>
      <w:r w:rsidR="00624345" w:rsidRPr="00360A0A">
        <w:rPr>
          <w:rFonts w:asciiTheme="minorHAnsi" w:hAnsiTheme="minorHAnsi" w:cstheme="minorHAnsi"/>
        </w:rPr>
        <w:t>implement</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Strategic</w:t>
      </w:r>
      <w:r w:rsidR="00360A0A" w:rsidRPr="00360A0A">
        <w:rPr>
          <w:rFonts w:asciiTheme="minorHAnsi" w:hAnsiTheme="minorHAnsi" w:cstheme="minorHAnsi"/>
        </w:rPr>
        <w:t xml:space="preserve"> </w:t>
      </w:r>
      <w:r w:rsidR="00624345" w:rsidRPr="00360A0A">
        <w:rPr>
          <w:rFonts w:asciiTheme="minorHAnsi" w:hAnsiTheme="minorHAnsi" w:cstheme="minorHAnsi"/>
        </w:rPr>
        <w:t>Plan</w:t>
      </w:r>
      <w:r w:rsidR="00360A0A" w:rsidRPr="00360A0A">
        <w:rPr>
          <w:rFonts w:asciiTheme="minorHAnsi" w:hAnsiTheme="minorHAnsi" w:cstheme="minorHAnsi"/>
        </w:rPr>
        <w:t xml:space="preserve"> </w:t>
      </w:r>
      <w:r w:rsidR="00624345" w:rsidRPr="00360A0A">
        <w:rPr>
          <w:rFonts w:asciiTheme="minorHAnsi" w:hAnsiTheme="minorHAnsi" w:cstheme="minorHAnsi"/>
        </w:rPr>
        <w:t>of</w:t>
      </w:r>
      <w:r w:rsidR="00360A0A" w:rsidRPr="00360A0A">
        <w:rPr>
          <w:rFonts w:asciiTheme="minorHAnsi" w:hAnsiTheme="minorHAnsi" w:cstheme="minorHAnsi"/>
        </w:rPr>
        <w:t xml:space="preserve"> </w:t>
      </w:r>
      <w:r w:rsidR="00624345" w:rsidRPr="00360A0A">
        <w:rPr>
          <w:rFonts w:asciiTheme="minorHAnsi" w:hAnsiTheme="minorHAnsi" w:cstheme="minorHAnsi"/>
        </w:rPr>
        <w:t>the</w:t>
      </w:r>
      <w:r w:rsidR="00360A0A" w:rsidRPr="00360A0A">
        <w:rPr>
          <w:rFonts w:asciiTheme="minorHAnsi" w:hAnsiTheme="minorHAnsi" w:cstheme="minorHAnsi"/>
        </w:rPr>
        <w:t xml:space="preserve"> </w:t>
      </w:r>
      <w:r w:rsidR="00624345" w:rsidRPr="00360A0A">
        <w:rPr>
          <w:rFonts w:asciiTheme="minorHAnsi" w:hAnsiTheme="minorHAnsi" w:cstheme="minorHAnsi"/>
        </w:rPr>
        <w:t>Convention.</w:t>
      </w:r>
      <w:r w:rsidR="00360A0A" w:rsidRPr="00360A0A">
        <w:rPr>
          <w:rFonts w:asciiTheme="minorHAnsi" w:hAnsiTheme="minorHAnsi" w:cstheme="minorHAnsi"/>
        </w:rPr>
        <w:t xml:space="preserve"> </w:t>
      </w:r>
      <w:r w:rsidR="00A45196" w:rsidRPr="00360A0A">
        <w:rPr>
          <w:rFonts w:asciiTheme="minorHAnsi" w:hAnsiTheme="minorHAnsi" w:cstheme="minorHAnsi"/>
        </w:rPr>
        <w:t>Importantly,</w:t>
      </w:r>
      <w:r w:rsidR="00360A0A" w:rsidRPr="00360A0A">
        <w:rPr>
          <w:rFonts w:asciiTheme="minorHAnsi" w:hAnsiTheme="minorHAnsi" w:cstheme="minorHAnsi"/>
        </w:rPr>
        <w:t xml:space="preserve"> </w:t>
      </w:r>
      <w:r w:rsidR="00A45196" w:rsidRPr="00360A0A">
        <w:rPr>
          <w:rFonts w:asciiTheme="minorHAnsi" w:hAnsiTheme="minorHAnsi" w:cstheme="minorHAnsi"/>
        </w:rPr>
        <w:t>the</w:t>
      </w:r>
      <w:r w:rsidR="00360A0A" w:rsidRPr="00360A0A">
        <w:rPr>
          <w:rFonts w:asciiTheme="minorHAnsi" w:hAnsiTheme="minorHAnsi" w:cstheme="minorHAnsi"/>
        </w:rPr>
        <w:t xml:space="preserve"> </w:t>
      </w:r>
      <w:r w:rsidR="00A45196" w:rsidRPr="00360A0A">
        <w:rPr>
          <w:rFonts w:asciiTheme="minorHAnsi" w:hAnsiTheme="minorHAnsi" w:cstheme="minorHAnsi"/>
        </w:rPr>
        <w:t>Secretariat</w:t>
      </w:r>
      <w:r w:rsidR="00360A0A" w:rsidRPr="00360A0A">
        <w:rPr>
          <w:rFonts w:asciiTheme="minorHAnsi" w:hAnsiTheme="minorHAnsi" w:cstheme="minorHAnsi"/>
        </w:rPr>
        <w:t xml:space="preserve"> </w:t>
      </w:r>
      <w:r w:rsidR="000138C9" w:rsidRPr="00360A0A">
        <w:rPr>
          <w:rFonts w:asciiTheme="minorHAnsi" w:hAnsiTheme="minorHAnsi" w:cstheme="minorHAnsi"/>
        </w:rPr>
        <w:t>is</w:t>
      </w:r>
      <w:r w:rsidR="00360A0A" w:rsidRPr="00360A0A">
        <w:rPr>
          <w:rFonts w:asciiTheme="minorHAnsi" w:hAnsiTheme="minorHAnsi" w:cstheme="minorHAnsi"/>
        </w:rPr>
        <w:t xml:space="preserve"> </w:t>
      </w:r>
      <w:r w:rsidR="00A45196" w:rsidRPr="00360A0A">
        <w:rPr>
          <w:rFonts w:asciiTheme="minorHAnsi" w:hAnsiTheme="minorHAnsi" w:cstheme="minorHAnsi"/>
        </w:rPr>
        <w:t>taking</w:t>
      </w:r>
      <w:r w:rsidR="00360A0A" w:rsidRPr="00360A0A">
        <w:rPr>
          <w:rFonts w:asciiTheme="minorHAnsi" w:hAnsiTheme="minorHAnsi" w:cstheme="minorHAnsi"/>
        </w:rPr>
        <w:t xml:space="preserve"> </w:t>
      </w:r>
      <w:r w:rsidR="00A45196" w:rsidRPr="00360A0A">
        <w:rPr>
          <w:rFonts w:asciiTheme="minorHAnsi" w:hAnsiTheme="minorHAnsi" w:cstheme="minorHAnsi"/>
        </w:rPr>
        <w:t>assigned</w:t>
      </w:r>
      <w:r w:rsidR="00360A0A" w:rsidRPr="00360A0A">
        <w:rPr>
          <w:rFonts w:asciiTheme="minorHAnsi" w:hAnsiTheme="minorHAnsi" w:cstheme="minorHAnsi"/>
        </w:rPr>
        <w:t xml:space="preserve"> </w:t>
      </w:r>
      <w:r w:rsidR="00A45196" w:rsidRPr="00360A0A">
        <w:rPr>
          <w:rFonts w:asciiTheme="minorHAnsi" w:hAnsiTheme="minorHAnsi" w:cstheme="minorHAnsi"/>
        </w:rPr>
        <w:t>actions</w:t>
      </w:r>
      <w:r w:rsidR="00360A0A" w:rsidRPr="00360A0A">
        <w:rPr>
          <w:rFonts w:asciiTheme="minorHAnsi" w:hAnsiTheme="minorHAnsi" w:cstheme="minorHAnsi"/>
        </w:rPr>
        <w:t xml:space="preserve"> </w:t>
      </w:r>
      <w:r w:rsidR="00A45196" w:rsidRPr="00360A0A">
        <w:rPr>
          <w:rFonts w:asciiTheme="minorHAnsi" w:hAnsiTheme="minorHAnsi" w:cstheme="minorHAnsi"/>
        </w:rPr>
        <w:t>on</w:t>
      </w:r>
      <w:r w:rsidR="00360A0A" w:rsidRPr="00360A0A">
        <w:rPr>
          <w:rFonts w:asciiTheme="minorHAnsi" w:hAnsiTheme="minorHAnsi" w:cstheme="minorHAnsi"/>
        </w:rPr>
        <w:t xml:space="preserve"> </w:t>
      </w:r>
      <w:r w:rsidR="00A45196" w:rsidRPr="00360A0A">
        <w:rPr>
          <w:rFonts w:asciiTheme="minorHAnsi" w:hAnsiTheme="minorHAnsi" w:cstheme="minorHAnsi"/>
        </w:rPr>
        <w:t>Resolutions</w:t>
      </w:r>
      <w:r w:rsidR="00360A0A" w:rsidRPr="00360A0A">
        <w:rPr>
          <w:rFonts w:asciiTheme="minorHAnsi" w:hAnsiTheme="minorHAnsi" w:cstheme="minorHAnsi"/>
        </w:rPr>
        <w:t xml:space="preserve"> </w:t>
      </w:r>
      <w:r w:rsidR="00A45196" w:rsidRPr="00360A0A">
        <w:rPr>
          <w:rFonts w:asciiTheme="minorHAnsi" w:hAnsiTheme="minorHAnsi" w:cstheme="minorHAnsi"/>
        </w:rPr>
        <w:t>adopted</w:t>
      </w:r>
      <w:r w:rsidR="00360A0A" w:rsidRPr="00360A0A">
        <w:rPr>
          <w:rFonts w:asciiTheme="minorHAnsi" w:hAnsiTheme="minorHAnsi" w:cstheme="minorHAnsi"/>
        </w:rPr>
        <w:t xml:space="preserve"> </w:t>
      </w:r>
      <w:r w:rsidR="00A45196" w:rsidRPr="00360A0A">
        <w:rPr>
          <w:rFonts w:asciiTheme="minorHAnsi" w:hAnsiTheme="minorHAnsi" w:cstheme="minorHAnsi"/>
        </w:rPr>
        <w:t>by</w:t>
      </w:r>
      <w:r w:rsidR="00360A0A" w:rsidRPr="00360A0A">
        <w:rPr>
          <w:rFonts w:asciiTheme="minorHAnsi" w:hAnsiTheme="minorHAnsi" w:cstheme="minorHAnsi"/>
        </w:rPr>
        <w:t xml:space="preserve"> </w:t>
      </w:r>
      <w:r w:rsidR="00A45196" w:rsidRPr="00360A0A">
        <w:rPr>
          <w:rFonts w:asciiTheme="minorHAnsi" w:hAnsiTheme="minorHAnsi" w:cstheme="minorHAnsi"/>
        </w:rPr>
        <w:t>COP13</w:t>
      </w:r>
      <w:r w:rsidR="00360A0A" w:rsidRPr="00360A0A">
        <w:rPr>
          <w:rFonts w:asciiTheme="minorHAnsi" w:hAnsiTheme="minorHAnsi" w:cstheme="minorHAnsi"/>
        </w:rPr>
        <w:t xml:space="preserve"> </w:t>
      </w:r>
      <w:r w:rsidR="00420614" w:rsidRPr="00360A0A">
        <w:rPr>
          <w:rFonts w:asciiTheme="minorHAnsi" w:hAnsiTheme="minorHAnsi" w:cstheme="minorHAnsi"/>
        </w:rPr>
        <w:t>and</w:t>
      </w:r>
      <w:r w:rsidR="00360A0A" w:rsidRPr="00360A0A">
        <w:rPr>
          <w:rFonts w:asciiTheme="minorHAnsi" w:hAnsiTheme="minorHAnsi" w:cstheme="minorHAnsi"/>
        </w:rPr>
        <w:t xml:space="preserve"> </w:t>
      </w:r>
      <w:r w:rsidR="00420614" w:rsidRPr="00360A0A">
        <w:rPr>
          <w:rFonts w:asciiTheme="minorHAnsi" w:hAnsiTheme="minorHAnsi" w:cstheme="minorHAnsi"/>
        </w:rPr>
        <w:t>decisions</w:t>
      </w:r>
      <w:r w:rsidR="00360A0A" w:rsidRPr="00360A0A">
        <w:rPr>
          <w:rFonts w:asciiTheme="minorHAnsi" w:hAnsiTheme="minorHAnsi" w:cstheme="minorHAnsi"/>
        </w:rPr>
        <w:t xml:space="preserve"> </w:t>
      </w:r>
      <w:r w:rsidR="00552301">
        <w:rPr>
          <w:rFonts w:asciiTheme="minorHAnsi" w:hAnsiTheme="minorHAnsi" w:cstheme="minorHAnsi"/>
        </w:rPr>
        <w:t>of</w:t>
      </w:r>
      <w:r w:rsidR="00552301" w:rsidRPr="00360A0A">
        <w:rPr>
          <w:rFonts w:asciiTheme="minorHAnsi" w:hAnsiTheme="minorHAnsi" w:cstheme="minorHAnsi"/>
        </w:rPr>
        <w:t xml:space="preserve"> </w:t>
      </w:r>
      <w:r w:rsidR="00420614" w:rsidRPr="00360A0A">
        <w:rPr>
          <w:rFonts w:asciiTheme="minorHAnsi" w:hAnsiTheme="minorHAnsi" w:cstheme="minorHAnsi"/>
        </w:rPr>
        <w:t>SC57</w:t>
      </w:r>
      <w:r w:rsidR="008346DF">
        <w:rPr>
          <w:rFonts w:asciiTheme="minorHAnsi" w:hAnsiTheme="minorHAnsi" w:cstheme="minorHAnsi"/>
        </w:rPr>
        <w:t xml:space="preserve"> and SC58</w:t>
      </w:r>
      <w:r w:rsidR="00360A0A" w:rsidRPr="00360A0A">
        <w:rPr>
          <w:rFonts w:asciiTheme="minorHAnsi" w:hAnsiTheme="minorHAnsi" w:cstheme="minorHAnsi"/>
        </w:rPr>
        <w:t xml:space="preserve"> </w:t>
      </w:r>
      <w:r w:rsidR="000138C9" w:rsidRPr="00360A0A">
        <w:rPr>
          <w:rFonts w:asciiTheme="minorHAnsi" w:hAnsiTheme="minorHAnsi" w:cstheme="minorHAnsi"/>
        </w:rPr>
        <w:t>as</w:t>
      </w:r>
      <w:r w:rsidR="00360A0A" w:rsidRPr="00360A0A">
        <w:rPr>
          <w:rFonts w:asciiTheme="minorHAnsi" w:hAnsiTheme="minorHAnsi" w:cstheme="minorHAnsi"/>
        </w:rPr>
        <w:t xml:space="preserve"> </w:t>
      </w:r>
      <w:r w:rsidR="000138C9" w:rsidRPr="00360A0A">
        <w:rPr>
          <w:rFonts w:asciiTheme="minorHAnsi" w:hAnsiTheme="minorHAnsi" w:cstheme="minorHAnsi"/>
        </w:rPr>
        <w:t>the</w:t>
      </w:r>
      <w:r w:rsidR="00360A0A" w:rsidRPr="00360A0A">
        <w:rPr>
          <w:rFonts w:asciiTheme="minorHAnsi" w:hAnsiTheme="minorHAnsi" w:cstheme="minorHAnsi"/>
        </w:rPr>
        <w:t xml:space="preserve"> </w:t>
      </w:r>
      <w:r w:rsidR="007C15C1" w:rsidRPr="00360A0A">
        <w:rPr>
          <w:rFonts w:asciiTheme="minorHAnsi" w:hAnsiTheme="minorHAnsi" w:cstheme="minorHAnsi"/>
        </w:rPr>
        <w:t>basis</w:t>
      </w:r>
      <w:r w:rsidR="00360A0A" w:rsidRPr="00360A0A">
        <w:rPr>
          <w:rFonts w:asciiTheme="minorHAnsi" w:hAnsiTheme="minorHAnsi" w:cstheme="minorHAnsi"/>
        </w:rPr>
        <w:t xml:space="preserve"> </w:t>
      </w:r>
      <w:r w:rsidR="007C15C1" w:rsidRPr="00360A0A">
        <w:rPr>
          <w:rFonts w:asciiTheme="minorHAnsi" w:hAnsiTheme="minorHAnsi" w:cstheme="minorHAnsi"/>
        </w:rPr>
        <w:t>of</w:t>
      </w:r>
      <w:r w:rsidR="00360A0A" w:rsidRPr="00360A0A">
        <w:rPr>
          <w:rFonts w:asciiTheme="minorHAnsi" w:hAnsiTheme="minorHAnsi" w:cstheme="minorHAnsi"/>
        </w:rPr>
        <w:t xml:space="preserve"> </w:t>
      </w:r>
      <w:r w:rsidR="000138C9" w:rsidRPr="00360A0A">
        <w:rPr>
          <w:rFonts w:asciiTheme="minorHAnsi" w:hAnsiTheme="minorHAnsi" w:cstheme="minorHAnsi"/>
        </w:rPr>
        <w:t>its</w:t>
      </w:r>
      <w:r w:rsidR="00360A0A" w:rsidRPr="00360A0A">
        <w:rPr>
          <w:rFonts w:asciiTheme="minorHAnsi" w:hAnsiTheme="minorHAnsi" w:cstheme="minorHAnsi"/>
        </w:rPr>
        <w:t xml:space="preserve"> </w:t>
      </w:r>
      <w:r w:rsidR="000138C9" w:rsidRPr="00360A0A">
        <w:rPr>
          <w:rFonts w:asciiTheme="minorHAnsi" w:hAnsiTheme="minorHAnsi" w:cstheme="minorHAnsi"/>
        </w:rPr>
        <w:t>workplan</w:t>
      </w:r>
      <w:r w:rsidR="00A45196" w:rsidRPr="00360A0A">
        <w:rPr>
          <w:rFonts w:asciiTheme="minorHAnsi" w:hAnsiTheme="minorHAnsi" w:cstheme="minorHAnsi"/>
        </w:rPr>
        <w:t>.</w:t>
      </w:r>
      <w:r w:rsidR="00360A0A" w:rsidRPr="00360A0A">
        <w:rPr>
          <w:rFonts w:asciiTheme="minorHAnsi" w:hAnsiTheme="minorHAnsi" w:cstheme="minorHAnsi"/>
        </w:rPr>
        <w:t xml:space="preserve"> </w:t>
      </w:r>
      <w:r w:rsidR="00E45830" w:rsidRPr="00360A0A">
        <w:rPr>
          <w:rFonts w:asciiTheme="minorHAnsi" w:hAnsiTheme="minorHAnsi" w:cstheme="minorHAnsi"/>
        </w:rPr>
        <w:t>The</w:t>
      </w:r>
      <w:r w:rsidR="00360A0A" w:rsidRPr="00360A0A">
        <w:rPr>
          <w:rFonts w:asciiTheme="minorHAnsi" w:hAnsiTheme="minorHAnsi" w:cstheme="minorHAnsi"/>
        </w:rPr>
        <w:t xml:space="preserve"> </w:t>
      </w:r>
      <w:r w:rsidR="00E45830" w:rsidRPr="00360A0A">
        <w:rPr>
          <w:rFonts w:asciiTheme="minorHAnsi" w:hAnsiTheme="minorHAnsi" w:cstheme="minorHAnsi"/>
        </w:rPr>
        <w:t>m</w:t>
      </w:r>
      <w:r w:rsidR="00624345" w:rsidRPr="00360A0A">
        <w:rPr>
          <w:rFonts w:asciiTheme="minorHAnsi" w:hAnsiTheme="minorHAnsi" w:cstheme="minorHAnsi"/>
        </w:rPr>
        <w:t>ain</w:t>
      </w:r>
      <w:r w:rsidR="00360A0A" w:rsidRPr="00360A0A">
        <w:rPr>
          <w:rFonts w:asciiTheme="minorHAnsi" w:hAnsiTheme="minorHAnsi" w:cstheme="minorHAnsi"/>
        </w:rPr>
        <w:t xml:space="preserve"> </w:t>
      </w:r>
      <w:r w:rsidR="00624345" w:rsidRPr="00360A0A">
        <w:rPr>
          <w:rFonts w:asciiTheme="minorHAnsi" w:hAnsiTheme="minorHAnsi" w:cstheme="minorHAnsi"/>
        </w:rPr>
        <w:t>areas</w:t>
      </w:r>
      <w:r w:rsidR="00360A0A" w:rsidRPr="00360A0A">
        <w:rPr>
          <w:rFonts w:asciiTheme="minorHAnsi" w:hAnsiTheme="minorHAnsi" w:cstheme="minorHAnsi"/>
        </w:rPr>
        <w:t xml:space="preserve"> </w:t>
      </w:r>
      <w:r w:rsidR="00624345" w:rsidRPr="00360A0A">
        <w:rPr>
          <w:rFonts w:asciiTheme="minorHAnsi" w:hAnsiTheme="minorHAnsi" w:cstheme="minorHAnsi"/>
        </w:rPr>
        <w:t>of</w:t>
      </w:r>
      <w:r w:rsidR="00360A0A" w:rsidRPr="00360A0A">
        <w:rPr>
          <w:rFonts w:asciiTheme="minorHAnsi" w:hAnsiTheme="minorHAnsi" w:cstheme="minorHAnsi"/>
        </w:rPr>
        <w:t xml:space="preserve"> </w:t>
      </w:r>
      <w:r w:rsidR="00624345" w:rsidRPr="00360A0A">
        <w:rPr>
          <w:rFonts w:asciiTheme="minorHAnsi" w:hAnsiTheme="minorHAnsi" w:cstheme="minorHAnsi"/>
        </w:rPr>
        <w:t>work</w:t>
      </w:r>
      <w:r w:rsidR="00360A0A" w:rsidRPr="00360A0A">
        <w:rPr>
          <w:rFonts w:asciiTheme="minorHAnsi" w:hAnsiTheme="minorHAnsi" w:cstheme="minorHAnsi"/>
        </w:rPr>
        <w:t xml:space="preserve"> </w:t>
      </w:r>
      <w:r w:rsidR="000138C9" w:rsidRPr="00360A0A">
        <w:rPr>
          <w:rFonts w:asciiTheme="minorHAnsi" w:hAnsiTheme="minorHAnsi" w:cstheme="minorHAnsi"/>
        </w:rPr>
        <w:t>during</w:t>
      </w:r>
      <w:r w:rsidR="00360A0A" w:rsidRPr="00360A0A">
        <w:rPr>
          <w:rFonts w:asciiTheme="minorHAnsi" w:hAnsiTheme="minorHAnsi" w:cstheme="minorHAnsi"/>
        </w:rPr>
        <w:t xml:space="preserve"> </w:t>
      </w:r>
      <w:r w:rsidR="000138C9" w:rsidRPr="00360A0A">
        <w:rPr>
          <w:rFonts w:asciiTheme="minorHAnsi" w:hAnsiTheme="minorHAnsi" w:cstheme="minorHAnsi"/>
        </w:rPr>
        <w:t>the</w:t>
      </w:r>
      <w:r w:rsidR="00360A0A" w:rsidRPr="00360A0A">
        <w:rPr>
          <w:rFonts w:asciiTheme="minorHAnsi" w:hAnsiTheme="minorHAnsi" w:cstheme="minorHAnsi"/>
        </w:rPr>
        <w:t xml:space="preserve"> </w:t>
      </w:r>
      <w:r w:rsidR="000138C9" w:rsidRPr="00360A0A">
        <w:rPr>
          <w:rFonts w:asciiTheme="minorHAnsi" w:hAnsiTheme="minorHAnsi" w:cstheme="minorHAnsi"/>
        </w:rPr>
        <w:t>reporting</w:t>
      </w:r>
      <w:r w:rsidR="00360A0A" w:rsidRPr="00360A0A">
        <w:rPr>
          <w:rFonts w:asciiTheme="minorHAnsi" w:hAnsiTheme="minorHAnsi" w:cstheme="minorHAnsi"/>
        </w:rPr>
        <w:t xml:space="preserve"> </w:t>
      </w:r>
      <w:r w:rsidR="000138C9" w:rsidRPr="00360A0A">
        <w:rPr>
          <w:rFonts w:asciiTheme="minorHAnsi" w:hAnsiTheme="minorHAnsi" w:cstheme="minorHAnsi"/>
        </w:rPr>
        <w:t>period</w:t>
      </w:r>
      <w:r w:rsidR="00360A0A" w:rsidRPr="00360A0A">
        <w:rPr>
          <w:rFonts w:asciiTheme="minorHAnsi" w:hAnsiTheme="minorHAnsi" w:cstheme="minorHAnsi"/>
        </w:rPr>
        <w:t xml:space="preserve"> </w:t>
      </w:r>
      <w:r w:rsidR="00624345" w:rsidRPr="00360A0A">
        <w:rPr>
          <w:rFonts w:asciiTheme="minorHAnsi" w:hAnsiTheme="minorHAnsi" w:cstheme="minorHAnsi"/>
        </w:rPr>
        <w:t>are</w:t>
      </w:r>
      <w:r w:rsidR="00360A0A" w:rsidRPr="00360A0A">
        <w:rPr>
          <w:rFonts w:asciiTheme="minorHAnsi" w:hAnsiTheme="minorHAnsi" w:cstheme="minorHAnsi"/>
        </w:rPr>
        <w:t xml:space="preserve"> </w:t>
      </w:r>
      <w:r w:rsidR="00624345" w:rsidRPr="00360A0A">
        <w:rPr>
          <w:rFonts w:asciiTheme="minorHAnsi" w:hAnsiTheme="minorHAnsi" w:cstheme="minorHAnsi"/>
        </w:rPr>
        <w:t>described</w:t>
      </w:r>
      <w:r w:rsidR="00360A0A" w:rsidRPr="00360A0A">
        <w:rPr>
          <w:rFonts w:asciiTheme="minorHAnsi" w:hAnsiTheme="minorHAnsi" w:cstheme="minorHAnsi"/>
        </w:rPr>
        <w:t xml:space="preserve"> </w:t>
      </w:r>
      <w:r w:rsidR="00BC087B" w:rsidRPr="00360A0A">
        <w:rPr>
          <w:rFonts w:asciiTheme="minorHAnsi" w:hAnsiTheme="minorHAnsi" w:cstheme="minorHAnsi"/>
        </w:rPr>
        <w:t>in</w:t>
      </w:r>
      <w:r w:rsidR="00360A0A" w:rsidRPr="00360A0A">
        <w:rPr>
          <w:rFonts w:asciiTheme="minorHAnsi" w:hAnsiTheme="minorHAnsi" w:cstheme="minorHAnsi"/>
        </w:rPr>
        <w:t xml:space="preserve"> </w:t>
      </w:r>
      <w:r w:rsidR="00BC087B" w:rsidRPr="00360A0A">
        <w:rPr>
          <w:rFonts w:asciiTheme="minorHAnsi" w:hAnsiTheme="minorHAnsi" w:cstheme="minorHAnsi"/>
        </w:rPr>
        <w:t>this</w:t>
      </w:r>
      <w:r w:rsidR="00360A0A" w:rsidRPr="00360A0A">
        <w:rPr>
          <w:rFonts w:asciiTheme="minorHAnsi" w:hAnsiTheme="minorHAnsi" w:cstheme="minorHAnsi"/>
        </w:rPr>
        <w:t xml:space="preserve"> </w:t>
      </w:r>
      <w:r w:rsidR="00BC087B" w:rsidRPr="00360A0A">
        <w:rPr>
          <w:rFonts w:asciiTheme="minorHAnsi" w:hAnsiTheme="minorHAnsi" w:cstheme="minorHAnsi"/>
        </w:rPr>
        <w:t>report</w:t>
      </w:r>
      <w:r w:rsidR="00D94795">
        <w:rPr>
          <w:rFonts w:asciiTheme="minorHAnsi" w:hAnsiTheme="minorHAnsi" w:cstheme="minorHAnsi"/>
        </w:rPr>
        <w:t xml:space="preserve">, including implications </w:t>
      </w:r>
      <w:r w:rsidR="00013A89">
        <w:rPr>
          <w:rFonts w:asciiTheme="minorHAnsi" w:hAnsiTheme="minorHAnsi" w:cstheme="minorHAnsi"/>
        </w:rPr>
        <w:t xml:space="preserve">of </w:t>
      </w:r>
      <w:r w:rsidR="00D94795">
        <w:rPr>
          <w:rFonts w:asciiTheme="minorHAnsi" w:hAnsiTheme="minorHAnsi" w:cstheme="minorHAnsi"/>
        </w:rPr>
        <w:t>and responses to the COVID</w:t>
      </w:r>
      <w:r w:rsidR="00013A89">
        <w:rPr>
          <w:rFonts w:asciiTheme="minorHAnsi" w:hAnsiTheme="minorHAnsi" w:cstheme="minorHAnsi"/>
        </w:rPr>
        <w:t>-</w:t>
      </w:r>
      <w:r w:rsidR="00D94795">
        <w:rPr>
          <w:rFonts w:asciiTheme="minorHAnsi" w:hAnsiTheme="minorHAnsi" w:cstheme="minorHAnsi"/>
        </w:rPr>
        <w:t>19 pandemic</w:t>
      </w:r>
      <w:r w:rsidR="000B2F00">
        <w:rPr>
          <w:rFonts w:asciiTheme="minorHAnsi" w:hAnsiTheme="minorHAnsi" w:cstheme="minorHAnsi"/>
        </w:rPr>
        <w:t>. D</w:t>
      </w:r>
      <w:r w:rsidR="007C15C1" w:rsidRPr="00360A0A">
        <w:rPr>
          <w:rFonts w:asciiTheme="minorHAnsi" w:hAnsiTheme="minorHAnsi" w:cstheme="minorHAnsi"/>
        </w:rPr>
        <w:t>ocuments</w:t>
      </w:r>
      <w:r w:rsidR="00360A0A" w:rsidRPr="00360A0A">
        <w:rPr>
          <w:rFonts w:asciiTheme="minorHAnsi" w:hAnsiTheme="minorHAnsi" w:cstheme="minorHAnsi"/>
        </w:rPr>
        <w:t xml:space="preserve"> </w:t>
      </w:r>
      <w:r w:rsidR="00015D7B" w:rsidRPr="00360A0A">
        <w:rPr>
          <w:rFonts w:asciiTheme="minorHAnsi" w:hAnsiTheme="minorHAnsi" w:cstheme="minorHAnsi"/>
        </w:rPr>
        <w:t>prepared</w:t>
      </w:r>
      <w:r w:rsidR="00360A0A" w:rsidRPr="00360A0A">
        <w:rPr>
          <w:rFonts w:asciiTheme="minorHAnsi" w:hAnsiTheme="minorHAnsi" w:cstheme="minorHAnsi"/>
        </w:rPr>
        <w:t xml:space="preserve"> </w:t>
      </w:r>
      <w:r w:rsidR="00015D7B" w:rsidRPr="00360A0A">
        <w:rPr>
          <w:rFonts w:asciiTheme="minorHAnsi" w:hAnsiTheme="minorHAnsi" w:cstheme="minorHAnsi"/>
        </w:rPr>
        <w:t>for</w:t>
      </w:r>
      <w:r w:rsidR="00360A0A" w:rsidRPr="00360A0A">
        <w:rPr>
          <w:rFonts w:asciiTheme="minorHAnsi" w:hAnsiTheme="minorHAnsi" w:cstheme="minorHAnsi"/>
        </w:rPr>
        <w:t xml:space="preserve"> </w:t>
      </w:r>
      <w:r w:rsidR="00015D7B" w:rsidRPr="00360A0A">
        <w:rPr>
          <w:rFonts w:asciiTheme="minorHAnsi" w:hAnsiTheme="minorHAnsi" w:cstheme="minorHAnsi"/>
        </w:rPr>
        <w:t>the</w:t>
      </w:r>
      <w:r w:rsidR="00360A0A" w:rsidRPr="00360A0A">
        <w:rPr>
          <w:rFonts w:asciiTheme="minorHAnsi" w:hAnsiTheme="minorHAnsi" w:cstheme="minorHAnsi"/>
        </w:rPr>
        <w:t xml:space="preserve"> </w:t>
      </w:r>
      <w:r w:rsidR="00E45830" w:rsidRPr="00360A0A">
        <w:rPr>
          <w:rFonts w:asciiTheme="minorHAnsi" w:hAnsiTheme="minorHAnsi" w:cstheme="minorHAnsi"/>
        </w:rPr>
        <w:t>present</w:t>
      </w:r>
      <w:r w:rsidR="00360A0A" w:rsidRPr="00360A0A">
        <w:rPr>
          <w:rFonts w:asciiTheme="minorHAnsi" w:hAnsiTheme="minorHAnsi" w:cstheme="minorHAnsi"/>
        </w:rPr>
        <w:t xml:space="preserve"> </w:t>
      </w:r>
      <w:r w:rsidR="00015D7B" w:rsidRPr="00360A0A">
        <w:rPr>
          <w:rFonts w:asciiTheme="minorHAnsi" w:hAnsiTheme="minorHAnsi" w:cstheme="minorHAnsi"/>
        </w:rPr>
        <w:t>meeting</w:t>
      </w:r>
      <w:r w:rsidR="00360A0A" w:rsidRPr="00360A0A">
        <w:rPr>
          <w:rFonts w:asciiTheme="minorHAnsi" w:hAnsiTheme="minorHAnsi" w:cstheme="minorHAnsi"/>
        </w:rPr>
        <w:t xml:space="preserve"> </w:t>
      </w:r>
      <w:r w:rsidR="00884949" w:rsidRPr="00360A0A">
        <w:rPr>
          <w:rFonts w:asciiTheme="minorHAnsi" w:hAnsiTheme="minorHAnsi" w:cstheme="minorHAnsi"/>
        </w:rPr>
        <w:t>(SC5</w:t>
      </w:r>
      <w:r w:rsidR="008346DF">
        <w:rPr>
          <w:rFonts w:asciiTheme="minorHAnsi" w:hAnsiTheme="minorHAnsi" w:cstheme="minorHAnsi"/>
        </w:rPr>
        <w:t>9</w:t>
      </w:r>
      <w:r w:rsidR="00015D7B" w:rsidRPr="00360A0A">
        <w:rPr>
          <w:rFonts w:asciiTheme="minorHAnsi" w:hAnsiTheme="minorHAnsi" w:cstheme="minorHAnsi"/>
        </w:rPr>
        <w:t>)</w:t>
      </w:r>
      <w:r w:rsidR="00360A0A" w:rsidRPr="00360A0A">
        <w:rPr>
          <w:rFonts w:asciiTheme="minorHAnsi" w:hAnsiTheme="minorHAnsi" w:cstheme="minorHAnsi"/>
        </w:rPr>
        <w:t xml:space="preserve"> </w:t>
      </w:r>
      <w:r w:rsidR="00015D7B" w:rsidRPr="00360A0A">
        <w:rPr>
          <w:rFonts w:asciiTheme="minorHAnsi" w:hAnsiTheme="minorHAnsi" w:cstheme="minorHAnsi"/>
        </w:rPr>
        <w:t>provide</w:t>
      </w:r>
      <w:r w:rsidR="00360A0A" w:rsidRPr="00360A0A">
        <w:rPr>
          <w:rFonts w:asciiTheme="minorHAnsi" w:hAnsiTheme="minorHAnsi" w:cstheme="minorHAnsi"/>
        </w:rPr>
        <w:t xml:space="preserve"> </w:t>
      </w:r>
      <w:r w:rsidR="00015D7B" w:rsidRPr="00360A0A">
        <w:rPr>
          <w:rFonts w:asciiTheme="minorHAnsi" w:hAnsiTheme="minorHAnsi" w:cstheme="minorHAnsi"/>
        </w:rPr>
        <w:t>further</w:t>
      </w:r>
      <w:r w:rsidR="00360A0A" w:rsidRPr="00360A0A">
        <w:rPr>
          <w:rFonts w:asciiTheme="minorHAnsi" w:hAnsiTheme="minorHAnsi" w:cstheme="minorHAnsi"/>
        </w:rPr>
        <w:t xml:space="preserve"> </w:t>
      </w:r>
      <w:r w:rsidR="00015D7B" w:rsidRPr="00360A0A">
        <w:rPr>
          <w:rFonts w:asciiTheme="minorHAnsi" w:hAnsiTheme="minorHAnsi" w:cstheme="minorHAnsi"/>
        </w:rPr>
        <w:t>detail</w:t>
      </w:r>
      <w:r w:rsidR="00360A0A" w:rsidRPr="00360A0A">
        <w:rPr>
          <w:rFonts w:asciiTheme="minorHAnsi" w:hAnsiTheme="minorHAnsi" w:cstheme="minorHAnsi"/>
        </w:rPr>
        <w:t xml:space="preserve"> </w:t>
      </w:r>
      <w:r w:rsidR="00015D7B" w:rsidRPr="00360A0A">
        <w:rPr>
          <w:rFonts w:asciiTheme="minorHAnsi" w:hAnsiTheme="minorHAnsi" w:cstheme="minorHAnsi"/>
        </w:rPr>
        <w:t>on</w:t>
      </w:r>
      <w:r w:rsidR="00360A0A" w:rsidRPr="00360A0A">
        <w:rPr>
          <w:rFonts w:asciiTheme="minorHAnsi" w:hAnsiTheme="minorHAnsi" w:cstheme="minorHAnsi"/>
        </w:rPr>
        <w:t xml:space="preserve"> </w:t>
      </w:r>
      <w:r w:rsidR="00015D7B" w:rsidRPr="00360A0A">
        <w:rPr>
          <w:rFonts w:asciiTheme="minorHAnsi" w:hAnsiTheme="minorHAnsi" w:cstheme="minorHAnsi"/>
        </w:rPr>
        <w:t>various</w:t>
      </w:r>
      <w:r w:rsidR="00360A0A" w:rsidRPr="00360A0A">
        <w:rPr>
          <w:rFonts w:asciiTheme="minorHAnsi" w:hAnsiTheme="minorHAnsi" w:cstheme="minorHAnsi"/>
        </w:rPr>
        <w:t xml:space="preserve"> </w:t>
      </w:r>
      <w:r w:rsidR="00015D7B" w:rsidRPr="00360A0A">
        <w:rPr>
          <w:rFonts w:asciiTheme="minorHAnsi" w:hAnsiTheme="minorHAnsi" w:cstheme="minorHAnsi"/>
        </w:rPr>
        <w:t>areas</w:t>
      </w:r>
      <w:r w:rsidR="00360A0A" w:rsidRPr="00360A0A">
        <w:rPr>
          <w:rFonts w:asciiTheme="minorHAnsi" w:hAnsiTheme="minorHAnsi" w:cstheme="minorHAnsi"/>
        </w:rPr>
        <w:t xml:space="preserve"> </w:t>
      </w:r>
      <w:r w:rsidR="00015D7B" w:rsidRPr="00360A0A">
        <w:rPr>
          <w:rFonts w:asciiTheme="minorHAnsi" w:hAnsiTheme="minorHAnsi" w:cstheme="minorHAnsi"/>
        </w:rPr>
        <w:t>of</w:t>
      </w:r>
      <w:r w:rsidR="00360A0A" w:rsidRPr="00360A0A">
        <w:rPr>
          <w:rFonts w:asciiTheme="minorHAnsi" w:hAnsiTheme="minorHAnsi" w:cstheme="minorHAnsi"/>
        </w:rPr>
        <w:t xml:space="preserve"> </w:t>
      </w:r>
      <w:r w:rsidR="00015D7B" w:rsidRPr="00360A0A">
        <w:rPr>
          <w:rFonts w:asciiTheme="minorHAnsi" w:hAnsiTheme="minorHAnsi" w:cstheme="minorHAnsi"/>
        </w:rPr>
        <w:t>the</w:t>
      </w:r>
      <w:r w:rsidR="00360A0A" w:rsidRPr="00360A0A">
        <w:rPr>
          <w:rFonts w:asciiTheme="minorHAnsi" w:hAnsiTheme="minorHAnsi" w:cstheme="minorHAnsi"/>
        </w:rPr>
        <w:t xml:space="preserve"> </w:t>
      </w:r>
      <w:r w:rsidR="00015D7B" w:rsidRPr="00360A0A">
        <w:rPr>
          <w:rFonts w:asciiTheme="minorHAnsi" w:hAnsiTheme="minorHAnsi" w:cstheme="minorHAnsi"/>
        </w:rPr>
        <w:t>Secretariat</w:t>
      </w:r>
      <w:r w:rsidR="001C2C01">
        <w:rPr>
          <w:rFonts w:asciiTheme="minorHAnsi" w:hAnsiTheme="minorHAnsi" w:cstheme="minorHAnsi"/>
        </w:rPr>
        <w:t>’</w:t>
      </w:r>
      <w:r w:rsidR="00015D7B" w:rsidRPr="00360A0A">
        <w:rPr>
          <w:rFonts w:asciiTheme="minorHAnsi" w:hAnsiTheme="minorHAnsi" w:cstheme="minorHAnsi"/>
        </w:rPr>
        <w:t>s</w:t>
      </w:r>
      <w:r w:rsidR="00360A0A" w:rsidRPr="00360A0A">
        <w:rPr>
          <w:rFonts w:asciiTheme="minorHAnsi" w:hAnsiTheme="minorHAnsi" w:cstheme="minorHAnsi"/>
        </w:rPr>
        <w:t xml:space="preserve"> </w:t>
      </w:r>
      <w:r w:rsidR="00015D7B" w:rsidRPr="00360A0A">
        <w:rPr>
          <w:rFonts w:asciiTheme="minorHAnsi" w:hAnsiTheme="minorHAnsi" w:cstheme="minorHAnsi"/>
        </w:rPr>
        <w:t>work.</w:t>
      </w:r>
      <w:r w:rsidR="00360A0A" w:rsidRPr="00360A0A">
        <w:rPr>
          <w:rFonts w:asciiTheme="minorHAnsi" w:hAnsiTheme="minorHAnsi" w:cstheme="minorHAnsi"/>
        </w:rPr>
        <w:t xml:space="preserve"> </w:t>
      </w:r>
    </w:p>
    <w:p w14:paraId="2F6D06CC" w14:textId="77777777" w:rsidR="0098073C" w:rsidRPr="00360A0A" w:rsidRDefault="0098073C" w:rsidP="00623F05">
      <w:pPr>
        <w:pStyle w:val="CommentText"/>
        <w:rPr>
          <w:rFonts w:asciiTheme="minorHAnsi" w:hAnsiTheme="minorHAnsi" w:cstheme="minorHAnsi"/>
          <w:sz w:val="22"/>
          <w:szCs w:val="22"/>
        </w:rPr>
      </w:pPr>
    </w:p>
    <w:p w14:paraId="04AA880B" w14:textId="457B3CDA" w:rsidR="0098073C" w:rsidRPr="00360A0A" w:rsidRDefault="00D101E6" w:rsidP="00623F05">
      <w:pPr>
        <w:rPr>
          <w:rFonts w:asciiTheme="minorHAnsi" w:hAnsiTheme="minorHAnsi" w:cstheme="minorHAnsi"/>
        </w:rPr>
      </w:pPr>
      <w:r>
        <w:rPr>
          <w:rFonts w:asciiTheme="minorHAnsi" w:hAnsiTheme="minorHAnsi" w:cstheme="minorHAnsi"/>
        </w:rPr>
        <w:t>3</w:t>
      </w:r>
      <w:r w:rsidR="00664D04" w:rsidRPr="00360A0A">
        <w:rPr>
          <w:rFonts w:asciiTheme="minorHAnsi" w:hAnsiTheme="minorHAnsi" w:cstheme="minorHAnsi"/>
        </w:rPr>
        <w:t>.</w:t>
      </w:r>
      <w:r w:rsidR="00664D04" w:rsidRPr="00360A0A">
        <w:rPr>
          <w:rFonts w:asciiTheme="minorHAnsi" w:hAnsiTheme="minorHAnsi" w:cstheme="minorHAnsi"/>
        </w:rPr>
        <w:tab/>
      </w:r>
      <w:r w:rsidR="0098073C" w:rsidRPr="00360A0A">
        <w:rPr>
          <w:rFonts w:asciiTheme="minorHAnsi" w:hAnsiTheme="minorHAnsi" w:cstheme="minorHAnsi"/>
        </w:rPr>
        <w:t>In</w:t>
      </w:r>
      <w:r w:rsidR="00360A0A" w:rsidRPr="00360A0A">
        <w:rPr>
          <w:rFonts w:asciiTheme="minorHAnsi" w:hAnsiTheme="minorHAnsi" w:cstheme="minorHAnsi"/>
        </w:rPr>
        <w:t xml:space="preserve"> </w:t>
      </w:r>
      <w:r w:rsidR="008346DF">
        <w:rPr>
          <w:rFonts w:asciiTheme="minorHAnsi" w:hAnsiTheme="minorHAnsi" w:cstheme="minorHAnsi"/>
        </w:rPr>
        <w:t>the first quarter of 2021</w:t>
      </w:r>
      <w:r w:rsidR="00B224FB" w:rsidRPr="00360A0A">
        <w:rPr>
          <w:rFonts w:asciiTheme="minorHAnsi" w:hAnsiTheme="minorHAnsi" w:cstheme="minorHAnsi"/>
        </w:rPr>
        <w:t>,</w:t>
      </w:r>
      <w:r w:rsidR="00360A0A" w:rsidRPr="00360A0A">
        <w:rPr>
          <w:rFonts w:asciiTheme="minorHAnsi" w:hAnsiTheme="minorHAnsi" w:cstheme="minorHAnsi"/>
        </w:rPr>
        <w:t xml:space="preserve"> </w:t>
      </w:r>
      <w:r w:rsidR="0098073C" w:rsidRPr="00360A0A">
        <w:rPr>
          <w:rFonts w:asciiTheme="minorHAnsi" w:hAnsiTheme="minorHAnsi" w:cstheme="minorHAnsi"/>
        </w:rPr>
        <w:t>the</w:t>
      </w:r>
      <w:r w:rsidR="00360A0A" w:rsidRPr="00360A0A">
        <w:rPr>
          <w:rFonts w:asciiTheme="minorHAnsi" w:hAnsiTheme="minorHAnsi" w:cstheme="minorHAnsi"/>
        </w:rPr>
        <w:t xml:space="preserve"> </w:t>
      </w:r>
      <w:r w:rsidR="0098073C" w:rsidRPr="00360A0A">
        <w:rPr>
          <w:rFonts w:asciiTheme="minorHAnsi" w:hAnsiTheme="minorHAnsi" w:cstheme="minorHAnsi"/>
        </w:rPr>
        <w:t>Secretariat</w:t>
      </w:r>
      <w:r w:rsidR="00360A0A" w:rsidRPr="00360A0A">
        <w:rPr>
          <w:rFonts w:asciiTheme="minorHAnsi" w:hAnsiTheme="minorHAnsi" w:cstheme="minorHAnsi"/>
        </w:rPr>
        <w:t xml:space="preserve"> </w:t>
      </w:r>
      <w:r w:rsidR="0098073C" w:rsidRPr="00360A0A">
        <w:rPr>
          <w:rFonts w:asciiTheme="minorHAnsi" w:hAnsiTheme="minorHAnsi" w:cstheme="minorHAnsi"/>
        </w:rPr>
        <w:t>reviewed</w:t>
      </w:r>
      <w:r w:rsidR="00360A0A" w:rsidRPr="00360A0A">
        <w:rPr>
          <w:rFonts w:asciiTheme="minorHAnsi" w:hAnsiTheme="minorHAnsi" w:cstheme="minorHAnsi"/>
        </w:rPr>
        <w:t xml:space="preserve"> </w:t>
      </w:r>
      <w:r w:rsidR="0098073C" w:rsidRPr="00360A0A">
        <w:rPr>
          <w:rFonts w:asciiTheme="minorHAnsi" w:hAnsiTheme="minorHAnsi" w:cstheme="minorHAnsi"/>
        </w:rPr>
        <w:t>progress</w:t>
      </w:r>
      <w:r w:rsidR="00360A0A" w:rsidRPr="00360A0A">
        <w:rPr>
          <w:rFonts w:asciiTheme="minorHAnsi" w:hAnsiTheme="minorHAnsi" w:cstheme="minorHAnsi"/>
        </w:rPr>
        <w:t xml:space="preserve"> </w:t>
      </w:r>
      <w:r w:rsidR="008677FC">
        <w:rPr>
          <w:rFonts w:asciiTheme="minorHAnsi" w:hAnsiTheme="minorHAnsi" w:cstheme="minorHAnsi"/>
        </w:rPr>
        <w:t>made in 20</w:t>
      </w:r>
      <w:r w:rsidR="008346DF">
        <w:rPr>
          <w:rFonts w:asciiTheme="minorHAnsi" w:hAnsiTheme="minorHAnsi" w:cstheme="minorHAnsi"/>
        </w:rPr>
        <w:t>20</w:t>
      </w:r>
      <w:r w:rsidR="008677FC">
        <w:rPr>
          <w:rFonts w:asciiTheme="minorHAnsi" w:hAnsiTheme="minorHAnsi" w:cstheme="minorHAnsi"/>
        </w:rPr>
        <w:t xml:space="preserve"> </w:t>
      </w:r>
      <w:r w:rsidR="0098073C" w:rsidRPr="00360A0A">
        <w:rPr>
          <w:rFonts w:asciiTheme="minorHAnsi" w:hAnsiTheme="minorHAnsi" w:cstheme="minorHAnsi"/>
        </w:rPr>
        <w:t>on</w:t>
      </w:r>
      <w:r w:rsidR="00360A0A" w:rsidRPr="00360A0A">
        <w:rPr>
          <w:rFonts w:asciiTheme="minorHAnsi" w:hAnsiTheme="minorHAnsi" w:cstheme="minorHAnsi"/>
        </w:rPr>
        <w:t xml:space="preserve"> </w:t>
      </w:r>
      <w:r w:rsidR="0098073C" w:rsidRPr="00360A0A">
        <w:rPr>
          <w:rFonts w:asciiTheme="minorHAnsi" w:hAnsiTheme="minorHAnsi" w:cstheme="minorHAnsi"/>
        </w:rPr>
        <w:t>completing</w:t>
      </w:r>
      <w:r w:rsidR="00360A0A" w:rsidRPr="00360A0A">
        <w:rPr>
          <w:rFonts w:asciiTheme="minorHAnsi" w:hAnsiTheme="minorHAnsi" w:cstheme="minorHAnsi"/>
        </w:rPr>
        <w:t xml:space="preserve"> </w:t>
      </w:r>
      <w:r w:rsidR="0098073C" w:rsidRPr="00360A0A">
        <w:rPr>
          <w:rFonts w:asciiTheme="minorHAnsi" w:hAnsiTheme="minorHAnsi" w:cstheme="minorHAnsi"/>
        </w:rPr>
        <w:t>the</w:t>
      </w:r>
      <w:r w:rsidR="00360A0A" w:rsidRPr="00360A0A">
        <w:rPr>
          <w:rFonts w:asciiTheme="minorHAnsi" w:hAnsiTheme="minorHAnsi" w:cstheme="minorHAnsi"/>
        </w:rPr>
        <w:t xml:space="preserve"> </w:t>
      </w:r>
      <w:r w:rsidR="0098073C" w:rsidRPr="00360A0A">
        <w:rPr>
          <w:rFonts w:asciiTheme="minorHAnsi" w:hAnsiTheme="minorHAnsi" w:cstheme="minorHAnsi"/>
        </w:rPr>
        <w:t>actions</w:t>
      </w:r>
      <w:r w:rsidR="00360A0A" w:rsidRPr="00360A0A">
        <w:rPr>
          <w:rFonts w:asciiTheme="minorHAnsi" w:hAnsiTheme="minorHAnsi" w:cstheme="minorHAnsi"/>
        </w:rPr>
        <w:t xml:space="preserve"> </w:t>
      </w:r>
      <w:r w:rsidR="0098073C" w:rsidRPr="00360A0A">
        <w:rPr>
          <w:rFonts w:asciiTheme="minorHAnsi" w:hAnsiTheme="minorHAnsi" w:cstheme="minorHAnsi"/>
        </w:rPr>
        <w:t>identified</w:t>
      </w:r>
      <w:r w:rsidR="00360A0A" w:rsidRPr="00360A0A">
        <w:rPr>
          <w:rFonts w:asciiTheme="minorHAnsi" w:hAnsiTheme="minorHAnsi" w:cstheme="minorHAnsi"/>
        </w:rPr>
        <w:t xml:space="preserve"> </w:t>
      </w:r>
      <w:r w:rsidR="0098073C" w:rsidRPr="00360A0A">
        <w:rPr>
          <w:rFonts w:asciiTheme="minorHAnsi" w:hAnsiTheme="minorHAnsi" w:cstheme="minorHAnsi"/>
        </w:rPr>
        <w:t>in</w:t>
      </w:r>
      <w:r w:rsidR="00360A0A" w:rsidRPr="00360A0A">
        <w:rPr>
          <w:rFonts w:asciiTheme="minorHAnsi" w:hAnsiTheme="minorHAnsi" w:cstheme="minorHAnsi"/>
        </w:rPr>
        <w:t xml:space="preserve"> </w:t>
      </w:r>
      <w:r w:rsidR="0098073C" w:rsidRPr="00360A0A">
        <w:rPr>
          <w:rFonts w:asciiTheme="minorHAnsi" w:hAnsiTheme="minorHAnsi" w:cstheme="minorHAnsi"/>
        </w:rPr>
        <w:t>the</w:t>
      </w:r>
      <w:r w:rsidR="00360A0A" w:rsidRPr="00360A0A">
        <w:rPr>
          <w:rFonts w:asciiTheme="minorHAnsi" w:hAnsiTheme="minorHAnsi" w:cstheme="minorHAnsi"/>
        </w:rPr>
        <w:t xml:space="preserve"> </w:t>
      </w:r>
      <w:r w:rsidR="0098073C" w:rsidRPr="00360A0A">
        <w:rPr>
          <w:rFonts w:asciiTheme="minorHAnsi" w:hAnsiTheme="minorHAnsi" w:cstheme="minorHAnsi"/>
        </w:rPr>
        <w:t>2019</w:t>
      </w:r>
      <w:r w:rsidR="005F61E2">
        <w:rPr>
          <w:rFonts w:asciiTheme="minorHAnsi" w:hAnsiTheme="minorHAnsi" w:cstheme="minorHAnsi"/>
        </w:rPr>
        <w:t>-</w:t>
      </w:r>
      <w:r w:rsidR="0098073C" w:rsidRPr="00360A0A">
        <w:rPr>
          <w:rFonts w:asciiTheme="minorHAnsi" w:hAnsiTheme="minorHAnsi" w:cstheme="minorHAnsi"/>
        </w:rPr>
        <w:t>2021</w:t>
      </w:r>
      <w:r w:rsidR="00360A0A" w:rsidRPr="00360A0A">
        <w:rPr>
          <w:rFonts w:asciiTheme="minorHAnsi" w:hAnsiTheme="minorHAnsi" w:cstheme="minorHAnsi"/>
        </w:rPr>
        <w:t xml:space="preserve"> </w:t>
      </w:r>
      <w:r w:rsidR="0098073C" w:rsidRPr="00360A0A">
        <w:rPr>
          <w:rFonts w:asciiTheme="minorHAnsi" w:hAnsiTheme="minorHAnsi" w:cstheme="minorHAnsi"/>
        </w:rPr>
        <w:t>work</w:t>
      </w:r>
      <w:r w:rsidR="00360A0A" w:rsidRPr="00360A0A">
        <w:rPr>
          <w:rFonts w:asciiTheme="minorHAnsi" w:hAnsiTheme="minorHAnsi" w:cstheme="minorHAnsi"/>
        </w:rPr>
        <w:t xml:space="preserve"> </w:t>
      </w:r>
      <w:r w:rsidR="0098073C" w:rsidRPr="00360A0A">
        <w:rPr>
          <w:rFonts w:asciiTheme="minorHAnsi" w:hAnsiTheme="minorHAnsi" w:cstheme="minorHAnsi"/>
        </w:rPr>
        <w:t>plan</w:t>
      </w:r>
      <w:r w:rsidR="00360A0A" w:rsidRPr="00360A0A">
        <w:rPr>
          <w:rFonts w:asciiTheme="minorHAnsi" w:hAnsiTheme="minorHAnsi" w:cstheme="minorHAnsi"/>
        </w:rPr>
        <w:t xml:space="preserve"> </w:t>
      </w:r>
      <w:r w:rsidR="00D45BF7" w:rsidRPr="00360A0A">
        <w:rPr>
          <w:rFonts w:asciiTheme="minorHAnsi" w:hAnsiTheme="minorHAnsi" w:cstheme="minorHAnsi"/>
        </w:rPr>
        <w:t>approved</w:t>
      </w:r>
      <w:r w:rsidR="00360A0A" w:rsidRPr="00360A0A">
        <w:rPr>
          <w:rFonts w:asciiTheme="minorHAnsi" w:hAnsiTheme="minorHAnsi" w:cstheme="minorHAnsi"/>
        </w:rPr>
        <w:t xml:space="preserve"> </w:t>
      </w:r>
      <w:r w:rsidR="00D45BF7" w:rsidRPr="00360A0A">
        <w:rPr>
          <w:rFonts w:asciiTheme="minorHAnsi" w:hAnsiTheme="minorHAnsi" w:cstheme="minorHAnsi"/>
        </w:rPr>
        <w:t>by</w:t>
      </w:r>
      <w:r w:rsidR="00360A0A" w:rsidRPr="00360A0A">
        <w:rPr>
          <w:rFonts w:asciiTheme="minorHAnsi" w:hAnsiTheme="minorHAnsi" w:cstheme="minorHAnsi"/>
        </w:rPr>
        <w:t xml:space="preserve"> </w:t>
      </w:r>
      <w:r w:rsidR="00D45BF7" w:rsidRPr="00360A0A">
        <w:rPr>
          <w:rFonts w:asciiTheme="minorHAnsi" w:hAnsiTheme="minorHAnsi" w:cstheme="minorHAnsi"/>
        </w:rPr>
        <w:t>Decision</w:t>
      </w:r>
      <w:r w:rsidR="00360A0A" w:rsidRPr="00360A0A">
        <w:rPr>
          <w:rFonts w:asciiTheme="minorHAnsi" w:hAnsiTheme="minorHAnsi" w:cstheme="minorHAnsi"/>
        </w:rPr>
        <w:t xml:space="preserve"> </w:t>
      </w:r>
      <w:r w:rsidR="00D45BF7" w:rsidRPr="00360A0A">
        <w:rPr>
          <w:rFonts w:asciiTheme="minorHAnsi" w:hAnsiTheme="minorHAnsi" w:cstheme="minorHAnsi"/>
        </w:rPr>
        <w:t>SC57-21</w:t>
      </w:r>
      <w:r w:rsidR="00013A89">
        <w:rPr>
          <w:rFonts w:asciiTheme="minorHAnsi" w:hAnsiTheme="minorHAnsi" w:cstheme="minorHAnsi"/>
        </w:rPr>
        <w:t xml:space="preserve"> </w:t>
      </w:r>
      <w:r w:rsidR="00D94795">
        <w:rPr>
          <w:rFonts w:asciiTheme="minorHAnsi" w:hAnsiTheme="minorHAnsi" w:cstheme="minorHAnsi"/>
        </w:rPr>
        <w:t xml:space="preserve">and the workplan for 2020 </w:t>
      </w:r>
      <w:r w:rsidR="006D4D0C">
        <w:rPr>
          <w:rFonts w:asciiTheme="minorHAnsi" w:hAnsiTheme="minorHAnsi" w:cstheme="minorHAnsi"/>
        </w:rPr>
        <w:t xml:space="preserve">approved </w:t>
      </w:r>
      <w:r w:rsidR="00D94795">
        <w:rPr>
          <w:rFonts w:asciiTheme="minorHAnsi" w:hAnsiTheme="minorHAnsi" w:cstheme="minorHAnsi"/>
        </w:rPr>
        <w:t xml:space="preserve">by Decision </w:t>
      </w:r>
      <w:r w:rsidR="00D94795" w:rsidRPr="002E450D">
        <w:rPr>
          <w:rFonts w:asciiTheme="minorHAnsi" w:hAnsiTheme="minorHAnsi" w:cstheme="minorHAnsi"/>
        </w:rPr>
        <w:t>SC58</w:t>
      </w:r>
      <w:r w:rsidR="002E450D" w:rsidRPr="002E450D">
        <w:rPr>
          <w:rFonts w:asciiTheme="minorHAnsi" w:hAnsiTheme="minorHAnsi" w:cstheme="minorHAnsi"/>
        </w:rPr>
        <w:t>-26</w:t>
      </w:r>
      <w:r w:rsidR="006D4D0C">
        <w:rPr>
          <w:rFonts w:asciiTheme="minorHAnsi" w:hAnsiTheme="minorHAnsi" w:cstheme="minorHAnsi"/>
        </w:rPr>
        <w:t>,</w:t>
      </w:r>
      <w:r w:rsidR="00D94795" w:rsidRPr="002E450D">
        <w:rPr>
          <w:rFonts w:asciiTheme="minorHAnsi" w:hAnsiTheme="minorHAnsi" w:cstheme="minorHAnsi"/>
        </w:rPr>
        <w:t xml:space="preserve"> </w:t>
      </w:r>
      <w:r w:rsidR="0098073C" w:rsidRPr="002E450D">
        <w:rPr>
          <w:rFonts w:asciiTheme="minorHAnsi" w:hAnsiTheme="minorHAnsi" w:cstheme="minorHAnsi"/>
        </w:rPr>
        <w:t>and</w:t>
      </w:r>
      <w:r w:rsidR="00360A0A" w:rsidRPr="00360A0A">
        <w:rPr>
          <w:rFonts w:asciiTheme="minorHAnsi" w:hAnsiTheme="minorHAnsi" w:cstheme="minorHAnsi"/>
        </w:rPr>
        <w:t xml:space="preserve"> </w:t>
      </w:r>
      <w:r w:rsidR="0098073C" w:rsidRPr="00360A0A">
        <w:rPr>
          <w:rFonts w:asciiTheme="minorHAnsi" w:hAnsiTheme="minorHAnsi" w:cstheme="minorHAnsi"/>
        </w:rPr>
        <w:t>t</w:t>
      </w:r>
      <w:r w:rsidR="00596C51" w:rsidRPr="00360A0A">
        <w:rPr>
          <w:rFonts w:asciiTheme="minorHAnsi" w:hAnsiTheme="minorHAnsi" w:cstheme="minorHAnsi"/>
        </w:rPr>
        <w:t>o</w:t>
      </w:r>
      <w:r w:rsidR="00360A0A" w:rsidRPr="00360A0A">
        <w:rPr>
          <w:rFonts w:asciiTheme="minorHAnsi" w:hAnsiTheme="minorHAnsi" w:cstheme="minorHAnsi"/>
        </w:rPr>
        <w:t xml:space="preserve"> </w:t>
      </w:r>
      <w:r w:rsidR="00D45BF7" w:rsidRPr="00360A0A">
        <w:rPr>
          <w:rFonts w:asciiTheme="minorHAnsi" w:hAnsiTheme="minorHAnsi" w:cstheme="minorHAnsi"/>
        </w:rPr>
        <w:t>identify</w:t>
      </w:r>
      <w:r w:rsidR="00360A0A" w:rsidRPr="00360A0A">
        <w:rPr>
          <w:rFonts w:asciiTheme="minorHAnsi" w:hAnsiTheme="minorHAnsi" w:cstheme="minorHAnsi"/>
        </w:rPr>
        <w:t xml:space="preserve"> </w:t>
      </w:r>
      <w:r w:rsidR="00D45BF7" w:rsidRPr="00360A0A">
        <w:rPr>
          <w:rFonts w:asciiTheme="minorHAnsi" w:hAnsiTheme="minorHAnsi" w:cstheme="minorHAnsi"/>
        </w:rPr>
        <w:t>the</w:t>
      </w:r>
      <w:r w:rsidR="00360A0A" w:rsidRPr="00360A0A">
        <w:rPr>
          <w:rFonts w:asciiTheme="minorHAnsi" w:hAnsiTheme="minorHAnsi" w:cstheme="minorHAnsi"/>
        </w:rPr>
        <w:t xml:space="preserve"> </w:t>
      </w:r>
      <w:r w:rsidR="00D45BF7" w:rsidRPr="00360A0A">
        <w:rPr>
          <w:rFonts w:asciiTheme="minorHAnsi" w:hAnsiTheme="minorHAnsi" w:cstheme="minorHAnsi"/>
        </w:rPr>
        <w:t>activities</w:t>
      </w:r>
      <w:r w:rsidR="00360A0A" w:rsidRPr="00360A0A">
        <w:rPr>
          <w:rFonts w:asciiTheme="minorHAnsi" w:hAnsiTheme="minorHAnsi" w:cstheme="minorHAnsi"/>
        </w:rPr>
        <w:t xml:space="preserve"> </w:t>
      </w:r>
      <w:r w:rsidR="00D45BF7" w:rsidRPr="00360A0A">
        <w:rPr>
          <w:rFonts w:asciiTheme="minorHAnsi" w:hAnsiTheme="minorHAnsi" w:cstheme="minorHAnsi"/>
        </w:rPr>
        <w:t>specific</w:t>
      </w:r>
      <w:r w:rsidR="00360A0A" w:rsidRPr="00360A0A">
        <w:rPr>
          <w:rFonts w:asciiTheme="minorHAnsi" w:hAnsiTheme="minorHAnsi" w:cstheme="minorHAnsi"/>
        </w:rPr>
        <w:t xml:space="preserve"> </w:t>
      </w:r>
      <w:r w:rsidR="00D45BF7" w:rsidRPr="00360A0A">
        <w:rPr>
          <w:rFonts w:asciiTheme="minorHAnsi" w:hAnsiTheme="minorHAnsi" w:cstheme="minorHAnsi"/>
        </w:rPr>
        <w:t>to</w:t>
      </w:r>
      <w:r w:rsidR="00360A0A" w:rsidRPr="00360A0A">
        <w:rPr>
          <w:rFonts w:asciiTheme="minorHAnsi" w:hAnsiTheme="minorHAnsi" w:cstheme="minorHAnsi"/>
        </w:rPr>
        <w:t xml:space="preserve"> </w:t>
      </w:r>
      <w:r w:rsidR="00D45BF7" w:rsidRPr="00360A0A">
        <w:rPr>
          <w:rFonts w:asciiTheme="minorHAnsi" w:hAnsiTheme="minorHAnsi" w:cstheme="minorHAnsi"/>
        </w:rPr>
        <w:t>202</w:t>
      </w:r>
      <w:r w:rsidR="008346DF">
        <w:rPr>
          <w:rFonts w:asciiTheme="minorHAnsi" w:hAnsiTheme="minorHAnsi" w:cstheme="minorHAnsi"/>
        </w:rPr>
        <w:t>1</w:t>
      </w:r>
      <w:r w:rsidR="00360A0A" w:rsidRPr="00360A0A">
        <w:rPr>
          <w:rFonts w:asciiTheme="minorHAnsi" w:hAnsiTheme="minorHAnsi" w:cstheme="minorHAnsi"/>
        </w:rPr>
        <w:t xml:space="preserve"> </w:t>
      </w:r>
      <w:r w:rsidR="00D45BF7" w:rsidRPr="00360A0A">
        <w:rPr>
          <w:rFonts w:asciiTheme="minorHAnsi" w:hAnsiTheme="minorHAnsi" w:cstheme="minorHAnsi"/>
        </w:rPr>
        <w:t>that</w:t>
      </w:r>
      <w:r w:rsidR="00360A0A" w:rsidRPr="00360A0A">
        <w:rPr>
          <w:rFonts w:asciiTheme="minorHAnsi" w:hAnsiTheme="minorHAnsi" w:cstheme="minorHAnsi"/>
        </w:rPr>
        <w:t xml:space="preserve"> </w:t>
      </w:r>
      <w:r w:rsidR="00D45BF7" w:rsidRPr="00360A0A">
        <w:rPr>
          <w:rFonts w:asciiTheme="minorHAnsi" w:hAnsiTheme="minorHAnsi" w:cstheme="minorHAnsi"/>
        </w:rPr>
        <w:t>will</w:t>
      </w:r>
      <w:r w:rsidR="00360A0A" w:rsidRPr="00360A0A">
        <w:rPr>
          <w:rFonts w:asciiTheme="minorHAnsi" w:hAnsiTheme="minorHAnsi" w:cstheme="minorHAnsi"/>
        </w:rPr>
        <w:t xml:space="preserve"> </w:t>
      </w:r>
      <w:r w:rsidR="00D45BF7" w:rsidRPr="00360A0A">
        <w:rPr>
          <w:rFonts w:asciiTheme="minorHAnsi" w:hAnsiTheme="minorHAnsi" w:cstheme="minorHAnsi"/>
        </w:rPr>
        <w:lastRenderedPageBreak/>
        <w:t>result</w:t>
      </w:r>
      <w:r w:rsidR="00360A0A" w:rsidRPr="00360A0A">
        <w:rPr>
          <w:rFonts w:asciiTheme="minorHAnsi" w:hAnsiTheme="minorHAnsi" w:cstheme="minorHAnsi"/>
        </w:rPr>
        <w:t xml:space="preserve"> </w:t>
      </w:r>
      <w:r w:rsidR="00D45BF7" w:rsidRPr="00360A0A">
        <w:rPr>
          <w:rFonts w:asciiTheme="minorHAnsi" w:hAnsiTheme="minorHAnsi" w:cstheme="minorHAnsi"/>
        </w:rPr>
        <w:t>in</w:t>
      </w:r>
      <w:r w:rsidR="00360A0A" w:rsidRPr="00360A0A">
        <w:rPr>
          <w:rFonts w:asciiTheme="minorHAnsi" w:hAnsiTheme="minorHAnsi" w:cstheme="minorHAnsi"/>
        </w:rPr>
        <w:t xml:space="preserve"> </w:t>
      </w:r>
      <w:r w:rsidR="00D45BF7" w:rsidRPr="00360A0A">
        <w:rPr>
          <w:rFonts w:asciiTheme="minorHAnsi" w:hAnsiTheme="minorHAnsi" w:cstheme="minorHAnsi"/>
        </w:rPr>
        <w:t>achievement</w:t>
      </w:r>
      <w:r w:rsidR="00360A0A" w:rsidRPr="00360A0A">
        <w:rPr>
          <w:rFonts w:asciiTheme="minorHAnsi" w:hAnsiTheme="minorHAnsi" w:cstheme="minorHAnsi"/>
        </w:rPr>
        <w:t xml:space="preserve"> </w:t>
      </w:r>
      <w:r w:rsidR="00D45BF7" w:rsidRPr="00360A0A">
        <w:rPr>
          <w:rFonts w:asciiTheme="minorHAnsi" w:hAnsiTheme="minorHAnsi" w:cstheme="minorHAnsi"/>
        </w:rPr>
        <w:t>of</w:t>
      </w:r>
      <w:r w:rsidR="00360A0A" w:rsidRPr="00360A0A">
        <w:rPr>
          <w:rFonts w:asciiTheme="minorHAnsi" w:hAnsiTheme="minorHAnsi" w:cstheme="minorHAnsi"/>
        </w:rPr>
        <w:t xml:space="preserve"> </w:t>
      </w:r>
      <w:r w:rsidR="00D45BF7" w:rsidRPr="00360A0A">
        <w:rPr>
          <w:rFonts w:asciiTheme="minorHAnsi" w:hAnsiTheme="minorHAnsi" w:cstheme="minorHAnsi"/>
        </w:rPr>
        <w:t>the</w:t>
      </w:r>
      <w:r w:rsidR="00360A0A" w:rsidRPr="00360A0A">
        <w:rPr>
          <w:rFonts w:asciiTheme="minorHAnsi" w:hAnsiTheme="minorHAnsi" w:cstheme="minorHAnsi"/>
        </w:rPr>
        <w:t xml:space="preserve"> </w:t>
      </w:r>
      <w:r w:rsidR="00D45BF7" w:rsidRPr="00360A0A">
        <w:rPr>
          <w:rFonts w:asciiTheme="minorHAnsi" w:hAnsiTheme="minorHAnsi" w:cstheme="minorHAnsi"/>
        </w:rPr>
        <w:t>identified</w:t>
      </w:r>
      <w:r w:rsidR="00360A0A" w:rsidRPr="00360A0A">
        <w:rPr>
          <w:rFonts w:asciiTheme="minorHAnsi" w:hAnsiTheme="minorHAnsi" w:cstheme="minorHAnsi"/>
        </w:rPr>
        <w:t xml:space="preserve"> </w:t>
      </w:r>
      <w:r w:rsidR="00D45BF7" w:rsidRPr="00360A0A">
        <w:rPr>
          <w:rFonts w:asciiTheme="minorHAnsi" w:hAnsiTheme="minorHAnsi" w:cstheme="minorHAnsi"/>
        </w:rPr>
        <w:t>indicators.</w:t>
      </w:r>
      <w:r w:rsidR="00360A0A" w:rsidRPr="00360A0A">
        <w:rPr>
          <w:rFonts w:asciiTheme="minorHAnsi" w:hAnsiTheme="minorHAnsi" w:cstheme="minorHAnsi"/>
        </w:rPr>
        <w:t xml:space="preserve"> </w:t>
      </w:r>
      <w:r w:rsidR="0098073C" w:rsidRPr="00360A0A">
        <w:rPr>
          <w:rFonts w:asciiTheme="minorHAnsi" w:hAnsiTheme="minorHAnsi" w:cstheme="minorHAnsi"/>
        </w:rPr>
        <w:t>Th</w:t>
      </w:r>
      <w:r w:rsidR="00585C51">
        <w:rPr>
          <w:rFonts w:asciiTheme="minorHAnsi" w:hAnsiTheme="minorHAnsi" w:cstheme="minorHAnsi"/>
        </w:rPr>
        <w:t>is review</w:t>
      </w:r>
      <w:r w:rsidR="00A00CB5">
        <w:rPr>
          <w:rFonts w:asciiTheme="minorHAnsi" w:hAnsiTheme="minorHAnsi" w:cstheme="minorHAnsi"/>
        </w:rPr>
        <w:t xml:space="preserve">, </w:t>
      </w:r>
      <w:r w:rsidR="006D4D0C">
        <w:rPr>
          <w:rFonts w:asciiTheme="minorHAnsi" w:hAnsiTheme="minorHAnsi" w:cstheme="minorHAnsi"/>
        </w:rPr>
        <w:t>which</w:t>
      </w:r>
      <w:r w:rsidR="00A00CB5">
        <w:rPr>
          <w:rFonts w:asciiTheme="minorHAnsi" w:hAnsiTheme="minorHAnsi" w:cstheme="minorHAnsi"/>
        </w:rPr>
        <w:t xml:space="preserve"> took place</w:t>
      </w:r>
      <w:r w:rsidR="00585C51">
        <w:rPr>
          <w:rFonts w:asciiTheme="minorHAnsi" w:hAnsiTheme="minorHAnsi" w:cstheme="minorHAnsi"/>
        </w:rPr>
        <w:t xml:space="preserve"> during four virtual sessions on Zoom conducted over several weeks</w:t>
      </w:r>
      <w:r w:rsidR="002E450D">
        <w:rPr>
          <w:rFonts w:asciiTheme="minorHAnsi" w:hAnsiTheme="minorHAnsi" w:cstheme="minorHAnsi"/>
        </w:rPr>
        <w:t xml:space="preserve"> in February</w:t>
      </w:r>
      <w:r w:rsidR="00A00CB5">
        <w:rPr>
          <w:rFonts w:asciiTheme="minorHAnsi" w:hAnsiTheme="minorHAnsi" w:cstheme="minorHAnsi"/>
        </w:rPr>
        <w:t>,</w:t>
      </w:r>
      <w:r w:rsidR="00360A0A" w:rsidRPr="00360A0A">
        <w:rPr>
          <w:rFonts w:asciiTheme="minorHAnsi" w:hAnsiTheme="minorHAnsi" w:cstheme="minorHAnsi"/>
        </w:rPr>
        <w:t xml:space="preserve"> </w:t>
      </w:r>
      <w:r w:rsidR="0098073C" w:rsidRPr="00360A0A">
        <w:rPr>
          <w:rFonts w:asciiTheme="minorHAnsi" w:hAnsiTheme="minorHAnsi" w:cstheme="minorHAnsi"/>
        </w:rPr>
        <w:t>confirmed</w:t>
      </w:r>
      <w:r w:rsidR="00360A0A" w:rsidRPr="00360A0A">
        <w:rPr>
          <w:rFonts w:asciiTheme="minorHAnsi" w:hAnsiTheme="minorHAnsi" w:cstheme="minorHAnsi"/>
        </w:rPr>
        <w:t xml:space="preserve"> </w:t>
      </w:r>
      <w:r w:rsidR="0098073C" w:rsidRPr="00360A0A">
        <w:rPr>
          <w:rFonts w:asciiTheme="minorHAnsi" w:hAnsiTheme="minorHAnsi" w:cstheme="minorHAnsi"/>
        </w:rPr>
        <w:t>that</w:t>
      </w:r>
      <w:r w:rsidR="00360A0A" w:rsidRPr="00360A0A">
        <w:rPr>
          <w:rFonts w:asciiTheme="minorHAnsi" w:hAnsiTheme="minorHAnsi" w:cstheme="minorHAnsi"/>
        </w:rPr>
        <w:t xml:space="preserve"> </w:t>
      </w:r>
      <w:r w:rsidR="0098073C" w:rsidRPr="00360A0A">
        <w:rPr>
          <w:rFonts w:asciiTheme="minorHAnsi" w:hAnsiTheme="minorHAnsi" w:cstheme="minorHAnsi"/>
        </w:rPr>
        <w:t>considerable</w:t>
      </w:r>
      <w:r w:rsidR="00360A0A" w:rsidRPr="00360A0A">
        <w:rPr>
          <w:rFonts w:asciiTheme="minorHAnsi" w:hAnsiTheme="minorHAnsi" w:cstheme="minorHAnsi"/>
        </w:rPr>
        <w:t xml:space="preserve"> </w:t>
      </w:r>
      <w:r w:rsidR="0098073C" w:rsidRPr="00360A0A">
        <w:rPr>
          <w:rFonts w:asciiTheme="minorHAnsi" w:hAnsiTheme="minorHAnsi" w:cstheme="minorHAnsi"/>
        </w:rPr>
        <w:t>progress</w:t>
      </w:r>
      <w:r w:rsidR="00360A0A" w:rsidRPr="00360A0A">
        <w:rPr>
          <w:rFonts w:asciiTheme="minorHAnsi" w:hAnsiTheme="minorHAnsi" w:cstheme="minorHAnsi"/>
        </w:rPr>
        <w:t xml:space="preserve"> </w:t>
      </w:r>
      <w:r w:rsidR="0098073C" w:rsidRPr="00360A0A">
        <w:rPr>
          <w:rFonts w:asciiTheme="minorHAnsi" w:hAnsiTheme="minorHAnsi" w:cstheme="minorHAnsi"/>
        </w:rPr>
        <w:t>has</w:t>
      </w:r>
      <w:r w:rsidR="00360A0A" w:rsidRPr="00360A0A">
        <w:rPr>
          <w:rFonts w:asciiTheme="minorHAnsi" w:hAnsiTheme="minorHAnsi" w:cstheme="minorHAnsi"/>
        </w:rPr>
        <w:t xml:space="preserve"> </w:t>
      </w:r>
      <w:r w:rsidR="0098073C" w:rsidRPr="00360A0A">
        <w:rPr>
          <w:rFonts w:asciiTheme="minorHAnsi" w:hAnsiTheme="minorHAnsi" w:cstheme="minorHAnsi"/>
        </w:rPr>
        <w:t>been</w:t>
      </w:r>
      <w:r w:rsidR="00360A0A" w:rsidRPr="00360A0A">
        <w:rPr>
          <w:rFonts w:asciiTheme="minorHAnsi" w:hAnsiTheme="minorHAnsi" w:cstheme="minorHAnsi"/>
        </w:rPr>
        <w:t xml:space="preserve"> </w:t>
      </w:r>
      <w:r w:rsidR="0098073C" w:rsidRPr="00360A0A">
        <w:rPr>
          <w:rFonts w:asciiTheme="minorHAnsi" w:hAnsiTheme="minorHAnsi" w:cstheme="minorHAnsi"/>
        </w:rPr>
        <w:t>made</w:t>
      </w:r>
      <w:r w:rsidR="00360A0A" w:rsidRPr="00360A0A">
        <w:rPr>
          <w:rFonts w:asciiTheme="minorHAnsi" w:hAnsiTheme="minorHAnsi" w:cstheme="minorHAnsi"/>
        </w:rPr>
        <w:t xml:space="preserve"> </w:t>
      </w:r>
      <w:r w:rsidR="00596C51" w:rsidRPr="00360A0A">
        <w:rPr>
          <w:rFonts w:asciiTheme="minorHAnsi" w:hAnsiTheme="minorHAnsi" w:cstheme="minorHAnsi"/>
        </w:rPr>
        <w:t>during</w:t>
      </w:r>
      <w:r w:rsidR="00360A0A" w:rsidRPr="00360A0A">
        <w:rPr>
          <w:rFonts w:asciiTheme="minorHAnsi" w:hAnsiTheme="minorHAnsi" w:cstheme="minorHAnsi"/>
        </w:rPr>
        <w:t xml:space="preserve"> </w:t>
      </w:r>
      <w:r w:rsidR="00596C51" w:rsidRPr="00360A0A">
        <w:rPr>
          <w:rFonts w:asciiTheme="minorHAnsi" w:hAnsiTheme="minorHAnsi" w:cstheme="minorHAnsi"/>
        </w:rPr>
        <w:t>the</w:t>
      </w:r>
      <w:r w:rsidR="00360A0A" w:rsidRPr="00360A0A">
        <w:rPr>
          <w:rFonts w:asciiTheme="minorHAnsi" w:hAnsiTheme="minorHAnsi" w:cstheme="minorHAnsi"/>
        </w:rPr>
        <w:t xml:space="preserve"> </w:t>
      </w:r>
      <w:r w:rsidR="00596C51" w:rsidRPr="00360A0A">
        <w:rPr>
          <w:rFonts w:asciiTheme="minorHAnsi" w:hAnsiTheme="minorHAnsi" w:cstheme="minorHAnsi"/>
        </w:rPr>
        <w:t>first</w:t>
      </w:r>
      <w:r w:rsidR="00360A0A" w:rsidRPr="00360A0A">
        <w:rPr>
          <w:rFonts w:asciiTheme="minorHAnsi" w:hAnsiTheme="minorHAnsi" w:cstheme="minorHAnsi"/>
        </w:rPr>
        <w:t xml:space="preserve"> </w:t>
      </w:r>
      <w:r w:rsidR="008346DF">
        <w:rPr>
          <w:rFonts w:asciiTheme="minorHAnsi" w:hAnsiTheme="minorHAnsi" w:cstheme="minorHAnsi"/>
        </w:rPr>
        <w:t xml:space="preserve">two </w:t>
      </w:r>
      <w:r w:rsidR="00596C51" w:rsidRPr="00360A0A">
        <w:rPr>
          <w:rFonts w:asciiTheme="minorHAnsi" w:hAnsiTheme="minorHAnsi" w:cstheme="minorHAnsi"/>
        </w:rPr>
        <w:t>year</w:t>
      </w:r>
      <w:r w:rsidR="008346DF">
        <w:rPr>
          <w:rFonts w:asciiTheme="minorHAnsi" w:hAnsiTheme="minorHAnsi" w:cstheme="minorHAnsi"/>
        </w:rPr>
        <w:t>s</w:t>
      </w:r>
      <w:r w:rsidR="00360A0A" w:rsidRPr="00360A0A">
        <w:rPr>
          <w:rFonts w:asciiTheme="minorHAnsi" w:hAnsiTheme="minorHAnsi" w:cstheme="minorHAnsi"/>
        </w:rPr>
        <w:t xml:space="preserve"> </w:t>
      </w:r>
      <w:r w:rsidR="00596C51" w:rsidRPr="00360A0A">
        <w:rPr>
          <w:rFonts w:asciiTheme="minorHAnsi" w:hAnsiTheme="minorHAnsi" w:cstheme="minorHAnsi"/>
        </w:rPr>
        <w:t>of</w:t>
      </w:r>
      <w:r w:rsidR="00360A0A" w:rsidRPr="00360A0A">
        <w:rPr>
          <w:rFonts w:asciiTheme="minorHAnsi" w:hAnsiTheme="minorHAnsi" w:cstheme="minorHAnsi"/>
        </w:rPr>
        <w:t xml:space="preserve"> </w:t>
      </w:r>
      <w:r w:rsidR="00596C51" w:rsidRPr="00360A0A">
        <w:rPr>
          <w:rFonts w:asciiTheme="minorHAnsi" w:hAnsiTheme="minorHAnsi" w:cstheme="minorHAnsi"/>
        </w:rPr>
        <w:t>the</w:t>
      </w:r>
      <w:r w:rsidR="00360A0A" w:rsidRPr="00360A0A">
        <w:rPr>
          <w:rFonts w:asciiTheme="minorHAnsi" w:hAnsiTheme="minorHAnsi" w:cstheme="minorHAnsi"/>
        </w:rPr>
        <w:t xml:space="preserve"> </w:t>
      </w:r>
      <w:r w:rsidR="00596C51" w:rsidRPr="00360A0A">
        <w:rPr>
          <w:rFonts w:asciiTheme="minorHAnsi" w:hAnsiTheme="minorHAnsi" w:cstheme="minorHAnsi"/>
        </w:rPr>
        <w:t>triennium</w:t>
      </w:r>
      <w:r w:rsidR="00360A0A" w:rsidRPr="00360A0A">
        <w:rPr>
          <w:rFonts w:asciiTheme="minorHAnsi" w:hAnsiTheme="minorHAnsi" w:cstheme="minorHAnsi"/>
        </w:rPr>
        <w:t xml:space="preserve"> </w:t>
      </w:r>
      <w:r w:rsidR="0098073C" w:rsidRPr="00360A0A">
        <w:rPr>
          <w:rFonts w:asciiTheme="minorHAnsi" w:hAnsiTheme="minorHAnsi" w:cstheme="minorHAnsi"/>
        </w:rPr>
        <w:t>in</w:t>
      </w:r>
      <w:r w:rsidR="00360A0A" w:rsidRPr="00360A0A">
        <w:rPr>
          <w:rFonts w:asciiTheme="minorHAnsi" w:hAnsiTheme="minorHAnsi" w:cstheme="minorHAnsi"/>
        </w:rPr>
        <w:t xml:space="preserve"> </w:t>
      </w:r>
      <w:r w:rsidR="0098073C" w:rsidRPr="00360A0A">
        <w:rPr>
          <w:rFonts w:asciiTheme="minorHAnsi" w:hAnsiTheme="minorHAnsi" w:cstheme="minorHAnsi"/>
        </w:rPr>
        <w:t>comple</w:t>
      </w:r>
      <w:r w:rsidR="00D45BF7" w:rsidRPr="00360A0A">
        <w:rPr>
          <w:rFonts w:asciiTheme="minorHAnsi" w:hAnsiTheme="minorHAnsi" w:cstheme="minorHAnsi"/>
        </w:rPr>
        <w:t>ting</w:t>
      </w:r>
      <w:r w:rsidR="00360A0A" w:rsidRPr="00360A0A">
        <w:rPr>
          <w:rFonts w:asciiTheme="minorHAnsi" w:hAnsiTheme="minorHAnsi" w:cstheme="minorHAnsi"/>
        </w:rPr>
        <w:t xml:space="preserve"> </w:t>
      </w:r>
      <w:r w:rsidR="00D45BF7" w:rsidRPr="00360A0A">
        <w:rPr>
          <w:rFonts w:asciiTheme="minorHAnsi" w:hAnsiTheme="minorHAnsi" w:cstheme="minorHAnsi"/>
        </w:rPr>
        <w:t>the</w:t>
      </w:r>
      <w:r w:rsidR="00360A0A" w:rsidRPr="00360A0A">
        <w:rPr>
          <w:rFonts w:asciiTheme="minorHAnsi" w:hAnsiTheme="minorHAnsi" w:cstheme="minorHAnsi"/>
        </w:rPr>
        <w:t xml:space="preserve"> </w:t>
      </w:r>
      <w:r w:rsidR="00D45BF7" w:rsidRPr="00360A0A">
        <w:rPr>
          <w:rFonts w:asciiTheme="minorHAnsi" w:hAnsiTheme="minorHAnsi" w:cstheme="minorHAnsi"/>
        </w:rPr>
        <w:t>desired</w:t>
      </w:r>
      <w:r w:rsidR="00360A0A" w:rsidRPr="00360A0A">
        <w:rPr>
          <w:rFonts w:asciiTheme="minorHAnsi" w:hAnsiTheme="minorHAnsi" w:cstheme="minorHAnsi"/>
        </w:rPr>
        <w:t xml:space="preserve"> </w:t>
      </w:r>
      <w:r w:rsidR="00D45BF7" w:rsidRPr="00360A0A">
        <w:rPr>
          <w:rFonts w:asciiTheme="minorHAnsi" w:hAnsiTheme="minorHAnsi" w:cstheme="minorHAnsi"/>
        </w:rPr>
        <w:t>results</w:t>
      </w:r>
      <w:r w:rsidR="00360A0A" w:rsidRPr="00360A0A">
        <w:rPr>
          <w:rFonts w:asciiTheme="minorHAnsi" w:hAnsiTheme="minorHAnsi" w:cstheme="minorHAnsi"/>
        </w:rPr>
        <w:t xml:space="preserve"> </w:t>
      </w:r>
      <w:r w:rsidR="0098073C" w:rsidRPr="00360A0A">
        <w:rPr>
          <w:rFonts w:asciiTheme="minorHAnsi" w:hAnsiTheme="minorHAnsi" w:cstheme="minorHAnsi"/>
        </w:rPr>
        <w:t>identified</w:t>
      </w:r>
      <w:r w:rsidR="00360A0A" w:rsidRPr="00360A0A">
        <w:rPr>
          <w:rFonts w:asciiTheme="minorHAnsi" w:hAnsiTheme="minorHAnsi" w:cstheme="minorHAnsi"/>
        </w:rPr>
        <w:t xml:space="preserve"> </w:t>
      </w:r>
      <w:r w:rsidR="0098073C" w:rsidRPr="00360A0A">
        <w:rPr>
          <w:rFonts w:asciiTheme="minorHAnsi" w:hAnsiTheme="minorHAnsi" w:cstheme="minorHAnsi"/>
        </w:rPr>
        <w:t>across</w:t>
      </w:r>
      <w:r w:rsidR="00360A0A" w:rsidRPr="00360A0A">
        <w:rPr>
          <w:rFonts w:asciiTheme="minorHAnsi" w:hAnsiTheme="minorHAnsi" w:cstheme="minorHAnsi"/>
        </w:rPr>
        <w:t xml:space="preserve"> </w:t>
      </w:r>
      <w:r w:rsidR="0098073C" w:rsidRPr="00360A0A">
        <w:rPr>
          <w:rFonts w:asciiTheme="minorHAnsi" w:hAnsiTheme="minorHAnsi" w:cstheme="minorHAnsi"/>
        </w:rPr>
        <w:t>the</w:t>
      </w:r>
      <w:r w:rsidR="00360A0A" w:rsidRPr="00360A0A">
        <w:rPr>
          <w:rFonts w:asciiTheme="minorHAnsi" w:hAnsiTheme="minorHAnsi" w:cstheme="minorHAnsi"/>
        </w:rPr>
        <w:t xml:space="preserve"> </w:t>
      </w:r>
      <w:r w:rsidR="0098073C" w:rsidRPr="00360A0A">
        <w:rPr>
          <w:rFonts w:asciiTheme="minorHAnsi" w:hAnsiTheme="minorHAnsi" w:cstheme="minorHAnsi"/>
        </w:rPr>
        <w:t>functional</w:t>
      </w:r>
      <w:r w:rsidR="00360A0A" w:rsidRPr="00360A0A">
        <w:rPr>
          <w:rFonts w:asciiTheme="minorHAnsi" w:hAnsiTheme="minorHAnsi" w:cstheme="minorHAnsi"/>
        </w:rPr>
        <w:t xml:space="preserve"> </w:t>
      </w:r>
      <w:r w:rsidR="008E2880" w:rsidRPr="00360A0A">
        <w:rPr>
          <w:rFonts w:asciiTheme="minorHAnsi" w:hAnsiTheme="minorHAnsi" w:cstheme="minorHAnsi"/>
        </w:rPr>
        <w:t>areas</w:t>
      </w:r>
      <w:r w:rsidR="00360A0A" w:rsidRPr="00360A0A">
        <w:rPr>
          <w:rFonts w:asciiTheme="minorHAnsi" w:hAnsiTheme="minorHAnsi" w:cstheme="minorHAnsi"/>
        </w:rPr>
        <w:t xml:space="preserve"> </w:t>
      </w:r>
      <w:r w:rsidR="008E2880" w:rsidRPr="00360A0A">
        <w:rPr>
          <w:rFonts w:asciiTheme="minorHAnsi" w:hAnsiTheme="minorHAnsi" w:cstheme="minorHAnsi"/>
        </w:rPr>
        <w:t>included</w:t>
      </w:r>
      <w:r w:rsidR="00360A0A" w:rsidRPr="00360A0A">
        <w:rPr>
          <w:rFonts w:asciiTheme="minorHAnsi" w:hAnsiTheme="minorHAnsi" w:cstheme="minorHAnsi"/>
        </w:rPr>
        <w:t xml:space="preserve"> </w:t>
      </w:r>
      <w:r w:rsidR="008E2880" w:rsidRPr="00360A0A">
        <w:rPr>
          <w:rFonts w:asciiTheme="minorHAnsi" w:hAnsiTheme="minorHAnsi" w:cstheme="minorHAnsi"/>
        </w:rPr>
        <w:t>in</w:t>
      </w:r>
      <w:r w:rsidR="00360A0A" w:rsidRPr="00360A0A">
        <w:rPr>
          <w:rFonts w:asciiTheme="minorHAnsi" w:hAnsiTheme="minorHAnsi" w:cstheme="minorHAnsi"/>
        </w:rPr>
        <w:t xml:space="preserve"> </w:t>
      </w:r>
      <w:r w:rsidR="008E2880" w:rsidRPr="00360A0A">
        <w:rPr>
          <w:rFonts w:asciiTheme="minorHAnsi" w:hAnsiTheme="minorHAnsi" w:cstheme="minorHAnsi"/>
        </w:rPr>
        <w:t>the</w:t>
      </w:r>
      <w:r w:rsidR="00360A0A" w:rsidRPr="00360A0A">
        <w:rPr>
          <w:rFonts w:asciiTheme="minorHAnsi" w:hAnsiTheme="minorHAnsi" w:cstheme="minorHAnsi"/>
        </w:rPr>
        <w:t xml:space="preserve"> </w:t>
      </w:r>
      <w:r w:rsidR="008E2880" w:rsidRPr="00360A0A">
        <w:rPr>
          <w:rFonts w:asciiTheme="minorHAnsi" w:hAnsiTheme="minorHAnsi" w:cstheme="minorHAnsi"/>
        </w:rPr>
        <w:t>workplan</w:t>
      </w:r>
      <w:r w:rsidR="00360A0A" w:rsidRPr="00360A0A">
        <w:rPr>
          <w:rFonts w:asciiTheme="minorHAnsi" w:hAnsiTheme="minorHAnsi" w:cstheme="minorHAnsi"/>
        </w:rPr>
        <w:t xml:space="preserve"> </w:t>
      </w:r>
      <w:r w:rsidR="008E2880" w:rsidRPr="00360A0A">
        <w:rPr>
          <w:rFonts w:asciiTheme="minorHAnsi" w:hAnsiTheme="minorHAnsi" w:cstheme="minorHAnsi"/>
        </w:rPr>
        <w:t>approved</w:t>
      </w:r>
      <w:r w:rsidR="00360A0A" w:rsidRPr="00360A0A">
        <w:rPr>
          <w:rFonts w:asciiTheme="minorHAnsi" w:hAnsiTheme="minorHAnsi" w:cstheme="minorHAnsi"/>
        </w:rPr>
        <w:t xml:space="preserve"> </w:t>
      </w:r>
      <w:r w:rsidR="008E2880" w:rsidRPr="00360A0A">
        <w:rPr>
          <w:rFonts w:asciiTheme="minorHAnsi" w:hAnsiTheme="minorHAnsi" w:cstheme="minorHAnsi"/>
        </w:rPr>
        <w:t>by</w:t>
      </w:r>
      <w:r w:rsidR="00360A0A" w:rsidRPr="00360A0A">
        <w:rPr>
          <w:rFonts w:asciiTheme="minorHAnsi" w:hAnsiTheme="minorHAnsi" w:cstheme="minorHAnsi"/>
        </w:rPr>
        <w:t xml:space="preserve"> </w:t>
      </w:r>
      <w:r w:rsidR="008E2880" w:rsidRPr="00360A0A">
        <w:rPr>
          <w:rFonts w:asciiTheme="minorHAnsi" w:hAnsiTheme="minorHAnsi" w:cstheme="minorHAnsi"/>
        </w:rPr>
        <w:t>the</w:t>
      </w:r>
      <w:r w:rsidR="00360A0A" w:rsidRPr="00360A0A">
        <w:rPr>
          <w:rFonts w:asciiTheme="minorHAnsi" w:hAnsiTheme="minorHAnsi" w:cstheme="minorHAnsi"/>
        </w:rPr>
        <w:t xml:space="preserve"> </w:t>
      </w:r>
      <w:r w:rsidR="008E2880" w:rsidRPr="00360A0A">
        <w:rPr>
          <w:rFonts w:asciiTheme="minorHAnsi" w:hAnsiTheme="minorHAnsi" w:cstheme="minorHAnsi"/>
        </w:rPr>
        <w:t>Standing</w:t>
      </w:r>
      <w:r w:rsidR="00360A0A" w:rsidRPr="00360A0A">
        <w:rPr>
          <w:rFonts w:asciiTheme="minorHAnsi" w:hAnsiTheme="minorHAnsi" w:cstheme="minorHAnsi"/>
        </w:rPr>
        <w:t xml:space="preserve"> </w:t>
      </w:r>
      <w:r w:rsidR="008E2880" w:rsidRPr="00360A0A">
        <w:rPr>
          <w:rFonts w:asciiTheme="minorHAnsi" w:hAnsiTheme="minorHAnsi" w:cstheme="minorHAnsi"/>
        </w:rPr>
        <w:t>Committee</w:t>
      </w:r>
      <w:r w:rsidR="00596C51" w:rsidRPr="00360A0A">
        <w:rPr>
          <w:rFonts w:asciiTheme="minorHAnsi" w:hAnsiTheme="minorHAnsi" w:cstheme="minorHAnsi"/>
        </w:rPr>
        <w:t>.</w:t>
      </w:r>
      <w:r w:rsidR="00360A0A" w:rsidRPr="00360A0A">
        <w:rPr>
          <w:rFonts w:asciiTheme="minorHAnsi" w:hAnsiTheme="minorHAnsi" w:cstheme="minorHAnsi"/>
        </w:rPr>
        <w:t xml:space="preserve"> </w:t>
      </w:r>
      <w:r w:rsidR="00FF4392">
        <w:rPr>
          <w:rFonts w:asciiTheme="minorHAnsi" w:hAnsiTheme="minorHAnsi" w:cstheme="minorHAnsi"/>
        </w:rPr>
        <w:t>As mentioned last year, t</w:t>
      </w:r>
      <w:r w:rsidR="00596C51" w:rsidRPr="00360A0A">
        <w:rPr>
          <w:rFonts w:asciiTheme="minorHAnsi" w:hAnsiTheme="minorHAnsi" w:cstheme="minorHAnsi"/>
        </w:rPr>
        <w:t>he</w:t>
      </w:r>
      <w:r w:rsidR="00360A0A" w:rsidRPr="00360A0A">
        <w:rPr>
          <w:rFonts w:asciiTheme="minorHAnsi" w:hAnsiTheme="minorHAnsi" w:cstheme="minorHAnsi"/>
        </w:rPr>
        <w:t xml:space="preserve"> </w:t>
      </w:r>
      <w:r w:rsidR="00596C51" w:rsidRPr="00360A0A">
        <w:rPr>
          <w:rFonts w:asciiTheme="minorHAnsi" w:hAnsiTheme="minorHAnsi" w:cstheme="minorHAnsi"/>
        </w:rPr>
        <w:t>2019</w:t>
      </w:r>
      <w:r w:rsidR="005F61E2">
        <w:rPr>
          <w:rFonts w:asciiTheme="minorHAnsi" w:hAnsiTheme="minorHAnsi" w:cstheme="minorHAnsi"/>
        </w:rPr>
        <w:t>-</w:t>
      </w:r>
      <w:r w:rsidR="00596C51" w:rsidRPr="00360A0A">
        <w:rPr>
          <w:rFonts w:asciiTheme="minorHAnsi" w:hAnsiTheme="minorHAnsi" w:cstheme="minorHAnsi"/>
        </w:rPr>
        <w:t>2021</w:t>
      </w:r>
      <w:r w:rsidR="00360A0A" w:rsidRPr="00360A0A">
        <w:rPr>
          <w:rFonts w:asciiTheme="minorHAnsi" w:hAnsiTheme="minorHAnsi" w:cstheme="minorHAnsi"/>
        </w:rPr>
        <w:t xml:space="preserve"> </w:t>
      </w:r>
      <w:r w:rsidR="00596C51" w:rsidRPr="00360A0A">
        <w:rPr>
          <w:rFonts w:asciiTheme="minorHAnsi" w:hAnsiTheme="minorHAnsi" w:cstheme="minorHAnsi"/>
        </w:rPr>
        <w:t>workplan</w:t>
      </w:r>
      <w:r w:rsidR="00360A0A" w:rsidRPr="00360A0A">
        <w:rPr>
          <w:rFonts w:asciiTheme="minorHAnsi" w:hAnsiTheme="minorHAnsi" w:cstheme="minorHAnsi"/>
        </w:rPr>
        <w:t xml:space="preserve"> </w:t>
      </w:r>
      <w:r w:rsidR="00FF4392">
        <w:rPr>
          <w:rFonts w:asciiTheme="minorHAnsi" w:hAnsiTheme="minorHAnsi" w:cstheme="minorHAnsi"/>
        </w:rPr>
        <w:t>continues to</w:t>
      </w:r>
      <w:r w:rsidR="00360A0A" w:rsidRPr="00360A0A">
        <w:rPr>
          <w:rFonts w:asciiTheme="minorHAnsi" w:hAnsiTheme="minorHAnsi" w:cstheme="minorHAnsi"/>
        </w:rPr>
        <w:t xml:space="preserve"> </w:t>
      </w:r>
      <w:r w:rsidR="00596C51" w:rsidRPr="00360A0A">
        <w:rPr>
          <w:rFonts w:asciiTheme="minorHAnsi" w:hAnsiTheme="minorHAnsi" w:cstheme="minorHAnsi"/>
        </w:rPr>
        <w:t>serve</w:t>
      </w:r>
      <w:r w:rsidR="00360A0A" w:rsidRPr="00360A0A">
        <w:rPr>
          <w:rFonts w:asciiTheme="minorHAnsi" w:hAnsiTheme="minorHAnsi" w:cstheme="minorHAnsi"/>
        </w:rPr>
        <w:t xml:space="preserve"> </w:t>
      </w:r>
      <w:r w:rsidR="00596C51" w:rsidRPr="00360A0A">
        <w:rPr>
          <w:rFonts w:asciiTheme="minorHAnsi" w:hAnsiTheme="minorHAnsi" w:cstheme="minorHAnsi"/>
        </w:rPr>
        <w:t>as</w:t>
      </w:r>
      <w:r w:rsidR="00360A0A" w:rsidRPr="00360A0A">
        <w:rPr>
          <w:rFonts w:asciiTheme="minorHAnsi" w:hAnsiTheme="minorHAnsi" w:cstheme="minorHAnsi"/>
        </w:rPr>
        <w:t xml:space="preserve"> </w:t>
      </w:r>
      <w:r w:rsidR="00596C51" w:rsidRPr="00360A0A">
        <w:rPr>
          <w:rFonts w:asciiTheme="minorHAnsi" w:hAnsiTheme="minorHAnsi" w:cstheme="minorHAnsi"/>
        </w:rPr>
        <w:t>the</w:t>
      </w:r>
      <w:r w:rsidR="00360A0A" w:rsidRPr="00360A0A">
        <w:rPr>
          <w:rFonts w:asciiTheme="minorHAnsi" w:hAnsiTheme="minorHAnsi" w:cstheme="minorHAnsi"/>
        </w:rPr>
        <w:t xml:space="preserve"> </w:t>
      </w:r>
      <w:r w:rsidR="00596C51" w:rsidRPr="00360A0A">
        <w:rPr>
          <w:rFonts w:asciiTheme="minorHAnsi" w:hAnsiTheme="minorHAnsi" w:cstheme="minorHAnsi"/>
        </w:rPr>
        <w:t>basis</w:t>
      </w:r>
      <w:r w:rsidR="00360A0A" w:rsidRPr="00360A0A">
        <w:rPr>
          <w:rFonts w:asciiTheme="minorHAnsi" w:hAnsiTheme="minorHAnsi" w:cstheme="minorHAnsi"/>
        </w:rPr>
        <w:t xml:space="preserve"> </w:t>
      </w:r>
      <w:r w:rsidR="00596C51" w:rsidRPr="00360A0A">
        <w:rPr>
          <w:rFonts w:asciiTheme="minorHAnsi" w:hAnsiTheme="minorHAnsi" w:cstheme="minorHAnsi"/>
        </w:rPr>
        <w:t>for</w:t>
      </w:r>
      <w:r w:rsidR="00360A0A" w:rsidRPr="00360A0A">
        <w:rPr>
          <w:rFonts w:asciiTheme="minorHAnsi" w:hAnsiTheme="minorHAnsi" w:cstheme="minorHAnsi"/>
        </w:rPr>
        <w:t xml:space="preserve"> </w:t>
      </w:r>
      <w:r w:rsidR="00596C51" w:rsidRPr="00360A0A">
        <w:rPr>
          <w:rFonts w:asciiTheme="minorHAnsi" w:hAnsiTheme="minorHAnsi" w:cstheme="minorHAnsi"/>
        </w:rPr>
        <w:t>the</w:t>
      </w:r>
      <w:r w:rsidR="00360A0A" w:rsidRPr="00360A0A">
        <w:rPr>
          <w:rFonts w:asciiTheme="minorHAnsi" w:hAnsiTheme="minorHAnsi" w:cstheme="minorHAnsi"/>
        </w:rPr>
        <w:t xml:space="preserve"> </w:t>
      </w:r>
      <w:r w:rsidR="00596C51" w:rsidRPr="00360A0A">
        <w:rPr>
          <w:rFonts w:asciiTheme="minorHAnsi" w:hAnsiTheme="minorHAnsi" w:cstheme="minorHAnsi"/>
        </w:rPr>
        <w:t>development</w:t>
      </w:r>
      <w:r w:rsidR="00360A0A" w:rsidRPr="00360A0A">
        <w:rPr>
          <w:rFonts w:asciiTheme="minorHAnsi" w:hAnsiTheme="minorHAnsi" w:cstheme="minorHAnsi"/>
        </w:rPr>
        <w:t xml:space="preserve"> </w:t>
      </w:r>
      <w:r w:rsidR="00596C51" w:rsidRPr="00360A0A">
        <w:rPr>
          <w:rFonts w:asciiTheme="minorHAnsi" w:hAnsiTheme="minorHAnsi" w:cstheme="minorHAnsi"/>
        </w:rPr>
        <w:t>of</w:t>
      </w:r>
      <w:r w:rsidR="00360A0A" w:rsidRPr="00360A0A">
        <w:rPr>
          <w:rFonts w:asciiTheme="minorHAnsi" w:hAnsiTheme="minorHAnsi" w:cstheme="minorHAnsi"/>
        </w:rPr>
        <w:t xml:space="preserve"> </w:t>
      </w:r>
      <w:r w:rsidR="00596C51" w:rsidRPr="00360A0A">
        <w:rPr>
          <w:rFonts w:asciiTheme="minorHAnsi" w:hAnsiTheme="minorHAnsi" w:cstheme="minorHAnsi"/>
        </w:rPr>
        <w:t>individual</w:t>
      </w:r>
      <w:r w:rsidR="00360A0A" w:rsidRPr="00360A0A">
        <w:rPr>
          <w:rFonts w:asciiTheme="minorHAnsi" w:hAnsiTheme="minorHAnsi" w:cstheme="minorHAnsi"/>
        </w:rPr>
        <w:t xml:space="preserve"> </w:t>
      </w:r>
      <w:r w:rsidR="00596C51" w:rsidRPr="00360A0A">
        <w:rPr>
          <w:rFonts w:asciiTheme="minorHAnsi" w:hAnsiTheme="minorHAnsi" w:cstheme="minorHAnsi"/>
        </w:rPr>
        <w:t>workplans</w:t>
      </w:r>
      <w:r w:rsidR="00360A0A" w:rsidRPr="00360A0A">
        <w:rPr>
          <w:rFonts w:asciiTheme="minorHAnsi" w:hAnsiTheme="minorHAnsi" w:cstheme="minorHAnsi"/>
        </w:rPr>
        <w:t xml:space="preserve"> </w:t>
      </w:r>
      <w:r w:rsidR="00596C51" w:rsidRPr="00360A0A">
        <w:rPr>
          <w:rFonts w:asciiTheme="minorHAnsi" w:hAnsiTheme="minorHAnsi" w:cstheme="minorHAnsi"/>
        </w:rPr>
        <w:t>for</w:t>
      </w:r>
      <w:r w:rsidR="00360A0A" w:rsidRPr="00360A0A">
        <w:rPr>
          <w:rFonts w:asciiTheme="minorHAnsi" w:hAnsiTheme="minorHAnsi" w:cstheme="minorHAnsi"/>
        </w:rPr>
        <w:t xml:space="preserve"> </w:t>
      </w:r>
      <w:r w:rsidR="00596C51" w:rsidRPr="00360A0A">
        <w:rPr>
          <w:rFonts w:asciiTheme="minorHAnsi" w:hAnsiTheme="minorHAnsi" w:cstheme="minorHAnsi"/>
        </w:rPr>
        <w:t>all</w:t>
      </w:r>
      <w:r w:rsidR="00360A0A" w:rsidRPr="00360A0A">
        <w:rPr>
          <w:rFonts w:asciiTheme="minorHAnsi" w:hAnsiTheme="minorHAnsi" w:cstheme="minorHAnsi"/>
        </w:rPr>
        <w:t xml:space="preserve"> </w:t>
      </w:r>
      <w:r w:rsidR="00596C51" w:rsidRPr="00360A0A">
        <w:rPr>
          <w:rFonts w:asciiTheme="minorHAnsi" w:hAnsiTheme="minorHAnsi" w:cstheme="minorHAnsi"/>
        </w:rPr>
        <w:t>staff</w:t>
      </w:r>
      <w:r w:rsidR="00360A0A" w:rsidRPr="00360A0A">
        <w:rPr>
          <w:rFonts w:asciiTheme="minorHAnsi" w:hAnsiTheme="minorHAnsi" w:cstheme="minorHAnsi"/>
        </w:rPr>
        <w:t xml:space="preserve"> </w:t>
      </w:r>
      <w:r w:rsidR="00596C51" w:rsidRPr="00360A0A">
        <w:rPr>
          <w:rFonts w:asciiTheme="minorHAnsi" w:hAnsiTheme="minorHAnsi" w:cstheme="minorHAnsi"/>
        </w:rPr>
        <w:t>and</w:t>
      </w:r>
      <w:r w:rsidR="00360A0A" w:rsidRPr="00360A0A">
        <w:rPr>
          <w:rFonts w:asciiTheme="minorHAnsi" w:hAnsiTheme="minorHAnsi" w:cstheme="minorHAnsi"/>
        </w:rPr>
        <w:t xml:space="preserve"> </w:t>
      </w:r>
      <w:r w:rsidR="00596C51" w:rsidRPr="00360A0A">
        <w:rPr>
          <w:rFonts w:asciiTheme="minorHAnsi" w:hAnsiTheme="minorHAnsi" w:cstheme="minorHAnsi"/>
        </w:rPr>
        <w:t>in</w:t>
      </w:r>
      <w:r w:rsidR="00360A0A" w:rsidRPr="00360A0A">
        <w:rPr>
          <w:rFonts w:asciiTheme="minorHAnsi" w:hAnsiTheme="minorHAnsi" w:cstheme="minorHAnsi"/>
        </w:rPr>
        <w:t xml:space="preserve"> </w:t>
      </w:r>
      <w:r w:rsidR="00596C51" w:rsidRPr="00360A0A">
        <w:rPr>
          <w:rFonts w:asciiTheme="minorHAnsi" w:hAnsiTheme="minorHAnsi" w:cstheme="minorHAnsi"/>
        </w:rPr>
        <w:t>evaluating</w:t>
      </w:r>
      <w:r w:rsidR="00360A0A" w:rsidRPr="00360A0A">
        <w:rPr>
          <w:rFonts w:asciiTheme="minorHAnsi" w:hAnsiTheme="minorHAnsi" w:cstheme="minorHAnsi"/>
        </w:rPr>
        <w:t xml:space="preserve"> </w:t>
      </w:r>
      <w:r w:rsidR="00596C51" w:rsidRPr="00360A0A">
        <w:rPr>
          <w:rFonts w:asciiTheme="minorHAnsi" w:hAnsiTheme="minorHAnsi" w:cstheme="minorHAnsi"/>
        </w:rPr>
        <w:t>staff</w:t>
      </w:r>
      <w:r w:rsidR="00360A0A" w:rsidRPr="00360A0A">
        <w:rPr>
          <w:rFonts w:asciiTheme="minorHAnsi" w:hAnsiTheme="minorHAnsi" w:cstheme="minorHAnsi"/>
        </w:rPr>
        <w:t xml:space="preserve"> </w:t>
      </w:r>
      <w:r w:rsidR="00596C51" w:rsidRPr="00360A0A">
        <w:rPr>
          <w:rFonts w:asciiTheme="minorHAnsi" w:hAnsiTheme="minorHAnsi" w:cstheme="minorHAnsi"/>
        </w:rPr>
        <w:t>performance.</w:t>
      </w:r>
      <w:r w:rsidR="00360A0A" w:rsidRPr="00360A0A">
        <w:rPr>
          <w:rFonts w:asciiTheme="minorHAnsi" w:hAnsiTheme="minorHAnsi" w:cstheme="minorHAnsi"/>
        </w:rPr>
        <w:t xml:space="preserve"> </w:t>
      </w:r>
      <w:r w:rsidR="00C64DDE" w:rsidRPr="00360A0A">
        <w:rPr>
          <w:rFonts w:asciiTheme="minorHAnsi" w:hAnsiTheme="minorHAnsi" w:cstheme="minorHAnsi"/>
        </w:rPr>
        <w:t>The</w:t>
      </w:r>
      <w:r w:rsidR="00360A0A" w:rsidRPr="00360A0A">
        <w:rPr>
          <w:rFonts w:asciiTheme="minorHAnsi" w:hAnsiTheme="minorHAnsi" w:cstheme="minorHAnsi"/>
        </w:rPr>
        <w:t xml:space="preserve"> </w:t>
      </w:r>
      <w:r w:rsidR="00C64DDE" w:rsidRPr="00360A0A">
        <w:rPr>
          <w:rFonts w:asciiTheme="minorHAnsi" w:hAnsiTheme="minorHAnsi" w:cstheme="minorHAnsi"/>
        </w:rPr>
        <w:t>202</w:t>
      </w:r>
      <w:r w:rsidR="008346DF">
        <w:rPr>
          <w:rFonts w:asciiTheme="minorHAnsi" w:hAnsiTheme="minorHAnsi" w:cstheme="minorHAnsi"/>
        </w:rPr>
        <w:t>1</w:t>
      </w:r>
      <w:r w:rsidR="00360A0A" w:rsidRPr="00360A0A">
        <w:rPr>
          <w:rFonts w:asciiTheme="minorHAnsi" w:hAnsiTheme="minorHAnsi" w:cstheme="minorHAnsi"/>
        </w:rPr>
        <w:t xml:space="preserve"> </w:t>
      </w:r>
      <w:r w:rsidR="00C64DDE" w:rsidRPr="00360A0A">
        <w:rPr>
          <w:rFonts w:asciiTheme="minorHAnsi" w:hAnsiTheme="minorHAnsi" w:cstheme="minorHAnsi"/>
        </w:rPr>
        <w:t>work</w:t>
      </w:r>
      <w:r w:rsidR="00360A0A" w:rsidRPr="00360A0A">
        <w:rPr>
          <w:rFonts w:asciiTheme="minorHAnsi" w:hAnsiTheme="minorHAnsi" w:cstheme="minorHAnsi"/>
        </w:rPr>
        <w:t xml:space="preserve"> </w:t>
      </w:r>
      <w:r w:rsidR="00596C51" w:rsidRPr="00360A0A">
        <w:rPr>
          <w:rFonts w:asciiTheme="minorHAnsi" w:hAnsiTheme="minorHAnsi" w:cstheme="minorHAnsi"/>
        </w:rPr>
        <w:t>plan</w:t>
      </w:r>
      <w:r w:rsidR="00360A0A" w:rsidRPr="00360A0A">
        <w:rPr>
          <w:rFonts w:asciiTheme="minorHAnsi" w:hAnsiTheme="minorHAnsi" w:cstheme="minorHAnsi"/>
        </w:rPr>
        <w:t xml:space="preserve"> </w:t>
      </w:r>
      <w:r w:rsidR="006D4D0C">
        <w:rPr>
          <w:rFonts w:asciiTheme="minorHAnsi" w:hAnsiTheme="minorHAnsi" w:cstheme="minorHAnsi"/>
        </w:rPr>
        <w:t xml:space="preserve">is </w:t>
      </w:r>
      <w:r w:rsidR="00C5479E" w:rsidRPr="00360A0A">
        <w:rPr>
          <w:rFonts w:asciiTheme="minorHAnsi" w:hAnsiTheme="minorHAnsi" w:cstheme="minorHAnsi"/>
        </w:rPr>
        <w:t>presented</w:t>
      </w:r>
      <w:r w:rsidR="00360A0A" w:rsidRPr="00360A0A">
        <w:rPr>
          <w:rFonts w:asciiTheme="minorHAnsi" w:hAnsiTheme="minorHAnsi" w:cstheme="minorHAnsi"/>
        </w:rPr>
        <w:t xml:space="preserve"> </w:t>
      </w:r>
      <w:r w:rsidR="00C5479E" w:rsidRPr="00360A0A">
        <w:rPr>
          <w:rFonts w:asciiTheme="minorHAnsi" w:hAnsiTheme="minorHAnsi" w:cstheme="minorHAnsi"/>
        </w:rPr>
        <w:t>to</w:t>
      </w:r>
      <w:r w:rsidR="00360A0A" w:rsidRPr="00360A0A">
        <w:rPr>
          <w:rFonts w:asciiTheme="minorHAnsi" w:hAnsiTheme="minorHAnsi" w:cstheme="minorHAnsi"/>
        </w:rPr>
        <w:t xml:space="preserve"> </w:t>
      </w:r>
      <w:r w:rsidR="00C5479E" w:rsidRPr="00360A0A">
        <w:rPr>
          <w:rFonts w:asciiTheme="minorHAnsi" w:hAnsiTheme="minorHAnsi" w:cstheme="minorHAnsi"/>
        </w:rPr>
        <w:t>SC5</w:t>
      </w:r>
      <w:r w:rsidR="008346DF">
        <w:rPr>
          <w:rFonts w:asciiTheme="minorHAnsi" w:hAnsiTheme="minorHAnsi" w:cstheme="minorHAnsi"/>
        </w:rPr>
        <w:t>9</w:t>
      </w:r>
      <w:r w:rsidR="00360A0A" w:rsidRPr="00360A0A">
        <w:rPr>
          <w:rFonts w:asciiTheme="minorHAnsi" w:hAnsiTheme="minorHAnsi" w:cstheme="minorHAnsi"/>
        </w:rPr>
        <w:t xml:space="preserve"> </w:t>
      </w:r>
      <w:r w:rsidR="00C5479E" w:rsidRPr="00360A0A">
        <w:rPr>
          <w:rFonts w:asciiTheme="minorHAnsi" w:hAnsiTheme="minorHAnsi" w:cstheme="minorHAnsi"/>
        </w:rPr>
        <w:t>for</w:t>
      </w:r>
      <w:r w:rsidR="00360A0A" w:rsidRPr="00360A0A">
        <w:rPr>
          <w:rFonts w:asciiTheme="minorHAnsi" w:hAnsiTheme="minorHAnsi" w:cstheme="minorHAnsi"/>
        </w:rPr>
        <w:t xml:space="preserve"> </w:t>
      </w:r>
      <w:r w:rsidR="00C5479E" w:rsidRPr="00360A0A">
        <w:rPr>
          <w:rFonts w:asciiTheme="minorHAnsi" w:hAnsiTheme="minorHAnsi" w:cstheme="minorHAnsi"/>
        </w:rPr>
        <w:t>approval</w:t>
      </w:r>
      <w:r w:rsidR="00C025C0">
        <w:rPr>
          <w:rFonts w:asciiTheme="minorHAnsi" w:hAnsiTheme="minorHAnsi" w:cstheme="minorHAnsi"/>
        </w:rPr>
        <w:t xml:space="preserve"> in document SC5</w:t>
      </w:r>
      <w:r w:rsidR="008346DF">
        <w:rPr>
          <w:rFonts w:asciiTheme="minorHAnsi" w:hAnsiTheme="minorHAnsi" w:cstheme="minorHAnsi"/>
        </w:rPr>
        <w:t>9</w:t>
      </w:r>
      <w:r w:rsidR="006D4D0C">
        <w:rPr>
          <w:rFonts w:asciiTheme="minorHAnsi" w:hAnsiTheme="minorHAnsi" w:cstheme="minorHAnsi"/>
        </w:rPr>
        <w:t xml:space="preserve"> </w:t>
      </w:r>
      <w:r w:rsidR="00A00CB5">
        <w:rPr>
          <w:rFonts w:asciiTheme="minorHAnsi" w:hAnsiTheme="minorHAnsi" w:cstheme="minorHAnsi"/>
        </w:rPr>
        <w:t>Doc.18</w:t>
      </w:r>
      <w:r w:rsidR="006D4D0C">
        <w:rPr>
          <w:rStyle w:val="FootnoteReference"/>
          <w:rFonts w:asciiTheme="minorHAnsi" w:hAnsiTheme="minorHAnsi" w:cstheme="minorHAnsi"/>
        </w:rPr>
        <w:footnoteReference w:id="2"/>
      </w:r>
      <w:r w:rsidR="006D4D0C">
        <w:rPr>
          <w:rFonts w:asciiTheme="minorHAnsi" w:hAnsiTheme="minorHAnsi" w:cstheme="minorHAnsi"/>
        </w:rPr>
        <w:t>.</w:t>
      </w:r>
      <w:r w:rsidR="00360A0A" w:rsidRPr="00360A0A">
        <w:rPr>
          <w:rFonts w:asciiTheme="minorHAnsi" w:hAnsiTheme="minorHAnsi" w:cstheme="minorHAnsi"/>
        </w:rPr>
        <w:t xml:space="preserve"> </w:t>
      </w:r>
    </w:p>
    <w:p w14:paraId="1D31CFDC" w14:textId="77777777" w:rsidR="00624345" w:rsidRPr="00360A0A" w:rsidRDefault="00624345" w:rsidP="00623F05">
      <w:pPr>
        <w:ind w:left="0" w:firstLine="0"/>
        <w:rPr>
          <w:rFonts w:asciiTheme="minorHAnsi" w:hAnsiTheme="minorHAnsi" w:cstheme="minorHAnsi"/>
        </w:rPr>
      </w:pPr>
    </w:p>
    <w:p w14:paraId="1AFFF7CD" w14:textId="357427DC" w:rsidR="00E90337" w:rsidRPr="00360A0A" w:rsidRDefault="00E90337" w:rsidP="00623F05">
      <w:pPr>
        <w:ind w:left="0" w:firstLine="0"/>
        <w:rPr>
          <w:rFonts w:asciiTheme="minorHAnsi" w:hAnsiTheme="minorHAnsi" w:cstheme="minorHAnsi"/>
          <w:b/>
          <w:bCs/>
        </w:rPr>
      </w:pPr>
      <w:r w:rsidRPr="00360A0A">
        <w:rPr>
          <w:rFonts w:asciiTheme="minorHAnsi" w:hAnsiTheme="minorHAnsi" w:cstheme="minorHAnsi"/>
          <w:b/>
          <w:bCs/>
        </w:rPr>
        <w:t>Strengthening</w:t>
      </w:r>
      <w:r w:rsidR="00360A0A" w:rsidRPr="00360A0A">
        <w:rPr>
          <w:rFonts w:asciiTheme="minorHAnsi" w:hAnsiTheme="minorHAnsi" w:cstheme="minorHAnsi"/>
          <w:b/>
          <w:bCs/>
        </w:rPr>
        <w:t xml:space="preserve"> </w:t>
      </w:r>
      <w:r w:rsidRPr="00360A0A">
        <w:rPr>
          <w:rFonts w:asciiTheme="minorHAnsi" w:hAnsiTheme="minorHAnsi" w:cstheme="minorHAnsi"/>
          <w:b/>
          <w:bCs/>
        </w:rPr>
        <w:t>service</w:t>
      </w:r>
      <w:r w:rsidR="00360A0A" w:rsidRPr="00360A0A">
        <w:rPr>
          <w:rFonts w:asciiTheme="minorHAnsi" w:hAnsiTheme="minorHAnsi" w:cstheme="minorHAnsi"/>
          <w:b/>
          <w:bCs/>
        </w:rPr>
        <w:t xml:space="preserve"> </w:t>
      </w:r>
      <w:r w:rsidRPr="00360A0A">
        <w:rPr>
          <w:rFonts w:asciiTheme="minorHAnsi" w:hAnsiTheme="minorHAnsi" w:cstheme="minorHAnsi"/>
          <w:b/>
          <w:bCs/>
        </w:rPr>
        <w:t>to</w:t>
      </w:r>
      <w:r w:rsidR="00360A0A" w:rsidRPr="00360A0A">
        <w:rPr>
          <w:rFonts w:asciiTheme="minorHAnsi" w:hAnsiTheme="minorHAnsi" w:cstheme="minorHAnsi"/>
          <w:b/>
          <w:bCs/>
        </w:rPr>
        <w:t xml:space="preserve"> </w:t>
      </w:r>
      <w:r w:rsidRPr="00360A0A">
        <w:rPr>
          <w:rFonts w:asciiTheme="minorHAnsi" w:hAnsiTheme="minorHAnsi" w:cstheme="minorHAnsi"/>
          <w:b/>
          <w:bCs/>
        </w:rPr>
        <w:t>Contracting</w:t>
      </w:r>
      <w:r w:rsidR="00360A0A" w:rsidRPr="00360A0A">
        <w:rPr>
          <w:rFonts w:asciiTheme="minorHAnsi" w:hAnsiTheme="minorHAnsi" w:cstheme="minorHAnsi"/>
          <w:b/>
          <w:bCs/>
        </w:rPr>
        <w:t xml:space="preserve"> </w:t>
      </w:r>
      <w:r w:rsidRPr="00360A0A">
        <w:rPr>
          <w:rFonts w:asciiTheme="minorHAnsi" w:hAnsiTheme="minorHAnsi" w:cstheme="minorHAnsi"/>
          <w:b/>
          <w:bCs/>
        </w:rPr>
        <w:t>Parties</w:t>
      </w:r>
      <w:r w:rsidR="001C2C01">
        <w:rPr>
          <w:rFonts w:asciiTheme="minorHAnsi" w:hAnsiTheme="minorHAnsi" w:cstheme="minorHAnsi"/>
          <w:b/>
          <w:bCs/>
        </w:rPr>
        <w:t>’</w:t>
      </w:r>
      <w:r w:rsidR="00360A0A" w:rsidRPr="00360A0A">
        <w:rPr>
          <w:rFonts w:asciiTheme="minorHAnsi" w:hAnsiTheme="minorHAnsi" w:cstheme="minorHAnsi"/>
          <w:b/>
          <w:bCs/>
        </w:rPr>
        <w:t xml:space="preserve"> </w:t>
      </w:r>
      <w:r w:rsidRPr="00360A0A">
        <w:rPr>
          <w:rFonts w:asciiTheme="minorHAnsi" w:hAnsiTheme="minorHAnsi" w:cstheme="minorHAnsi"/>
          <w:b/>
          <w:bCs/>
        </w:rPr>
        <w:t>decision-making</w:t>
      </w:r>
      <w:r w:rsidR="00360A0A" w:rsidRPr="00360A0A">
        <w:rPr>
          <w:rFonts w:asciiTheme="minorHAnsi" w:hAnsiTheme="minorHAnsi" w:cstheme="minorHAnsi"/>
          <w:b/>
          <w:bCs/>
        </w:rPr>
        <w:t xml:space="preserve"> </w:t>
      </w:r>
      <w:r w:rsidRPr="00360A0A">
        <w:rPr>
          <w:rFonts w:asciiTheme="minorHAnsi" w:hAnsiTheme="minorHAnsi" w:cstheme="minorHAnsi"/>
          <w:b/>
          <w:bCs/>
        </w:rPr>
        <w:t>and</w:t>
      </w:r>
      <w:r w:rsidR="00360A0A" w:rsidRPr="00360A0A">
        <w:rPr>
          <w:rFonts w:asciiTheme="minorHAnsi" w:hAnsiTheme="minorHAnsi" w:cstheme="minorHAnsi"/>
          <w:b/>
          <w:bCs/>
        </w:rPr>
        <w:t xml:space="preserve"> </w:t>
      </w:r>
      <w:r w:rsidRPr="00360A0A">
        <w:rPr>
          <w:rFonts w:asciiTheme="minorHAnsi" w:hAnsiTheme="minorHAnsi" w:cstheme="minorHAnsi"/>
          <w:b/>
          <w:bCs/>
        </w:rPr>
        <w:t>accountability</w:t>
      </w:r>
    </w:p>
    <w:p w14:paraId="68D234E2" w14:textId="77777777" w:rsidR="00E90337" w:rsidRPr="00360A0A" w:rsidRDefault="00E90337" w:rsidP="00623F05">
      <w:pPr>
        <w:ind w:left="0" w:firstLine="0"/>
        <w:rPr>
          <w:rFonts w:asciiTheme="minorHAnsi" w:hAnsiTheme="minorHAnsi" w:cstheme="minorHAnsi"/>
        </w:rPr>
      </w:pPr>
    </w:p>
    <w:p w14:paraId="6343B1E5" w14:textId="4E5A72F8" w:rsidR="0050655C" w:rsidRPr="00360A0A" w:rsidRDefault="00D101E6" w:rsidP="00623F05">
      <w:pPr>
        <w:rPr>
          <w:rFonts w:asciiTheme="minorHAnsi" w:hAnsiTheme="minorHAnsi" w:cstheme="minorHAnsi"/>
        </w:rPr>
      </w:pPr>
      <w:r>
        <w:rPr>
          <w:rFonts w:asciiTheme="minorHAnsi" w:hAnsiTheme="minorHAnsi" w:cstheme="minorHAnsi"/>
        </w:rPr>
        <w:t>4</w:t>
      </w:r>
      <w:r w:rsidR="00664D04" w:rsidRPr="00360A0A">
        <w:rPr>
          <w:rFonts w:asciiTheme="minorHAnsi" w:hAnsiTheme="minorHAnsi" w:cstheme="minorHAnsi"/>
        </w:rPr>
        <w:t>.</w:t>
      </w:r>
      <w:r w:rsidR="00664D04" w:rsidRPr="00360A0A">
        <w:rPr>
          <w:rFonts w:asciiTheme="minorHAnsi" w:hAnsiTheme="minorHAnsi" w:cstheme="minorHAnsi"/>
        </w:rPr>
        <w:tab/>
      </w:r>
      <w:r w:rsidR="00913356"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delivery</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Secretariat</w:t>
      </w:r>
      <w:r w:rsidR="001C2C01">
        <w:rPr>
          <w:rFonts w:asciiTheme="minorHAnsi" w:hAnsiTheme="minorHAnsi" w:cstheme="minorHAnsi"/>
        </w:rPr>
        <w:t>’</w:t>
      </w:r>
      <w:r w:rsidR="00E90337" w:rsidRPr="00360A0A">
        <w:rPr>
          <w:rFonts w:asciiTheme="minorHAnsi" w:hAnsiTheme="minorHAnsi" w:cstheme="minorHAnsi"/>
        </w:rPr>
        <w:t>s</w:t>
      </w:r>
      <w:r w:rsidR="00360A0A" w:rsidRPr="00360A0A">
        <w:rPr>
          <w:rFonts w:asciiTheme="minorHAnsi" w:hAnsiTheme="minorHAnsi" w:cstheme="minorHAnsi"/>
        </w:rPr>
        <w:t xml:space="preserve"> </w:t>
      </w:r>
      <w:r w:rsidR="00E90337" w:rsidRPr="00360A0A">
        <w:rPr>
          <w:rFonts w:asciiTheme="minorHAnsi" w:hAnsiTheme="minorHAnsi" w:cstheme="minorHAnsi"/>
        </w:rPr>
        <w:t>core</w:t>
      </w:r>
      <w:r w:rsidR="00360A0A" w:rsidRPr="00360A0A">
        <w:rPr>
          <w:rFonts w:asciiTheme="minorHAnsi" w:hAnsiTheme="minorHAnsi" w:cstheme="minorHAnsi"/>
        </w:rPr>
        <w:t xml:space="preserve"> </w:t>
      </w:r>
      <w:r w:rsidR="00E90337" w:rsidRPr="00360A0A">
        <w:rPr>
          <w:rFonts w:asciiTheme="minorHAnsi" w:hAnsiTheme="minorHAnsi" w:cstheme="minorHAnsi"/>
        </w:rPr>
        <w:t>role</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servicing</w:t>
      </w:r>
      <w:r w:rsidR="00360A0A" w:rsidRPr="00360A0A">
        <w:rPr>
          <w:rFonts w:asciiTheme="minorHAnsi" w:hAnsiTheme="minorHAnsi" w:cstheme="minorHAnsi"/>
        </w:rPr>
        <w:t xml:space="preserve"> </w:t>
      </w:r>
      <w:r w:rsidR="00E90337" w:rsidRPr="00360A0A">
        <w:rPr>
          <w:rFonts w:asciiTheme="minorHAnsi" w:hAnsiTheme="minorHAnsi" w:cstheme="minorHAnsi"/>
        </w:rPr>
        <w:t>Contracting</w:t>
      </w:r>
      <w:r w:rsidR="00360A0A" w:rsidRPr="00360A0A">
        <w:rPr>
          <w:rFonts w:asciiTheme="minorHAnsi" w:hAnsiTheme="minorHAnsi" w:cstheme="minorHAnsi"/>
        </w:rPr>
        <w:t xml:space="preserve"> </w:t>
      </w:r>
      <w:r w:rsidR="00E90337" w:rsidRPr="00360A0A">
        <w:rPr>
          <w:rFonts w:asciiTheme="minorHAnsi" w:hAnsiTheme="minorHAnsi" w:cstheme="minorHAnsi"/>
        </w:rPr>
        <w:t>Parties</w:t>
      </w:r>
      <w:r w:rsidR="00360A0A" w:rsidRPr="00360A0A">
        <w:rPr>
          <w:rFonts w:asciiTheme="minorHAnsi" w:hAnsiTheme="minorHAnsi" w:cstheme="minorHAnsi"/>
        </w:rPr>
        <w:t xml:space="preserve"> </w:t>
      </w:r>
      <w:r w:rsidR="007768E2" w:rsidRPr="00360A0A">
        <w:rPr>
          <w:rFonts w:asciiTheme="minorHAnsi" w:hAnsiTheme="minorHAnsi" w:cstheme="minorHAnsi"/>
        </w:rPr>
        <w:t>remains</w:t>
      </w:r>
      <w:r w:rsidR="00360A0A" w:rsidRPr="00360A0A">
        <w:rPr>
          <w:rFonts w:asciiTheme="minorHAnsi" w:hAnsiTheme="minorHAnsi" w:cstheme="minorHAnsi"/>
        </w:rPr>
        <w:t xml:space="preserve"> </w:t>
      </w:r>
      <w:r w:rsidR="007768E2" w:rsidRPr="00360A0A">
        <w:rPr>
          <w:rFonts w:asciiTheme="minorHAnsi" w:hAnsiTheme="minorHAnsi" w:cstheme="minorHAnsi"/>
        </w:rPr>
        <w:t>a</w:t>
      </w:r>
      <w:r w:rsidR="00360A0A" w:rsidRPr="00360A0A">
        <w:rPr>
          <w:rFonts w:asciiTheme="minorHAnsi" w:hAnsiTheme="minorHAnsi" w:cstheme="minorHAnsi"/>
        </w:rPr>
        <w:t xml:space="preserve"> </w:t>
      </w:r>
      <w:r w:rsidR="007768E2" w:rsidRPr="00360A0A">
        <w:rPr>
          <w:rFonts w:asciiTheme="minorHAnsi" w:hAnsiTheme="minorHAnsi" w:cstheme="minorHAnsi"/>
        </w:rPr>
        <w:t>priority</w:t>
      </w:r>
      <w:r w:rsidR="00585C51">
        <w:rPr>
          <w:rFonts w:asciiTheme="minorHAnsi" w:hAnsiTheme="minorHAnsi" w:cstheme="minorHAnsi"/>
        </w:rPr>
        <w:t xml:space="preserve"> despite the current operational challenges</w:t>
      </w:r>
      <w:r w:rsidR="00E90337" w:rsidRPr="00360A0A">
        <w:rPr>
          <w:rFonts w:asciiTheme="minorHAnsi" w:hAnsiTheme="minorHAnsi" w:cstheme="minorHAnsi"/>
        </w:rPr>
        <w:t>,</w:t>
      </w:r>
      <w:r w:rsidR="00360A0A" w:rsidRPr="00360A0A">
        <w:rPr>
          <w:rFonts w:asciiTheme="minorHAnsi" w:hAnsiTheme="minorHAnsi" w:cstheme="minorHAnsi"/>
        </w:rPr>
        <w:t xml:space="preserve"> </w:t>
      </w:r>
      <w:r w:rsidR="007768E2" w:rsidRPr="00360A0A">
        <w:rPr>
          <w:rFonts w:asciiTheme="minorHAnsi" w:hAnsiTheme="minorHAnsi" w:cstheme="minorHAnsi"/>
        </w:rPr>
        <w:t>and</w:t>
      </w:r>
      <w:r w:rsidR="00360A0A" w:rsidRPr="00360A0A">
        <w:rPr>
          <w:rFonts w:asciiTheme="minorHAnsi" w:hAnsiTheme="minorHAnsi" w:cstheme="minorHAnsi"/>
        </w:rPr>
        <w:t xml:space="preserve"> </w:t>
      </w:r>
      <w:r w:rsidR="007768E2" w:rsidRPr="00360A0A">
        <w:rPr>
          <w:rFonts w:asciiTheme="minorHAnsi" w:hAnsiTheme="minorHAnsi" w:cstheme="minorHAnsi"/>
        </w:rPr>
        <w:t>includes</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organization</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meetings</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governing</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subsidiary</w:t>
      </w:r>
      <w:r w:rsidR="00360A0A" w:rsidRPr="00360A0A">
        <w:rPr>
          <w:rFonts w:asciiTheme="minorHAnsi" w:hAnsiTheme="minorHAnsi" w:cstheme="minorHAnsi"/>
        </w:rPr>
        <w:t xml:space="preserve"> </w:t>
      </w:r>
      <w:r w:rsidR="00E90337" w:rsidRPr="00360A0A">
        <w:rPr>
          <w:rFonts w:asciiTheme="minorHAnsi" w:hAnsiTheme="minorHAnsi" w:cstheme="minorHAnsi"/>
        </w:rPr>
        <w:t>bodies</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accountability</w:t>
      </w:r>
      <w:r w:rsidR="00360A0A" w:rsidRPr="00360A0A">
        <w:rPr>
          <w:rFonts w:asciiTheme="minorHAnsi" w:hAnsiTheme="minorHAnsi" w:cstheme="minorHAnsi"/>
        </w:rPr>
        <w:t xml:space="preserve"> </w:t>
      </w:r>
      <w:r w:rsidR="00E90337" w:rsidRPr="00360A0A">
        <w:rPr>
          <w:rFonts w:asciiTheme="minorHAnsi" w:hAnsiTheme="minorHAnsi" w:cstheme="minorHAnsi"/>
        </w:rPr>
        <w:t>in</w:t>
      </w:r>
      <w:r w:rsidR="00360A0A" w:rsidRPr="00360A0A">
        <w:rPr>
          <w:rFonts w:asciiTheme="minorHAnsi" w:hAnsiTheme="minorHAnsi" w:cstheme="minorHAnsi"/>
        </w:rPr>
        <w:t xml:space="preserve"> </w:t>
      </w:r>
      <w:r w:rsidR="00E90337" w:rsidRPr="00360A0A">
        <w:rPr>
          <w:rFonts w:asciiTheme="minorHAnsi" w:hAnsiTheme="minorHAnsi" w:cstheme="minorHAnsi"/>
        </w:rPr>
        <w:t>all</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work</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Secretariat</w:t>
      </w:r>
      <w:r w:rsidR="00360A0A" w:rsidRPr="00360A0A">
        <w:rPr>
          <w:rFonts w:asciiTheme="minorHAnsi" w:hAnsiTheme="minorHAnsi" w:cstheme="minorHAnsi"/>
        </w:rPr>
        <w:t xml:space="preserve"> </w:t>
      </w:r>
      <w:r w:rsidR="00E90337" w:rsidRPr="00360A0A">
        <w:rPr>
          <w:rFonts w:asciiTheme="minorHAnsi" w:hAnsiTheme="minorHAnsi" w:cstheme="minorHAnsi"/>
        </w:rPr>
        <w:t>to</w:t>
      </w:r>
      <w:r w:rsidR="00360A0A" w:rsidRPr="00360A0A">
        <w:rPr>
          <w:rFonts w:asciiTheme="minorHAnsi" w:hAnsiTheme="minorHAnsi" w:cstheme="minorHAnsi"/>
        </w:rPr>
        <w:t xml:space="preserve"> </w:t>
      </w:r>
      <w:r w:rsidR="00E90337" w:rsidRPr="00360A0A">
        <w:rPr>
          <w:rFonts w:asciiTheme="minorHAnsi" w:hAnsiTheme="minorHAnsi" w:cstheme="minorHAnsi"/>
        </w:rPr>
        <w:t>implement</w:t>
      </w:r>
      <w:r w:rsidR="00360A0A" w:rsidRPr="00360A0A">
        <w:rPr>
          <w:rFonts w:asciiTheme="minorHAnsi" w:hAnsiTheme="minorHAnsi" w:cstheme="minorHAnsi"/>
        </w:rPr>
        <w:t xml:space="preserve"> </w:t>
      </w:r>
      <w:r w:rsidR="00E90337" w:rsidRPr="00360A0A">
        <w:rPr>
          <w:rFonts w:asciiTheme="minorHAnsi" w:hAnsiTheme="minorHAnsi" w:cstheme="minorHAnsi"/>
        </w:rPr>
        <w:t>decisions</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requests</w:t>
      </w:r>
      <w:r w:rsidR="00360A0A" w:rsidRPr="00360A0A">
        <w:rPr>
          <w:rFonts w:asciiTheme="minorHAnsi" w:hAnsiTheme="minorHAnsi" w:cstheme="minorHAnsi"/>
        </w:rPr>
        <w:t xml:space="preserve"> </w:t>
      </w:r>
      <w:r w:rsidR="005F61E2">
        <w:rPr>
          <w:rFonts w:asciiTheme="minorHAnsi" w:hAnsiTheme="minorHAnsi" w:cstheme="minorHAnsi"/>
        </w:rPr>
        <w:t>of</w:t>
      </w:r>
      <w:r w:rsidR="005F61E2"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Contracting</w:t>
      </w:r>
      <w:r w:rsidR="00360A0A" w:rsidRPr="00360A0A">
        <w:rPr>
          <w:rFonts w:asciiTheme="minorHAnsi" w:hAnsiTheme="minorHAnsi" w:cstheme="minorHAnsi"/>
        </w:rPr>
        <w:t xml:space="preserve"> </w:t>
      </w:r>
      <w:r w:rsidR="00E90337" w:rsidRPr="00360A0A">
        <w:rPr>
          <w:rFonts w:asciiTheme="minorHAnsi" w:hAnsiTheme="minorHAnsi" w:cstheme="minorHAnsi"/>
        </w:rPr>
        <w:t>Parties</w:t>
      </w:r>
      <w:r w:rsidR="00913356" w:rsidRPr="00360A0A">
        <w:rPr>
          <w:rFonts w:asciiTheme="minorHAnsi" w:hAnsiTheme="minorHAnsi" w:cstheme="minorHAnsi"/>
        </w:rPr>
        <w:t>.</w:t>
      </w:r>
      <w:r w:rsidR="00360A0A" w:rsidRPr="00360A0A">
        <w:rPr>
          <w:rFonts w:asciiTheme="minorHAnsi" w:hAnsiTheme="minorHAnsi" w:cstheme="minorHAnsi"/>
        </w:rPr>
        <w:t xml:space="preserve"> </w:t>
      </w:r>
      <w:r w:rsidR="00913356" w:rsidRPr="00360A0A">
        <w:rPr>
          <w:rFonts w:asciiTheme="minorHAnsi" w:hAnsiTheme="minorHAnsi" w:cstheme="minorHAnsi"/>
        </w:rPr>
        <w:t>This</w:t>
      </w:r>
      <w:r w:rsidR="00360A0A" w:rsidRPr="00360A0A">
        <w:rPr>
          <w:rFonts w:asciiTheme="minorHAnsi" w:hAnsiTheme="minorHAnsi" w:cstheme="minorHAnsi"/>
        </w:rPr>
        <w:t xml:space="preserve"> </w:t>
      </w:r>
      <w:r w:rsidR="009D0646" w:rsidRPr="00360A0A">
        <w:rPr>
          <w:rFonts w:asciiTheme="minorHAnsi" w:hAnsiTheme="minorHAnsi" w:cstheme="minorHAnsi"/>
        </w:rPr>
        <w:t>area</w:t>
      </w:r>
      <w:r w:rsidR="00360A0A" w:rsidRPr="00360A0A">
        <w:rPr>
          <w:rFonts w:asciiTheme="minorHAnsi" w:hAnsiTheme="minorHAnsi" w:cstheme="minorHAnsi"/>
        </w:rPr>
        <w:t xml:space="preserve"> </w:t>
      </w:r>
      <w:r w:rsidR="009D0646" w:rsidRPr="00360A0A">
        <w:rPr>
          <w:rFonts w:asciiTheme="minorHAnsi" w:hAnsiTheme="minorHAnsi" w:cstheme="minorHAnsi"/>
        </w:rPr>
        <w:t>of</w:t>
      </w:r>
      <w:r w:rsidR="00360A0A" w:rsidRPr="00360A0A">
        <w:rPr>
          <w:rFonts w:asciiTheme="minorHAnsi" w:hAnsiTheme="minorHAnsi" w:cstheme="minorHAnsi"/>
        </w:rPr>
        <w:t xml:space="preserve"> </w:t>
      </w:r>
      <w:r w:rsidR="009D0646" w:rsidRPr="00360A0A">
        <w:rPr>
          <w:rFonts w:asciiTheme="minorHAnsi" w:hAnsiTheme="minorHAnsi" w:cstheme="minorHAnsi"/>
        </w:rPr>
        <w:t>work</w:t>
      </w:r>
      <w:r w:rsidR="00360A0A" w:rsidRPr="00360A0A">
        <w:rPr>
          <w:rFonts w:asciiTheme="minorHAnsi" w:hAnsiTheme="minorHAnsi" w:cstheme="minorHAnsi"/>
        </w:rPr>
        <w:t xml:space="preserve"> </w:t>
      </w:r>
      <w:r w:rsidR="009D0646" w:rsidRPr="00360A0A">
        <w:rPr>
          <w:rFonts w:asciiTheme="minorHAnsi" w:hAnsiTheme="minorHAnsi" w:cstheme="minorHAnsi"/>
        </w:rPr>
        <w:t>has</w:t>
      </w:r>
      <w:r w:rsidR="00360A0A" w:rsidRPr="00360A0A">
        <w:rPr>
          <w:rFonts w:asciiTheme="minorHAnsi" w:hAnsiTheme="minorHAnsi" w:cstheme="minorHAnsi"/>
        </w:rPr>
        <w:t xml:space="preserve"> </w:t>
      </w:r>
      <w:r w:rsidR="00CD3CD5" w:rsidRPr="00360A0A">
        <w:rPr>
          <w:rFonts w:asciiTheme="minorHAnsi" w:hAnsiTheme="minorHAnsi" w:cstheme="minorHAnsi"/>
        </w:rPr>
        <w:t>thus</w:t>
      </w:r>
      <w:r w:rsidR="00360A0A" w:rsidRPr="00360A0A">
        <w:rPr>
          <w:rFonts w:asciiTheme="minorHAnsi" w:hAnsiTheme="minorHAnsi" w:cstheme="minorHAnsi"/>
        </w:rPr>
        <w:t xml:space="preserve"> </w:t>
      </w:r>
      <w:r w:rsidR="00CD3CD5" w:rsidRPr="00360A0A">
        <w:rPr>
          <w:rFonts w:asciiTheme="minorHAnsi" w:hAnsiTheme="minorHAnsi" w:cstheme="minorHAnsi"/>
        </w:rPr>
        <w:t>continued</w:t>
      </w:r>
      <w:r w:rsidR="00360A0A" w:rsidRPr="00360A0A">
        <w:rPr>
          <w:rFonts w:asciiTheme="minorHAnsi" w:hAnsiTheme="minorHAnsi" w:cstheme="minorHAnsi"/>
        </w:rPr>
        <w:t xml:space="preserve"> </w:t>
      </w:r>
      <w:r w:rsidR="00CD3CD5" w:rsidRPr="00360A0A">
        <w:rPr>
          <w:rFonts w:asciiTheme="minorHAnsi" w:hAnsiTheme="minorHAnsi" w:cstheme="minorHAnsi"/>
        </w:rPr>
        <w:t>to</w:t>
      </w:r>
      <w:r w:rsidR="00360A0A" w:rsidRPr="00360A0A">
        <w:rPr>
          <w:rFonts w:asciiTheme="minorHAnsi" w:hAnsiTheme="minorHAnsi" w:cstheme="minorHAnsi"/>
        </w:rPr>
        <w:t xml:space="preserve"> </w:t>
      </w:r>
      <w:r w:rsidR="009D0646" w:rsidRPr="00360A0A">
        <w:rPr>
          <w:rFonts w:asciiTheme="minorHAnsi" w:hAnsiTheme="minorHAnsi" w:cstheme="minorHAnsi"/>
        </w:rPr>
        <w:t>be</w:t>
      </w:r>
      <w:r w:rsidR="00360A0A" w:rsidRPr="00360A0A">
        <w:rPr>
          <w:rFonts w:asciiTheme="minorHAnsi" w:hAnsiTheme="minorHAnsi" w:cstheme="minorHAnsi"/>
        </w:rPr>
        <w:t xml:space="preserve"> </w:t>
      </w:r>
      <w:r w:rsidR="009D0646" w:rsidRPr="00360A0A">
        <w:rPr>
          <w:rFonts w:asciiTheme="minorHAnsi" w:hAnsiTheme="minorHAnsi" w:cstheme="minorHAnsi"/>
        </w:rPr>
        <w:t>prioritized</w:t>
      </w:r>
      <w:r w:rsidR="00A31D58">
        <w:rPr>
          <w:rFonts w:asciiTheme="minorHAnsi" w:hAnsiTheme="minorHAnsi" w:cstheme="minorHAnsi"/>
        </w:rPr>
        <w:t xml:space="preserve"> while utilizing new tools and processes adapted to</w:t>
      </w:r>
      <w:r w:rsidR="00A00CB5">
        <w:rPr>
          <w:rFonts w:asciiTheme="minorHAnsi" w:hAnsiTheme="minorHAnsi" w:cstheme="minorHAnsi"/>
        </w:rPr>
        <w:t xml:space="preserve"> </w:t>
      </w:r>
      <w:r w:rsidR="009D5F0E">
        <w:rPr>
          <w:rFonts w:asciiTheme="minorHAnsi" w:hAnsiTheme="minorHAnsi" w:cstheme="minorHAnsi"/>
        </w:rPr>
        <w:t>the new operating environment due to the pandemic</w:t>
      </w:r>
      <w:r w:rsidR="00E00235">
        <w:rPr>
          <w:rFonts w:asciiTheme="minorHAnsi" w:hAnsiTheme="minorHAnsi" w:cstheme="minorHAnsi"/>
        </w:rPr>
        <w:t xml:space="preserve">. </w:t>
      </w:r>
      <w:r w:rsidR="00237830" w:rsidRPr="00360A0A">
        <w:rPr>
          <w:rFonts w:asciiTheme="minorHAnsi" w:hAnsiTheme="minorHAnsi" w:cstheme="minorHAnsi"/>
        </w:rPr>
        <w:t>Th</w:t>
      </w:r>
      <w:r w:rsidR="009D0646" w:rsidRPr="00360A0A">
        <w:rPr>
          <w:rFonts w:asciiTheme="minorHAnsi" w:hAnsiTheme="minorHAnsi" w:cstheme="minorHAnsi"/>
        </w:rPr>
        <w:t>e</w:t>
      </w:r>
      <w:r w:rsidR="00360A0A" w:rsidRPr="00360A0A">
        <w:rPr>
          <w:rFonts w:asciiTheme="minorHAnsi" w:hAnsiTheme="minorHAnsi" w:cstheme="minorHAnsi"/>
        </w:rPr>
        <w:t xml:space="preserve"> </w:t>
      </w:r>
      <w:r w:rsidR="009D0646" w:rsidRPr="00360A0A">
        <w:rPr>
          <w:rFonts w:asciiTheme="minorHAnsi" w:hAnsiTheme="minorHAnsi" w:cstheme="minorHAnsi"/>
        </w:rPr>
        <w:t>workplan</w:t>
      </w:r>
      <w:r w:rsidR="00360A0A" w:rsidRPr="00360A0A">
        <w:rPr>
          <w:rFonts w:asciiTheme="minorHAnsi" w:hAnsiTheme="minorHAnsi" w:cstheme="minorHAnsi"/>
        </w:rPr>
        <w:t xml:space="preserve"> </w:t>
      </w:r>
      <w:r w:rsidR="009D0646" w:rsidRPr="00360A0A">
        <w:rPr>
          <w:rFonts w:asciiTheme="minorHAnsi" w:hAnsiTheme="minorHAnsi" w:cstheme="minorHAnsi"/>
        </w:rPr>
        <w:t>explicitly</w:t>
      </w:r>
      <w:r w:rsidR="00360A0A" w:rsidRPr="00360A0A">
        <w:rPr>
          <w:rFonts w:asciiTheme="minorHAnsi" w:hAnsiTheme="minorHAnsi" w:cstheme="minorHAnsi"/>
        </w:rPr>
        <w:t xml:space="preserve"> </w:t>
      </w:r>
      <w:r w:rsidR="009D0646" w:rsidRPr="00360A0A">
        <w:rPr>
          <w:rFonts w:asciiTheme="minorHAnsi" w:hAnsiTheme="minorHAnsi" w:cstheme="minorHAnsi"/>
        </w:rPr>
        <w:t>refers</w:t>
      </w:r>
      <w:r w:rsidR="00360A0A" w:rsidRPr="00360A0A">
        <w:rPr>
          <w:rFonts w:asciiTheme="minorHAnsi" w:hAnsiTheme="minorHAnsi" w:cstheme="minorHAnsi"/>
        </w:rPr>
        <w:t xml:space="preserve"> </w:t>
      </w:r>
      <w:r w:rsidR="009D0646" w:rsidRPr="00360A0A">
        <w:rPr>
          <w:rFonts w:asciiTheme="minorHAnsi" w:hAnsiTheme="minorHAnsi" w:cstheme="minorHAnsi"/>
        </w:rPr>
        <w:t>to</w:t>
      </w:r>
      <w:r w:rsidR="00360A0A" w:rsidRPr="00360A0A">
        <w:rPr>
          <w:rFonts w:asciiTheme="minorHAnsi" w:hAnsiTheme="minorHAnsi" w:cstheme="minorHAnsi"/>
        </w:rPr>
        <w:t xml:space="preserve"> </w:t>
      </w:r>
      <w:r w:rsidR="009D0646" w:rsidRPr="00360A0A">
        <w:rPr>
          <w:rFonts w:asciiTheme="minorHAnsi" w:hAnsiTheme="minorHAnsi" w:cstheme="minorHAnsi"/>
        </w:rPr>
        <w:t>the</w:t>
      </w:r>
      <w:r w:rsidR="00360A0A" w:rsidRPr="00360A0A">
        <w:rPr>
          <w:rFonts w:asciiTheme="minorHAnsi" w:hAnsiTheme="minorHAnsi" w:cstheme="minorHAnsi"/>
        </w:rPr>
        <w:t xml:space="preserve"> </w:t>
      </w:r>
      <w:r w:rsidR="001F4521" w:rsidRPr="00360A0A">
        <w:rPr>
          <w:rFonts w:asciiTheme="minorHAnsi" w:hAnsiTheme="minorHAnsi" w:cstheme="minorHAnsi"/>
        </w:rPr>
        <w:t>requests</w:t>
      </w:r>
      <w:r w:rsidR="00360A0A" w:rsidRPr="00360A0A">
        <w:rPr>
          <w:rFonts w:asciiTheme="minorHAnsi" w:hAnsiTheme="minorHAnsi" w:cstheme="minorHAnsi"/>
        </w:rPr>
        <w:t xml:space="preserve"> </w:t>
      </w:r>
      <w:r w:rsidR="001F4521" w:rsidRPr="00360A0A">
        <w:rPr>
          <w:rFonts w:asciiTheme="minorHAnsi" w:hAnsiTheme="minorHAnsi" w:cstheme="minorHAnsi"/>
        </w:rPr>
        <w:t>made</w:t>
      </w:r>
      <w:r w:rsidR="00360A0A" w:rsidRPr="00360A0A">
        <w:rPr>
          <w:rFonts w:asciiTheme="minorHAnsi" w:hAnsiTheme="minorHAnsi" w:cstheme="minorHAnsi"/>
        </w:rPr>
        <w:t xml:space="preserve"> </w:t>
      </w:r>
      <w:r w:rsidR="001F4521" w:rsidRPr="00360A0A">
        <w:rPr>
          <w:rFonts w:asciiTheme="minorHAnsi" w:hAnsiTheme="minorHAnsi" w:cstheme="minorHAnsi"/>
        </w:rPr>
        <w:t>by</w:t>
      </w:r>
      <w:r w:rsidR="00360A0A" w:rsidRPr="00360A0A">
        <w:rPr>
          <w:rFonts w:asciiTheme="minorHAnsi" w:hAnsiTheme="minorHAnsi" w:cstheme="minorHAnsi"/>
        </w:rPr>
        <w:t xml:space="preserve"> </w:t>
      </w:r>
      <w:r w:rsidR="001F4521" w:rsidRPr="00360A0A">
        <w:rPr>
          <w:rFonts w:asciiTheme="minorHAnsi" w:hAnsiTheme="minorHAnsi" w:cstheme="minorHAnsi"/>
        </w:rPr>
        <w:t>Contracting</w:t>
      </w:r>
      <w:r w:rsidR="00360A0A" w:rsidRPr="00360A0A">
        <w:rPr>
          <w:rFonts w:asciiTheme="minorHAnsi" w:hAnsiTheme="minorHAnsi" w:cstheme="minorHAnsi"/>
        </w:rPr>
        <w:t xml:space="preserve"> </w:t>
      </w:r>
      <w:r w:rsidR="001F4521" w:rsidRPr="00360A0A">
        <w:rPr>
          <w:rFonts w:asciiTheme="minorHAnsi" w:hAnsiTheme="minorHAnsi" w:cstheme="minorHAnsi"/>
        </w:rPr>
        <w:t>Parties</w:t>
      </w:r>
      <w:r w:rsidR="00360A0A" w:rsidRPr="00360A0A">
        <w:rPr>
          <w:rFonts w:asciiTheme="minorHAnsi" w:hAnsiTheme="minorHAnsi" w:cstheme="minorHAnsi"/>
        </w:rPr>
        <w:t xml:space="preserve"> </w:t>
      </w:r>
      <w:r w:rsidR="001F4521" w:rsidRPr="00360A0A">
        <w:rPr>
          <w:rFonts w:asciiTheme="minorHAnsi" w:hAnsiTheme="minorHAnsi" w:cstheme="minorHAnsi"/>
        </w:rPr>
        <w:t>to</w:t>
      </w:r>
      <w:r w:rsidR="00360A0A" w:rsidRPr="00360A0A">
        <w:rPr>
          <w:rFonts w:asciiTheme="minorHAnsi" w:hAnsiTheme="minorHAnsi" w:cstheme="minorHAnsi"/>
        </w:rPr>
        <w:t xml:space="preserve"> </w:t>
      </w:r>
      <w:r w:rsidR="001F4521" w:rsidRPr="00360A0A">
        <w:rPr>
          <w:rFonts w:asciiTheme="minorHAnsi" w:hAnsiTheme="minorHAnsi" w:cstheme="minorHAnsi"/>
        </w:rPr>
        <w:t>the</w:t>
      </w:r>
      <w:r w:rsidR="00360A0A" w:rsidRPr="00360A0A">
        <w:rPr>
          <w:rFonts w:asciiTheme="minorHAnsi" w:hAnsiTheme="minorHAnsi" w:cstheme="minorHAnsi"/>
        </w:rPr>
        <w:t xml:space="preserve"> </w:t>
      </w:r>
      <w:r w:rsidR="001F4521" w:rsidRPr="00360A0A">
        <w:rPr>
          <w:rFonts w:asciiTheme="minorHAnsi" w:hAnsiTheme="minorHAnsi" w:cstheme="minorHAnsi"/>
        </w:rPr>
        <w:t>Secretariat</w:t>
      </w:r>
      <w:r w:rsidR="00360A0A" w:rsidRPr="00360A0A">
        <w:rPr>
          <w:rFonts w:asciiTheme="minorHAnsi" w:hAnsiTheme="minorHAnsi" w:cstheme="minorHAnsi"/>
        </w:rPr>
        <w:t xml:space="preserve"> </w:t>
      </w:r>
      <w:r w:rsidR="009D0646" w:rsidRPr="00360A0A">
        <w:rPr>
          <w:rFonts w:asciiTheme="minorHAnsi" w:hAnsiTheme="minorHAnsi" w:cstheme="minorHAnsi"/>
        </w:rPr>
        <w:t>to</w:t>
      </w:r>
      <w:r w:rsidR="00360A0A" w:rsidRPr="00360A0A">
        <w:rPr>
          <w:rFonts w:asciiTheme="minorHAnsi" w:hAnsiTheme="minorHAnsi" w:cstheme="minorHAnsi"/>
        </w:rPr>
        <w:t xml:space="preserve"> </w:t>
      </w:r>
      <w:r w:rsidR="000F1ECC" w:rsidRPr="00360A0A">
        <w:rPr>
          <w:rFonts w:asciiTheme="minorHAnsi" w:hAnsiTheme="minorHAnsi" w:cstheme="minorHAnsi"/>
        </w:rPr>
        <w:t>enha</w:t>
      </w:r>
      <w:r w:rsidR="006518CD" w:rsidRPr="00360A0A">
        <w:rPr>
          <w:rFonts w:asciiTheme="minorHAnsi" w:hAnsiTheme="minorHAnsi" w:cstheme="minorHAnsi"/>
        </w:rPr>
        <w:t>nce</w:t>
      </w:r>
      <w:r w:rsidR="00360A0A" w:rsidRPr="00360A0A">
        <w:rPr>
          <w:rFonts w:asciiTheme="minorHAnsi" w:hAnsiTheme="minorHAnsi" w:cstheme="minorHAnsi"/>
        </w:rPr>
        <w:t xml:space="preserve"> </w:t>
      </w:r>
      <w:r w:rsidR="000F1ECC" w:rsidRPr="00360A0A">
        <w:rPr>
          <w:rFonts w:asciiTheme="minorHAnsi" w:hAnsiTheme="minorHAnsi" w:cstheme="minorHAnsi"/>
        </w:rPr>
        <w:t>accountability</w:t>
      </w:r>
      <w:r w:rsidR="00360A0A" w:rsidRPr="00360A0A">
        <w:rPr>
          <w:rFonts w:asciiTheme="minorHAnsi" w:hAnsiTheme="minorHAnsi" w:cstheme="minorHAnsi"/>
        </w:rPr>
        <w:t xml:space="preserve"> </w:t>
      </w:r>
      <w:r w:rsidR="000F1ECC" w:rsidRPr="00360A0A">
        <w:rPr>
          <w:rFonts w:asciiTheme="minorHAnsi" w:hAnsiTheme="minorHAnsi" w:cstheme="minorHAnsi"/>
        </w:rPr>
        <w:t>of</w:t>
      </w:r>
      <w:r w:rsidR="00360A0A" w:rsidRPr="00360A0A">
        <w:rPr>
          <w:rFonts w:asciiTheme="minorHAnsi" w:hAnsiTheme="minorHAnsi" w:cstheme="minorHAnsi"/>
        </w:rPr>
        <w:t xml:space="preserve"> </w:t>
      </w:r>
      <w:r w:rsidR="000F1ECC" w:rsidRPr="00360A0A">
        <w:rPr>
          <w:rFonts w:asciiTheme="minorHAnsi" w:hAnsiTheme="minorHAnsi" w:cstheme="minorHAnsi"/>
        </w:rPr>
        <w:t>the</w:t>
      </w:r>
      <w:r w:rsidR="00360A0A" w:rsidRPr="00360A0A">
        <w:rPr>
          <w:rFonts w:asciiTheme="minorHAnsi" w:hAnsiTheme="minorHAnsi" w:cstheme="minorHAnsi"/>
        </w:rPr>
        <w:t xml:space="preserve"> </w:t>
      </w:r>
      <w:r w:rsidR="000F1ECC" w:rsidRPr="00360A0A">
        <w:rPr>
          <w:rFonts w:asciiTheme="minorHAnsi" w:hAnsiTheme="minorHAnsi" w:cstheme="minorHAnsi"/>
        </w:rPr>
        <w:t>Secretariat.</w:t>
      </w:r>
    </w:p>
    <w:p w14:paraId="370C7855" w14:textId="77777777" w:rsidR="0050655C" w:rsidRPr="00360A0A" w:rsidRDefault="0050655C" w:rsidP="00623F05">
      <w:pPr>
        <w:rPr>
          <w:rFonts w:asciiTheme="minorHAnsi" w:hAnsiTheme="minorHAnsi" w:cstheme="minorHAnsi"/>
        </w:rPr>
      </w:pPr>
    </w:p>
    <w:p w14:paraId="74711C0F" w14:textId="694ABA06" w:rsidR="00257729" w:rsidRDefault="00D101E6" w:rsidP="00623F05">
      <w:pPr>
        <w:rPr>
          <w:rFonts w:asciiTheme="minorHAnsi" w:hAnsiTheme="minorHAnsi" w:cstheme="minorHAnsi"/>
        </w:rPr>
      </w:pPr>
      <w:r>
        <w:rPr>
          <w:rFonts w:asciiTheme="minorHAnsi" w:hAnsiTheme="minorHAnsi" w:cstheme="minorHAnsi"/>
        </w:rPr>
        <w:t>5</w:t>
      </w:r>
      <w:r w:rsidR="00664D04" w:rsidRPr="00360A0A">
        <w:rPr>
          <w:rFonts w:asciiTheme="minorHAnsi" w:hAnsiTheme="minorHAnsi" w:cstheme="minorHAnsi"/>
        </w:rPr>
        <w:t>.</w:t>
      </w:r>
      <w:r w:rsidR="00664D04" w:rsidRPr="00360A0A">
        <w:rPr>
          <w:rFonts w:asciiTheme="minorHAnsi" w:hAnsiTheme="minorHAnsi" w:cstheme="minorHAnsi"/>
        </w:rPr>
        <w:tab/>
      </w:r>
      <w:r w:rsidR="00E90337" w:rsidRPr="00360A0A">
        <w:rPr>
          <w:rFonts w:asciiTheme="minorHAnsi" w:hAnsiTheme="minorHAnsi" w:cstheme="minorHAnsi"/>
        </w:rPr>
        <w:t>A</w:t>
      </w:r>
      <w:r w:rsidR="00360A0A" w:rsidRPr="00360A0A">
        <w:rPr>
          <w:rFonts w:asciiTheme="minorHAnsi" w:hAnsiTheme="minorHAnsi" w:cstheme="minorHAnsi"/>
        </w:rPr>
        <w:t xml:space="preserve"> </w:t>
      </w:r>
      <w:r w:rsidR="00E90337" w:rsidRPr="00360A0A">
        <w:rPr>
          <w:rFonts w:asciiTheme="minorHAnsi" w:hAnsiTheme="minorHAnsi" w:cstheme="minorHAnsi"/>
        </w:rPr>
        <w:t>critical</w:t>
      </w:r>
      <w:r w:rsidR="00360A0A" w:rsidRPr="00360A0A">
        <w:rPr>
          <w:rFonts w:asciiTheme="minorHAnsi" w:hAnsiTheme="minorHAnsi" w:cstheme="minorHAnsi"/>
        </w:rPr>
        <w:t xml:space="preserve"> </w:t>
      </w:r>
      <w:r w:rsidR="00E90337" w:rsidRPr="00360A0A">
        <w:rPr>
          <w:rFonts w:asciiTheme="minorHAnsi" w:hAnsiTheme="minorHAnsi" w:cstheme="minorHAnsi"/>
        </w:rPr>
        <w:t>function</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Secretariat</w:t>
      </w:r>
      <w:r w:rsidR="00360A0A" w:rsidRPr="00360A0A">
        <w:rPr>
          <w:rFonts w:asciiTheme="minorHAnsi" w:hAnsiTheme="minorHAnsi" w:cstheme="minorHAnsi"/>
        </w:rPr>
        <w:t xml:space="preserve"> </w:t>
      </w:r>
      <w:r w:rsidR="00E90337" w:rsidRPr="00360A0A">
        <w:rPr>
          <w:rFonts w:asciiTheme="minorHAnsi" w:hAnsiTheme="minorHAnsi" w:cstheme="minorHAnsi"/>
        </w:rPr>
        <w:t>is</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organization</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meetings</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governing</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subsidiary</w:t>
      </w:r>
      <w:r w:rsidR="00360A0A" w:rsidRPr="00360A0A">
        <w:rPr>
          <w:rFonts w:asciiTheme="minorHAnsi" w:hAnsiTheme="minorHAnsi" w:cstheme="minorHAnsi"/>
        </w:rPr>
        <w:t xml:space="preserve"> </w:t>
      </w:r>
      <w:r w:rsidR="00E90337" w:rsidRPr="00360A0A">
        <w:rPr>
          <w:rFonts w:asciiTheme="minorHAnsi" w:hAnsiTheme="minorHAnsi" w:cstheme="minorHAnsi"/>
        </w:rPr>
        <w:t>bodies</w:t>
      </w:r>
      <w:r w:rsidR="00360A0A" w:rsidRPr="00360A0A">
        <w:rPr>
          <w:rFonts w:asciiTheme="minorHAnsi" w:hAnsiTheme="minorHAnsi" w:cstheme="minorHAnsi"/>
        </w:rPr>
        <w:t xml:space="preserve"> </w:t>
      </w:r>
      <w:r w:rsidR="00E90337" w:rsidRPr="00360A0A">
        <w:rPr>
          <w:rFonts w:asciiTheme="minorHAnsi" w:hAnsiTheme="minorHAnsi" w:cstheme="minorHAnsi"/>
        </w:rPr>
        <w:t>of</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Convention,</w:t>
      </w:r>
      <w:r w:rsidR="00360A0A" w:rsidRPr="00360A0A">
        <w:rPr>
          <w:rFonts w:asciiTheme="minorHAnsi" w:hAnsiTheme="minorHAnsi" w:cstheme="minorHAnsi"/>
        </w:rPr>
        <w:t xml:space="preserve"> </w:t>
      </w:r>
      <w:r w:rsidR="00E90337" w:rsidRPr="00360A0A">
        <w:rPr>
          <w:rFonts w:asciiTheme="minorHAnsi" w:hAnsiTheme="minorHAnsi" w:cstheme="minorHAnsi"/>
        </w:rPr>
        <w:t>including</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7C15C1" w:rsidRPr="00360A0A">
        <w:rPr>
          <w:rFonts w:asciiTheme="minorHAnsi" w:hAnsiTheme="minorHAnsi" w:cstheme="minorHAnsi"/>
        </w:rPr>
        <w:t>COP,</w:t>
      </w:r>
      <w:r w:rsidR="00360A0A" w:rsidRPr="00360A0A">
        <w:rPr>
          <w:rFonts w:asciiTheme="minorHAnsi" w:hAnsiTheme="minorHAnsi" w:cstheme="minorHAnsi"/>
        </w:rPr>
        <w:t xml:space="preserve"> </w:t>
      </w:r>
      <w:r w:rsidR="005F61E2">
        <w:rPr>
          <w:rFonts w:asciiTheme="minorHAnsi" w:hAnsiTheme="minorHAnsi" w:cstheme="minorHAnsi"/>
        </w:rPr>
        <w:t xml:space="preserve">the </w:t>
      </w:r>
      <w:r w:rsidR="00E90337" w:rsidRPr="00360A0A">
        <w:rPr>
          <w:rFonts w:asciiTheme="minorHAnsi" w:hAnsiTheme="minorHAnsi" w:cstheme="minorHAnsi"/>
        </w:rPr>
        <w:t>Standing</w:t>
      </w:r>
      <w:r w:rsidR="00360A0A" w:rsidRPr="00360A0A">
        <w:rPr>
          <w:rFonts w:asciiTheme="minorHAnsi" w:hAnsiTheme="minorHAnsi" w:cstheme="minorHAnsi"/>
        </w:rPr>
        <w:t xml:space="preserve"> </w:t>
      </w:r>
      <w:r w:rsidR="00E90337" w:rsidRPr="00360A0A">
        <w:rPr>
          <w:rFonts w:asciiTheme="minorHAnsi" w:hAnsiTheme="minorHAnsi" w:cstheme="minorHAnsi"/>
        </w:rPr>
        <w:t>Committee</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the</w:t>
      </w:r>
      <w:r w:rsidR="00360A0A" w:rsidRPr="00360A0A">
        <w:rPr>
          <w:rFonts w:asciiTheme="minorHAnsi" w:hAnsiTheme="minorHAnsi" w:cstheme="minorHAnsi"/>
        </w:rPr>
        <w:t xml:space="preserve"> </w:t>
      </w:r>
      <w:r w:rsidR="00E90337" w:rsidRPr="00360A0A">
        <w:rPr>
          <w:rFonts w:asciiTheme="minorHAnsi" w:hAnsiTheme="minorHAnsi" w:cstheme="minorHAnsi"/>
        </w:rPr>
        <w:t>Scientific</w:t>
      </w:r>
      <w:r w:rsidR="00360A0A" w:rsidRPr="00360A0A">
        <w:rPr>
          <w:rFonts w:asciiTheme="minorHAnsi" w:hAnsiTheme="minorHAnsi" w:cstheme="minorHAnsi"/>
        </w:rPr>
        <w:t xml:space="preserve"> </w:t>
      </w:r>
      <w:r w:rsidR="00E90337" w:rsidRPr="00360A0A">
        <w:rPr>
          <w:rFonts w:asciiTheme="minorHAnsi" w:hAnsiTheme="minorHAnsi" w:cstheme="minorHAnsi"/>
        </w:rPr>
        <w:t>and</w:t>
      </w:r>
      <w:r w:rsidR="00360A0A" w:rsidRPr="00360A0A">
        <w:rPr>
          <w:rFonts w:asciiTheme="minorHAnsi" w:hAnsiTheme="minorHAnsi" w:cstheme="minorHAnsi"/>
        </w:rPr>
        <w:t xml:space="preserve"> </w:t>
      </w:r>
      <w:r w:rsidR="00E90337" w:rsidRPr="00360A0A">
        <w:rPr>
          <w:rFonts w:asciiTheme="minorHAnsi" w:hAnsiTheme="minorHAnsi" w:cstheme="minorHAnsi"/>
        </w:rPr>
        <w:t>Technical</w:t>
      </w:r>
      <w:r w:rsidR="00360A0A" w:rsidRPr="00360A0A">
        <w:rPr>
          <w:rFonts w:asciiTheme="minorHAnsi" w:hAnsiTheme="minorHAnsi" w:cstheme="minorHAnsi"/>
        </w:rPr>
        <w:t xml:space="preserve"> </w:t>
      </w:r>
      <w:r w:rsidR="00E90337" w:rsidRPr="00360A0A">
        <w:rPr>
          <w:rFonts w:asciiTheme="minorHAnsi" w:hAnsiTheme="minorHAnsi" w:cstheme="minorHAnsi"/>
        </w:rPr>
        <w:t>Review</w:t>
      </w:r>
      <w:r w:rsidR="00360A0A" w:rsidRPr="00360A0A">
        <w:rPr>
          <w:rFonts w:asciiTheme="minorHAnsi" w:hAnsiTheme="minorHAnsi" w:cstheme="minorHAnsi"/>
        </w:rPr>
        <w:t xml:space="preserve"> </w:t>
      </w:r>
      <w:r w:rsidR="00E90337" w:rsidRPr="00360A0A">
        <w:rPr>
          <w:rFonts w:asciiTheme="minorHAnsi" w:hAnsiTheme="minorHAnsi" w:cstheme="minorHAnsi"/>
        </w:rPr>
        <w:t>Pa</w:t>
      </w:r>
      <w:r w:rsidR="00C4707A" w:rsidRPr="00360A0A">
        <w:rPr>
          <w:rFonts w:asciiTheme="minorHAnsi" w:hAnsiTheme="minorHAnsi" w:cstheme="minorHAnsi"/>
        </w:rPr>
        <w:t>nel</w:t>
      </w:r>
      <w:r w:rsidR="00360A0A" w:rsidRPr="00360A0A">
        <w:rPr>
          <w:rFonts w:asciiTheme="minorHAnsi" w:hAnsiTheme="minorHAnsi" w:cstheme="minorHAnsi"/>
        </w:rPr>
        <w:t xml:space="preserve"> </w:t>
      </w:r>
      <w:r w:rsidR="00C4707A" w:rsidRPr="00360A0A">
        <w:rPr>
          <w:rFonts w:asciiTheme="minorHAnsi" w:hAnsiTheme="minorHAnsi" w:cstheme="minorHAnsi"/>
        </w:rPr>
        <w:t>(STRP).</w:t>
      </w:r>
      <w:r w:rsidR="00360A0A" w:rsidRPr="00360A0A">
        <w:rPr>
          <w:rFonts w:asciiTheme="minorHAnsi" w:hAnsiTheme="minorHAnsi" w:cstheme="minorHAnsi"/>
        </w:rPr>
        <w:t xml:space="preserve"> </w:t>
      </w:r>
    </w:p>
    <w:p w14:paraId="343FA81A" w14:textId="73A2DDBB" w:rsidR="009F64EA" w:rsidRDefault="009F64EA" w:rsidP="00623F05">
      <w:pPr>
        <w:rPr>
          <w:rFonts w:asciiTheme="minorHAnsi" w:hAnsiTheme="minorHAnsi" w:cstheme="minorHAnsi"/>
        </w:rPr>
      </w:pPr>
    </w:p>
    <w:p w14:paraId="5C9BE124" w14:textId="21181944" w:rsidR="009F64EA" w:rsidRPr="009F64EA" w:rsidRDefault="00D101E6" w:rsidP="00623F05">
      <w:pPr>
        <w:rPr>
          <w:rFonts w:asciiTheme="minorHAnsi" w:hAnsiTheme="minorHAnsi" w:cstheme="minorHAnsi"/>
        </w:rPr>
      </w:pPr>
      <w:r>
        <w:rPr>
          <w:rFonts w:asciiTheme="minorHAnsi" w:hAnsiTheme="minorHAnsi" w:cstheme="minorHAnsi"/>
        </w:rPr>
        <w:t>6</w:t>
      </w:r>
      <w:r w:rsidR="009A4FA7">
        <w:rPr>
          <w:rFonts w:asciiTheme="minorHAnsi" w:hAnsiTheme="minorHAnsi" w:cstheme="minorHAnsi"/>
        </w:rPr>
        <w:t>.</w:t>
      </w:r>
      <w:r w:rsidR="009A4FA7">
        <w:rPr>
          <w:rFonts w:asciiTheme="minorHAnsi" w:hAnsiTheme="minorHAnsi" w:cstheme="minorHAnsi"/>
        </w:rPr>
        <w:tab/>
      </w:r>
      <w:r w:rsidR="009F64EA" w:rsidRPr="009F64EA">
        <w:rPr>
          <w:rFonts w:asciiTheme="minorHAnsi" w:hAnsiTheme="minorHAnsi" w:cstheme="minorHAnsi"/>
        </w:rPr>
        <w:t xml:space="preserve">An important </w:t>
      </w:r>
      <w:r w:rsidR="006F65A0">
        <w:rPr>
          <w:rFonts w:asciiTheme="minorHAnsi" w:hAnsiTheme="minorHAnsi" w:cstheme="minorHAnsi"/>
        </w:rPr>
        <w:t xml:space="preserve">highlight </w:t>
      </w:r>
      <w:r w:rsidR="009F64EA" w:rsidRPr="009F64EA">
        <w:rPr>
          <w:rFonts w:asciiTheme="minorHAnsi" w:hAnsiTheme="minorHAnsi" w:cstheme="minorHAnsi"/>
        </w:rPr>
        <w:t xml:space="preserve">during 2020 was the organization of a virtual SC58 meeting that took place </w:t>
      </w:r>
      <w:r w:rsidR="006B5D22">
        <w:rPr>
          <w:rFonts w:asciiTheme="minorHAnsi" w:hAnsiTheme="minorHAnsi" w:cstheme="minorHAnsi"/>
        </w:rPr>
        <w:t>on 23</w:t>
      </w:r>
      <w:r w:rsidR="00B222AB">
        <w:rPr>
          <w:rFonts w:asciiTheme="minorHAnsi" w:hAnsiTheme="minorHAnsi" w:cstheme="minorHAnsi"/>
        </w:rPr>
        <w:t xml:space="preserve"> </w:t>
      </w:r>
      <w:r w:rsidR="006B5D22">
        <w:rPr>
          <w:rFonts w:asciiTheme="minorHAnsi" w:hAnsiTheme="minorHAnsi" w:cstheme="minorHAnsi"/>
        </w:rPr>
        <w:t>and 25</w:t>
      </w:r>
      <w:r w:rsidR="00414F11">
        <w:rPr>
          <w:rFonts w:asciiTheme="minorHAnsi" w:hAnsiTheme="minorHAnsi" w:cstheme="minorHAnsi"/>
          <w:vertAlign w:val="superscript"/>
        </w:rPr>
        <w:t xml:space="preserve"> </w:t>
      </w:r>
      <w:r w:rsidR="009F64EA" w:rsidRPr="009F64EA">
        <w:rPr>
          <w:rFonts w:asciiTheme="minorHAnsi" w:hAnsiTheme="minorHAnsi" w:cstheme="minorHAnsi"/>
        </w:rPr>
        <w:t xml:space="preserve">June 2020. </w:t>
      </w:r>
      <w:r w:rsidR="00215FBE">
        <w:rPr>
          <w:rFonts w:asciiTheme="minorHAnsi" w:hAnsiTheme="minorHAnsi" w:cstheme="minorHAnsi"/>
        </w:rPr>
        <w:t>The Secretariat consulted with the Executive Team to submit proposals to the S</w:t>
      </w:r>
      <w:r w:rsidR="002E450D">
        <w:rPr>
          <w:rFonts w:asciiTheme="minorHAnsi" w:hAnsiTheme="minorHAnsi" w:cstheme="minorHAnsi"/>
        </w:rPr>
        <w:t>tanding Committee</w:t>
      </w:r>
      <w:r w:rsidR="00215FBE">
        <w:rPr>
          <w:rFonts w:asciiTheme="minorHAnsi" w:hAnsiTheme="minorHAnsi" w:cstheme="minorHAnsi"/>
        </w:rPr>
        <w:t xml:space="preserve"> to address urgent and time-sensitive matters in the agenda of SC58.</w:t>
      </w:r>
      <w:r w:rsidR="00013A89">
        <w:rPr>
          <w:rFonts w:asciiTheme="minorHAnsi" w:hAnsiTheme="minorHAnsi" w:cstheme="minorHAnsi"/>
        </w:rPr>
        <w:t xml:space="preserve"> </w:t>
      </w:r>
      <w:r w:rsidR="009F64EA" w:rsidRPr="009F64EA">
        <w:rPr>
          <w:rFonts w:asciiTheme="minorHAnsi" w:hAnsiTheme="minorHAnsi" w:cstheme="minorHAnsi"/>
        </w:rPr>
        <w:t xml:space="preserve">When a decision was taken by the Standing Committee on </w:t>
      </w:r>
      <w:r w:rsidR="006B5D22">
        <w:rPr>
          <w:rFonts w:asciiTheme="minorHAnsi" w:hAnsiTheme="minorHAnsi" w:cstheme="minorHAnsi"/>
        </w:rPr>
        <w:t>19</w:t>
      </w:r>
      <w:r w:rsidR="00B222AB">
        <w:rPr>
          <w:rFonts w:asciiTheme="minorHAnsi" w:hAnsiTheme="minorHAnsi" w:cstheme="minorHAnsi"/>
        </w:rPr>
        <w:t xml:space="preserve"> </w:t>
      </w:r>
      <w:r w:rsidR="006B5D22">
        <w:rPr>
          <w:rFonts w:asciiTheme="minorHAnsi" w:hAnsiTheme="minorHAnsi" w:cstheme="minorHAnsi"/>
        </w:rPr>
        <w:t>May</w:t>
      </w:r>
      <w:r w:rsidR="009F64EA" w:rsidRPr="009F64EA">
        <w:rPr>
          <w:rFonts w:asciiTheme="minorHAnsi" w:hAnsiTheme="minorHAnsi" w:cstheme="minorHAnsi"/>
        </w:rPr>
        <w:t xml:space="preserve"> to hold a virtual meeting, the Secretariat undertook research to identify a meeting platform that would support live interpretation, enable participants to join the meeting on a variety of devices including mobile phones, and provide </w:t>
      </w:r>
      <w:r w:rsidR="006B5D22">
        <w:rPr>
          <w:rFonts w:asciiTheme="minorHAnsi" w:hAnsiTheme="minorHAnsi" w:cstheme="minorHAnsi"/>
        </w:rPr>
        <w:t>on</w:t>
      </w:r>
      <w:r w:rsidR="00E00235">
        <w:rPr>
          <w:rFonts w:asciiTheme="minorHAnsi" w:hAnsiTheme="minorHAnsi" w:cstheme="minorHAnsi"/>
        </w:rPr>
        <w:t>-</w:t>
      </w:r>
      <w:r w:rsidR="006B5D22">
        <w:rPr>
          <w:rFonts w:asciiTheme="minorHAnsi" w:hAnsiTheme="minorHAnsi" w:cstheme="minorHAnsi"/>
        </w:rPr>
        <w:t xml:space="preserve">demand </w:t>
      </w:r>
      <w:r w:rsidR="009F64EA" w:rsidRPr="009F64EA">
        <w:rPr>
          <w:rFonts w:asciiTheme="minorHAnsi" w:hAnsiTheme="minorHAnsi" w:cstheme="minorHAnsi"/>
        </w:rPr>
        <w:t xml:space="preserve">technical support to participants to </w:t>
      </w:r>
      <w:r w:rsidR="0021604A">
        <w:rPr>
          <w:rFonts w:asciiTheme="minorHAnsi" w:hAnsiTheme="minorHAnsi" w:cstheme="minorHAnsi"/>
        </w:rPr>
        <w:t xml:space="preserve">get acquainted with the platform and </w:t>
      </w:r>
      <w:r w:rsidR="009F64EA" w:rsidRPr="009F64EA">
        <w:rPr>
          <w:rFonts w:asciiTheme="minorHAnsi" w:hAnsiTheme="minorHAnsi" w:cstheme="minorHAnsi"/>
        </w:rPr>
        <w:t>overcome potential connectivity issues</w:t>
      </w:r>
      <w:r w:rsidR="00215FBE" w:rsidRPr="009F64EA">
        <w:rPr>
          <w:rFonts w:asciiTheme="minorHAnsi" w:hAnsiTheme="minorHAnsi" w:cstheme="minorHAnsi"/>
        </w:rPr>
        <w:t>. The meeting was attended by 68 participants representing 35 Contracting Parties.</w:t>
      </w:r>
      <w:r w:rsidR="00013A89">
        <w:rPr>
          <w:rFonts w:asciiTheme="minorHAnsi" w:hAnsiTheme="minorHAnsi" w:cstheme="minorHAnsi"/>
        </w:rPr>
        <w:t xml:space="preserve"> </w:t>
      </w:r>
      <w:r w:rsidR="009F64EA" w:rsidRPr="009F64EA">
        <w:rPr>
          <w:rFonts w:asciiTheme="minorHAnsi" w:hAnsiTheme="minorHAnsi" w:cstheme="minorHAnsi"/>
        </w:rPr>
        <w:t>During these virtual meetings</w:t>
      </w:r>
      <w:r w:rsidR="006B5D22">
        <w:rPr>
          <w:rFonts w:asciiTheme="minorHAnsi" w:hAnsiTheme="minorHAnsi" w:cstheme="minorHAnsi"/>
        </w:rPr>
        <w:t>,</w:t>
      </w:r>
      <w:r w:rsidR="009F64EA" w:rsidRPr="009F64EA">
        <w:rPr>
          <w:rFonts w:asciiTheme="minorHAnsi" w:hAnsiTheme="minorHAnsi" w:cstheme="minorHAnsi"/>
        </w:rPr>
        <w:t xml:space="preserve"> 31 decisions were taken</w:t>
      </w:r>
      <w:r w:rsidR="00E00235">
        <w:rPr>
          <w:rFonts w:asciiTheme="minorHAnsi" w:hAnsiTheme="minorHAnsi" w:cstheme="minorHAnsi"/>
        </w:rPr>
        <w:t>.</w:t>
      </w:r>
      <w:r w:rsidR="00D459C1">
        <w:rPr>
          <w:rFonts w:asciiTheme="minorHAnsi" w:hAnsiTheme="minorHAnsi" w:cstheme="minorHAnsi"/>
        </w:rPr>
        <w:t xml:space="preserve"> </w:t>
      </w:r>
    </w:p>
    <w:p w14:paraId="631906A1" w14:textId="77777777" w:rsidR="009F64EA" w:rsidRPr="009F64EA" w:rsidRDefault="009F64EA" w:rsidP="00623F05">
      <w:pPr>
        <w:rPr>
          <w:rFonts w:asciiTheme="minorHAnsi" w:hAnsiTheme="minorHAnsi" w:cstheme="minorHAnsi"/>
        </w:rPr>
      </w:pPr>
    </w:p>
    <w:p w14:paraId="5220458C" w14:textId="10CA417F" w:rsidR="009F64EA" w:rsidRPr="009F64EA" w:rsidRDefault="00D101E6" w:rsidP="00623F05">
      <w:pPr>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9F64EA" w:rsidRPr="009F64EA">
        <w:rPr>
          <w:rFonts w:asciiTheme="minorHAnsi" w:hAnsiTheme="minorHAnsi" w:cstheme="minorHAnsi"/>
        </w:rPr>
        <w:t xml:space="preserve">Following the virtual SC58 meeting the Secretariat </w:t>
      </w:r>
      <w:r w:rsidR="00215FBE">
        <w:rPr>
          <w:rFonts w:asciiTheme="minorHAnsi" w:hAnsiTheme="minorHAnsi" w:cstheme="minorHAnsi"/>
        </w:rPr>
        <w:t xml:space="preserve">conducted a survey to collect </w:t>
      </w:r>
      <w:r w:rsidR="009F64EA" w:rsidRPr="009F64EA">
        <w:rPr>
          <w:rFonts w:asciiTheme="minorHAnsi" w:hAnsiTheme="minorHAnsi" w:cstheme="minorHAnsi"/>
        </w:rPr>
        <w:t>feedback from Contracting Parties.</w:t>
      </w:r>
      <w:r w:rsidR="00013A89">
        <w:rPr>
          <w:rFonts w:asciiTheme="minorHAnsi" w:hAnsiTheme="minorHAnsi" w:cstheme="minorHAnsi"/>
        </w:rPr>
        <w:t xml:space="preserve"> </w:t>
      </w:r>
      <w:r w:rsidR="009F64EA" w:rsidRPr="009F64EA">
        <w:rPr>
          <w:rFonts w:asciiTheme="minorHAnsi" w:hAnsiTheme="minorHAnsi" w:cstheme="minorHAnsi"/>
        </w:rPr>
        <w:t xml:space="preserve">The main </w:t>
      </w:r>
      <w:r w:rsidR="00E00235">
        <w:rPr>
          <w:rFonts w:asciiTheme="minorHAnsi" w:hAnsiTheme="minorHAnsi" w:cstheme="minorHAnsi"/>
        </w:rPr>
        <w:t>findings</w:t>
      </w:r>
      <w:r w:rsidR="009F64EA" w:rsidRPr="009F64EA">
        <w:rPr>
          <w:rFonts w:asciiTheme="minorHAnsi" w:hAnsiTheme="minorHAnsi" w:cstheme="minorHAnsi"/>
        </w:rPr>
        <w:t xml:space="preserve"> </w:t>
      </w:r>
      <w:r w:rsidR="00E00235">
        <w:rPr>
          <w:rFonts w:asciiTheme="minorHAnsi" w:hAnsiTheme="minorHAnsi" w:cstheme="minorHAnsi"/>
        </w:rPr>
        <w:t>were</w:t>
      </w:r>
      <w:r w:rsidR="009F64EA" w:rsidRPr="009F64EA">
        <w:rPr>
          <w:rFonts w:asciiTheme="minorHAnsi" w:hAnsiTheme="minorHAnsi" w:cstheme="minorHAnsi"/>
        </w:rPr>
        <w:t xml:space="preserve"> that Contracting Parties felt that the meeting was well </w:t>
      </w:r>
      <w:r w:rsidR="006B5D22">
        <w:rPr>
          <w:rFonts w:asciiTheme="minorHAnsi" w:hAnsiTheme="minorHAnsi" w:cstheme="minorHAnsi"/>
        </w:rPr>
        <w:t>organized</w:t>
      </w:r>
      <w:r w:rsidR="009F64EA" w:rsidRPr="009F64EA">
        <w:rPr>
          <w:rFonts w:asciiTheme="minorHAnsi" w:hAnsiTheme="minorHAnsi" w:cstheme="minorHAnsi"/>
        </w:rPr>
        <w:t xml:space="preserve">, </w:t>
      </w:r>
      <w:r w:rsidR="006B5D22">
        <w:rPr>
          <w:rFonts w:asciiTheme="minorHAnsi" w:hAnsiTheme="minorHAnsi" w:cstheme="minorHAnsi"/>
        </w:rPr>
        <w:t>that the online meeting technology worked well and that time</w:t>
      </w:r>
      <w:r w:rsidR="00E00235">
        <w:rPr>
          <w:rFonts w:asciiTheme="minorHAnsi" w:hAnsiTheme="minorHAnsi" w:cstheme="minorHAnsi"/>
        </w:rPr>
        <w:t>-</w:t>
      </w:r>
      <w:r w:rsidR="006B5D22">
        <w:rPr>
          <w:rFonts w:asciiTheme="minorHAnsi" w:hAnsiTheme="minorHAnsi" w:cstheme="minorHAnsi"/>
        </w:rPr>
        <w:t xml:space="preserve">critical decisions </w:t>
      </w:r>
      <w:r w:rsidR="00E00235">
        <w:rPr>
          <w:rFonts w:asciiTheme="minorHAnsi" w:hAnsiTheme="minorHAnsi" w:cstheme="minorHAnsi"/>
        </w:rPr>
        <w:t>could</w:t>
      </w:r>
      <w:r w:rsidR="006B5D22">
        <w:rPr>
          <w:rFonts w:asciiTheme="minorHAnsi" w:hAnsiTheme="minorHAnsi" w:cstheme="minorHAnsi"/>
        </w:rPr>
        <w:t xml:space="preserve"> be taken.</w:t>
      </w:r>
      <w:r w:rsidR="00245099">
        <w:rPr>
          <w:rFonts w:asciiTheme="minorHAnsi" w:hAnsiTheme="minorHAnsi" w:cstheme="minorHAnsi"/>
        </w:rPr>
        <w:t xml:space="preserve"> </w:t>
      </w:r>
      <w:r w:rsidR="006B5D22">
        <w:rPr>
          <w:rFonts w:asciiTheme="minorHAnsi" w:hAnsiTheme="minorHAnsi" w:cstheme="minorHAnsi"/>
        </w:rPr>
        <w:t>T</w:t>
      </w:r>
      <w:r w:rsidR="00245099">
        <w:rPr>
          <w:rFonts w:asciiTheme="minorHAnsi" w:hAnsiTheme="minorHAnsi" w:cstheme="minorHAnsi"/>
        </w:rPr>
        <w:t xml:space="preserve">he Secretariat was </w:t>
      </w:r>
      <w:r w:rsidR="006B5D22">
        <w:rPr>
          <w:rFonts w:asciiTheme="minorHAnsi" w:hAnsiTheme="minorHAnsi" w:cstheme="minorHAnsi"/>
        </w:rPr>
        <w:t>acknowledged</w:t>
      </w:r>
      <w:r w:rsidR="00245099">
        <w:rPr>
          <w:rFonts w:asciiTheme="minorHAnsi" w:hAnsiTheme="minorHAnsi" w:cstheme="minorHAnsi"/>
        </w:rPr>
        <w:t xml:space="preserve"> </w:t>
      </w:r>
      <w:r w:rsidR="009F64EA" w:rsidRPr="009F64EA">
        <w:rPr>
          <w:rFonts w:asciiTheme="minorHAnsi" w:hAnsiTheme="minorHAnsi" w:cstheme="minorHAnsi"/>
        </w:rPr>
        <w:t>for its innovative approach in using new technology</w:t>
      </w:r>
      <w:r w:rsidR="006B5D22">
        <w:rPr>
          <w:rFonts w:asciiTheme="minorHAnsi" w:hAnsiTheme="minorHAnsi" w:cstheme="minorHAnsi"/>
        </w:rPr>
        <w:t xml:space="preserve"> and ways of working</w:t>
      </w:r>
      <w:r w:rsidR="00245099">
        <w:rPr>
          <w:rFonts w:asciiTheme="minorHAnsi" w:hAnsiTheme="minorHAnsi" w:cstheme="minorHAnsi"/>
        </w:rPr>
        <w:t xml:space="preserve"> </w:t>
      </w:r>
      <w:r w:rsidR="00A31D58">
        <w:rPr>
          <w:rFonts w:asciiTheme="minorHAnsi" w:hAnsiTheme="minorHAnsi" w:cstheme="minorHAnsi"/>
        </w:rPr>
        <w:t xml:space="preserve">to facilitate </w:t>
      </w:r>
      <w:r w:rsidR="006B5D22">
        <w:rPr>
          <w:rFonts w:asciiTheme="minorHAnsi" w:hAnsiTheme="minorHAnsi" w:cstheme="minorHAnsi"/>
        </w:rPr>
        <w:t xml:space="preserve">consultation and </w:t>
      </w:r>
      <w:r w:rsidR="00A31D58">
        <w:rPr>
          <w:rFonts w:asciiTheme="minorHAnsi" w:hAnsiTheme="minorHAnsi" w:cstheme="minorHAnsi"/>
        </w:rPr>
        <w:t>decision making</w:t>
      </w:r>
      <w:r w:rsidR="009F64EA" w:rsidRPr="009F64EA">
        <w:rPr>
          <w:rFonts w:asciiTheme="minorHAnsi" w:hAnsiTheme="minorHAnsi" w:cstheme="minorHAnsi"/>
        </w:rPr>
        <w:t xml:space="preserve">. </w:t>
      </w:r>
      <w:r w:rsidR="001F223E">
        <w:rPr>
          <w:rFonts w:asciiTheme="minorHAnsi" w:hAnsiTheme="minorHAnsi" w:cstheme="minorHAnsi"/>
        </w:rPr>
        <w:t xml:space="preserve">In particular, Parties appreciated the advance sessions to test connectivity and the use of the platform and the technical support that was available during the meetings. </w:t>
      </w:r>
    </w:p>
    <w:p w14:paraId="3B18FDC0" w14:textId="77777777" w:rsidR="009F64EA" w:rsidRPr="009F64EA" w:rsidRDefault="009F64EA" w:rsidP="00623F05">
      <w:pPr>
        <w:rPr>
          <w:rFonts w:asciiTheme="minorHAnsi" w:hAnsiTheme="minorHAnsi" w:cstheme="minorHAnsi"/>
        </w:rPr>
      </w:pPr>
    </w:p>
    <w:p w14:paraId="48CB8C2F" w14:textId="1BC602FA" w:rsidR="009F64EA" w:rsidRPr="009F64EA" w:rsidRDefault="00D101E6" w:rsidP="00623F05">
      <w:pPr>
        <w:rPr>
          <w:rFonts w:asciiTheme="minorHAnsi" w:hAnsiTheme="minorHAnsi" w:cstheme="minorHAnsi"/>
        </w:rPr>
      </w:pPr>
      <w:r>
        <w:rPr>
          <w:rFonts w:asciiTheme="minorHAnsi" w:hAnsiTheme="minorHAnsi" w:cstheme="minorHAnsi"/>
        </w:rPr>
        <w:t>8.</w:t>
      </w:r>
      <w:r w:rsidR="00245099">
        <w:rPr>
          <w:rFonts w:asciiTheme="minorHAnsi" w:hAnsiTheme="minorHAnsi" w:cstheme="minorHAnsi"/>
        </w:rPr>
        <w:tab/>
      </w:r>
      <w:r w:rsidR="009F64EA" w:rsidRPr="009F64EA">
        <w:rPr>
          <w:rFonts w:asciiTheme="minorHAnsi" w:hAnsiTheme="minorHAnsi" w:cstheme="minorHAnsi"/>
        </w:rPr>
        <w:t xml:space="preserve">Following SC58, the Secretariat supported an intersessional process from September 2020 </w:t>
      </w:r>
      <w:r w:rsidR="00E00235">
        <w:rPr>
          <w:rFonts w:asciiTheme="minorHAnsi" w:hAnsiTheme="minorHAnsi" w:cstheme="minorHAnsi"/>
        </w:rPr>
        <w:t>to</w:t>
      </w:r>
      <w:r w:rsidR="009F64EA" w:rsidRPr="009F64EA">
        <w:rPr>
          <w:rFonts w:asciiTheme="minorHAnsi" w:hAnsiTheme="minorHAnsi" w:cstheme="minorHAnsi"/>
        </w:rPr>
        <w:t xml:space="preserve"> March 2021 whereby the Standing Committee </w:t>
      </w:r>
      <w:r w:rsidR="00A31D58">
        <w:rPr>
          <w:rFonts w:asciiTheme="minorHAnsi" w:hAnsiTheme="minorHAnsi" w:cstheme="minorHAnsi"/>
        </w:rPr>
        <w:t>took</w:t>
      </w:r>
      <w:r w:rsidR="009F64EA" w:rsidRPr="009F64EA">
        <w:rPr>
          <w:rFonts w:asciiTheme="minorHAnsi" w:hAnsiTheme="minorHAnsi" w:cstheme="minorHAnsi"/>
        </w:rPr>
        <w:t xml:space="preserve"> critical decisions in regards to </w:t>
      </w:r>
      <w:r w:rsidR="00215FBE">
        <w:rPr>
          <w:rFonts w:asciiTheme="minorHAnsi" w:hAnsiTheme="minorHAnsi" w:cstheme="minorHAnsi"/>
        </w:rPr>
        <w:t xml:space="preserve">its mandate, including </w:t>
      </w:r>
      <w:r w:rsidR="00A31D58">
        <w:rPr>
          <w:rFonts w:asciiTheme="minorHAnsi" w:hAnsiTheme="minorHAnsi" w:cstheme="minorHAnsi"/>
        </w:rPr>
        <w:t xml:space="preserve">addressing </w:t>
      </w:r>
      <w:r w:rsidR="009F64EA" w:rsidRPr="009F64EA">
        <w:rPr>
          <w:rFonts w:asciiTheme="minorHAnsi" w:hAnsiTheme="minorHAnsi" w:cstheme="minorHAnsi"/>
        </w:rPr>
        <w:t xml:space="preserve">budgetary matters. The Secretariat </w:t>
      </w:r>
      <w:r w:rsidR="00567068">
        <w:rPr>
          <w:rFonts w:asciiTheme="minorHAnsi" w:hAnsiTheme="minorHAnsi" w:cstheme="minorHAnsi"/>
        </w:rPr>
        <w:t xml:space="preserve">provided support to </w:t>
      </w:r>
      <w:r w:rsidR="009F64EA" w:rsidRPr="009F64EA">
        <w:rPr>
          <w:rFonts w:asciiTheme="minorHAnsi" w:hAnsiTheme="minorHAnsi" w:cstheme="minorHAnsi"/>
        </w:rPr>
        <w:t>this intersessional process through implementing a process</w:t>
      </w:r>
      <w:r w:rsidR="0021604A">
        <w:rPr>
          <w:rFonts w:asciiTheme="minorHAnsi" w:hAnsiTheme="minorHAnsi" w:cstheme="minorHAnsi"/>
        </w:rPr>
        <w:t xml:space="preserve"> in line with the Rules of Procedure</w:t>
      </w:r>
      <w:r w:rsidR="009F64EA" w:rsidRPr="009F64EA">
        <w:rPr>
          <w:rFonts w:asciiTheme="minorHAnsi" w:hAnsiTheme="minorHAnsi" w:cstheme="minorHAnsi"/>
        </w:rPr>
        <w:t xml:space="preserve"> </w:t>
      </w:r>
      <w:r w:rsidR="00E00235">
        <w:rPr>
          <w:rFonts w:asciiTheme="minorHAnsi" w:hAnsiTheme="minorHAnsi" w:cstheme="minorHAnsi"/>
        </w:rPr>
        <w:t>under which</w:t>
      </w:r>
      <w:r w:rsidR="009F64EA" w:rsidRPr="009F64EA">
        <w:rPr>
          <w:rFonts w:asciiTheme="minorHAnsi" w:hAnsiTheme="minorHAnsi" w:cstheme="minorHAnsi"/>
        </w:rPr>
        <w:t xml:space="preserve"> Contracting Parties could comment on proposed decisions via email</w:t>
      </w:r>
      <w:r w:rsidR="0021604A">
        <w:rPr>
          <w:rFonts w:asciiTheme="minorHAnsi" w:hAnsiTheme="minorHAnsi" w:cstheme="minorHAnsi"/>
        </w:rPr>
        <w:t xml:space="preserve"> (full comments were also provided for transparency)</w:t>
      </w:r>
      <w:r w:rsidR="009F64EA" w:rsidRPr="009F64EA">
        <w:rPr>
          <w:rFonts w:asciiTheme="minorHAnsi" w:hAnsiTheme="minorHAnsi" w:cstheme="minorHAnsi"/>
        </w:rPr>
        <w:t xml:space="preserve">, with decisions amended to reflect the views of Parties, until consensus on a decision was reached. Contracting Parties made </w:t>
      </w:r>
      <w:r w:rsidR="00E00235">
        <w:rPr>
          <w:rFonts w:asciiTheme="minorHAnsi" w:hAnsiTheme="minorHAnsi" w:cstheme="minorHAnsi"/>
        </w:rPr>
        <w:t>ten</w:t>
      </w:r>
      <w:r w:rsidR="009F64EA" w:rsidRPr="009F64EA">
        <w:rPr>
          <w:rFonts w:asciiTheme="minorHAnsi" w:hAnsiTheme="minorHAnsi" w:cstheme="minorHAnsi"/>
        </w:rPr>
        <w:t xml:space="preserve"> decisions during this intersessional process.</w:t>
      </w:r>
      <w:r w:rsidR="00013A89">
        <w:rPr>
          <w:rFonts w:asciiTheme="minorHAnsi" w:hAnsiTheme="minorHAnsi" w:cstheme="minorHAnsi"/>
        </w:rPr>
        <w:t xml:space="preserve"> </w:t>
      </w:r>
      <w:r w:rsidR="00215FBE">
        <w:rPr>
          <w:rFonts w:asciiTheme="minorHAnsi" w:hAnsiTheme="minorHAnsi" w:cstheme="minorHAnsi"/>
        </w:rPr>
        <w:t xml:space="preserve">The Secretariat notified all Contracting Parties of these decisions and </w:t>
      </w:r>
      <w:r w:rsidR="00215FBE">
        <w:rPr>
          <w:rFonts w:asciiTheme="minorHAnsi" w:hAnsiTheme="minorHAnsi" w:cstheme="minorHAnsi"/>
        </w:rPr>
        <w:lastRenderedPageBreak/>
        <w:t xml:space="preserve">created </w:t>
      </w:r>
      <w:r w:rsidR="00B268F3">
        <w:rPr>
          <w:rFonts w:asciiTheme="minorHAnsi" w:hAnsiTheme="minorHAnsi" w:cstheme="minorHAnsi"/>
        </w:rPr>
        <w:t xml:space="preserve">specific </w:t>
      </w:r>
      <w:r w:rsidR="00215FBE">
        <w:rPr>
          <w:rFonts w:asciiTheme="minorHAnsi" w:hAnsiTheme="minorHAnsi" w:cstheme="minorHAnsi"/>
        </w:rPr>
        <w:t xml:space="preserve">pages in the website with the intersessional decisions and notifications. The Secretariat also supported Standing Committee members on request in </w:t>
      </w:r>
      <w:r w:rsidR="00547E88">
        <w:rPr>
          <w:rFonts w:asciiTheme="minorHAnsi" w:hAnsiTheme="minorHAnsi" w:cstheme="minorHAnsi"/>
        </w:rPr>
        <w:t xml:space="preserve">fulfilling </w:t>
      </w:r>
      <w:r w:rsidR="00215FBE">
        <w:rPr>
          <w:rFonts w:asciiTheme="minorHAnsi" w:hAnsiTheme="minorHAnsi" w:cstheme="minorHAnsi"/>
        </w:rPr>
        <w:t>their function of representing the views of the Parties in their regions and keeping th</w:t>
      </w:r>
      <w:r w:rsidR="00547E88">
        <w:rPr>
          <w:rFonts w:asciiTheme="minorHAnsi" w:hAnsiTheme="minorHAnsi" w:cstheme="minorHAnsi"/>
        </w:rPr>
        <w:t>e Parties</w:t>
      </w:r>
      <w:r w:rsidR="00215FBE">
        <w:rPr>
          <w:rFonts w:asciiTheme="minorHAnsi" w:hAnsiTheme="minorHAnsi" w:cstheme="minorHAnsi"/>
        </w:rPr>
        <w:t xml:space="preserve"> informed of ongoing work and consultations of the Standing Committee</w:t>
      </w:r>
      <w:r w:rsidR="0021604A">
        <w:rPr>
          <w:rFonts w:asciiTheme="minorHAnsi" w:hAnsiTheme="minorHAnsi" w:cstheme="minorHAnsi"/>
        </w:rPr>
        <w:t xml:space="preserve"> and its Working Groups</w:t>
      </w:r>
      <w:r w:rsidR="00215FBE">
        <w:rPr>
          <w:rFonts w:asciiTheme="minorHAnsi" w:hAnsiTheme="minorHAnsi" w:cstheme="minorHAnsi"/>
        </w:rPr>
        <w:t>.</w:t>
      </w:r>
      <w:r w:rsidR="009F64EA" w:rsidRPr="009F64EA">
        <w:rPr>
          <w:rFonts w:asciiTheme="minorHAnsi" w:hAnsiTheme="minorHAnsi" w:cstheme="minorHAnsi"/>
        </w:rPr>
        <w:t xml:space="preserve"> </w:t>
      </w:r>
    </w:p>
    <w:p w14:paraId="667B14FF" w14:textId="77777777" w:rsidR="00B268F3" w:rsidRDefault="00B268F3" w:rsidP="00623F05">
      <w:pPr>
        <w:rPr>
          <w:rFonts w:asciiTheme="minorHAnsi" w:eastAsiaTheme="minorHAnsi" w:hAnsiTheme="minorHAnsi" w:cstheme="minorHAnsi"/>
        </w:rPr>
      </w:pPr>
    </w:p>
    <w:p w14:paraId="295C69EE" w14:textId="5FB2E263" w:rsidR="00B14BDE" w:rsidRPr="00360A0A" w:rsidRDefault="00D101E6" w:rsidP="00623F05">
      <w:pPr>
        <w:rPr>
          <w:rFonts w:asciiTheme="minorHAnsi" w:hAnsiTheme="minorHAnsi" w:cstheme="minorHAnsi"/>
        </w:rPr>
      </w:pPr>
      <w:r>
        <w:rPr>
          <w:rFonts w:asciiTheme="minorHAnsi" w:eastAsiaTheme="minorHAnsi" w:hAnsiTheme="minorHAnsi" w:cstheme="minorHAnsi"/>
        </w:rPr>
        <w:t>9</w:t>
      </w:r>
      <w:r w:rsidR="0063629C">
        <w:rPr>
          <w:rFonts w:asciiTheme="minorHAnsi" w:eastAsiaTheme="minorHAnsi" w:hAnsiTheme="minorHAnsi" w:cstheme="minorHAnsi"/>
        </w:rPr>
        <w:t xml:space="preserve">. </w:t>
      </w:r>
      <w:r w:rsidR="0063629C">
        <w:rPr>
          <w:rFonts w:asciiTheme="minorHAnsi" w:eastAsiaTheme="minorHAnsi" w:hAnsiTheme="minorHAnsi" w:cstheme="minorHAnsi"/>
        </w:rPr>
        <w:tab/>
        <w:t>The Secretariat has continued</w:t>
      </w:r>
      <w:r w:rsidR="00360A0A" w:rsidRPr="00360A0A">
        <w:rPr>
          <w:rFonts w:asciiTheme="minorHAnsi" w:eastAsiaTheme="minorHAnsi" w:hAnsiTheme="minorHAnsi" w:cstheme="minorHAnsi"/>
        </w:rPr>
        <w:t xml:space="preserve"> </w:t>
      </w:r>
      <w:r w:rsidR="00AC240C" w:rsidRPr="00360A0A">
        <w:rPr>
          <w:rFonts w:asciiTheme="minorHAnsi" w:eastAsiaTheme="minorHAnsi" w:hAnsiTheme="minorHAnsi" w:cstheme="minorHAnsi"/>
        </w:rPr>
        <w:t>to</w:t>
      </w:r>
      <w:r w:rsidR="00360A0A" w:rsidRPr="00360A0A">
        <w:rPr>
          <w:rFonts w:asciiTheme="minorHAnsi" w:eastAsiaTheme="minorHAnsi" w:hAnsiTheme="minorHAnsi" w:cstheme="minorHAnsi"/>
        </w:rPr>
        <w:t xml:space="preserve"> </w:t>
      </w:r>
      <w:r w:rsidR="00AC240C" w:rsidRPr="00360A0A">
        <w:rPr>
          <w:rFonts w:asciiTheme="minorHAnsi" w:eastAsiaTheme="minorHAnsi" w:hAnsiTheme="minorHAnsi" w:cstheme="minorHAnsi"/>
        </w:rPr>
        <w:t>support</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working</w:t>
      </w:r>
      <w:r w:rsidR="00360A0A" w:rsidRPr="00360A0A">
        <w:rPr>
          <w:rFonts w:asciiTheme="minorHAnsi" w:eastAsiaTheme="minorHAnsi" w:hAnsiTheme="minorHAnsi" w:cstheme="minorHAnsi"/>
        </w:rPr>
        <w:t xml:space="preserve"> </w:t>
      </w:r>
      <w:r w:rsidR="009B1FB2" w:rsidRPr="00360A0A">
        <w:rPr>
          <w:rFonts w:asciiTheme="minorHAnsi" w:eastAsiaTheme="minorHAnsi" w:hAnsiTheme="minorHAnsi" w:cstheme="minorHAnsi"/>
        </w:rPr>
        <w:t>groups</w:t>
      </w:r>
      <w:r w:rsidR="00360A0A" w:rsidRPr="00360A0A">
        <w:rPr>
          <w:rFonts w:asciiTheme="minorHAnsi" w:eastAsiaTheme="minorHAnsi" w:hAnsiTheme="minorHAnsi" w:cstheme="minorHAnsi"/>
        </w:rPr>
        <w:t xml:space="preserve"> </w:t>
      </w:r>
      <w:r w:rsidR="006D6A56" w:rsidRPr="00360A0A">
        <w:rPr>
          <w:rFonts w:asciiTheme="minorHAnsi" w:eastAsiaTheme="minorHAnsi" w:hAnsiTheme="minorHAnsi" w:cstheme="minorHAnsi"/>
        </w:rPr>
        <w:t>established</w:t>
      </w:r>
      <w:r w:rsidR="00360A0A" w:rsidRPr="00360A0A">
        <w:rPr>
          <w:rFonts w:asciiTheme="minorHAnsi" w:eastAsiaTheme="minorHAnsi" w:hAnsiTheme="minorHAnsi" w:cstheme="minorHAnsi"/>
        </w:rPr>
        <w:t xml:space="preserve"> </w:t>
      </w:r>
      <w:r w:rsidR="006D6A56" w:rsidRPr="00360A0A">
        <w:rPr>
          <w:rFonts w:asciiTheme="minorHAnsi" w:eastAsiaTheme="minorHAnsi" w:hAnsiTheme="minorHAnsi" w:cstheme="minorHAnsi"/>
        </w:rPr>
        <w:t>by</w:t>
      </w:r>
      <w:r w:rsidR="00360A0A" w:rsidRPr="00360A0A">
        <w:rPr>
          <w:rFonts w:asciiTheme="minorHAnsi" w:eastAsiaTheme="minorHAnsi" w:hAnsiTheme="minorHAnsi" w:cstheme="minorHAnsi"/>
        </w:rPr>
        <w:t xml:space="preserve"> </w:t>
      </w:r>
      <w:r w:rsidR="006D6A56" w:rsidRPr="00360A0A">
        <w:rPr>
          <w:rFonts w:asciiTheme="minorHAnsi" w:eastAsiaTheme="minorHAnsi" w:hAnsiTheme="minorHAnsi" w:cstheme="minorHAnsi"/>
        </w:rPr>
        <w:t>COP13</w:t>
      </w:r>
      <w:r w:rsidR="00DB004F">
        <w:rPr>
          <w:rFonts w:asciiTheme="minorHAnsi" w:eastAsiaTheme="minorHAnsi" w:hAnsiTheme="minorHAnsi" w:cstheme="minorHAnsi"/>
        </w:rPr>
        <w:t>.</w:t>
      </w:r>
      <w:r w:rsidR="00360A0A" w:rsidRPr="00360A0A">
        <w:rPr>
          <w:rFonts w:asciiTheme="minorHAnsi" w:eastAsiaTheme="minorHAnsi" w:hAnsiTheme="minorHAnsi" w:cstheme="minorHAnsi"/>
        </w:rPr>
        <w:t xml:space="preserve"> </w:t>
      </w:r>
      <w:r w:rsidR="00E00235">
        <w:rPr>
          <w:rFonts w:asciiTheme="minorHAnsi" w:hAnsiTheme="minorHAnsi" w:cstheme="minorHAnsi"/>
        </w:rPr>
        <w:t>It</w:t>
      </w:r>
      <w:r w:rsidR="00360A0A" w:rsidRPr="00360A0A">
        <w:rPr>
          <w:rFonts w:asciiTheme="minorHAnsi" w:hAnsiTheme="minorHAnsi" w:cstheme="minorHAnsi"/>
        </w:rPr>
        <w:t xml:space="preserve"> </w:t>
      </w:r>
      <w:r w:rsidR="00DA7A0D">
        <w:rPr>
          <w:rFonts w:asciiTheme="minorHAnsi" w:hAnsiTheme="minorHAnsi" w:cstheme="minorHAnsi"/>
        </w:rPr>
        <w:t xml:space="preserve">has </w:t>
      </w:r>
      <w:r w:rsidR="00B14BDE" w:rsidRPr="00360A0A">
        <w:rPr>
          <w:rFonts w:asciiTheme="minorHAnsi" w:hAnsiTheme="minorHAnsi" w:cstheme="minorHAnsi"/>
        </w:rPr>
        <w:t>organiz</w:t>
      </w:r>
      <w:r w:rsidR="006E12B9" w:rsidRPr="00360A0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teleconferences,</w:t>
      </w:r>
      <w:r w:rsidR="00360A0A" w:rsidRPr="00360A0A">
        <w:rPr>
          <w:rFonts w:asciiTheme="minorHAnsi" w:hAnsiTheme="minorHAnsi" w:cstheme="minorHAnsi"/>
        </w:rPr>
        <w:t xml:space="preserve"> </w:t>
      </w:r>
      <w:r w:rsidR="00B14BDE" w:rsidRPr="00360A0A">
        <w:rPr>
          <w:rFonts w:asciiTheme="minorHAnsi" w:hAnsiTheme="minorHAnsi" w:cstheme="minorHAnsi"/>
        </w:rPr>
        <w:t>prepar</w:t>
      </w:r>
      <w:r w:rsidR="006E12B9" w:rsidRPr="00360A0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meeting</w:t>
      </w:r>
      <w:r w:rsidR="00360A0A" w:rsidRPr="00360A0A">
        <w:rPr>
          <w:rFonts w:asciiTheme="minorHAnsi" w:hAnsiTheme="minorHAnsi" w:cstheme="minorHAnsi"/>
        </w:rPr>
        <w:t xml:space="preserve"> </w:t>
      </w:r>
      <w:r w:rsidR="00B14BDE" w:rsidRPr="00360A0A">
        <w:rPr>
          <w:rFonts w:asciiTheme="minorHAnsi" w:hAnsiTheme="minorHAnsi" w:cstheme="minorHAnsi"/>
        </w:rPr>
        <w:t>agendas</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minutes,</w:t>
      </w:r>
      <w:r w:rsidR="00360A0A" w:rsidRPr="00360A0A">
        <w:rPr>
          <w:rFonts w:asciiTheme="minorHAnsi" w:hAnsiTheme="minorHAnsi" w:cstheme="minorHAnsi"/>
        </w:rPr>
        <w:t xml:space="preserve"> </w:t>
      </w:r>
      <w:r w:rsidR="006B5D22">
        <w:rPr>
          <w:rFonts w:asciiTheme="minorHAnsi" w:hAnsiTheme="minorHAnsi" w:cstheme="minorHAnsi"/>
        </w:rPr>
        <w:t xml:space="preserve">and </w:t>
      </w:r>
      <w:r w:rsidR="00B14BDE" w:rsidRPr="00360A0A">
        <w:rPr>
          <w:rFonts w:asciiTheme="minorHAnsi" w:hAnsiTheme="minorHAnsi" w:cstheme="minorHAnsi"/>
        </w:rPr>
        <w:t>secur</w:t>
      </w:r>
      <w:r w:rsidR="006E12B9" w:rsidRPr="00360A0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manag</w:t>
      </w:r>
      <w:r w:rsidR="006E12B9" w:rsidRPr="00360A0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consultancies</w:t>
      </w:r>
      <w:r w:rsidR="00360A0A" w:rsidRPr="00360A0A">
        <w:rPr>
          <w:rFonts w:asciiTheme="minorHAnsi" w:hAnsiTheme="minorHAnsi" w:cstheme="minorHAnsi"/>
        </w:rPr>
        <w:t xml:space="preserve"> </w:t>
      </w:r>
      <w:r w:rsidR="00B14BDE" w:rsidRPr="00360A0A">
        <w:rPr>
          <w:rFonts w:asciiTheme="minorHAnsi" w:hAnsiTheme="minorHAnsi" w:cstheme="minorHAnsi"/>
        </w:rPr>
        <w:t>that</w:t>
      </w:r>
      <w:r w:rsidR="00360A0A" w:rsidRPr="00360A0A">
        <w:rPr>
          <w:rFonts w:asciiTheme="minorHAnsi" w:hAnsiTheme="minorHAnsi" w:cstheme="minorHAnsi"/>
        </w:rPr>
        <w:t xml:space="preserve"> </w:t>
      </w:r>
      <w:r w:rsidR="00B14BDE" w:rsidRPr="00360A0A">
        <w:rPr>
          <w:rFonts w:asciiTheme="minorHAnsi" w:hAnsiTheme="minorHAnsi" w:cstheme="minorHAnsi"/>
        </w:rPr>
        <w:t>support</w:t>
      </w:r>
      <w:r w:rsidR="0021604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working</w:t>
      </w:r>
      <w:r w:rsidR="00360A0A" w:rsidRPr="00360A0A">
        <w:rPr>
          <w:rFonts w:asciiTheme="minorHAnsi" w:hAnsiTheme="minorHAnsi" w:cstheme="minorHAnsi"/>
        </w:rPr>
        <w:t xml:space="preserve"> </w:t>
      </w:r>
      <w:r w:rsidR="00B14BDE" w:rsidRPr="00360A0A">
        <w:rPr>
          <w:rFonts w:asciiTheme="minorHAnsi" w:hAnsiTheme="minorHAnsi" w:cstheme="minorHAnsi"/>
        </w:rPr>
        <w:t>group</w:t>
      </w:r>
      <w:r w:rsidR="00703D9A">
        <w:rPr>
          <w:rFonts w:asciiTheme="minorHAnsi" w:hAnsiTheme="minorHAnsi" w:cstheme="minorHAnsi"/>
        </w:rPr>
        <w:t>s</w:t>
      </w:r>
      <w:r w:rsidR="003F3268">
        <w:rPr>
          <w:rFonts w:asciiTheme="minorHAnsi" w:hAnsiTheme="minorHAnsi" w:cstheme="minorHAnsi"/>
        </w:rPr>
        <w:t>.</w:t>
      </w:r>
      <w:r w:rsidR="00360A0A" w:rsidRPr="00360A0A">
        <w:rPr>
          <w:rFonts w:asciiTheme="minorHAnsi" w:hAnsiTheme="minorHAnsi" w:cstheme="minorHAnsi"/>
        </w:rPr>
        <w:t xml:space="preserve"> </w:t>
      </w:r>
      <w:r w:rsidR="003F3268">
        <w:rPr>
          <w:rFonts w:asciiTheme="minorHAnsi" w:hAnsiTheme="minorHAnsi" w:cstheme="minorHAnsi"/>
        </w:rPr>
        <w:t>The Secretariat also</w:t>
      </w:r>
      <w:r w:rsidR="00360A0A" w:rsidRPr="00360A0A">
        <w:rPr>
          <w:rFonts w:asciiTheme="minorHAnsi" w:hAnsiTheme="minorHAnsi" w:cstheme="minorHAnsi"/>
        </w:rPr>
        <w:t xml:space="preserve"> </w:t>
      </w:r>
      <w:r w:rsidR="00B14BDE" w:rsidRPr="00360A0A">
        <w:rPr>
          <w:rFonts w:asciiTheme="minorHAnsi" w:hAnsiTheme="minorHAnsi" w:cstheme="minorHAnsi"/>
        </w:rPr>
        <w:t>assist</w:t>
      </w:r>
      <w:r w:rsidR="006E12B9" w:rsidRPr="00360A0A">
        <w:rPr>
          <w:rFonts w:asciiTheme="minorHAnsi" w:hAnsiTheme="minorHAnsi" w:cstheme="minorHAnsi"/>
        </w:rPr>
        <w:t>ed</w:t>
      </w:r>
      <w:r w:rsidR="00360A0A" w:rsidRPr="00360A0A">
        <w:rPr>
          <w:rFonts w:asciiTheme="minorHAnsi" w:hAnsiTheme="minorHAnsi" w:cstheme="minorHAnsi"/>
        </w:rPr>
        <w:t xml:space="preserve"> </w:t>
      </w:r>
      <w:r w:rsidR="00B14BDE" w:rsidRPr="00360A0A">
        <w:rPr>
          <w:rFonts w:asciiTheme="minorHAnsi" w:hAnsiTheme="minorHAnsi" w:cstheme="minorHAnsi"/>
        </w:rPr>
        <w:t>in</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preparation</w:t>
      </w:r>
      <w:r w:rsidR="00360A0A" w:rsidRPr="00360A0A">
        <w:rPr>
          <w:rFonts w:asciiTheme="minorHAnsi" w:hAnsiTheme="minorHAnsi" w:cstheme="minorHAnsi"/>
        </w:rPr>
        <w:t xml:space="preserve"> </w:t>
      </w:r>
      <w:r w:rsidR="00B14BDE" w:rsidRPr="00360A0A">
        <w:rPr>
          <w:rFonts w:asciiTheme="minorHAnsi" w:hAnsiTheme="minorHAnsi" w:cstheme="minorHAnsi"/>
        </w:rPr>
        <w:t>of</w:t>
      </w:r>
      <w:r w:rsidR="00360A0A" w:rsidRPr="00360A0A">
        <w:rPr>
          <w:rFonts w:asciiTheme="minorHAnsi" w:hAnsiTheme="minorHAnsi" w:cstheme="minorHAnsi"/>
        </w:rPr>
        <w:t xml:space="preserve"> </w:t>
      </w:r>
      <w:r w:rsidR="00A31D58">
        <w:rPr>
          <w:rFonts w:asciiTheme="minorHAnsi" w:hAnsiTheme="minorHAnsi" w:cstheme="minorHAnsi"/>
        </w:rPr>
        <w:t xml:space="preserve">working group </w:t>
      </w:r>
      <w:r w:rsidR="00B14BDE" w:rsidRPr="00360A0A">
        <w:rPr>
          <w:rFonts w:asciiTheme="minorHAnsi" w:hAnsiTheme="minorHAnsi" w:cstheme="minorHAnsi"/>
        </w:rPr>
        <w:t>reports</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4B4D29">
        <w:rPr>
          <w:rFonts w:asciiTheme="minorHAnsi" w:hAnsiTheme="minorHAnsi" w:cstheme="minorHAnsi"/>
        </w:rPr>
        <w:t>documents</w:t>
      </w:r>
      <w:r w:rsidR="00360A0A" w:rsidRPr="00360A0A">
        <w:rPr>
          <w:rFonts w:asciiTheme="minorHAnsi" w:hAnsiTheme="minorHAnsi" w:cstheme="minorHAnsi"/>
        </w:rPr>
        <w:t xml:space="preserve"> </w:t>
      </w:r>
      <w:r w:rsidR="00B14BDE" w:rsidRPr="00360A0A">
        <w:rPr>
          <w:rFonts w:asciiTheme="minorHAnsi" w:hAnsiTheme="minorHAnsi" w:cstheme="minorHAnsi"/>
        </w:rPr>
        <w:t>presented</w:t>
      </w:r>
      <w:r w:rsidR="00360A0A" w:rsidRPr="00360A0A">
        <w:rPr>
          <w:rFonts w:asciiTheme="minorHAnsi" w:hAnsiTheme="minorHAnsi" w:cstheme="minorHAnsi"/>
        </w:rPr>
        <w:t xml:space="preserve"> </w:t>
      </w:r>
      <w:r w:rsidR="00B14BDE" w:rsidRPr="00360A0A">
        <w:rPr>
          <w:rFonts w:asciiTheme="minorHAnsi" w:hAnsiTheme="minorHAnsi" w:cstheme="minorHAnsi"/>
        </w:rPr>
        <w:t>to</w:t>
      </w:r>
      <w:r w:rsidR="00360A0A" w:rsidRPr="00360A0A">
        <w:rPr>
          <w:rFonts w:asciiTheme="minorHAnsi" w:hAnsiTheme="minorHAnsi" w:cstheme="minorHAnsi"/>
        </w:rPr>
        <w:t xml:space="preserve"> </w:t>
      </w:r>
      <w:r w:rsidR="00B14BDE" w:rsidRPr="00360A0A">
        <w:rPr>
          <w:rFonts w:asciiTheme="minorHAnsi" w:hAnsiTheme="minorHAnsi" w:cstheme="minorHAnsi"/>
        </w:rPr>
        <w:t>SC5</w:t>
      </w:r>
      <w:r w:rsidR="002D0976">
        <w:rPr>
          <w:rFonts w:asciiTheme="minorHAnsi" w:hAnsiTheme="minorHAnsi" w:cstheme="minorHAnsi"/>
        </w:rPr>
        <w:t>9</w:t>
      </w:r>
      <w:r w:rsidR="00B14BDE" w:rsidRPr="00360A0A">
        <w:rPr>
          <w:rFonts w:asciiTheme="minorHAnsi" w:hAnsiTheme="minorHAnsi" w:cstheme="minorHAnsi"/>
        </w:rPr>
        <w:t>.</w:t>
      </w:r>
      <w:r w:rsidR="00360A0A" w:rsidRPr="00360A0A">
        <w:rPr>
          <w:rFonts w:asciiTheme="minorHAnsi" w:hAnsiTheme="minorHAnsi" w:cstheme="minorHAnsi"/>
        </w:rPr>
        <w:t xml:space="preserve"> </w:t>
      </w:r>
      <w:r w:rsidR="00B14BDE" w:rsidRPr="00360A0A">
        <w:rPr>
          <w:rFonts w:asciiTheme="minorHAnsi" w:hAnsiTheme="minorHAnsi" w:cstheme="minorHAnsi"/>
        </w:rPr>
        <w:t>Support</w:t>
      </w:r>
      <w:r w:rsidR="00360A0A" w:rsidRPr="00360A0A">
        <w:rPr>
          <w:rFonts w:asciiTheme="minorHAnsi" w:hAnsiTheme="minorHAnsi" w:cstheme="minorHAnsi"/>
        </w:rPr>
        <w:t xml:space="preserve"> </w:t>
      </w:r>
      <w:r w:rsidR="00B14BDE" w:rsidRPr="00360A0A">
        <w:rPr>
          <w:rFonts w:asciiTheme="minorHAnsi" w:hAnsiTheme="minorHAnsi" w:cstheme="minorHAnsi"/>
        </w:rPr>
        <w:t>has</w:t>
      </w:r>
      <w:r w:rsidR="00360A0A" w:rsidRPr="00360A0A">
        <w:rPr>
          <w:rFonts w:asciiTheme="minorHAnsi" w:hAnsiTheme="minorHAnsi" w:cstheme="minorHAnsi"/>
        </w:rPr>
        <w:t xml:space="preserve"> </w:t>
      </w:r>
      <w:r w:rsidR="00B14BDE" w:rsidRPr="00360A0A">
        <w:rPr>
          <w:rFonts w:asciiTheme="minorHAnsi" w:hAnsiTheme="minorHAnsi" w:cstheme="minorHAnsi"/>
        </w:rPr>
        <w:t>been</w:t>
      </w:r>
      <w:r w:rsidR="00360A0A" w:rsidRPr="00360A0A">
        <w:rPr>
          <w:rFonts w:asciiTheme="minorHAnsi" w:hAnsiTheme="minorHAnsi" w:cstheme="minorHAnsi"/>
        </w:rPr>
        <w:t xml:space="preserve"> </w:t>
      </w:r>
      <w:r w:rsidR="00B14BDE" w:rsidRPr="00360A0A">
        <w:rPr>
          <w:rFonts w:asciiTheme="minorHAnsi" w:hAnsiTheme="minorHAnsi" w:cstheme="minorHAnsi"/>
        </w:rPr>
        <w:t>provided</w:t>
      </w:r>
      <w:r w:rsidR="00360A0A" w:rsidRPr="00360A0A">
        <w:rPr>
          <w:rFonts w:asciiTheme="minorHAnsi" w:hAnsiTheme="minorHAnsi" w:cstheme="minorHAnsi"/>
        </w:rPr>
        <w:t xml:space="preserve"> </w:t>
      </w:r>
      <w:r w:rsidR="00B14BDE" w:rsidRPr="00360A0A">
        <w:rPr>
          <w:rFonts w:asciiTheme="minorHAnsi" w:hAnsiTheme="minorHAnsi" w:cstheme="minorHAnsi"/>
        </w:rPr>
        <w:t>to</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following</w:t>
      </w:r>
      <w:r w:rsidR="00360A0A" w:rsidRPr="00360A0A">
        <w:rPr>
          <w:rFonts w:asciiTheme="minorHAnsi" w:hAnsiTheme="minorHAnsi" w:cstheme="minorHAnsi"/>
        </w:rPr>
        <w:t xml:space="preserve"> </w:t>
      </w:r>
      <w:r w:rsidR="00B14BDE" w:rsidRPr="00360A0A">
        <w:rPr>
          <w:rFonts w:asciiTheme="minorHAnsi" w:hAnsiTheme="minorHAnsi" w:cstheme="minorHAnsi"/>
        </w:rPr>
        <w:t>groups</w:t>
      </w:r>
      <w:r w:rsidR="00C025C0">
        <w:rPr>
          <w:rFonts w:asciiTheme="minorHAnsi" w:hAnsiTheme="minorHAnsi" w:cstheme="minorHAnsi"/>
        </w:rPr>
        <w:t>:</w:t>
      </w:r>
    </w:p>
    <w:p w14:paraId="681F2789" w14:textId="77777777" w:rsidR="00D101E6" w:rsidRDefault="00D101E6" w:rsidP="00D101E6">
      <w:pPr>
        <w:ind w:left="851"/>
        <w:rPr>
          <w:rFonts w:asciiTheme="minorHAnsi" w:hAnsiTheme="minorHAnsi" w:cstheme="minorHAnsi"/>
        </w:rPr>
      </w:pPr>
    </w:p>
    <w:p w14:paraId="3952816C" w14:textId="4F3B61B2" w:rsidR="00B14BDE" w:rsidRPr="00360A0A" w:rsidRDefault="00134816" w:rsidP="00D101E6">
      <w:pPr>
        <w:ind w:left="851"/>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B14BDE" w:rsidRPr="00360A0A">
        <w:rPr>
          <w:rFonts w:asciiTheme="minorHAnsi" w:hAnsiTheme="minorHAnsi" w:cstheme="minorHAnsi"/>
        </w:rPr>
        <w:t>Effectiveness</w:t>
      </w:r>
      <w:r w:rsidR="00360A0A" w:rsidRPr="00360A0A">
        <w:rPr>
          <w:rFonts w:asciiTheme="minorHAnsi" w:hAnsiTheme="minorHAnsi" w:cstheme="minorHAnsi"/>
        </w:rPr>
        <w:t xml:space="preserve"> </w:t>
      </w:r>
      <w:r w:rsidR="00B14BDE" w:rsidRPr="00360A0A">
        <w:rPr>
          <w:rFonts w:asciiTheme="minorHAnsi" w:hAnsiTheme="minorHAnsi" w:cstheme="minorHAnsi"/>
        </w:rPr>
        <w:t>Working</w:t>
      </w:r>
      <w:r w:rsidR="00360A0A" w:rsidRPr="00360A0A">
        <w:rPr>
          <w:rFonts w:asciiTheme="minorHAnsi" w:hAnsiTheme="minorHAnsi" w:cstheme="minorHAnsi"/>
        </w:rPr>
        <w:t xml:space="preserve"> </w:t>
      </w:r>
      <w:r w:rsidR="00B14BDE" w:rsidRPr="00360A0A">
        <w:rPr>
          <w:rFonts w:asciiTheme="minorHAnsi" w:hAnsiTheme="minorHAnsi" w:cstheme="minorHAnsi"/>
        </w:rPr>
        <w:t>Group</w:t>
      </w:r>
      <w:r w:rsidR="00360A0A" w:rsidRPr="00360A0A">
        <w:rPr>
          <w:rFonts w:asciiTheme="minorHAnsi" w:hAnsiTheme="minorHAnsi" w:cstheme="minorHAnsi"/>
        </w:rPr>
        <w:t xml:space="preserve"> </w:t>
      </w:r>
      <w:r w:rsidR="00B14BDE" w:rsidRPr="00360A0A">
        <w:rPr>
          <w:rFonts w:asciiTheme="minorHAnsi" w:hAnsiTheme="minorHAnsi" w:cstheme="minorHAnsi"/>
        </w:rPr>
        <w:t>–</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Secretariat</w:t>
      </w:r>
      <w:r w:rsidR="00360A0A" w:rsidRPr="00360A0A">
        <w:rPr>
          <w:rFonts w:asciiTheme="minorHAnsi" w:hAnsiTheme="minorHAnsi" w:cstheme="minorHAnsi"/>
        </w:rPr>
        <w:t xml:space="preserve"> </w:t>
      </w:r>
      <w:r w:rsidR="00DB004F">
        <w:rPr>
          <w:rFonts w:asciiTheme="minorHAnsi" w:hAnsiTheme="minorHAnsi" w:cstheme="minorHAnsi"/>
        </w:rPr>
        <w:t>has continued to manage the administrative matters related to the consultant contract</w:t>
      </w:r>
      <w:r w:rsidR="00360A0A" w:rsidRPr="00360A0A">
        <w:rPr>
          <w:rFonts w:asciiTheme="minorHAnsi" w:hAnsiTheme="minorHAnsi" w:cstheme="minorHAnsi"/>
        </w:rPr>
        <w:t xml:space="preserve"> </w:t>
      </w:r>
      <w:r w:rsidR="00B14BDE" w:rsidRPr="00360A0A">
        <w:rPr>
          <w:rFonts w:asciiTheme="minorHAnsi" w:hAnsiTheme="minorHAnsi" w:cstheme="minorHAnsi"/>
        </w:rPr>
        <w:t>and</w:t>
      </w:r>
      <w:r w:rsidR="00360A0A" w:rsidRPr="00360A0A">
        <w:rPr>
          <w:rFonts w:asciiTheme="minorHAnsi" w:hAnsiTheme="minorHAnsi" w:cstheme="minorHAnsi"/>
        </w:rPr>
        <w:t xml:space="preserve"> </w:t>
      </w:r>
      <w:r w:rsidR="00B14BDE" w:rsidRPr="00360A0A">
        <w:rPr>
          <w:rFonts w:asciiTheme="minorHAnsi" w:hAnsiTheme="minorHAnsi" w:cstheme="minorHAnsi"/>
        </w:rPr>
        <w:t>provided</w:t>
      </w:r>
      <w:r w:rsidR="00360A0A" w:rsidRPr="00360A0A">
        <w:rPr>
          <w:rFonts w:asciiTheme="minorHAnsi" w:hAnsiTheme="minorHAnsi" w:cstheme="minorHAnsi"/>
        </w:rPr>
        <w:t xml:space="preserve"> </w:t>
      </w:r>
      <w:r w:rsidR="00B14BDE" w:rsidRPr="00360A0A">
        <w:rPr>
          <w:rFonts w:asciiTheme="minorHAnsi" w:hAnsiTheme="minorHAnsi" w:cstheme="minorHAnsi"/>
        </w:rPr>
        <w:t>administrative</w:t>
      </w:r>
      <w:r w:rsidR="00360A0A" w:rsidRPr="00360A0A">
        <w:rPr>
          <w:rFonts w:asciiTheme="minorHAnsi" w:hAnsiTheme="minorHAnsi" w:cstheme="minorHAnsi"/>
        </w:rPr>
        <w:t xml:space="preserve"> </w:t>
      </w:r>
      <w:r w:rsidR="00B14BDE" w:rsidRPr="00360A0A">
        <w:rPr>
          <w:rFonts w:asciiTheme="minorHAnsi" w:hAnsiTheme="minorHAnsi" w:cstheme="minorHAnsi"/>
        </w:rPr>
        <w:t>support</w:t>
      </w:r>
      <w:r w:rsidR="00360A0A" w:rsidRPr="00360A0A">
        <w:rPr>
          <w:rFonts w:asciiTheme="minorHAnsi" w:hAnsiTheme="minorHAnsi" w:cstheme="minorHAnsi"/>
        </w:rPr>
        <w:t xml:space="preserve"> </w:t>
      </w:r>
      <w:r w:rsidR="00B14BDE" w:rsidRPr="00360A0A">
        <w:rPr>
          <w:rFonts w:asciiTheme="minorHAnsi" w:hAnsiTheme="minorHAnsi" w:cstheme="minorHAnsi"/>
        </w:rPr>
        <w:t>to</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B14BDE" w:rsidRPr="00360A0A">
        <w:rPr>
          <w:rFonts w:asciiTheme="minorHAnsi" w:hAnsiTheme="minorHAnsi" w:cstheme="minorHAnsi"/>
        </w:rPr>
        <w:t>consultant</w:t>
      </w:r>
      <w:r w:rsidR="00360A0A" w:rsidRPr="00360A0A">
        <w:rPr>
          <w:rFonts w:asciiTheme="minorHAnsi" w:hAnsiTheme="minorHAnsi" w:cstheme="minorHAnsi"/>
        </w:rPr>
        <w:t xml:space="preserve"> </w:t>
      </w:r>
      <w:r w:rsidR="00B14BDE" w:rsidRPr="00360A0A">
        <w:rPr>
          <w:rFonts w:asciiTheme="minorHAnsi" w:hAnsiTheme="minorHAnsi" w:cstheme="minorHAnsi"/>
        </w:rPr>
        <w:t>as</w:t>
      </w:r>
      <w:r w:rsidR="00360A0A" w:rsidRPr="00360A0A">
        <w:rPr>
          <w:rFonts w:asciiTheme="minorHAnsi" w:hAnsiTheme="minorHAnsi" w:cstheme="minorHAnsi"/>
        </w:rPr>
        <w:t xml:space="preserve"> </w:t>
      </w:r>
      <w:r w:rsidR="00B14BDE" w:rsidRPr="00360A0A">
        <w:rPr>
          <w:rFonts w:asciiTheme="minorHAnsi" w:hAnsiTheme="minorHAnsi" w:cstheme="minorHAnsi"/>
        </w:rPr>
        <w:t>requested</w:t>
      </w:r>
      <w:r w:rsidR="00360A0A" w:rsidRPr="00360A0A">
        <w:rPr>
          <w:rFonts w:asciiTheme="minorHAnsi" w:hAnsiTheme="minorHAnsi" w:cstheme="minorHAnsi"/>
        </w:rPr>
        <w:t xml:space="preserve"> </w:t>
      </w:r>
      <w:r w:rsidR="00B14BDE" w:rsidRPr="00360A0A">
        <w:rPr>
          <w:rFonts w:asciiTheme="minorHAnsi" w:hAnsiTheme="minorHAnsi" w:cstheme="minorHAnsi"/>
        </w:rPr>
        <w:t>by</w:t>
      </w:r>
      <w:r w:rsidR="00360A0A" w:rsidRPr="00360A0A">
        <w:rPr>
          <w:rFonts w:asciiTheme="minorHAnsi" w:hAnsiTheme="minorHAnsi" w:cstheme="minorHAnsi"/>
        </w:rPr>
        <w:t xml:space="preserve"> </w:t>
      </w:r>
      <w:r w:rsidR="00B14BDE" w:rsidRPr="00360A0A">
        <w:rPr>
          <w:rFonts w:asciiTheme="minorHAnsi" w:hAnsiTheme="minorHAnsi" w:cstheme="minorHAnsi"/>
        </w:rPr>
        <w:t>the</w:t>
      </w:r>
      <w:r w:rsidR="00360A0A" w:rsidRPr="00360A0A">
        <w:rPr>
          <w:rFonts w:asciiTheme="minorHAnsi" w:hAnsiTheme="minorHAnsi" w:cstheme="minorHAnsi"/>
        </w:rPr>
        <w:t xml:space="preserve"> </w:t>
      </w:r>
      <w:r w:rsidR="00E00235">
        <w:rPr>
          <w:rFonts w:asciiTheme="minorHAnsi" w:hAnsiTheme="minorHAnsi" w:cstheme="minorHAnsi"/>
        </w:rPr>
        <w:t>W</w:t>
      </w:r>
      <w:r w:rsidR="00E00235" w:rsidRPr="00360A0A">
        <w:rPr>
          <w:rFonts w:asciiTheme="minorHAnsi" w:hAnsiTheme="minorHAnsi" w:cstheme="minorHAnsi"/>
        </w:rPr>
        <w:t xml:space="preserve">orking </w:t>
      </w:r>
      <w:r w:rsidR="00E00235">
        <w:rPr>
          <w:rFonts w:asciiTheme="minorHAnsi" w:hAnsiTheme="minorHAnsi" w:cstheme="minorHAnsi"/>
        </w:rPr>
        <w:t>G</w:t>
      </w:r>
      <w:r w:rsidR="00E00235" w:rsidRPr="00360A0A">
        <w:rPr>
          <w:rFonts w:asciiTheme="minorHAnsi" w:hAnsiTheme="minorHAnsi" w:cstheme="minorHAnsi"/>
        </w:rPr>
        <w:t>roup</w:t>
      </w:r>
      <w:r w:rsidR="00B14BDE" w:rsidRPr="00360A0A">
        <w:rPr>
          <w:rFonts w:asciiTheme="minorHAnsi" w:hAnsiTheme="minorHAnsi" w:cstheme="minorHAnsi"/>
        </w:rPr>
        <w:t>.</w:t>
      </w:r>
      <w:r w:rsidR="00360A0A" w:rsidRPr="00360A0A">
        <w:rPr>
          <w:rFonts w:asciiTheme="minorHAnsi" w:hAnsiTheme="minorHAnsi" w:cstheme="minorHAnsi"/>
        </w:rPr>
        <w:t xml:space="preserve"> </w:t>
      </w:r>
    </w:p>
    <w:p w14:paraId="2D3BD7FD" w14:textId="77777777" w:rsidR="00B14BDE" w:rsidRPr="00360A0A" w:rsidRDefault="00B14BDE" w:rsidP="00D101E6">
      <w:pPr>
        <w:ind w:left="851"/>
        <w:rPr>
          <w:rFonts w:asciiTheme="minorHAnsi" w:hAnsiTheme="minorHAnsi" w:cstheme="minorHAnsi"/>
        </w:rPr>
      </w:pPr>
    </w:p>
    <w:p w14:paraId="41AAD616" w14:textId="4A841BBE" w:rsidR="00F12E40" w:rsidRDefault="00664D04" w:rsidP="00D101E6">
      <w:pPr>
        <w:ind w:left="851"/>
        <w:rPr>
          <w:rFonts w:asciiTheme="minorHAnsi" w:hAnsiTheme="minorHAnsi" w:cstheme="minorHAnsi"/>
        </w:rPr>
      </w:pPr>
      <w:r w:rsidRPr="00360A0A">
        <w:rPr>
          <w:rFonts w:asciiTheme="minorHAnsi" w:hAnsiTheme="minorHAnsi" w:cstheme="minorHAnsi"/>
        </w:rPr>
        <w:t>ii.</w:t>
      </w:r>
      <w:r w:rsidRPr="00360A0A">
        <w:rPr>
          <w:rFonts w:asciiTheme="minorHAnsi" w:hAnsiTheme="minorHAnsi" w:cstheme="minorHAnsi"/>
        </w:rPr>
        <w:tab/>
      </w:r>
      <w:r w:rsidR="00937668" w:rsidRPr="00F12E40">
        <w:rPr>
          <w:rFonts w:asciiTheme="minorHAnsi" w:hAnsiTheme="minorHAnsi" w:cstheme="minorHAnsi"/>
        </w:rPr>
        <w:t xml:space="preserve">Working Group </w:t>
      </w:r>
      <w:r w:rsidR="00937668">
        <w:rPr>
          <w:rFonts w:asciiTheme="minorHAnsi" w:hAnsiTheme="minorHAnsi" w:cstheme="minorHAnsi"/>
        </w:rPr>
        <w:t>on the r</w:t>
      </w:r>
      <w:r w:rsidR="00F12E40" w:rsidRPr="00F12E40">
        <w:rPr>
          <w:rFonts w:asciiTheme="minorHAnsi" w:hAnsiTheme="minorHAnsi" w:cstheme="minorHAnsi"/>
        </w:rPr>
        <w:t>eview of the Strategic Plan</w:t>
      </w:r>
      <w:r w:rsidR="00937668">
        <w:rPr>
          <w:rFonts w:asciiTheme="minorHAnsi" w:hAnsiTheme="minorHAnsi" w:cstheme="minorHAnsi"/>
        </w:rPr>
        <w:t xml:space="preserve"> </w:t>
      </w:r>
      <w:r w:rsidR="00F12E40" w:rsidRPr="00F12E40">
        <w:rPr>
          <w:rFonts w:asciiTheme="minorHAnsi" w:hAnsiTheme="minorHAnsi" w:cstheme="minorHAnsi"/>
        </w:rPr>
        <w:t>– The Secretariat, with the temporary help of a</w:t>
      </w:r>
      <w:r w:rsidR="00013A89">
        <w:rPr>
          <w:rFonts w:asciiTheme="minorHAnsi" w:hAnsiTheme="minorHAnsi" w:cstheme="minorHAnsi"/>
        </w:rPr>
        <w:t xml:space="preserve"> </w:t>
      </w:r>
      <w:r w:rsidR="00936866">
        <w:rPr>
          <w:rFonts w:asciiTheme="minorHAnsi" w:hAnsiTheme="minorHAnsi" w:cstheme="minorHAnsi"/>
        </w:rPr>
        <w:t xml:space="preserve"> </w:t>
      </w:r>
      <w:r w:rsidR="00F12E40" w:rsidRPr="00F12E40">
        <w:rPr>
          <w:rFonts w:asciiTheme="minorHAnsi" w:hAnsiTheme="minorHAnsi" w:cstheme="minorHAnsi"/>
        </w:rPr>
        <w:t xml:space="preserve">consultant, supported the </w:t>
      </w:r>
      <w:r w:rsidR="00937668">
        <w:rPr>
          <w:rFonts w:asciiTheme="minorHAnsi" w:hAnsiTheme="minorHAnsi" w:cstheme="minorHAnsi"/>
        </w:rPr>
        <w:t>W</w:t>
      </w:r>
      <w:r w:rsidR="00937668" w:rsidRPr="00F12E40">
        <w:rPr>
          <w:rFonts w:asciiTheme="minorHAnsi" w:hAnsiTheme="minorHAnsi" w:cstheme="minorHAnsi"/>
        </w:rPr>
        <w:t xml:space="preserve">orking </w:t>
      </w:r>
      <w:r w:rsidR="00937668">
        <w:rPr>
          <w:rFonts w:asciiTheme="minorHAnsi" w:hAnsiTheme="minorHAnsi" w:cstheme="minorHAnsi"/>
        </w:rPr>
        <w:t>G</w:t>
      </w:r>
      <w:r w:rsidR="00937668" w:rsidRPr="00F12E40">
        <w:rPr>
          <w:rFonts w:asciiTheme="minorHAnsi" w:hAnsiTheme="minorHAnsi" w:cstheme="minorHAnsi"/>
        </w:rPr>
        <w:t xml:space="preserve">roup </w:t>
      </w:r>
      <w:r w:rsidR="00F12E40" w:rsidRPr="00F12E40">
        <w:rPr>
          <w:rFonts w:asciiTheme="minorHAnsi" w:hAnsiTheme="minorHAnsi" w:cstheme="minorHAnsi"/>
        </w:rPr>
        <w:t>in fulfilling the requests listed in Annex 1 of Res</w:t>
      </w:r>
      <w:r w:rsidR="00937668">
        <w:rPr>
          <w:rFonts w:asciiTheme="minorHAnsi" w:hAnsiTheme="minorHAnsi" w:cstheme="minorHAnsi"/>
        </w:rPr>
        <w:t>olution</w:t>
      </w:r>
      <w:r w:rsidR="00F12E40" w:rsidRPr="00F12E40">
        <w:rPr>
          <w:rFonts w:asciiTheme="minorHAnsi" w:hAnsiTheme="minorHAnsi" w:cstheme="minorHAnsi"/>
        </w:rPr>
        <w:t xml:space="preserve"> XIII.5, notably to review the fourth Strategic Plan (SP4), identify potential refinements to SP4 and any elements that can contribute to the preparation of a new S</w:t>
      </w:r>
      <w:r w:rsidR="00937668">
        <w:rPr>
          <w:rFonts w:asciiTheme="minorHAnsi" w:hAnsiTheme="minorHAnsi" w:cstheme="minorHAnsi"/>
        </w:rPr>
        <w:t xml:space="preserve">tragegic </w:t>
      </w:r>
      <w:r w:rsidR="00F12E40" w:rsidRPr="00F12E40">
        <w:rPr>
          <w:rFonts w:asciiTheme="minorHAnsi" w:hAnsiTheme="minorHAnsi" w:cstheme="minorHAnsi"/>
        </w:rPr>
        <w:t>P</w:t>
      </w:r>
      <w:r w:rsidR="00937668">
        <w:rPr>
          <w:rFonts w:asciiTheme="minorHAnsi" w:hAnsiTheme="minorHAnsi" w:cstheme="minorHAnsi"/>
        </w:rPr>
        <w:t>lan</w:t>
      </w:r>
      <w:r w:rsidR="00F12E40" w:rsidRPr="00F12E40">
        <w:rPr>
          <w:rFonts w:asciiTheme="minorHAnsi" w:hAnsiTheme="minorHAnsi" w:cstheme="minorHAnsi"/>
        </w:rPr>
        <w:t xml:space="preserve"> after 2024. The results are presented in the report of the Working Group to SC59</w:t>
      </w:r>
      <w:r w:rsidR="00937668">
        <w:rPr>
          <w:rStyle w:val="FootnoteReference"/>
          <w:rFonts w:asciiTheme="minorHAnsi" w:hAnsiTheme="minorHAnsi" w:cstheme="minorHAnsi"/>
        </w:rPr>
        <w:footnoteReference w:id="3"/>
      </w:r>
      <w:r w:rsidR="00F12E40" w:rsidRPr="00F12E40">
        <w:rPr>
          <w:rFonts w:asciiTheme="minorHAnsi" w:hAnsiTheme="minorHAnsi" w:cstheme="minorHAnsi"/>
        </w:rPr>
        <w:t>.</w:t>
      </w:r>
    </w:p>
    <w:p w14:paraId="4353F3F8" w14:textId="648ADB7D" w:rsidR="00F12E40" w:rsidRPr="005F4D1C" w:rsidRDefault="00F12E40" w:rsidP="00D101E6">
      <w:pPr>
        <w:ind w:left="851"/>
        <w:rPr>
          <w:rFonts w:asciiTheme="minorHAnsi" w:hAnsiTheme="minorHAnsi" w:cstheme="minorHAnsi"/>
        </w:rPr>
      </w:pPr>
    </w:p>
    <w:p w14:paraId="413D1B1D" w14:textId="0F7538C3" w:rsidR="000622D2" w:rsidRPr="000622D2" w:rsidRDefault="00664D04" w:rsidP="00D101E6">
      <w:pPr>
        <w:ind w:left="851"/>
        <w:rPr>
          <w:rFonts w:asciiTheme="minorHAnsi" w:hAnsiTheme="minorHAnsi" w:cstheme="minorHAnsi"/>
        </w:rPr>
      </w:pPr>
      <w:r w:rsidRPr="00360A0A">
        <w:rPr>
          <w:rFonts w:asciiTheme="minorHAnsi" w:hAnsiTheme="minorHAnsi" w:cstheme="minorHAnsi"/>
        </w:rPr>
        <w:t>iii.</w:t>
      </w:r>
      <w:r w:rsidRPr="00360A0A">
        <w:rPr>
          <w:rFonts w:asciiTheme="minorHAnsi" w:hAnsiTheme="minorHAnsi" w:cstheme="minorHAnsi"/>
        </w:rPr>
        <w:tab/>
      </w:r>
      <w:r w:rsidR="00F12C15" w:rsidRPr="00360A0A">
        <w:rPr>
          <w:rFonts w:asciiTheme="minorHAnsi" w:hAnsiTheme="minorHAnsi" w:cstheme="minorHAnsi"/>
        </w:rPr>
        <w:t>Observer</w:t>
      </w:r>
      <w:r w:rsidR="00360A0A" w:rsidRPr="00360A0A">
        <w:rPr>
          <w:rFonts w:asciiTheme="minorHAnsi" w:hAnsiTheme="minorHAnsi" w:cstheme="minorHAnsi"/>
        </w:rPr>
        <w:t xml:space="preserve"> </w:t>
      </w:r>
      <w:r w:rsidR="00F12C15" w:rsidRPr="00360A0A">
        <w:rPr>
          <w:rFonts w:asciiTheme="minorHAnsi" w:hAnsiTheme="minorHAnsi" w:cstheme="minorHAnsi"/>
        </w:rPr>
        <w:t>Status</w:t>
      </w:r>
      <w:r w:rsidR="00360A0A" w:rsidRPr="00360A0A">
        <w:rPr>
          <w:rFonts w:asciiTheme="minorHAnsi" w:hAnsiTheme="minorHAnsi" w:cstheme="minorHAnsi"/>
        </w:rPr>
        <w:t xml:space="preserve"> </w:t>
      </w:r>
      <w:r w:rsidR="00F12C15" w:rsidRPr="00360A0A">
        <w:rPr>
          <w:rFonts w:asciiTheme="minorHAnsi" w:hAnsiTheme="minorHAnsi" w:cstheme="minorHAnsi"/>
        </w:rPr>
        <w:t>Working</w:t>
      </w:r>
      <w:r w:rsidR="00360A0A" w:rsidRPr="00360A0A">
        <w:rPr>
          <w:rFonts w:asciiTheme="minorHAnsi" w:hAnsiTheme="minorHAnsi" w:cstheme="minorHAnsi"/>
        </w:rPr>
        <w:t xml:space="preserve"> </w:t>
      </w:r>
      <w:r w:rsidR="00F12C15" w:rsidRPr="00360A0A">
        <w:rPr>
          <w:rFonts w:asciiTheme="minorHAnsi" w:hAnsiTheme="minorHAnsi" w:cstheme="minorHAnsi"/>
        </w:rPr>
        <w:t>Group</w:t>
      </w:r>
      <w:r w:rsidR="00360A0A" w:rsidRPr="00360A0A">
        <w:rPr>
          <w:rFonts w:asciiTheme="minorHAnsi" w:hAnsiTheme="minorHAnsi" w:cstheme="minorHAnsi"/>
        </w:rPr>
        <w:t xml:space="preserve"> </w:t>
      </w:r>
      <w:r w:rsidR="00F12C15" w:rsidRPr="00360A0A">
        <w:rPr>
          <w:rFonts w:asciiTheme="minorHAnsi" w:hAnsiTheme="minorHAnsi" w:cstheme="minorHAnsi"/>
        </w:rPr>
        <w:t>–</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Secretariat</w:t>
      </w:r>
      <w:r w:rsidR="00360A0A" w:rsidRPr="00360A0A">
        <w:rPr>
          <w:rFonts w:asciiTheme="minorHAnsi" w:hAnsiTheme="minorHAnsi" w:cstheme="minorHAnsi"/>
        </w:rPr>
        <w:t xml:space="preserve"> </w:t>
      </w:r>
      <w:r w:rsidR="00F12C15" w:rsidRPr="00360A0A">
        <w:rPr>
          <w:rFonts w:asciiTheme="minorHAnsi" w:hAnsiTheme="minorHAnsi" w:cstheme="minorHAnsi"/>
        </w:rPr>
        <w:t>has</w:t>
      </w:r>
      <w:r w:rsidR="00360A0A" w:rsidRPr="00360A0A">
        <w:rPr>
          <w:rFonts w:asciiTheme="minorHAnsi" w:hAnsiTheme="minorHAnsi" w:cstheme="minorHAnsi"/>
        </w:rPr>
        <w:t xml:space="preserve"> </w:t>
      </w:r>
      <w:r w:rsidR="00F12C15" w:rsidRPr="00360A0A">
        <w:rPr>
          <w:rFonts w:asciiTheme="minorHAnsi" w:hAnsiTheme="minorHAnsi" w:cstheme="minorHAnsi"/>
        </w:rPr>
        <w:t>facilitated</w:t>
      </w:r>
      <w:r w:rsidR="00360A0A" w:rsidRPr="00360A0A">
        <w:rPr>
          <w:rFonts w:asciiTheme="minorHAnsi" w:hAnsiTheme="minorHAnsi" w:cstheme="minorHAnsi"/>
        </w:rPr>
        <w:t xml:space="preserve"> </w:t>
      </w:r>
      <w:r w:rsidR="00F12C15" w:rsidRPr="00360A0A">
        <w:rPr>
          <w:rFonts w:asciiTheme="minorHAnsi" w:hAnsiTheme="minorHAnsi" w:cstheme="minorHAnsi"/>
        </w:rPr>
        <w:t>several</w:t>
      </w:r>
      <w:r w:rsidR="00360A0A" w:rsidRPr="00360A0A">
        <w:rPr>
          <w:rFonts w:asciiTheme="minorHAnsi" w:hAnsiTheme="minorHAnsi" w:cstheme="minorHAnsi"/>
        </w:rPr>
        <w:t xml:space="preserve"> </w:t>
      </w:r>
      <w:r w:rsidR="00F12C15" w:rsidRPr="00360A0A">
        <w:rPr>
          <w:rFonts w:asciiTheme="minorHAnsi" w:hAnsiTheme="minorHAnsi" w:cstheme="minorHAnsi"/>
        </w:rPr>
        <w:t>calls</w:t>
      </w:r>
      <w:r w:rsidR="00360A0A" w:rsidRPr="00360A0A">
        <w:rPr>
          <w:rFonts w:asciiTheme="minorHAnsi" w:hAnsiTheme="minorHAnsi" w:cstheme="minorHAnsi"/>
        </w:rPr>
        <w:t xml:space="preserve"> </w:t>
      </w:r>
      <w:r w:rsidR="00F12C15" w:rsidRPr="00360A0A">
        <w:rPr>
          <w:rFonts w:asciiTheme="minorHAnsi" w:hAnsiTheme="minorHAnsi" w:cstheme="minorHAnsi"/>
        </w:rPr>
        <w:t>of</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2D0976">
        <w:rPr>
          <w:rFonts w:asciiTheme="minorHAnsi" w:hAnsiTheme="minorHAnsi" w:cstheme="minorHAnsi"/>
        </w:rPr>
        <w:t>w</w:t>
      </w:r>
      <w:r w:rsidR="00F12C15" w:rsidRPr="00360A0A">
        <w:rPr>
          <w:rFonts w:asciiTheme="minorHAnsi" w:hAnsiTheme="minorHAnsi" w:cstheme="minorHAnsi"/>
        </w:rPr>
        <w:t>orking</w:t>
      </w:r>
      <w:r w:rsidR="00360A0A" w:rsidRPr="00360A0A">
        <w:rPr>
          <w:rFonts w:asciiTheme="minorHAnsi" w:hAnsiTheme="minorHAnsi" w:cstheme="minorHAnsi"/>
        </w:rPr>
        <w:t xml:space="preserve"> </w:t>
      </w:r>
      <w:r w:rsidR="002D0976">
        <w:rPr>
          <w:rFonts w:asciiTheme="minorHAnsi" w:hAnsiTheme="minorHAnsi" w:cstheme="minorHAnsi"/>
        </w:rPr>
        <w:t>g</w:t>
      </w:r>
      <w:r w:rsidR="00F12C15" w:rsidRPr="00360A0A">
        <w:rPr>
          <w:rFonts w:asciiTheme="minorHAnsi" w:hAnsiTheme="minorHAnsi" w:cstheme="minorHAnsi"/>
        </w:rPr>
        <w:t>roup</w:t>
      </w:r>
      <w:r w:rsidR="00360A0A" w:rsidRPr="00360A0A">
        <w:rPr>
          <w:rFonts w:asciiTheme="minorHAnsi" w:hAnsiTheme="minorHAnsi" w:cstheme="minorHAnsi"/>
        </w:rPr>
        <w:t xml:space="preserve"> </w:t>
      </w:r>
      <w:r w:rsidR="00F12C15" w:rsidRPr="00360A0A">
        <w:rPr>
          <w:rFonts w:asciiTheme="minorHAnsi" w:hAnsiTheme="minorHAnsi" w:cstheme="minorHAnsi"/>
        </w:rPr>
        <w:t>and</w:t>
      </w:r>
      <w:r w:rsidR="00360A0A" w:rsidRPr="00360A0A">
        <w:rPr>
          <w:rFonts w:asciiTheme="minorHAnsi" w:hAnsiTheme="minorHAnsi" w:cstheme="minorHAnsi"/>
        </w:rPr>
        <w:t xml:space="preserve"> </w:t>
      </w:r>
      <w:r w:rsidR="00F12C15" w:rsidRPr="00360A0A">
        <w:rPr>
          <w:rFonts w:asciiTheme="minorHAnsi" w:hAnsiTheme="minorHAnsi" w:cstheme="minorHAnsi"/>
        </w:rPr>
        <w:t>provided</w:t>
      </w:r>
      <w:r w:rsidR="00360A0A" w:rsidRPr="00360A0A">
        <w:rPr>
          <w:rFonts w:asciiTheme="minorHAnsi" w:hAnsiTheme="minorHAnsi" w:cstheme="minorHAnsi"/>
        </w:rPr>
        <w:t xml:space="preserve"> </w:t>
      </w:r>
      <w:r w:rsidR="00F12C15" w:rsidRPr="00360A0A">
        <w:rPr>
          <w:rFonts w:asciiTheme="minorHAnsi" w:hAnsiTheme="minorHAnsi" w:cstheme="minorHAnsi"/>
        </w:rPr>
        <w:t>summary</w:t>
      </w:r>
      <w:r w:rsidR="00360A0A" w:rsidRPr="00360A0A">
        <w:rPr>
          <w:rFonts w:asciiTheme="minorHAnsi" w:hAnsiTheme="minorHAnsi" w:cstheme="minorHAnsi"/>
        </w:rPr>
        <w:t xml:space="preserve"> </w:t>
      </w:r>
      <w:r w:rsidR="00F12C15" w:rsidRPr="00360A0A">
        <w:rPr>
          <w:rFonts w:asciiTheme="minorHAnsi" w:hAnsiTheme="minorHAnsi" w:cstheme="minorHAnsi"/>
        </w:rPr>
        <w:t>reports.</w:t>
      </w:r>
      <w:r w:rsidR="00360A0A" w:rsidRPr="00360A0A">
        <w:rPr>
          <w:rFonts w:asciiTheme="minorHAnsi" w:hAnsiTheme="minorHAnsi" w:cstheme="minorHAnsi"/>
        </w:rPr>
        <w:t xml:space="preserve"> </w:t>
      </w:r>
      <w:r w:rsidR="00F12C15" w:rsidRPr="00360A0A">
        <w:rPr>
          <w:rFonts w:asciiTheme="minorHAnsi" w:hAnsiTheme="minorHAnsi" w:cstheme="minorHAnsi"/>
        </w:rPr>
        <w:t>Additionally,</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F12C15" w:rsidRPr="00360A0A">
        <w:rPr>
          <w:rFonts w:asciiTheme="minorHAnsi" w:hAnsiTheme="minorHAnsi" w:cstheme="minorHAnsi"/>
        </w:rPr>
        <w:t>Secretariat</w:t>
      </w:r>
      <w:r w:rsidR="00360A0A" w:rsidRPr="00360A0A">
        <w:rPr>
          <w:rFonts w:asciiTheme="minorHAnsi" w:hAnsiTheme="minorHAnsi" w:cstheme="minorHAnsi"/>
        </w:rPr>
        <w:t xml:space="preserve"> </w:t>
      </w:r>
      <w:r w:rsidR="00F12C15" w:rsidRPr="00360A0A">
        <w:rPr>
          <w:rFonts w:asciiTheme="minorHAnsi" w:hAnsiTheme="minorHAnsi" w:cstheme="minorHAnsi"/>
        </w:rPr>
        <w:t>supported</w:t>
      </w:r>
      <w:r w:rsidR="00360A0A" w:rsidRPr="00360A0A">
        <w:rPr>
          <w:rFonts w:asciiTheme="minorHAnsi" w:hAnsiTheme="minorHAnsi" w:cstheme="minorHAnsi"/>
        </w:rPr>
        <w:t xml:space="preserve"> </w:t>
      </w:r>
      <w:r w:rsidR="00F12C15" w:rsidRPr="00360A0A">
        <w:rPr>
          <w:rFonts w:asciiTheme="minorHAnsi" w:hAnsiTheme="minorHAnsi" w:cstheme="minorHAnsi"/>
        </w:rPr>
        <w:t>the</w:t>
      </w:r>
      <w:r w:rsidR="00360A0A" w:rsidRPr="00360A0A">
        <w:rPr>
          <w:rFonts w:asciiTheme="minorHAnsi" w:hAnsiTheme="minorHAnsi" w:cstheme="minorHAnsi"/>
        </w:rPr>
        <w:t xml:space="preserve"> </w:t>
      </w:r>
      <w:r w:rsidR="00937668">
        <w:rPr>
          <w:rFonts w:asciiTheme="minorHAnsi" w:hAnsiTheme="minorHAnsi" w:cstheme="minorHAnsi"/>
        </w:rPr>
        <w:t>W</w:t>
      </w:r>
      <w:r w:rsidR="00937668" w:rsidRPr="00360A0A">
        <w:rPr>
          <w:rFonts w:asciiTheme="minorHAnsi" w:hAnsiTheme="minorHAnsi" w:cstheme="minorHAnsi"/>
        </w:rPr>
        <w:t xml:space="preserve">orking </w:t>
      </w:r>
      <w:r w:rsidR="00937668">
        <w:rPr>
          <w:rFonts w:asciiTheme="minorHAnsi" w:hAnsiTheme="minorHAnsi" w:cstheme="minorHAnsi"/>
        </w:rPr>
        <w:t>G</w:t>
      </w:r>
      <w:r w:rsidR="00937668" w:rsidRPr="00360A0A">
        <w:rPr>
          <w:rFonts w:asciiTheme="minorHAnsi" w:hAnsiTheme="minorHAnsi" w:cstheme="minorHAnsi"/>
        </w:rPr>
        <w:t xml:space="preserve">roup </w:t>
      </w:r>
      <w:r w:rsidR="00CF3532">
        <w:rPr>
          <w:rFonts w:asciiTheme="minorHAnsi" w:hAnsiTheme="minorHAnsi" w:cstheme="minorHAnsi"/>
        </w:rPr>
        <w:t>on the follow</w:t>
      </w:r>
      <w:r w:rsidR="00937668">
        <w:rPr>
          <w:rFonts w:asciiTheme="minorHAnsi" w:hAnsiTheme="minorHAnsi" w:cstheme="minorHAnsi"/>
        </w:rPr>
        <w:t>-</w:t>
      </w:r>
      <w:r w:rsidR="00CF3532">
        <w:rPr>
          <w:rFonts w:asciiTheme="minorHAnsi" w:hAnsiTheme="minorHAnsi" w:cstheme="minorHAnsi"/>
        </w:rPr>
        <w:t xml:space="preserve">up to the independent legal analysis </w:t>
      </w:r>
      <w:r w:rsidR="00937668">
        <w:rPr>
          <w:rFonts w:asciiTheme="minorHAnsi" w:hAnsiTheme="minorHAnsi" w:cstheme="minorHAnsi"/>
        </w:rPr>
        <w:t xml:space="preserve">consultancy </w:t>
      </w:r>
      <w:r w:rsidR="00CF3532" w:rsidRPr="00360A0A">
        <w:rPr>
          <w:rFonts w:asciiTheme="minorHAnsi" w:hAnsiTheme="minorHAnsi" w:cstheme="minorHAnsi"/>
        </w:rPr>
        <w:t>requested in Decision SC57-14</w:t>
      </w:r>
      <w:r w:rsidR="00966429">
        <w:rPr>
          <w:rFonts w:asciiTheme="minorHAnsi" w:hAnsiTheme="minorHAnsi" w:cstheme="minorHAnsi"/>
        </w:rPr>
        <w:t xml:space="preserve"> and </w:t>
      </w:r>
      <w:r w:rsidR="00F12C15" w:rsidRPr="00360A0A">
        <w:rPr>
          <w:rFonts w:asciiTheme="minorHAnsi" w:hAnsiTheme="minorHAnsi" w:cstheme="minorHAnsi"/>
        </w:rPr>
        <w:t>in</w:t>
      </w:r>
      <w:r w:rsidR="00360A0A" w:rsidRPr="00360A0A">
        <w:rPr>
          <w:rFonts w:asciiTheme="minorHAnsi" w:hAnsiTheme="minorHAnsi" w:cstheme="minorHAnsi"/>
        </w:rPr>
        <w:t xml:space="preserve"> </w:t>
      </w:r>
      <w:r w:rsidR="00F12C15" w:rsidRPr="00360A0A">
        <w:rPr>
          <w:rFonts w:asciiTheme="minorHAnsi" w:hAnsiTheme="minorHAnsi" w:cstheme="minorHAnsi"/>
        </w:rPr>
        <w:t>developing</w:t>
      </w:r>
      <w:r w:rsidR="00360A0A" w:rsidRPr="00360A0A">
        <w:rPr>
          <w:rFonts w:asciiTheme="minorHAnsi" w:hAnsiTheme="minorHAnsi" w:cstheme="minorHAnsi"/>
        </w:rPr>
        <w:t xml:space="preserve"> </w:t>
      </w:r>
      <w:r w:rsidR="00CF3532">
        <w:rPr>
          <w:rFonts w:asciiTheme="minorHAnsi" w:hAnsiTheme="minorHAnsi" w:cstheme="minorHAnsi"/>
        </w:rPr>
        <w:t xml:space="preserve">the </w:t>
      </w:r>
      <w:r w:rsidR="00937668">
        <w:rPr>
          <w:rFonts w:asciiTheme="minorHAnsi" w:hAnsiTheme="minorHAnsi" w:cstheme="minorHAnsi"/>
        </w:rPr>
        <w:t>terms of reference (TORs)</w:t>
      </w:r>
      <w:r w:rsidR="00360A0A" w:rsidRPr="00360A0A">
        <w:rPr>
          <w:rFonts w:asciiTheme="minorHAnsi" w:hAnsiTheme="minorHAnsi" w:cstheme="minorHAnsi"/>
        </w:rPr>
        <w:t xml:space="preserve"> </w:t>
      </w:r>
      <w:r w:rsidR="00966429">
        <w:rPr>
          <w:rFonts w:asciiTheme="minorHAnsi" w:hAnsiTheme="minorHAnsi" w:cstheme="minorHAnsi"/>
        </w:rPr>
        <w:t>for</w:t>
      </w:r>
      <w:r w:rsidR="00CF3532">
        <w:rPr>
          <w:rFonts w:asciiTheme="minorHAnsi" w:hAnsiTheme="minorHAnsi" w:cstheme="minorHAnsi"/>
        </w:rPr>
        <w:t xml:space="preserve"> the financial analysis</w:t>
      </w:r>
      <w:r w:rsidR="00966429">
        <w:rPr>
          <w:rFonts w:asciiTheme="minorHAnsi" w:hAnsiTheme="minorHAnsi" w:cstheme="minorHAnsi"/>
        </w:rPr>
        <w:t xml:space="preserve"> </w:t>
      </w:r>
      <w:r w:rsidR="00937668">
        <w:rPr>
          <w:rFonts w:cstheme="minorHAnsi"/>
        </w:rPr>
        <w:t>of</w:t>
      </w:r>
      <w:r w:rsidR="00966429" w:rsidRPr="00966429">
        <w:rPr>
          <w:rFonts w:cstheme="minorHAnsi"/>
        </w:rPr>
        <w:t xml:space="preserve"> the legal status of the Secretariat</w:t>
      </w:r>
      <w:r w:rsidR="001F223E">
        <w:rPr>
          <w:rFonts w:cstheme="minorHAnsi"/>
        </w:rPr>
        <w:t xml:space="preserve"> requested in </w:t>
      </w:r>
      <w:r w:rsidR="001F223E">
        <w:t>SC58 Intersessional Decision 09 on 16 March</w:t>
      </w:r>
      <w:r w:rsidR="00937668">
        <w:rPr>
          <w:rFonts w:cstheme="minorHAnsi"/>
        </w:rPr>
        <w:t>.</w:t>
      </w:r>
    </w:p>
    <w:p w14:paraId="4729CC30" w14:textId="2F1EC304" w:rsidR="000622D2" w:rsidRPr="000622D2" w:rsidRDefault="000622D2" w:rsidP="00D101E6">
      <w:pPr>
        <w:ind w:left="851"/>
        <w:rPr>
          <w:rFonts w:asciiTheme="minorHAnsi" w:hAnsiTheme="minorHAnsi" w:cstheme="minorHAnsi"/>
        </w:rPr>
      </w:pPr>
    </w:p>
    <w:p w14:paraId="5406920A" w14:textId="3E5CC082" w:rsidR="00B268F3" w:rsidRPr="00516F66" w:rsidRDefault="000622D2" w:rsidP="00D101E6">
      <w:pPr>
        <w:ind w:left="851"/>
        <w:rPr>
          <w:rFonts w:asciiTheme="minorHAnsi" w:hAnsiTheme="minorHAnsi" w:cstheme="minorHAnsi"/>
        </w:rPr>
      </w:pPr>
      <w:r w:rsidRPr="000622D2">
        <w:rPr>
          <w:rFonts w:asciiTheme="minorHAnsi" w:hAnsiTheme="minorHAnsi" w:cstheme="minorHAnsi"/>
        </w:rPr>
        <w:t>iv.</w:t>
      </w:r>
      <w:r w:rsidR="004A0CC9" w:rsidRPr="004A0CC9">
        <w:rPr>
          <w:rFonts w:asciiTheme="minorHAnsi" w:hAnsiTheme="minorHAnsi" w:cstheme="minorHAnsi"/>
        </w:rPr>
        <w:t xml:space="preserve"> </w:t>
      </w:r>
      <w:r w:rsidR="004A0CC9" w:rsidRPr="00360A0A">
        <w:rPr>
          <w:rFonts w:asciiTheme="minorHAnsi" w:hAnsiTheme="minorHAnsi" w:cstheme="minorHAnsi"/>
        </w:rPr>
        <w:tab/>
      </w:r>
      <w:r w:rsidRPr="000622D2">
        <w:rPr>
          <w:rFonts w:asciiTheme="minorHAnsi" w:hAnsiTheme="minorHAnsi" w:cstheme="minorHAnsi"/>
        </w:rPr>
        <w:t xml:space="preserve">Working Group on the Ramsar Regional Initiatives (RRIs) – With guidance from Contracting Parties, the Secretariat supported the </w:t>
      </w:r>
      <w:r w:rsidR="00937668" w:rsidRPr="000622D2">
        <w:rPr>
          <w:rFonts w:asciiTheme="minorHAnsi" w:hAnsiTheme="minorHAnsi" w:cstheme="minorHAnsi"/>
        </w:rPr>
        <w:t xml:space="preserve">Group </w:t>
      </w:r>
      <w:r w:rsidRPr="000622D2">
        <w:rPr>
          <w:rFonts w:asciiTheme="minorHAnsi" w:hAnsiTheme="minorHAnsi" w:cstheme="minorHAnsi"/>
        </w:rPr>
        <w:t>to develop its TOR</w:t>
      </w:r>
      <w:r w:rsidR="00937668">
        <w:rPr>
          <w:rFonts w:asciiTheme="minorHAnsi" w:hAnsiTheme="minorHAnsi" w:cstheme="minorHAnsi"/>
        </w:rPr>
        <w:t>s</w:t>
      </w:r>
      <w:r w:rsidRPr="000622D2">
        <w:rPr>
          <w:rFonts w:asciiTheme="minorHAnsi" w:hAnsiTheme="minorHAnsi" w:cstheme="minorHAnsi"/>
        </w:rPr>
        <w:t xml:space="preserve"> and recruit a </w:t>
      </w:r>
      <w:r w:rsidR="00937668">
        <w:rPr>
          <w:rFonts w:asciiTheme="minorHAnsi" w:hAnsiTheme="minorHAnsi" w:cstheme="minorHAnsi"/>
        </w:rPr>
        <w:t>c</w:t>
      </w:r>
      <w:r w:rsidRPr="000622D2">
        <w:rPr>
          <w:rFonts w:asciiTheme="minorHAnsi" w:hAnsiTheme="minorHAnsi" w:cstheme="minorHAnsi"/>
        </w:rPr>
        <w:t xml:space="preserve">onsultant to help the </w:t>
      </w:r>
      <w:r w:rsidR="00937668" w:rsidRPr="000622D2">
        <w:rPr>
          <w:rFonts w:asciiTheme="minorHAnsi" w:hAnsiTheme="minorHAnsi" w:cstheme="minorHAnsi"/>
        </w:rPr>
        <w:t>Grou</w:t>
      </w:r>
      <w:r w:rsidR="00937668">
        <w:rPr>
          <w:rFonts w:asciiTheme="minorHAnsi" w:hAnsiTheme="minorHAnsi" w:cstheme="minorHAnsi"/>
        </w:rPr>
        <w:t>p by</w:t>
      </w:r>
      <w:r w:rsidR="00A31D58">
        <w:rPr>
          <w:rFonts w:asciiTheme="minorHAnsi" w:hAnsiTheme="minorHAnsi" w:cstheme="minorHAnsi"/>
        </w:rPr>
        <w:t xml:space="preserve"> providing an assessment report </w:t>
      </w:r>
      <w:r w:rsidRPr="000622D2">
        <w:rPr>
          <w:rFonts w:asciiTheme="minorHAnsi" w:hAnsiTheme="minorHAnsi" w:cstheme="minorHAnsi"/>
        </w:rPr>
        <w:t xml:space="preserve">and </w:t>
      </w:r>
      <w:r w:rsidR="00731B6E">
        <w:rPr>
          <w:rFonts w:asciiTheme="minorHAnsi" w:hAnsiTheme="minorHAnsi" w:cstheme="minorHAnsi"/>
        </w:rPr>
        <w:t xml:space="preserve">preparing </w:t>
      </w:r>
      <w:r w:rsidRPr="000622D2">
        <w:rPr>
          <w:rFonts w:asciiTheme="minorHAnsi" w:hAnsiTheme="minorHAnsi" w:cstheme="minorHAnsi"/>
        </w:rPr>
        <w:t>draft Operational Guidelines as requested by Resolution XIII.9.</w:t>
      </w:r>
      <w:r w:rsidR="00013A89">
        <w:rPr>
          <w:rFonts w:asciiTheme="minorHAnsi" w:hAnsiTheme="minorHAnsi" w:cstheme="minorHAnsi"/>
        </w:rPr>
        <w:t xml:space="preserve"> </w:t>
      </w:r>
      <w:r w:rsidRPr="000622D2">
        <w:rPr>
          <w:rFonts w:asciiTheme="minorHAnsi" w:hAnsiTheme="minorHAnsi" w:cstheme="minorHAnsi"/>
        </w:rPr>
        <w:t xml:space="preserve"> </w:t>
      </w:r>
    </w:p>
    <w:p w14:paraId="25D92B60" w14:textId="77777777" w:rsidR="00B268F3" w:rsidRDefault="00B268F3" w:rsidP="00623F05">
      <w:pPr>
        <w:ind w:left="0" w:firstLine="0"/>
        <w:rPr>
          <w:rFonts w:asciiTheme="minorHAnsi" w:eastAsiaTheme="minorHAnsi" w:hAnsiTheme="minorHAnsi" w:cstheme="minorHAnsi"/>
        </w:rPr>
      </w:pPr>
    </w:p>
    <w:p w14:paraId="3EFA4AC5" w14:textId="6779E13A" w:rsidR="00B268F3" w:rsidRPr="005972E9" w:rsidRDefault="007D659D" w:rsidP="005972E9">
      <w:pPr>
        <w:rPr>
          <w:rFonts w:asciiTheme="minorHAnsi" w:hAnsiTheme="minorHAnsi" w:cstheme="minorHAnsi"/>
        </w:rPr>
      </w:pPr>
      <w:r w:rsidRPr="005972E9">
        <w:rPr>
          <w:rFonts w:asciiTheme="minorHAnsi" w:hAnsiTheme="minorHAnsi" w:cstheme="minorHAnsi"/>
        </w:rPr>
        <w:t>1</w:t>
      </w:r>
      <w:r w:rsidR="004A0CC9">
        <w:rPr>
          <w:rFonts w:asciiTheme="minorHAnsi" w:hAnsiTheme="minorHAnsi" w:cstheme="minorHAnsi"/>
        </w:rPr>
        <w:t>0</w:t>
      </w:r>
      <w:r w:rsidR="00937668">
        <w:rPr>
          <w:rFonts w:asciiTheme="minorHAnsi" w:hAnsiTheme="minorHAnsi" w:cstheme="minorHAnsi"/>
        </w:rPr>
        <w:t>.</w:t>
      </w:r>
      <w:r w:rsidR="00937668">
        <w:rPr>
          <w:rFonts w:asciiTheme="minorHAnsi" w:hAnsiTheme="minorHAnsi" w:cstheme="minorHAnsi"/>
        </w:rPr>
        <w:tab/>
      </w:r>
      <w:r w:rsidR="00B268F3" w:rsidRPr="005972E9">
        <w:rPr>
          <w:rFonts w:asciiTheme="minorHAnsi" w:hAnsiTheme="minorHAnsi" w:cstheme="minorHAnsi"/>
        </w:rPr>
        <w:t xml:space="preserve">Ahead of SC58, the Secretariat supported the online meeting of the Subgroup of Finance and conducted meetings via virtual means that resulted in the review, adjustment and approval of the 2021 budget by the Standing Committee </w:t>
      </w:r>
      <w:r w:rsidR="00414653" w:rsidRPr="005972E9">
        <w:rPr>
          <w:rFonts w:asciiTheme="minorHAnsi" w:hAnsiTheme="minorHAnsi" w:cstheme="minorHAnsi"/>
        </w:rPr>
        <w:t xml:space="preserve">during </w:t>
      </w:r>
      <w:r w:rsidR="00937668">
        <w:rPr>
          <w:rFonts w:asciiTheme="minorHAnsi" w:hAnsiTheme="minorHAnsi" w:cstheme="minorHAnsi"/>
        </w:rPr>
        <w:t>SC58</w:t>
      </w:r>
      <w:r w:rsidR="00414653" w:rsidRPr="005972E9">
        <w:rPr>
          <w:rFonts w:asciiTheme="minorHAnsi" w:hAnsiTheme="minorHAnsi" w:cstheme="minorHAnsi"/>
        </w:rPr>
        <w:t xml:space="preserve"> in June 2020</w:t>
      </w:r>
      <w:r w:rsidR="00B268F3" w:rsidRPr="005972E9">
        <w:rPr>
          <w:rFonts w:asciiTheme="minorHAnsi" w:hAnsiTheme="minorHAnsi" w:cstheme="minorHAnsi"/>
        </w:rPr>
        <w:t>. The Secretariat also supported further financial intersessional decisions by the Standing Com</w:t>
      </w:r>
      <w:r w:rsidR="00414653" w:rsidRPr="005972E9">
        <w:rPr>
          <w:rFonts w:asciiTheme="minorHAnsi" w:hAnsiTheme="minorHAnsi" w:cstheme="minorHAnsi"/>
        </w:rPr>
        <w:t>mittee in the first quarter of</w:t>
      </w:r>
      <w:r w:rsidR="00B268F3" w:rsidRPr="005972E9">
        <w:rPr>
          <w:rFonts w:asciiTheme="minorHAnsi" w:hAnsiTheme="minorHAnsi" w:cstheme="minorHAnsi"/>
        </w:rPr>
        <w:t xml:space="preserve"> 2021.</w:t>
      </w:r>
    </w:p>
    <w:p w14:paraId="1F1D19D4" w14:textId="77777777" w:rsidR="00B268F3" w:rsidRPr="005972E9" w:rsidRDefault="00B268F3" w:rsidP="005972E9">
      <w:pPr>
        <w:rPr>
          <w:rFonts w:asciiTheme="minorHAnsi" w:hAnsiTheme="minorHAnsi" w:cstheme="minorHAnsi"/>
        </w:rPr>
      </w:pPr>
    </w:p>
    <w:p w14:paraId="7DF71944" w14:textId="08EABBA3" w:rsidR="004A79DC" w:rsidRPr="00360A0A" w:rsidRDefault="004A0CC9" w:rsidP="00864DFD">
      <w:pPr>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4A79DC" w:rsidRPr="00BA64A4" w:rsidDel="0021604A">
        <w:rPr>
          <w:rFonts w:asciiTheme="minorHAnsi" w:hAnsiTheme="minorHAnsi" w:cstheme="minorHAnsi"/>
        </w:rPr>
        <w:t>The Secretariat supported the work of the Management Working Group on STRP matters, fac</w:t>
      </w:r>
      <w:r w:rsidR="00245099" w:rsidRPr="00BA64A4" w:rsidDel="0021604A">
        <w:rPr>
          <w:rFonts w:asciiTheme="minorHAnsi" w:hAnsiTheme="minorHAnsi" w:cstheme="minorHAnsi"/>
        </w:rPr>
        <w:t xml:space="preserve">ilitating a virtual meeting on </w:t>
      </w:r>
      <w:r w:rsidR="004A79DC" w:rsidRPr="00BA64A4" w:rsidDel="0021604A">
        <w:rPr>
          <w:rFonts w:asciiTheme="minorHAnsi" w:hAnsiTheme="minorHAnsi" w:cstheme="minorHAnsi"/>
        </w:rPr>
        <w:t>2</w:t>
      </w:r>
      <w:r w:rsidR="00936866" w:rsidDel="0021604A">
        <w:rPr>
          <w:rFonts w:asciiTheme="minorHAnsi" w:hAnsiTheme="minorHAnsi" w:cstheme="minorHAnsi"/>
        </w:rPr>
        <w:t xml:space="preserve"> </w:t>
      </w:r>
      <w:r w:rsidR="004A79DC" w:rsidRPr="00BA64A4" w:rsidDel="0021604A">
        <w:rPr>
          <w:rFonts w:asciiTheme="minorHAnsi" w:hAnsiTheme="minorHAnsi" w:cstheme="minorHAnsi"/>
        </w:rPr>
        <w:t xml:space="preserve">November 2020 to provide a progress update on the delivery of </w:t>
      </w:r>
      <w:r w:rsidR="005F5E57">
        <w:rPr>
          <w:rFonts w:asciiTheme="minorHAnsi" w:hAnsiTheme="minorHAnsi" w:cstheme="minorHAnsi"/>
        </w:rPr>
        <w:t xml:space="preserve">the </w:t>
      </w:r>
      <w:r w:rsidR="004A79DC" w:rsidRPr="00BA64A4" w:rsidDel="0021604A">
        <w:rPr>
          <w:rFonts w:asciiTheme="minorHAnsi" w:hAnsiTheme="minorHAnsi" w:cstheme="minorHAnsi"/>
        </w:rPr>
        <w:t>STRP</w:t>
      </w:r>
      <w:r w:rsidR="001C2C01">
        <w:rPr>
          <w:rFonts w:asciiTheme="minorHAnsi" w:hAnsiTheme="minorHAnsi" w:cstheme="minorHAnsi"/>
        </w:rPr>
        <w:t>’</w:t>
      </w:r>
      <w:r w:rsidR="005F5E57">
        <w:rPr>
          <w:rFonts w:asciiTheme="minorHAnsi" w:hAnsiTheme="minorHAnsi" w:cstheme="minorHAnsi"/>
        </w:rPr>
        <w:t>s</w:t>
      </w:r>
      <w:r w:rsidR="004A79DC" w:rsidRPr="00BA64A4" w:rsidDel="0021604A">
        <w:rPr>
          <w:rFonts w:asciiTheme="minorHAnsi" w:hAnsiTheme="minorHAnsi" w:cstheme="minorHAnsi"/>
        </w:rPr>
        <w:t xml:space="preserve"> highest priority tasks, as requested by the Standing Committee during its intersessional process. The Secretariat and STRP Chair also sought guidance during the meeting on the way forward for the </w:t>
      </w:r>
      <w:r w:rsidR="004A79DC" w:rsidRPr="005F5E57" w:rsidDel="0021604A">
        <w:rPr>
          <w:rFonts w:asciiTheme="minorHAnsi" w:hAnsiTheme="minorHAnsi" w:cstheme="minorHAnsi"/>
          <w:i/>
        </w:rPr>
        <w:t>Global Wetland Outlook</w:t>
      </w:r>
      <w:r w:rsidR="005F5E57" w:rsidRPr="005F5E57">
        <w:rPr>
          <w:rFonts w:asciiTheme="minorHAnsi" w:hAnsiTheme="minorHAnsi" w:cstheme="minorHAnsi"/>
          <w:i/>
        </w:rPr>
        <w:t xml:space="preserve"> – </w:t>
      </w:r>
      <w:r w:rsidR="004A79DC" w:rsidRPr="005F5E57" w:rsidDel="0021604A">
        <w:rPr>
          <w:rFonts w:asciiTheme="minorHAnsi" w:hAnsiTheme="minorHAnsi" w:cstheme="minorHAnsi"/>
          <w:i/>
        </w:rPr>
        <w:t>Special Edition</w:t>
      </w:r>
      <w:r w:rsidR="004A79DC" w:rsidRPr="00BA64A4" w:rsidDel="0021604A">
        <w:rPr>
          <w:rFonts w:asciiTheme="minorHAnsi" w:hAnsiTheme="minorHAnsi" w:cstheme="minorHAnsi"/>
        </w:rPr>
        <w:t xml:space="preserve"> and its alignment with the theme of the 50th Anniversary of the Convention, as well as the ad-hoc advisory task on Criterion 6, </w:t>
      </w:r>
      <w:r w:rsidR="005F5E57">
        <w:rPr>
          <w:rFonts w:asciiTheme="minorHAnsi" w:hAnsiTheme="minorHAnsi" w:cstheme="minorHAnsi"/>
        </w:rPr>
        <w:t>in accordance with</w:t>
      </w:r>
      <w:r w:rsidR="004A79DC" w:rsidRPr="00BA64A4" w:rsidDel="0021604A">
        <w:rPr>
          <w:rFonts w:asciiTheme="minorHAnsi" w:hAnsiTheme="minorHAnsi" w:cstheme="minorHAnsi"/>
        </w:rPr>
        <w:t xml:space="preserve"> the reques</w:t>
      </w:r>
      <w:r w:rsidR="005F5E57">
        <w:rPr>
          <w:rFonts w:asciiTheme="minorHAnsi" w:hAnsiTheme="minorHAnsi" w:cstheme="minorHAnsi"/>
        </w:rPr>
        <w:t>t of the Standing Committee in D</w:t>
      </w:r>
      <w:r w:rsidR="004A79DC" w:rsidRPr="00BA64A4" w:rsidDel="0021604A">
        <w:rPr>
          <w:rFonts w:asciiTheme="minorHAnsi" w:hAnsiTheme="minorHAnsi" w:cstheme="minorHAnsi"/>
        </w:rPr>
        <w:t>ecision SC58-06.</w:t>
      </w:r>
    </w:p>
    <w:p w14:paraId="773B0165" w14:textId="77777777" w:rsidR="00004592" w:rsidRPr="00360A0A" w:rsidRDefault="00004592" w:rsidP="005972E9">
      <w:pPr>
        <w:rPr>
          <w:rFonts w:asciiTheme="minorHAnsi" w:hAnsiTheme="minorHAnsi" w:cstheme="minorHAnsi"/>
        </w:rPr>
      </w:pPr>
    </w:p>
    <w:p w14:paraId="2DB17B40" w14:textId="6FEEE95D" w:rsidR="006E58ED" w:rsidRPr="005972E9" w:rsidRDefault="00DF267E" w:rsidP="005972E9">
      <w:pPr>
        <w:rPr>
          <w:rFonts w:asciiTheme="minorHAnsi" w:hAnsiTheme="minorHAnsi" w:cstheme="minorHAnsi"/>
        </w:rPr>
      </w:pPr>
      <w:r>
        <w:rPr>
          <w:rFonts w:asciiTheme="minorHAnsi" w:hAnsiTheme="minorHAnsi" w:cstheme="minorHAnsi"/>
        </w:rPr>
        <w:t>1</w:t>
      </w:r>
      <w:r w:rsidR="004A0CC9">
        <w:rPr>
          <w:rFonts w:asciiTheme="minorHAnsi" w:hAnsiTheme="minorHAnsi" w:cstheme="minorHAnsi"/>
        </w:rPr>
        <w:t>2</w:t>
      </w:r>
      <w:r w:rsidR="006E58ED" w:rsidRPr="00360A0A">
        <w:rPr>
          <w:rFonts w:asciiTheme="minorHAnsi" w:hAnsiTheme="minorHAnsi" w:cstheme="minorHAnsi"/>
        </w:rPr>
        <w:t>.</w:t>
      </w:r>
      <w:r w:rsidR="006E58ED" w:rsidRPr="00360A0A">
        <w:rPr>
          <w:rFonts w:asciiTheme="minorHAnsi" w:hAnsiTheme="minorHAnsi" w:cstheme="minorHAnsi"/>
        </w:rPr>
        <w:tab/>
        <w:t>Support to the STRP over this reporting period included:</w:t>
      </w:r>
    </w:p>
    <w:p w14:paraId="0CD20DF6" w14:textId="77777777" w:rsidR="006E58ED" w:rsidRPr="00360A0A" w:rsidRDefault="006E58ED" w:rsidP="00623F05">
      <w:pPr>
        <w:ind w:left="0" w:firstLine="0"/>
        <w:rPr>
          <w:rFonts w:asciiTheme="minorHAnsi" w:hAnsiTheme="minorHAnsi" w:cstheme="minorHAnsi"/>
        </w:rPr>
      </w:pPr>
    </w:p>
    <w:p w14:paraId="716E4352" w14:textId="2947E868" w:rsidR="006E58ED" w:rsidRDefault="004A0CC9" w:rsidP="004A0CC9">
      <w:pPr>
        <w:ind w:left="851"/>
        <w:rPr>
          <w:rFonts w:asciiTheme="minorHAnsi" w:hAnsiTheme="minorHAnsi" w:cstheme="minorHAnsi"/>
        </w:rPr>
      </w:pPr>
      <w:r w:rsidRPr="000622D2">
        <w:rPr>
          <w:rFonts w:asciiTheme="minorHAnsi" w:hAnsiTheme="minorHAnsi" w:cstheme="minorHAnsi"/>
        </w:rPr>
        <w:t>i.</w:t>
      </w:r>
      <w:r w:rsidRPr="004A0CC9">
        <w:rPr>
          <w:rFonts w:asciiTheme="minorHAnsi" w:hAnsiTheme="minorHAnsi" w:cstheme="minorHAnsi"/>
        </w:rPr>
        <w:t xml:space="preserve"> </w:t>
      </w:r>
      <w:r w:rsidRPr="00360A0A">
        <w:rPr>
          <w:rFonts w:asciiTheme="minorHAnsi" w:hAnsiTheme="minorHAnsi" w:cstheme="minorHAnsi"/>
        </w:rPr>
        <w:tab/>
      </w:r>
      <w:r w:rsidR="00BA64A4">
        <w:rPr>
          <w:rFonts w:asciiTheme="minorHAnsi" w:hAnsiTheme="minorHAnsi" w:cstheme="minorHAnsi"/>
        </w:rPr>
        <w:t>Facilitating</w:t>
      </w:r>
      <w:r w:rsidR="00BA64A4" w:rsidRPr="00BA64A4">
        <w:rPr>
          <w:rFonts w:asciiTheme="minorHAnsi" w:hAnsiTheme="minorHAnsi" w:cstheme="minorHAnsi"/>
        </w:rPr>
        <w:t xml:space="preserve"> a call</w:t>
      </w:r>
      <w:r w:rsidR="006E58ED" w:rsidRPr="00BA64A4">
        <w:rPr>
          <w:rFonts w:asciiTheme="minorHAnsi" w:hAnsiTheme="minorHAnsi" w:cstheme="minorHAnsi"/>
        </w:rPr>
        <w:t xml:space="preserve"> of the Management Working Group to provide guidance to the STRP on the development and finalization of the highest</w:t>
      </w:r>
      <w:r w:rsidR="008F7CE9">
        <w:rPr>
          <w:rFonts w:asciiTheme="minorHAnsi" w:hAnsiTheme="minorHAnsi" w:cstheme="minorHAnsi"/>
        </w:rPr>
        <w:t>-</w:t>
      </w:r>
      <w:r w:rsidR="006E58ED" w:rsidRPr="00BA64A4">
        <w:rPr>
          <w:rFonts w:asciiTheme="minorHAnsi" w:hAnsiTheme="minorHAnsi" w:cstheme="minorHAnsi"/>
        </w:rPr>
        <w:t>priority tasks.</w:t>
      </w:r>
      <w:r w:rsidR="006E58ED">
        <w:rPr>
          <w:rFonts w:asciiTheme="minorHAnsi" w:hAnsiTheme="minorHAnsi" w:cstheme="minorHAnsi"/>
        </w:rPr>
        <w:t xml:space="preserve"> </w:t>
      </w:r>
    </w:p>
    <w:p w14:paraId="2E19A065" w14:textId="77777777" w:rsidR="006E58ED" w:rsidRDefault="006E58ED" w:rsidP="004A0CC9">
      <w:pPr>
        <w:ind w:left="851"/>
        <w:rPr>
          <w:rFonts w:asciiTheme="minorHAnsi" w:hAnsiTheme="minorHAnsi" w:cstheme="minorHAnsi"/>
        </w:rPr>
      </w:pPr>
    </w:p>
    <w:p w14:paraId="282B030E" w14:textId="0A13A054" w:rsidR="006E58ED" w:rsidRPr="00360A0A" w:rsidRDefault="006E58ED" w:rsidP="004A0CC9">
      <w:pPr>
        <w:ind w:left="851"/>
        <w:rPr>
          <w:rFonts w:asciiTheme="minorHAnsi" w:hAnsiTheme="minorHAnsi" w:cstheme="minorHAnsi"/>
        </w:rPr>
      </w:pPr>
      <w:r>
        <w:rPr>
          <w:rFonts w:asciiTheme="minorHAnsi" w:hAnsiTheme="minorHAnsi" w:cstheme="minorHAnsi"/>
        </w:rPr>
        <w:t xml:space="preserve">ii. </w:t>
      </w:r>
      <w:r>
        <w:rPr>
          <w:rFonts w:asciiTheme="minorHAnsi" w:hAnsiTheme="minorHAnsi" w:cstheme="minorHAnsi"/>
        </w:rPr>
        <w:tab/>
        <w:t>Supporting the work of the task leads and working groups to finali</w:t>
      </w:r>
      <w:r w:rsidR="008F7CE9">
        <w:rPr>
          <w:rFonts w:asciiTheme="minorHAnsi" w:hAnsiTheme="minorHAnsi" w:cstheme="minorHAnsi"/>
        </w:rPr>
        <w:t>z</w:t>
      </w:r>
      <w:r>
        <w:rPr>
          <w:rFonts w:asciiTheme="minorHAnsi" w:hAnsiTheme="minorHAnsi" w:cstheme="minorHAnsi"/>
        </w:rPr>
        <w:t>e drafts for the highest</w:t>
      </w:r>
      <w:r w:rsidR="008F7CE9">
        <w:rPr>
          <w:rFonts w:asciiTheme="minorHAnsi" w:hAnsiTheme="minorHAnsi" w:cstheme="minorHAnsi"/>
        </w:rPr>
        <w:t>-</w:t>
      </w:r>
      <w:r>
        <w:rPr>
          <w:rFonts w:asciiTheme="minorHAnsi" w:hAnsiTheme="minorHAnsi" w:cstheme="minorHAnsi"/>
        </w:rPr>
        <w:t>priority tasks, including: working with external consultants supporting the work of the Panel, organizing regular calls with the STRP Chair, Vice-Chair and task leads, coordinating the peer review process for drafts and ensuring communication flows with Panel members and STRP National Focal Points.</w:t>
      </w:r>
    </w:p>
    <w:p w14:paraId="15210B0D" w14:textId="77777777" w:rsidR="006E58ED" w:rsidRPr="00360A0A" w:rsidRDefault="006E58ED" w:rsidP="004A0CC9">
      <w:pPr>
        <w:ind w:left="851"/>
        <w:rPr>
          <w:rFonts w:asciiTheme="minorHAnsi" w:hAnsiTheme="minorHAnsi" w:cstheme="minorHAnsi"/>
        </w:rPr>
      </w:pPr>
    </w:p>
    <w:p w14:paraId="2FB1B8D5" w14:textId="3E405B5A" w:rsidR="006E58ED" w:rsidRPr="00360A0A" w:rsidRDefault="006E58ED" w:rsidP="004A0CC9">
      <w:pPr>
        <w:ind w:left="851"/>
        <w:rPr>
          <w:rFonts w:asciiTheme="minorHAnsi" w:hAnsiTheme="minorHAnsi" w:cstheme="minorHAnsi"/>
        </w:rPr>
      </w:pPr>
      <w:r w:rsidRPr="00360A0A">
        <w:rPr>
          <w:rFonts w:asciiTheme="minorHAnsi" w:hAnsiTheme="minorHAnsi" w:cstheme="minorHAnsi"/>
        </w:rPr>
        <w:t>ii</w:t>
      </w:r>
      <w:r w:rsidR="004A0CC9">
        <w:rPr>
          <w:rFonts w:asciiTheme="minorHAnsi" w:hAnsiTheme="minorHAnsi" w:cstheme="minorHAnsi"/>
        </w:rPr>
        <w:t>i</w:t>
      </w:r>
      <w:r w:rsidRPr="00360A0A">
        <w:rPr>
          <w:rFonts w:asciiTheme="minorHAnsi" w:hAnsiTheme="minorHAnsi" w:cstheme="minorHAnsi"/>
        </w:rPr>
        <w:t>.</w:t>
      </w:r>
      <w:r w:rsidRPr="00360A0A">
        <w:rPr>
          <w:rFonts w:asciiTheme="minorHAnsi" w:hAnsiTheme="minorHAnsi" w:cstheme="minorHAnsi"/>
        </w:rPr>
        <w:tab/>
      </w:r>
      <w:r>
        <w:rPr>
          <w:rFonts w:asciiTheme="minorHAnsi" w:hAnsiTheme="minorHAnsi" w:cstheme="minorHAnsi"/>
        </w:rPr>
        <w:t xml:space="preserve">Supporting the STRP Chair with the process for setting future scientific and technical priorities, as well as preparation of documents for SC59. </w:t>
      </w:r>
    </w:p>
    <w:p w14:paraId="500C8551" w14:textId="77777777" w:rsidR="006E58ED" w:rsidRPr="00360A0A" w:rsidRDefault="006E58ED" w:rsidP="004A0CC9">
      <w:pPr>
        <w:ind w:left="851"/>
        <w:rPr>
          <w:rFonts w:asciiTheme="minorHAnsi" w:hAnsiTheme="minorHAnsi" w:cstheme="minorHAnsi"/>
        </w:rPr>
      </w:pPr>
    </w:p>
    <w:p w14:paraId="0B634846" w14:textId="49E789A2" w:rsidR="006E58ED" w:rsidRDefault="004A0CC9" w:rsidP="004A0CC9">
      <w:pPr>
        <w:ind w:left="851"/>
        <w:rPr>
          <w:rFonts w:asciiTheme="minorHAnsi" w:hAnsiTheme="minorHAnsi" w:cstheme="minorHAnsi"/>
        </w:rPr>
      </w:pPr>
      <w:r>
        <w:rPr>
          <w:rFonts w:asciiTheme="minorHAnsi" w:hAnsiTheme="minorHAnsi" w:cstheme="minorHAnsi"/>
        </w:rPr>
        <w:t>iv.</w:t>
      </w:r>
      <w:r>
        <w:rPr>
          <w:rFonts w:asciiTheme="minorHAnsi" w:hAnsiTheme="minorHAnsi" w:cstheme="minorHAnsi"/>
        </w:rPr>
        <w:tab/>
      </w:r>
      <w:r w:rsidR="006E58ED" w:rsidRPr="004A0CC9">
        <w:rPr>
          <w:rFonts w:asciiTheme="minorHAnsi" w:hAnsiTheme="minorHAnsi" w:cstheme="minorHAnsi"/>
        </w:rPr>
        <w:t xml:space="preserve">Facilitating participation of the STRP Chair </w:t>
      </w:r>
      <w:r w:rsidR="0009005C" w:rsidRPr="004A0CC9">
        <w:rPr>
          <w:rFonts w:asciiTheme="minorHAnsi" w:hAnsiTheme="minorHAnsi" w:cstheme="minorHAnsi"/>
        </w:rPr>
        <w:t>in the following meetings:</w:t>
      </w:r>
      <w:r w:rsidR="006E58ED" w:rsidRPr="004A0CC9">
        <w:rPr>
          <w:rFonts w:asciiTheme="minorHAnsi" w:hAnsiTheme="minorHAnsi" w:cstheme="minorHAnsi"/>
        </w:rPr>
        <w:t xml:space="preserve"> the 16th Meeting of the Multidisciplinary Expert Panel and Bureau of the Intergovernmental Science-Policy Platform on Biodiversity and Ecosystem Services (IPBES)</w:t>
      </w:r>
      <w:r w:rsidR="0009005C" w:rsidRPr="004A0CC9">
        <w:rPr>
          <w:rFonts w:asciiTheme="minorHAnsi" w:hAnsiTheme="minorHAnsi" w:cstheme="minorHAnsi"/>
        </w:rPr>
        <w:t xml:space="preserve">, the 16th </w:t>
      </w:r>
      <w:r w:rsidR="006E58ED" w:rsidRPr="004A0CC9">
        <w:rPr>
          <w:rFonts w:asciiTheme="minorHAnsi" w:hAnsiTheme="minorHAnsi" w:cstheme="minorHAnsi"/>
        </w:rPr>
        <w:t>Meeting of the Agreement on the Conservation of African-Eurasian Migratory Waterbirds (AEWA) Technical Committee</w:t>
      </w:r>
      <w:r w:rsidR="008F7CE9">
        <w:rPr>
          <w:rFonts w:asciiTheme="minorHAnsi" w:hAnsiTheme="minorHAnsi" w:cstheme="minorHAnsi"/>
        </w:rPr>
        <w:t>,</w:t>
      </w:r>
      <w:r w:rsidR="006E58ED" w:rsidRPr="004A0CC9">
        <w:rPr>
          <w:rFonts w:asciiTheme="minorHAnsi" w:hAnsiTheme="minorHAnsi" w:cstheme="minorHAnsi"/>
        </w:rPr>
        <w:t xml:space="preserve"> and an on</w:t>
      </w:r>
      <w:r w:rsidR="0009005C" w:rsidRPr="004A0CC9">
        <w:rPr>
          <w:rFonts w:asciiTheme="minorHAnsi" w:hAnsiTheme="minorHAnsi" w:cstheme="minorHAnsi"/>
        </w:rPr>
        <w:t xml:space="preserve">line panel discussion </w:t>
      </w:r>
      <w:r w:rsidR="006E58ED" w:rsidRPr="004A0CC9">
        <w:rPr>
          <w:rFonts w:asciiTheme="minorHAnsi" w:hAnsiTheme="minorHAnsi" w:cstheme="minorHAnsi"/>
        </w:rPr>
        <w:t>for World Wetlands Da</w:t>
      </w:r>
      <w:r w:rsidR="0009005C" w:rsidRPr="004A0CC9">
        <w:rPr>
          <w:rFonts w:asciiTheme="minorHAnsi" w:hAnsiTheme="minorHAnsi" w:cstheme="minorHAnsi"/>
        </w:rPr>
        <w:t xml:space="preserve">y 2021. </w:t>
      </w:r>
    </w:p>
    <w:p w14:paraId="5102EC01" w14:textId="77777777" w:rsidR="004A0CC9" w:rsidRPr="004A0CC9" w:rsidRDefault="004A0CC9" w:rsidP="004A0CC9">
      <w:pPr>
        <w:ind w:left="851"/>
        <w:rPr>
          <w:rFonts w:asciiTheme="minorHAnsi" w:hAnsiTheme="minorHAnsi" w:cstheme="minorHAnsi"/>
        </w:rPr>
      </w:pPr>
    </w:p>
    <w:p w14:paraId="43061045" w14:textId="3C8C4F4A" w:rsidR="007D659D" w:rsidRPr="004A0CC9" w:rsidRDefault="004A0CC9" w:rsidP="004A0CC9">
      <w:pPr>
        <w:ind w:left="851"/>
        <w:rPr>
          <w:rFonts w:asciiTheme="minorHAnsi" w:hAnsiTheme="minorHAnsi" w:cstheme="minorHAnsi"/>
        </w:rPr>
      </w:pPr>
      <w:r>
        <w:rPr>
          <w:rFonts w:asciiTheme="minorHAnsi" w:hAnsiTheme="minorHAnsi" w:cstheme="minorHAnsi"/>
        </w:rPr>
        <w:t>v.</w:t>
      </w:r>
      <w:r>
        <w:rPr>
          <w:rFonts w:asciiTheme="minorHAnsi" w:hAnsiTheme="minorHAnsi" w:cstheme="minorHAnsi"/>
        </w:rPr>
        <w:tab/>
      </w:r>
      <w:r w:rsidR="008F7CE9">
        <w:rPr>
          <w:rFonts w:asciiTheme="minorHAnsi" w:hAnsiTheme="minorHAnsi" w:cstheme="minorHAnsi"/>
        </w:rPr>
        <w:t>G</w:t>
      </w:r>
      <w:r w:rsidR="007D659D" w:rsidRPr="004A0CC9">
        <w:rPr>
          <w:rFonts w:asciiTheme="minorHAnsi" w:hAnsiTheme="minorHAnsi" w:cstheme="minorHAnsi"/>
        </w:rPr>
        <w:t>iven that the STRP</w:t>
      </w:r>
      <w:r w:rsidR="00414653" w:rsidRPr="004A0CC9">
        <w:rPr>
          <w:rFonts w:asciiTheme="minorHAnsi" w:hAnsiTheme="minorHAnsi" w:cstheme="minorHAnsi"/>
        </w:rPr>
        <w:t>24</w:t>
      </w:r>
      <w:r w:rsidR="007D659D" w:rsidRPr="004A0CC9">
        <w:rPr>
          <w:rFonts w:asciiTheme="minorHAnsi" w:hAnsiTheme="minorHAnsi" w:cstheme="minorHAnsi"/>
        </w:rPr>
        <w:t xml:space="preserve"> could not meet face</w:t>
      </w:r>
      <w:r w:rsidR="00414653" w:rsidRPr="004A0CC9">
        <w:rPr>
          <w:rFonts w:asciiTheme="minorHAnsi" w:hAnsiTheme="minorHAnsi" w:cstheme="minorHAnsi"/>
        </w:rPr>
        <w:t>-to-face</w:t>
      </w:r>
      <w:r w:rsidR="007D659D" w:rsidRPr="004A0CC9">
        <w:rPr>
          <w:rFonts w:asciiTheme="minorHAnsi" w:hAnsiTheme="minorHAnsi" w:cstheme="minorHAnsi"/>
        </w:rPr>
        <w:t xml:space="preserve">, </w:t>
      </w:r>
      <w:r w:rsidR="00414653" w:rsidRPr="004A0CC9">
        <w:rPr>
          <w:rFonts w:asciiTheme="minorHAnsi" w:hAnsiTheme="minorHAnsi" w:cstheme="minorHAnsi"/>
        </w:rPr>
        <w:t xml:space="preserve">the Secretariat </w:t>
      </w:r>
      <w:r w:rsidR="007D659D" w:rsidRPr="004A0CC9">
        <w:rPr>
          <w:rFonts w:asciiTheme="minorHAnsi" w:hAnsiTheme="minorHAnsi" w:cstheme="minorHAnsi"/>
        </w:rPr>
        <w:t>organizi</w:t>
      </w:r>
      <w:r w:rsidR="00414653" w:rsidRPr="004A0CC9">
        <w:rPr>
          <w:rFonts w:asciiTheme="minorHAnsi" w:hAnsiTheme="minorHAnsi" w:cstheme="minorHAnsi"/>
        </w:rPr>
        <w:t>ed</w:t>
      </w:r>
      <w:r w:rsidR="007D659D" w:rsidRPr="004A0CC9">
        <w:rPr>
          <w:rFonts w:asciiTheme="minorHAnsi" w:hAnsiTheme="minorHAnsi" w:cstheme="minorHAnsi"/>
        </w:rPr>
        <w:t xml:space="preserve"> a virtual meeting of the STRP on 29 April </w:t>
      </w:r>
      <w:r w:rsidR="00414653" w:rsidRPr="004A0CC9">
        <w:rPr>
          <w:rFonts w:asciiTheme="minorHAnsi" w:hAnsiTheme="minorHAnsi" w:cstheme="minorHAnsi"/>
        </w:rPr>
        <w:t xml:space="preserve">where members were able to inform the group </w:t>
      </w:r>
      <w:r w:rsidR="008F7CE9">
        <w:rPr>
          <w:rFonts w:asciiTheme="minorHAnsi" w:hAnsiTheme="minorHAnsi" w:cstheme="minorHAnsi"/>
        </w:rPr>
        <w:t>of</w:t>
      </w:r>
      <w:r w:rsidR="00414653" w:rsidRPr="004A0CC9">
        <w:rPr>
          <w:rFonts w:asciiTheme="minorHAnsi" w:hAnsiTheme="minorHAnsi" w:cstheme="minorHAnsi"/>
        </w:rPr>
        <w:t xml:space="preserve"> progress made on the priority tasks and discuss next steps in completing their assigned work. </w:t>
      </w:r>
    </w:p>
    <w:p w14:paraId="6A62EA30" w14:textId="77777777" w:rsidR="007D659D" w:rsidRPr="007D659D" w:rsidRDefault="007D659D" w:rsidP="004A0CC9">
      <w:pPr>
        <w:pStyle w:val="ListParagraph"/>
        <w:ind w:left="0" w:firstLine="0"/>
        <w:rPr>
          <w:rFonts w:asciiTheme="minorHAnsi" w:hAnsiTheme="minorHAnsi" w:cstheme="minorHAnsi"/>
        </w:rPr>
      </w:pPr>
    </w:p>
    <w:p w14:paraId="5E4130BB" w14:textId="503B3D9B" w:rsidR="00EA3D7C" w:rsidRPr="005972E9" w:rsidRDefault="00DF267E" w:rsidP="005972E9">
      <w:pPr>
        <w:rPr>
          <w:rFonts w:asciiTheme="minorHAnsi" w:hAnsiTheme="minorHAnsi" w:cstheme="minorHAnsi"/>
        </w:rPr>
      </w:pPr>
      <w:r>
        <w:rPr>
          <w:rFonts w:asciiTheme="minorHAnsi" w:hAnsiTheme="minorHAnsi" w:cstheme="minorHAnsi"/>
        </w:rPr>
        <w:t>1</w:t>
      </w:r>
      <w:r w:rsidR="004A0CC9">
        <w:rPr>
          <w:rFonts w:asciiTheme="minorHAnsi" w:hAnsiTheme="minorHAnsi" w:cstheme="minorHAnsi"/>
        </w:rPr>
        <w:t>3</w:t>
      </w:r>
      <w:r w:rsidR="005D6E99" w:rsidRPr="00360A0A">
        <w:rPr>
          <w:rFonts w:asciiTheme="minorHAnsi" w:hAnsiTheme="minorHAnsi" w:cstheme="minorHAnsi"/>
        </w:rPr>
        <w:t>.</w:t>
      </w:r>
      <w:r w:rsidR="005D6E99" w:rsidRPr="00360A0A">
        <w:rPr>
          <w:rFonts w:asciiTheme="minorHAnsi" w:hAnsiTheme="minorHAnsi" w:cstheme="minorHAnsi"/>
        </w:rPr>
        <w:tab/>
      </w:r>
      <w:r w:rsidR="00D0183B" w:rsidRPr="00360A0A">
        <w:rPr>
          <w:rFonts w:asciiTheme="minorHAnsi" w:hAnsiTheme="minorHAnsi" w:cstheme="minorHAnsi"/>
        </w:rPr>
        <w:t>The</w:t>
      </w:r>
      <w:r w:rsidR="00360A0A" w:rsidRPr="00360A0A">
        <w:rPr>
          <w:rFonts w:asciiTheme="minorHAnsi" w:hAnsiTheme="minorHAnsi" w:cstheme="minorHAnsi"/>
        </w:rPr>
        <w:t xml:space="preserve"> </w:t>
      </w:r>
      <w:r w:rsidR="00D0183B" w:rsidRPr="00360A0A">
        <w:rPr>
          <w:rFonts w:asciiTheme="minorHAnsi" w:hAnsiTheme="minorHAnsi" w:cstheme="minorHAnsi"/>
        </w:rPr>
        <w:t>Secretariat</w:t>
      </w:r>
      <w:r w:rsidR="00360A0A" w:rsidRPr="00360A0A">
        <w:rPr>
          <w:rFonts w:asciiTheme="minorHAnsi" w:hAnsiTheme="minorHAnsi" w:cstheme="minorHAnsi"/>
        </w:rPr>
        <w:t xml:space="preserve"> </w:t>
      </w:r>
      <w:r w:rsidR="00F4788A" w:rsidRPr="00360A0A">
        <w:rPr>
          <w:rFonts w:asciiTheme="minorHAnsi" w:hAnsiTheme="minorHAnsi" w:cstheme="minorHAnsi"/>
        </w:rPr>
        <w:t>su</w:t>
      </w:r>
      <w:r w:rsidR="00D0183B" w:rsidRPr="00360A0A">
        <w:rPr>
          <w:rFonts w:asciiTheme="minorHAnsi" w:hAnsiTheme="minorHAnsi" w:cstheme="minorHAnsi"/>
        </w:rPr>
        <w:t>pported</w:t>
      </w:r>
      <w:r w:rsidR="00360A0A" w:rsidRPr="00360A0A">
        <w:rPr>
          <w:rFonts w:asciiTheme="minorHAnsi" w:hAnsiTheme="minorHAnsi" w:cstheme="minorHAnsi"/>
        </w:rPr>
        <w:t xml:space="preserve"> </w:t>
      </w:r>
      <w:r w:rsidR="00D0183B" w:rsidRPr="00360A0A">
        <w:rPr>
          <w:rFonts w:asciiTheme="minorHAnsi" w:hAnsiTheme="minorHAnsi" w:cstheme="minorHAnsi"/>
        </w:rPr>
        <w:t>the</w:t>
      </w:r>
      <w:r w:rsidR="00360A0A" w:rsidRPr="00360A0A">
        <w:rPr>
          <w:rFonts w:asciiTheme="minorHAnsi" w:hAnsiTheme="minorHAnsi" w:cstheme="minorHAnsi"/>
        </w:rPr>
        <w:t xml:space="preserve"> </w:t>
      </w:r>
      <w:r w:rsidR="00D0183B" w:rsidRPr="00360A0A">
        <w:rPr>
          <w:rFonts w:asciiTheme="minorHAnsi" w:hAnsiTheme="minorHAnsi" w:cstheme="minorHAnsi"/>
        </w:rPr>
        <w:t>CEPA</w:t>
      </w:r>
      <w:r w:rsidR="00360A0A" w:rsidRPr="00360A0A">
        <w:rPr>
          <w:rFonts w:asciiTheme="minorHAnsi" w:hAnsiTheme="minorHAnsi" w:cstheme="minorHAnsi"/>
        </w:rPr>
        <w:t xml:space="preserve"> </w:t>
      </w:r>
      <w:r w:rsidR="00D0183B" w:rsidRPr="00360A0A">
        <w:rPr>
          <w:rFonts w:asciiTheme="minorHAnsi" w:hAnsiTheme="minorHAnsi" w:cstheme="minorHAnsi"/>
        </w:rPr>
        <w:t>Oversight</w:t>
      </w:r>
      <w:r w:rsidR="00360A0A" w:rsidRPr="00360A0A">
        <w:rPr>
          <w:rFonts w:asciiTheme="minorHAnsi" w:hAnsiTheme="minorHAnsi" w:cstheme="minorHAnsi"/>
        </w:rPr>
        <w:t xml:space="preserve"> </w:t>
      </w:r>
      <w:r w:rsidR="00D45BF7" w:rsidRPr="00360A0A">
        <w:rPr>
          <w:rFonts w:asciiTheme="minorHAnsi" w:hAnsiTheme="minorHAnsi" w:cstheme="minorHAnsi"/>
        </w:rPr>
        <w:t>Panel</w:t>
      </w:r>
      <w:r w:rsidR="00360A0A" w:rsidRPr="00360A0A">
        <w:rPr>
          <w:rFonts w:asciiTheme="minorHAnsi" w:hAnsiTheme="minorHAnsi" w:cstheme="minorHAnsi"/>
        </w:rPr>
        <w:t xml:space="preserve"> </w:t>
      </w:r>
      <w:r w:rsidR="005570EB" w:rsidRPr="00F12E40">
        <w:rPr>
          <w:rFonts w:asciiTheme="minorHAnsi" w:hAnsiTheme="minorHAnsi" w:cstheme="minorHAnsi"/>
        </w:rPr>
        <w:t xml:space="preserve">by </w:t>
      </w:r>
      <w:r w:rsidR="00D45BF7" w:rsidRPr="00F12E40">
        <w:rPr>
          <w:rFonts w:asciiTheme="minorHAnsi" w:hAnsiTheme="minorHAnsi" w:cstheme="minorHAnsi"/>
        </w:rPr>
        <w:t>facilitating</w:t>
      </w:r>
      <w:r w:rsidR="00360A0A" w:rsidRPr="00F12E40">
        <w:rPr>
          <w:rFonts w:asciiTheme="minorHAnsi" w:hAnsiTheme="minorHAnsi" w:cstheme="minorHAnsi"/>
        </w:rPr>
        <w:t xml:space="preserve"> </w:t>
      </w:r>
      <w:r w:rsidR="00F12E40" w:rsidRPr="00F12E40">
        <w:rPr>
          <w:rFonts w:asciiTheme="minorHAnsi" w:hAnsiTheme="minorHAnsi" w:cstheme="minorHAnsi"/>
        </w:rPr>
        <w:t>two</w:t>
      </w:r>
      <w:r w:rsidR="00711CF6" w:rsidRPr="00F12E40">
        <w:rPr>
          <w:rFonts w:asciiTheme="minorHAnsi" w:hAnsiTheme="minorHAnsi" w:cstheme="minorHAnsi"/>
        </w:rPr>
        <w:t xml:space="preserve"> </w:t>
      </w:r>
      <w:r w:rsidR="00D0183B" w:rsidRPr="00F12E40">
        <w:rPr>
          <w:rFonts w:asciiTheme="minorHAnsi" w:hAnsiTheme="minorHAnsi" w:cstheme="minorHAnsi"/>
        </w:rPr>
        <w:t>teleconferences</w:t>
      </w:r>
      <w:r w:rsidR="00360A0A" w:rsidRPr="00360A0A">
        <w:rPr>
          <w:rFonts w:asciiTheme="minorHAnsi" w:hAnsiTheme="minorHAnsi" w:cstheme="minorHAnsi"/>
        </w:rPr>
        <w:t xml:space="preserve"> </w:t>
      </w:r>
      <w:r w:rsidR="00D0183B" w:rsidRPr="00360A0A">
        <w:rPr>
          <w:rFonts w:asciiTheme="minorHAnsi" w:hAnsiTheme="minorHAnsi" w:cstheme="minorHAnsi"/>
        </w:rPr>
        <w:t>and</w:t>
      </w:r>
      <w:r w:rsidR="00360A0A" w:rsidRPr="00360A0A">
        <w:rPr>
          <w:rFonts w:asciiTheme="minorHAnsi" w:hAnsiTheme="minorHAnsi" w:cstheme="minorHAnsi"/>
        </w:rPr>
        <w:t xml:space="preserve"> </w:t>
      </w:r>
      <w:r w:rsidR="00D0183B" w:rsidRPr="00360A0A">
        <w:rPr>
          <w:rFonts w:asciiTheme="minorHAnsi" w:hAnsiTheme="minorHAnsi" w:cstheme="minorHAnsi"/>
        </w:rPr>
        <w:t>distributing</w:t>
      </w:r>
      <w:r w:rsidR="00360A0A" w:rsidRPr="00360A0A">
        <w:rPr>
          <w:rFonts w:asciiTheme="minorHAnsi" w:hAnsiTheme="minorHAnsi" w:cstheme="minorHAnsi"/>
        </w:rPr>
        <w:t xml:space="preserve"> </w:t>
      </w:r>
      <w:r w:rsidR="00D0183B" w:rsidRPr="00360A0A">
        <w:rPr>
          <w:rFonts w:asciiTheme="minorHAnsi" w:hAnsiTheme="minorHAnsi" w:cstheme="minorHAnsi"/>
        </w:rPr>
        <w:t>a</w:t>
      </w:r>
      <w:r w:rsidR="00360A0A" w:rsidRPr="00360A0A">
        <w:rPr>
          <w:rFonts w:asciiTheme="minorHAnsi" w:hAnsiTheme="minorHAnsi" w:cstheme="minorHAnsi"/>
        </w:rPr>
        <w:t xml:space="preserve"> </w:t>
      </w:r>
      <w:r w:rsidR="00D0183B" w:rsidRPr="00360A0A">
        <w:rPr>
          <w:rFonts w:asciiTheme="minorHAnsi" w:hAnsiTheme="minorHAnsi" w:cstheme="minorHAnsi"/>
        </w:rPr>
        <w:t>survey</w:t>
      </w:r>
      <w:r w:rsidR="00360A0A" w:rsidRPr="00360A0A">
        <w:rPr>
          <w:rFonts w:asciiTheme="minorHAnsi" w:hAnsiTheme="minorHAnsi" w:cstheme="minorHAnsi"/>
        </w:rPr>
        <w:t xml:space="preserve"> </w:t>
      </w:r>
      <w:r w:rsidR="00D0183B" w:rsidRPr="00360A0A">
        <w:rPr>
          <w:rFonts w:asciiTheme="minorHAnsi" w:hAnsiTheme="minorHAnsi" w:cstheme="minorHAnsi"/>
        </w:rPr>
        <w:t>to</w:t>
      </w:r>
      <w:r w:rsidR="00360A0A" w:rsidRPr="00360A0A">
        <w:rPr>
          <w:rFonts w:asciiTheme="minorHAnsi" w:hAnsiTheme="minorHAnsi" w:cstheme="minorHAnsi"/>
        </w:rPr>
        <w:t xml:space="preserve"> </w:t>
      </w:r>
      <w:r w:rsidR="00D0183B" w:rsidRPr="00360A0A">
        <w:rPr>
          <w:rFonts w:asciiTheme="minorHAnsi" w:hAnsiTheme="minorHAnsi" w:cstheme="minorHAnsi"/>
        </w:rPr>
        <w:t>Contracting</w:t>
      </w:r>
      <w:r w:rsidR="00360A0A" w:rsidRPr="00360A0A">
        <w:rPr>
          <w:rFonts w:asciiTheme="minorHAnsi" w:hAnsiTheme="minorHAnsi" w:cstheme="minorHAnsi"/>
        </w:rPr>
        <w:t xml:space="preserve"> </w:t>
      </w:r>
      <w:r w:rsidR="00D0183B" w:rsidRPr="00360A0A">
        <w:rPr>
          <w:rFonts w:asciiTheme="minorHAnsi" w:hAnsiTheme="minorHAnsi" w:cstheme="minorHAnsi"/>
        </w:rPr>
        <w:t>Parties.</w:t>
      </w:r>
      <w:r w:rsidR="00360A0A" w:rsidRPr="00360A0A">
        <w:rPr>
          <w:rFonts w:asciiTheme="minorHAnsi" w:hAnsiTheme="minorHAnsi" w:cstheme="minorHAnsi"/>
        </w:rPr>
        <w:t xml:space="preserve"> </w:t>
      </w:r>
      <w:r w:rsidR="00D0183B" w:rsidRPr="00360A0A">
        <w:rPr>
          <w:rFonts w:asciiTheme="minorHAnsi" w:hAnsiTheme="minorHAnsi" w:cstheme="minorHAnsi"/>
        </w:rPr>
        <w:t>With</w:t>
      </w:r>
      <w:r w:rsidR="00360A0A" w:rsidRPr="00360A0A">
        <w:rPr>
          <w:rFonts w:asciiTheme="minorHAnsi" w:hAnsiTheme="minorHAnsi" w:cstheme="minorHAnsi"/>
        </w:rPr>
        <w:t xml:space="preserve"> </w:t>
      </w:r>
      <w:r w:rsidR="00D0183B" w:rsidRPr="00360A0A">
        <w:rPr>
          <w:rFonts w:asciiTheme="minorHAnsi" w:hAnsiTheme="minorHAnsi" w:cstheme="minorHAnsi"/>
        </w:rPr>
        <w:t>support</w:t>
      </w:r>
      <w:r w:rsidR="00360A0A" w:rsidRPr="00360A0A">
        <w:rPr>
          <w:rFonts w:asciiTheme="minorHAnsi" w:hAnsiTheme="minorHAnsi" w:cstheme="minorHAnsi"/>
        </w:rPr>
        <w:t xml:space="preserve"> </w:t>
      </w:r>
      <w:r w:rsidR="00D0183B" w:rsidRPr="00360A0A">
        <w:rPr>
          <w:rFonts w:asciiTheme="minorHAnsi" w:hAnsiTheme="minorHAnsi" w:cstheme="minorHAnsi"/>
        </w:rPr>
        <w:t>from</w:t>
      </w:r>
      <w:r w:rsidR="00360A0A" w:rsidRPr="00360A0A">
        <w:rPr>
          <w:rFonts w:asciiTheme="minorHAnsi" w:hAnsiTheme="minorHAnsi" w:cstheme="minorHAnsi"/>
        </w:rPr>
        <w:t xml:space="preserve"> </w:t>
      </w:r>
      <w:r w:rsidR="00D0183B" w:rsidRPr="00360A0A">
        <w:rPr>
          <w:rFonts w:asciiTheme="minorHAnsi" w:hAnsiTheme="minorHAnsi" w:cstheme="minorHAnsi"/>
        </w:rPr>
        <w:t>the</w:t>
      </w:r>
      <w:r w:rsidR="00360A0A" w:rsidRPr="00360A0A">
        <w:rPr>
          <w:rFonts w:asciiTheme="minorHAnsi" w:hAnsiTheme="minorHAnsi" w:cstheme="minorHAnsi"/>
        </w:rPr>
        <w:t xml:space="preserve"> </w:t>
      </w:r>
      <w:r w:rsidR="00D0183B" w:rsidRPr="00360A0A">
        <w:rPr>
          <w:rFonts w:asciiTheme="minorHAnsi" w:hAnsiTheme="minorHAnsi" w:cstheme="minorHAnsi"/>
        </w:rPr>
        <w:t>Secretariat</w:t>
      </w:r>
      <w:r w:rsidR="000E1DE3" w:rsidRPr="00360A0A">
        <w:rPr>
          <w:rFonts w:asciiTheme="minorHAnsi" w:hAnsiTheme="minorHAnsi" w:cstheme="minorHAnsi"/>
        </w:rPr>
        <w:t>,</w:t>
      </w:r>
      <w:r w:rsidR="00360A0A" w:rsidRPr="00360A0A">
        <w:rPr>
          <w:rFonts w:asciiTheme="minorHAnsi" w:hAnsiTheme="minorHAnsi" w:cstheme="minorHAnsi"/>
        </w:rPr>
        <w:t xml:space="preserve"> </w:t>
      </w:r>
      <w:r w:rsidR="00D0183B" w:rsidRPr="00360A0A">
        <w:rPr>
          <w:rFonts w:asciiTheme="minorHAnsi" w:hAnsiTheme="minorHAnsi" w:cstheme="minorHAnsi"/>
        </w:rPr>
        <w:t>the</w:t>
      </w:r>
      <w:r w:rsidR="00360A0A" w:rsidRPr="00360A0A">
        <w:rPr>
          <w:rFonts w:asciiTheme="minorHAnsi" w:hAnsiTheme="minorHAnsi" w:cstheme="minorHAnsi"/>
        </w:rPr>
        <w:t xml:space="preserve"> </w:t>
      </w:r>
      <w:r w:rsidR="00D0183B" w:rsidRPr="00360A0A">
        <w:rPr>
          <w:rFonts w:asciiTheme="minorHAnsi" w:hAnsiTheme="minorHAnsi" w:cstheme="minorHAnsi"/>
        </w:rPr>
        <w:t>Oversight</w:t>
      </w:r>
      <w:r w:rsidR="00360A0A" w:rsidRPr="00360A0A">
        <w:rPr>
          <w:rFonts w:asciiTheme="minorHAnsi" w:hAnsiTheme="minorHAnsi" w:cstheme="minorHAnsi"/>
        </w:rPr>
        <w:t xml:space="preserve"> </w:t>
      </w:r>
      <w:r w:rsidR="00D0183B" w:rsidRPr="00360A0A">
        <w:rPr>
          <w:rFonts w:asciiTheme="minorHAnsi" w:hAnsiTheme="minorHAnsi" w:cstheme="minorHAnsi"/>
        </w:rPr>
        <w:t>Panel</w:t>
      </w:r>
      <w:r w:rsidR="00360A0A" w:rsidRPr="00360A0A">
        <w:rPr>
          <w:rFonts w:asciiTheme="minorHAnsi" w:hAnsiTheme="minorHAnsi" w:cstheme="minorHAnsi"/>
        </w:rPr>
        <w:t xml:space="preserve"> </w:t>
      </w:r>
      <w:r w:rsidR="00D0183B" w:rsidRPr="00360A0A">
        <w:rPr>
          <w:rFonts w:asciiTheme="minorHAnsi" w:hAnsiTheme="minorHAnsi" w:cstheme="minorHAnsi"/>
        </w:rPr>
        <w:t>has</w:t>
      </w:r>
      <w:r w:rsidR="00360A0A" w:rsidRPr="00360A0A">
        <w:rPr>
          <w:rFonts w:asciiTheme="minorHAnsi" w:hAnsiTheme="minorHAnsi" w:cstheme="minorHAnsi"/>
        </w:rPr>
        <w:t xml:space="preserve"> </w:t>
      </w:r>
      <w:r w:rsidR="00D0183B" w:rsidRPr="00360A0A">
        <w:rPr>
          <w:rFonts w:asciiTheme="minorHAnsi" w:hAnsiTheme="minorHAnsi" w:cstheme="minorHAnsi"/>
        </w:rPr>
        <w:t>prepared</w:t>
      </w:r>
      <w:r w:rsidR="00360A0A" w:rsidRPr="00360A0A">
        <w:rPr>
          <w:rFonts w:asciiTheme="minorHAnsi" w:hAnsiTheme="minorHAnsi" w:cstheme="minorHAnsi"/>
        </w:rPr>
        <w:t xml:space="preserve"> </w:t>
      </w:r>
      <w:r w:rsidR="00D0183B" w:rsidRPr="00360A0A">
        <w:rPr>
          <w:rFonts w:asciiTheme="minorHAnsi" w:hAnsiTheme="minorHAnsi" w:cstheme="minorHAnsi"/>
        </w:rPr>
        <w:t>a</w:t>
      </w:r>
      <w:r w:rsidR="00360A0A" w:rsidRPr="00360A0A">
        <w:rPr>
          <w:rFonts w:asciiTheme="minorHAnsi" w:hAnsiTheme="minorHAnsi" w:cstheme="minorHAnsi"/>
        </w:rPr>
        <w:t xml:space="preserve"> </w:t>
      </w:r>
      <w:r w:rsidR="00DB004F">
        <w:rPr>
          <w:rFonts w:asciiTheme="minorHAnsi" w:hAnsiTheme="minorHAnsi" w:cstheme="minorHAnsi"/>
        </w:rPr>
        <w:t>report</w:t>
      </w:r>
      <w:r w:rsidR="005570EB" w:rsidRPr="00360A0A">
        <w:rPr>
          <w:rFonts w:asciiTheme="minorHAnsi" w:hAnsiTheme="minorHAnsi" w:cstheme="minorHAnsi"/>
        </w:rPr>
        <w:t xml:space="preserve"> </w:t>
      </w:r>
      <w:r w:rsidR="00D0183B" w:rsidRPr="00360A0A">
        <w:rPr>
          <w:rFonts w:asciiTheme="minorHAnsi" w:hAnsiTheme="minorHAnsi" w:cstheme="minorHAnsi"/>
        </w:rPr>
        <w:t>for</w:t>
      </w:r>
      <w:r w:rsidR="00360A0A" w:rsidRPr="00360A0A">
        <w:rPr>
          <w:rFonts w:asciiTheme="minorHAnsi" w:hAnsiTheme="minorHAnsi" w:cstheme="minorHAnsi"/>
        </w:rPr>
        <w:t xml:space="preserve"> </w:t>
      </w:r>
      <w:r w:rsidR="00D0183B" w:rsidRPr="00360A0A">
        <w:rPr>
          <w:rFonts w:asciiTheme="minorHAnsi" w:hAnsiTheme="minorHAnsi" w:cstheme="minorHAnsi"/>
        </w:rPr>
        <w:t>SC5</w:t>
      </w:r>
      <w:r w:rsidR="00DB004F">
        <w:rPr>
          <w:rFonts w:asciiTheme="minorHAnsi" w:hAnsiTheme="minorHAnsi" w:cstheme="minorHAnsi"/>
        </w:rPr>
        <w:t>9</w:t>
      </w:r>
      <w:r w:rsidR="00360A0A" w:rsidRPr="00360A0A">
        <w:rPr>
          <w:rFonts w:asciiTheme="minorHAnsi" w:hAnsiTheme="minorHAnsi" w:cstheme="minorHAnsi"/>
        </w:rPr>
        <w:t xml:space="preserve"> </w:t>
      </w:r>
      <w:r w:rsidR="00D0183B" w:rsidRPr="00360A0A">
        <w:rPr>
          <w:rFonts w:asciiTheme="minorHAnsi" w:hAnsiTheme="minorHAnsi" w:cstheme="minorHAnsi"/>
        </w:rPr>
        <w:t>that</w:t>
      </w:r>
      <w:r w:rsidR="00360A0A" w:rsidRPr="00360A0A">
        <w:rPr>
          <w:rFonts w:asciiTheme="minorHAnsi" w:hAnsiTheme="minorHAnsi" w:cstheme="minorHAnsi"/>
        </w:rPr>
        <w:t xml:space="preserve"> </w:t>
      </w:r>
      <w:r w:rsidR="00D0183B" w:rsidRPr="00360A0A">
        <w:rPr>
          <w:rFonts w:asciiTheme="minorHAnsi" w:hAnsiTheme="minorHAnsi" w:cstheme="minorHAnsi"/>
        </w:rPr>
        <w:t>articulates</w:t>
      </w:r>
      <w:r w:rsidR="00360A0A" w:rsidRPr="00360A0A">
        <w:rPr>
          <w:rFonts w:asciiTheme="minorHAnsi" w:hAnsiTheme="minorHAnsi" w:cstheme="minorHAnsi"/>
        </w:rPr>
        <w:t xml:space="preserve"> </w:t>
      </w:r>
      <w:r w:rsidR="00D0183B" w:rsidRPr="00360A0A">
        <w:rPr>
          <w:rFonts w:asciiTheme="minorHAnsi" w:hAnsiTheme="minorHAnsi" w:cstheme="minorHAnsi"/>
        </w:rPr>
        <w:t>the</w:t>
      </w:r>
      <w:r w:rsidR="00360A0A" w:rsidRPr="00360A0A">
        <w:rPr>
          <w:rFonts w:asciiTheme="minorHAnsi" w:hAnsiTheme="minorHAnsi" w:cstheme="minorHAnsi"/>
        </w:rPr>
        <w:t xml:space="preserve"> </w:t>
      </w:r>
      <w:r w:rsidR="00D0183B" w:rsidRPr="00360A0A">
        <w:rPr>
          <w:rFonts w:asciiTheme="minorHAnsi" w:hAnsiTheme="minorHAnsi" w:cstheme="minorHAnsi"/>
        </w:rPr>
        <w:t>Panel</w:t>
      </w:r>
      <w:r w:rsidR="001C2C01">
        <w:rPr>
          <w:rFonts w:asciiTheme="minorHAnsi" w:hAnsiTheme="minorHAnsi" w:cstheme="minorHAnsi"/>
        </w:rPr>
        <w:t>’</w:t>
      </w:r>
      <w:r w:rsidR="00D0183B" w:rsidRPr="00360A0A">
        <w:rPr>
          <w:rFonts w:asciiTheme="minorHAnsi" w:hAnsiTheme="minorHAnsi" w:cstheme="minorHAnsi"/>
        </w:rPr>
        <w:t>s</w:t>
      </w:r>
      <w:r w:rsidR="00360A0A" w:rsidRPr="00360A0A">
        <w:rPr>
          <w:rFonts w:asciiTheme="minorHAnsi" w:hAnsiTheme="minorHAnsi" w:cstheme="minorHAnsi"/>
        </w:rPr>
        <w:t xml:space="preserve"> </w:t>
      </w:r>
      <w:r w:rsidR="00D0183B" w:rsidRPr="00360A0A">
        <w:rPr>
          <w:rFonts w:asciiTheme="minorHAnsi" w:hAnsiTheme="minorHAnsi" w:cstheme="minorHAnsi"/>
        </w:rPr>
        <w:t>recommendation</w:t>
      </w:r>
      <w:r w:rsidR="00360A0A" w:rsidRPr="00360A0A">
        <w:rPr>
          <w:rFonts w:asciiTheme="minorHAnsi" w:hAnsiTheme="minorHAnsi" w:cstheme="minorHAnsi"/>
        </w:rPr>
        <w:t xml:space="preserve"> </w:t>
      </w:r>
      <w:r w:rsidR="00D0183B" w:rsidRPr="00360A0A">
        <w:rPr>
          <w:rFonts w:asciiTheme="minorHAnsi" w:hAnsiTheme="minorHAnsi" w:cstheme="minorHAnsi"/>
        </w:rPr>
        <w:t>for</w:t>
      </w:r>
      <w:r w:rsidR="00360A0A" w:rsidRPr="00360A0A">
        <w:rPr>
          <w:rFonts w:asciiTheme="minorHAnsi" w:hAnsiTheme="minorHAnsi" w:cstheme="minorHAnsi"/>
        </w:rPr>
        <w:t xml:space="preserve"> </w:t>
      </w:r>
      <w:r w:rsidR="00D0183B" w:rsidRPr="00360A0A">
        <w:rPr>
          <w:rFonts w:asciiTheme="minorHAnsi" w:hAnsiTheme="minorHAnsi" w:cstheme="minorHAnsi"/>
        </w:rPr>
        <w:t>moving</w:t>
      </w:r>
      <w:r w:rsidR="00360A0A" w:rsidRPr="00360A0A">
        <w:rPr>
          <w:rFonts w:asciiTheme="minorHAnsi" w:hAnsiTheme="minorHAnsi" w:cstheme="minorHAnsi"/>
        </w:rPr>
        <w:t xml:space="preserve"> </w:t>
      </w:r>
      <w:r w:rsidR="00D0183B" w:rsidRPr="00360A0A">
        <w:rPr>
          <w:rFonts w:asciiTheme="minorHAnsi" w:hAnsiTheme="minorHAnsi" w:cstheme="minorHAnsi"/>
        </w:rPr>
        <w:t>towards</w:t>
      </w:r>
      <w:r w:rsidR="00360A0A" w:rsidRPr="00360A0A">
        <w:rPr>
          <w:rFonts w:asciiTheme="minorHAnsi" w:hAnsiTheme="minorHAnsi" w:cstheme="minorHAnsi"/>
        </w:rPr>
        <w:t xml:space="preserve"> </w:t>
      </w:r>
      <w:r w:rsidR="00D0183B" w:rsidRPr="00360A0A">
        <w:rPr>
          <w:rFonts w:asciiTheme="minorHAnsi" w:hAnsiTheme="minorHAnsi" w:cstheme="minorHAnsi"/>
        </w:rPr>
        <w:t>a</w:t>
      </w:r>
      <w:r w:rsidR="00360A0A" w:rsidRPr="00360A0A">
        <w:rPr>
          <w:rFonts w:asciiTheme="minorHAnsi" w:hAnsiTheme="minorHAnsi" w:cstheme="minorHAnsi"/>
        </w:rPr>
        <w:t xml:space="preserve"> </w:t>
      </w:r>
      <w:r w:rsidR="00D0183B" w:rsidRPr="00360A0A">
        <w:rPr>
          <w:rFonts w:asciiTheme="minorHAnsi" w:hAnsiTheme="minorHAnsi" w:cstheme="minorHAnsi"/>
        </w:rPr>
        <w:t>new</w:t>
      </w:r>
      <w:r w:rsidR="00360A0A" w:rsidRPr="00360A0A">
        <w:rPr>
          <w:rFonts w:asciiTheme="minorHAnsi" w:hAnsiTheme="minorHAnsi" w:cstheme="minorHAnsi"/>
        </w:rPr>
        <w:t xml:space="preserve"> </w:t>
      </w:r>
      <w:r w:rsidR="00D0183B" w:rsidRPr="00360A0A">
        <w:rPr>
          <w:rFonts w:asciiTheme="minorHAnsi" w:hAnsiTheme="minorHAnsi" w:cstheme="minorHAnsi"/>
        </w:rPr>
        <w:t>approach</w:t>
      </w:r>
      <w:r w:rsidR="00DB004F">
        <w:rPr>
          <w:rFonts w:asciiTheme="minorHAnsi" w:hAnsiTheme="minorHAnsi" w:cstheme="minorHAnsi"/>
        </w:rPr>
        <w:t xml:space="preserve"> and the preparation of </w:t>
      </w:r>
      <w:r w:rsidR="00196386">
        <w:rPr>
          <w:rFonts w:asciiTheme="minorHAnsi" w:hAnsiTheme="minorHAnsi" w:cstheme="minorHAnsi"/>
        </w:rPr>
        <w:t xml:space="preserve">a </w:t>
      </w:r>
      <w:r w:rsidR="00DB004F">
        <w:rPr>
          <w:rFonts w:asciiTheme="minorHAnsi" w:hAnsiTheme="minorHAnsi" w:cstheme="minorHAnsi"/>
        </w:rPr>
        <w:t>draft resolution</w:t>
      </w:r>
      <w:r w:rsidR="008F7CE9">
        <w:rPr>
          <w:rStyle w:val="FootnoteReference"/>
          <w:rFonts w:asciiTheme="minorHAnsi" w:hAnsiTheme="minorHAnsi" w:cstheme="minorHAnsi"/>
        </w:rPr>
        <w:footnoteReference w:id="4"/>
      </w:r>
      <w:r w:rsidR="00D0183B" w:rsidRPr="00360A0A">
        <w:rPr>
          <w:rFonts w:asciiTheme="minorHAnsi" w:hAnsiTheme="minorHAnsi" w:cstheme="minorHAnsi"/>
        </w:rPr>
        <w:t>.</w:t>
      </w:r>
      <w:r w:rsidR="00360A0A" w:rsidRPr="00360A0A">
        <w:rPr>
          <w:rFonts w:asciiTheme="minorHAnsi" w:hAnsiTheme="minorHAnsi" w:cstheme="minorHAnsi"/>
        </w:rPr>
        <w:t xml:space="preserve"> </w:t>
      </w:r>
    </w:p>
    <w:p w14:paraId="05F76282" w14:textId="77777777" w:rsidR="00EA3D7C" w:rsidRPr="00360A0A" w:rsidRDefault="00EA3D7C" w:rsidP="005972E9">
      <w:pPr>
        <w:rPr>
          <w:rFonts w:asciiTheme="minorHAnsi" w:hAnsiTheme="minorHAnsi" w:cstheme="minorHAnsi"/>
        </w:rPr>
      </w:pPr>
    </w:p>
    <w:p w14:paraId="3E62896E" w14:textId="1C1A55E2" w:rsidR="007D659D" w:rsidRDefault="00DF267E" w:rsidP="005972E9">
      <w:pPr>
        <w:rPr>
          <w:rFonts w:asciiTheme="minorHAnsi" w:hAnsiTheme="minorHAnsi" w:cstheme="minorHAnsi"/>
        </w:rPr>
      </w:pPr>
      <w:r>
        <w:rPr>
          <w:rFonts w:asciiTheme="minorHAnsi" w:hAnsiTheme="minorHAnsi" w:cstheme="minorHAnsi"/>
        </w:rPr>
        <w:t>1</w:t>
      </w:r>
      <w:r w:rsidR="004A0CC9">
        <w:rPr>
          <w:rFonts w:asciiTheme="minorHAnsi" w:hAnsiTheme="minorHAnsi" w:cstheme="minorHAnsi"/>
        </w:rPr>
        <w:t>4</w:t>
      </w:r>
      <w:r w:rsidR="0065205F" w:rsidRPr="00360A0A">
        <w:rPr>
          <w:rFonts w:asciiTheme="minorHAnsi" w:hAnsiTheme="minorHAnsi" w:cstheme="minorHAnsi"/>
        </w:rPr>
        <w:t>.</w:t>
      </w:r>
      <w:r w:rsidR="0065205F" w:rsidRPr="00360A0A">
        <w:rPr>
          <w:rFonts w:asciiTheme="minorHAnsi" w:hAnsiTheme="minorHAnsi" w:cstheme="minorHAnsi"/>
        </w:rPr>
        <w:tab/>
      </w:r>
      <w:r w:rsidR="0019579B" w:rsidRPr="00360A0A">
        <w:rPr>
          <w:rFonts w:asciiTheme="minorHAnsi" w:hAnsiTheme="minorHAnsi" w:cstheme="minorHAnsi"/>
        </w:rPr>
        <w:t>The</w:t>
      </w:r>
      <w:r w:rsidR="00360A0A" w:rsidRPr="00360A0A">
        <w:rPr>
          <w:rFonts w:asciiTheme="minorHAnsi" w:hAnsiTheme="minorHAnsi" w:cstheme="minorHAnsi"/>
        </w:rPr>
        <w:t xml:space="preserve"> </w:t>
      </w:r>
      <w:r w:rsidR="0019579B" w:rsidRPr="00360A0A">
        <w:rPr>
          <w:rFonts w:asciiTheme="minorHAnsi" w:hAnsiTheme="minorHAnsi" w:cstheme="minorHAnsi"/>
        </w:rPr>
        <w:t>Secretariat</w:t>
      </w:r>
      <w:r w:rsidR="00360A0A" w:rsidRPr="00360A0A">
        <w:rPr>
          <w:rFonts w:asciiTheme="minorHAnsi" w:hAnsiTheme="minorHAnsi" w:cstheme="minorHAnsi"/>
        </w:rPr>
        <w:t xml:space="preserve"> </w:t>
      </w:r>
      <w:r w:rsidR="008F6601">
        <w:rPr>
          <w:rFonts w:asciiTheme="minorHAnsi" w:hAnsiTheme="minorHAnsi" w:cstheme="minorHAnsi"/>
        </w:rPr>
        <w:t xml:space="preserve">has been actively preparing the meetings of the bodies of the Convention scheduled for 2021 and especially SC59 </w:t>
      </w:r>
      <w:r w:rsidR="00F005EE">
        <w:rPr>
          <w:rFonts w:asciiTheme="minorHAnsi" w:hAnsiTheme="minorHAnsi" w:cstheme="minorHAnsi"/>
        </w:rPr>
        <w:t xml:space="preserve">to be held </w:t>
      </w:r>
      <w:r w:rsidR="008F7CE9">
        <w:rPr>
          <w:rFonts w:asciiTheme="minorHAnsi" w:hAnsiTheme="minorHAnsi" w:cstheme="minorHAnsi"/>
        </w:rPr>
        <w:t>from</w:t>
      </w:r>
      <w:r w:rsidR="00F005EE">
        <w:rPr>
          <w:rFonts w:asciiTheme="minorHAnsi" w:hAnsiTheme="minorHAnsi" w:cstheme="minorHAnsi"/>
        </w:rPr>
        <w:t xml:space="preserve"> 21</w:t>
      </w:r>
      <w:r w:rsidR="008F7CE9">
        <w:rPr>
          <w:rFonts w:asciiTheme="minorHAnsi" w:hAnsiTheme="minorHAnsi" w:cstheme="minorHAnsi"/>
        </w:rPr>
        <w:t xml:space="preserve"> to </w:t>
      </w:r>
      <w:r w:rsidR="00F005EE">
        <w:rPr>
          <w:rFonts w:asciiTheme="minorHAnsi" w:hAnsiTheme="minorHAnsi" w:cstheme="minorHAnsi"/>
        </w:rPr>
        <w:t xml:space="preserve">25 June 2021 </w:t>
      </w:r>
      <w:r w:rsidR="008F6601">
        <w:rPr>
          <w:rFonts w:asciiTheme="minorHAnsi" w:hAnsiTheme="minorHAnsi" w:cstheme="minorHAnsi"/>
        </w:rPr>
        <w:t>and processes related to COP14, initially scheduled for October-November 2020. The Secretariat has worked with the Executive</w:t>
      </w:r>
      <w:r w:rsidR="007D659D">
        <w:rPr>
          <w:rFonts w:asciiTheme="minorHAnsi" w:hAnsiTheme="minorHAnsi" w:cstheme="minorHAnsi"/>
        </w:rPr>
        <w:t xml:space="preserve"> Team</w:t>
      </w:r>
      <w:r w:rsidR="008F6601">
        <w:rPr>
          <w:rFonts w:asciiTheme="minorHAnsi" w:hAnsiTheme="minorHAnsi" w:cstheme="minorHAnsi"/>
        </w:rPr>
        <w:t xml:space="preserve"> to support the S</w:t>
      </w:r>
      <w:r w:rsidR="008F7CE9">
        <w:rPr>
          <w:rFonts w:asciiTheme="minorHAnsi" w:hAnsiTheme="minorHAnsi" w:cstheme="minorHAnsi"/>
        </w:rPr>
        <w:t xml:space="preserve">tanding </w:t>
      </w:r>
      <w:r w:rsidR="008F6601">
        <w:rPr>
          <w:rFonts w:asciiTheme="minorHAnsi" w:hAnsiTheme="minorHAnsi" w:cstheme="minorHAnsi"/>
        </w:rPr>
        <w:t>C</w:t>
      </w:r>
      <w:r w:rsidR="008F7CE9">
        <w:rPr>
          <w:rFonts w:asciiTheme="minorHAnsi" w:hAnsiTheme="minorHAnsi" w:cstheme="minorHAnsi"/>
        </w:rPr>
        <w:t>ommittee</w:t>
      </w:r>
      <w:r w:rsidR="008F6601">
        <w:rPr>
          <w:rFonts w:asciiTheme="minorHAnsi" w:hAnsiTheme="minorHAnsi" w:cstheme="minorHAnsi"/>
        </w:rPr>
        <w:t xml:space="preserve"> in taking decisions on this matter, including the dates </w:t>
      </w:r>
      <w:r w:rsidR="00F005EE">
        <w:rPr>
          <w:rFonts w:asciiTheme="minorHAnsi" w:hAnsiTheme="minorHAnsi" w:cstheme="minorHAnsi"/>
        </w:rPr>
        <w:t xml:space="preserve">and modalities </w:t>
      </w:r>
      <w:r w:rsidR="008F6601">
        <w:rPr>
          <w:rFonts w:asciiTheme="minorHAnsi" w:hAnsiTheme="minorHAnsi" w:cstheme="minorHAnsi"/>
        </w:rPr>
        <w:t>of SC59, the timeline for documents and submission by Parties of Draft Resolutions</w:t>
      </w:r>
      <w:r w:rsidR="008F7CE9">
        <w:rPr>
          <w:rFonts w:asciiTheme="minorHAnsi" w:hAnsiTheme="minorHAnsi" w:cstheme="minorHAnsi"/>
        </w:rPr>
        <w:t>,</w:t>
      </w:r>
      <w:r w:rsidR="00414653">
        <w:rPr>
          <w:rFonts w:asciiTheme="minorHAnsi" w:hAnsiTheme="minorHAnsi" w:cstheme="minorHAnsi"/>
        </w:rPr>
        <w:t xml:space="preserve"> recognizing that the</w:t>
      </w:r>
      <w:r w:rsidR="008F6601">
        <w:rPr>
          <w:rFonts w:asciiTheme="minorHAnsi" w:hAnsiTheme="minorHAnsi" w:cstheme="minorHAnsi"/>
        </w:rPr>
        <w:t xml:space="preserve"> process and timeline is dependent </w:t>
      </w:r>
      <w:r w:rsidR="007D659D">
        <w:rPr>
          <w:rFonts w:asciiTheme="minorHAnsi" w:hAnsiTheme="minorHAnsi" w:cstheme="minorHAnsi"/>
        </w:rPr>
        <w:t xml:space="preserve">on the date of COP14. </w:t>
      </w:r>
    </w:p>
    <w:p w14:paraId="42CB66EF" w14:textId="77777777" w:rsidR="007D659D" w:rsidRDefault="007D659D" w:rsidP="005972E9">
      <w:pPr>
        <w:rPr>
          <w:rFonts w:asciiTheme="minorHAnsi" w:hAnsiTheme="minorHAnsi" w:cstheme="minorHAnsi"/>
        </w:rPr>
      </w:pPr>
    </w:p>
    <w:p w14:paraId="1BA8D9FF" w14:textId="1E16EB6A" w:rsidR="007828FC" w:rsidRDefault="004A0CC9" w:rsidP="005972E9">
      <w:pPr>
        <w:rPr>
          <w:rFonts w:asciiTheme="minorHAnsi" w:hAnsiTheme="minorHAnsi" w:cstheme="minorHAnsi"/>
        </w:rPr>
      </w:pPr>
      <w:r>
        <w:rPr>
          <w:rFonts w:asciiTheme="minorHAnsi" w:hAnsiTheme="minorHAnsi" w:cstheme="minorHAnsi"/>
        </w:rPr>
        <w:t>15.</w:t>
      </w:r>
      <w:r>
        <w:rPr>
          <w:rFonts w:asciiTheme="minorHAnsi" w:hAnsiTheme="minorHAnsi" w:cstheme="minorHAnsi"/>
        </w:rPr>
        <w:tab/>
      </w:r>
      <w:r w:rsidR="007D659D">
        <w:rPr>
          <w:rFonts w:asciiTheme="minorHAnsi" w:hAnsiTheme="minorHAnsi" w:cstheme="minorHAnsi"/>
        </w:rPr>
        <w:t xml:space="preserve">The Secretariat </w:t>
      </w:r>
      <w:r w:rsidR="0019579B" w:rsidRPr="00360A0A">
        <w:rPr>
          <w:rFonts w:asciiTheme="minorHAnsi" w:hAnsiTheme="minorHAnsi" w:cstheme="minorHAnsi"/>
        </w:rPr>
        <w:t>is</w:t>
      </w:r>
      <w:r w:rsidR="00360A0A" w:rsidRPr="00360A0A">
        <w:rPr>
          <w:rFonts w:asciiTheme="minorHAnsi" w:hAnsiTheme="minorHAnsi" w:cstheme="minorHAnsi"/>
        </w:rPr>
        <w:t xml:space="preserve"> </w:t>
      </w:r>
      <w:r w:rsidR="00A9331D" w:rsidRPr="00360A0A">
        <w:rPr>
          <w:rFonts w:asciiTheme="minorHAnsi" w:hAnsiTheme="minorHAnsi" w:cstheme="minorHAnsi"/>
        </w:rPr>
        <w:t>actively</w:t>
      </w:r>
      <w:r w:rsidR="00360A0A" w:rsidRPr="00360A0A">
        <w:rPr>
          <w:rFonts w:asciiTheme="minorHAnsi" w:hAnsiTheme="minorHAnsi" w:cstheme="minorHAnsi"/>
        </w:rPr>
        <w:t xml:space="preserve"> </w:t>
      </w:r>
      <w:r w:rsidR="00E059D5" w:rsidRPr="00360A0A">
        <w:rPr>
          <w:rFonts w:asciiTheme="minorHAnsi" w:hAnsiTheme="minorHAnsi" w:cstheme="minorHAnsi"/>
        </w:rPr>
        <w:t>engag</w:t>
      </w:r>
      <w:r w:rsidR="00E059D5">
        <w:rPr>
          <w:rFonts w:asciiTheme="minorHAnsi" w:hAnsiTheme="minorHAnsi" w:cstheme="minorHAnsi"/>
        </w:rPr>
        <w:t>ing</w:t>
      </w:r>
      <w:r w:rsidR="00E059D5" w:rsidRPr="00360A0A">
        <w:rPr>
          <w:rFonts w:asciiTheme="minorHAnsi" w:hAnsiTheme="minorHAnsi" w:cstheme="minorHAnsi"/>
        </w:rPr>
        <w:t xml:space="preserve"> </w:t>
      </w:r>
      <w:r w:rsidR="00A9331D" w:rsidRPr="00360A0A">
        <w:rPr>
          <w:rFonts w:asciiTheme="minorHAnsi" w:hAnsiTheme="minorHAnsi" w:cstheme="minorHAnsi"/>
        </w:rPr>
        <w:t>with</w:t>
      </w:r>
      <w:r w:rsidR="00360A0A" w:rsidRPr="00360A0A">
        <w:rPr>
          <w:rFonts w:asciiTheme="minorHAnsi" w:hAnsiTheme="minorHAnsi" w:cstheme="minorHAnsi"/>
        </w:rPr>
        <w:t xml:space="preserve"> </w:t>
      </w:r>
      <w:r w:rsidR="00A9331D" w:rsidRPr="00360A0A">
        <w:rPr>
          <w:rFonts w:asciiTheme="minorHAnsi" w:hAnsiTheme="minorHAnsi" w:cstheme="minorHAnsi"/>
        </w:rPr>
        <w:t>the</w:t>
      </w:r>
      <w:r w:rsidR="00360A0A" w:rsidRPr="00360A0A">
        <w:rPr>
          <w:rFonts w:asciiTheme="minorHAnsi" w:hAnsiTheme="minorHAnsi" w:cstheme="minorHAnsi"/>
        </w:rPr>
        <w:t xml:space="preserve"> </w:t>
      </w:r>
      <w:r w:rsidR="00A9331D" w:rsidRPr="00360A0A">
        <w:rPr>
          <w:rFonts w:asciiTheme="minorHAnsi" w:hAnsiTheme="minorHAnsi" w:cstheme="minorHAnsi"/>
        </w:rPr>
        <w:t>host</w:t>
      </w:r>
      <w:r w:rsidR="00360A0A" w:rsidRPr="00360A0A">
        <w:rPr>
          <w:rFonts w:asciiTheme="minorHAnsi" w:hAnsiTheme="minorHAnsi" w:cstheme="minorHAnsi"/>
        </w:rPr>
        <w:t xml:space="preserve"> </w:t>
      </w:r>
      <w:r w:rsidR="00A9331D" w:rsidRPr="00360A0A">
        <w:rPr>
          <w:rFonts w:asciiTheme="minorHAnsi" w:hAnsiTheme="minorHAnsi" w:cstheme="minorHAnsi"/>
        </w:rPr>
        <w:t>of</w:t>
      </w:r>
      <w:r w:rsidR="00360A0A" w:rsidRPr="00360A0A">
        <w:rPr>
          <w:rFonts w:asciiTheme="minorHAnsi" w:hAnsiTheme="minorHAnsi" w:cstheme="minorHAnsi"/>
        </w:rPr>
        <w:t xml:space="preserve"> </w:t>
      </w:r>
      <w:r w:rsidR="00A9331D" w:rsidRPr="00360A0A">
        <w:rPr>
          <w:rFonts w:asciiTheme="minorHAnsi" w:hAnsiTheme="minorHAnsi" w:cstheme="minorHAnsi"/>
        </w:rPr>
        <w:t>COP14</w:t>
      </w:r>
      <w:r w:rsidR="002F51EF">
        <w:rPr>
          <w:rFonts w:asciiTheme="minorHAnsi" w:hAnsiTheme="minorHAnsi" w:cstheme="minorHAnsi"/>
        </w:rPr>
        <w:t xml:space="preserve"> to identify a new date for COP14</w:t>
      </w:r>
      <w:r w:rsidR="007D659D">
        <w:rPr>
          <w:rFonts w:asciiTheme="minorHAnsi" w:hAnsiTheme="minorHAnsi" w:cstheme="minorHAnsi"/>
        </w:rPr>
        <w:t xml:space="preserve"> and finalize the Memorandum of Understanding that specifies the meeting requirements.</w:t>
      </w:r>
      <w:r w:rsidR="00360A0A" w:rsidRPr="00360A0A">
        <w:rPr>
          <w:rFonts w:asciiTheme="minorHAnsi" w:hAnsiTheme="minorHAnsi" w:cstheme="minorHAnsi"/>
        </w:rPr>
        <w:t xml:space="preserve"> </w:t>
      </w:r>
    </w:p>
    <w:p w14:paraId="1C945BC5" w14:textId="77777777" w:rsidR="007828FC" w:rsidRDefault="007828FC" w:rsidP="005972E9">
      <w:pPr>
        <w:rPr>
          <w:rFonts w:asciiTheme="minorHAnsi" w:hAnsiTheme="minorHAnsi" w:cstheme="minorHAnsi"/>
        </w:rPr>
      </w:pPr>
    </w:p>
    <w:p w14:paraId="652A4B77" w14:textId="5AE02939" w:rsidR="00BC19C2" w:rsidRPr="000F1EC2" w:rsidRDefault="00DF267E" w:rsidP="005972E9">
      <w:pPr>
        <w:rPr>
          <w:rFonts w:cs="Arial"/>
        </w:rPr>
      </w:pPr>
      <w:r>
        <w:rPr>
          <w:rFonts w:asciiTheme="minorHAnsi" w:hAnsiTheme="minorHAnsi" w:cstheme="minorHAnsi"/>
        </w:rPr>
        <w:t>1</w:t>
      </w:r>
      <w:r w:rsidR="004A0CC9">
        <w:rPr>
          <w:rFonts w:asciiTheme="minorHAnsi" w:hAnsiTheme="minorHAnsi" w:cstheme="minorHAnsi"/>
        </w:rPr>
        <w:t>6</w:t>
      </w:r>
      <w:r w:rsidR="00665699">
        <w:rPr>
          <w:rFonts w:asciiTheme="minorHAnsi" w:hAnsiTheme="minorHAnsi" w:cstheme="minorHAnsi"/>
        </w:rPr>
        <w:t>.</w:t>
      </w:r>
      <w:r w:rsidR="00665699">
        <w:rPr>
          <w:rFonts w:asciiTheme="minorHAnsi" w:hAnsiTheme="minorHAnsi" w:cstheme="minorHAnsi"/>
        </w:rPr>
        <w:tab/>
      </w:r>
      <w:r w:rsidR="00BC19C2" w:rsidRPr="007828FC">
        <w:rPr>
          <w:rFonts w:asciiTheme="minorHAnsi" w:hAnsiTheme="minorHAnsi" w:cstheme="minorHAnsi"/>
        </w:rPr>
        <w:t>As</w:t>
      </w:r>
      <w:r w:rsidR="00360A0A" w:rsidRPr="007828FC">
        <w:rPr>
          <w:rFonts w:asciiTheme="minorHAnsi" w:hAnsiTheme="minorHAnsi" w:cstheme="minorHAnsi"/>
        </w:rPr>
        <w:t xml:space="preserve"> </w:t>
      </w:r>
      <w:r w:rsidR="00BC19C2" w:rsidRPr="007828FC">
        <w:rPr>
          <w:rFonts w:asciiTheme="minorHAnsi" w:hAnsiTheme="minorHAnsi" w:cstheme="minorHAnsi"/>
        </w:rPr>
        <w:t>instructed</w:t>
      </w:r>
      <w:r w:rsidR="00360A0A" w:rsidRPr="007828FC">
        <w:rPr>
          <w:rFonts w:asciiTheme="minorHAnsi" w:hAnsiTheme="minorHAnsi" w:cstheme="minorHAnsi"/>
        </w:rPr>
        <w:t xml:space="preserve"> </w:t>
      </w:r>
      <w:r w:rsidR="00BC19C2" w:rsidRPr="007828FC">
        <w:rPr>
          <w:rFonts w:asciiTheme="minorHAnsi" w:hAnsiTheme="minorHAnsi" w:cstheme="minorHAnsi"/>
        </w:rPr>
        <w:t>in</w:t>
      </w:r>
      <w:r w:rsidR="00360A0A" w:rsidRPr="007828FC">
        <w:rPr>
          <w:rFonts w:asciiTheme="minorHAnsi" w:hAnsiTheme="minorHAnsi" w:cstheme="minorHAnsi"/>
        </w:rPr>
        <w:t xml:space="preserve"> </w:t>
      </w:r>
      <w:r w:rsidR="00A609C9" w:rsidRPr="007828FC">
        <w:rPr>
          <w:rFonts w:asciiTheme="minorHAnsi" w:hAnsiTheme="minorHAnsi" w:cstheme="minorHAnsi"/>
        </w:rPr>
        <w:t>Resolution</w:t>
      </w:r>
      <w:r w:rsidR="00360A0A" w:rsidRPr="007828FC">
        <w:rPr>
          <w:rFonts w:asciiTheme="minorHAnsi" w:hAnsiTheme="minorHAnsi" w:cstheme="minorHAnsi"/>
        </w:rPr>
        <w:t xml:space="preserve"> </w:t>
      </w:r>
      <w:r w:rsidR="00A609C9" w:rsidRPr="007828FC">
        <w:rPr>
          <w:rFonts w:asciiTheme="minorHAnsi" w:hAnsiTheme="minorHAnsi" w:cstheme="minorHAnsi"/>
        </w:rPr>
        <w:t>XIII.4</w:t>
      </w:r>
      <w:r w:rsidR="00360A0A" w:rsidRPr="007828FC">
        <w:rPr>
          <w:rFonts w:asciiTheme="minorHAnsi" w:hAnsiTheme="minorHAnsi" w:cstheme="minorHAnsi"/>
        </w:rPr>
        <w:t xml:space="preserve"> </w:t>
      </w:r>
      <w:r w:rsidR="00A609C9" w:rsidRPr="007828FC">
        <w:rPr>
          <w:rFonts w:asciiTheme="minorHAnsi" w:hAnsiTheme="minorHAnsi" w:cstheme="minorHAnsi"/>
        </w:rPr>
        <w:t>on</w:t>
      </w:r>
      <w:r w:rsidR="00360A0A" w:rsidRPr="007828FC">
        <w:rPr>
          <w:rFonts w:asciiTheme="minorHAnsi" w:hAnsiTheme="minorHAnsi" w:cstheme="minorHAnsi"/>
        </w:rPr>
        <w:t xml:space="preserve"> </w:t>
      </w:r>
      <w:r w:rsidR="00A609C9" w:rsidRPr="007828FC">
        <w:rPr>
          <w:rFonts w:asciiTheme="minorHAnsi" w:hAnsiTheme="minorHAnsi" w:cstheme="minorHAnsi"/>
          <w:i/>
        </w:rPr>
        <w:t>Responsibilities,</w:t>
      </w:r>
      <w:r w:rsidR="00360A0A" w:rsidRPr="007828FC">
        <w:rPr>
          <w:rFonts w:asciiTheme="minorHAnsi" w:hAnsiTheme="minorHAnsi" w:cstheme="minorHAnsi"/>
          <w:i/>
        </w:rPr>
        <w:t xml:space="preserve"> </w:t>
      </w:r>
      <w:r w:rsidR="00A609C9" w:rsidRPr="007828FC">
        <w:rPr>
          <w:rFonts w:asciiTheme="minorHAnsi" w:hAnsiTheme="minorHAnsi" w:cstheme="minorHAnsi"/>
          <w:i/>
        </w:rPr>
        <w:t>roles</w:t>
      </w:r>
      <w:r w:rsidR="00360A0A" w:rsidRPr="007828FC">
        <w:rPr>
          <w:rFonts w:asciiTheme="minorHAnsi" w:hAnsiTheme="minorHAnsi" w:cstheme="minorHAnsi"/>
          <w:i/>
        </w:rPr>
        <w:t xml:space="preserve"> </w:t>
      </w:r>
      <w:r w:rsidR="00A609C9" w:rsidRPr="007828FC">
        <w:rPr>
          <w:rFonts w:asciiTheme="minorHAnsi" w:hAnsiTheme="minorHAnsi" w:cstheme="minorHAnsi"/>
          <w:i/>
        </w:rPr>
        <w:t>and</w:t>
      </w:r>
      <w:r w:rsidR="00360A0A" w:rsidRPr="007828FC">
        <w:rPr>
          <w:rFonts w:asciiTheme="minorHAnsi" w:hAnsiTheme="minorHAnsi" w:cstheme="minorHAnsi"/>
          <w:i/>
        </w:rPr>
        <w:t xml:space="preserve"> </w:t>
      </w:r>
      <w:r w:rsidR="00A609C9" w:rsidRPr="007828FC">
        <w:rPr>
          <w:rFonts w:asciiTheme="minorHAnsi" w:hAnsiTheme="minorHAnsi" w:cstheme="minorHAnsi"/>
          <w:i/>
        </w:rPr>
        <w:t>composition</w:t>
      </w:r>
      <w:r w:rsidR="00360A0A" w:rsidRPr="007828FC">
        <w:rPr>
          <w:rFonts w:asciiTheme="minorHAnsi" w:hAnsiTheme="minorHAnsi" w:cstheme="minorHAnsi"/>
          <w:i/>
        </w:rPr>
        <w:t xml:space="preserve"> </w:t>
      </w:r>
      <w:r w:rsidR="00A609C9" w:rsidRPr="007828FC">
        <w:rPr>
          <w:rFonts w:asciiTheme="minorHAnsi" w:hAnsiTheme="minorHAnsi" w:cstheme="minorHAnsi"/>
          <w:i/>
        </w:rPr>
        <w:t>of</w:t>
      </w:r>
      <w:r w:rsidR="00360A0A" w:rsidRPr="007828FC">
        <w:rPr>
          <w:rFonts w:asciiTheme="minorHAnsi" w:hAnsiTheme="minorHAnsi" w:cstheme="minorHAnsi"/>
          <w:i/>
        </w:rPr>
        <w:t xml:space="preserve"> </w:t>
      </w:r>
      <w:r w:rsidR="00A609C9" w:rsidRPr="007828FC">
        <w:rPr>
          <w:rFonts w:asciiTheme="minorHAnsi" w:hAnsiTheme="minorHAnsi" w:cstheme="minorHAnsi"/>
          <w:i/>
        </w:rPr>
        <w:t>the</w:t>
      </w:r>
      <w:r w:rsidR="00360A0A" w:rsidRPr="007828FC">
        <w:rPr>
          <w:rFonts w:asciiTheme="minorHAnsi" w:hAnsiTheme="minorHAnsi" w:cstheme="minorHAnsi"/>
          <w:i/>
        </w:rPr>
        <w:t xml:space="preserve"> </w:t>
      </w:r>
      <w:r w:rsidR="00A609C9" w:rsidRPr="007828FC">
        <w:rPr>
          <w:rFonts w:asciiTheme="minorHAnsi" w:hAnsiTheme="minorHAnsi" w:cstheme="minorHAnsi"/>
          <w:i/>
        </w:rPr>
        <w:t>Standing</w:t>
      </w:r>
      <w:r w:rsidR="00360A0A" w:rsidRPr="007828FC">
        <w:rPr>
          <w:rFonts w:asciiTheme="minorHAnsi" w:hAnsiTheme="minorHAnsi" w:cstheme="minorHAnsi"/>
          <w:i/>
        </w:rPr>
        <w:t xml:space="preserve"> </w:t>
      </w:r>
      <w:r w:rsidR="00A609C9" w:rsidRPr="007828FC">
        <w:rPr>
          <w:rFonts w:asciiTheme="minorHAnsi" w:hAnsiTheme="minorHAnsi" w:cstheme="minorHAnsi"/>
          <w:i/>
        </w:rPr>
        <w:t>Committee</w:t>
      </w:r>
      <w:r w:rsidR="00360A0A" w:rsidRPr="007828FC">
        <w:rPr>
          <w:rFonts w:asciiTheme="minorHAnsi" w:hAnsiTheme="minorHAnsi" w:cstheme="minorHAnsi"/>
          <w:i/>
        </w:rPr>
        <w:t xml:space="preserve"> </w:t>
      </w:r>
      <w:r w:rsidR="00A609C9" w:rsidRPr="007828FC">
        <w:rPr>
          <w:rFonts w:asciiTheme="minorHAnsi" w:hAnsiTheme="minorHAnsi" w:cstheme="minorHAnsi"/>
          <w:i/>
        </w:rPr>
        <w:t>and</w:t>
      </w:r>
      <w:r w:rsidR="00360A0A" w:rsidRPr="007828FC">
        <w:rPr>
          <w:rFonts w:asciiTheme="minorHAnsi" w:hAnsiTheme="minorHAnsi" w:cstheme="minorHAnsi"/>
          <w:i/>
        </w:rPr>
        <w:t xml:space="preserve"> </w:t>
      </w:r>
      <w:r w:rsidR="00A609C9" w:rsidRPr="007828FC">
        <w:rPr>
          <w:rFonts w:asciiTheme="minorHAnsi" w:hAnsiTheme="minorHAnsi" w:cstheme="minorHAnsi"/>
          <w:i/>
        </w:rPr>
        <w:t>regional</w:t>
      </w:r>
      <w:r w:rsidR="00360A0A" w:rsidRPr="007828FC">
        <w:rPr>
          <w:rFonts w:asciiTheme="minorHAnsi" w:hAnsiTheme="minorHAnsi" w:cstheme="minorHAnsi"/>
          <w:i/>
        </w:rPr>
        <w:t xml:space="preserve"> </w:t>
      </w:r>
      <w:r w:rsidR="00A609C9" w:rsidRPr="007828FC">
        <w:rPr>
          <w:rFonts w:asciiTheme="minorHAnsi" w:hAnsiTheme="minorHAnsi" w:cstheme="minorHAnsi"/>
          <w:i/>
        </w:rPr>
        <w:t>categorization</w:t>
      </w:r>
      <w:r w:rsidR="00360A0A" w:rsidRPr="007828FC">
        <w:rPr>
          <w:rFonts w:asciiTheme="minorHAnsi" w:hAnsiTheme="minorHAnsi" w:cstheme="minorHAnsi"/>
          <w:i/>
        </w:rPr>
        <w:t xml:space="preserve"> </w:t>
      </w:r>
      <w:r w:rsidR="00A609C9" w:rsidRPr="007828FC">
        <w:rPr>
          <w:rFonts w:asciiTheme="minorHAnsi" w:hAnsiTheme="minorHAnsi" w:cstheme="minorHAnsi"/>
          <w:i/>
        </w:rPr>
        <w:t>of</w:t>
      </w:r>
      <w:r w:rsidR="00360A0A" w:rsidRPr="007828FC">
        <w:rPr>
          <w:rFonts w:asciiTheme="minorHAnsi" w:hAnsiTheme="minorHAnsi" w:cstheme="minorHAnsi"/>
          <w:i/>
        </w:rPr>
        <w:t xml:space="preserve"> </w:t>
      </w:r>
      <w:r w:rsidR="00A609C9" w:rsidRPr="007828FC">
        <w:rPr>
          <w:rFonts w:asciiTheme="minorHAnsi" w:hAnsiTheme="minorHAnsi" w:cstheme="minorHAnsi"/>
          <w:i/>
        </w:rPr>
        <w:t>countries</w:t>
      </w:r>
      <w:r w:rsidR="00360A0A" w:rsidRPr="007828FC">
        <w:rPr>
          <w:rFonts w:asciiTheme="minorHAnsi" w:hAnsiTheme="minorHAnsi" w:cstheme="minorHAnsi"/>
          <w:i/>
        </w:rPr>
        <w:t xml:space="preserve"> </w:t>
      </w:r>
      <w:r w:rsidR="00A609C9" w:rsidRPr="007828FC">
        <w:rPr>
          <w:rFonts w:asciiTheme="minorHAnsi" w:hAnsiTheme="minorHAnsi" w:cstheme="minorHAnsi"/>
          <w:i/>
        </w:rPr>
        <w:t>under</w:t>
      </w:r>
      <w:r w:rsidR="00360A0A" w:rsidRPr="007828FC">
        <w:rPr>
          <w:rFonts w:asciiTheme="minorHAnsi" w:hAnsiTheme="minorHAnsi" w:cstheme="minorHAnsi"/>
          <w:i/>
        </w:rPr>
        <w:t xml:space="preserve"> </w:t>
      </w:r>
      <w:r w:rsidR="00A609C9" w:rsidRPr="007828FC">
        <w:rPr>
          <w:rFonts w:asciiTheme="minorHAnsi" w:hAnsiTheme="minorHAnsi" w:cstheme="minorHAnsi"/>
          <w:i/>
        </w:rPr>
        <w:t>the</w:t>
      </w:r>
      <w:r w:rsidR="00360A0A" w:rsidRPr="007828FC">
        <w:rPr>
          <w:rFonts w:asciiTheme="minorHAnsi" w:hAnsiTheme="minorHAnsi" w:cstheme="minorHAnsi"/>
          <w:i/>
        </w:rPr>
        <w:t xml:space="preserve"> </w:t>
      </w:r>
      <w:r w:rsidR="00A609C9" w:rsidRPr="007828FC">
        <w:rPr>
          <w:rFonts w:asciiTheme="minorHAnsi" w:hAnsiTheme="minorHAnsi" w:cstheme="minorHAnsi"/>
          <w:i/>
        </w:rPr>
        <w:t>Convention</w:t>
      </w:r>
      <w:r w:rsidR="000A70EF" w:rsidRPr="007828FC">
        <w:rPr>
          <w:rFonts w:asciiTheme="minorHAnsi" w:hAnsiTheme="minorHAnsi" w:cstheme="minorHAnsi"/>
        </w:rPr>
        <w:t>,</w:t>
      </w:r>
      <w:r w:rsidR="00360A0A" w:rsidRPr="007828FC">
        <w:rPr>
          <w:rFonts w:asciiTheme="minorHAnsi" w:hAnsiTheme="minorHAnsi" w:cstheme="minorHAnsi"/>
        </w:rPr>
        <w:t xml:space="preserve"> </w:t>
      </w:r>
      <w:r w:rsidR="002134D9" w:rsidRPr="007828FC">
        <w:rPr>
          <w:rFonts w:asciiTheme="minorHAnsi" w:hAnsiTheme="minorHAnsi" w:cstheme="minorHAnsi"/>
        </w:rPr>
        <w:t xml:space="preserve">Contracting </w:t>
      </w:r>
      <w:r w:rsidR="00A609C9" w:rsidRPr="007828FC">
        <w:rPr>
          <w:rFonts w:asciiTheme="minorHAnsi" w:hAnsiTheme="minorHAnsi" w:cstheme="minorHAnsi"/>
        </w:rPr>
        <w:t>Parties</w:t>
      </w:r>
      <w:r w:rsidR="00360A0A" w:rsidRPr="007828FC">
        <w:rPr>
          <w:rFonts w:asciiTheme="minorHAnsi" w:hAnsiTheme="minorHAnsi" w:cstheme="minorHAnsi"/>
        </w:rPr>
        <w:t xml:space="preserve"> </w:t>
      </w:r>
      <w:r w:rsidR="00A609C9" w:rsidRPr="007828FC">
        <w:rPr>
          <w:rFonts w:asciiTheme="minorHAnsi" w:hAnsiTheme="minorHAnsi" w:cstheme="minorHAnsi"/>
        </w:rPr>
        <w:t>requested</w:t>
      </w:r>
      <w:r w:rsidR="00360A0A" w:rsidRPr="007828FC">
        <w:rPr>
          <w:rFonts w:asciiTheme="minorHAnsi" w:hAnsiTheme="minorHAnsi" w:cstheme="minorHAnsi"/>
        </w:rPr>
        <w:t xml:space="preserve"> </w:t>
      </w:r>
      <w:r w:rsidR="00A609C9" w:rsidRPr="007828FC">
        <w:rPr>
          <w:rFonts w:asciiTheme="minorHAnsi" w:hAnsiTheme="minorHAnsi" w:cstheme="minorHAnsi"/>
        </w:rPr>
        <w:t>the</w:t>
      </w:r>
      <w:r w:rsidR="00360A0A" w:rsidRPr="007828FC">
        <w:rPr>
          <w:rFonts w:asciiTheme="minorHAnsi" w:hAnsiTheme="minorHAnsi" w:cstheme="minorHAnsi"/>
        </w:rPr>
        <w:t xml:space="preserve"> </w:t>
      </w:r>
      <w:r w:rsidR="00A609C9" w:rsidRPr="007828FC">
        <w:rPr>
          <w:rFonts w:asciiTheme="minorHAnsi" w:hAnsiTheme="minorHAnsi" w:cstheme="minorHAnsi"/>
        </w:rPr>
        <w:t>Secretariat</w:t>
      </w:r>
      <w:r w:rsidR="00360A0A" w:rsidRPr="007828FC">
        <w:rPr>
          <w:rFonts w:asciiTheme="minorHAnsi" w:hAnsiTheme="minorHAnsi" w:cstheme="minorHAnsi"/>
        </w:rPr>
        <w:t xml:space="preserve"> </w:t>
      </w:r>
      <w:r w:rsidR="00A609C9" w:rsidRPr="007828FC">
        <w:rPr>
          <w:rFonts w:asciiTheme="minorHAnsi" w:hAnsiTheme="minorHAnsi" w:cstheme="minorHAnsi"/>
        </w:rPr>
        <w:t>to</w:t>
      </w:r>
      <w:r w:rsidR="00360A0A" w:rsidRPr="007828FC">
        <w:rPr>
          <w:rFonts w:asciiTheme="minorHAnsi" w:hAnsiTheme="minorHAnsi" w:cstheme="minorHAnsi"/>
        </w:rPr>
        <w:t xml:space="preserve"> </w:t>
      </w:r>
      <w:r w:rsidR="00A609C9" w:rsidRPr="007828FC">
        <w:rPr>
          <w:rFonts w:asciiTheme="minorHAnsi" w:hAnsiTheme="minorHAnsi" w:cstheme="minorHAnsi"/>
        </w:rPr>
        <w:t>review</w:t>
      </w:r>
      <w:r w:rsidR="00360A0A" w:rsidRPr="007828FC">
        <w:rPr>
          <w:rFonts w:asciiTheme="minorHAnsi" w:hAnsiTheme="minorHAnsi" w:cstheme="minorHAnsi"/>
        </w:rPr>
        <w:t xml:space="preserve"> </w:t>
      </w:r>
      <w:r w:rsidR="00A609C9" w:rsidRPr="007828FC">
        <w:rPr>
          <w:rFonts w:asciiTheme="minorHAnsi" w:hAnsiTheme="minorHAnsi" w:cstheme="minorHAnsi"/>
        </w:rPr>
        <w:t>previous</w:t>
      </w:r>
      <w:r w:rsidR="00360A0A" w:rsidRPr="007828FC">
        <w:rPr>
          <w:rFonts w:asciiTheme="minorHAnsi" w:hAnsiTheme="minorHAnsi" w:cstheme="minorHAnsi"/>
        </w:rPr>
        <w:t xml:space="preserve"> </w:t>
      </w:r>
      <w:r w:rsidR="00A609C9" w:rsidRPr="007828FC">
        <w:rPr>
          <w:rFonts w:asciiTheme="minorHAnsi" w:hAnsiTheme="minorHAnsi" w:cstheme="minorHAnsi"/>
        </w:rPr>
        <w:t>Resolutions</w:t>
      </w:r>
      <w:r w:rsidR="00360A0A" w:rsidRPr="007828FC">
        <w:rPr>
          <w:rFonts w:asciiTheme="minorHAnsi" w:hAnsiTheme="minorHAnsi" w:cstheme="minorHAnsi"/>
        </w:rPr>
        <w:t xml:space="preserve"> </w:t>
      </w:r>
      <w:r w:rsidR="00A609C9" w:rsidRPr="007828FC">
        <w:rPr>
          <w:rFonts w:asciiTheme="minorHAnsi" w:hAnsiTheme="minorHAnsi" w:cstheme="minorHAnsi"/>
        </w:rPr>
        <w:t>and</w:t>
      </w:r>
      <w:r w:rsidR="00360A0A" w:rsidRPr="007828FC">
        <w:rPr>
          <w:rFonts w:asciiTheme="minorHAnsi" w:hAnsiTheme="minorHAnsi" w:cstheme="minorHAnsi"/>
        </w:rPr>
        <w:t xml:space="preserve"> </w:t>
      </w:r>
      <w:r w:rsidR="00A609C9" w:rsidRPr="007828FC">
        <w:rPr>
          <w:rFonts w:asciiTheme="minorHAnsi" w:hAnsiTheme="minorHAnsi" w:cstheme="minorHAnsi"/>
        </w:rPr>
        <w:t>decisions,</w:t>
      </w:r>
      <w:r w:rsidR="00360A0A" w:rsidRPr="007828FC">
        <w:rPr>
          <w:rFonts w:asciiTheme="minorHAnsi" w:hAnsiTheme="minorHAnsi" w:cstheme="minorHAnsi"/>
        </w:rPr>
        <w:t xml:space="preserve"> </w:t>
      </w:r>
      <w:r w:rsidR="00A609C9" w:rsidRPr="007828FC">
        <w:rPr>
          <w:rFonts w:asciiTheme="minorHAnsi" w:hAnsiTheme="minorHAnsi" w:cstheme="minorHAnsi"/>
        </w:rPr>
        <w:t>identifying</w:t>
      </w:r>
      <w:r w:rsidR="00360A0A" w:rsidRPr="007828FC">
        <w:rPr>
          <w:rFonts w:asciiTheme="minorHAnsi" w:hAnsiTheme="minorHAnsi" w:cstheme="minorHAnsi"/>
        </w:rPr>
        <w:t xml:space="preserve"> </w:t>
      </w:r>
      <w:r w:rsidR="00A609C9" w:rsidRPr="007828FC">
        <w:rPr>
          <w:rFonts w:asciiTheme="minorHAnsi" w:hAnsiTheme="minorHAnsi" w:cstheme="minorHAnsi"/>
        </w:rPr>
        <w:t>those</w:t>
      </w:r>
      <w:r w:rsidR="00360A0A" w:rsidRPr="007828FC">
        <w:rPr>
          <w:rFonts w:asciiTheme="minorHAnsi" w:hAnsiTheme="minorHAnsi" w:cstheme="minorHAnsi"/>
        </w:rPr>
        <w:t xml:space="preserve"> </w:t>
      </w:r>
      <w:r w:rsidR="00A609C9" w:rsidRPr="007828FC">
        <w:rPr>
          <w:rFonts w:asciiTheme="minorHAnsi" w:hAnsiTheme="minorHAnsi" w:cstheme="minorHAnsi"/>
        </w:rPr>
        <w:t>or</w:t>
      </w:r>
      <w:r w:rsidR="00360A0A" w:rsidRPr="007828FC">
        <w:rPr>
          <w:rFonts w:asciiTheme="minorHAnsi" w:hAnsiTheme="minorHAnsi" w:cstheme="minorHAnsi"/>
        </w:rPr>
        <w:t xml:space="preserve"> </w:t>
      </w:r>
      <w:r w:rsidR="00A609C9" w:rsidRPr="007828FC">
        <w:rPr>
          <w:rFonts w:asciiTheme="minorHAnsi" w:hAnsiTheme="minorHAnsi" w:cstheme="minorHAnsi"/>
        </w:rPr>
        <w:t>parts</w:t>
      </w:r>
      <w:r w:rsidR="00360A0A" w:rsidRPr="007828FC">
        <w:rPr>
          <w:rFonts w:asciiTheme="minorHAnsi" w:hAnsiTheme="minorHAnsi" w:cstheme="minorHAnsi"/>
        </w:rPr>
        <w:t xml:space="preserve"> </w:t>
      </w:r>
      <w:r w:rsidR="00A609C9" w:rsidRPr="007828FC">
        <w:rPr>
          <w:rFonts w:asciiTheme="minorHAnsi" w:hAnsiTheme="minorHAnsi" w:cstheme="minorHAnsi"/>
        </w:rPr>
        <w:t>of</w:t>
      </w:r>
      <w:r w:rsidR="00360A0A" w:rsidRPr="007828FC">
        <w:rPr>
          <w:rFonts w:asciiTheme="minorHAnsi" w:hAnsiTheme="minorHAnsi" w:cstheme="minorHAnsi"/>
        </w:rPr>
        <w:t xml:space="preserve"> </w:t>
      </w:r>
      <w:r w:rsidR="00A609C9" w:rsidRPr="007828FC">
        <w:rPr>
          <w:rFonts w:asciiTheme="minorHAnsi" w:hAnsiTheme="minorHAnsi" w:cstheme="minorHAnsi"/>
        </w:rPr>
        <w:t>those,</w:t>
      </w:r>
      <w:r w:rsidR="00360A0A" w:rsidRPr="007828FC">
        <w:rPr>
          <w:rFonts w:asciiTheme="minorHAnsi" w:hAnsiTheme="minorHAnsi" w:cstheme="minorHAnsi"/>
        </w:rPr>
        <w:t xml:space="preserve"> </w:t>
      </w:r>
      <w:r w:rsidR="00A609C9" w:rsidRPr="007828FC">
        <w:rPr>
          <w:rFonts w:asciiTheme="minorHAnsi" w:hAnsiTheme="minorHAnsi" w:cstheme="minorHAnsi"/>
        </w:rPr>
        <w:t>if</w:t>
      </w:r>
      <w:r w:rsidR="00360A0A" w:rsidRPr="007828FC">
        <w:rPr>
          <w:rFonts w:asciiTheme="minorHAnsi" w:hAnsiTheme="minorHAnsi" w:cstheme="minorHAnsi"/>
        </w:rPr>
        <w:t xml:space="preserve"> </w:t>
      </w:r>
      <w:r w:rsidR="00A609C9" w:rsidRPr="007828FC">
        <w:rPr>
          <w:rFonts w:asciiTheme="minorHAnsi" w:hAnsiTheme="minorHAnsi" w:cstheme="minorHAnsi"/>
        </w:rPr>
        <w:t>any,</w:t>
      </w:r>
      <w:r w:rsidR="00360A0A" w:rsidRPr="007828FC">
        <w:rPr>
          <w:rFonts w:asciiTheme="minorHAnsi" w:hAnsiTheme="minorHAnsi" w:cstheme="minorHAnsi"/>
        </w:rPr>
        <w:t xml:space="preserve"> </w:t>
      </w:r>
      <w:r w:rsidR="00A609C9" w:rsidRPr="007828FC">
        <w:rPr>
          <w:rFonts w:asciiTheme="minorHAnsi" w:hAnsiTheme="minorHAnsi" w:cstheme="minorHAnsi"/>
        </w:rPr>
        <w:t>that</w:t>
      </w:r>
      <w:r w:rsidR="00360A0A" w:rsidRPr="007828FC">
        <w:rPr>
          <w:rFonts w:asciiTheme="minorHAnsi" w:hAnsiTheme="minorHAnsi" w:cstheme="minorHAnsi"/>
        </w:rPr>
        <w:t xml:space="preserve"> </w:t>
      </w:r>
      <w:r w:rsidR="00A609C9" w:rsidRPr="007828FC">
        <w:rPr>
          <w:rFonts w:asciiTheme="minorHAnsi" w:hAnsiTheme="minorHAnsi" w:cstheme="minorHAnsi"/>
        </w:rPr>
        <w:t>may</w:t>
      </w:r>
      <w:r w:rsidR="00360A0A" w:rsidRPr="007828FC">
        <w:rPr>
          <w:rFonts w:asciiTheme="minorHAnsi" w:hAnsiTheme="minorHAnsi" w:cstheme="minorHAnsi"/>
        </w:rPr>
        <w:t xml:space="preserve"> </w:t>
      </w:r>
      <w:r w:rsidR="00A609C9" w:rsidRPr="007828FC">
        <w:rPr>
          <w:rFonts w:asciiTheme="minorHAnsi" w:hAnsiTheme="minorHAnsi" w:cstheme="minorHAnsi"/>
        </w:rPr>
        <w:t>no</w:t>
      </w:r>
      <w:r w:rsidR="00360A0A" w:rsidRPr="007828FC">
        <w:rPr>
          <w:rFonts w:asciiTheme="minorHAnsi" w:hAnsiTheme="minorHAnsi" w:cstheme="minorHAnsi"/>
        </w:rPr>
        <w:t xml:space="preserve"> </w:t>
      </w:r>
      <w:r w:rsidR="00A609C9" w:rsidRPr="007828FC">
        <w:rPr>
          <w:rFonts w:asciiTheme="minorHAnsi" w:hAnsiTheme="minorHAnsi" w:cstheme="minorHAnsi"/>
        </w:rPr>
        <w:t>longer</w:t>
      </w:r>
      <w:r w:rsidR="00360A0A" w:rsidRPr="007828FC">
        <w:rPr>
          <w:rFonts w:asciiTheme="minorHAnsi" w:hAnsiTheme="minorHAnsi" w:cstheme="minorHAnsi"/>
        </w:rPr>
        <w:t xml:space="preserve"> </w:t>
      </w:r>
      <w:r w:rsidR="00A609C9" w:rsidRPr="007828FC">
        <w:rPr>
          <w:rFonts w:asciiTheme="minorHAnsi" w:hAnsiTheme="minorHAnsi" w:cstheme="minorHAnsi"/>
        </w:rPr>
        <w:t>be</w:t>
      </w:r>
      <w:r w:rsidR="00360A0A" w:rsidRPr="007828FC">
        <w:rPr>
          <w:rFonts w:asciiTheme="minorHAnsi" w:hAnsiTheme="minorHAnsi" w:cstheme="minorHAnsi"/>
        </w:rPr>
        <w:t xml:space="preserve"> </w:t>
      </w:r>
      <w:r w:rsidR="00A609C9" w:rsidRPr="007828FC">
        <w:rPr>
          <w:rFonts w:asciiTheme="minorHAnsi" w:hAnsiTheme="minorHAnsi" w:cstheme="minorHAnsi"/>
        </w:rPr>
        <w:t>valid</w:t>
      </w:r>
      <w:r w:rsidR="00360A0A" w:rsidRPr="007828FC">
        <w:rPr>
          <w:rFonts w:asciiTheme="minorHAnsi" w:hAnsiTheme="minorHAnsi" w:cstheme="minorHAnsi"/>
        </w:rPr>
        <w:t xml:space="preserve"> </w:t>
      </w:r>
      <w:r w:rsidR="00A609C9" w:rsidRPr="007828FC">
        <w:rPr>
          <w:rFonts w:asciiTheme="minorHAnsi" w:hAnsiTheme="minorHAnsi" w:cstheme="minorHAnsi"/>
        </w:rPr>
        <w:t>or</w:t>
      </w:r>
      <w:r w:rsidR="00360A0A" w:rsidRPr="007828FC">
        <w:rPr>
          <w:rFonts w:asciiTheme="minorHAnsi" w:hAnsiTheme="minorHAnsi" w:cstheme="minorHAnsi"/>
        </w:rPr>
        <w:t xml:space="preserve"> </w:t>
      </w:r>
      <w:r w:rsidR="00A609C9" w:rsidRPr="007828FC">
        <w:rPr>
          <w:rFonts w:asciiTheme="minorHAnsi" w:hAnsiTheme="minorHAnsi" w:cstheme="minorHAnsi"/>
        </w:rPr>
        <w:t>applicable,</w:t>
      </w:r>
      <w:r w:rsidR="00360A0A" w:rsidRPr="007828FC">
        <w:rPr>
          <w:rFonts w:asciiTheme="minorHAnsi" w:hAnsiTheme="minorHAnsi" w:cstheme="minorHAnsi"/>
        </w:rPr>
        <w:t xml:space="preserve"> </w:t>
      </w:r>
      <w:r w:rsidR="00A609C9" w:rsidRPr="007828FC">
        <w:rPr>
          <w:rFonts w:asciiTheme="minorHAnsi" w:hAnsiTheme="minorHAnsi" w:cstheme="minorHAnsi"/>
        </w:rPr>
        <w:t>that</w:t>
      </w:r>
      <w:r w:rsidR="00360A0A" w:rsidRPr="007828FC">
        <w:rPr>
          <w:rFonts w:asciiTheme="minorHAnsi" w:hAnsiTheme="minorHAnsi" w:cstheme="minorHAnsi"/>
        </w:rPr>
        <w:t xml:space="preserve"> </w:t>
      </w:r>
      <w:r w:rsidR="00A609C9" w:rsidRPr="007828FC">
        <w:rPr>
          <w:rFonts w:asciiTheme="minorHAnsi" w:hAnsiTheme="minorHAnsi" w:cstheme="minorHAnsi"/>
        </w:rPr>
        <w:t>contradict</w:t>
      </w:r>
      <w:r w:rsidR="00360A0A" w:rsidRPr="007828FC">
        <w:rPr>
          <w:rFonts w:asciiTheme="minorHAnsi" w:hAnsiTheme="minorHAnsi" w:cstheme="minorHAnsi"/>
        </w:rPr>
        <w:t xml:space="preserve"> </w:t>
      </w:r>
      <w:r w:rsidR="00A609C9" w:rsidRPr="007828FC">
        <w:rPr>
          <w:rFonts w:asciiTheme="minorHAnsi" w:hAnsiTheme="minorHAnsi" w:cstheme="minorHAnsi"/>
        </w:rPr>
        <w:t>each</w:t>
      </w:r>
      <w:r w:rsidR="00360A0A" w:rsidRPr="007828FC">
        <w:rPr>
          <w:rFonts w:asciiTheme="minorHAnsi" w:hAnsiTheme="minorHAnsi" w:cstheme="minorHAnsi"/>
        </w:rPr>
        <w:t xml:space="preserve"> </w:t>
      </w:r>
      <w:r w:rsidR="00A609C9" w:rsidRPr="007828FC">
        <w:rPr>
          <w:rFonts w:asciiTheme="minorHAnsi" w:hAnsiTheme="minorHAnsi" w:cstheme="minorHAnsi"/>
        </w:rPr>
        <w:t>other,</w:t>
      </w:r>
      <w:r w:rsidR="00360A0A" w:rsidRPr="007828FC">
        <w:rPr>
          <w:rFonts w:asciiTheme="minorHAnsi" w:hAnsiTheme="minorHAnsi" w:cstheme="minorHAnsi"/>
        </w:rPr>
        <w:t xml:space="preserve"> </w:t>
      </w:r>
      <w:r w:rsidR="00A609C9" w:rsidRPr="007828FC">
        <w:rPr>
          <w:rFonts w:asciiTheme="minorHAnsi" w:hAnsiTheme="minorHAnsi" w:cstheme="minorHAnsi"/>
        </w:rPr>
        <w:t>or</w:t>
      </w:r>
      <w:r w:rsidR="00360A0A" w:rsidRPr="007828FC">
        <w:rPr>
          <w:rFonts w:asciiTheme="minorHAnsi" w:hAnsiTheme="minorHAnsi" w:cstheme="minorHAnsi"/>
        </w:rPr>
        <w:t xml:space="preserve"> </w:t>
      </w:r>
      <w:r w:rsidR="00A609C9" w:rsidRPr="007828FC">
        <w:rPr>
          <w:rFonts w:asciiTheme="minorHAnsi" w:hAnsiTheme="minorHAnsi" w:cstheme="minorHAnsi"/>
        </w:rPr>
        <w:t>are</w:t>
      </w:r>
      <w:r w:rsidR="00360A0A" w:rsidRPr="007828FC">
        <w:rPr>
          <w:rFonts w:asciiTheme="minorHAnsi" w:hAnsiTheme="minorHAnsi" w:cstheme="minorHAnsi"/>
        </w:rPr>
        <w:t xml:space="preserve"> </w:t>
      </w:r>
      <w:r w:rsidR="00A609C9" w:rsidRPr="007828FC">
        <w:rPr>
          <w:rFonts w:asciiTheme="minorHAnsi" w:hAnsiTheme="minorHAnsi" w:cstheme="minorHAnsi"/>
        </w:rPr>
        <w:t>otherwise</w:t>
      </w:r>
      <w:r w:rsidR="00360A0A" w:rsidRPr="007828FC">
        <w:rPr>
          <w:rFonts w:asciiTheme="minorHAnsi" w:hAnsiTheme="minorHAnsi" w:cstheme="minorHAnsi"/>
        </w:rPr>
        <w:t xml:space="preserve"> </w:t>
      </w:r>
      <w:r w:rsidR="00A609C9" w:rsidRPr="007828FC">
        <w:rPr>
          <w:rFonts w:asciiTheme="minorHAnsi" w:hAnsiTheme="minorHAnsi" w:cstheme="minorHAnsi"/>
        </w:rPr>
        <w:t>inconsistent</w:t>
      </w:r>
      <w:r w:rsidR="00360A0A" w:rsidRPr="007828FC">
        <w:rPr>
          <w:rFonts w:asciiTheme="minorHAnsi" w:hAnsiTheme="minorHAnsi" w:cstheme="minorHAnsi"/>
        </w:rPr>
        <w:t xml:space="preserve"> </w:t>
      </w:r>
      <w:r w:rsidR="00A609C9" w:rsidRPr="007828FC">
        <w:rPr>
          <w:rFonts w:asciiTheme="minorHAnsi" w:hAnsiTheme="minorHAnsi" w:cstheme="minorHAnsi"/>
        </w:rPr>
        <w:t>with</w:t>
      </w:r>
      <w:r w:rsidR="00360A0A" w:rsidRPr="007828FC">
        <w:rPr>
          <w:rFonts w:asciiTheme="minorHAnsi" w:hAnsiTheme="minorHAnsi" w:cstheme="minorHAnsi"/>
        </w:rPr>
        <w:t xml:space="preserve"> </w:t>
      </w:r>
      <w:r w:rsidR="00A609C9" w:rsidRPr="007828FC">
        <w:rPr>
          <w:rFonts w:asciiTheme="minorHAnsi" w:hAnsiTheme="minorHAnsi" w:cstheme="minorHAnsi"/>
        </w:rPr>
        <w:t>current</w:t>
      </w:r>
      <w:r w:rsidR="00360A0A" w:rsidRPr="007828FC">
        <w:rPr>
          <w:rFonts w:asciiTheme="minorHAnsi" w:hAnsiTheme="minorHAnsi" w:cstheme="minorHAnsi"/>
        </w:rPr>
        <w:t xml:space="preserve"> </w:t>
      </w:r>
      <w:r w:rsidR="002134D9" w:rsidRPr="007828FC">
        <w:rPr>
          <w:rFonts w:asciiTheme="minorHAnsi" w:hAnsiTheme="minorHAnsi" w:cstheme="minorHAnsi"/>
        </w:rPr>
        <w:t xml:space="preserve">Convention </w:t>
      </w:r>
      <w:r w:rsidR="00A609C9" w:rsidRPr="007828FC">
        <w:rPr>
          <w:rFonts w:asciiTheme="minorHAnsi" w:hAnsiTheme="minorHAnsi" w:cstheme="minorHAnsi"/>
        </w:rPr>
        <w:t>practices.</w:t>
      </w:r>
      <w:r w:rsidR="00360A0A" w:rsidRPr="007828FC">
        <w:rPr>
          <w:rFonts w:asciiTheme="minorHAnsi" w:hAnsiTheme="minorHAnsi" w:cstheme="minorHAnsi"/>
        </w:rPr>
        <w:t xml:space="preserve"> </w:t>
      </w:r>
      <w:r w:rsidR="00414F11">
        <w:rPr>
          <w:rFonts w:asciiTheme="minorHAnsi" w:hAnsiTheme="minorHAnsi" w:cstheme="minorHAnsi"/>
        </w:rPr>
        <w:t>I</w:t>
      </w:r>
      <w:r w:rsidR="00A609C9" w:rsidRPr="007828FC">
        <w:rPr>
          <w:rFonts w:asciiTheme="minorHAnsi" w:hAnsiTheme="minorHAnsi" w:cstheme="minorHAnsi"/>
        </w:rPr>
        <w:t>nstructed</w:t>
      </w:r>
      <w:r w:rsidR="00360A0A" w:rsidRPr="007828FC">
        <w:rPr>
          <w:rFonts w:asciiTheme="minorHAnsi" w:hAnsiTheme="minorHAnsi" w:cstheme="minorHAnsi"/>
        </w:rPr>
        <w:t xml:space="preserve"> </w:t>
      </w:r>
      <w:r w:rsidR="00A609C9" w:rsidRPr="007828FC">
        <w:rPr>
          <w:rFonts w:asciiTheme="minorHAnsi" w:hAnsiTheme="minorHAnsi" w:cstheme="minorHAnsi"/>
        </w:rPr>
        <w:t>by</w:t>
      </w:r>
      <w:r w:rsidR="00360A0A" w:rsidRPr="007828FC">
        <w:rPr>
          <w:rFonts w:asciiTheme="minorHAnsi" w:hAnsiTheme="minorHAnsi" w:cstheme="minorHAnsi"/>
        </w:rPr>
        <w:t xml:space="preserve"> </w:t>
      </w:r>
      <w:r w:rsidR="002E5A39">
        <w:rPr>
          <w:rFonts w:asciiTheme="minorHAnsi" w:hAnsiTheme="minorHAnsi" w:cstheme="minorHAnsi"/>
        </w:rPr>
        <w:t xml:space="preserve">Decision </w:t>
      </w:r>
      <w:r w:rsidR="00A609C9" w:rsidRPr="007828FC">
        <w:rPr>
          <w:rFonts w:asciiTheme="minorHAnsi" w:hAnsiTheme="minorHAnsi" w:cstheme="minorHAnsi"/>
        </w:rPr>
        <w:t>SC5</w:t>
      </w:r>
      <w:r w:rsidR="002F51EF" w:rsidRPr="007828FC">
        <w:rPr>
          <w:rFonts w:asciiTheme="minorHAnsi" w:hAnsiTheme="minorHAnsi" w:cstheme="minorHAnsi"/>
        </w:rPr>
        <w:t>8</w:t>
      </w:r>
      <w:r w:rsidR="00290B12" w:rsidRPr="007828FC">
        <w:rPr>
          <w:rFonts w:asciiTheme="minorHAnsi" w:hAnsiTheme="minorHAnsi" w:cstheme="minorHAnsi"/>
        </w:rPr>
        <w:t>-19</w:t>
      </w:r>
      <w:r w:rsidR="00A609C9" w:rsidRPr="007828FC">
        <w:rPr>
          <w:rFonts w:asciiTheme="minorHAnsi" w:hAnsiTheme="minorHAnsi" w:cstheme="minorHAnsi"/>
        </w:rPr>
        <w:t>,</w:t>
      </w:r>
      <w:r w:rsidR="00360A0A" w:rsidRPr="007828FC">
        <w:rPr>
          <w:rFonts w:asciiTheme="minorHAnsi" w:hAnsiTheme="minorHAnsi" w:cstheme="minorHAnsi"/>
        </w:rPr>
        <w:t xml:space="preserve"> </w:t>
      </w:r>
      <w:r w:rsidR="00A609C9" w:rsidRPr="007828FC">
        <w:rPr>
          <w:rFonts w:asciiTheme="minorHAnsi" w:hAnsiTheme="minorHAnsi" w:cstheme="minorHAnsi"/>
        </w:rPr>
        <w:t>the</w:t>
      </w:r>
      <w:r w:rsidR="00360A0A" w:rsidRPr="007828FC">
        <w:rPr>
          <w:rFonts w:asciiTheme="minorHAnsi" w:hAnsiTheme="minorHAnsi" w:cstheme="minorHAnsi"/>
        </w:rPr>
        <w:t xml:space="preserve"> </w:t>
      </w:r>
      <w:r w:rsidR="00A609C9" w:rsidRPr="007828FC">
        <w:rPr>
          <w:rFonts w:asciiTheme="minorHAnsi" w:hAnsiTheme="minorHAnsi" w:cstheme="minorHAnsi"/>
        </w:rPr>
        <w:t>Secretariat</w:t>
      </w:r>
      <w:r w:rsidR="00290B12" w:rsidRPr="007828FC">
        <w:rPr>
          <w:rFonts w:asciiTheme="minorHAnsi" w:hAnsiTheme="minorHAnsi" w:cstheme="minorHAnsi"/>
        </w:rPr>
        <w:t xml:space="preserve"> has</w:t>
      </w:r>
      <w:r w:rsidR="00360A0A" w:rsidRPr="007828FC">
        <w:rPr>
          <w:rFonts w:asciiTheme="minorHAnsi" w:hAnsiTheme="minorHAnsi" w:cstheme="minorHAnsi"/>
        </w:rPr>
        <w:t xml:space="preserve"> </w:t>
      </w:r>
      <w:r w:rsidR="00A609C9" w:rsidRPr="007828FC">
        <w:rPr>
          <w:rFonts w:asciiTheme="minorHAnsi" w:hAnsiTheme="minorHAnsi" w:cstheme="minorHAnsi"/>
        </w:rPr>
        <w:t>carried</w:t>
      </w:r>
      <w:r w:rsidR="00360A0A" w:rsidRPr="007828FC">
        <w:rPr>
          <w:rFonts w:asciiTheme="minorHAnsi" w:hAnsiTheme="minorHAnsi" w:cstheme="minorHAnsi"/>
        </w:rPr>
        <w:t xml:space="preserve"> </w:t>
      </w:r>
      <w:r w:rsidR="00A609C9" w:rsidRPr="007828FC">
        <w:rPr>
          <w:rFonts w:asciiTheme="minorHAnsi" w:hAnsiTheme="minorHAnsi" w:cstheme="minorHAnsi"/>
        </w:rPr>
        <w:t>out</w:t>
      </w:r>
      <w:r w:rsidR="00BA64A4">
        <w:rPr>
          <w:rFonts w:asciiTheme="minorHAnsi" w:hAnsiTheme="minorHAnsi" w:cstheme="minorHAnsi"/>
        </w:rPr>
        <w:t xml:space="preserve"> </w:t>
      </w:r>
      <w:r w:rsidR="009446C7">
        <w:rPr>
          <w:rFonts w:asciiTheme="minorHAnsi" w:hAnsiTheme="minorHAnsi" w:cstheme="minorHAnsi"/>
        </w:rPr>
        <w:t>the following</w:t>
      </w:r>
      <w:r w:rsidR="00BA64A4">
        <w:rPr>
          <w:rFonts w:asciiTheme="minorHAnsi" w:hAnsiTheme="minorHAnsi" w:cstheme="minorHAnsi"/>
        </w:rPr>
        <w:t xml:space="preserve"> work</w:t>
      </w:r>
      <w:r w:rsidR="00F005EE">
        <w:rPr>
          <w:rFonts w:asciiTheme="minorHAnsi" w:hAnsiTheme="minorHAnsi" w:cstheme="minorHAnsi"/>
        </w:rPr>
        <w:t xml:space="preserve">: </w:t>
      </w:r>
      <w:r w:rsidR="00290B12" w:rsidRPr="007828FC">
        <w:rPr>
          <w:rFonts w:asciiTheme="minorHAnsi" w:hAnsiTheme="minorHAnsi" w:cstheme="minorHAnsi"/>
        </w:rPr>
        <w:t>a) prepar</w:t>
      </w:r>
      <w:r w:rsidR="009446C7">
        <w:rPr>
          <w:rFonts w:asciiTheme="minorHAnsi" w:hAnsiTheme="minorHAnsi" w:cstheme="minorHAnsi"/>
        </w:rPr>
        <w:t>ation</w:t>
      </w:r>
      <w:r w:rsidR="00290B12" w:rsidRPr="007828FC">
        <w:rPr>
          <w:rFonts w:asciiTheme="minorHAnsi" w:hAnsiTheme="minorHAnsi" w:cstheme="minorHAnsi"/>
        </w:rPr>
        <w:t xml:space="preserve"> </w:t>
      </w:r>
      <w:r w:rsidR="009446C7">
        <w:rPr>
          <w:rFonts w:asciiTheme="minorHAnsi" w:hAnsiTheme="minorHAnsi" w:cstheme="minorHAnsi"/>
        </w:rPr>
        <w:t xml:space="preserve">of </w:t>
      </w:r>
      <w:r w:rsidR="00290B12" w:rsidRPr="007828FC">
        <w:rPr>
          <w:rFonts w:asciiTheme="minorHAnsi" w:hAnsiTheme="minorHAnsi" w:cstheme="minorHAnsi"/>
        </w:rPr>
        <w:t xml:space="preserve">a draft list of all existing Resolutions that </w:t>
      </w:r>
      <w:r w:rsidR="00BA64A4">
        <w:rPr>
          <w:rFonts w:asciiTheme="minorHAnsi" w:hAnsiTheme="minorHAnsi" w:cstheme="minorHAnsi"/>
        </w:rPr>
        <w:t xml:space="preserve">are effectively defunct and </w:t>
      </w:r>
      <w:r w:rsidR="00290B12" w:rsidRPr="007828FC">
        <w:rPr>
          <w:rFonts w:asciiTheme="minorHAnsi" w:hAnsiTheme="minorHAnsi" w:cstheme="minorHAnsi"/>
        </w:rPr>
        <w:t>should be removed f</w:t>
      </w:r>
      <w:r w:rsidR="009E1D1D" w:rsidRPr="007828FC">
        <w:rPr>
          <w:rFonts w:asciiTheme="minorHAnsi" w:hAnsiTheme="minorHAnsi" w:cstheme="minorHAnsi"/>
        </w:rPr>
        <w:t>rom a list of valid Resolutions</w:t>
      </w:r>
      <w:r w:rsidR="004864EF">
        <w:rPr>
          <w:rFonts w:asciiTheme="minorHAnsi" w:hAnsiTheme="minorHAnsi" w:cstheme="minorHAnsi"/>
        </w:rPr>
        <w:t xml:space="preserve"> (document SC59 Doc.13.2)</w:t>
      </w:r>
      <w:r w:rsidR="002E5A39">
        <w:rPr>
          <w:rFonts w:asciiTheme="minorHAnsi" w:hAnsiTheme="minorHAnsi" w:cstheme="minorHAnsi"/>
        </w:rPr>
        <w:t>, and</w:t>
      </w:r>
      <w:r w:rsidR="009E1D1D" w:rsidRPr="007828FC">
        <w:rPr>
          <w:rFonts w:asciiTheme="minorHAnsi" w:hAnsiTheme="minorHAnsi" w:cstheme="minorHAnsi"/>
        </w:rPr>
        <w:t xml:space="preserve"> b) draft guidance for the Parties, the chairs of committees, panels and other Convention bodies and the Secretariat, to specify how Resolutions should be drafted, adopted and recorded in</w:t>
      </w:r>
      <w:r w:rsidR="00BA64A4">
        <w:rPr>
          <w:rFonts w:asciiTheme="minorHAnsi" w:hAnsiTheme="minorHAnsi" w:cstheme="minorHAnsi"/>
        </w:rPr>
        <w:t xml:space="preserve"> the</w:t>
      </w:r>
      <w:r w:rsidR="009E1D1D" w:rsidRPr="007828FC">
        <w:rPr>
          <w:rFonts w:asciiTheme="minorHAnsi" w:hAnsiTheme="minorHAnsi" w:cstheme="minorHAnsi"/>
        </w:rPr>
        <w:t xml:space="preserve"> future, to ensure that the soft law of the Convention remains clear, accessible and easy to use for matters with multiple prior COP Resolutions </w:t>
      </w:r>
      <w:r w:rsidR="009E1D1D" w:rsidRPr="007828FC">
        <w:rPr>
          <w:rFonts w:asciiTheme="minorHAnsi" w:hAnsiTheme="minorHAnsi" w:cstheme="minorHAnsi"/>
        </w:rPr>
        <w:lastRenderedPageBreak/>
        <w:t>and/or Recommendatio</w:t>
      </w:r>
      <w:r w:rsidR="00BA64A4">
        <w:rPr>
          <w:rFonts w:asciiTheme="minorHAnsi" w:hAnsiTheme="minorHAnsi" w:cstheme="minorHAnsi"/>
        </w:rPr>
        <w:t>ns</w:t>
      </w:r>
      <w:r w:rsidR="004864EF">
        <w:rPr>
          <w:rFonts w:asciiTheme="minorHAnsi" w:hAnsiTheme="minorHAnsi" w:cstheme="minorHAnsi"/>
        </w:rPr>
        <w:t xml:space="preserve"> (document SC59 Doc.13.1)</w:t>
      </w:r>
      <w:r w:rsidR="00BA64A4">
        <w:rPr>
          <w:rFonts w:asciiTheme="minorHAnsi" w:hAnsiTheme="minorHAnsi" w:cstheme="minorHAnsi"/>
        </w:rPr>
        <w:t xml:space="preserve">. </w:t>
      </w:r>
      <w:r w:rsidR="00196386">
        <w:rPr>
          <w:rFonts w:asciiTheme="minorHAnsi" w:hAnsiTheme="minorHAnsi" w:cstheme="minorHAnsi"/>
        </w:rPr>
        <w:t>As i</w:t>
      </w:r>
      <w:r w:rsidR="00BA64A4">
        <w:rPr>
          <w:rFonts w:asciiTheme="minorHAnsi" w:hAnsiTheme="minorHAnsi" w:cstheme="minorHAnsi"/>
        </w:rPr>
        <w:t xml:space="preserve">nstructed by </w:t>
      </w:r>
      <w:r w:rsidR="002E5A39">
        <w:rPr>
          <w:rFonts w:asciiTheme="minorHAnsi" w:hAnsiTheme="minorHAnsi" w:cstheme="minorHAnsi"/>
        </w:rPr>
        <w:t xml:space="preserve">Decision </w:t>
      </w:r>
      <w:r w:rsidR="009E1D1D" w:rsidRPr="007828FC">
        <w:rPr>
          <w:rFonts w:asciiTheme="minorHAnsi" w:hAnsiTheme="minorHAnsi" w:cstheme="minorHAnsi"/>
        </w:rPr>
        <w:t>SC58-20</w:t>
      </w:r>
      <w:r w:rsidR="00196386">
        <w:rPr>
          <w:rFonts w:asciiTheme="minorHAnsi" w:hAnsiTheme="minorHAnsi" w:cstheme="minorHAnsi"/>
        </w:rPr>
        <w:t>,</w:t>
      </w:r>
      <w:r w:rsidR="009E1D1D" w:rsidRPr="007828FC">
        <w:rPr>
          <w:rFonts w:asciiTheme="minorHAnsi" w:hAnsiTheme="minorHAnsi" w:cstheme="minorHAnsi"/>
        </w:rPr>
        <w:t xml:space="preserve"> the Secretariat has incorporated feedback received from Parties into a revised draft consolid</w:t>
      </w:r>
      <w:r w:rsidR="002E5A39">
        <w:rPr>
          <w:rFonts w:asciiTheme="minorHAnsi" w:hAnsiTheme="minorHAnsi" w:cstheme="minorHAnsi"/>
        </w:rPr>
        <w:t>ated r</w:t>
      </w:r>
      <w:r w:rsidR="00864DFD">
        <w:rPr>
          <w:rFonts w:asciiTheme="minorHAnsi" w:hAnsiTheme="minorHAnsi" w:cstheme="minorHAnsi"/>
        </w:rPr>
        <w:t>esolution on i</w:t>
      </w:r>
      <w:r w:rsidR="009E1D1D" w:rsidRPr="007828FC">
        <w:rPr>
          <w:rFonts w:asciiTheme="minorHAnsi" w:hAnsiTheme="minorHAnsi" w:cstheme="minorHAnsi"/>
        </w:rPr>
        <w:t>nventories</w:t>
      </w:r>
      <w:r w:rsidR="00864DFD">
        <w:rPr>
          <w:rFonts w:asciiTheme="minorHAnsi" w:hAnsiTheme="minorHAnsi" w:cstheme="minorHAnsi"/>
        </w:rPr>
        <w:t>,</w:t>
      </w:r>
      <w:r w:rsidR="009E1D1D" w:rsidRPr="007828FC">
        <w:rPr>
          <w:rFonts w:asciiTheme="minorHAnsi" w:hAnsiTheme="minorHAnsi" w:cstheme="minorHAnsi"/>
        </w:rPr>
        <w:t xml:space="preserve"> for use as a model in preparing future draft consolidated resolutions as instructed by the Standing Committee</w:t>
      </w:r>
      <w:r w:rsidR="009446C7">
        <w:rPr>
          <w:rFonts w:asciiTheme="minorHAnsi" w:hAnsiTheme="minorHAnsi" w:cstheme="minorHAnsi"/>
        </w:rPr>
        <w:t xml:space="preserve"> (</w:t>
      </w:r>
      <w:r w:rsidR="004864EF">
        <w:rPr>
          <w:rFonts w:asciiTheme="minorHAnsi" w:hAnsiTheme="minorHAnsi" w:cstheme="minorHAnsi"/>
        </w:rPr>
        <w:t xml:space="preserve">document </w:t>
      </w:r>
      <w:r w:rsidR="009446C7">
        <w:rPr>
          <w:rFonts w:asciiTheme="minorHAnsi" w:hAnsiTheme="minorHAnsi" w:cstheme="minorHAnsi"/>
        </w:rPr>
        <w:t>SC59.Doc.13.3)</w:t>
      </w:r>
      <w:r w:rsidR="009E1D1D" w:rsidRPr="007828FC">
        <w:rPr>
          <w:rFonts w:asciiTheme="minorHAnsi" w:hAnsiTheme="minorHAnsi" w:cstheme="minorHAnsi"/>
        </w:rPr>
        <w:t>.</w:t>
      </w:r>
      <w:r w:rsidR="009446C7">
        <w:rPr>
          <w:rFonts w:asciiTheme="minorHAnsi" w:hAnsiTheme="minorHAnsi" w:cstheme="minorHAnsi"/>
        </w:rPr>
        <w:t xml:space="preserve"> </w:t>
      </w:r>
      <w:r w:rsidR="00665699">
        <w:rPr>
          <w:rFonts w:asciiTheme="minorHAnsi" w:hAnsiTheme="minorHAnsi" w:cstheme="minorHAnsi"/>
        </w:rPr>
        <w:t>T</w:t>
      </w:r>
      <w:r w:rsidR="009446C7">
        <w:rPr>
          <w:rFonts w:asciiTheme="minorHAnsi" w:hAnsiTheme="minorHAnsi" w:cstheme="minorHAnsi"/>
        </w:rPr>
        <w:t xml:space="preserve">he Secretariat </w:t>
      </w:r>
      <w:r w:rsidR="000F1EC2" w:rsidRPr="000F1EC2">
        <w:rPr>
          <w:rFonts w:asciiTheme="minorHAnsi" w:hAnsiTheme="minorHAnsi" w:cstheme="minorHAnsi"/>
        </w:rPr>
        <w:t>has</w:t>
      </w:r>
      <w:r w:rsidR="00665699">
        <w:rPr>
          <w:rFonts w:asciiTheme="minorHAnsi" w:hAnsiTheme="minorHAnsi" w:cstheme="minorHAnsi"/>
        </w:rPr>
        <w:t xml:space="preserve"> also</w:t>
      </w:r>
      <w:r w:rsidR="000F1EC2" w:rsidRPr="000F1EC2">
        <w:rPr>
          <w:rFonts w:asciiTheme="minorHAnsi" w:hAnsiTheme="minorHAnsi" w:cstheme="minorHAnsi"/>
        </w:rPr>
        <w:t xml:space="preserve"> prepared </w:t>
      </w:r>
      <w:r w:rsidR="002E5A39">
        <w:rPr>
          <w:rFonts w:asciiTheme="minorHAnsi" w:hAnsiTheme="minorHAnsi" w:cstheme="minorHAnsi"/>
        </w:rPr>
        <w:t xml:space="preserve">for the consideration of SC59 </w:t>
      </w:r>
      <w:r w:rsidR="000F1EC2" w:rsidRPr="000F1EC2">
        <w:rPr>
          <w:rFonts w:asciiTheme="minorHAnsi" w:hAnsiTheme="minorHAnsi" w:cstheme="minorHAnsi"/>
        </w:rPr>
        <w:t>a d</w:t>
      </w:r>
      <w:r w:rsidR="000F1EC2" w:rsidRPr="000F1EC2">
        <w:rPr>
          <w:rFonts w:cs="Arial"/>
        </w:rPr>
        <w:t>raft resolution on a process for the review and consolidation of</w:t>
      </w:r>
      <w:r w:rsidR="000F1EC2">
        <w:rPr>
          <w:rFonts w:cs="Arial"/>
        </w:rPr>
        <w:t xml:space="preserve"> </w:t>
      </w:r>
      <w:r w:rsidR="000F1EC2" w:rsidRPr="000F1EC2">
        <w:rPr>
          <w:rFonts w:cs="Arial"/>
        </w:rPr>
        <w:t>Resolutions and Recommendations of the Conference of the Parties</w:t>
      </w:r>
      <w:r w:rsidR="002E5A39">
        <w:rPr>
          <w:rFonts w:cs="Arial"/>
        </w:rPr>
        <w:t>,</w:t>
      </w:r>
      <w:r w:rsidR="000F1EC2">
        <w:rPr>
          <w:rFonts w:cs="Arial"/>
        </w:rPr>
        <w:t xml:space="preserve"> </w:t>
      </w:r>
      <w:r w:rsidR="009446C7" w:rsidRPr="000F1EC2">
        <w:rPr>
          <w:rFonts w:asciiTheme="minorHAnsi" w:hAnsiTheme="minorHAnsi" w:cstheme="minorHAnsi"/>
        </w:rPr>
        <w:t>as instructed</w:t>
      </w:r>
      <w:r w:rsidR="009446C7">
        <w:rPr>
          <w:rFonts w:asciiTheme="minorHAnsi" w:hAnsiTheme="minorHAnsi" w:cstheme="minorHAnsi"/>
        </w:rPr>
        <w:t xml:space="preserve"> in Resolution XIII.4 </w:t>
      </w:r>
      <w:r w:rsidR="00196386">
        <w:rPr>
          <w:rFonts w:asciiTheme="minorHAnsi" w:hAnsiTheme="minorHAnsi" w:cstheme="minorHAnsi"/>
        </w:rPr>
        <w:t>(</w:t>
      </w:r>
      <w:r w:rsidR="004864EF">
        <w:rPr>
          <w:rFonts w:asciiTheme="minorHAnsi" w:hAnsiTheme="minorHAnsi" w:cstheme="minorHAnsi"/>
        </w:rPr>
        <w:t xml:space="preserve">document </w:t>
      </w:r>
      <w:r w:rsidR="00196386">
        <w:rPr>
          <w:rFonts w:asciiTheme="minorHAnsi" w:hAnsiTheme="minorHAnsi" w:cstheme="minorHAnsi"/>
        </w:rPr>
        <w:t>SC59.</w:t>
      </w:r>
      <w:r w:rsidR="000F1EC2">
        <w:rPr>
          <w:rFonts w:asciiTheme="minorHAnsi" w:hAnsiTheme="minorHAnsi" w:cstheme="minorHAnsi"/>
        </w:rPr>
        <w:t>Doc.13.1)</w:t>
      </w:r>
      <w:r w:rsidR="009446C7">
        <w:rPr>
          <w:rFonts w:asciiTheme="minorHAnsi" w:hAnsiTheme="minorHAnsi" w:cstheme="minorHAnsi"/>
        </w:rPr>
        <w:t>.</w:t>
      </w:r>
      <w:r w:rsidR="00013A89">
        <w:rPr>
          <w:rFonts w:asciiTheme="minorHAnsi" w:hAnsiTheme="minorHAnsi" w:cstheme="minorHAnsi"/>
        </w:rPr>
        <w:t xml:space="preserve"> </w:t>
      </w:r>
    </w:p>
    <w:p w14:paraId="243F495F" w14:textId="77777777" w:rsidR="007828FC" w:rsidRPr="007828FC" w:rsidRDefault="007828FC" w:rsidP="005972E9">
      <w:pPr>
        <w:rPr>
          <w:rFonts w:asciiTheme="minorHAnsi" w:hAnsiTheme="minorHAnsi" w:cstheme="minorHAnsi"/>
        </w:rPr>
      </w:pPr>
    </w:p>
    <w:p w14:paraId="229DF7F6" w14:textId="4234BE2B" w:rsidR="00A43E0E" w:rsidRPr="00360A0A" w:rsidRDefault="00DF267E" w:rsidP="00864DFD">
      <w:pPr>
        <w:rPr>
          <w:rFonts w:asciiTheme="minorHAnsi" w:hAnsiTheme="minorHAnsi" w:cstheme="minorHAnsi"/>
        </w:rPr>
      </w:pPr>
      <w:r>
        <w:rPr>
          <w:rFonts w:asciiTheme="minorHAnsi" w:hAnsiTheme="minorHAnsi" w:cstheme="minorHAnsi"/>
        </w:rPr>
        <w:t>1</w:t>
      </w:r>
      <w:r w:rsidR="004A0CC9">
        <w:rPr>
          <w:rFonts w:asciiTheme="minorHAnsi" w:hAnsiTheme="minorHAnsi" w:cstheme="minorHAnsi"/>
        </w:rPr>
        <w:t>7</w:t>
      </w:r>
      <w:r w:rsidR="005D6E99" w:rsidRPr="00360A0A">
        <w:rPr>
          <w:rFonts w:asciiTheme="minorHAnsi" w:hAnsiTheme="minorHAnsi" w:cstheme="minorHAnsi"/>
        </w:rPr>
        <w:t>.</w:t>
      </w:r>
      <w:r w:rsidR="005D6E99" w:rsidRPr="00360A0A">
        <w:rPr>
          <w:rFonts w:asciiTheme="minorHAnsi" w:hAnsiTheme="minorHAnsi" w:cstheme="minorHAnsi"/>
        </w:rPr>
        <w:tab/>
      </w:r>
      <w:r w:rsidR="00A43E0E" w:rsidRPr="00360A0A">
        <w:rPr>
          <w:rFonts w:asciiTheme="minorHAnsi" w:hAnsiTheme="minorHAnsi" w:cstheme="minorHAnsi"/>
        </w:rPr>
        <w:t>In</w:t>
      </w:r>
      <w:r w:rsidR="00360A0A" w:rsidRPr="00360A0A">
        <w:rPr>
          <w:rFonts w:asciiTheme="minorHAnsi" w:hAnsiTheme="minorHAnsi" w:cstheme="minorHAnsi"/>
        </w:rPr>
        <w:t xml:space="preserve"> </w:t>
      </w:r>
      <w:r w:rsidR="00A43E0E" w:rsidRPr="00360A0A">
        <w:rPr>
          <w:rFonts w:asciiTheme="minorHAnsi" w:hAnsiTheme="minorHAnsi" w:cstheme="minorHAnsi"/>
        </w:rPr>
        <w:t>support</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implementation</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Resolution</w:t>
      </w:r>
      <w:r w:rsidR="00360A0A" w:rsidRPr="00360A0A">
        <w:rPr>
          <w:rFonts w:asciiTheme="minorHAnsi" w:hAnsiTheme="minorHAnsi" w:cstheme="minorHAnsi"/>
        </w:rPr>
        <w:t xml:space="preserve"> </w:t>
      </w:r>
      <w:r w:rsidR="00A43E0E" w:rsidRPr="00360A0A">
        <w:rPr>
          <w:rFonts w:asciiTheme="minorHAnsi" w:hAnsiTheme="minorHAnsi" w:cstheme="minorHAnsi"/>
        </w:rPr>
        <w:t>XIII.1</w:t>
      </w:r>
      <w:r w:rsidR="00360A0A" w:rsidRPr="00360A0A">
        <w:rPr>
          <w:rFonts w:asciiTheme="minorHAnsi" w:hAnsiTheme="minorHAnsi" w:cstheme="minorHAnsi"/>
        </w:rPr>
        <w:t xml:space="preserve"> </w:t>
      </w:r>
      <w:r w:rsidR="00A43E0E" w:rsidRPr="00360A0A">
        <w:rPr>
          <w:rFonts w:asciiTheme="minorHAnsi" w:hAnsiTheme="minorHAnsi" w:cstheme="minorHAnsi"/>
        </w:rPr>
        <w:t>on</w:t>
      </w:r>
      <w:r w:rsidR="00360A0A" w:rsidRPr="00360A0A">
        <w:rPr>
          <w:rFonts w:asciiTheme="minorHAnsi" w:hAnsiTheme="minorHAnsi" w:cstheme="minorHAnsi"/>
        </w:rPr>
        <w:t xml:space="preserve"> </w:t>
      </w:r>
      <w:r w:rsidR="00A43E0E" w:rsidRPr="00360A0A">
        <w:rPr>
          <w:rFonts w:asciiTheme="minorHAnsi" w:hAnsiTheme="minorHAnsi" w:cstheme="minorHAnsi"/>
          <w:i/>
        </w:rPr>
        <w:t>World</w:t>
      </w:r>
      <w:r w:rsidR="00360A0A" w:rsidRPr="00360A0A">
        <w:rPr>
          <w:rFonts w:asciiTheme="minorHAnsi" w:hAnsiTheme="minorHAnsi" w:cstheme="minorHAnsi"/>
          <w:i/>
        </w:rPr>
        <w:t xml:space="preserve"> </w:t>
      </w:r>
      <w:r w:rsidR="00A43E0E" w:rsidRPr="00360A0A">
        <w:rPr>
          <w:rFonts w:asciiTheme="minorHAnsi" w:hAnsiTheme="minorHAnsi" w:cstheme="minorHAnsi"/>
          <w:i/>
        </w:rPr>
        <w:t>Wetlands</w:t>
      </w:r>
      <w:r w:rsidR="00360A0A" w:rsidRPr="00360A0A">
        <w:rPr>
          <w:rFonts w:asciiTheme="minorHAnsi" w:hAnsiTheme="minorHAnsi" w:cstheme="minorHAnsi"/>
          <w:i/>
        </w:rPr>
        <w:t xml:space="preserve"> </w:t>
      </w:r>
      <w:r w:rsidR="00B224FB" w:rsidRPr="00360A0A">
        <w:rPr>
          <w:rFonts w:asciiTheme="minorHAnsi" w:hAnsiTheme="minorHAnsi" w:cstheme="minorHAnsi"/>
          <w:i/>
        </w:rPr>
        <w:t>Day,</w:t>
      </w:r>
      <w:r w:rsidR="00360A0A" w:rsidRPr="00360A0A">
        <w:rPr>
          <w:rFonts w:asciiTheme="minorHAnsi" w:hAnsiTheme="minorHAnsi" w:cstheme="minorHAnsi"/>
          <w: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Secretariat</w:t>
      </w:r>
      <w:r w:rsidR="00360A0A" w:rsidRPr="00360A0A">
        <w:rPr>
          <w:rFonts w:asciiTheme="minorHAnsi" w:hAnsiTheme="minorHAnsi" w:cstheme="minorHAnsi"/>
        </w:rPr>
        <w:t xml:space="preserve"> </w:t>
      </w:r>
      <w:r w:rsidR="00A43E0E" w:rsidRPr="00360A0A">
        <w:rPr>
          <w:rFonts w:asciiTheme="minorHAnsi" w:hAnsiTheme="minorHAnsi" w:cstheme="minorHAnsi"/>
        </w:rPr>
        <w:t>has</w:t>
      </w:r>
      <w:r w:rsidR="00360A0A" w:rsidRPr="00360A0A">
        <w:rPr>
          <w:rFonts w:asciiTheme="minorHAnsi" w:hAnsiTheme="minorHAnsi" w:cstheme="minorHAnsi"/>
        </w:rPr>
        <w:t xml:space="preserve"> </w:t>
      </w:r>
      <w:r w:rsidR="00A43E0E" w:rsidRPr="00360A0A">
        <w:rPr>
          <w:rFonts w:asciiTheme="minorHAnsi" w:hAnsiTheme="minorHAnsi" w:cstheme="minorHAnsi"/>
        </w:rPr>
        <w:t>been</w:t>
      </w:r>
      <w:r w:rsidR="00360A0A" w:rsidRPr="00360A0A">
        <w:rPr>
          <w:rFonts w:asciiTheme="minorHAnsi" w:hAnsiTheme="minorHAnsi" w:cstheme="minorHAnsi"/>
        </w:rPr>
        <w:t xml:space="preserve"> </w:t>
      </w:r>
      <w:r w:rsidR="00A43E0E" w:rsidRPr="00360A0A">
        <w:rPr>
          <w:rFonts w:asciiTheme="minorHAnsi" w:hAnsiTheme="minorHAnsi" w:cstheme="minorHAnsi"/>
        </w:rPr>
        <w:t>assisting</w:t>
      </w:r>
      <w:r w:rsidR="00360A0A" w:rsidRPr="00360A0A">
        <w:rPr>
          <w:rFonts w:asciiTheme="minorHAnsi" w:hAnsiTheme="minorHAnsi" w:cstheme="minorHAnsi"/>
        </w:rPr>
        <w:t xml:space="preserve"> </w:t>
      </w:r>
      <w:r w:rsidR="00A43E0E" w:rsidRPr="00360A0A">
        <w:rPr>
          <w:rFonts w:asciiTheme="minorHAnsi" w:hAnsiTheme="minorHAnsi" w:cstheme="minorHAnsi"/>
        </w:rPr>
        <w:t>a</w:t>
      </w:r>
      <w:r w:rsidR="00360A0A" w:rsidRPr="00360A0A">
        <w:rPr>
          <w:rFonts w:asciiTheme="minorHAnsi" w:hAnsiTheme="minorHAnsi" w:cstheme="minorHAnsi"/>
        </w:rPr>
        <w:t xml:space="preserve"> </w:t>
      </w:r>
      <w:r w:rsidR="00A43E0E" w:rsidRPr="00360A0A">
        <w:rPr>
          <w:rFonts w:asciiTheme="minorHAnsi" w:hAnsiTheme="minorHAnsi" w:cstheme="minorHAnsi"/>
        </w:rPr>
        <w:t>group</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interested</w:t>
      </w:r>
      <w:r w:rsidR="00360A0A" w:rsidRPr="00360A0A">
        <w:rPr>
          <w:rFonts w:asciiTheme="minorHAnsi" w:hAnsiTheme="minorHAnsi" w:cstheme="minorHAnsi"/>
        </w:rPr>
        <w:t xml:space="preserve"> </w:t>
      </w:r>
      <w:r w:rsidR="00CF7D69">
        <w:rPr>
          <w:rFonts w:asciiTheme="minorHAnsi" w:hAnsiTheme="minorHAnsi" w:cstheme="minorHAnsi"/>
        </w:rPr>
        <w:t xml:space="preserve">Contracting </w:t>
      </w:r>
      <w:r w:rsidR="00A43E0E" w:rsidRPr="00360A0A">
        <w:rPr>
          <w:rFonts w:asciiTheme="minorHAnsi" w:hAnsiTheme="minorHAnsi" w:cstheme="minorHAnsi"/>
        </w:rPr>
        <w:t>Parties</w:t>
      </w:r>
      <w:r w:rsidR="00360A0A" w:rsidRPr="00360A0A">
        <w:rPr>
          <w:rFonts w:asciiTheme="minorHAnsi" w:hAnsiTheme="minorHAnsi" w:cstheme="minorHAnsi"/>
        </w:rPr>
        <w:t xml:space="preserve"> </w:t>
      </w:r>
      <w:r w:rsidR="00A43E0E" w:rsidRPr="00360A0A">
        <w:rPr>
          <w:rFonts w:asciiTheme="minorHAnsi" w:hAnsiTheme="minorHAnsi" w:cstheme="minorHAnsi"/>
        </w:rPr>
        <w:t>under</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leadership</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Costa</w:t>
      </w:r>
      <w:r w:rsidR="00360A0A" w:rsidRPr="00360A0A">
        <w:rPr>
          <w:rFonts w:asciiTheme="minorHAnsi" w:hAnsiTheme="minorHAnsi" w:cstheme="minorHAnsi"/>
        </w:rPr>
        <w:t xml:space="preserve"> </w:t>
      </w:r>
      <w:r w:rsidR="00A43E0E" w:rsidRPr="00360A0A">
        <w:rPr>
          <w:rFonts w:asciiTheme="minorHAnsi" w:hAnsiTheme="minorHAnsi" w:cstheme="minorHAnsi"/>
        </w:rPr>
        <w:t>Rica</w:t>
      </w:r>
      <w:r w:rsidR="00360A0A" w:rsidRPr="00360A0A">
        <w:rPr>
          <w:rFonts w:asciiTheme="minorHAnsi" w:hAnsiTheme="minorHAnsi" w:cstheme="minorHAnsi"/>
        </w:rPr>
        <w:t xml:space="preserve"> </w:t>
      </w:r>
      <w:r w:rsidR="00A43E0E" w:rsidRPr="00360A0A">
        <w:rPr>
          <w:rFonts w:asciiTheme="minorHAnsi" w:hAnsiTheme="minorHAnsi" w:cstheme="minorHAnsi"/>
        </w:rPr>
        <w:t>in</w:t>
      </w:r>
      <w:r w:rsidR="00360A0A" w:rsidRPr="00360A0A">
        <w:rPr>
          <w:rFonts w:asciiTheme="minorHAnsi" w:hAnsiTheme="minorHAnsi" w:cstheme="minorHAnsi"/>
        </w:rPr>
        <w:t xml:space="preserve"> </w:t>
      </w:r>
      <w:r w:rsidR="00966429">
        <w:rPr>
          <w:rFonts w:asciiTheme="minorHAnsi" w:hAnsiTheme="minorHAnsi" w:cstheme="minorHAnsi"/>
        </w:rPr>
        <w:t xml:space="preserve">the process </w:t>
      </w:r>
      <w:r w:rsidR="00700521">
        <w:rPr>
          <w:rFonts w:asciiTheme="minorHAnsi" w:hAnsiTheme="minorHAnsi" w:cstheme="minorHAnsi"/>
        </w:rPr>
        <w:t>o</w:t>
      </w:r>
      <w:r w:rsidR="00966429">
        <w:rPr>
          <w:rFonts w:asciiTheme="minorHAnsi" w:hAnsiTheme="minorHAnsi" w:cstheme="minorHAnsi"/>
        </w:rPr>
        <w:t xml:space="preserve">f </w:t>
      </w:r>
      <w:r w:rsidR="00864DFD">
        <w:rPr>
          <w:rFonts w:asciiTheme="minorHAnsi" w:hAnsiTheme="minorHAnsi" w:cstheme="minorHAnsi"/>
        </w:rPr>
        <w:t xml:space="preserve">preparing a </w:t>
      </w:r>
      <w:r w:rsidR="00A43E0E" w:rsidRPr="00360A0A">
        <w:rPr>
          <w:rFonts w:asciiTheme="minorHAnsi" w:hAnsiTheme="minorHAnsi" w:cstheme="minorHAnsi"/>
        </w:rPr>
        <w:t>draft</w:t>
      </w:r>
      <w:r w:rsidR="00360A0A" w:rsidRPr="00360A0A">
        <w:rPr>
          <w:rFonts w:asciiTheme="minorHAnsi" w:hAnsiTheme="minorHAnsi" w:cstheme="minorHAnsi"/>
        </w:rPr>
        <w:t xml:space="preserve"> </w:t>
      </w:r>
      <w:r w:rsidR="00A43E0E" w:rsidRPr="00360A0A">
        <w:rPr>
          <w:rFonts w:asciiTheme="minorHAnsi" w:hAnsiTheme="minorHAnsi" w:cstheme="minorHAnsi"/>
        </w:rPr>
        <w:t>resolution</w:t>
      </w:r>
      <w:r w:rsidR="00360A0A" w:rsidRPr="00360A0A">
        <w:rPr>
          <w:rFonts w:asciiTheme="minorHAnsi" w:hAnsiTheme="minorHAnsi" w:cstheme="minorHAnsi"/>
        </w:rPr>
        <w:t xml:space="preserve"> </w:t>
      </w:r>
      <w:r w:rsidR="00864DFD">
        <w:rPr>
          <w:rFonts w:asciiTheme="minorHAnsi" w:hAnsiTheme="minorHAnsi" w:cstheme="minorHAnsi"/>
        </w:rPr>
        <w:t xml:space="preserve">for submission to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United</w:t>
      </w:r>
      <w:r w:rsidR="00360A0A" w:rsidRPr="00360A0A">
        <w:rPr>
          <w:rFonts w:asciiTheme="minorHAnsi" w:hAnsiTheme="minorHAnsi" w:cstheme="minorHAnsi"/>
        </w:rPr>
        <w:t xml:space="preserve"> </w:t>
      </w:r>
      <w:r w:rsidR="00A43E0E" w:rsidRPr="00360A0A">
        <w:rPr>
          <w:rFonts w:asciiTheme="minorHAnsi" w:hAnsiTheme="minorHAnsi" w:cstheme="minorHAnsi"/>
        </w:rPr>
        <w:t>Nations</w:t>
      </w:r>
      <w:r w:rsidR="00360A0A" w:rsidRPr="00360A0A">
        <w:rPr>
          <w:rFonts w:asciiTheme="minorHAnsi" w:hAnsiTheme="minorHAnsi" w:cstheme="minorHAnsi"/>
        </w:rPr>
        <w:t xml:space="preserve"> </w:t>
      </w:r>
      <w:r w:rsidR="00A43E0E" w:rsidRPr="00360A0A">
        <w:rPr>
          <w:rFonts w:asciiTheme="minorHAnsi" w:hAnsiTheme="minorHAnsi" w:cstheme="minorHAnsi"/>
        </w:rPr>
        <w:t>General</w:t>
      </w:r>
      <w:r w:rsidR="00360A0A" w:rsidRPr="00360A0A">
        <w:rPr>
          <w:rFonts w:asciiTheme="minorHAnsi" w:hAnsiTheme="minorHAnsi" w:cstheme="minorHAnsi"/>
        </w:rPr>
        <w:t xml:space="preserve"> </w:t>
      </w:r>
      <w:r w:rsidR="00A43E0E" w:rsidRPr="00360A0A">
        <w:rPr>
          <w:rFonts w:asciiTheme="minorHAnsi" w:hAnsiTheme="minorHAnsi" w:cstheme="minorHAnsi"/>
        </w:rPr>
        <w:t>Assembly</w:t>
      </w:r>
      <w:r w:rsidR="00360A0A" w:rsidRPr="00360A0A">
        <w:rPr>
          <w:rFonts w:asciiTheme="minorHAnsi" w:hAnsiTheme="minorHAnsi" w:cstheme="minorHAnsi"/>
        </w:rPr>
        <w:t xml:space="preserve"> </w:t>
      </w:r>
      <w:r w:rsidR="00343D0A">
        <w:rPr>
          <w:rFonts w:asciiTheme="minorHAnsi" w:hAnsiTheme="minorHAnsi" w:cstheme="minorHAnsi"/>
        </w:rPr>
        <w:t>(UNGA)</w:t>
      </w:r>
      <w:r w:rsidR="00F005EE">
        <w:rPr>
          <w:rFonts w:asciiTheme="minorHAnsi" w:hAnsiTheme="minorHAnsi" w:cstheme="minorHAnsi"/>
        </w:rPr>
        <w:t xml:space="preserve"> in 2021</w:t>
      </w:r>
      <w:r w:rsidR="00A43E0E" w:rsidRPr="00360A0A">
        <w:rPr>
          <w:rFonts w:asciiTheme="minorHAnsi" w:hAnsiTheme="minorHAnsi" w:cstheme="minorHAnsi"/>
        </w:rPr>
        <w:t>.</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700521">
        <w:rPr>
          <w:rFonts w:asciiTheme="minorHAnsi" w:hAnsiTheme="minorHAnsi" w:cstheme="minorHAnsi"/>
        </w:rPr>
        <w:t>process has been delayed</w:t>
      </w:r>
      <w:r w:rsidR="00665699">
        <w:rPr>
          <w:rFonts w:asciiTheme="minorHAnsi" w:hAnsiTheme="minorHAnsi" w:cstheme="minorHAnsi"/>
        </w:rPr>
        <w:t xml:space="preserve"> </w:t>
      </w:r>
      <w:r w:rsidR="00700521">
        <w:rPr>
          <w:rFonts w:asciiTheme="minorHAnsi" w:hAnsiTheme="minorHAnsi" w:cstheme="minorHAnsi"/>
        </w:rPr>
        <w:t xml:space="preserve">due </w:t>
      </w:r>
      <w:r w:rsidR="00700521">
        <w:rPr>
          <w:rFonts w:asciiTheme="minorHAnsi" w:eastAsia="Malgun Gothic Semilight" w:hAnsiTheme="minorHAnsi" w:cstheme="minorHAnsi"/>
        </w:rPr>
        <w:t>to</w:t>
      </w:r>
      <w:r w:rsidR="00665699">
        <w:rPr>
          <w:rFonts w:asciiTheme="minorHAnsi" w:eastAsia="Malgun Gothic Semilight" w:hAnsiTheme="minorHAnsi" w:cstheme="minorHAnsi"/>
        </w:rPr>
        <w:t xml:space="preserve"> </w:t>
      </w:r>
      <w:r w:rsidR="00700521">
        <w:rPr>
          <w:rFonts w:asciiTheme="minorHAnsi" w:eastAsia="Malgun Gothic Semilight" w:hAnsiTheme="minorHAnsi" w:cstheme="minorHAnsi"/>
        </w:rPr>
        <w:t>COVI</w:t>
      </w:r>
      <w:r w:rsidR="00196386">
        <w:rPr>
          <w:rFonts w:asciiTheme="minorHAnsi" w:eastAsia="Malgun Gothic Semilight" w:hAnsiTheme="minorHAnsi" w:cstheme="minorHAnsi"/>
        </w:rPr>
        <w:t>D</w:t>
      </w:r>
      <w:r w:rsidR="000F1EC2">
        <w:rPr>
          <w:rFonts w:asciiTheme="minorHAnsi" w:eastAsia="Malgun Gothic Semilight" w:hAnsiTheme="minorHAnsi" w:cstheme="minorHAnsi"/>
        </w:rPr>
        <w:t>-</w:t>
      </w:r>
      <w:r w:rsidR="00700521">
        <w:rPr>
          <w:rFonts w:asciiTheme="minorHAnsi" w:eastAsia="Malgun Gothic Semilight" w:hAnsiTheme="minorHAnsi" w:cstheme="minorHAnsi"/>
        </w:rPr>
        <w:t xml:space="preserve">19 </w:t>
      </w:r>
      <w:r w:rsidR="000F1EC2">
        <w:rPr>
          <w:rFonts w:asciiTheme="minorHAnsi" w:eastAsia="Malgun Gothic Semilight" w:hAnsiTheme="minorHAnsi" w:cstheme="minorHAnsi"/>
        </w:rPr>
        <w:t xml:space="preserve">given that </w:t>
      </w:r>
      <w:r w:rsidR="00700521">
        <w:rPr>
          <w:rFonts w:asciiTheme="minorHAnsi" w:eastAsia="Malgun Gothic Semilight" w:hAnsiTheme="minorHAnsi" w:cstheme="minorHAnsi"/>
        </w:rPr>
        <w:t>the General Assembly second committee requested to postpone a</w:t>
      </w:r>
      <w:r w:rsidR="00700521" w:rsidRPr="00483B5A">
        <w:rPr>
          <w:rFonts w:asciiTheme="minorHAnsi" w:eastAsia="Malgun Gothic Semilight" w:hAnsiTheme="minorHAnsi" w:cstheme="minorHAnsi"/>
        </w:rPr>
        <w:t>ny new resolution</w:t>
      </w:r>
      <w:r w:rsidR="000F1EC2">
        <w:rPr>
          <w:rFonts w:asciiTheme="minorHAnsi" w:eastAsia="Malgun Gothic Semilight" w:hAnsiTheme="minorHAnsi" w:cstheme="minorHAnsi"/>
        </w:rPr>
        <w:t>s</w:t>
      </w:r>
      <w:r w:rsidR="00700521" w:rsidRPr="00483B5A">
        <w:rPr>
          <w:rFonts w:asciiTheme="minorHAnsi" w:eastAsia="Malgun Gothic Semilight" w:hAnsiTheme="minorHAnsi" w:cstheme="minorHAnsi"/>
        </w:rPr>
        <w:t xml:space="preserve"> to a later date </w:t>
      </w:r>
      <w:r w:rsidR="00864DFD">
        <w:rPr>
          <w:rFonts w:asciiTheme="minorHAnsi" w:eastAsia="Malgun Gothic Semilight" w:hAnsiTheme="minorHAnsi" w:cstheme="minorHAnsi"/>
        </w:rPr>
        <w:t>at</w:t>
      </w:r>
      <w:r w:rsidR="00700521" w:rsidRPr="00483B5A">
        <w:rPr>
          <w:rFonts w:asciiTheme="minorHAnsi" w:eastAsia="Malgun Gothic Semilight" w:hAnsiTheme="minorHAnsi" w:cstheme="minorHAnsi"/>
        </w:rPr>
        <w:t xml:space="preserve"> which </w:t>
      </w:r>
      <w:r w:rsidR="00864DFD">
        <w:rPr>
          <w:rFonts w:asciiTheme="minorHAnsi" w:eastAsia="Malgun Gothic Semilight" w:hAnsiTheme="minorHAnsi" w:cstheme="minorHAnsi"/>
        </w:rPr>
        <w:t>they</w:t>
      </w:r>
      <w:r w:rsidR="00700521" w:rsidRPr="00483B5A">
        <w:rPr>
          <w:rFonts w:asciiTheme="minorHAnsi" w:eastAsia="Malgun Gothic Semilight" w:hAnsiTheme="minorHAnsi" w:cstheme="minorHAnsi"/>
        </w:rPr>
        <w:t xml:space="preserve"> can be fully addressed. </w:t>
      </w:r>
      <w:r w:rsidR="000F1EC2">
        <w:rPr>
          <w:rFonts w:asciiTheme="minorHAnsi" w:eastAsia="Malgun Gothic Semilight" w:hAnsiTheme="minorHAnsi" w:cstheme="minorHAnsi"/>
        </w:rPr>
        <w:t xml:space="preserve">The </w:t>
      </w:r>
      <w:r w:rsidR="00A43E0E" w:rsidRPr="00360A0A">
        <w:rPr>
          <w:rFonts w:asciiTheme="minorHAnsi" w:hAnsiTheme="minorHAnsi" w:cstheme="minorHAnsi"/>
        </w:rPr>
        <w:t>Secretariat</w:t>
      </w:r>
      <w:r w:rsidR="00360A0A" w:rsidRPr="00360A0A">
        <w:rPr>
          <w:rFonts w:asciiTheme="minorHAnsi" w:hAnsiTheme="minorHAnsi" w:cstheme="minorHAnsi"/>
        </w:rPr>
        <w:t xml:space="preserve"> </w:t>
      </w:r>
      <w:r w:rsidR="00A43E0E" w:rsidRPr="00360A0A">
        <w:rPr>
          <w:rFonts w:asciiTheme="minorHAnsi" w:hAnsiTheme="minorHAnsi" w:cstheme="minorHAnsi"/>
        </w:rPr>
        <w:t>has</w:t>
      </w:r>
      <w:r w:rsidR="00360A0A" w:rsidRPr="00360A0A">
        <w:rPr>
          <w:rFonts w:asciiTheme="minorHAnsi" w:hAnsiTheme="minorHAnsi" w:cstheme="minorHAnsi"/>
        </w:rPr>
        <w:t xml:space="preserve"> </w:t>
      </w:r>
      <w:r w:rsidR="00A43E0E" w:rsidRPr="00360A0A">
        <w:rPr>
          <w:rFonts w:asciiTheme="minorHAnsi" w:hAnsiTheme="minorHAnsi" w:cstheme="minorHAnsi"/>
        </w:rPr>
        <w:t>arranged</w:t>
      </w:r>
      <w:r w:rsidR="00360A0A" w:rsidRPr="00360A0A">
        <w:rPr>
          <w:rFonts w:asciiTheme="minorHAnsi" w:hAnsiTheme="minorHAnsi" w:cstheme="minorHAnsi"/>
        </w:rPr>
        <w:t xml:space="preserve"> </w:t>
      </w:r>
      <w:r w:rsidR="00A43E0E" w:rsidRPr="00360A0A">
        <w:rPr>
          <w:rFonts w:asciiTheme="minorHAnsi" w:hAnsiTheme="minorHAnsi" w:cstheme="minorHAnsi"/>
        </w:rPr>
        <w:t>regular</w:t>
      </w:r>
      <w:r w:rsidR="00360A0A" w:rsidRPr="00360A0A">
        <w:rPr>
          <w:rFonts w:asciiTheme="minorHAnsi" w:hAnsiTheme="minorHAnsi" w:cstheme="minorHAnsi"/>
        </w:rPr>
        <w:t xml:space="preserve"> </w:t>
      </w:r>
      <w:r w:rsidR="00A43E0E" w:rsidRPr="00360A0A">
        <w:rPr>
          <w:rFonts w:asciiTheme="minorHAnsi" w:hAnsiTheme="minorHAnsi" w:cstheme="minorHAnsi"/>
        </w:rPr>
        <w:t>calls</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group</w:t>
      </w:r>
      <w:r w:rsidR="00360A0A" w:rsidRPr="00360A0A">
        <w:rPr>
          <w:rFonts w:asciiTheme="minorHAnsi" w:hAnsiTheme="minorHAnsi" w:cstheme="minorHAnsi"/>
        </w:rPr>
        <w:t xml:space="preserve"> </w:t>
      </w:r>
      <w:r w:rsidR="00A43E0E" w:rsidRPr="00360A0A">
        <w:rPr>
          <w:rFonts w:asciiTheme="minorHAnsi" w:hAnsiTheme="minorHAnsi" w:cstheme="minorHAnsi"/>
        </w:rPr>
        <w:t>and</w:t>
      </w:r>
      <w:r w:rsidR="00360A0A" w:rsidRPr="00360A0A">
        <w:rPr>
          <w:rFonts w:asciiTheme="minorHAnsi" w:hAnsiTheme="minorHAnsi" w:cstheme="minorHAnsi"/>
        </w:rPr>
        <w:t xml:space="preserve"> </w:t>
      </w:r>
      <w:r w:rsidR="00A43E0E" w:rsidRPr="00360A0A">
        <w:rPr>
          <w:rFonts w:asciiTheme="minorHAnsi" w:hAnsiTheme="minorHAnsi" w:cstheme="minorHAnsi"/>
        </w:rPr>
        <w:t>provided</w:t>
      </w:r>
      <w:r w:rsidR="00360A0A" w:rsidRPr="00360A0A">
        <w:rPr>
          <w:rFonts w:asciiTheme="minorHAnsi" w:hAnsiTheme="minorHAnsi" w:cstheme="minorHAnsi"/>
        </w:rPr>
        <w:t xml:space="preserve"> </w:t>
      </w:r>
      <w:r w:rsidR="00A43E0E" w:rsidRPr="00360A0A">
        <w:rPr>
          <w:rFonts w:asciiTheme="minorHAnsi" w:hAnsiTheme="minorHAnsi" w:cstheme="minorHAnsi"/>
        </w:rPr>
        <w:t>summary</w:t>
      </w:r>
      <w:r w:rsidR="00360A0A" w:rsidRPr="00360A0A">
        <w:rPr>
          <w:rFonts w:asciiTheme="minorHAnsi" w:hAnsiTheme="minorHAnsi" w:cstheme="minorHAnsi"/>
        </w:rPr>
        <w:t xml:space="preserve"> </w:t>
      </w:r>
      <w:r w:rsidR="00A43E0E" w:rsidRPr="00360A0A">
        <w:rPr>
          <w:rFonts w:asciiTheme="minorHAnsi" w:hAnsiTheme="minorHAnsi" w:cstheme="minorHAnsi"/>
        </w:rPr>
        <w:t>reports</w:t>
      </w:r>
      <w:r w:rsidR="00360A0A" w:rsidRPr="00360A0A">
        <w:rPr>
          <w:rFonts w:asciiTheme="minorHAnsi" w:hAnsiTheme="minorHAnsi" w:cstheme="minorHAnsi"/>
        </w:rPr>
        <w:t xml:space="preserve"> </w:t>
      </w:r>
      <w:r w:rsidR="00A43E0E" w:rsidRPr="00360A0A">
        <w:rPr>
          <w:rFonts w:asciiTheme="minorHAnsi" w:hAnsiTheme="minorHAnsi" w:cstheme="minorHAnsi"/>
        </w:rPr>
        <w:t>of</w:t>
      </w:r>
      <w:r w:rsidR="00360A0A" w:rsidRPr="00360A0A">
        <w:rPr>
          <w:rFonts w:asciiTheme="minorHAnsi" w:hAnsiTheme="minorHAnsi" w:cstheme="minorHAnsi"/>
        </w:rPr>
        <w:t xml:space="preserve"> </w:t>
      </w:r>
      <w:r w:rsidR="00A43E0E" w:rsidRPr="00360A0A">
        <w:rPr>
          <w:rFonts w:asciiTheme="minorHAnsi" w:hAnsiTheme="minorHAnsi" w:cstheme="minorHAnsi"/>
        </w:rPr>
        <w:t>the</w:t>
      </w:r>
      <w:r w:rsidR="00360A0A" w:rsidRPr="00360A0A">
        <w:rPr>
          <w:rFonts w:asciiTheme="minorHAnsi" w:hAnsiTheme="minorHAnsi" w:cstheme="minorHAnsi"/>
        </w:rPr>
        <w:t xml:space="preserve"> </w:t>
      </w:r>
      <w:r w:rsidR="00A43E0E" w:rsidRPr="00360A0A">
        <w:rPr>
          <w:rFonts w:asciiTheme="minorHAnsi" w:hAnsiTheme="minorHAnsi" w:cstheme="minorHAnsi"/>
        </w:rPr>
        <w:t>calls.</w:t>
      </w:r>
    </w:p>
    <w:p w14:paraId="213E6924" w14:textId="77777777" w:rsidR="00A43E0E" w:rsidRPr="00360A0A" w:rsidRDefault="00A43E0E" w:rsidP="005972E9">
      <w:pPr>
        <w:rPr>
          <w:rFonts w:asciiTheme="minorHAnsi" w:hAnsiTheme="minorHAnsi" w:cstheme="minorHAnsi"/>
        </w:rPr>
      </w:pPr>
    </w:p>
    <w:p w14:paraId="72545C92" w14:textId="03B54540" w:rsidR="008B6D14" w:rsidRPr="00360A0A" w:rsidRDefault="00DF267E" w:rsidP="005972E9">
      <w:pPr>
        <w:rPr>
          <w:rFonts w:asciiTheme="minorHAnsi" w:hAnsiTheme="minorHAnsi" w:cstheme="minorHAnsi"/>
        </w:rPr>
      </w:pPr>
      <w:r>
        <w:rPr>
          <w:rFonts w:asciiTheme="minorHAnsi" w:hAnsiTheme="minorHAnsi" w:cstheme="minorHAnsi"/>
        </w:rPr>
        <w:t>1</w:t>
      </w:r>
      <w:r w:rsidR="004A0CC9">
        <w:rPr>
          <w:rFonts w:asciiTheme="minorHAnsi" w:hAnsiTheme="minorHAnsi" w:cstheme="minorHAnsi"/>
        </w:rPr>
        <w:t>8</w:t>
      </w:r>
      <w:r w:rsidR="005D6E99" w:rsidRPr="00360A0A">
        <w:rPr>
          <w:rFonts w:asciiTheme="minorHAnsi" w:hAnsiTheme="minorHAnsi" w:cstheme="minorHAnsi"/>
        </w:rPr>
        <w:t>.</w:t>
      </w:r>
      <w:r w:rsidR="005D6E99" w:rsidRPr="00360A0A">
        <w:rPr>
          <w:rFonts w:asciiTheme="minorHAnsi" w:hAnsiTheme="minorHAnsi" w:cstheme="minorHAnsi"/>
        </w:rPr>
        <w:tab/>
      </w:r>
      <w:r w:rsidR="008B6D14" w:rsidRPr="00360A0A">
        <w:rPr>
          <w:rFonts w:asciiTheme="minorHAnsi" w:hAnsiTheme="minorHAnsi" w:cstheme="minorHAnsi"/>
        </w:rPr>
        <w:t>The</w:t>
      </w:r>
      <w:r w:rsidR="00360A0A" w:rsidRPr="00360A0A">
        <w:rPr>
          <w:rFonts w:asciiTheme="minorHAnsi" w:hAnsiTheme="minorHAnsi" w:cstheme="minorHAnsi"/>
        </w:rPr>
        <w:t xml:space="preserve"> </w:t>
      </w:r>
      <w:r w:rsidR="008B6D14" w:rsidRPr="00360A0A">
        <w:rPr>
          <w:rFonts w:asciiTheme="minorHAnsi" w:hAnsiTheme="minorHAnsi" w:cstheme="minorHAnsi"/>
        </w:rPr>
        <w:t>Secretariat</w:t>
      </w:r>
      <w:r w:rsidR="00360A0A" w:rsidRPr="00360A0A">
        <w:rPr>
          <w:rFonts w:asciiTheme="minorHAnsi" w:hAnsiTheme="minorHAnsi" w:cstheme="minorHAnsi"/>
        </w:rPr>
        <w:t xml:space="preserve"> </w:t>
      </w:r>
      <w:r w:rsidR="002F51EF">
        <w:rPr>
          <w:rFonts w:asciiTheme="minorHAnsi" w:hAnsiTheme="minorHAnsi" w:cstheme="minorHAnsi"/>
        </w:rPr>
        <w:t>continues to support</w:t>
      </w:r>
      <w:r w:rsidR="00360A0A" w:rsidRPr="00360A0A">
        <w:rPr>
          <w:rFonts w:asciiTheme="minorHAnsi" w:hAnsiTheme="minorHAnsi" w:cstheme="minorHAnsi"/>
        </w:rPr>
        <w:t xml:space="preserve"> </w:t>
      </w:r>
      <w:r w:rsidR="008B6D14" w:rsidRPr="00360A0A">
        <w:rPr>
          <w:rFonts w:asciiTheme="minorHAnsi" w:hAnsiTheme="minorHAnsi" w:cstheme="minorHAnsi"/>
        </w:rPr>
        <w:t>Resolution</w:t>
      </w:r>
      <w:r w:rsidR="00360A0A" w:rsidRPr="00360A0A">
        <w:rPr>
          <w:rFonts w:asciiTheme="minorHAnsi" w:hAnsiTheme="minorHAnsi" w:cstheme="minorHAnsi"/>
        </w:rPr>
        <w:t xml:space="preserve"> </w:t>
      </w:r>
      <w:r w:rsidR="008B6D14" w:rsidRPr="00360A0A">
        <w:rPr>
          <w:rFonts w:asciiTheme="minorHAnsi" w:hAnsiTheme="minorHAnsi" w:cstheme="minorHAnsi"/>
        </w:rPr>
        <w:t>XIII.6</w:t>
      </w:r>
      <w:r w:rsidR="00360A0A" w:rsidRPr="00360A0A">
        <w:rPr>
          <w:rFonts w:asciiTheme="minorHAnsi" w:hAnsiTheme="minorHAnsi" w:cstheme="minorHAnsi"/>
        </w:rPr>
        <w:t xml:space="preserve"> </w:t>
      </w:r>
      <w:r w:rsidR="00BE1B62" w:rsidRPr="00360A0A">
        <w:rPr>
          <w:rFonts w:asciiTheme="minorHAnsi" w:hAnsiTheme="minorHAnsi" w:cstheme="minorHAnsi"/>
        </w:rPr>
        <w:t>on</w:t>
      </w:r>
      <w:r w:rsidR="00360A0A" w:rsidRPr="00360A0A">
        <w:rPr>
          <w:rFonts w:asciiTheme="minorHAnsi" w:hAnsiTheme="minorHAnsi" w:cstheme="minorHAnsi"/>
        </w:rPr>
        <w:t xml:space="preserve"> </w:t>
      </w:r>
      <w:r w:rsidR="00BE1B62" w:rsidRPr="00360A0A">
        <w:rPr>
          <w:rFonts w:asciiTheme="minorHAnsi" w:hAnsiTheme="minorHAnsi" w:cstheme="minorHAnsi"/>
          <w:i/>
        </w:rPr>
        <w:t>Language</w:t>
      </w:r>
      <w:r w:rsidR="00360A0A" w:rsidRPr="00360A0A">
        <w:rPr>
          <w:rFonts w:asciiTheme="minorHAnsi" w:hAnsiTheme="minorHAnsi" w:cstheme="minorHAnsi"/>
          <w:i/>
        </w:rPr>
        <w:t xml:space="preserve"> </w:t>
      </w:r>
      <w:r w:rsidR="00BE1B62" w:rsidRPr="00360A0A">
        <w:rPr>
          <w:rFonts w:asciiTheme="minorHAnsi" w:hAnsiTheme="minorHAnsi" w:cstheme="minorHAnsi"/>
          <w:i/>
        </w:rPr>
        <w:t>strategy</w:t>
      </w:r>
      <w:r w:rsidR="00360A0A" w:rsidRPr="00360A0A">
        <w:rPr>
          <w:rFonts w:asciiTheme="minorHAnsi" w:hAnsiTheme="minorHAnsi" w:cstheme="minorHAnsi"/>
          <w:i/>
        </w:rPr>
        <w:t xml:space="preserve"> </w:t>
      </w:r>
      <w:r w:rsidR="00BE1B62" w:rsidRPr="00360A0A">
        <w:rPr>
          <w:rFonts w:asciiTheme="minorHAnsi" w:hAnsiTheme="minorHAnsi" w:cstheme="minorHAnsi"/>
          <w:i/>
        </w:rPr>
        <w:t>for</w:t>
      </w:r>
      <w:r w:rsidR="00360A0A" w:rsidRPr="00360A0A">
        <w:rPr>
          <w:rFonts w:asciiTheme="minorHAnsi" w:hAnsiTheme="minorHAnsi" w:cstheme="minorHAnsi"/>
          <w:i/>
        </w:rPr>
        <w:t xml:space="preserve"> </w:t>
      </w:r>
      <w:r w:rsidR="00BE1B62" w:rsidRPr="00360A0A">
        <w:rPr>
          <w:rFonts w:asciiTheme="minorHAnsi" w:hAnsiTheme="minorHAnsi" w:cstheme="minorHAnsi"/>
          <w:i/>
        </w:rPr>
        <w:t>the</w:t>
      </w:r>
      <w:r w:rsidR="00360A0A" w:rsidRPr="00360A0A">
        <w:rPr>
          <w:rFonts w:asciiTheme="minorHAnsi" w:hAnsiTheme="minorHAnsi" w:cstheme="minorHAnsi"/>
          <w:i/>
        </w:rPr>
        <w:t xml:space="preserve"> </w:t>
      </w:r>
      <w:r w:rsidR="00BE1B62" w:rsidRPr="00360A0A">
        <w:rPr>
          <w:rFonts w:asciiTheme="minorHAnsi" w:hAnsiTheme="minorHAnsi" w:cstheme="minorHAnsi"/>
          <w:i/>
        </w:rPr>
        <w:t>Convention</w:t>
      </w:r>
      <w:r w:rsidR="00360A0A" w:rsidRPr="00360A0A">
        <w:rPr>
          <w:rFonts w:asciiTheme="minorHAnsi" w:hAnsiTheme="minorHAnsi" w:cstheme="minorHAnsi"/>
        </w:rPr>
        <w:t xml:space="preserve"> </w:t>
      </w:r>
      <w:r w:rsidR="008B6D14" w:rsidRPr="00360A0A">
        <w:rPr>
          <w:rFonts w:asciiTheme="minorHAnsi" w:hAnsiTheme="minorHAnsi" w:cstheme="minorHAnsi"/>
        </w:rPr>
        <w:t>and</w:t>
      </w:r>
      <w:r w:rsidR="00C260FF" w:rsidRPr="00360A0A">
        <w:rPr>
          <w:rFonts w:asciiTheme="minorHAnsi" w:hAnsiTheme="minorHAnsi" w:cstheme="minorHAnsi"/>
        </w:rPr>
        <w:t>,</w:t>
      </w:r>
      <w:r w:rsidR="00360A0A" w:rsidRPr="00360A0A">
        <w:rPr>
          <w:rFonts w:asciiTheme="minorHAnsi" w:hAnsiTheme="minorHAnsi" w:cstheme="minorHAnsi"/>
        </w:rPr>
        <w:t xml:space="preserve"> </w:t>
      </w:r>
      <w:r w:rsidR="008B6D14" w:rsidRPr="00360A0A">
        <w:rPr>
          <w:rFonts w:asciiTheme="minorHAnsi" w:hAnsiTheme="minorHAnsi" w:cstheme="minorHAnsi"/>
        </w:rPr>
        <w:t>via</w:t>
      </w:r>
      <w:r w:rsidR="00360A0A" w:rsidRPr="00360A0A">
        <w:rPr>
          <w:rFonts w:asciiTheme="minorHAnsi" w:hAnsiTheme="minorHAnsi" w:cstheme="minorHAnsi"/>
        </w:rPr>
        <w:t xml:space="preserve"> </w:t>
      </w:r>
      <w:r w:rsidR="008B6D14" w:rsidRPr="00360A0A">
        <w:rPr>
          <w:rFonts w:asciiTheme="minorHAnsi" w:hAnsiTheme="minorHAnsi" w:cstheme="minorHAnsi"/>
        </w:rPr>
        <w:t>the</w:t>
      </w:r>
      <w:r w:rsidR="00360A0A" w:rsidRPr="00360A0A">
        <w:rPr>
          <w:rFonts w:asciiTheme="minorHAnsi" w:hAnsiTheme="minorHAnsi" w:cstheme="minorHAnsi"/>
        </w:rPr>
        <w:t xml:space="preserve"> </w:t>
      </w:r>
      <w:r w:rsidR="008B6D14" w:rsidRPr="00360A0A">
        <w:rPr>
          <w:rFonts w:asciiTheme="minorHAnsi" w:hAnsiTheme="minorHAnsi" w:cstheme="minorHAnsi"/>
        </w:rPr>
        <w:t>Ramsar</w:t>
      </w:r>
      <w:r w:rsidR="00360A0A" w:rsidRPr="00360A0A">
        <w:rPr>
          <w:rFonts w:asciiTheme="minorHAnsi" w:hAnsiTheme="minorHAnsi" w:cstheme="minorHAnsi"/>
        </w:rPr>
        <w:t xml:space="preserve"> </w:t>
      </w:r>
      <w:r w:rsidR="008B6D14" w:rsidRPr="00360A0A">
        <w:rPr>
          <w:rFonts w:asciiTheme="minorHAnsi" w:hAnsiTheme="minorHAnsi" w:cstheme="minorHAnsi"/>
        </w:rPr>
        <w:t>Exchange</w:t>
      </w:r>
      <w:r w:rsidR="00CF7D69">
        <w:rPr>
          <w:rFonts w:asciiTheme="minorHAnsi" w:hAnsiTheme="minorHAnsi" w:cstheme="minorHAnsi"/>
        </w:rPr>
        <w:t xml:space="preserve"> email list</w:t>
      </w:r>
      <w:r w:rsidR="00C260FF" w:rsidRPr="00360A0A">
        <w:rPr>
          <w:rFonts w:asciiTheme="minorHAnsi" w:hAnsiTheme="minorHAnsi" w:cstheme="minorHAnsi"/>
        </w:rPr>
        <w:t>,</w:t>
      </w:r>
      <w:r w:rsidR="00360A0A" w:rsidRPr="00360A0A">
        <w:rPr>
          <w:rFonts w:asciiTheme="minorHAnsi" w:hAnsiTheme="minorHAnsi" w:cstheme="minorHAnsi"/>
        </w:rPr>
        <w:t xml:space="preserve"> </w:t>
      </w:r>
      <w:r w:rsidR="00973345" w:rsidRPr="00360A0A">
        <w:rPr>
          <w:rFonts w:asciiTheme="minorHAnsi" w:hAnsiTheme="minorHAnsi" w:cstheme="minorHAnsi"/>
        </w:rPr>
        <w:t>has</w:t>
      </w:r>
      <w:r w:rsidR="00360A0A" w:rsidRPr="00360A0A">
        <w:rPr>
          <w:rFonts w:asciiTheme="minorHAnsi" w:hAnsiTheme="minorHAnsi" w:cstheme="minorHAnsi"/>
        </w:rPr>
        <w:t xml:space="preserve"> </w:t>
      </w:r>
      <w:r w:rsidR="008B6D14" w:rsidRPr="00360A0A">
        <w:rPr>
          <w:rFonts w:asciiTheme="minorHAnsi" w:hAnsiTheme="minorHAnsi" w:cstheme="minorHAnsi"/>
        </w:rPr>
        <w:t>encouraged</w:t>
      </w:r>
      <w:r w:rsidR="00360A0A" w:rsidRPr="00360A0A">
        <w:rPr>
          <w:rFonts w:asciiTheme="minorHAnsi" w:hAnsiTheme="minorHAnsi" w:cstheme="minorHAnsi"/>
        </w:rPr>
        <w:t xml:space="preserve"> </w:t>
      </w:r>
      <w:r w:rsidR="00CF7D69">
        <w:rPr>
          <w:rFonts w:asciiTheme="minorHAnsi" w:hAnsiTheme="minorHAnsi" w:cstheme="minorHAnsi"/>
        </w:rPr>
        <w:t xml:space="preserve">Contracting </w:t>
      </w:r>
      <w:r w:rsidR="008B6D14" w:rsidRPr="00360A0A">
        <w:rPr>
          <w:rFonts w:asciiTheme="minorHAnsi" w:hAnsiTheme="minorHAnsi" w:cstheme="minorHAnsi"/>
        </w:rPr>
        <w:t>Parties</w:t>
      </w:r>
      <w:r w:rsidR="00360A0A" w:rsidRPr="00360A0A">
        <w:rPr>
          <w:rFonts w:asciiTheme="minorHAnsi" w:hAnsiTheme="minorHAnsi" w:cstheme="minorHAnsi"/>
        </w:rPr>
        <w:t xml:space="preserve"> </w:t>
      </w:r>
      <w:r w:rsidR="008B6D14" w:rsidRPr="00360A0A">
        <w:rPr>
          <w:rFonts w:asciiTheme="minorHAnsi" w:hAnsiTheme="minorHAnsi" w:cstheme="minorHAnsi"/>
        </w:rPr>
        <w:t>to</w:t>
      </w:r>
      <w:r w:rsidR="00360A0A" w:rsidRPr="00360A0A">
        <w:rPr>
          <w:rFonts w:asciiTheme="minorHAnsi" w:hAnsiTheme="minorHAnsi" w:cstheme="minorHAnsi"/>
        </w:rPr>
        <w:t xml:space="preserve"> </w:t>
      </w:r>
      <w:r w:rsidR="00E33921" w:rsidRPr="00360A0A">
        <w:rPr>
          <w:rFonts w:asciiTheme="minorHAnsi" w:hAnsiTheme="minorHAnsi" w:cstheme="minorHAnsi"/>
        </w:rPr>
        <w:t>provide</w:t>
      </w:r>
      <w:r w:rsidR="00360A0A" w:rsidRPr="00360A0A">
        <w:rPr>
          <w:rFonts w:asciiTheme="minorHAnsi" w:hAnsiTheme="minorHAnsi" w:cstheme="minorHAnsi"/>
        </w:rPr>
        <w:t xml:space="preserve"> </w:t>
      </w:r>
      <w:r w:rsidR="00E33921" w:rsidRPr="00360A0A">
        <w:rPr>
          <w:rFonts w:asciiTheme="minorHAnsi" w:hAnsiTheme="minorHAnsi" w:cstheme="minorHAnsi"/>
        </w:rPr>
        <w:t>translation</w:t>
      </w:r>
      <w:r w:rsidR="00C260FF" w:rsidRPr="00360A0A">
        <w:rPr>
          <w:rFonts w:asciiTheme="minorHAnsi" w:hAnsiTheme="minorHAnsi" w:cstheme="minorHAnsi"/>
        </w:rPr>
        <w:t>s</w:t>
      </w:r>
      <w:r w:rsidR="00360A0A" w:rsidRPr="00360A0A">
        <w:rPr>
          <w:rFonts w:asciiTheme="minorHAnsi" w:hAnsiTheme="minorHAnsi" w:cstheme="minorHAnsi"/>
        </w:rPr>
        <w:t xml:space="preserve"> </w:t>
      </w:r>
      <w:r w:rsidR="00E33921" w:rsidRPr="00360A0A">
        <w:rPr>
          <w:rFonts w:asciiTheme="minorHAnsi" w:hAnsiTheme="minorHAnsi" w:cstheme="minorHAnsi"/>
        </w:rPr>
        <w:t>of</w:t>
      </w:r>
      <w:r w:rsidR="00360A0A" w:rsidRPr="00360A0A">
        <w:rPr>
          <w:rFonts w:asciiTheme="minorHAnsi" w:hAnsiTheme="minorHAnsi" w:cstheme="minorHAnsi"/>
        </w:rPr>
        <w:t xml:space="preserve"> </w:t>
      </w:r>
      <w:r w:rsidR="00E33921" w:rsidRPr="00360A0A">
        <w:rPr>
          <w:rFonts w:asciiTheme="minorHAnsi" w:hAnsiTheme="minorHAnsi" w:cstheme="minorHAnsi"/>
        </w:rPr>
        <w:t>the</w:t>
      </w:r>
      <w:r w:rsidR="00360A0A" w:rsidRPr="00360A0A">
        <w:rPr>
          <w:rFonts w:asciiTheme="minorHAnsi" w:hAnsiTheme="minorHAnsi" w:cstheme="minorHAnsi"/>
        </w:rPr>
        <w:t xml:space="preserve"> </w:t>
      </w:r>
      <w:r w:rsidR="00E33921" w:rsidRPr="00360A0A">
        <w:rPr>
          <w:rFonts w:asciiTheme="minorHAnsi" w:hAnsiTheme="minorHAnsi" w:cstheme="minorHAnsi"/>
        </w:rPr>
        <w:t>most</w:t>
      </w:r>
      <w:r w:rsidR="00360A0A" w:rsidRPr="00360A0A">
        <w:rPr>
          <w:rFonts w:asciiTheme="minorHAnsi" w:hAnsiTheme="minorHAnsi" w:cstheme="minorHAnsi"/>
        </w:rPr>
        <w:t xml:space="preserve"> </w:t>
      </w:r>
      <w:r w:rsidR="00E33921" w:rsidRPr="00360A0A">
        <w:rPr>
          <w:rFonts w:asciiTheme="minorHAnsi" w:hAnsiTheme="minorHAnsi" w:cstheme="minorHAnsi"/>
        </w:rPr>
        <w:t>important</w:t>
      </w:r>
      <w:r w:rsidR="00360A0A" w:rsidRPr="00360A0A">
        <w:rPr>
          <w:rFonts w:asciiTheme="minorHAnsi" w:hAnsiTheme="minorHAnsi" w:cstheme="minorHAnsi"/>
        </w:rPr>
        <w:t xml:space="preserve"> </w:t>
      </w:r>
      <w:r w:rsidR="00E33921" w:rsidRPr="00360A0A">
        <w:rPr>
          <w:rFonts w:asciiTheme="minorHAnsi" w:hAnsiTheme="minorHAnsi" w:cstheme="minorHAnsi"/>
        </w:rPr>
        <w:t>Ramsar</w:t>
      </w:r>
      <w:r w:rsidR="00360A0A" w:rsidRPr="00360A0A">
        <w:rPr>
          <w:rFonts w:asciiTheme="minorHAnsi" w:hAnsiTheme="minorHAnsi" w:cstheme="minorHAnsi"/>
        </w:rPr>
        <w:t xml:space="preserve"> </w:t>
      </w:r>
      <w:r w:rsidR="00E33921" w:rsidRPr="00360A0A">
        <w:rPr>
          <w:rFonts w:asciiTheme="minorHAnsi" w:hAnsiTheme="minorHAnsi" w:cstheme="minorHAnsi"/>
        </w:rPr>
        <w:t>information</w:t>
      </w:r>
      <w:r w:rsidR="00360A0A" w:rsidRPr="00360A0A">
        <w:rPr>
          <w:rFonts w:asciiTheme="minorHAnsi" w:hAnsiTheme="minorHAnsi" w:cstheme="minorHAnsi"/>
        </w:rPr>
        <w:t xml:space="preserve"> </w:t>
      </w:r>
      <w:r w:rsidR="00E33921" w:rsidRPr="00360A0A">
        <w:rPr>
          <w:rFonts w:asciiTheme="minorHAnsi" w:hAnsiTheme="minorHAnsi" w:cstheme="minorHAnsi"/>
        </w:rPr>
        <w:t>documents</w:t>
      </w:r>
      <w:r w:rsidR="00360A0A" w:rsidRPr="00360A0A">
        <w:rPr>
          <w:rFonts w:asciiTheme="minorHAnsi" w:hAnsiTheme="minorHAnsi" w:cstheme="minorHAnsi"/>
        </w:rPr>
        <w:t xml:space="preserve"> </w:t>
      </w:r>
      <w:r w:rsidR="00E33921" w:rsidRPr="00360A0A">
        <w:rPr>
          <w:rFonts w:asciiTheme="minorHAnsi" w:hAnsiTheme="minorHAnsi" w:cstheme="minorHAnsi"/>
        </w:rPr>
        <w:t>into</w:t>
      </w:r>
      <w:r w:rsidR="00360A0A" w:rsidRPr="00360A0A">
        <w:rPr>
          <w:rFonts w:asciiTheme="minorHAnsi" w:hAnsiTheme="minorHAnsi" w:cstheme="minorHAnsi"/>
        </w:rPr>
        <w:t xml:space="preserve"> </w:t>
      </w:r>
      <w:r w:rsidR="00E33921" w:rsidRPr="00360A0A">
        <w:rPr>
          <w:rFonts w:asciiTheme="minorHAnsi" w:hAnsiTheme="minorHAnsi" w:cstheme="minorHAnsi"/>
        </w:rPr>
        <w:t>their</w:t>
      </w:r>
      <w:r w:rsidR="00360A0A" w:rsidRPr="00360A0A">
        <w:rPr>
          <w:rFonts w:asciiTheme="minorHAnsi" w:hAnsiTheme="minorHAnsi" w:cstheme="minorHAnsi"/>
        </w:rPr>
        <w:t xml:space="preserve"> </w:t>
      </w:r>
      <w:r w:rsidR="00E33921" w:rsidRPr="00360A0A">
        <w:rPr>
          <w:rFonts w:asciiTheme="minorHAnsi" w:hAnsiTheme="minorHAnsi" w:cstheme="minorHAnsi"/>
        </w:rPr>
        <w:t>own</w:t>
      </w:r>
      <w:r w:rsidR="00360A0A" w:rsidRPr="00360A0A">
        <w:rPr>
          <w:rFonts w:asciiTheme="minorHAnsi" w:hAnsiTheme="minorHAnsi" w:cstheme="minorHAnsi"/>
        </w:rPr>
        <w:t xml:space="preserve"> </w:t>
      </w:r>
      <w:r w:rsidR="00E33921" w:rsidRPr="00360A0A">
        <w:rPr>
          <w:rFonts w:asciiTheme="minorHAnsi" w:hAnsiTheme="minorHAnsi" w:cstheme="minorHAnsi"/>
        </w:rPr>
        <w:t>official</w:t>
      </w:r>
      <w:r w:rsidR="00360A0A" w:rsidRPr="00360A0A">
        <w:rPr>
          <w:rFonts w:asciiTheme="minorHAnsi" w:hAnsiTheme="minorHAnsi" w:cstheme="minorHAnsi"/>
        </w:rPr>
        <w:t xml:space="preserve"> </w:t>
      </w:r>
      <w:r w:rsidR="00E33921" w:rsidRPr="00360A0A">
        <w:rPr>
          <w:rFonts w:asciiTheme="minorHAnsi" w:hAnsiTheme="minorHAnsi" w:cstheme="minorHAnsi"/>
        </w:rPr>
        <w:t>languages</w:t>
      </w:r>
      <w:r w:rsidR="00360A0A" w:rsidRPr="00360A0A">
        <w:rPr>
          <w:rFonts w:asciiTheme="minorHAnsi" w:hAnsiTheme="minorHAnsi" w:cstheme="minorHAnsi"/>
        </w:rPr>
        <w:t xml:space="preserve"> </w:t>
      </w:r>
      <w:r w:rsidR="00E33921" w:rsidRPr="00360A0A">
        <w:rPr>
          <w:rFonts w:asciiTheme="minorHAnsi" w:hAnsiTheme="minorHAnsi" w:cstheme="minorHAnsi"/>
        </w:rPr>
        <w:t>and</w:t>
      </w:r>
      <w:r w:rsidR="00360A0A" w:rsidRPr="00360A0A">
        <w:rPr>
          <w:rFonts w:asciiTheme="minorHAnsi" w:hAnsiTheme="minorHAnsi" w:cstheme="minorHAnsi"/>
        </w:rPr>
        <w:t xml:space="preserve"> </w:t>
      </w:r>
      <w:r w:rsidR="00E33921" w:rsidRPr="00360A0A">
        <w:rPr>
          <w:rFonts w:asciiTheme="minorHAnsi" w:hAnsiTheme="minorHAnsi" w:cstheme="minorHAnsi"/>
        </w:rPr>
        <w:t>to</w:t>
      </w:r>
      <w:r w:rsidR="00360A0A" w:rsidRPr="00360A0A">
        <w:rPr>
          <w:rFonts w:asciiTheme="minorHAnsi" w:hAnsiTheme="minorHAnsi" w:cstheme="minorHAnsi"/>
        </w:rPr>
        <w:t xml:space="preserve"> </w:t>
      </w:r>
      <w:r w:rsidR="00E33921" w:rsidRPr="00360A0A">
        <w:rPr>
          <w:rFonts w:asciiTheme="minorHAnsi" w:hAnsiTheme="minorHAnsi" w:cstheme="minorHAnsi"/>
        </w:rPr>
        <w:t>make</w:t>
      </w:r>
      <w:r w:rsidR="00360A0A" w:rsidRPr="00360A0A">
        <w:rPr>
          <w:rFonts w:asciiTheme="minorHAnsi" w:hAnsiTheme="minorHAnsi" w:cstheme="minorHAnsi"/>
        </w:rPr>
        <w:t xml:space="preserve"> </w:t>
      </w:r>
      <w:r w:rsidR="00E33921" w:rsidRPr="00360A0A">
        <w:rPr>
          <w:rFonts w:asciiTheme="minorHAnsi" w:hAnsiTheme="minorHAnsi" w:cstheme="minorHAnsi"/>
        </w:rPr>
        <w:t>them</w:t>
      </w:r>
      <w:r w:rsidR="00360A0A" w:rsidRPr="00360A0A">
        <w:rPr>
          <w:rFonts w:asciiTheme="minorHAnsi" w:hAnsiTheme="minorHAnsi" w:cstheme="minorHAnsi"/>
        </w:rPr>
        <w:t xml:space="preserve"> </w:t>
      </w:r>
      <w:r w:rsidR="00E33921" w:rsidRPr="00360A0A">
        <w:rPr>
          <w:rFonts w:asciiTheme="minorHAnsi" w:hAnsiTheme="minorHAnsi" w:cstheme="minorHAnsi"/>
        </w:rPr>
        <w:t>publicly</w:t>
      </w:r>
      <w:r w:rsidR="00360A0A" w:rsidRPr="00360A0A">
        <w:rPr>
          <w:rFonts w:asciiTheme="minorHAnsi" w:hAnsiTheme="minorHAnsi" w:cstheme="minorHAnsi"/>
        </w:rPr>
        <w:t xml:space="preserve"> </w:t>
      </w:r>
      <w:r w:rsidR="00E33921" w:rsidRPr="00360A0A">
        <w:rPr>
          <w:rFonts w:asciiTheme="minorHAnsi" w:hAnsiTheme="minorHAnsi" w:cstheme="minorHAnsi"/>
        </w:rPr>
        <w:t>available</w:t>
      </w:r>
      <w:r w:rsidR="00360A0A" w:rsidRPr="00360A0A">
        <w:rPr>
          <w:rFonts w:asciiTheme="minorHAnsi" w:hAnsiTheme="minorHAnsi" w:cstheme="minorHAnsi"/>
        </w:rPr>
        <w:t xml:space="preserve"> </w:t>
      </w:r>
      <w:r w:rsidR="00E33921" w:rsidRPr="00360A0A">
        <w:rPr>
          <w:rFonts w:asciiTheme="minorHAnsi" w:hAnsiTheme="minorHAnsi" w:cstheme="minorHAnsi"/>
        </w:rPr>
        <w:t>on</w:t>
      </w:r>
      <w:r w:rsidR="00360A0A" w:rsidRPr="00360A0A">
        <w:rPr>
          <w:rFonts w:asciiTheme="minorHAnsi" w:hAnsiTheme="minorHAnsi" w:cstheme="minorHAnsi"/>
        </w:rPr>
        <w:t xml:space="preserve"> </w:t>
      </w:r>
      <w:r w:rsidR="00E33921" w:rsidRPr="00360A0A">
        <w:rPr>
          <w:rFonts w:asciiTheme="minorHAnsi" w:hAnsiTheme="minorHAnsi" w:cstheme="minorHAnsi"/>
        </w:rPr>
        <w:t>their</w:t>
      </w:r>
      <w:r w:rsidR="00360A0A" w:rsidRPr="00360A0A">
        <w:rPr>
          <w:rFonts w:asciiTheme="minorHAnsi" w:hAnsiTheme="minorHAnsi" w:cstheme="minorHAnsi"/>
        </w:rPr>
        <w:t xml:space="preserve"> </w:t>
      </w:r>
      <w:r w:rsidR="00E33921" w:rsidRPr="00360A0A">
        <w:rPr>
          <w:rFonts w:asciiTheme="minorHAnsi" w:hAnsiTheme="minorHAnsi" w:cstheme="minorHAnsi"/>
        </w:rPr>
        <w:t>national</w:t>
      </w:r>
      <w:r w:rsidR="00360A0A" w:rsidRPr="00360A0A">
        <w:rPr>
          <w:rFonts w:asciiTheme="minorHAnsi" w:hAnsiTheme="minorHAnsi" w:cstheme="minorHAnsi"/>
        </w:rPr>
        <w:t xml:space="preserve"> </w:t>
      </w:r>
      <w:r w:rsidR="00E33921" w:rsidRPr="00360A0A">
        <w:rPr>
          <w:rFonts w:asciiTheme="minorHAnsi" w:hAnsiTheme="minorHAnsi" w:cstheme="minorHAnsi"/>
        </w:rPr>
        <w:t>Ramsar</w:t>
      </w:r>
      <w:r w:rsidR="00360A0A" w:rsidRPr="00360A0A">
        <w:rPr>
          <w:rFonts w:asciiTheme="minorHAnsi" w:hAnsiTheme="minorHAnsi" w:cstheme="minorHAnsi"/>
        </w:rPr>
        <w:t xml:space="preserve"> </w:t>
      </w:r>
      <w:r w:rsidR="00E33921" w:rsidRPr="00360A0A">
        <w:rPr>
          <w:rFonts w:asciiTheme="minorHAnsi" w:hAnsiTheme="minorHAnsi" w:cstheme="minorHAnsi"/>
        </w:rPr>
        <w:t>websites.</w:t>
      </w:r>
      <w:r w:rsidR="00360A0A" w:rsidRPr="00360A0A">
        <w:rPr>
          <w:rFonts w:asciiTheme="minorHAnsi" w:hAnsiTheme="minorHAnsi" w:cstheme="minorHAnsi"/>
        </w:rPr>
        <w:t xml:space="preserve"> </w:t>
      </w:r>
      <w:r w:rsidR="00E33921" w:rsidRPr="00360A0A">
        <w:rPr>
          <w:rFonts w:asciiTheme="minorHAnsi" w:hAnsiTheme="minorHAnsi" w:cstheme="minorHAnsi"/>
        </w:rPr>
        <w:t>Additionally,</w:t>
      </w:r>
      <w:r w:rsidR="00360A0A" w:rsidRPr="00360A0A">
        <w:rPr>
          <w:rFonts w:asciiTheme="minorHAnsi" w:hAnsiTheme="minorHAnsi" w:cstheme="minorHAnsi"/>
        </w:rPr>
        <w:t xml:space="preserve"> </w:t>
      </w:r>
      <w:r w:rsidR="00E33921" w:rsidRPr="00360A0A">
        <w:rPr>
          <w:rFonts w:asciiTheme="minorHAnsi" w:hAnsiTheme="minorHAnsi" w:cstheme="minorHAnsi"/>
        </w:rPr>
        <w:t>the</w:t>
      </w:r>
      <w:r w:rsidR="00360A0A" w:rsidRPr="00360A0A">
        <w:rPr>
          <w:rFonts w:asciiTheme="minorHAnsi" w:hAnsiTheme="minorHAnsi" w:cstheme="minorHAnsi"/>
        </w:rPr>
        <w:t xml:space="preserve"> </w:t>
      </w:r>
      <w:r w:rsidR="00E33921" w:rsidRPr="00360A0A">
        <w:rPr>
          <w:rFonts w:asciiTheme="minorHAnsi" w:hAnsiTheme="minorHAnsi" w:cstheme="minorHAnsi"/>
        </w:rPr>
        <w:t>Secretariat</w:t>
      </w:r>
      <w:r w:rsidR="00360A0A" w:rsidRPr="00360A0A">
        <w:rPr>
          <w:rFonts w:asciiTheme="minorHAnsi" w:hAnsiTheme="minorHAnsi" w:cstheme="minorHAnsi"/>
        </w:rPr>
        <w:t xml:space="preserve"> </w:t>
      </w:r>
      <w:r w:rsidR="00E33921" w:rsidRPr="00360A0A">
        <w:rPr>
          <w:rFonts w:asciiTheme="minorHAnsi" w:hAnsiTheme="minorHAnsi" w:cstheme="minorHAnsi"/>
        </w:rPr>
        <w:t>has</w:t>
      </w:r>
      <w:r w:rsidR="00360A0A" w:rsidRPr="00360A0A">
        <w:rPr>
          <w:rFonts w:asciiTheme="minorHAnsi" w:hAnsiTheme="minorHAnsi" w:cstheme="minorHAnsi"/>
        </w:rPr>
        <w:t xml:space="preserve"> </w:t>
      </w:r>
      <w:r w:rsidR="00E33921" w:rsidRPr="00360A0A">
        <w:rPr>
          <w:rFonts w:asciiTheme="minorHAnsi" w:hAnsiTheme="minorHAnsi" w:cstheme="minorHAnsi"/>
        </w:rPr>
        <w:t>invited</w:t>
      </w:r>
      <w:r w:rsidR="00360A0A" w:rsidRPr="00360A0A">
        <w:rPr>
          <w:rFonts w:asciiTheme="minorHAnsi" w:hAnsiTheme="minorHAnsi" w:cstheme="minorHAnsi"/>
        </w:rPr>
        <w:t xml:space="preserve"> </w:t>
      </w:r>
      <w:r w:rsidR="00E33921" w:rsidRPr="00360A0A">
        <w:rPr>
          <w:rFonts w:asciiTheme="minorHAnsi" w:hAnsiTheme="minorHAnsi" w:cstheme="minorHAnsi"/>
        </w:rPr>
        <w:t>Parties</w:t>
      </w:r>
      <w:r w:rsidR="00360A0A" w:rsidRPr="00360A0A">
        <w:rPr>
          <w:rFonts w:asciiTheme="minorHAnsi" w:hAnsiTheme="minorHAnsi" w:cstheme="minorHAnsi"/>
        </w:rPr>
        <w:t xml:space="preserve"> </w:t>
      </w:r>
      <w:r w:rsidR="00E33921" w:rsidRPr="00360A0A">
        <w:rPr>
          <w:rFonts w:asciiTheme="minorHAnsi" w:hAnsiTheme="minorHAnsi" w:cstheme="minorHAnsi"/>
        </w:rPr>
        <w:t>to</w:t>
      </w:r>
      <w:r w:rsidR="00360A0A" w:rsidRPr="00360A0A">
        <w:rPr>
          <w:rFonts w:asciiTheme="minorHAnsi" w:hAnsiTheme="minorHAnsi" w:cstheme="minorHAnsi"/>
        </w:rPr>
        <w:t xml:space="preserve"> </w:t>
      </w:r>
      <w:r w:rsidR="00C260FF" w:rsidRPr="00360A0A">
        <w:rPr>
          <w:rFonts w:asciiTheme="minorHAnsi" w:hAnsiTheme="minorHAnsi" w:cstheme="minorHAnsi"/>
        </w:rPr>
        <w:t>provide</w:t>
      </w:r>
      <w:r w:rsidR="00360A0A" w:rsidRPr="00360A0A">
        <w:rPr>
          <w:rFonts w:asciiTheme="minorHAnsi" w:hAnsiTheme="minorHAnsi" w:cstheme="minorHAnsi"/>
        </w:rPr>
        <w:t xml:space="preserve"> </w:t>
      </w:r>
      <w:r w:rsidR="00E33921" w:rsidRPr="00360A0A">
        <w:rPr>
          <w:rFonts w:asciiTheme="minorHAnsi" w:hAnsiTheme="minorHAnsi" w:cstheme="minorHAnsi"/>
        </w:rPr>
        <w:t>translated</w:t>
      </w:r>
      <w:r w:rsidR="00360A0A" w:rsidRPr="00360A0A">
        <w:rPr>
          <w:rFonts w:asciiTheme="minorHAnsi" w:hAnsiTheme="minorHAnsi" w:cstheme="minorHAnsi"/>
        </w:rPr>
        <w:t xml:space="preserve"> </w:t>
      </w:r>
      <w:r w:rsidR="00E33921" w:rsidRPr="00360A0A">
        <w:rPr>
          <w:rFonts w:asciiTheme="minorHAnsi" w:hAnsiTheme="minorHAnsi" w:cstheme="minorHAnsi"/>
        </w:rPr>
        <w:t>Ramsar</w:t>
      </w:r>
      <w:r w:rsidR="00360A0A" w:rsidRPr="00360A0A">
        <w:rPr>
          <w:rFonts w:asciiTheme="minorHAnsi" w:hAnsiTheme="minorHAnsi" w:cstheme="minorHAnsi"/>
        </w:rPr>
        <w:t xml:space="preserve"> </w:t>
      </w:r>
      <w:r w:rsidR="00E33921" w:rsidRPr="00360A0A">
        <w:rPr>
          <w:rFonts w:asciiTheme="minorHAnsi" w:hAnsiTheme="minorHAnsi" w:cstheme="minorHAnsi"/>
        </w:rPr>
        <w:t>documents</w:t>
      </w:r>
      <w:r w:rsidR="00360A0A" w:rsidRPr="00360A0A">
        <w:rPr>
          <w:rFonts w:asciiTheme="minorHAnsi" w:hAnsiTheme="minorHAnsi" w:cstheme="minorHAnsi"/>
        </w:rPr>
        <w:t xml:space="preserve"> </w:t>
      </w:r>
      <w:r w:rsidR="00E33921" w:rsidRPr="00360A0A">
        <w:rPr>
          <w:rFonts w:asciiTheme="minorHAnsi" w:hAnsiTheme="minorHAnsi" w:cstheme="minorHAnsi"/>
        </w:rPr>
        <w:t>of</w:t>
      </w:r>
      <w:r w:rsidR="00360A0A" w:rsidRPr="00360A0A">
        <w:rPr>
          <w:rFonts w:asciiTheme="minorHAnsi" w:hAnsiTheme="minorHAnsi" w:cstheme="minorHAnsi"/>
        </w:rPr>
        <w:t xml:space="preserve"> </w:t>
      </w:r>
      <w:r w:rsidR="00E33921" w:rsidRPr="00360A0A">
        <w:rPr>
          <w:rFonts w:asciiTheme="minorHAnsi" w:hAnsiTheme="minorHAnsi" w:cstheme="minorHAnsi"/>
        </w:rPr>
        <w:t>wider</w:t>
      </w:r>
      <w:r w:rsidR="00360A0A" w:rsidRPr="00360A0A">
        <w:rPr>
          <w:rFonts w:asciiTheme="minorHAnsi" w:hAnsiTheme="minorHAnsi" w:cstheme="minorHAnsi"/>
        </w:rPr>
        <w:t xml:space="preserve"> </w:t>
      </w:r>
      <w:r w:rsidR="00E33921" w:rsidRPr="00360A0A">
        <w:rPr>
          <w:rFonts w:asciiTheme="minorHAnsi" w:hAnsiTheme="minorHAnsi" w:cstheme="minorHAnsi"/>
        </w:rPr>
        <w:t>relevance</w:t>
      </w:r>
      <w:r w:rsidR="00BA50A6" w:rsidRPr="00360A0A">
        <w:rPr>
          <w:rFonts w:asciiTheme="minorHAnsi" w:hAnsiTheme="minorHAnsi" w:cstheme="minorHAnsi"/>
        </w:rPr>
        <w:t>,</w:t>
      </w:r>
      <w:r w:rsidR="00360A0A" w:rsidRPr="00360A0A">
        <w:rPr>
          <w:rFonts w:asciiTheme="minorHAnsi" w:hAnsiTheme="minorHAnsi" w:cstheme="minorHAnsi"/>
        </w:rPr>
        <w:t xml:space="preserve"> </w:t>
      </w:r>
      <w:r w:rsidR="00BA50A6" w:rsidRPr="00360A0A">
        <w:rPr>
          <w:rFonts w:asciiTheme="minorHAnsi" w:hAnsiTheme="minorHAnsi" w:cstheme="minorHAnsi"/>
        </w:rPr>
        <w:t>so</w:t>
      </w:r>
      <w:r w:rsidR="00360A0A" w:rsidRPr="00360A0A">
        <w:rPr>
          <w:rFonts w:asciiTheme="minorHAnsi" w:hAnsiTheme="minorHAnsi" w:cstheme="minorHAnsi"/>
        </w:rPr>
        <w:t xml:space="preserve"> </w:t>
      </w:r>
      <w:r w:rsidR="00E33921" w:rsidRPr="00360A0A">
        <w:rPr>
          <w:rFonts w:asciiTheme="minorHAnsi" w:hAnsiTheme="minorHAnsi" w:cstheme="minorHAnsi"/>
        </w:rPr>
        <w:t>that</w:t>
      </w:r>
      <w:r w:rsidR="00360A0A" w:rsidRPr="00360A0A">
        <w:rPr>
          <w:rFonts w:asciiTheme="minorHAnsi" w:hAnsiTheme="minorHAnsi" w:cstheme="minorHAnsi"/>
        </w:rPr>
        <w:t xml:space="preserve"> </w:t>
      </w:r>
      <w:r w:rsidR="00E33921" w:rsidRPr="00360A0A">
        <w:rPr>
          <w:rFonts w:asciiTheme="minorHAnsi" w:hAnsiTheme="minorHAnsi" w:cstheme="minorHAnsi"/>
        </w:rPr>
        <w:t>the</w:t>
      </w:r>
      <w:r w:rsidR="00360A0A" w:rsidRPr="00360A0A">
        <w:rPr>
          <w:rFonts w:asciiTheme="minorHAnsi" w:hAnsiTheme="minorHAnsi" w:cstheme="minorHAnsi"/>
        </w:rPr>
        <w:t xml:space="preserve"> </w:t>
      </w:r>
      <w:r w:rsidR="00E33921" w:rsidRPr="00360A0A">
        <w:rPr>
          <w:rFonts w:asciiTheme="minorHAnsi" w:hAnsiTheme="minorHAnsi" w:cstheme="minorHAnsi"/>
        </w:rPr>
        <w:t>Secretariat</w:t>
      </w:r>
      <w:r w:rsidR="00360A0A" w:rsidRPr="00360A0A">
        <w:rPr>
          <w:rFonts w:asciiTheme="minorHAnsi" w:hAnsiTheme="minorHAnsi" w:cstheme="minorHAnsi"/>
        </w:rPr>
        <w:t xml:space="preserve"> </w:t>
      </w:r>
      <w:r w:rsidR="00E33921" w:rsidRPr="00360A0A">
        <w:rPr>
          <w:rFonts w:asciiTheme="minorHAnsi" w:hAnsiTheme="minorHAnsi" w:cstheme="minorHAnsi"/>
        </w:rPr>
        <w:t>can</w:t>
      </w:r>
      <w:r w:rsidR="00360A0A" w:rsidRPr="00360A0A">
        <w:rPr>
          <w:rFonts w:asciiTheme="minorHAnsi" w:hAnsiTheme="minorHAnsi" w:cstheme="minorHAnsi"/>
        </w:rPr>
        <w:t xml:space="preserve"> </w:t>
      </w:r>
      <w:r w:rsidR="00FA6C0C">
        <w:rPr>
          <w:rFonts w:asciiTheme="minorHAnsi" w:hAnsiTheme="minorHAnsi" w:cstheme="minorHAnsi"/>
        </w:rPr>
        <w:t>publish them</w:t>
      </w:r>
      <w:r w:rsidR="00360A0A" w:rsidRPr="00360A0A">
        <w:rPr>
          <w:rFonts w:asciiTheme="minorHAnsi" w:hAnsiTheme="minorHAnsi" w:cstheme="minorHAnsi"/>
        </w:rPr>
        <w:t xml:space="preserve"> </w:t>
      </w:r>
      <w:r w:rsidR="00E33921" w:rsidRPr="00360A0A">
        <w:rPr>
          <w:rFonts w:asciiTheme="minorHAnsi" w:hAnsiTheme="minorHAnsi" w:cstheme="minorHAnsi"/>
        </w:rPr>
        <w:t>on</w:t>
      </w:r>
      <w:r w:rsidR="00360A0A" w:rsidRPr="00360A0A">
        <w:rPr>
          <w:rFonts w:asciiTheme="minorHAnsi" w:hAnsiTheme="minorHAnsi" w:cstheme="minorHAnsi"/>
        </w:rPr>
        <w:t xml:space="preserve"> </w:t>
      </w:r>
      <w:r w:rsidR="00E33921" w:rsidRPr="00360A0A">
        <w:rPr>
          <w:rFonts w:asciiTheme="minorHAnsi" w:hAnsiTheme="minorHAnsi" w:cstheme="minorHAnsi"/>
        </w:rPr>
        <w:t>the</w:t>
      </w:r>
      <w:r w:rsidR="00360A0A" w:rsidRPr="00360A0A">
        <w:rPr>
          <w:rFonts w:asciiTheme="minorHAnsi" w:hAnsiTheme="minorHAnsi" w:cstheme="minorHAnsi"/>
        </w:rPr>
        <w:t xml:space="preserve"> </w:t>
      </w:r>
      <w:r w:rsidR="00944A2C" w:rsidRPr="00360A0A">
        <w:rPr>
          <w:rFonts w:asciiTheme="minorHAnsi" w:hAnsiTheme="minorHAnsi" w:cstheme="minorHAnsi"/>
        </w:rPr>
        <w:t>Convention</w:t>
      </w:r>
      <w:r w:rsidR="001C2C01">
        <w:rPr>
          <w:rFonts w:asciiTheme="minorHAnsi" w:hAnsiTheme="minorHAnsi" w:cstheme="minorHAnsi"/>
        </w:rPr>
        <w:t>’</w:t>
      </w:r>
      <w:r w:rsidR="00944A2C" w:rsidRPr="00360A0A">
        <w:rPr>
          <w:rFonts w:asciiTheme="minorHAnsi" w:hAnsiTheme="minorHAnsi" w:cstheme="minorHAnsi"/>
        </w:rPr>
        <w:t>s</w:t>
      </w:r>
      <w:r w:rsidR="00360A0A" w:rsidRPr="00360A0A">
        <w:rPr>
          <w:rFonts w:asciiTheme="minorHAnsi" w:hAnsiTheme="minorHAnsi" w:cstheme="minorHAnsi"/>
        </w:rPr>
        <w:t xml:space="preserve"> </w:t>
      </w:r>
      <w:r w:rsidR="00944A2C" w:rsidRPr="00360A0A">
        <w:rPr>
          <w:rFonts w:asciiTheme="minorHAnsi" w:hAnsiTheme="minorHAnsi" w:cstheme="minorHAnsi"/>
        </w:rPr>
        <w:t>website.</w:t>
      </w:r>
      <w:r w:rsidR="00360A0A" w:rsidRPr="00360A0A">
        <w:rPr>
          <w:rFonts w:asciiTheme="minorHAnsi" w:hAnsiTheme="minorHAnsi" w:cstheme="minorHAnsi"/>
        </w:rPr>
        <w:t xml:space="preserve"> </w:t>
      </w:r>
      <w:r w:rsidR="00973345" w:rsidRPr="00360A0A">
        <w:rPr>
          <w:rFonts w:asciiTheme="minorHAnsi" w:hAnsiTheme="minorHAnsi" w:cstheme="minorHAnsi"/>
        </w:rPr>
        <w:t>The</w:t>
      </w:r>
      <w:r w:rsidR="00360A0A" w:rsidRPr="00360A0A">
        <w:rPr>
          <w:rFonts w:asciiTheme="minorHAnsi" w:hAnsiTheme="minorHAnsi" w:cstheme="minorHAnsi"/>
        </w:rPr>
        <w:t xml:space="preserve"> </w:t>
      </w:r>
      <w:r w:rsidR="00973345" w:rsidRPr="00360A0A">
        <w:rPr>
          <w:rFonts w:asciiTheme="minorHAnsi" w:hAnsiTheme="minorHAnsi" w:cstheme="minorHAnsi"/>
        </w:rPr>
        <w:t>number</w:t>
      </w:r>
      <w:r w:rsidR="00360A0A" w:rsidRPr="00360A0A">
        <w:rPr>
          <w:rFonts w:asciiTheme="minorHAnsi" w:hAnsiTheme="minorHAnsi" w:cstheme="minorHAnsi"/>
        </w:rPr>
        <w:t xml:space="preserve"> </w:t>
      </w:r>
      <w:r w:rsidR="00973345" w:rsidRPr="00360A0A">
        <w:rPr>
          <w:rFonts w:asciiTheme="minorHAnsi" w:hAnsiTheme="minorHAnsi" w:cstheme="minorHAnsi"/>
        </w:rPr>
        <w:t>of</w:t>
      </w:r>
      <w:r w:rsidR="00360A0A" w:rsidRPr="00360A0A">
        <w:rPr>
          <w:rFonts w:asciiTheme="minorHAnsi" w:hAnsiTheme="minorHAnsi" w:cstheme="minorHAnsi"/>
        </w:rPr>
        <w:t xml:space="preserve"> </w:t>
      </w:r>
      <w:r w:rsidR="00944A2C" w:rsidRPr="00360A0A">
        <w:rPr>
          <w:rFonts w:asciiTheme="minorHAnsi" w:hAnsiTheme="minorHAnsi" w:cstheme="minorHAnsi"/>
        </w:rPr>
        <w:t>documents</w:t>
      </w:r>
      <w:r w:rsidR="00360A0A" w:rsidRPr="00360A0A">
        <w:rPr>
          <w:rFonts w:asciiTheme="minorHAnsi" w:hAnsiTheme="minorHAnsi" w:cstheme="minorHAnsi"/>
        </w:rPr>
        <w:t xml:space="preserve"> </w:t>
      </w:r>
      <w:r w:rsidR="00944A2C" w:rsidRPr="00360A0A">
        <w:rPr>
          <w:rFonts w:asciiTheme="minorHAnsi" w:hAnsiTheme="minorHAnsi" w:cstheme="minorHAnsi"/>
        </w:rPr>
        <w:t>in</w:t>
      </w:r>
      <w:r w:rsidR="00360A0A" w:rsidRPr="00360A0A">
        <w:rPr>
          <w:rFonts w:asciiTheme="minorHAnsi" w:hAnsiTheme="minorHAnsi" w:cstheme="minorHAnsi"/>
        </w:rPr>
        <w:t xml:space="preserve"> </w:t>
      </w:r>
      <w:r w:rsidR="00944A2C" w:rsidRPr="00360A0A">
        <w:rPr>
          <w:rFonts w:asciiTheme="minorHAnsi" w:hAnsiTheme="minorHAnsi" w:cstheme="minorHAnsi"/>
        </w:rPr>
        <w:t>languages</w:t>
      </w:r>
      <w:r w:rsidR="00360A0A" w:rsidRPr="00360A0A">
        <w:rPr>
          <w:rFonts w:asciiTheme="minorHAnsi" w:hAnsiTheme="minorHAnsi" w:cstheme="minorHAnsi"/>
        </w:rPr>
        <w:t xml:space="preserve"> </w:t>
      </w:r>
      <w:r w:rsidR="00944A2C" w:rsidRPr="00360A0A">
        <w:rPr>
          <w:rFonts w:asciiTheme="minorHAnsi" w:hAnsiTheme="minorHAnsi" w:cstheme="minorHAnsi"/>
        </w:rPr>
        <w:t>other</w:t>
      </w:r>
      <w:r w:rsidR="00360A0A" w:rsidRPr="00360A0A">
        <w:rPr>
          <w:rFonts w:asciiTheme="minorHAnsi" w:hAnsiTheme="minorHAnsi" w:cstheme="minorHAnsi"/>
        </w:rPr>
        <w:t xml:space="preserve"> </w:t>
      </w:r>
      <w:r w:rsidR="00944A2C" w:rsidRPr="00360A0A">
        <w:rPr>
          <w:rFonts w:asciiTheme="minorHAnsi" w:hAnsiTheme="minorHAnsi" w:cstheme="minorHAnsi"/>
        </w:rPr>
        <w:t>than</w:t>
      </w:r>
      <w:r w:rsidR="00360A0A" w:rsidRPr="00360A0A">
        <w:rPr>
          <w:rFonts w:asciiTheme="minorHAnsi" w:hAnsiTheme="minorHAnsi" w:cstheme="minorHAnsi"/>
        </w:rPr>
        <w:t xml:space="preserve"> </w:t>
      </w:r>
      <w:r w:rsidR="00944A2C" w:rsidRPr="00360A0A">
        <w:rPr>
          <w:rFonts w:asciiTheme="minorHAnsi" w:hAnsiTheme="minorHAnsi" w:cstheme="minorHAnsi"/>
        </w:rPr>
        <w:t>English,</w:t>
      </w:r>
      <w:r w:rsidR="00360A0A" w:rsidRPr="00360A0A">
        <w:rPr>
          <w:rFonts w:asciiTheme="minorHAnsi" w:hAnsiTheme="minorHAnsi" w:cstheme="minorHAnsi"/>
        </w:rPr>
        <w:t xml:space="preserve"> </w:t>
      </w:r>
      <w:r w:rsidR="00944A2C" w:rsidRPr="00360A0A">
        <w:rPr>
          <w:rFonts w:asciiTheme="minorHAnsi" w:hAnsiTheme="minorHAnsi" w:cstheme="minorHAnsi"/>
        </w:rPr>
        <w:t>French</w:t>
      </w:r>
      <w:r w:rsidR="00360A0A" w:rsidRPr="00360A0A">
        <w:rPr>
          <w:rFonts w:asciiTheme="minorHAnsi" w:hAnsiTheme="minorHAnsi" w:cstheme="minorHAnsi"/>
        </w:rPr>
        <w:t xml:space="preserve"> </w:t>
      </w:r>
      <w:r w:rsidR="00944A2C" w:rsidRPr="00360A0A">
        <w:rPr>
          <w:rFonts w:asciiTheme="minorHAnsi" w:hAnsiTheme="minorHAnsi" w:cstheme="minorHAnsi"/>
        </w:rPr>
        <w:t>and</w:t>
      </w:r>
      <w:r w:rsidR="00360A0A" w:rsidRPr="00360A0A">
        <w:rPr>
          <w:rFonts w:asciiTheme="minorHAnsi" w:hAnsiTheme="minorHAnsi" w:cstheme="minorHAnsi"/>
        </w:rPr>
        <w:t xml:space="preserve"> </w:t>
      </w:r>
      <w:r w:rsidR="00944A2C" w:rsidRPr="00360A0A">
        <w:rPr>
          <w:rFonts w:asciiTheme="minorHAnsi" w:hAnsiTheme="minorHAnsi" w:cstheme="minorHAnsi"/>
        </w:rPr>
        <w:t>Spanish</w:t>
      </w:r>
      <w:r w:rsidR="00360A0A" w:rsidRPr="00360A0A">
        <w:rPr>
          <w:rFonts w:asciiTheme="minorHAnsi" w:hAnsiTheme="minorHAnsi" w:cstheme="minorHAnsi"/>
        </w:rPr>
        <w:t xml:space="preserve"> </w:t>
      </w:r>
      <w:r w:rsidR="00944A2C" w:rsidRPr="00360A0A">
        <w:rPr>
          <w:rFonts w:asciiTheme="minorHAnsi" w:hAnsiTheme="minorHAnsi" w:cstheme="minorHAnsi"/>
        </w:rPr>
        <w:t>on</w:t>
      </w:r>
      <w:r w:rsidR="00360A0A" w:rsidRPr="00360A0A">
        <w:rPr>
          <w:rFonts w:asciiTheme="minorHAnsi" w:hAnsiTheme="minorHAnsi" w:cstheme="minorHAnsi"/>
        </w:rPr>
        <w:t xml:space="preserve"> </w:t>
      </w:r>
      <w:r w:rsidR="00944A2C" w:rsidRPr="00360A0A">
        <w:rPr>
          <w:rFonts w:asciiTheme="minorHAnsi" w:hAnsiTheme="minorHAnsi" w:cstheme="minorHAnsi"/>
        </w:rPr>
        <w:t>the</w:t>
      </w:r>
      <w:r w:rsidR="00360A0A" w:rsidRPr="00360A0A">
        <w:rPr>
          <w:rFonts w:asciiTheme="minorHAnsi" w:hAnsiTheme="minorHAnsi" w:cstheme="minorHAnsi"/>
        </w:rPr>
        <w:t xml:space="preserve"> </w:t>
      </w:r>
      <w:r w:rsidR="00944A2C" w:rsidRPr="00360A0A">
        <w:rPr>
          <w:rFonts w:asciiTheme="minorHAnsi" w:hAnsiTheme="minorHAnsi" w:cstheme="minorHAnsi"/>
        </w:rPr>
        <w:t>Convention</w:t>
      </w:r>
      <w:r w:rsidR="00360A0A" w:rsidRPr="00360A0A">
        <w:rPr>
          <w:rFonts w:asciiTheme="minorHAnsi" w:hAnsiTheme="minorHAnsi" w:cstheme="minorHAnsi"/>
        </w:rPr>
        <w:t xml:space="preserve"> </w:t>
      </w:r>
      <w:r w:rsidR="00036238" w:rsidRPr="00360A0A">
        <w:rPr>
          <w:rFonts w:asciiTheme="minorHAnsi" w:hAnsiTheme="minorHAnsi" w:cstheme="minorHAnsi"/>
        </w:rPr>
        <w:t>website</w:t>
      </w:r>
      <w:r w:rsidR="00360A0A" w:rsidRPr="00360A0A">
        <w:rPr>
          <w:rFonts w:asciiTheme="minorHAnsi" w:hAnsiTheme="minorHAnsi" w:cstheme="minorHAnsi"/>
        </w:rPr>
        <w:t xml:space="preserve"> </w:t>
      </w:r>
      <w:r w:rsidR="00036238" w:rsidRPr="00360A0A">
        <w:rPr>
          <w:rFonts w:asciiTheme="minorHAnsi" w:hAnsiTheme="minorHAnsi" w:cstheme="minorHAnsi"/>
        </w:rPr>
        <w:t>has</w:t>
      </w:r>
      <w:r w:rsidR="00360A0A" w:rsidRPr="00360A0A">
        <w:rPr>
          <w:rFonts w:asciiTheme="minorHAnsi" w:hAnsiTheme="minorHAnsi" w:cstheme="minorHAnsi"/>
        </w:rPr>
        <w:t xml:space="preserve"> </w:t>
      </w:r>
      <w:r w:rsidR="00036238" w:rsidRPr="00360A0A">
        <w:rPr>
          <w:rFonts w:asciiTheme="minorHAnsi" w:hAnsiTheme="minorHAnsi" w:cstheme="minorHAnsi"/>
        </w:rPr>
        <w:t>increased</w:t>
      </w:r>
      <w:r w:rsidR="00360A0A" w:rsidRPr="00360A0A">
        <w:rPr>
          <w:rFonts w:asciiTheme="minorHAnsi" w:hAnsiTheme="minorHAnsi" w:cstheme="minorHAnsi"/>
        </w:rPr>
        <w:t xml:space="preserve"> </w:t>
      </w:r>
      <w:r w:rsidR="00973345" w:rsidRPr="00360A0A">
        <w:rPr>
          <w:rFonts w:asciiTheme="minorHAnsi" w:hAnsiTheme="minorHAnsi" w:cstheme="minorHAnsi"/>
        </w:rPr>
        <w:t>from</w:t>
      </w:r>
      <w:r w:rsidR="00360A0A" w:rsidRPr="00360A0A">
        <w:rPr>
          <w:rFonts w:asciiTheme="minorHAnsi" w:hAnsiTheme="minorHAnsi" w:cstheme="minorHAnsi"/>
        </w:rPr>
        <w:t xml:space="preserve"> </w:t>
      </w:r>
      <w:r w:rsidR="00006D5B" w:rsidRPr="00360A0A">
        <w:rPr>
          <w:rFonts w:asciiTheme="minorHAnsi" w:hAnsiTheme="minorHAnsi" w:cstheme="minorHAnsi"/>
        </w:rPr>
        <w:t>197</w:t>
      </w:r>
      <w:r w:rsidR="008115A5">
        <w:rPr>
          <w:rFonts w:asciiTheme="minorHAnsi" w:hAnsiTheme="minorHAnsi" w:cstheme="minorHAnsi"/>
        </w:rPr>
        <w:t xml:space="preserve"> to 20</w:t>
      </w:r>
      <w:r w:rsidR="00EA3EAE">
        <w:rPr>
          <w:rFonts w:asciiTheme="minorHAnsi" w:hAnsiTheme="minorHAnsi" w:cstheme="minorHAnsi"/>
        </w:rPr>
        <w:t>6</w:t>
      </w:r>
      <w:r w:rsidR="00196386">
        <w:rPr>
          <w:rFonts w:asciiTheme="minorHAnsi" w:hAnsiTheme="minorHAnsi" w:cstheme="minorHAnsi"/>
        </w:rPr>
        <w:t>.</w:t>
      </w:r>
    </w:p>
    <w:p w14:paraId="1B5D1352" w14:textId="7C60DA9E" w:rsidR="001F3FB4" w:rsidRPr="00360A0A" w:rsidRDefault="001F3FB4" w:rsidP="005972E9">
      <w:pPr>
        <w:rPr>
          <w:rFonts w:asciiTheme="minorHAnsi" w:hAnsiTheme="minorHAnsi" w:cstheme="minorHAnsi"/>
        </w:rPr>
      </w:pPr>
    </w:p>
    <w:p w14:paraId="678EEB2E" w14:textId="408ED2C3" w:rsidR="000D4770" w:rsidRPr="00360A0A" w:rsidRDefault="005D6E99" w:rsidP="005972E9">
      <w:pPr>
        <w:rPr>
          <w:rFonts w:asciiTheme="minorHAnsi" w:hAnsiTheme="minorHAnsi" w:cstheme="minorHAnsi"/>
          <w:lang w:val="en-US"/>
        </w:rPr>
      </w:pPr>
      <w:r w:rsidRPr="00696195">
        <w:rPr>
          <w:rFonts w:asciiTheme="minorHAnsi" w:hAnsiTheme="minorHAnsi" w:cstheme="minorHAnsi"/>
          <w:lang w:val="en-US"/>
        </w:rPr>
        <w:t>1</w:t>
      </w:r>
      <w:r w:rsidR="004A0CC9">
        <w:rPr>
          <w:rFonts w:asciiTheme="minorHAnsi" w:hAnsiTheme="minorHAnsi" w:cstheme="minorHAnsi"/>
          <w:lang w:val="en-US"/>
        </w:rPr>
        <w:t>9</w:t>
      </w:r>
      <w:r w:rsidRPr="00696195">
        <w:rPr>
          <w:rFonts w:asciiTheme="minorHAnsi" w:hAnsiTheme="minorHAnsi" w:cstheme="minorHAnsi"/>
          <w:lang w:val="en-US"/>
        </w:rPr>
        <w:t>.</w:t>
      </w:r>
      <w:r w:rsidRPr="00696195">
        <w:rPr>
          <w:rFonts w:asciiTheme="minorHAnsi" w:hAnsiTheme="minorHAnsi" w:cstheme="minorHAnsi"/>
          <w:lang w:val="en-US"/>
        </w:rPr>
        <w:tab/>
      </w:r>
      <w:r w:rsidR="000D4770" w:rsidRPr="00696195">
        <w:rPr>
          <w:rFonts w:asciiTheme="minorHAnsi" w:hAnsiTheme="minorHAnsi" w:cstheme="minorHAnsi"/>
          <w:lang w:val="en-US"/>
        </w:rPr>
        <w:t>The</w:t>
      </w:r>
      <w:r w:rsidR="00F005EE">
        <w:rPr>
          <w:rFonts w:asciiTheme="minorHAnsi" w:hAnsiTheme="minorHAnsi" w:cstheme="minorHAnsi"/>
          <w:lang w:val="en-US"/>
        </w:rPr>
        <w:t xml:space="preserve"> Secretariat continues to standardize its practices and systems in its support to the meetings and processes of the governing and subsidiary bodies of the Convention. </w:t>
      </w:r>
      <w:r w:rsidR="00754308">
        <w:rPr>
          <w:rFonts w:asciiTheme="minorHAnsi" w:hAnsiTheme="minorHAnsi" w:cstheme="minorHAnsi"/>
          <w:lang w:val="en-US"/>
        </w:rPr>
        <w:t>All related data and information is managed through a</w:t>
      </w:r>
      <w:r w:rsidR="000D4770" w:rsidRPr="00696195">
        <w:rPr>
          <w:rFonts w:asciiTheme="minorHAnsi" w:hAnsiTheme="minorHAnsi" w:cstheme="minorHAnsi"/>
          <w:lang w:val="en-US"/>
        </w:rPr>
        <w:t xml:space="preserve"> </w:t>
      </w:r>
      <w:r w:rsidR="00BA2A58">
        <w:rPr>
          <w:rFonts w:asciiTheme="minorHAnsi" w:hAnsiTheme="minorHAnsi" w:cstheme="minorHAnsi"/>
          <w:lang w:val="en-US"/>
        </w:rPr>
        <w:t>constituent</w:t>
      </w:r>
      <w:r w:rsidR="00EA682D">
        <w:rPr>
          <w:rFonts w:asciiTheme="minorHAnsi" w:hAnsiTheme="minorHAnsi" w:cstheme="minorHAnsi"/>
          <w:lang w:val="en-US"/>
        </w:rPr>
        <w:t xml:space="preserve"> relationship management (CRM)</w:t>
      </w:r>
      <w:r w:rsidR="00BA2A58">
        <w:rPr>
          <w:rFonts w:asciiTheme="minorHAnsi" w:hAnsiTheme="minorHAnsi" w:cstheme="minorHAnsi"/>
          <w:lang w:val="en-US"/>
        </w:rPr>
        <w:t xml:space="preserve"> </w:t>
      </w:r>
      <w:r w:rsidR="000D4770" w:rsidRPr="00696195">
        <w:rPr>
          <w:rFonts w:asciiTheme="minorHAnsi" w:hAnsiTheme="minorHAnsi" w:cstheme="minorHAnsi"/>
          <w:lang w:val="en-US"/>
        </w:rPr>
        <w:t xml:space="preserve">system </w:t>
      </w:r>
      <w:r w:rsidR="00754308">
        <w:rPr>
          <w:rFonts w:asciiTheme="minorHAnsi" w:hAnsiTheme="minorHAnsi" w:cstheme="minorHAnsi"/>
          <w:lang w:val="en-US"/>
        </w:rPr>
        <w:t xml:space="preserve">that </w:t>
      </w:r>
      <w:r w:rsidR="000D4770" w:rsidRPr="00696195">
        <w:rPr>
          <w:rFonts w:asciiTheme="minorHAnsi" w:hAnsiTheme="minorHAnsi" w:cstheme="minorHAnsi"/>
          <w:lang w:val="en-US"/>
        </w:rPr>
        <w:t>cont</w:t>
      </w:r>
      <w:r w:rsidR="00696195">
        <w:rPr>
          <w:rFonts w:asciiTheme="minorHAnsi" w:hAnsiTheme="minorHAnsi" w:cstheme="minorHAnsi"/>
          <w:lang w:val="en-US"/>
        </w:rPr>
        <w:t xml:space="preserve">inues to </w:t>
      </w:r>
      <w:r w:rsidR="00196386">
        <w:rPr>
          <w:rFonts w:asciiTheme="minorHAnsi" w:hAnsiTheme="minorHAnsi" w:cstheme="minorHAnsi"/>
          <w:lang w:val="en-US"/>
        </w:rPr>
        <w:t xml:space="preserve">be enhanced to efficiently manage </w:t>
      </w:r>
      <w:r w:rsidR="000D4770" w:rsidRPr="00696195">
        <w:rPr>
          <w:rFonts w:asciiTheme="minorHAnsi" w:hAnsiTheme="minorHAnsi" w:cstheme="minorHAnsi"/>
          <w:lang w:val="en-US"/>
        </w:rPr>
        <w:t>mailing</w:t>
      </w:r>
      <w:r w:rsidR="00696195" w:rsidRPr="00696195">
        <w:rPr>
          <w:rFonts w:asciiTheme="minorHAnsi" w:hAnsiTheme="minorHAnsi" w:cstheme="minorHAnsi"/>
          <w:lang w:val="en-US"/>
        </w:rPr>
        <w:t>s</w:t>
      </w:r>
      <w:r w:rsidR="000F1EC2">
        <w:rPr>
          <w:rFonts w:asciiTheme="minorHAnsi" w:hAnsiTheme="minorHAnsi" w:cstheme="minorHAnsi"/>
          <w:lang w:val="en-US"/>
        </w:rPr>
        <w:t>, correspondence and</w:t>
      </w:r>
      <w:r w:rsidR="000D4770" w:rsidRPr="00696195">
        <w:rPr>
          <w:rFonts w:asciiTheme="minorHAnsi" w:hAnsiTheme="minorHAnsi" w:cstheme="minorHAnsi"/>
          <w:lang w:val="en-US"/>
        </w:rPr>
        <w:t xml:space="preserve"> meeting registration processes.</w:t>
      </w:r>
      <w:r w:rsidR="00696195">
        <w:rPr>
          <w:rFonts w:asciiTheme="minorHAnsi" w:hAnsiTheme="minorHAnsi" w:cstheme="minorHAnsi"/>
          <w:lang w:val="en-US"/>
        </w:rPr>
        <w:t xml:space="preserve"> It is </w:t>
      </w:r>
      <w:r w:rsidR="000F1EC2">
        <w:rPr>
          <w:rFonts w:asciiTheme="minorHAnsi" w:hAnsiTheme="minorHAnsi" w:cstheme="minorHAnsi"/>
          <w:lang w:val="en-US"/>
        </w:rPr>
        <w:t xml:space="preserve">now </w:t>
      </w:r>
      <w:r w:rsidR="000D4770" w:rsidRPr="00696195">
        <w:rPr>
          <w:rFonts w:asciiTheme="minorHAnsi" w:hAnsiTheme="minorHAnsi" w:cstheme="minorHAnsi"/>
          <w:lang w:val="en-US"/>
        </w:rPr>
        <w:t xml:space="preserve">used for all correspondence with Contracting Parties and for </w:t>
      </w:r>
      <w:r w:rsidR="00731B6E" w:rsidRPr="00696195">
        <w:rPr>
          <w:rFonts w:asciiTheme="minorHAnsi" w:hAnsiTheme="minorHAnsi" w:cstheme="minorHAnsi"/>
          <w:lang w:val="en-US"/>
        </w:rPr>
        <w:t xml:space="preserve">supporting </w:t>
      </w:r>
      <w:r w:rsidR="000D4770" w:rsidRPr="00696195">
        <w:rPr>
          <w:rFonts w:asciiTheme="minorHAnsi" w:hAnsiTheme="minorHAnsi" w:cstheme="minorHAnsi"/>
          <w:lang w:val="en-US"/>
        </w:rPr>
        <w:t xml:space="preserve">meetings including the </w:t>
      </w:r>
      <w:r w:rsidR="002D4B96" w:rsidRPr="00696195">
        <w:rPr>
          <w:rFonts w:asciiTheme="minorHAnsi" w:hAnsiTheme="minorHAnsi" w:cstheme="minorHAnsi"/>
          <w:lang w:val="en-US"/>
        </w:rPr>
        <w:t xml:space="preserve">SC58 virtual meetings, the </w:t>
      </w:r>
      <w:r w:rsidR="000D4770" w:rsidRPr="00696195">
        <w:rPr>
          <w:rFonts w:asciiTheme="minorHAnsi" w:hAnsiTheme="minorHAnsi" w:cstheme="minorHAnsi"/>
          <w:lang w:val="en-US"/>
        </w:rPr>
        <w:t>intersessional</w:t>
      </w:r>
      <w:r w:rsidR="00731B6E" w:rsidRPr="00696195">
        <w:rPr>
          <w:rFonts w:asciiTheme="minorHAnsi" w:hAnsiTheme="minorHAnsi" w:cstheme="minorHAnsi"/>
          <w:lang w:val="en-US"/>
        </w:rPr>
        <w:t xml:space="preserve"> process</w:t>
      </w:r>
      <w:r w:rsidR="000D4770" w:rsidRPr="00696195">
        <w:rPr>
          <w:rFonts w:asciiTheme="minorHAnsi" w:hAnsiTheme="minorHAnsi" w:cstheme="minorHAnsi"/>
          <w:lang w:val="en-US"/>
        </w:rPr>
        <w:t xml:space="preserve"> of the Standing Committee</w:t>
      </w:r>
      <w:r w:rsidR="002D4B96" w:rsidRPr="00696195">
        <w:rPr>
          <w:rFonts w:asciiTheme="minorHAnsi" w:hAnsiTheme="minorHAnsi" w:cstheme="minorHAnsi"/>
          <w:lang w:val="en-US"/>
        </w:rPr>
        <w:t>,</w:t>
      </w:r>
      <w:r w:rsidR="008115A5" w:rsidRPr="00696195">
        <w:rPr>
          <w:rFonts w:asciiTheme="minorHAnsi" w:hAnsiTheme="minorHAnsi" w:cstheme="minorHAnsi"/>
          <w:lang w:val="en-US"/>
        </w:rPr>
        <w:t xml:space="preserve"> </w:t>
      </w:r>
      <w:r w:rsidR="000D4770" w:rsidRPr="00696195">
        <w:rPr>
          <w:rFonts w:asciiTheme="minorHAnsi" w:hAnsiTheme="minorHAnsi" w:cstheme="minorHAnsi"/>
          <w:lang w:val="en-US"/>
        </w:rPr>
        <w:t>meetings of the subgroups</w:t>
      </w:r>
      <w:r w:rsidR="002D4B96" w:rsidRPr="00696195">
        <w:rPr>
          <w:rFonts w:asciiTheme="minorHAnsi" w:hAnsiTheme="minorHAnsi" w:cstheme="minorHAnsi"/>
          <w:lang w:val="en-US"/>
        </w:rPr>
        <w:t xml:space="preserve"> and working groups</w:t>
      </w:r>
      <w:r w:rsidR="008159BA">
        <w:rPr>
          <w:rFonts w:asciiTheme="minorHAnsi" w:hAnsiTheme="minorHAnsi" w:cstheme="minorHAnsi"/>
          <w:lang w:val="en-US"/>
        </w:rPr>
        <w:t>,</w:t>
      </w:r>
      <w:r w:rsidR="002D4B96" w:rsidRPr="00696195">
        <w:rPr>
          <w:rFonts w:asciiTheme="minorHAnsi" w:hAnsiTheme="minorHAnsi" w:cstheme="minorHAnsi"/>
          <w:lang w:val="en-US"/>
        </w:rPr>
        <w:t xml:space="preserve"> and</w:t>
      </w:r>
      <w:r w:rsidR="008115A5" w:rsidRPr="00696195">
        <w:rPr>
          <w:rFonts w:asciiTheme="minorHAnsi" w:hAnsiTheme="minorHAnsi" w:cstheme="minorHAnsi"/>
          <w:lang w:val="en-US"/>
        </w:rPr>
        <w:t xml:space="preserve"> </w:t>
      </w:r>
      <w:r w:rsidR="000D4770" w:rsidRPr="00696195">
        <w:rPr>
          <w:rFonts w:asciiTheme="minorHAnsi" w:hAnsiTheme="minorHAnsi" w:cstheme="minorHAnsi"/>
          <w:lang w:val="en-US"/>
        </w:rPr>
        <w:t xml:space="preserve">the </w:t>
      </w:r>
      <w:r w:rsidR="002D4B96" w:rsidRPr="00696195">
        <w:rPr>
          <w:rFonts w:asciiTheme="minorHAnsi" w:hAnsiTheme="minorHAnsi" w:cstheme="minorHAnsi"/>
          <w:lang w:val="en-US"/>
        </w:rPr>
        <w:t>series of</w:t>
      </w:r>
      <w:r w:rsidR="000D4770" w:rsidRPr="00696195">
        <w:rPr>
          <w:rFonts w:asciiTheme="minorHAnsi" w:hAnsiTheme="minorHAnsi" w:cstheme="minorHAnsi"/>
          <w:lang w:val="en-US"/>
        </w:rPr>
        <w:t xml:space="preserve"> capacity</w:t>
      </w:r>
      <w:r w:rsidR="00BA2A58">
        <w:rPr>
          <w:rFonts w:asciiTheme="minorHAnsi" w:hAnsiTheme="minorHAnsi" w:cstheme="minorHAnsi"/>
          <w:lang w:val="en-US"/>
        </w:rPr>
        <w:t>-</w:t>
      </w:r>
      <w:r w:rsidR="000D4770" w:rsidRPr="00696195">
        <w:rPr>
          <w:rFonts w:asciiTheme="minorHAnsi" w:hAnsiTheme="minorHAnsi" w:cstheme="minorHAnsi"/>
          <w:lang w:val="en-US"/>
        </w:rPr>
        <w:t>building webinars</w:t>
      </w:r>
      <w:r w:rsidR="002D4B96" w:rsidRPr="00696195">
        <w:rPr>
          <w:rFonts w:asciiTheme="minorHAnsi" w:hAnsiTheme="minorHAnsi" w:cstheme="minorHAnsi"/>
          <w:lang w:val="en-US"/>
        </w:rPr>
        <w:t xml:space="preserve"> that were </w:t>
      </w:r>
      <w:r w:rsidR="00E979E1">
        <w:rPr>
          <w:rFonts w:asciiTheme="minorHAnsi" w:hAnsiTheme="minorHAnsi" w:cstheme="minorHAnsi"/>
          <w:lang w:val="en-US"/>
        </w:rPr>
        <w:t>hosted</w:t>
      </w:r>
      <w:r w:rsidR="002D4B96" w:rsidRPr="00696195">
        <w:rPr>
          <w:rFonts w:asciiTheme="minorHAnsi" w:hAnsiTheme="minorHAnsi" w:cstheme="minorHAnsi"/>
          <w:lang w:val="en-US"/>
        </w:rPr>
        <w:t xml:space="preserve"> during the year.</w:t>
      </w:r>
      <w:r w:rsidR="008159BA">
        <w:rPr>
          <w:rFonts w:asciiTheme="minorHAnsi" w:hAnsiTheme="minorHAnsi" w:cstheme="minorHAnsi"/>
          <w:lang w:val="en-US"/>
        </w:rPr>
        <w:t xml:space="preserve"> </w:t>
      </w:r>
      <w:r w:rsidR="00754308">
        <w:rPr>
          <w:rFonts w:asciiTheme="minorHAnsi" w:hAnsiTheme="minorHAnsi" w:cstheme="minorHAnsi"/>
          <w:lang w:val="en-US"/>
        </w:rPr>
        <w:t>I</w:t>
      </w:r>
      <w:r w:rsidR="002D4B96" w:rsidRPr="00696195">
        <w:rPr>
          <w:rFonts w:asciiTheme="minorHAnsi" w:hAnsiTheme="minorHAnsi" w:cstheme="minorHAnsi"/>
          <w:lang w:val="en-US"/>
        </w:rPr>
        <w:t xml:space="preserve">t </w:t>
      </w:r>
      <w:r w:rsidR="00754308">
        <w:rPr>
          <w:rFonts w:asciiTheme="minorHAnsi" w:hAnsiTheme="minorHAnsi" w:cstheme="minorHAnsi"/>
          <w:lang w:val="en-US"/>
        </w:rPr>
        <w:t>is being</w:t>
      </w:r>
      <w:r w:rsidR="00013A89">
        <w:rPr>
          <w:rFonts w:asciiTheme="minorHAnsi" w:hAnsiTheme="minorHAnsi" w:cstheme="minorHAnsi"/>
          <w:lang w:val="en-US"/>
        </w:rPr>
        <w:t xml:space="preserve"> </w:t>
      </w:r>
      <w:r w:rsidR="002D4B96" w:rsidRPr="00696195">
        <w:rPr>
          <w:rFonts w:asciiTheme="minorHAnsi" w:hAnsiTheme="minorHAnsi" w:cstheme="minorHAnsi"/>
          <w:lang w:val="en-US"/>
        </w:rPr>
        <w:t>used in the preparation and management of</w:t>
      </w:r>
      <w:r w:rsidR="000D4770" w:rsidRPr="00696195">
        <w:rPr>
          <w:rFonts w:asciiTheme="minorHAnsi" w:hAnsiTheme="minorHAnsi" w:cstheme="minorHAnsi"/>
          <w:lang w:val="en-US"/>
        </w:rPr>
        <w:t xml:space="preserve"> SC59. Thanks to the central tracking </w:t>
      </w:r>
      <w:r w:rsidR="002D4B96" w:rsidRPr="00696195">
        <w:rPr>
          <w:rFonts w:asciiTheme="minorHAnsi" w:hAnsiTheme="minorHAnsi" w:cstheme="minorHAnsi"/>
          <w:lang w:val="en-US"/>
        </w:rPr>
        <w:t xml:space="preserve">provided by the CRM </w:t>
      </w:r>
      <w:r w:rsidR="000D4770" w:rsidRPr="00696195">
        <w:rPr>
          <w:rFonts w:asciiTheme="minorHAnsi" w:hAnsiTheme="minorHAnsi" w:cstheme="minorHAnsi"/>
          <w:lang w:val="en-US"/>
        </w:rPr>
        <w:t xml:space="preserve">the Secretariat has better visibility on participation and can </w:t>
      </w:r>
      <w:r w:rsidR="002D4B96" w:rsidRPr="00696195">
        <w:rPr>
          <w:rFonts w:asciiTheme="minorHAnsi" w:hAnsiTheme="minorHAnsi" w:cstheme="minorHAnsi"/>
          <w:lang w:val="en-US"/>
        </w:rPr>
        <w:t xml:space="preserve">more </w:t>
      </w:r>
      <w:r w:rsidR="000D4770" w:rsidRPr="00696195">
        <w:rPr>
          <w:rFonts w:asciiTheme="minorHAnsi" w:hAnsiTheme="minorHAnsi" w:cstheme="minorHAnsi"/>
          <w:lang w:val="en-US"/>
        </w:rPr>
        <w:t>efficiently organize meetings and communicate with participants.</w:t>
      </w:r>
      <w:r w:rsidR="00E979E1">
        <w:rPr>
          <w:rFonts w:asciiTheme="minorHAnsi" w:hAnsiTheme="minorHAnsi" w:cstheme="minorHAnsi"/>
          <w:lang w:val="en-US"/>
        </w:rPr>
        <w:t xml:space="preserve"> The CRM now allows the Secretariat to quickly report on gender participation in all meetings and events hosted by the Secretariat. </w:t>
      </w:r>
      <w:r w:rsidR="00EA682D">
        <w:rPr>
          <w:rFonts w:asciiTheme="minorHAnsi" w:hAnsiTheme="minorHAnsi" w:cstheme="minorHAnsi"/>
          <w:lang w:val="en-US"/>
        </w:rPr>
        <w:t>The</w:t>
      </w:r>
      <w:r w:rsidR="008159BA">
        <w:rPr>
          <w:rFonts w:asciiTheme="minorHAnsi" w:hAnsiTheme="minorHAnsi" w:cstheme="minorHAnsi"/>
          <w:lang w:val="en-US"/>
        </w:rPr>
        <w:t xml:space="preserve"> </w:t>
      </w:r>
      <w:r w:rsidR="00754308">
        <w:rPr>
          <w:rFonts w:asciiTheme="minorHAnsi" w:hAnsiTheme="minorHAnsi" w:cstheme="minorHAnsi"/>
          <w:lang w:val="en-US"/>
        </w:rPr>
        <w:t xml:space="preserve">Secretariat is </w:t>
      </w:r>
      <w:r w:rsidR="008159BA">
        <w:rPr>
          <w:rFonts w:asciiTheme="minorHAnsi" w:hAnsiTheme="minorHAnsi" w:cstheme="minorHAnsi"/>
          <w:lang w:val="en-US"/>
        </w:rPr>
        <w:t xml:space="preserve">also </w:t>
      </w:r>
      <w:r w:rsidR="00754308">
        <w:rPr>
          <w:rFonts w:asciiTheme="minorHAnsi" w:hAnsiTheme="minorHAnsi" w:cstheme="minorHAnsi"/>
          <w:lang w:val="en-US"/>
        </w:rPr>
        <w:t xml:space="preserve">using a </w:t>
      </w:r>
      <w:r w:rsidR="002D4B96">
        <w:rPr>
          <w:rFonts w:asciiTheme="minorHAnsi" w:hAnsiTheme="minorHAnsi" w:cstheme="minorHAnsi"/>
          <w:lang w:val="en-US"/>
        </w:rPr>
        <w:t>project management tool</w:t>
      </w:r>
      <w:r w:rsidR="00754308">
        <w:rPr>
          <w:rFonts w:asciiTheme="minorHAnsi" w:hAnsiTheme="minorHAnsi" w:cstheme="minorHAnsi"/>
          <w:lang w:val="en-US"/>
        </w:rPr>
        <w:t xml:space="preserve"> called Basecamp</w:t>
      </w:r>
      <w:r w:rsidR="008159BA">
        <w:rPr>
          <w:rFonts w:asciiTheme="minorHAnsi" w:hAnsiTheme="minorHAnsi" w:cstheme="minorHAnsi"/>
          <w:lang w:val="en-US"/>
        </w:rPr>
        <w:t>, which</w:t>
      </w:r>
      <w:r w:rsidR="00754308">
        <w:rPr>
          <w:rFonts w:asciiTheme="minorHAnsi" w:hAnsiTheme="minorHAnsi" w:cstheme="minorHAnsi"/>
          <w:lang w:val="en-US"/>
        </w:rPr>
        <w:t xml:space="preserve"> helps </w:t>
      </w:r>
      <w:r w:rsidR="000D4770" w:rsidRPr="000D4770">
        <w:rPr>
          <w:rFonts w:asciiTheme="minorHAnsi" w:hAnsiTheme="minorHAnsi" w:cstheme="minorHAnsi"/>
          <w:lang w:val="en-US"/>
        </w:rPr>
        <w:t xml:space="preserve">to follow individualized timelines and work plans for the preparation of documents and enables real-time tracking of progress, document sharing among multiple contributors and early identification of potential </w:t>
      </w:r>
      <w:r w:rsidR="00E979E1">
        <w:rPr>
          <w:rFonts w:asciiTheme="minorHAnsi" w:hAnsiTheme="minorHAnsi" w:cstheme="minorHAnsi"/>
          <w:lang w:val="en-US"/>
        </w:rPr>
        <w:t xml:space="preserve">delays and </w:t>
      </w:r>
      <w:r w:rsidR="000D4770" w:rsidRPr="000D4770">
        <w:rPr>
          <w:rFonts w:asciiTheme="minorHAnsi" w:hAnsiTheme="minorHAnsi" w:cstheme="minorHAnsi"/>
          <w:lang w:val="en-US"/>
        </w:rPr>
        <w:t>bottlenecks</w:t>
      </w:r>
      <w:r w:rsidR="00754308">
        <w:rPr>
          <w:rFonts w:asciiTheme="minorHAnsi" w:hAnsiTheme="minorHAnsi" w:cstheme="minorHAnsi"/>
          <w:lang w:val="en-US"/>
        </w:rPr>
        <w:t xml:space="preserve">. It was </w:t>
      </w:r>
      <w:r w:rsidR="00754308" w:rsidRPr="000D4770">
        <w:rPr>
          <w:rFonts w:asciiTheme="minorHAnsi" w:hAnsiTheme="minorHAnsi" w:cstheme="minorHAnsi"/>
          <w:lang w:val="en-US"/>
        </w:rPr>
        <w:t>first used for SC58 f</w:t>
      </w:r>
      <w:r w:rsidR="00754308">
        <w:rPr>
          <w:rFonts w:asciiTheme="minorHAnsi" w:hAnsiTheme="minorHAnsi" w:cstheme="minorHAnsi"/>
          <w:lang w:val="en-US"/>
        </w:rPr>
        <w:t>or document preparation and it proved to be use</w:t>
      </w:r>
      <w:r w:rsidR="00BA2A58">
        <w:rPr>
          <w:rFonts w:asciiTheme="minorHAnsi" w:hAnsiTheme="minorHAnsi" w:cstheme="minorHAnsi"/>
          <w:lang w:val="en-US"/>
        </w:rPr>
        <w:t>ful. It is being used for SC59.</w:t>
      </w:r>
    </w:p>
    <w:p w14:paraId="70E11F92" w14:textId="77777777" w:rsidR="006752E9" w:rsidRPr="00360A0A" w:rsidRDefault="006752E9" w:rsidP="005972E9">
      <w:pPr>
        <w:pStyle w:val="ListParagraph"/>
        <w:ind w:left="425"/>
        <w:rPr>
          <w:rFonts w:asciiTheme="minorHAnsi" w:hAnsiTheme="minorHAnsi" w:cstheme="minorHAnsi"/>
          <w:lang w:val="en-US"/>
        </w:rPr>
      </w:pPr>
    </w:p>
    <w:p w14:paraId="180604B5" w14:textId="141A661B" w:rsidR="005F6682" w:rsidRDefault="004A0CC9" w:rsidP="005972E9">
      <w:pPr>
        <w:rPr>
          <w:rFonts w:asciiTheme="minorHAnsi" w:hAnsiTheme="minorHAnsi" w:cstheme="minorHAnsi"/>
        </w:rPr>
      </w:pPr>
      <w:r>
        <w:rPr>
          <w:rFonts w:asciiTheme="minorHAnsi" w:hAnsiTheme="minorHAnsi" w:cstheme="minorHAnsi"/>
        </w:rPr>
        <w:t>20.</w:t>
      </w:r>
      <w:r>
        <w:rPr>
          <w:rFonts w:asciiTheme="minorHAnsi" w:hAnsiTheme="minorHAnsi" w:cstheme="minorHAnsi"/>
        </w:rPr>
        <w:tab/>
      </w:r>
      <w:r w:rsidR="00E0707A">
        <w:rPr>
          <w:rFonts w:asciiTheme="minorHAnsi" w:hAnsiTheme="minorHAnsi" w:cstheme="minorHAnsi"/>
        </w:rPr>
        <w:t>However, the COVID</w:t>
      </w:r>
      <w:r w:rsidR="008159BA">
        <w:rPr>
          <w:rFonts w:asciiTheme="minorHAnsi" w:hAnsiTheme="minorHAnsi" w:cstheme="minorHAnsi"/>
        </w:rPr>
        <w:t>-19</w:t>
      </w:r>
      <w:r w:rsidR="00E0707A">
        <w:rPr>
          <w:rFonts w:asciiTheme="minorHAnsi" w:hAnsiTheme="minorHAnsi" w:cstheme="minorHAnsi"/>
        </w:rPr>
        <w:t xml:space="preserve"> pandemic has resulted in challenges for </w:t>
      </w:r>
      <w:r w:rsidR="008159BA">
        <w:rPr>
          <w:rFonts w:asciiTheme="minorHAnsi" w:hAnsiTheme="minorHAnsi" w:cstheme="minorHAnsi"/>
        </w:rPr>
        <w:t xml:space="preserve">Contracting </w:t>
      </w:r>
      <w:r w:rsidR="00E0707A">
        <w:rPr>
          <w:rFonts w:asciiTheme="minorHAnsi" w:hAnsiTheme="minorHAnsi" w:cstheme="minorHAnsi"/>
        </w:rPr>
        <w:t>Parties and the Secretariat in conducting the work of the Convention</w:t>
      </w:r>
      <w:r w:rsidR="001C2C01">
        <w:rPr>
          <w:rFonts w:asciiTheme="minorHAnsi" w:hAnsiTheme="minorHAnsi" w:cstheme="minorHAnsi"/>
        </w:rPr>
        <w:t>’</w:t>
      </w:r>
      <w:r w:rsidR="00E0707A">
        <w:rPr>
          <w:rFonts w:asciiTheme="minorHAnsi" w:hAnsiTheme="minorHAnsi" w:cstheme="minorHAnsi"/>
        </w:rPr>
        <w:t>s governing and subsidiary meetings. In particular, it was not possible in the reporting period to have face</w:t>
      </w:r>
      <w:r w:rsidR="008159BA">
        <w:rPr>
          <w:rFonts w:asciiTheme="minorHAnsi" w:hAnsiTheme="minorHAnsi" w:cstheme="minorHAnsi"/>
        </w:rPr>
        <w:t>-</w:t>
      </w:r>
      <w:r w:rsidR="00E0707A">
        <w:rPr>
          <w:rFonts w:asciiTheme="minorHAnsi" w:hAnsiTheme="minorHAnsi" w:cstheme="minorHAnsi"/>
        </w:rPr>
        <w:t>to</w:t>
      </w:r>
      <w:r w:rsidR="008159BA">
        <w:rPr>
          <w:rFonts w:asciiTheme="minorHAnsi" w:hAnsiTheme="minorHAnsi" w:cstheme="minorHAnsi"/>
        </w:rPr>
        <w:t>-</w:t>
      </w:r>
      <w:r w:rsidR="00E0707A">
        <w:rPr>
          <w:rFonts w:asciiTheme="minorHAnsi" w:hAnsiTheme="minorHAnsi" w:cstheme="minorHAnsi"/>
        </w:rPr>
        <w:t>face meetings. As mentioned above, the Secretariat supported decision</w:t>
      </w:r>
      <w:r w:rsidR="008159BA">
        <w:rPr>
          <w:rFonts w:asciiTheme="minorHAnsi" w:hAnsiTheme="minorHAnsi" w:cstheme="minorHAnsi"/>
        </w:rPr>
        <w:t>-</w:t>
      </w:r>
      <w:r w:rsidR="00E0707A">
        <w:rPr>
          <w:rFonts w:asciiTheme="minorHAnsi" w:hAnsiTheme="minorHAnsi" w:cstheme="minorHAnsi"/>
        </w:rPr>
        <w:t xml:space="preserve">making on prioritized issues and operation of Working Groups, using appropriate technologies. But working virtually, and with a home-based team, has resulted in increased work demands on the Secretariat as iterative </w:t>
      </w:r>
      <w:r w:rsidR="005744D3">
        <w:rPr>
          <w:rFonts w:asciiTheme="minorHAnsi" w:hAnsiTheme="minorHAnsi" w:cstheme="minorHAnsi"/>
        </w:rPr>
        <w:t xml:space="preserve">decision-making </w:t>
      </w:r>
      <w:r w:rsidR="00E0707A">
        <w:rPr>
          <w:rFonts w:asciiTheme="minorHAnsi" w:hAnsiTheme="minorHAnsi" w:cstheme="minorHAnsi"/>
        </w:rPr>
        <w:t xml:space="preserve">processes take more time, thus putting pressure on the limited capacities of the Secretariat. The Secretariat is also developing proposals and supporting Parties to manage </w:t>
      </w:r>
      <w:r w:rsidR="00E0707A">
        <w:rPr>
          <w:rFonts w:asciiTheme="minorHAnsi" w:hAnsiTheme="minorHAnsi" w:cstheme="minorHAnsi"/>
        </w:rPr>
        <w:lastRenderedPageBreak/>
        <w:t xml:space="preserve">uncertainties in moving forward towards </w:t>
      </w:r>
      <w:r w:rsidR="004C2206">
        <w:rPr>
          <w:rFonts w:asciiTheme="minorHAnsi" w:hAnsiTheme="minorHAnsi" w:cstheme="minorHAnsi"/>
        </w:rPr>
        <w:t>COP14.</w:t>
      </w:r>
      <w:r w:rsidR="00013A89">
        <w:rPr>
          <w:rFonts w:asciiTheme="minorHAnsi" w:hAnsiTheme="minorHAnsi" w:cstheme="minorHAnsi"/>
        </w:rPr>
        <w:t xml:space="preserve"> </w:t>
      </w:r>
      <w:r w:rsidR="00E0707A">
        <w:rPr>
          <w:rFonts w:asciiTheme="minorHAnsi" w:hAnsiTheme="minorHAnsi" w:cstheme="minorHAnsi"/>
        </w:rPr>
        <w:t>At the same time, it has been an opportunity to develop its ability to use technology and develop new approaches to serve Contracting Parties.</w:t>
      </w:r>
    </w:p>
    <w:p w14:paraId="22068485" w14:textId="6F169544" w:rsidR="00E0707A" w:rsidRDefault="00E0707A" w:rsidP="00623F05">
      <w:pPr>
        <w:ind w:left="0" w:firstLine="0"/>
        <w:rPr>
          <w:rFonts w:asciiTheme="minorHAnsi" w:hAnsiTheme="minorHAnsi" w:cstheme="minorHAnsi"/>
        </w:rPr>
      </w:pPr>
    </w:p>
    <w:p w14:paraId="39EF4CB3" w14:textId="77777777" w:rsidR="00E90337" w:rsidRPr="00360A0A" w:rsidRDefault="00E90337" w:rsidP="00623F05">
      <w:pPr>
        <w:ind w:left="0" w:firstLine="0"/>
        <w:rPr>
          <w:rFonts w:asciiTheme="minorHAnsi" w:hAnsiTheme="minorHAnsi" w:cstheme="minorHAnsi"/>
          <w:b/>
          <w:bCs/>
        </w:rPr>
      </w:pPr>
      <w:r w:rsidRPr="00360A0A">
        <w:rPr>
          <w:rFonts w:asciiTheme="minorHAnsi" w:hAnsiTheme="minorHAnsi" w:cstheme="minorHAnsi"/>
          <w:b/>
          <w:bCs/>
        </w:rPr>
        <w:t>Increasing</w:t>
      </w:r>
      <w:r w:rsidR="00360A0A" w:rsidRPr="00360A0A">
        <w:rPr>
          <w:rFonts w:asciiTheme="minorHAnsi" w:hAnsiTheme="minorHAnsi" w:cstheme="minorHAnsi"/>
          <w:b/>
          <w:bCs/>
        </w:rPr>
        <w:t xml:space="preserve"> </w:t>
      </w:r>
      <w:r w:rsidRPr="00360A0A">
        <w:rPr>
          <w:rFonts w:asciiTheme="minorHAnsi" w:hAnsiTheme="minorHAnsi" w:cstheme="minorHAnsi"/>
          <w:b/>
          <w:bCs/>
        </w:rPr>
        <w:t>relevance</w:t>
      </w:r>
      <w:r w:rsidR="00360A0A" w:rsidRPr="00360A0A">
        <w:rPr>
          <w:rFonts w:asciiTheme="minorHAnsi" w:hAnsiTheme="minorHAnsi" w:cstheme="minorHAnsi"/>
          <w:b/>
          <w:bCs/>
        </w:rPr>
        <w:t xml:space="preserve"> </w:t>
      </w:r>
      <w:r w:rsidRPr="00360A0A">
        <w:rPr>
          <w:rFonts w:asciiTheme="minorHAnsi" w:hAnsiTheme="minorHAnsi" w:cstheme="minorHAnsi"/>
          <w:b/>
          <w:bCs/>
        </w:rPr>
        <w:t>of</w:t>
      </w:r>
      <w:r w:rsidR="00360A0A" w:rsidRPr="00360A0A">
        <w:rPr>
          <w:rFonts w:asciiTheme="minorHAnsi" w:hAnsiTheme="minorHAnsi" w:cstheme="minorHAnsi"/>
          <w:b/>
          <w:bCs/>
        </w:rPr>
        <w:t xml:space="preserve"> </w:t>
      </w:r>
      <w:r w:rsidRPr="00360A0A">
        <w:rPr>
          <w:rFonts w:asciiTheme="minorHAnsi" w:hAnsiTheme="minorHAnsi" w:cstheme="minorHAnsi"/>
          <w:b/>
          <w:bCs/>
        </w:rPr>
        <w:t>wetlands</w:t>
      </w:r>
      <w:r w:rsidR="00360A0A" w:rsidRPr="00360A0A">
        <w:rPr>
          <w:rFonts w:asciiTheme="minorHAnsi" w:hAnsiTheme="minorHAnsi" w:cstheme="minorHAnsi"/>
          <w:b/>
          <w:bCs/>
        </w:rPr>
        <w:t xml:space="preserve"> </w:t>
      </w:r>
      <w:r w:rsidRPr="00360A0A">
        <w:rPr>
          <w:rFonts w:asciiTheme="minorHAnsi" w:hAnsiTheme="minorHAnsi" w:cstheme="minorHAnsi"/>
          <w:b/>
          <w:bCs/>
        </w:rPr>
        <w:t>and</w:t>
      </w:r>
      <w:r w:rsidR="00360A0A" w:rsidRPr="00360A0A">
        <w:rPr>
          <w:rFonts w:asciiTheme="minorHAnsi" w:hAnsiTheme="minorHAnsi" w:cstheme="minorHAnsi"/>
          <w:b/>
          <w:bCs/>
        </w:rPr>
        <w:t xml:space="preserve"> </w:t>
      </w:r>
      <w:r w:rsidRPr="00360A0A">
        <w:rPr>
          <w:rFonts w:asciiTheme="minorHAnsi" w:hAnsiTheme="minorHAnsi" w:cstheme="minorHAnsi"/>
          <w:b/>
          <w:bCs/>
        </w:rPr>
        <w:t>the</w:t>
      </w:r>
      <w:r w:rsidR="00360A0A" w:rsidRPr="00360A0A">
        <w:rPr>
          <w:rFonts w:asciiTheme="minorHAnsi" w:hAnsiTheme="minorHAnsi" w:cstheme="minorHAnsi"/>
          <w:b/>
          <w:bCs/>
        </w:rPr>
        <w:t xml:space="preserve"> </w:t>
      </w:r>
      <w:r w:rsidRPr="00360A0A">
        <w:rPr>
          <w:rFonts w:asciiTheme="minorHAnsi" w:hAnsiTheme="minorHAnsi" w:cstheme="minorHAnsi"/>
          <w:b/>
          <w:bCs/>
        </w:rPr>
        <w:t>Convention</w:t>
      </w:r>
      <w:r w:rsidR="00360A0A" w:rsidRPr="00360A0A">
        <w:rPr>
          <w:rFonts w:asciiTheme="minorHAnsi" w:hAnsiTheme="minorHAnsi" w:cstheme="minorHAnsi"/>
          <w:b/>
          <w:bCs/>
        </w:rPr>
        <w:t xml:space="preserve"> </w:t>
      </w:r>
      <w:r w:rsidRPr="00360A0A">
        <w:rPr>
          <w:rFonts w:asciiTheme="minorHAnsi" w:hAnsiTheme="minorHAnsi" w:cstheme="minorHAnsi"/>
          <w:b/>
          <w:bCs/>
        </w:rPr>
        <w:t>to</w:t>
      </w:r>
      <w:r w:rsidR="00360A0A" w:rsidRPr="00360A0A">
        <w:rPr>
          <w:rFonts w:asciiTheme="minorHAnsi" w:hAnsiTheme="minorHAnsi" w:cstheme="minorHAnsi"/>
          <w:b/>
          <w:bCs/>
        </w:rPr>
        <w:t xml:space="preserve"> </w:t>
      </w:r>
      <w:r w:rsidRPr="00360A0A">
        <w:rPr>
          <w:rFonts w:asciiTheme="minorHAnsi" w:hAnsiTheme="minorHAnsi" w:cstheme="minorHAnsi"/>
          <w:b/>
          <w:bCs/>
        </w:rPr>
        <w:t>global</w:t>
      </w:r>
      <w:r w:rsidR="00360A0A" w:rsidRPr="00360A0A">
        <w:rPr>
          <w:rFonts w:asciiTheme="minorHAnsi" w:hAnsiTheme="minorHAnsi" w:cstheme="minorHAnsi"/>
          <w:b/>
          <w:bCs/>
        </w:rPr>
        <w:t xml:space="preserve"> </w:t>
      </w:r>
      <w:r w:rsidRPr="00360A0A">
        <w:rPr>
          <w:rFonts w:asciiTheme="minorHAnsi" w:hAnsiTheme="minorHAnsi" w:cstheme="minorHAnsi"/>
          <w:b/>
          <w:bCs/>
        </w:rPr>
        <w:t>sustainable</w:t>
      </w:r>
      <w:r w:rsidR="00360A0A" w:rsidRPr="00360A0A">
        <w:rPr>
          <w:rFonts w:asciiTheme="minorHAnsi" w:hAnsiTheme="minorHAnsi" w:cstheme="minorHAnsi"/>
          <w:b/>
          <w:bCs/>
        </w:rPr>
        <w:t xml:space="preserve"> </w:t>
      </w:r>
      <w:r w:rsidRPr="00360A0A">
        <w:rPr>
          <w:rFonts w:asciiTheme="minorHAnsi" w:hAnsiTheme="minorHAnsi" w:cstheme="minorHAnsi"/>
          <w:b/>
          <w:bCs/>
        </w:rPr>
        <w:t>development</w:t>
      </w:r>
      <w:r w:rsidR="00360A0A" w:rsidRPr="00360A0A">
        <w:rPr>
          <w:rFonts w:asciiTheme="minorHAnsi" w:hAnsiTheme="minorHAnsi" w:cstheme="minorHAnsi"/>
          <w:b/>
          <w:bCs/>
        </w:rPr>
        <w:t xml:space="preserve"> </w:t>
      </w:r>
      <w:r w:rsidRPr="00360A0A">
        <w:rPr>
          <w:rFonts w:asciiTheme="minorHAnsi" w:hAnsiTheme="minorHAnsi" w:cstheme="minorHAnsi"/>
          <w:b/>
          <w:bCs/>
        </w:rPr>
        <w:t>policy</w:t>
      </w:r>
      <w:r w:rsidR="00360A0A" w:rsidRPr="00360A0A">
        <w:rPr>
          <w:rFonts w:asciiTheme="minorHAnsi" w:hAnsiTheme="minorHAnsi" w:cstheme="minorHAnsi"/>
          <w:b/>
          <w:bCs/>
        </w:rPr>
        <w:t xml:space="preserve"> </w:t>
      </w:r>
      <w:r w:rsidRPr="00360A0A">
        <w:rPr>
          <w:rFonts w:asciiTheme="minorHAnsi" w:hAnsiTheme="minorHAnsi" w:cstheme="minorHAnsi"/>
          <w:b/>
          <w:bCs/>
        </w:rPr>
        <w:t>objectives</w:t>
      </w:r>
    </w:p>
    <w:p w14:paraId="2C5E4AAB" w14:textId="77777777" w:rsidR="00E90337" w:rsidRPr="00360A0A" w:rsidRDefault="00E90337" w:rsidP="00623F05">
      <w:pPr>
        <w:ind w:left="0" w:firstLine="0"/>
        <w:rPr>
          <w:rFonts w:asciiTheme="minorHAnsi" w:hAnsiTheme="minorHAnsi" w:cstheme="minorHAnsi"/>
        </w:rPr>
      </w:pPr>
    </w:p>
    <w:p w14:paraId="38633B38" w14:textId="1B6081D4" w:rsidR="00F24640" w:rsidRPr="00360A0A" w:rsidRDefault="004A0CC9" w:rsidP="005972E9">
      <w:pPr>
        <w:rPr>
          <w:rFonts w:asciiTheme="minorHAnsi" w:hAnsiTheme="minorHAnsi" w:cstheme="minorHAnsi"/>
          <w:lang w:val="en-US"/>
        </w:rPr>
      </w:pPr>
      <w:r>
        <w:rPr>
          <w:rFonts w:asciiTheme="minorHAnsi" w:hAnsiTheme="minorHAnsi" w:cstheme="minorHAnsi"/>
          <w:lang w:val="en-US"/>
        </w:rPr>
        <w:t>21.</w:t>
      </w:r>
      <w:r w:rsidR="005D6E99" w:rsidRPr="00360A0A">
        <w:rPr>
          <w:rFonts w:asciiTheme="minorHAnsi" w:hAnsiTheme="minorHAnsi" w:cstheme="minorHAnsi"/>
          <w:lang w:val="en-US"/>
        </w:rPr>
        <w:tab/>
      </w:r>
      <w:r w:rsidR="0017087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170872"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170872"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170872"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170872" w:rsidRPr="00360A0A">
        <w:rPr>
          <w:rFonts w:asciiTheme="minorHAnsi" w:hAnsiTheme="minorHAnsi" w:cstheme="minorHAnsi"/>
          <w:lang w:val="en-US"/>
        </w:rPr>
        <w:t>strengthen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supporting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international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cooperation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enhancing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relevance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global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policy</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agend</w:t>
      </w:r>
      <w:r w:rsidR="00170872"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Given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2030</w:t>
      </w:r>
      <w:r w:rsidR="00360A0A" w:rsidRPr="00360A0A">
        <w:rPr>
          <w:rFonts w:asciiTheme="minorHAnsi" w:hAnsiTheme="minorHAnsi" w:cstheme="minorHAnsi"/>
          <w:lang w:val="en-US"/>
        </w:rPr>
        <w:t xml:space="preserve"> </w:t>
      </w:r>
      <w:r w:rsidR="00A97744" w:rsidRPr="00360A0A">
        <w:rPr>
          <w:rFonts w:asciiTheme="minorHAnsi" w:hAnsiTheme="minorHAnsi" w:cstheme="minorHAnsi"/>
          <w:lang w:val="en-US"/>
        </w:rPr>
        <w:t>Agenda</w:t>
      </w:r>
      <w:r w:rsidR="00360A0A" w:rsidRPr="00360A0A">
        <w:rPr>
          <w:rFonts w:asciiTheme="minorHAnsi" w:hAnsiTheme="minorHAnsi" w:cstheme="minorHAnsi"/>
          <w:lang w:val="en-US"/>
        </w:rPr>
        <w:t xml:space="preserve"> </w:t>
      </w:r>
      <w:r w:rsidR="00A97744"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Sustainable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Development</w:t>
      </w:r>
      <w:r w:rsidR="00925E8A"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Paris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Agreement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A97744" w:rsidRPr="00360A0A">
        <w:rPr>
          <w:rFonts w:asciiTheme="minorHAnsi" w:hAnsiTheme="minorHAnsi" w:cstheme="minorHAnsi"/>
          <w:lang w:val="en-US"/>
        </w:rPr>
        <w:t>climate</w:t>
      </w:r>
      <w:r w:rsidR="00360A0A" w:rsidRPr="00360A0A">
        <w:rPr>
          <w:rFonts w:asciiTheme="minorHAnsi" w:hAnsiTheme="minorHAnsi" w:cstheme="minorHAnsi"/>
          <w:lang w:val="en-US"/>
        </w:rPr>
        <w:t xml:space="preserve"> </w:t>
      </w:r>
      <w:r w:rsidR="00A97744" w:rsidRPr="00360A0A">
        <w:rPr>
          <w:rFonts w:asciiTheme="minorHAnsi" w:hAnsiTheme="minorHAnsi" w:cstheme="minorHAnsi"/>
          <w:lang w:val="en-US"/>
        </w:rPr>
        <w:t>change</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ongoing</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negotiation</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925E8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25E8A" w:rsidRPr="007E446B">
        <w:rPr>
          <w:rFonts w:asciiTheme="minorHAnsi" w:hAnsiTheme="minorHAnsi" w:cstheme="minorHAnsi"/>
          <w:lang w:val="en-US"/>
        </w:rPr>
        <w:t>post</w:t>
      </w:r>
      <w:r w:rsidR="007E446B" w:rsidRPr="007E446B">
        <w:rPr>
          <w:rFonts w:asciiTheme="minorHAnsi" w:hAnsiTheme="minorHAnsi" w:cstheme="minorHAnsi"/>
          <w:lang w:val="en-US"/>
        </w:rPr>
        <w:t>-</w:t>
      </w:r>
      <w:r w:rsidR="00925E8A" w:rsidRPr="007E446B">
        <w:rPr>
          <w:rFonts w:asciiTheme="minorHAnsi" w:hAnsiTheme="minorHAnsi" w:cstheme="minorHAnsi"/>
          <w:lang w:val="en-US"/>
        </w:rPr>
        <w:t>2020</w:t>
      </w:r>
      <w:r w:rsidR="00360A0A" w:rsidRPr="007E446B">
        <w:rPr>
          <w:rFonts w:asciiTheme="minorHAnsi" w:hAnsiTheme="minorHAnsi" w:cstheme="minorHAnsi"/>
          <w:lang w:val="en-US"/>
        </w:rPr>
        <w:t xml:space="preserve"> </w:t>
      </w:r>
      <w:r w:rsidR="00925E8A" w:rsidRPr="007E446B">
        <w:rPr>
          <w:rFonts w:asciiTheme="minorHAnsi" w:hAnsiTheme="minorHAnsi" w:cstheme="minorHAnsi"/>
          <w:lang w:val="en-US"/>
        </w:rPr>
        <w:t>global</w:t>
      </w:r>
      <w:r w:rsidR="00360A0A" w:rsidRPr="007E446B">
        <w:rPr>
          <w:rFonts w:asciiTheme="minorHAnsi" w:hAnsiTheme="minorHAnsi" w:cstheme="minorHAnsi"/>
          <w:lang w:val="en-US"/>
        </w:rPr>
        <w:t xml:space="preserve"> </w:t>
      </w:r>
      <w:r w:rsidR="00925E8A" w:rsidRPr="007E446B">
        <w:rPr>
          <w:rFonts w:asciiTheme="minorHAnsi" w:hAnsiTheme="minorHAnsi" w:cstheme="minorHAnsi"/>
          <w:lang w:val="en-US"/>
        </w:rPr>
        <w:t>biodiversity</w:t>
      </w:r>
      <w:r w:rsidR="00360A0A" w:rsidRPr="007E446B">
        <w:rPr>
          <w:rFonts w:asciiTheme="minorHAnsi" w:hAnsiTheme="minorHAnsi" w:cstheme="minorHAnsi"/>
          <w:lang w:val="en-US"/>
        </w:rPr>
        <w:t xml:space="preserve"> </w:t>
      </w:r>
      <w:r w:rsidR="00925E8A" w:rsidRPr="007E446B">
        <w:rPr>
          <w:rFonts w:asciiTheme="minorHAnsi" w:hAnsiTheme="minorHAnsi" w:cstheme="minorHAnsi"/>
          <w:lang w:val="en-US"/>
        </w:rPr>
        <w:t>framework</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are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driving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national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international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planning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funding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efforts,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increased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attention</w:t>
      </w:r>
      <w:r w:rsidR="00360A0A" w:rsidRPr="00360A0A">
        <w:rPr>
          <w:rFonts w:asciiTheme="minorHAnsi" w:hAnsiTheme="minorHAnsi" w:cstheme="minorHAnsi"/>
          <w:lang w:val="en-US"/>
        </w:rPr>
        <w:t xml:space="preserve"> </w:t>
      </w:r>
      <w:r w:rsidR="00E979E1">
        <w:rPr>
          <w:rFonts w:asciiTheme="minorHAnsi" w:hAnsiTheme="minorHAnsi" w:cstheme="minorHAnsi"/>
          <w:lang w:val="en-US"/>
        </w:rPr>
        <w:t xml:space="preserve">continues to be </w:t>
      </w:r>
      <w:r w:rsidR="007E446B">
        <w:rPr>
          <w:rFonts w:asciiTheme="minorHAnsi" w:hAnsiTheme="minorHAnsi" w:cstheme="minorHAnsi"/>
          <w:lang w:val="en-US"/>
        </w:rPr>
        <w:t>paid</w:t>
      </w:r>
      <w:r w:rsidR="007E446B" w:rsidRPr="00360A0A">
        <w:rPr>
          <w:rFonts w:asciiTheme="minorHAnsi" w:hAnsiTheme="minorHAnsi" w:cstheme="minorHAnsi"/>
          <w:lang w:val="en-US"/>
        </w:rPr>
        <w:t xml:space="preserve"> </w:t>
      </w:r>
      <w:r w:rsidR="00E9033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ensure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under</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contribute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these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policy</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frameworks.</w:t>
      </w:r>
      <w:r w:rsidR="00360A0A" w:rsidRPr="00360A0A">
        <w:rPr>
          <w:rFonts w:asciiTheme="minorHAnsi" w:hAnsiTheme="minorHAnsi" w:cstheme="minorHAnsi"/>
          <w:lang w:val="en-US"/>
        </w:rPr>
        <w:t xml:space="preserve"> </w:t>
      </w:r>
    </w:p>
    <w:p w14:paraId="51E3968E" w14:textId="77777777" w:rsidR="00170872" w:rsidRPr="00360A0A" w:rsidRDefault="00170872" w:rsidP="005972E9">
      <w:pPr>
        <w:rPr>
          <w:rFonts w:asciiTheme="minorHAnsi" w:hAnsiTheme="minorHAnsi" w:cstheme="minorHAnsi"/>
          <w:lang w:val="en-US"/>
        </w:rPr>
      </w:pPr>
    </w:p>
    <w:p w14:paraId="23139CCE" w14:textId="2B1003F3" w:rsidR="007E152D" w:rsidRDefault="004A0CC9" w:rsidP="005972E9">
      <w:r>
        <w:rPr>
          <w:rFonts w:asciiTheme="minorHAnsi" w:hAnsiTheme="minorHAnsi" w:cstheme="minorHAnsi"/>
          <w:lang w:val="en-US"/>
        </w:rPr>
        <w:t>22</w:t>
      </w:r>
      <w:r w:rsidR="005D6E99" w:rsidRPr="00360A0A">
        <w:rPr>
          <w:rFonts w:asciiTheme="minorHAnsi" w:hAnsiTheme="minorHAnsi" w:cstheme="minorHAnsi"/>
          <w:lang w:val="en-US"/>
        </w:rPr>
        <w:t>.</w:t>
      </w:r>
      <w:r w:rsidR="005D6E99" w:rsidRPr="00360A0A">
        <w:rPr>
          <w:rFonts w:asciiTheme="minorHAnsi" w:hAnsiTheme="minorHAnsi" w:cstheme="minorHAnsi"/>
          <w:lang w:val="en-US"/>
        </w:rPr>
        <w:tab/>
      </w:r>
      <w:r w:rsidR="00266B80">
        <w:rPr>
          <w:rFonts w:asciiTheme="minorHAnsi" w:hAnsiTheme="minorHAnsi" w:cstheme="minorHAnsi"/>
          <w:lang w:val="en-US"/>
        </w:rPr>
        <w:t>A</w:t>
      </w:r>
      <w:r w:rsidR="00266B80" w:rsidRPr="00360A0A">
        <w:rPr>
          <w:rFonts w:asciiTheme="minorHAnsi" w:hAnsiTheme="minorHAnsi" w:cstheme="minorHAnsi"/>
          <w:lang w:val="en-US"/>
        </w:rPr>
        <w:t xml:space="preserve">s </w:t>
      </w:r>
      <w:r w:rsidR="00266B80">
        <w:rPr>
          <w:rFonts w:asciiTheme="minorHAnsi" w:hAnsiTheme="minorHAnsi" w:cstheme="minorHAnsi"/>
          <w:lang w:val="en-US"/>
        </w:rPr>
        <w:t>instructed</w:t>
      </w:r>
      <w:r w:rsidR="00266B80" w:rsidRPr="00360A0A">
        <w:rPr>
          <w:rFonts w:asciiTheme="minorHAnsi" w:hAnsiTheme="minorHAnsi" w:cstheme="minorHAnsi"/>
          <w:lang w:val="en-US"/>
        </w:rPr>
        <w:t xml:space="preserve"> in </w:t>
      </w:r>
      <w:r w:rsidR="00266B80" w:rsidRPr="009C2848">
        <w:rPr>
          <w:rFonts w:eastAsia="Times New Roman" w:cstheme="minorHAnsi"/>
          <w:lang w:eastAsia="en-GB"/>
        </w:rPr>
        <w:t>Resolution XIII.7</w:t>
      </w:r>
      <w:r w:rsidR="00266B80">
        <w:rPr>
          <w:rFonts w:eastAsia="Times New Roman" w:cstheme="minorHAnsi"/>
          <w:lang w:eastAsia="en-GB"/>
        </w:rPr>
        <w:t xml:space="preserve"> and </w:t>
      </w:r>
      <w:r w:rsidR="00266B80" w:rsidRPr="00360A0A">
        <w:rPr>
          <w:rFonts w:asciiTheme="minorHAnsi" w:hAnsiTheme="minorHAnsi" w:cstheme="minorHAnsi"/>
          <w:lang w:val="en-US"/>
        </w:rPr>
        <w:t>Decision SC53-17</w:t>
      </w:r>
      <w:r w:rsidR="00C52B0C">
        <w:rPr>
          <w:rFonts w:asciiTheme="minorHAnsi" w:hAnsiTheme="minorHAnsi" w:cstheme="minorHAnsi"/>
          <w:lang w:val="en-US"/>
        </w:rPr>
        <w:t>,</w:t>
      </w:r>
      <w:r w:rsidR="00266B80">
        <w:rPr>
          <w:rFonts w:asciiTheme="minorHAnsi" w:hAnsiTheme="minorHAnsi" w:cstheme="minorHAnsi"/>
          <w:lang w:val="en-US"/>
        </w:rPr>
        <w:t xml:space="preserve"> t</w:t>
      </w:r>
      <w:r w:rsidR="004221B3" w:rsidRPr="00360A0A">
        <w:rPr>
          <w:rFonts w:asciiTheme="minorHAnsi" w:hAnsiTheme="minorHAnsi" w:cstheme="minorHAnsi"/>
          <w:lang w:val="en-US"/>
        </w:rPr>
        <w: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actively</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engage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discussions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regarding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achievement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w:t>
      </w:r>
      <w:r w:rsidR="00032078">
        <w:rPr>
          <w:rFonts w:asciiTheme="minorHAnsi" w:hAnsiTheme="minorHAnsi" w:cstheme="minorHAnsi"/>
          <w:lang w:val="en-US"/>
        </w:rPr>
        <w:t xml:space="preserve">ustainable </w:t>
      </w:r>
      <w:r w:rsidR="004221B3" w:rsidRPr="00360A0A">
        <w:rPr>
          <w:rFonts w:asciiTheme="minorHAnsi" w:hAnsiTheme="minorHAnsi" w:cstheme="minorHAnsi"/>
          <w:lang w:val="en-US"/>
        </w:rPr>
        <w:t>D</w:t>
      </w:r>
      <w:r w:rsidR="00032078">
        <w:rPr>
          <w:rFonts w:asciiTheme="minorHAnsi" w:hAnsiTheme="minorHAnsi" w:cstheme="minorHAnsi"/>
          <w:lang w:val="en-US"/>
        </w:rPr>
        <w:t xml:space="preserve">evelopment </w:t>
      </w:r>
      <w:r w:rsidR="004221B3" w:rsidRPr="00360A0A">
        <w:rPr>
          <w:rFonts w:asciiTheme="minorHAnsi" w:hAnsiTheme="minorHAnsi" w:cstheme="minorHAnsi"/>
          <w:lang w:val="en-US"/>
        </w:rPr>
        <w:t>G</w:t>
      </w:r>
      <w:r w:rsidR="00032078">
        <w:rPr>
          <w:rFonts w:asciiTheme="minorHAnsi" w:hAnsiTheme="minorHAnsi" w:cstheme="minorHAnsi"/>
          <w:lang w:val="en-US"/>
        </w:rPr>
        <w:t>oal</w:t>
      </w:r>
      <w:r w:rsidR="004221B3" w:rsidRPr="00360A0A">
        <w:rPr>
          <w:rFonts w:asciiTheme="minorHAnsi" w:hAnsiTheme="minorHAnsi" w:cstheme="minorHAnsi"/>
          <w:lang w:val="en-US"/>
        </w:rPr>
        <w:t>s</w:t>
      </w:r>
      <w:r w:rsidR="00174115">
        <w:rPr>
          <w:rFonts w:asciiTheme="minorHAnsi" w:hAnsiTheme="minorHAnsi" w:cstheme="minorHAnsi"/>
          <w:lang w:val="en-US"/>
        </w:rPr>
        <w:t xml:space="preserve"> (SDGs)</w:t>
      </w:r>
      <w:r w:rsidR="004221B3"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co-custodian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SDG</w:t>
      </w:r>
      <w:r w:rsidR="00355BC5">
        <w:rPr>
          <w:rFonts w:asciiTheme="minorHAnsi" w:hAnsiTheme="minorHAnsi" w:cstheme="minorHAnsi"/>
          <w:lang w:val="en-US"/>
        </w:rPr>
        <w:t xml:space="preserve"> 6</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Indicator</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6.6.1</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change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extent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water-related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ecosystems),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7E446B">
        <w:rPr>
          <w:rFonts w:asciiTheme="minorHAnsi" w:hAnsiTheme="minorHAnsi" w:cstheme="minorHAnsi"/>
          <w:lang w:val="en-US"/>
        </w:rPr>
        <w:t>instructed</w:t>
      </w:r>
      <w:r w:rsidR="007E446B"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Decision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SC53-17.</w:t>
      </w:r>
      <w:r w:rsidR="00360A0A" w:rsidRPr="00360A0A">
        <w:rPr>
          <w:rFonts w:asciiTheme="minorHAnsi" w:hAnsiTheme="minorHAnsi" w:cstheme="minorHAnsi"/>
          <w:lang w:val="en-US"/>
        </w:rPr>
        <w:t xml:space="preserve"> </w:t>
      </w:r>
      <w:r w:rsidR="00712B2A">
        <w:rPr>
          <w:rFonts w:asciiTheme="minorHAnsi" w:hAnsiTheme="minorHAnsi" w:cstheme="minorHAnsi"/>
          <w:lang w:val="en-US"/>
        </w:rPr>
        <w:t>T</w:t>
      </w:r>
      <w:r w:rsidR="00712B2A" w:rsidRPr="009C2848">
        <w:rPr>
          <w:rFonts w:eastAsia="Times New Roman" w:cstheme="minorHAnsi"/>
          <w:lang w:eastAsia="en-GB"/>
        </w:rPr>
        <w:t xml:space="preserve">he Secretariat participated in the </w:t>
      </w:r>
      <w:r w:rsidR="00A55F40" w:rsidRPr="006A2F5D">
        <w:rPr>
          <w:rFonts w:eastAsia="Times New Roman" w:cstheme="minorHAnsi"/>
          <w:lang w:eastAsia="en-GB"/>
        </w:rPr>
        <w:t>11th</w:t>
      </w:r>
      <w:r w:rsidR="00A55F40">
        <w:rPr>
          <w:rFonts w:eastAsia="Times New Roman" w:cstheme="minorHAnsi"/>
          <w:lang w:eastAsia="en-GB"/>
        </w:rPr>
        <w:t xml:space="preserve"> </w:t>
      </w:r>
      <w:r w:rsidR="00712B2A" w:rsidRPr="009C2848">
        <w:rPr>
          <w:rFonts w:eastAsia="Times New Roman" w:cstheme="minorHAnsi"/>
          <w:lang w:eastAsia="en-GB"/>
        </w:rPr>
        <w:t xml:space="preserve">meeting of the </w:t>
      </w:r>
      <w:r w:rsidR="006A2F5D" w:rsidRPr="006A2F5D">
        <w:rPr>
          <w:rFonts w:eastAsia="Times New Roman" w:cstheme="minorHAnsi"/>
          <w:lang w:eastAsia="en-GB"/>
        </w:rPr>
        <w:t>Inter-agency and Expert Group on SDG Indicators (IAEG-SDGs)</w:t>
      </w:r>
      <w:r w:rsidR="00712B2A" w:rsidRPr="009C2848">
        <w:rPr>
          <w:rFonts w:eastAsia="Times New Roman" w:cstheme="minorHAnsi"/>
          <w:lang w:eastAsia="en-GB"/>
        </w:rPr>
        <w:t xml:space="preserve">, which took place </w:t>
      </w:r>
      <w:r w:rsidR="006A2F5D">
        <w:rPr>
          <w:rFonts w:eastAsia="Times New Roman" w:cstheme="minorHAnsi"/>
          <w:lang w:eastAsia="en-GB"/>
        </w:rPr>
        <w:t>virtually</w:t>
      </w:r>
      <w:r w:rsidR="006A2F5D" w:rsidRPr="009C2848">
        <w:rPr>
          <w:rFonts w:eastAsia="Times New Roman" w:cstheme="minorHAnsi"/>
          <w:lang w:eastAsia="en-GB"/>
        </w:rPr>
        <w:t xml:space="preserve"> </w:t>
      </w:r>
      <w:r w:rsidR="00712B2A" w:rsidRPr="009C2848">
        <w:rPr>
          <w:rFonts w:eastAsia="Times New Roman" w:cstheme="minorHAnsi"/>
          <w:lang w:eastAsia="en-GB"/>
        </w:rPr>
        <w:t xml:space="preserve">from </w:t>
      </w:r>
      <w:r w:rsidR="00A55F40">
        <w:rPr>
          <w:rFonts w:eastAsia="Times New Roman" w:cstheme="minorHAnsi"/>
          <w:lang w:eastAsia="en-GB"/>
        </w:rPr>
        <w:t>3</w:t>
      </w:r>
      <w:r w:rsidR="006A2F5D">
        <w:rPr>
          <w:rFonts w:eastAsia="Times New Roman" w:cstheme="minorHAnsi"/>
          <w:lang w:eastAsia="en-GB"/>
        </w:rPr>
        <w:t xml:space="preserve"> to </w:t>
      </w:r>
      <w:r w:rsidR="00A55F40">
        <w:rPr>
          <w:rFonts w:eastAsia="Times New Roman" w:cstheme="minorHAnsi"/>
          <w:lang w:eastAsia="en-GB"/>
        </w:rPr>
        <w:t>5 November 2020. Main outcomes of this meeting were:</w:t>
      </w:r>
      <w:r w:rsidR="00712B2A">
        <w:t xml:space="preserve"> i) review of the tier classification of indicators and update on missing data submissions; ii) review </w:t>
      </w:r>
      <w:r w:rsidR="006A2F5D">
        <w:t xml:space="preserve">of </w:t>
      </w:r>
      <w:r w:rsidR="00712B2A">
        <w:t>the refinement proposals of the global SDG framework; iii) discuss</w:t>
      </w:r>
      <w:r w:rsidR="006A2F5D">
        <w:t>ion of</w:t>
      </w:r>
      <w:r w:rsidR="00712B2A">
        <w:t xml:space="preserve"> the COVID-19 pandemic and SDG indicators implementation; iii) the IAEG-SDGs work plan</w:t>
      </w:r>
      <w:r w:rsidR="006A2F5D">
        <w:t>s for November 2020-</w:t>
      </w:r>
      <w:r w:rsidR="00712B2A">
        <w:t xml:space="preserve">March 2021 and </w:t>
      </w:r>
      <w:r w:rsidR="006A2F5D">
        <w:t>for March 2021-</w:t>
      </w:r>
      <w:r w:rsidR="00712B2A">
        <w:t xml:space="preserve">February 2022. With the data provided by Contracting Parties </w:t>
      </w:r>
      <w:r w:rsidR="006A2F5D">
        <w:t>in</w:t>
      </w:r>
      <w:r w:rsidR="00712B2A">
        <w:t xml:space="preserve"> their National Reports to COP14 on </w:t>
      </w:r>
      <w:r w:rsidR="00355BC5">
        <w:t xml:space="preserve">SDG 6 </w:t>
      </w:r>
      <w:r w:rsidR="00712B2A">
        <w:t>Indicator 6.6.1</w:t>
      </w:r>
      <w:r w:rsidR="006A2F5D">
        <w:t>,</w:t>
      </w:r>
      <w:r w:rsidR="00712B2A">
        <w:t xml:space="preserve"> the Secretariat prepared a joint storyline with UNEP for the UN Secretary General Report for the High</w:t>
      </w:r>
      <w:r w:rsidR="00FE3A0A">
        <w:t xml:space="preserve"> </w:t>
      </w:r>
      <w:r w:rsidR="00712B2A">
        <w:t>Level Political Forum in July 2021.</w:t>
      </w:r>
    </w:p>
    <w:p w14:paraId="42734ECC" w14:textId="77777777" w:rsidR="007E152D" w:rsidRDefault="007E152D" w:rsidP="005972E9"/>
    <w:p w14:paraId="5CA2B848" w14:textId="6CFED5AE" w:rsidR="007E152D" w:rsidRPr="004A0CC9" w:rsidRDefault="004A0CC9" w:rsidP="004A0CC9">
      <w:pPr>
        <w:rPr>
          <w:rFonts w:asciiTheme="minorHAnsi" w:hAnsiTheme="minorHAnsi" w:cstheme="minorHAnsi"/>
          <w:lang w:val="en-US"/>
        </w:rPr>
      </w:pPr>
      <w:r>
        <w:rPr>
          <w:rFonts w:asciiTheme="minorHAnsi" w:hAnsiTheme="minorHAnsi" w:cstheme="minorHAnsi"/>
          <w:lang w:val="en-US"/>
        </w:rPr>
        <w:t>23.</w:t>
      </w:r>
      <w:r>
        <w:rPr>
          <w:rFonts w:asciiTheme="minorHAnsi" w:hAnsiTheme="minorHAnsi" w:cstheme="minorHAnsi"/>
          <w:lang w:val="en-US"/>
        </w:rPr>
        <w:tab/>
      </w:r>
      <w:r w:rsidR="00C939BC">
        <w:rPr>
          <w:rFonts w:asciiTheme="minorHAnsi" w:hAnsiTheme="minorHAnsi" w:cstheme="minorHAnsi"/>
          <w:lang w:val="en-US"/>
        </w:rPr>
        <w:t xml:space="preserve">On </w:t>
      </w:r>
      <w:r w:rsidR="003F6C96">
        <w:rPr>
          <w:rFonts w:asciiTheme="minorHAnsi" w:hAnsiTheme="minorHAnsi" w:cstheme="minorHAnsi"/>
          <w:lang w:val="en-US"/>
        </w:rPr>
        <w:t>18 March</w:t>
      </w:r>
      <w:r w:rsidR="00FE3A0A">
        <w:rPr>
          <w:rFonts w:asciiTheme="minorHAnsi" w:hAnsiTheme="minorHAnsi" w:cstheme="minorHAnsi"/>
          <w:lang w:val="en-US"/>
        </w:rPr>
        <w:t>,</w:t>
      </w:r>
      <w:r w:rsidR="003F6C96">
        <w:rPr>
          <w:rFonts w:asciiTheme="minorHAnsi" w:hAnsiTheme="minorHAnsi" w:cstheme="minorHAnsi"/>
          <w:lang w:val="en-US"/>
        </w:rPr>
        <w:t xml:space="preserve"> t</w:t>
      </w:r>
      <w:r w:rsidR="007E152D" w:rsidRPr="00275FB2">
        <w:rPr>
          <w:rFonts w:asciiTheme="minorHAnsi" w:hAnsiTheme="minorHAnsi" w:cstheme="minorHAnsi"/>
          <w:lang w:val="en-US"/>
        </w:rPr>
        <w:t>he Secretary General deliver</w:t>
      </w:r>
      <w:r w:rsidR="00920075">
        <w:rPr>
          <w:rFonts w:asciiTheme="minorHAnsi" w:hAnsiTheme="minorHAnsi" w:cstheme="minorHAnsi"/>
          <w:lang w:val="en-US"/>
        </w:rPr>
        <w:t>ed a recorded video statement</w:t>
      </w:r>
      <w:r w:rsidR="003F6C96" w:rsidRPr="003F6C96">
        <w:t xml:space="preserve"> </w:t>
      </w:r>
      <w:r w:rsidR="003F6C96" w:rsidRPr="003F6C96">
        <w:rPr>
          <w:rFonts w:asciiTheme="minorHAnsi" w:hAnsiTheme="minorHAnsi" w:cstheme="minorHAnsi"/>
          <w:lang w:val="en-US"/>
        </w:rPr>
        <w:t xml:space="preserve">at the high level meeting on the implementation of the water related goals </w:t>
      </w:r>
      <w:r w:rsidR="006A2F5D">
        <w:rPr>
          <w:rFonts w:asciiTheme="minorHAnsi" w:hAnsiTheme="minorHAnsi" w:cstheme="minorHAnsi"/>
          <w:lang w:val="en-US"/>
        </w:rPr>
        <w:t>and targets of the 2030 A</w:t>
      </w:r>
      <w:r w:rsidR="003F6C96" w:rsidRPr="003F6C96">
        <w:rPr>
          <w:rFonts w:asciiTheme="minorHAnsi" w:hAnsiTheme="minorHAnsi" w:cstheme="minorHAnsi"/>
          <w:lang w:val="en-US"/>
        </w:rPr>
        <w:t>genda</w:t>
      </w:r>
      <w:r>
        <w:rPr>
          <w:rFonts w:asciiTheme="minorHAnsi" w:hAnsiTheme="minorHAnsi" w:cstheme="minorHAnsi"/>
          <w:lang w:val="en-US"/>
        </w:rPr>
        <w:t xml:space="preserve"> </w:t>
      </w:r>
      <w:r w:rsidR="00275FB2" w:rsidRPr="00275FB2">
        <w:rPr>
          <w:rFonts w:asciiTheme="minorHAnsi" w:hAnsiTheme="minorHAnsi" w:cstheme="minorHAnsi"/>
          <w:lang w:val="en-US"/>
        </w:rPr>
        <w:t xml:space="preserve">convened by the </w:t>
      </w:r>
      <w:r w:rsidR="006E09BA">
        <w:rPr>
          <w:rFonts w:asciiTheme="minorHAnsi" w:hAnsiTheme="minorHAnsi" w:cstheme="minorHAnsi"/>
          <w:lang w:val="en-US"/>
        </w:rPr>
        <w:t xml:space="preserve">President of the </w:t>
      </w:r>
      <w:r w:rsidR="00275FB2" w:rsidRPr="00275FB2">
        <w:rPr>
          <w:rFonts w:asciiTheme="minorHAnsi" w:hAnsiTheme="minorHAnsi" w:cstheme="minorHAnsi"/>
          <w:lang w:val="en-US"/>
        </w:rPr>
        <w:t xml:space="preserve">General Assembly in </w:t>
      </w:r>
      <w:r w:rsidR="00275FB2" w:rsidRPr="00275FB2">
        <w:t xml:space="preserve">support of the implementation of the Decade on Water and Sustainable Development (2018-2028) and the </w:t>
      </w:r>
      <w:r w:rsidR="006A2F5D" w:rsidRPr="00275FB2">
        <w:t xml:space="preserve">High-Level Political Forum </w:t>
      </w:r>
      <w:r w:rsidR="00275FB2" w:rsidRPr="00275FB2">
        <w:t xml:space="preserve">on </w:t>
      </w:r>
      <w:r w:rsidR="006A2F5D" w:rsidRPr="00275FB2">
        <w:t xml:space="preserve">Sustainable Development </w:t>
      </w:r>
      <w:r w:rsidR="00275FB2" w:rsidRPr="00275FB2">
        <w:t>(HLPF).</w:t>
      </w:r>
      <w:r w:rsidR="00013A89">
        <w:rPr>
          <w:rFonts w:asciiTheme="minorHAnsi" w:hAnsiTheme="minorHAnsi" w:cstheme="minorHAnsi"/>
          <w:lang w:val="en-US"/>
        </w:rPr>
        <w:t xml:space="preserve">   </w:t>
      </w:r>
      <w:r w:rsidR="007E152D" w:rsidRPr="00275FB2">
        <w:t xml:space="preserve"> </w:t>
      </w:r>
    </w:p>
    <w:p w14:paraId="1CA0DFC6" w14:textId="77777777" w:rsidR="00820E54" w:rsidRPr="00360A0A" w:rsidRDefault="00820E54" w:rsidP="005972E9">
      <w:pPr>
        <w:rPr>
          <w:rFonts w:asciiTheme="minorHAnsi" w:hAnsiTheme="minorHAnsi" w:cstheme="minorHAnsi"/>
          <w:lang w:val="en-US"/>
        </w:rPr>
      </w:pPr>
    </w:p>
    <w:p w14:paraId="5FBA2EE6" w14:textId="23A62D6A" w:rsidR="00183ADA" w:rsidRPr="00183ADA" w:rsidRDefault="00DF267E" w:rsidP="005972E9">
      <w:pPr>
        <w:rPr>
          <w:rFonts w:asciiTheme="minorHAnsi" w:hAnsiTheme="minorHAnsi" w:cstheme="minorHAnsi"/>
          <w:lang w:val="en-US"/>
        </w:rPr>
      </w:pPr>
      <w:r>
        <w:rPr>
          <w:rFonts w:asciiTheme="minorHAnsi" w:hAnsiTheme="minorHAnsi" w:cstheme="minorHAnsi"/>
          <w:lang w:val="en-US"/>
        </w:rPr>
        <w:t>2</w:t>
      </w:r>
      <w:r w:rsidR="004A0CC9">
        <w:rPr>
          <w:rFonts w:asciiTheme="minorHAnsi" w:hAnsiTheme="minorHAnsi" w:cstheme="minorHAnsi"/>
          <w:lang w:val="en-US"/>
        </w:rPr>
        <w:t>4</w:t>
      </w:r>
      <w:r w:rsidR="005D6E99" w:rsidRPr="00360A0A">
        <w:rPr>
          <w:rFonts w:asciiTheme="minorHAnsi" w:hAnsiTheme="minorHAnsi" w:cstheme="minorHAnsi"/>
          <w:lang w:val="en-US"/>
        </w:rPr>
        <w:t>.</w:t>
      </w:r>
      <w:r w:rsidR="005D6E99" w:rsidRPr="00360A0A">
        <w:rPr>
          <w:rFonts w:asciiTheme="minorHAnsi" w:hAnsiTheme="minorHAnsi" w:cstheme="minorHAnsi"/>
          <w:lang w:val="en-US"/>
        </w:rPr>
        <w:tab/>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line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Resolution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XIII.7</w:t>
      </w:r>
      <w:r w:rsidR="00360A0A" w:rsidRPr="00360A0A">
        <w:rPr>
          <w:rFonts w:asciiTheme="minorHAnsi" w:hAnsiTheme="minorHAnsi" w:cstheme="minorHAnsi"/>
          <w:lang w:val="en-US"/>
        </w:rPr>
        <w:t xml:space="preserve"> </w:t>
      </w:r>
      <w:r w:rsidR="00187D9E">
        <w:rPr>
          <w:rFonts w:asciiTheme="minorHAnsi" w:hAnsiTheme="minorHAnsi" w:cstheme="minorHAnsi"/>
          <w:lang w:val="en-US"/>
        </w:rPr>
        <w:t xml:space="preserve">on </w:t>
      </w:r>
      <w:r w:rsidR="00187D9E" w:rsidRPr="00187D9E">
        <w:rPr>
          <w:i/>
        </w:rPr>
        <w:t>Enhancing the Convention</w:t>
      </w:r>
      <w:r w:rsidR="001C2C01">
        <w:rPr>
          <w:i/>
        </w:rPr>
        <w:t>’</w:t>
      </w:r>
      <w:r w:rsidR="00187D9E" w:rsidRPr="00187D9E">
        <w:rPr>
          <w:i/>
        </w:rPr>
        <w:t>s visibility and synergies with other multilateral environmental agreements and other international institutions</w:t>
      </w:r>
      <w:r w:rsidR="00187D9E">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32078" w:rsidRPr="00360A0A">
        <w:rPr>
          <w:rFonts w:asciiTheme="minorHAnsi" w:hAnsiTheme="minorHAnsi" w:cstheme="minorHAnsi"/>
          <w:lang w:val="en-US"/>
        </w:rPr>
        <w:t>Decision</w:t>
      </w:r>
      <w:r w:rsidR="00032078">
        <w:rPr>
          <w:rFonts w:asciiTheme="minorHAnsi" w:hAnsiTheme="minorHAnsi" w:cstheme="minorHAnsi"/>
          <w:lang w:val="en-US"/>
        </w:rPr>
        <w:t xml:space="preserve"> </w:t>
      </w:r>
      <w:r w:rsidR="004221B3" w:rsidRPr="00360A0A">
        <w:rPr>
          <w:rFonts w:asciiTheme="minorHAnsi" w:hAnsiTheme="minorHAnsi" w:cstheme="minorHAnsi"/>
          <w:lang w:val="en-US"/>
        </w:rPr>
        <w:t>SC57-47</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inventories,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55F40">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working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complete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refine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information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extent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submitted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National</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Reports</w:t>
      </w:r>
      <w:r w:rsidR="00794FC0"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94FC0"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develop</w:t>
      </w:r>
      <w:r w:rsidR="00712B2A">
        <w:rPr>
          <w:rFonts w:asciiTheme="minorHAnsi" w:hAnsiTheme="minorHAnsi" w:cstheme="minorHAnsi"/>
          <w:lang w:val="en-US"/>
        </w:rPr>
        <w:t xml:space="preserve">ed </w:t>
      </w:r>
      <w:r w:rsidR="0045064C">
        <w:rPr>
          <w:rFonts w:asciiTheme="minorHAnsi" w:hAnsiTheme="minorHAnsi" w:cstheme="minorHAnsi"/>
          <w:lang w:val="en-US"/>
        </w:rPr>
        <w:t xml:space="preserve">and launched </w:t>
      </w:r>
      <w:r w:rsidR="004221B3"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4221B3" w:rsidRPr="00A95A13">
        <w:rPr>
          <w:rFonts w:asciiTheme="minorHAnsi" w:hAnsiTheme="minorHAnsi" w:cstheme="minorHAnsi"/>
          <w:lang w:val="en-US"/>
        </w:rPr>
        <w:t>toolkit</w:t>
      </w:r>
      <w:r w:rsidR="00A95A13">
        <w:rPr>
          <w:rStyle w:val="FootnoteReference"/>
          <w:rFonts w:asciiTheme="minorHAnsi" w:hAnsiTheme="minorHAnsi" w:cstheme="minorHAnsi"/>
          <w:lang w:val="en-US"/>
        </w:rPr>
        <w:footnoteReference w:id="5"/>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B224FB"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A55F40">
        <w:rPr>
          <w:rFonts w:asciiTheme="minorHAnsi" w:hAnsiTheme="minorHAnsi" w:cstheme="minorHAnsi"/>
          <w:lang w:val="en-US"/>
        </w:rPr>
        <w:t>which</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includes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best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practices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addresses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identified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gaps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knowledge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through</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provision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guidance,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resources</w:t>
      </w:r>
      <w:r w:rsidR="00FE3A0A">
        <w:rPr>
          <w:rFonts w:asciiTheme="minorHAnsi" w:hAnsiTheme="minorHAnsi" w:cstheme="minorHAnsi"/>
          <w:lang w:val="en-US"/>
        </w:rPr>
        <w: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Earth</w:t>
      </w:r>
      <w:r w:rsidR="00360A0A" w:rsidRPr="00360A0A">
        <w:rPr>
          <w:rFonts w:asciiTheme="minorHAnsi" w:hAnsiTheme="minorHAnsi" w:cstheme="minorHAnsi"/>
          <w:lang w:val="en-US"/>
        </w:rPr>
        <w:t xml:space="preserve"> </w:t>
      </w:r>
      <w:r w:rsidR="00682219">
        <w:rPr>
          <w:rFonts w:asciiTheme="minorHAnsi" w:hAnsiTheme="minorHAnsi" w:cstheme="minorHAnsi"/>
          <w:lang w:val="en-US"/>
        </w:rPr>
        <w:t>o</w:t>
      </w:r>
      <w:r w:rsidR="00682219" w:rsidRPr="00360A0A">
        <w:rPr>
          <w:rFonts w:asciiTheme="minorHAnsi" w:hAnsiTheme="minorHAnsi" w:cstheme="minorHAnsi"/>
          <w:lang w:val="en-US"/>
        </w:rPr>
        <w:t xml:space="preserve">bservation </w:t>
      </w:r>
      <w:r w:rsidR="004221B3" w:rsidRPr="00360A0A">
        <w:rPr>
          <w:rFonts w:asciiTheme="minorHAnsi" w:hAnsiTheme="minorHAnsi" w:cstheme="minorHAnsi"/>
          <w:lang w:val="en-US"/>
        </w:rPr>
        <w:t>tools</w:t>
      </w:r>
      <w:r w:rsidR="00FE3A0A">
        <w:rPr>
          <w:rFonts w:asciiTheme="minorHAnsi" w:hAnsiTheme="minorHAnsi" w:cstheme="minorHAnsi"/>
          <w:lang w:val="en-US"/>
        </w:rPr>
        <w: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complete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inventories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report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extent</w:t>
      </w:r>
      <w:r w:rsidR="00D062B1">
        <w:rPr>
          <w:rFonts w:asciiTheme="minorHAnsi" w:hAnsiTheme="minorHAnsi" w:cstheme="minorHAnsi"/>
          <w:lang w:val="en-US"/>
        </w:rPr>
        <w:t>.</w:t>
      </w:r>
      <w:r w:rsidR="0045064C">
        <w:rPr>
          <w:rFonts w:cstheme="minorHAnsi"/>
        </w:rPr>
        <w:t xml:space="preserve"> </w:t>
      </w:r>
      <w:r w:rsidR="00712B2A">
        <w:rPr>
          <w:rFonts w:asciiTheme="minorHAnsi" w:hAnsiTheme="minorHAnsi" w:cstheme="minorHAnsi"/>
          <w:lang w:val="en-US"/>
        </w:rPr>
        <w:t xml:space="preserve">The Secretariat also </w:t>
      </w:r>
      <w:r w:rsidR="0045064C">
        <w:rPr>
          <w:rFonts w:cstheme="minorHAnsi"/>
        </w:rPr>
        <w:t xml:space="preserve">undertook training sessions for Contracting Parties on wetlands inventories and reporting on wetland extent. </w:t>
      </w:r>
      <w:r w:rsidR="004221B3" w:rsidRPr="00360A0A">
        <w:rPr>
          <w:rFonts w:asciiTheme="minorHAnsi" w:hAnsiTheme="minorHAnsi" w:cstheme="minorHAnsi"/>
          <w:lang w:val="en-US"/>
        </w:rPr>
        <w:t>A</w:t>
      </w:r>
      <w:r w:rsidR="0080752F">
        <w:rPr>
          <w:rFonts w:asciiTheme="minorHAnsi" w:hAnsiTheme="minorHAnsi" w:cstheme="minorHAnsi"/>
          <w:lang w:val="en-US"/>
        </w:rPr>
        <w:t xml:space="preserve">n update </w:t>
      </w:r>
      <w:r w:rsidR="004221B3"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undertaken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support</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inventories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reporting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extent</w:t>
      </w:r>
      <w:r w:rsidR="00355BC5">
        <w:rPr>
          <w:rFonts w:asciiTheme="minorHAnsi" w:hAnsiTheme="minorHAnsi" w:cstheme="minorHAnsi"/>
          <w:lang w:val="en-US"/>
        </w:rPr>
        <w:t xml:space="preserve"> for SDG 6 indicator 6.6.1</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provided</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Standing</w:t>
      </w:r>
      <w:r w:rsidR="00360A0A" w:rsidRPr="00360A0A">
        <w:rPr>
          <w:rFonts w:asciiTheme="minorHAnsi" w:hAnsiTheme="minorHAnsi" w:cstheme="minorHAnsi"/>
          <w:lang w:val="en-US"/>
        </w:rPr>
        <w:t xml:space="preserve"> </w:t>
      </w:r>
      <w:r w:rsidR="004221B3" w:rsidRPr="00360A0A">
        <w:rPr>
          <w:rFonts w:asciiTheme="minorHAnsi" w:hAnsiTheme="minorHAnsi" w:cstheme="minorHAnsi"/>
          <w:lang w:val="en-US"/>
        </w:rPr>
        <w:t>Committee</w:t>
      </w:r>
      <w:r w:rsidR="00360A0A" w:rsidRPr="00360A0A">
        <w:rPr>
          <w:rFonts w:asciiTheme="minorHAnsi" w:hAnsiTheme="minorHAnsi" w:cstheme="minorHAnsi"/>
          <w:lang w:val="en-US"/>
        </w:rPr>
        <w:t xml:space="preserve"> </w:t>
      </w:r>
      <w:r w:rsidR="00682219">
        <w:rPr>
          <w:rFonts w:asciiTheme="minorHAnsi" w:hAnsiTheme="minorHAnsi" w:cstheme="minorHAnsi"/>
          <w:lang w:val="en-US"/>
        </w:rPr>
        <w:t>document</w:t>
      </w:r>
      <w:r w:rsidR="00682219" w:rsidRPr="00360A0A">
        <w:rPr>
          <w:rFonts w:asciiTheme="minorHAnsi" w:hAnsiTheme="minorHAnsi" w:cstheme="minorHAnsi"/>
          <w:lang w:val="en-US"/>
        </w:rPr>
        <w:t xml:space="preserve"> </w:t>
      </w:r>
      <w:r w:rsidR="004221B3" w:rsidRPr="00360A0A">
        <w:rPr>
          <w:rFonts w:asciiTheme="minorHAnsi" w:hAnsiTheme="minorHAnsi" w:cstheme="minorHAnsi"/>
          <w:lang w:val="en-US"/>
        </w:rPr>
        <w:t>SC5</w:t>
      </w:r>
      <w:r w:rsidR="0080752F">
        <w:rPr>
          <w:rFonts w:asciiTheme="minorHAnsi" w:hAnsiTheme="minorHAnsi" w:cstheme="minorHAnsi"/>
          <w:lang w:val="en-US"/>
        </w:rPr>
        <w:t>9</w:t>
      </w:r>
      <w:r w:rsidR="00682219">
        <w:rPr>
          <w:rFonts w:asciiTheme="minorHAnsi" w:hAnsiTheme="minorHAnsi" w:cstheme="minorHAnsi"/>
          <w:lang w:val="en-US"/>
        </w:rPr>
        <w:t xml:space="preserve"> </w:t>
      </w:r>
      <w:r w:rsidR="00682219" w:rsidRPr="00360A0A">
        <w:rPr>
          <w:rFonts w:asciiTheme="minorHAnsi" w:hAnsiTheme="minorHAnsi" w:cstheme="minorHAnsi"/>
          <w:lang w:val="en-US"/>
        </w:rPr>
        <w:t>Doc</w:t>
      </w:r>
      <w:r w:rsidR="00682219">
        <w:rPr>
          <w:rFonts w:asciiTheme="minorHAnsi" w:hAnsiTheme="minorHAnsi" w:cstheme="minorHAnsi"/>
          <w:lang w:val="en-US"/>
        </w:rPr>
        <w:t>.</w:t>
      </w:r>
      <w:r w:rsidR="004221B3" w:rsidRPr="00360A0A">
        <w:rPr>
          <w:rFonts w:asciiTheme="minorHAnsi" w:hAnsiTheme="minorHAnsi" w:cstheme="minorHAnsi"/>
          <w:lang w:val="en-US"/>
        </w:rPr>
        <w:t>9</w:t>
      </w:r>
      <w:r w:rsidR="00A95A13">
        <w:rPr>
          <w:rFonts w:asciiTheme="minorHAnsi" w:hAnsiTheme="minorHAnsi" w:cstheme="minorHAnsi"/>
          <w:lang w:val="en-US"/>
        </w:rPr>
        <w:t>.</w:t>
      </w:r>
      <w:r w:rsidR="00D062B1">
        <w:rPr>
          <w:rFonts w:asciiTheme="minorHAnsi" w:hAnsiTheme="minorHAnsi" w:cstheme="minorHAnsi"/>
          <w:lang w:val="en-US"/>
        </w:rPr>
        <w:t xml:space="preserve"> </w:t>
      </w:r>
    </w:p>
    <w:p w14:paraId="6C2D63C6" w14:textId="709B255D" w:rsidR="00183ADA" w:rsidRPr="00D062B1" w:rsidRDefault="00183ADA" w:rsidP="005972E9">
      <w:pPr>
        <w:rPr>
          <w:rFonts w:asciiTheme="minorHAnsi" w:hAnsiTheme="minorHAnsi" w:cstheme="minorHAnsi"/>
        </w:rPr>
      </w:pPr>
    </w:p>
    <w:p w14:paraId="7D9B7CFD" w14:textId="526FFF51" w:rsidR="00E34B07" w:rsidRDefault="00DF267E" w:rsidP="005972E9">
      <w:pPr>
        <w:rPr>
          <w:rFonts w:cstheme="minorHAnsi"/>
          <w:color w:val="222222"/>
        </w:rPr>
      </w:pPr>
      <w:r>
        <w:rPr>
          <w:rFonts w:asciiTheme="minorHAnsi" w:hAnsiTheme="minorHAnsi" w:cstheme="minorHAnsi"/>
          <w:lang w:val="en-US"/>
        </w:rPr>
        <w:t>2</w:t>
      </w:r>
      <w:r w:rsidR="004A0CC9">
        <w:rPr>
          <w:rFonts w:asciiTheme="minorHAnsi" w:hAnsiTheme="minorHAnsi" w:cstheme="minorHAnsi"/>
          <w:lang w:val="en-US"/>
        </w:rPr>
        <w:t>5</w:t>
      </w:r>
      <w:r w:rsidR="005D6E99" w:rsidRPr="00360A0A">
        <w:rPr>
          <w:rFonts w:asciiTheme="minorHAnsi" w:hAnsiTheme="minorHAnsi" w:cstheme="minorHAnsi"/>
          <w:lang w:val="en-US"/>
        </w:rPr>
        <w:t>.</w:t>
      </w:r>
      <w:r w:rsidR="005D6E99" w:rsidRPr="00360A0A">
        <w:rPr>
          <w:rFonts w:asciiTheme="minorHAnsi" w:hAnsiTheme="minorHAnsi" w:cstheme="minorHAnsi"/>
          <w:lang w:val="en-US"/>
        </w:rPr>
        <w:tab/>
      </w:r>
      <w:r w:rsidR="0000068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active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supporting</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achievement</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SDG</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14</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(“Conserve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sustainably</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oceans,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seas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marine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resources</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sustainable</w:t>
      </w:r>
      <w:r w:rsidR="00360A0A" w:rsidRPr="00360A0A">
        <w:rPr>
          <w:rFonts w:asciiTheme="minorHAnsi" w:hAnsiTheme="minorHAnsi" w:cstheme="minorHAnsi"/>
          <w:lang w:val="en-US"/>
        </w:rPr>
        <w:t xml:space="preserve"> </w:t>
      </w:r>
      <w:r w:rsidR="00000681" w:rsidRPr="00360A0A">
        <w:rPr>
          <w:rFonts w:asciiTheme="minorHAnsi" w:hAnsiTheme="minorHAnsi" w:cstheme="minorHAnsi"/>
          <w:lang w:val="en-US"/>
        </w:rPr>
        <w:t>development”).</w:t>
      </w:r>
      <w:r w:rsidR="00360A0A" w:rsidRPr="00360A0A">
        <w:rPr>
          <w:rFonts w:asciiTheme="minorHAnsi" w:hAnsiTheme="minorHAnsi" w:cstheme="minorHAnsi"/>
          <w:lang w:val="en-US"/>
        </w:rPr>
        <w:t xml:space="preserve"> </w:t>
      </w:r>
      <w:r w:rsidR="00E34B07">
        <w:rPr>
          <w:rFonts w:asciiTheme="minorHAnsi" w:hAnsiTheme="minorHAnsi" w:cstheme="minorHAnsi"/>
          <w:lang w:val="en-US"/>
        </w:rPr>
        <w:t xml:space="preserve">On </w:t>
      </w:r>
      <w:r w:rsidR="00C939BC">
        <w:rPr>
          <w:rFonts w:asciiTheme="minorHAnsi" w:hAnsiTheme="minorHAnsi" w:cstheme="minorHAnsi"/>
          <w:lang w:val="en-US"/>
        </w:rPr>
        <w:t xml:space="preserve">22 </w:t>
      </w:r>
      <w:r w:rsidR="00E34B07">
        <w:rPr>
          <w:rFonts w:asciiTheme="minorHAnsi" w:hAnsiTheme="minorHAnsi" w:cstheme="minorHAnsi"/>
          <w:lang w:val="en-US"/>
        </w:rPr>
        <w:t xml:space="preserve">April </w:t>
      </w:r>
      <w:r w:rsidR="006C1284">
        <w:rPr>
          <w:rFonts w:asciiTheme="minorHAnsi" w:hAnsiTheme="minorHAnsi" w:cstheme="minorHAnsi"/>
          <w:lang w:val="en-US"/>
        </w:rPr>
        <w:t xml:space="preserve">2021 </w:t>
      </w:r>
      <w:r w:rsidR="00E34B07">
        <w:rPr>
          <w:rFonts w:asciiTheme="minorHAnsi" w:hAnsiTheme="minorHAnsi" w:cstheme="minorHAnsi"/>
          <w:lang w:val="en-US"/>
        </w:rPr>
        <w:t>t</w:t>
      </w:r>
      <w:r w:rsidR="00057BAF" w:rsidRPr="001B6126">
        <w:rPr>
          <w:rFonts w:cstheme="minorHAnsi"/>
          <w:bCs/>
        </w:rPr>
        <w:t xml:space="preserve">he Secretary General </w:t>
      </w:r>
      <w:r w:rsidR="00057BAF">
        <w:rPr>
          <w:rFonts w:cstheme="minorHAnsi"/>
          <w:bCs/>
        </w:rPr>
        <w:t>participated in the v</w:t>
      </w:r>
      <w:r w:rsidR="00057BAF" w:rsidRPr="00C146AF">
        <w:rPr>
          <w:rFonts w:asciiTheme="minorHAnsi" w:hAnsiTheme="minorHAnsi" w:cstheme="minorHAnsi"/>
          <w:bCs/>
        </w:rPr>
        <w:t>irtual Hi</w:t>
      </w:r>
      <w:r w:rsidR="00345070">
        <w:rPr>
          <w:rFonts w:asciiTheme="minorHAnsi" w:hAnsiTheme="minorHAnsi" w:cstheme="minorHAnsi"/>
          <w:bCs/>
        </w:rPr>
        <w:t>gh-Level Dialogue Source-to-Sea</w:t>
      </w:r>
      <w:r w:rsidR="00E34B07">
        <w:rPr>
          <w:rFonts w:cstheme="minorHAnsi"/>
          <w:bCs/>
        </w:rPr>
        <w:t xml:space="preserve"> </w:t>
      </w:r>
      <w:r w:rsidR="00057BAF" w:rsidRPr="001B6126">
        <w:rPr>
          <w:rFonts w:cstheme="minorHAnsi"/>
          <w:bCs/>
        </w:rPr>
        <w:lastRenderedPageBreak/>
        <w:t xml:space="preserve">organized by the </w:t>
      </w:r>
      <w:r w:rsidR="00057BAF" w:rsidRPr="00C146AF">
        <w:rPr>
          <w:rFonts w:asciiTheme="minorHAnsi" w:hAnsiTheme="minorHAnsi" w:cstheme="minorHAnsi"/>
          <w:color w:val="222222"/>
        </w:rPr>
        <w:t>Government of the Netherlands, the Action Platform for Source-to-Sea Management and the UN</w:t>
      </w:r>
      <w:r w:rsidR="00057BAF">
        <w:rPr>
          <w:rFonts w:asciiTheme="minorHAnsi" w:hAnsiTheme="minorHAnsi" w:cstheme="minorHAnsi"/>
          <w:color w:val="222222"/>
        </w:rPr>
        <w:t xml:space="preserve"> </w:t>
      </w:r>
      <w:r w:rsidR="00057BAF" w:rsidRPr="00C146AF">
        <w:rPr>
          <w:rFonts w:asciiTheme="minorHAnsi" w:hAnsiTheme="minorHAnsi" w:cstheme="minorHAnsi"/>
          <w:color w:val="222222"/>
        </w:rPr>
        <w:t>Secretary General</w:t>
      </w:r>
      <w:r w:rsidR="001C2C01">
        <w:rPr>
          <w:rFonts w:asciiTheme="minorHAnsi" w:hAnsiTheme="minorHAnsi" w:cstheme="minorHAnsi"/>
          <w:color w:val="222222"/>
        </w:rPr>
        <w:t>’</w:t>
      </w:r>
      <w:r w:rsidR="00057BAF" w:rsidRPr="00C146AF">
        <w:rPr>
          <w:rFonts w:asciiTheme="minorHAnsi" w:hAnsiTheme="minorHAnsi" w:cstheme="minorHAnsi"/>
          <w:color w:val="222222"/>
        </w:rPr>
        <w:t>s Special Envoy for the Ocean, H.E. Peter Thomson</w:t>
      </w:r>
      <w:r w:rsidR="00E34B07">
        <w:rPr>
          <w:rFonts w:asciiTheme="minorHAnsi" w:hAnsiTheme="minorHAnsi" w:cstheme="minorHAnsi"/>
          <w:color w:val="222222"/>
        </w:rPr>
        <w:t>.</w:t>
      </w:r>
    </w:p>
    <w:p w14:paraId="704CE85D" w14:textId="77777777" w:rsidR="00E34B07" w:rsidRDefault="00E34B07" w:rsidP="005972E9">
      <w:pPr>
        <w:rPr>
          <w:rFonts w:cstheme="minorHAnsi"/>
          <w:color w:val="222222"/>
        </w:rPr>
      </w:pPr>
    </w:p>
    <w:p w14:paraId="311A400A" w14:textId="4016614E" w:rsidR="00057BAF" w:rsidRDefault="004A0CC9" w:rsidP="005972E9">
      <w:pPr>
        <w:rPr>
          <w:rFonts w:cstheme="minorHAnsi"/>
        </w:rPr>
      </w:pPr>
      <w:r>
        <w:rPr>
          <w:rFonts w:cstheme="minorHAnsi"/>
          <w:color w:val="222222"/>
        </w:rPr>
        <w:t>26.</w:t>
      </w:r>
      <w:r>
        <w:rPr>
          <w:rFonts w:cstheme="minorHAnsi"/>
          <w:color w:val="222222"/>
        </w:rPr>
        <w:tab/>
      </w:r>
      <w:r w:rsidR="00057BAF">
        <w:rPr>
          <w:rFonts w:cstheme="minorHAnsi"/>
          <w:color w:val="222222"/>
        </w:rPr>
        <w:t xml:space="preserve">At </w:t>
      </w:r>
      <w:r w:rsidR="00057BAF">
        <w:rPr>
          <w:rFonts w:cstheme="minorHAnsi"/>
        </w:rPr>
        <w:t>the invitation of the Ministers of State and Foreign Affairs and of Maritime Affairs of Portugal as co-organizers with Ken</w:t>
      </w:r>
      <w:r w:rsidR="00E34B07">
        <w:rPr>
          <w:rFonts w:cstheme="minorHAnsi"/>
        </w:rPr>
        <w:t xml:space="preserve">ya of the UN Ocean Conference, </w:t>
      </w:r>
      <w:r w:rsidR="00057BAF">
        <w:rPr>
          <w:rFonts w:cstheme="minorHAnsi"/>
        </w:rPr>
        <w:t xml:space="preserve">the Secretary General delivered </w:t>
      </w:r>
      <w:r w:rsidR="00E34B07">
        <w:rPr>
          <w:rFonts w:cstheme="minorHAnsi"/>
        </w:rPr>
        <w:t xml:space="preserve">a video statement during Dialogue 3 </w:t>
      </w:r>
      <w:r w:rsidR="00A95A13">
        <w:rPr>
          <w:rFonts w:cstheme="minorHAnsi"/>
        </w:rPr>
        <w:t xml:space="preserve">on </w:t>
      </w:r>
      <w:r w:rsidR="00E34B07">
        <w:rPr>
          <w:rFonts w:cstheme="minorHAnsi"/>
        </w:rPr>
        <w:t>“M</w:t>
      </w:r>
      <w:r w:rsidR="00057BAF">
        <w:rPr>
          <w:rFonts w:cstheme="minorHAnsi"/>
        </w:rPr>
        <w:t>anaging, protecting, conserving and restoring marine and coastal ecosystems”</w:t>
      </w:r>
      <w:r w:rsidR="00E34B07">
        <w:rPr>
          <w:rFonts w:cstheme="minorHAnsi"/>
        </w:rPr>
        <w:t>.</w:t>
      </w:r>
    </w:p>
    <w:p w14:paraId="5717950D" w14:textId="77777777" w:rsidR="00237F3A" w:rsidRPr="00E34B07" w:rsidRDefault="00237F3A" w:rsidP="005972E9">
      <w:pPr>
        <w:rPr>
          <w:rFonts w:asciiTheme="minorHAnsi" w:hAnsiTheme="minorHAnsi" w:cstheme="minorHAnsi"/>
        </w:rPr>
      </w:pPr>
    </w:p>
    <w:p w14:paraId="17B6FA55" w14:textId="1F9F0A34" w:rsidR="007C4682" w:rsidRPr="009B4A2D" w:rsidRDefault="004A0CC9" w:rsidP="005972E9">
      <w:pPr>
        <w:rPr>
          <w:rFonts w:asciiTheme="minorHAnsi" w:hAnsiTheme="minorHAnsi" w:cstheme="minorHAnsi"/>
        </w:rPr>
      </w:pPr>
      <w:r>
        <w:rPr>
          <w:rFonts w:asciiTheme="minorHAnsi" w:hAnsiTheme="minorHAnsi" w:cstheme="minorHAnsi"/>
        </w:rPr>
        <w:t>27.</w:t>
      </w:r>
      <w:r>
        <w:rPr>
          <w:rFonts w:asciiTheme="minorHAnsi" w:hAnsiTheme="minorHAnsi" w:cstheme="minorHAnsi"/>
        </w:rPr>
        <w:tab/>
      </w:r>
      <w:r w:rsidR="007C4682" w:rsidRPr="00C146AF">
        <w:rPr>
          <w:rFonts w:asciiTheme="minorHAnsi" w:hAnsiTheme="minorHAnsi" w:cstheme="minorHAnsi"/>
        </w:rPr>
        <w:t>As part of the high-level week of the UN General Assembly and the UN Summit</w:t>
      </w:r>
      <w:r w:rsidR="00E34B07">
        <w:rPr>
          <w:rFonts w:asciiTheme="minorHAnsi" w:hAnsiTheme="minorHAnsi" w:cstheme="minorHAnsi"/>
        </w:rPr>
        <w:t xml:space="preserve"> </w:t>
      </w:r>
      <w:r w:rsidR="007C4682" w:rsidRPr="00C146AF">
        <w:rPr>
          <w:rFonts w:asciiTheme="minorHAnsi" w:hAnsiTheme="minorHAnsi" w:cstheme="minorHAnsi"/>
        </w:rPr>
        <w:t xml:space="preserve">on Biodiversity, the </w:t>
      </w:r>
      <w:r w:rsidR="007C4682" w:rsidRPr="0007087A">
        <w:rPr>
          <w:rFonts w:asciiTheme="minorHAnsi" w:hAnsiTheme="minorHAnsi" w:cstheme="minorHAnsi"/>
        </w:rPr>
        <w:t xml:space="preserve">Secretary General participated in the </w:t>
      </w:r>
      <w:r w:rsidR="007C4682">
        <w:rPr>
          <w:rFonts w:cstheme="minorHAnsi"/>
        </w:rPr>
        <w:t>“</w:t>
      </w:r>
      <w:r w:rsidR="007C4682" w:rsidRPr="0007087A">
        <w:rPr>
          <w:rFonts w:asciiTheme="minorHAnsi" w:hAnsiTheme="minorHAnsi" w:cstheme="minorHAnsi"/>
        </w:rPr>
        <w:t>Build Back Bluer</w:t>
      </w:r>
      <w:r w:rsidR="00EB0F34">
        <w:rPr>
          <w:rFonts w:asciiTheme="minorHAnsi" w:hAnsiTheme="minorHAnsi" w:cstheme="minorHAnsi"/>
        </w:rPr>
        <w:t>”</w:t>
      </w:r>
      <w:r w:rsidR="007C4682" w:rsidRPr="0007087A">
        <w:rPr>
          <w:rFonts w:asciiTheme="minorHAnsi" w:hAnsiTheme="minorHAnsi" w:cstheme="minorHAnsi"/>
        </w:rPr>
        <w:t xml:space="preserve"> </w:t>
      </w:r>
      <w:r w:rsidR="00EB0F34" w:rsidRPr="00C146AF">
        <w:rPr>
          <w:rFonts w:asciiTheme="minorHAnsi" w:hAnsiTheme="minorHAnsi" w:cstheme="minorHAnsi"/>
        </w:rPr>
        <w:t>round</w:t>
      </w:r>
      <w:r w:rsidR="00EB0F34">
        <w:rPr>
          <w:rFonts w:asciiTheme="minorHAnsi" w:hAnsiTheme="minorHAnsi" w:cstheme="minorHAnsi"/>
        </w:rPr>
        <w:t xml:space="preserve"> </w:t>
      </w:r>
      <w:r w:rsidR="00EB0F34" w:rsidRPr="00C146AF">
        <w:rPr>
          <w:rFonts w:asciiTheme="minorHAnsi" w:hAnsiTheme="minorHAnsi" w:cstheme="minorHAnsi"/>
        </w:rPr>
        <w:t xml:space="preserve">table </w:t>
      </w:r>
      <w:r w:rsidR="007C4682" w:rsidRPr="00C146AF">
        <w:rPr>
          <w:rFonts w:asciiTheme="minorHAnsi" w:hAnsiTheme="minorHAnsi" w:cstheme="minorHAnsi"/>
        </w:rPr>
        <w:t xml:space="preserve">of ocean champions </w:t>
      </w:r>
      <w:r w:rsidR="007C4682" w:rsidRPr="0007087A">
        <w:rPr>
          <w:rFonts w:asciiTheme="minorHAnsi" w:hAnsiTheme="minorHAnsi" w:cstheme="minorHAnsi"/>
        </w:rPr>
        <w:t>convened by</w:t>
      </w:r>
      <w:r w:rsidR="007C4682" w:rsidRPr="00C146AF">
        <w:rPr>
          <w:rFonts w:asciiTheme="minorHAnsi" w:hAnsiTheme="minorHAnsi" w:cstheme="minorHAnsi"/>
        </w:rPr>
        <w:t xml:space="preserve"> Fiji, Kenya, Norway, Palau, Portugal, Sweden</w:t>
      </w:r>
      <w:r w:rsidR="00EB0F34">
        <w:rPr>
          <w:rFonts w:asciiTheme="minorHAnsi" w:hAnsiTheme="minorHAnsi" w:cstheme="minorHAnsi"/>
        </w:rPr>
        <w:t xml:space="preserve"> and </w:t>
      </w:r>
      <w:r w:rsidR="00EB0F34" w:rsidRPr="0007087A">
        <w:rPr>
          <w:rFonts w:asciiTheme="minorHAnsi" w:hAnsiTheme="minorHAnsi" w:cstheme="minorHAnsi"/>
        </w:rPr>
        <w:t xml:space="preserve">the </w:t>
      </w:r>
      <w:r w:rsidR="00EB0F34" w:rsidRPr="00C146AF">
        <w:rPr>
          <w:rFonts w:asciiTheme="minorHAnsi" w:hAnsiTheme="minorHAnsi" w:cstheme="minorHAnsi"/>
        </w:rPr>
        <w:t>United Arab Emirates</w:t>
      </w:r>
      <w:r w:rsidR="007C4682">
        <w:rPr>
          <w:rFonts w:asciiTheme="minorHAnsi" w:hAnsiTheme="minorHAnsi" w:cstheme="minorHAnsi"/>
        </w:rPr>
        <w:t>.</w:t>
      </w:r>
      <w:r w:rsidR="007C4682" w:rsidRPr="00C146AF">
        <w:rPr>
          <w:rFonts w:asciiTheme="minorHAnsi" w:hAnsiTheme="minorHAnsi" w:cstheme="minorHAnsi"/>
        </w:rPr>
        <w:t xml:space="preserve"> </w:t>
      </w:r>
      <w:r w:rsidR="007C4682" w:rsidRPr="009B4A2D">
        <w:rPr>
          <w:rFonts w:cs="Calibri"/>
        </w:rPr>
        <w:t>T</w:t>
      </w:r>
      <w:r w:rsidR="007C4682" w:rsidRPr="00C146AF">
        <w:rPr>
          <w:rFonts w:cs="Calibri"/>
        </w:rPr>
        <w:t>he event aimed to build momentum toward ambitious near-term outcomes for ocean health, notably a new global target of conserving 30% of the oceans by 2030.</w:t>
      </w:r>
    </w:p>
    <w:p w14:paraId="61AE4700" w14:textId="77777777" w:rsidR="00237F3A" w:rsidRDefault="00237F3A" w:rsidP="005972E9">
      <w:pPr>
        <w:rPr>
          <w:rFonts w:asciiTheme="minorHAnsi" w:hAnsiTheme="minorHAnsi" w:cstheme="minorHAnsi"/>
          <w:lang w:val="en-US"/>
        </w:rPr>
      </w:pPr>
    </w:p>
    <w:p w14:paraId="182220BE" w14:textId="48839E02" w:rsidR="0038705A" w:rsidRPr="00345070" w:rsidRDefault="004A0CC9" w:rsidP="005972E9">
      <w:pPr>
        <w:rPr>
          <w:rFonts w:asciiTheme="minorHAnsi" w:hAnsiTheme="minorHAnsi" w:cstheme="minorHAnsi"/>
        </w:rPr>
      </w:pPr>
      <w:r>
        <w:rPr>
          <w:rFonts w:asciiTheme="minorHAnsi" w:hAnsiTheme="minorHAnsi" w:cstheme="minorHAnsi"/>
          <w:lang w:val="en-US"/>
        </w:rPr>
        <w:t>28.</w:t>
      </w:r>
      <w:r>
        <w:rPr>
          <w:rFonts w:asciiTheme="minorHAnsi" w:hAnsiTheme="minorHAnsi" w:cstheme="minorHAnsi"/>
          <w:lang w:val="en-US"/>
        </w:rPr>
        <w:tab/>
      </w:r>
      <w:r w:rsidR="00925E8A" w:rsidRPr="007C4682">
        <w:rPr>
          <w:rFonts w:asciiTheme="minorHAnsi" w:hAnsiTheme="minorHAnsi" w:cstheme="minorHAnsi"/>
          <w:lang w:val="en-US"/>
        </w:rPr>
        <w:t>The</w:t>
      </w:r>
      <w:r w:rsidR="00360A0A" w:rsidRPr="007C4682">
        <w:rPr>
          <w:rFonts w:asciiTheme="minorHAnsi" w:hAnsiTheme="minorHAnsi" w:cstheme="minorHAnsi"/>
          <w:lang w:val="en-US"/>
        </w:rPr>
        <w:t xml:space="preserve"> </w:t>
      </w:r>
      <w:r w:rsidR="00925E8A" w:rsidRPr="007C4682">
        <w:rPr>
          <w:rFonts w:asciiTheme="minorHAnsi" w:hAnsiTheme="minorHAnsi" w:cstheme="minorHAnsi"/>
          <w:lang w:val="en-US"/>
        </w:rPr>
        <w:t>Secretary</w:t>
      </w:r>
      <w:r w:rsidR="00360A0A" w:rsidRPr="007C4682">
        <w:rPr>
          <w:rFonts w:asciiTheme="minorHAnsi" w:hAnsiTheme="minorHAnsi" w:cstheme="minorHAnsi"/>
          <w:lang w:val="en-US"/>
        </w:rPr>
        <w:t xml:space="preserve"> </w:t>
      </w:r>
      <w:r w:rsidR="00925E8A" w:rsidRPr="007C4682">
        <w:rPr>
          <w:rFonts w:asciiTheme="minorHAnsi" w:hAnsiTheme="minorHAnsi" w:cstheme="minorHAnsi"/>
          <w:lang w:val="en-US"/>
        </w:rPr>
        <w:t>General</w:t>
      </w:r>
      <w:r w:rsidR="00360A0A" w:rsidRPr="007C4682">
        <w:rPr>
          <w:rFonts w:asciiTheme="minorHAnsi" w:hAnsiTheme="minorHAnsi" w:cstheme="minorHAnsi"/>
          <w:lang w:val="en-US"/>
        </w:rPr>
        <w:t xml:space="preserve"> </w:t>
      </w:r>
      <w:r w:rsidR="00925E8A" w:rsidRPr="007C4682">
        <w:rPr>
          <w:rFonts w:asciiTheme="minorHAnsi" w:hAnsiTheme="minorHAnsi" w:cstheme="minorHAnsi"/>
          <w:lang w:val="en-US"/>
        </w:rPr>
        <w:t>is</w:t>
      </w:r>
      <w:r w:rsidR="00360A0A" w:rsidRPr="007C4682">
        <w:rPr>
          <w:rFonts w:asciiTheme="minorHAnsi" w:hAnsiTheme="minorHAnsi" w:cstheme="minorHAnsi"/>
          <w:lang w:val="en-US"/>
        </w:rPr>
        <w:t xml:space="preserve"> </w:t>
      </w:r>
      <w:r w:rsidR="00925E8A" w:rsidRPr="007C4682">
        <w:rPr>
          <w:rFonts w:asciiTheme="minorHAnsi" w:hAnsiTheme="minorHAnsi" w:cstheme="minorHAnsi"/>
          <w:lang w:val="en-US"/>
        </w:rPr>
        <w:t>one</w:t>
      </w:r>
      <w:r w:rsidR="00360A0A" w:rsidRPr="007C4682">
        <w:rPr>
          <w:rFonts w:asciiTheme="minorHAnsi" w:hAnsiTheme="minorHAnsi" w:cstheme="minorHAnsi"/>
          <w:lang w:val="en-US"/>
        </w:rPr>
        <w:t xml:space="preserve"> </w:t>
      </w:r>
      <w:r w:rsidR="00925E8A" w:rsidRPr="007C4682">
        <w:rPr>
          <w:rFonts w:asciiTheme="minorHAnsi" w:hAnsiTheme="minorHAnsi" w:cstheme="minorHAnsi"/>
          <w:lang w:val="en-US"/>
        </w:rPr>
        <w:t>of</w:t>
      </w:r>
      <w:r w:rsidR="00360A0A" w:rsidRPr="007C4682">
        <w:rPr>
          <w:rFonts w:asciiTheme="minorHAnsi" w:hAnsiTheme="minorHAnsi" w:cstheme="minorHAnsi"/>
          <w:lang w:val="en-US"/>
        </w:rPr>
        <w:t xml:space="preserve"> </w:t>
      </w:r>
      <w:r w:rsidR="00925E8A" w:rsidRPr="007C4682">
        <w:rPr>
          <w:rFonts w:asciiTheme="minorHAnsi" w:hAnsiTheme="minorHAnsi" w:cstheme="minorHAnsi"/>
          <w:lang w:val="en-US"/>
        </w:rPr>
        <w:t>two</w:t>
      </w:r>
      <w:r w:rsidR="00360A0A" w:rsidRPr="007C4682">
        <w:rPr>
          <w:rFonts w:asciiTheme="minorHAnsi" w:hAnsiTheme="minorHAnsi" w:cstheme="minorHAnsi"/>
          <w:lang w:val="en-US"/>
        </w:rPr>
        <w:t xml:space="preserve"> </w:t>
      </w:r>
      <w:r w:rsidR="00A33579" w:rsidRPr="007C4682">
        <w:rPr>
          <w:rFonts w:asciiTheme="minorHAnsi" w:hAnsiTheme="minorHAnsi" w:cstheme="minorHAnsi"/>
          <w:lang w:val="en-US"/>
        </w:rPr>
        <w:t>focal</w:t>
      </w:r>
      <w:r w:rsidR="00360A0A" w:rsidRPr="007C4682">
        <w:rPr>
          <w:rFonts w:asciiTheme="minorHAnsi" w:hAnsiTheme="minorHAnsi" w:cstheme="minorHAnsi"/>
          <w:lang w:val="en-US"/>
        </w:rPr>
        <w:t xml:space="preserve"> </w:t>
      </w:r>
      <w:r w:rsidR="00A33579" w:rsidRPr="007C4682">
        <w:rPr>
          <w:rFonts w:asciiTheme="minorHAnsi" w:hAnsiTheme="minorHAnsi" w:cstheme="minorHAnsi"/>
          <w:lang w:val="en-US"/>
        </w:rPr>
        <w:t>points</w:t>
      </w:r>
      <w:r w:rsidR="00360A0A" w:rsidRPr="007C4682">
        <w:rPr>
          <w:rFonts w:asciiTheme="minorHAnsi" w:hAnsiTheme="minorHAnsi" w:cstheme="minorHAnsi"/>
          <w:lang w:val="en-US"/>
        </w:rPr>
        <w:t xml:space="preserve"> </w:t>
      </w:r>
      <w:r w:rsidR="00A33579" w:rsidRPr="007C4682">
        <w:rPr>
          <w:rFonts w:asciiTheme="minorHAnsi" w:hAnsiTheme="minorHAnsi" w:cstheme="minorHAnsi"/>
          <w:lang w:val="en-US"/>
        </w:rPr>
        <w:t>for</w:t>
      </w:r>
      <w:r w:rsidR="00360A0A" w:rsidRPr="007C4682">
        <w:rPr>
          <w:rFonts w:asciiTheme="minorHAnsi" w:hAnsiTheme="minorHAnsi" w:cstheme="minorHAnsi"/>
          <w:lang w:val="en-US"/>
        </w:rPr>
        <w:t xml:space="preserve"> </w:t>
      </w:r>
      <w:r w:rsidR="00A33579" w:rsidRPr="007C4682">
        <w:rPr>
          <w:rFonts w:asciiTheme="minorHAnsi" w:hAnsiTheme="minorHAnsi" w:cstheme="minorHAnsi"/>
          <w:lang w:val="en-US"/>
        </w:rPr>
        <w:t>the</w:t>
      </w:r>
      <w:r w:rsidR="00360A0A" w:rsidRPr="007C4682">
        <w:rPr>
          <w:rFonts w:asciiTheme="minorHAnsi" w:hAnsiTheme="minorHAnsi" w:cstheme="minorHAnsi"/>
          <w:lang w:val="en-US"/>
        </w:rPr>
        <w:t xml:space="preserve"> </w:t>
      </w:r>
      <w:r w:rsidR="00A33579" w:rsidRPr="007C4682">
        <w:rPr>
          <w:rFonts w:asciiTheme="minorHAnsi" w:hAnsiTheme="minorHAnsi" w:cstheme="minorHAnsi"/>
          <w:lang w:val="en-US"/>
        </w:rPr>
        <w:t>Community</w:t>
      </w:r>
      <w:r w:rsidR="00360A0A" w:rsidRPr="007C4682">
        <w:rPr>
          <w:rFonts w:asciiTheme="minorHAnsi" w:hAnsiTheme="minorHAnsi" w:cstheme="minorHAnsi"/>
          <w:lang w:val="en-US"/>
        </w:rPr>
        <w:t xml:space="preserve"> </w:t>
      </w:r>
      <w:r w:rsidR="00A33579" w:rsidRPr="007C4682">
        <w:rPr>
          <w:rFonts w:asciiTheme="minorHAnsi" w:hAnsiTheme="minorHAnsi" w:cstheme="minorHAnsi"/>
          <w:lang w:val="en-US"/>
        </w:rPr>
        <w:t>of</w:t>
      </w:r>
      <w:r w:rsidR="00360A0A" w:rsidRPr="007C4682">
        <w:rPr>
          <w:rFonts w:asciiTheme="minorHAnsi" w:hAnsiTheme="minorHAnsi" w:cstheme="minorHAnsi"/>
          <w:lang w:val="en-US"/>
        </w:rPr>
        <w:t xml:space="preserve"> </w:t>
      </w:r>
      <w:r w:rsidR="00DB2778" w:rsidRPr="007C4682">
        <w:rPr>
          <w:rFonts w:asciiTheme="minorHAnsi" w:hAnsiTheme="minorHAnsi" w:cstheme="minorHAnsi"/>
          <w:lang w:val="en-US"/>
        </w:rPr>
        <w:t xml:space="preserve">Ocean </w:t>
      </w:r>
      <w:r w:rsidR="00A33579" w:rsidRPr="007C4682">
        <w:rPr>
          <w:rFonts w:asciiTheme="minorHAnsi" w:hAnsiTheme="minorHAnsi" w:cstheme="minorHAnsi"/>
          <w:lang w:val="en-US"/>
        </w:rPr>
        <w:t>Action</w:t>
      </w:r>
      <w:r w:rsidR="00360A0A" w:rsidRPr="007C4682">
        <w:rPr>
          <w:rFonts w:asciiTheme="minorHAnsi" w:hAnsiTheme="minorHAnsi" w:cstheme="minorHAnsi"/>
          <w:lang w:val="en-US"/>
        </w:rPr>
        <w:t xml:space="preserve"> </w:t>
      </w:r>
      <w:r w:rsidR="00A33579" w:rsidRPr="007C4682">
        <w:rPr>
          <w:rFonts w:asciiTheme="minorHAnsi" w:hAnsiTheme="minorHAnsi" w:cstheme="minorHAnsi"/>
          <w:lang w:val="en-US"/>
        </w:rPr>
        <w:t>on</w:t>
      </w:r>
      <w:r w:rsidR="0059357A">
        <w:rPr>
          <w:rFonts w:asciiTheme="minorHAnsi" w:hAnsiTheme="minorHAnsi" w:cstheme="minorHAnsi"/>
          <w:lang w:val="en-US"/>
        </w:rPr>
        <w:t xml:space="preserve"> </w:t>
      </w:r>
      <w:r w:rsidR="00A33579" w:rsidRPr="007C4682">
        <w:rPr>
          <w:rFonts w:asciiTheme="minorHAnsi" w:hAnsiTheme="minorHAnsi" w:cstheme="minorHAnsi"/>
          <w:lang w:val="en-US"/>
        </w:rPr>
        <w:t>M</w:t>
      </w:r>
      <w:r w:rsidR="00000681" w:rsidRPr="007C4682">
        <w:rPr>
          <w:rFonts w:asciiTheme="minorHAnsi" w:hAnsiTheme="minorHAnsi" w:cstheme="minorHAnsi"/>
          <w:lang w:val="en-US"/>
        </w:rPr>
        <w:t>angroves</w:t>
      </w:r>
      <w:r w:rsidR="00570327">
        <w:rPr>
          <w:rFonts w:asciiTheme="minorHAnsi" w:hAnsiTheme="minorHAnsi" w:cstheme="minorHAnsi"/>
          <w:lang w:val="en-US"/>
        </w:rPr>
        <w:t xml:space="preserve"> </w:t>
      </w:r>
      <w:r w:rsidR="0059357A">
        <w:rPr>
          <w:rFonts w:asciiTheme="minorHAnsi" w:hAnsiTheme="minorHAnsi" w:cstheme="minorHAnsi"/>
          <w:lang w:val="en-US"/>
        </w:rPr>
        <w:t xml:space="preserve">and </w:t>
      </w:r>
      <w:r w:rsidR="007C4682" w:rsidRPr="007C4682">
        <w:rPr>
          <w:rFonts w:asciiTheme="minorHAnsi" w:hAnsiTheme="minorHAnsi" w:cstheme="minorHAnsi"/>
          <w:lang w:val="en-US"/>
        </w:rPr>
        <w:t xml:space="preserve">participated in the </w:t>
      </w:r>
      <w:r w:rsidR="00847A97">
        <w:rPr>
          <w:rFonts w:cstheme="minorHAnsi"/>
          <w:bCs/>
          <w:color w:val="000000"/>
        </w:rPr>
        <w:t>w</w:t>
      </w:r>
      <w:r w:rsidR="00847A97" w:rsidRPr="00570327">
        <w:rPr>
          <w:rFonts w:cstheme="minorHAnsi"/>
          <w:bCs/>
          <w:color w:val="000000"/>
        </w:rPr>
        <w:t xml:space="preserve">ebinar </w:t>
      </w:r>
      <w:r w:rsidR="007C4682" w:rsidRPr="00570327">
        <w:rPr>
          <w:rFonts w:cstheme="minorHAnsi"/>
          <w:bCs/>
          <w:color w:val="000000"/>
        </w:rPr>
        <w:t>“Implementing SDG 14 with the Communities of Ocean Action”</w:t>
      </w:r>
      <w:r w:rsidR="0059357A">
        <w:rPr>
          <w:rFonts w:cstheme="minorHAnsi"/>
          <w:bCs/>
          <w:color w:val="000000"/>
        </w:rPr>
        <w:t xml:space="preserve"> </w:t>
      </w:r>
      <w:r w:rsidR="0059357A">
        <w:rPr>
          <w:rFonts w:cstheme="minorHAnsi"/>
        </w:rPr>
        <w:t>organized by UN DESA</w:t>
      </w:r>
      <w:r w:rsidR="00EB0F34">
        <w:rPr>
          <w:rFonts w:cstheme="minorHAnsi"/>
        </w:rPr>
        <w:t xml:space="preserve"> within the </w:t>
      </w:r>
      <w:r w:rsidR="00EB0F34">
        <w:rPr>
          <w:rFonts w:asciiTheme="minorHAnsi" w:hAnsiTheme="minorHAnsi" w:cstheme="minorHAnsi"/>
          <w:lang w:val="en-US"/>
        </w:rPr>
        <w:t>“</w:t>
      </w:r>
      <w:r w:rsidR="00EB0F34" w:rsidRPr="00570327">
        <w:rPr>
          <w:rFonts w:cstheme="minorHAnsi"/>
          <w:bCs/>
          <w:color w:val="000000"/>
        </w:rPr>
        <w:t xml:space="preserve">Keeping </w:t>
      </w:r>
      <w:r w:rsidR="00EB0F34">
        <w:rPr>
          <w:rFonts w:cstheme="minorHAnsi"/>
          <w:bCs/>
          <w:color w:val="000000"/>
        </w:rPr>
        <w:t xml:space="preserve">the Momentum for Ocean Action” webinar </w:t>
      </w:r>
      <w:r w:rsidR="00EB0F34" w:rsidRPr="00570327">
        <w:rPr>
          <w:rFonts w:cstheme="minorHAnsi"/>
          <w:bCs/>
          <w:color w:val="000000"/>
        </w:rPr>
        <w:t>series</w:t>
      </w:r>
      <w:r w:rsidR="0059357A">
        <w:rPr>
          <w:rFonts w:cstheme="minorHAnsi"/>
        </w:rPr>
        <w:t>.</w:t>
      </w:r>
    </w:p>
    <w:p w14:paraId="704ED557" w14:textId="0F240AD4" w:rsidR="00032078" w:rsidRDefault="00032078" w:rsidP="005972E9">
      <w:pPr>
        <w:rPr>
          <w:rFonts w:asciiTheme="minorHAnsi" w:hAnsiTheme="minorHAnsi" w:cstheme="minorHAnsi"/>
          <w:lang w:val="en-US"/>
        </w:rPr>
      </w:pPr>
    </w:p>
    <w:p w14:paraId="4DC5078D" w14:textId="453732EA" w:rsidR="00183ADA" w:rsidRDefault="004A0CC9" w:rsidP="005972E9">
      <w:pPr>
        <w:tabs>
          <w:tab w:val="left" w:pos="984"/>
        </w:tabs>
        <w:rPr>
          <w:rFonts w:asciiTheme="minorHAnsi" w:hAnsiTheme="minorHAnsi" w:cstheme="minorHAnsi"/>
          <w:lang w:val="en-US"/>
        </w:rPr>
      </w:pPr>
      <w:r>
        <w:rPr>
          <w:rFonts w:asciiTheme="minorHAnsi" w:hAnsiTheme="minorHAnsi" w:cstheme="minorHAnsi"/>
          <w:lang w:val="en-US"/>
        </w:rPr>
        <w:t>29.</w:t>
      </w:r>
      <w:r w:rsidR="00183ADA">
        <w:rPr>
          <w:rFonts w:asciiTheme="minorHAnsi" w:hAnsiTheme="minorHAnsi" w:cstheme="minorHAnsi"/>
          <w:lang w:val="en-US"/>
        </w:rPr>
        <w:tab/>
      </w:r>
      <w:r w:rsidR="00183ADA" w:rsidRPr="00183ADA">
        <w:rPr>
          <w:rFonts w:asciiTheme="minorHAnsi" w:hAnsiTheme="minorHAnsi" w:cstheme="minorHAnsi"/>
          <w:lang w:val="en-US"/>
        </w:rPr>
        <w:t>On 6 November 2020</w:t>
      </w:r>
      <w:r w:rsidR="00241F83">
        <w:rPr>
          <w:rFonts w:asciiTheme="minorHAnsi" w:hAnsiTheme="minorHAnsi" w:cstheme="minorHAnsi"/>
          <w:lang w:val="en-US"/>
        </w:rPr>
        <w:t>,</w:t>
      </w:r>
      <w:r w:rsidR="00183ADA" w:rsidRPr="00183ADA">
        <w:rPr>
          <w:rFonts w:asciiTheme="minorHAnsi" w:hAnsiTheme="minorHAnsi" w:cstheme="minorHAnsi"/>
          <w:lang w:val="en-US"/>
        </w:rPr>
        <w:t xml:space="preserve"> the Secretary General of the Convention on Wetlands and the Secretary </w:t>
      </w:r>
      <w:r w:rsidR="00183ADA" w:rsidRPr="00725483">
        <w:rPr>
          <w:rFonts w:asciiTheme="minorHAnsi" w:hAnsiTheme="minorHAnsi" w:cstheme="minorHAnsi"/>
          <w:i/>
          <w:lang w:val="en-US"/>
        </w:rPr>
        <w:t>pro tempore</w:t>
      </w:r>
      <w:r w:rsidR="00183ADA" w:rsidRPr="00183ADA">
        <w:rPr>
          <w:rFonts w:asciiTheme="minorHAnsi" w:hAnsiTheme="minorHAnsi" w:cstheme="minorHAnsi"/>
          <w:lang w:val="en-US"/>
        </w:rPr>
        <w:t xml:space="preserve"> of the Inter-American Convention for the Protection and Conservation of Sea Turtles signed the renewal of their Memorandum of Understanding, to continue the collaborative work to protect sea turtle species and their wetland habitats.</w:t>
      </w:r>
      <w:r w:rsidR="00241F83">
        <w:rPr>
          <w:rFonts w:asciiTheme="minorHAnsi" w:hAnsiTheme="minorHAnsi" w:cstheme="minorHAnsi"/>
          <w:lang w:val="en-US"/>
        </w:rPr>
        <w:t xml:space="preserve"> This contributes to the implementation of Resolution XIII.24.</w:t>
      </w:r>
    </w:p>
    <w:p w14:paraId="0CF358FE" w14:textId="77777777" w:rsidR="00183ADA" w:rsidRPr="00360A0A" w:rsidRDefault="00183ADA" w:rsidP="005972E9">
      <w:pPr>
        <w:rPr>
          <w:rFonts w:asciiTheme="minorHAnsi" w:hAnsiTheme="minorHAnsi" w:cstheme="minorHAnsi"/>
          <w:lang w:val="en-US"/>
        </w:rPr>
      </w:pPr>
    </w:p>
    <w:p w14:paraId="1B5B4CEA" w14:textId="0D3E964A" w:rsidR="003D171A" w:rsidRDefault="004A0CC9" w:rsidP="005972E9">
      <w:pPr>
        <w:rPr>
          <w:rFonts w:asciiTheme="minorHAnsi" w:hAnsiTheme="minorHAnsi" w:cstheme="minorHAnsi"/>
          <w:lang w:val="en-US"/>
        </w:rPr>
      </w:pPr>
      <w:r>
        <w:rPr>
          <w:rFonts w:asciiTheme="minorHAnsi" w:hAnsiTheme="minorHAnsi" w:cstheme="minorHAnsi"/>
          <w:lang w:val="en-US"/>
        </w:rPr>
        <w:t>30</w:t>
      </w:r>
      <w:r w:rsidR="005D6E99" w:rsidRPr="00360A0A">
        <w:rPr>
          <w:rFonts w:asciiTheme="minorHAnsi" w:hAnsiTheme="minorHAnsi" w:cstheme="minorHAnsi"/>
          <w:lang w:val="en-US"/>
        </w:rPr>
        <w:t>.</w:t>
      </w:r>
      <w:r w:rsidR="005D6E99" w:rsidRPr="00360A0A">
        <w:rPr>
          <w:rFonts w:asciiTheme="minorHAnsi" w:hAnsiTheme="minorHAnsi" w:cstheme="minorHAnsi"/>
          <w:lang w:val="en-US"/>
        </w:rPr>
        <w:tab/>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been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active</w:t>
      </w:r>
      <w:r w:rsidR="00F861E2" w:rsidRPr="00360A0A">
        <w:rPr>
          <w:rFonts w:asciiTheme="minorHAnsi" w:hAnsiTheme="minorHAnsi" w:cstheme="minorHAnsi"/>
          <w:lang w:val="en-US"/>
        </w:rPr>
        <w:t>ly</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engaged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supporting</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achievement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SDG15</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(“Sustainably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manage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forests,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combat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desertification,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halt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reverse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land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degradation,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halt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loss”)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agenda.</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strengthen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Biological</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Diversity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(CBD).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20</w:t>
      </w:r>
      <w:r w:rsidR="0020356A">
        <w:rPr>
          <w:rFonts w:asciiTheme="minorHAnsi" w:hAnsiTheme="minorHAnsi" w:cstheme="minorHAnsi"/>
          <w:lang w:val="en-US"/>
        </w:rPr>
        <w:t>20</w:t>
      </w:r>
      <w:r w:rsidR="0038705A"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actively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820E5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CBD</w:t>
      </w:r>
      <w:r w:rsidR="00725483">
        <w:rPr>
          <w:rFonts w:asciiTheme="minorHAnsi" w:hAnsiTheme="minorHAnsi" w:cstheme="minorHAnsi"/>
          <w:lang w:val="en-US"/>
        </w:rPr>
        <w:t>’</w:t>
      </w:r>
      <w:r w:rsidR="007C778B">
        <w:rPr>
          <w:rFonts w:asciiTheme="minorHAnsi" w:hAnsiTheme="minorHAnsi" w:cstheme="minorHAnsi"/>
          <w:lang w:val="en-US"/>
        </w:rPr>
        <w:t>s</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preparatory</w:t>
      </w:r>
      <w:r w:rsidR="00360A0A" w:rsidRPr="00360A0A">
        <w:rPr>
          <w:rFonts w:asciiTheme="minorHAnsi" w:hAnsiTheme="minorHAnsi" w:cstheme="minorHAnsi"/>
          <w:lang w:val="en-US"/>
        </w:rPr>
        <w:t xml:space="preserve"> </w:t>
      </w:r>
      <w:r w:rsidR="0038705A" w:rsidRPr="00360A0A">
        <w:rPr>
          <w:rFonts w:asciiTheme="minorHAnsi" w:hAnsiTheme="minorHAnsi" w:cstheme="minorHAnsi"/>
          <w:lang w:val="en-US"/>
        </w:rPr>
        <w:t>process</w:t>
      </w:r>
      <w:r w:rsidR="00360A0A" w:rsidRPr="00360A0A">
        <w:rPr>
          <w:rFonts w:asciiTheme="minorHAnsi" w:hAnsiTheme="minorHAnsi" w:cstheme="minorHAnsi"/>
          <w:lang w:val="en-US"/>
        </w:rPr>
        <w:t xml:space="preserve"> </w:t>
      </w:r>
      <w:r w:rsidR="00DB2778">
        <w:rPr>
          <w:rFonts w:asciiTheme="minorHAnsi" w:hAnsiTheme="minorHAnsi" w:cstheme="minorHAnsi"/>
          <w:lang w:val="en-US"/>
        </w:rPr>
        <w:t>for</w:t>
      </w:r>
      <w:r w:rsidR="00DB2778" w:rsidRPr="00360A0A">
        <w:rPr>
          <w:rFonts w:asciiTheme="minorHAnsi" w:hAnsiTheme="minorHAnsi" w:cstheme="minorHAnsi"/>
          <w:lang w:val="en-US"/>
        </w:rPr>
        <w:t xml:space="preserve"> </w:t>
      </w:r>
      <w:r w:rsidR="0038705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B2778">
        <w:rPr>
          <w:rFonts w:asciiTheme="minorHAnsi" w:hAnsiTheme="minorHAnsi" w:cstheme="minorHAnsi"/>
          <w:lang w:val="en-US"/>
        </w:rPr>
        <w:t>p</w:t>
      </w:r>
      <w:r w:rsidR="00DB2778" w:rsidRPr="00360A0A">
        <w:rPr>
          <w:rFonts w:asciiTheme="minorHAnsi" w:hAnsiTheme="minorHAnsi" w:cstheme="minorHAnsi"/>
          <w:lang w:val="en-US"/>
        </w:rPr>
        <w:t>ost</w:t>
      </w:r>
      <w:r w:rsidR="00DB2778">
        <w:rPr>
          <w:rFonts w:asciiTheme="minorHAnsi" w:hAnsiTheme="minorHAnsi" w:cstheme="minorHAnsi"/>
          <w:lang w:val="en-US"/>
        </w:rPr>
        <w:t>-</w:t>
      </w:r>
      <w:r w:rsidR="0038705A"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DB2778">
        <w:rPr>
          <w:rFonts w:asciiTheme="minorHAnsi" w:hAnsiTheme="minorHAnsi" w:cstheme="minorHAnsi"/>
          <w:lang w:val="en-US"/>
        </w:rPr>
        <w:t>g</w:t>
      </w:r>
      <w:r w:rsidR="00DB2778" w:rsidRPr="00360A0A">
        <w:rPr>
          <w:rFonts w:asciiTheme="minorHAnsi" w:hAnsiTheme="minorHAnsi" w:cstheme="minorHAnsi"/>
          <w:lang w:val="en-US"/>
        </w:rPr>
        <w:t xml:space="preserve">lobal </w:t>
      </w:r>
      <w:r w:rsidR="00DB2778">
        <w:rPr>
          <w:rFonts w:asciiTheme="minorHAnsi" w:hAnsiTheme="minorHAnsi" w:cstheme="minorHAnsi"/>
          <w:lang w:val="en-US"/>
        </w:rPr>
        <w:t>b</w:t>
      </w:r>
      <w:r w:rsidR="00DB2778" w:rsidRPr="00360A0A">
        <w:rPr>
          <w:rFonts w:asciiTheme="minorHAnsi" w:hAnsiTheme="minorHAnsi" w:cstheme="minorHAnsi"/>
          <w:lang w:val="en-US"/>
        </w:rPr>
        <w:t xml:space="preserve">iodiversity </w:t>
      </w:r>
      <w:r w:rsidR="00DB2778">
        <w:rPr>
          <w:rFonts w:asciiTheme="minorHAnsi" w:hAnsiTheme="minorHAnsi" w:cstheme="minorHAnsi"/>
          <w:lang w:val="en-US"/>
        </w:rPr>
        <w:t>f</w:t>
      </w:r>
      <w:r w:rsidR="00DB2778" w:rsidRPr="00360A0A">
        <w:rPr>
          <w:rFonts w:asciiTheme="minorHAnsi" w:hAnsiTheme="minorHAnsi" w:cstheme="minorHAnsi"/>
          <w:lang w:val="en-US"/>
        </w:rPr>
        <w:t>ramework</w:t>
      </w:r>
      <w:r w:rsidR="0038705A"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Main</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highlights</w:t>
      </w:r>
      <w:r w:rsidR="00360A0A" w:rsidRPr="00360A0A">
        <w:rPr>
          <w:rFonts w:asciiTheme="minorHAnsi" w:hAnsiTheme="minorHAnsi" w:cstheme="minorHAnsi"/>
          <w:lang w:val="en-US"/>
        </w:rPr>
        <w:t xml:space="preserve"> </w:t>
      </w:r>
      <w:r w:rsidR="003D171A" w:rsidRPr="00360A0A">
        <w:rPr>
          <w:rFonts w:asciiTheme="minorHAnsi" w:hAnsiTheme="minorHAnsi" w:cstheme="minorHAnsi"/>
          <w:lang w:val="en-US"/>
        </w:rPr>
        <w:t>include:</w:t>
      </w:r>
    </w:p>
    <w:p w14:paraId="18A26C7A" w14:textId="77777777" w:rsidR="00B40A79" w:rsidRDefault="00B40A79" w:rsidP="00623F05">
      <w:pPr>
        <w:ind w:left="0" w:firstLine="0"/>
        <w:rPr>
          <w:rFonts w:asciiTheme="minorHAnsi" w:hAnsiTheme="minorHAnsi" w:cstheme="minorHAnsi"/>
          <w:lang w:val="en-US"/>
        </w:rPr>
      </w:pPr>
    </w:p>
    <w:p w14:paraId="2A283207" w14:textId="7A779BAC" w:rsidR="00B40A79" w:rsidRPr="004A0CC9" w:rsidRDefault="004A0CC9" w:rsidP="004A0CC9">
      <w:pPr>
        <w:ind w:left="851"/>
        <w:rPr>
          <w:rFonts w:asciiTheme="minorHAnsi" w:hAnsiTheme="minorHAnsi" w:cstheme="minorHAnsi"/>
          <w:lang w:val="en-US"/>
        </w:rPr>
      </w:pPr>
      <w:r>
        <w:rPr>
          <w:rFonts w:cstheme="minorHAnsi"/>
          <w:lang w:val="en-CA"/>
        </w:rPr>
        <w:t>i.</w:t>
      </w:r>
      <w:r>
        <w:rPr>
          <w:rFonts w:cstheme="minorHAnsi"/>
          <w:lang w:val="en-CA"/>
        </w:rPr>
        <w:tab/>
      </w:r>
      <w:r w:rsidR="00B40A79" w:rsidRPr="004A0CC9">
        <w:rPr>
          <w:rFonts w:cstheme="minorHAnsi"/>
          <w:lang w:val="en-CA"/>
        </w:rPr>
        <w:t xml:space="preserve">The Secretary General delivered a joint statement of the </w:t>
      </w:r>
      <w:r w:rsidR="00725483" w:rsidRPr="00360A0A">
        <w:rPr>
          <w:rFonts w:asciiTheme="minorHAnsi" w:hAnsiTheme="minorHAnsi" w:cstheme="minorHAnsi"/>
          <w:lang w:val="en-US"/>
        </w:rPr>
        <w:t>Biodiversity Liaison Group (</w:t>
      </w:r>
      <w:r w:rsidR="00725483">
        <w:rPr>
          <w:rFonts w:asciiTheme="minorHAnsi" w:hAnsiTheme="minorHAnsi" w:cstheme="minorHAnsi"/>
          <w:lang w:val="en-US"/>
        </w:rPr>
        <w:t xml:space="preserve">BLG) </w:t>
      </w:r>
      <w:r w:rsidR="00B40A79" w:rsidRPr="004A0CC9">
        <w:rPr>
          <w:rFonts w:cstheme="minorHAnsi"/>
          <w:bCs/>
          <w:lang w:val="en-CA"/>
        </w:rPr>
        <w:t>on 30 July</w:t>
      </w:r>
      <w:r w:rsidR="000C41D1" w:rsidRPr="004A0CC9">
        <w:rPr>
          <w:rFonts w:cstheme="minorHAnsi"/>
          <w:bCs/>
          <w:lang w:val="en-CA"/>
        </w:rPr>
        <w:t xml:space="preserve"> 2020</w:t>
      </w:r>
      <w:r w:rsidR="00B40A79" w:rsidRPr="004A0CC9">
        <w:rPr>
          <w:rFonts w:cstheme="minorHAnsi"/>
          <w:bCs/>
          <w:lang w:val="en-CA"/>
        </w:rPr>
        <w:t xml:space="preserve"> </w:t>
      </w:r>
      <w:r w:rsidR="00B40A79" w:rsidRPr="004A0CC9">
        <w:rPr>
          <w:rFonts w:cstheme="minorHAnsi"/>
          <w:lang w:val="en-CA"/>
        </w:rPr>
        <w:t xml:space="preserve">at the webinar </w:t>
      </w:r>
      <w:r w:rsidR="00725483">
        <w:rPr>
          <w:rFonts w:cstheme="minorHAnsi"/>
          <w:lang w:val="en-CA"/>
        </w:rPr>
        <w:t>c</w:t>
      </w:r>
      <w:r w:rsidR="00B40A79" w:rsidRPr="004A0CC9">
        <w:rPr>
          <w:rFonts w:cstheme="minorHAnsi"/>
          <w:lang w:val="en-CA"/>
        </w:rPr>
        <w:t xml:space="preserve">onference </w:t>
      </w:r>
      <w:r w:rsidR="00725483" w:rsidRPr="00725483">
        <w:rPr>
          <w:rFonts w:asciiTheme="minorHAnsi" w:hAnsiTheme="minorHAnsi" w:cstheme="minorHAnsi"/>
          <w:bCs/>
          <w:lang w:val="en-CA"/>
        </w:rPr>
        <w:t>“</w:t>
      </w:r>
      <w:r w:rsidR="00B40A79" w:rsidRPr="004A0CC9">
        <w:rPr>
          <w:rFonts w:cstheme="minorHAnsi"/>
          <w:bCs/>
          <w:lang w:val="en-CA"/>
        </w:rPr>
        <w:t>Building Back Better: protecting biodiversity,</w:t>
      </w:r>
      <w:r w:rsidR="00013A89">
        <w:rPr>
          <w:rFonts w:cstheme="minorHAnsi"/>
          <w:bCs/>
          <w:lang w:val="en-CA"/>
        </w:rPr>
        <w:t xml:space="preserve"> </w:t>
      </w:r>
      <w:r w:rsidR="00B40A79" w:rsidRPr="004A0CC9">
        <w:rPr>
          <w:rFonts w:cstheme="minorHAnsi"/>
          <w:bCs/>
          <w:lang w:val="en-CA"/>
        </w:rPr>
        <w:t xml:space="preserve">combating land degradation and mitigating climate change to reduce the risks of future pandemics, and the importance of a coherent approach” </w:t>
      </w:r>
      <w:r w:rsidR="00B40A79" w:rsidRPr="004A0CC9">
        <w:rPr>
          <w:rFonts w:cs="Calibri"/>
          <w:color w:val="000000"/>
        </w:rPr>
        <w:t>jointly organized by Egypt</w:t>
      </w:r>
      <w:r w:rsidR="00241F83" w:rsidRPr="004A0CC9">
        <w:rPr>
          <w:rFonts w:cs="Calibri"/>
          <w:color w:val="000000"/>
        </w:rPr>
        <w:t xml:space="preserve"> as President of the COP</w:t>
      </w:r>
      <w:r w:rsidR="00B40A79" w:rsidRPr="004A0CC9">
        <w:rPr>
          <w:rFonts w:cs="Calibri"/>
          <w:color w:val="000000"/>
        </w:rPr>
        <w:t xml:space="preserve"> and the Secretariat of the </w:t>
      </w:r>
      <w:r w:rsidR="00725483">
        <w:rPr>
          <w:rFonts w:cs="Calibri"/>
          <w:color w:val="000000"/>
        </w:rPr>
        <w:t>CBD</w:t>
      </w:r>
      <w:r w:rsidR="00B40A79" w:rsidRPr="004A0CC9">
        <w:rPr>
          <w:rFonts w:cs="Calibri"/>
          <w:color w:val="000000"/>
        </w:rPr>
        <w:t>.</w:t>
      </w:r>
    </w:p>
    <w:p w14:paraId="631408BD" w14:textId="77777777" w:rsidR="003D171A" w:rsidRDefault="003D171A" w:rsidP="004A0CC9">
      <w:pPr>
        <w:pStyle w:val="ListParagraph"/>
        <w:ind w:left="851"/>
        <w:rPr>
          <w:rFonts w:asciiTheme="minorHAnsi" w:hAnsiTheme="minorHAnsi" w:cstheme="minorHAnsi"/>
        </w:rPr>
      </w:pPr>
    </w:p>
    <w:p w14:paraId="12A01E78" w14:textId="310A51C8" w:rsidR="009D0C99" w:rsidRPr="004A0CC9" w:rsidRDefault="004A0CC9" w:rsidP="004A0CC9">
      <w:pPr>
        <w:ind w:left="851"/>
        <w:rPr>
          <w:rFonts w:asciiTheme="minorHAnsi" w:hAnsiTheme="minorHAnsi" w:cstheme="minorHAnsi"/>
        </w:rPr>
      </w:pPr>
      <w:r>
        <w:rPr>
          <w:rFonts w:eastAsia="Times New Roman" w:cstheme="minorHAnsi"/>
          <w:lang w:eastAsia="en-GB"/>
        </w:rPr>
        <w:t>ii.</w:t>
      </w:r>
      <w:r>
        <w:rPr>
          <w:rFonts w:eastAsia="Times New Roman" w:cstheme="minorHAnsi"/>
          <w:lang w:eastAsia="en-GB"/>
        </w:rPr>
        <w:tab/>
      </w:r>
      <w:r w:rsidR="00725483">
        <w:rPr>
          <w:rFonts w:eastAsia="Times New Roman" w:cstheme="minorHAnsi"/>
          <w:lang w:eastAsia="en-GB"/>
        </w:rPr>
        <w:t>O</w:t>
      </w:r>
      <w:r w:rsidR="00725483" w:rsidRPr="004A0CC9">
        <w:rPr>
          <w:rFonts w:eastAsia="Times New Roman" w:cstheme="minorHAnsi"/>
          <w:lang w:eastAsia="en-GB"/>
        </w:rPr>
        <w:t>n 30 September 2020</w:t>
      </w:r>
      <w:r w:rsidR="009D0C99" w:rsidRPr="004A0CC9">
        <w:rPr>
          <w:rFonts w:eastAsia="Times New Roman" w:cstheme="minorHAnsi"/>
          <w:lang w:eastAsia="en-GB"/>
        </w:rPr>
        <w:t>, the Secretary G</w:t>
      </w:r>
      <w:r w:rsidR="00345070" w:rsidRPr="004A0CC9">
        <w:rPr>
          <w:rFonts w:eastAsia="Times New Roman" w:cstheme="minorHAnsi"/>
          <w:lang w:eastAsia="en-GB"/>
        </w:rPr>
        <w:t xml:space="preserve">eneral delivered a video </w:t>
      </w:r>
      <w:r w:rsidR="009D0C99" w:rsidRPr="004A0CC9">
        <w:rPr>
          <w:rFonts w:eastAsia="Times New Roman" w:cstheme="minorHAnsi"/>
          <w:lang w:eastAsia="en-GB"/>
        </w:rPr>
        <w:t xml:space="preserve">statement </w:t>
      </w:r>
      <w:r w:rsidR="00725483">
        <w:rPr>
          <w:rFonts w:eastAsia="Times New Roman" w:cstheme="minorHAnsi"/>
          <w:lang w:eastAsia="en-GB"/>
        </w:rPr>
        <w:t xml:space="preserve">to </w:t>
      </w:r>
      <w:r w:rsidR="00725483" w:rsidRPr="004A0CC9">
        <w:rPr>
          <w:rFonts w:eastAsia="Times New Roman" w:cstheme="minorHAnsi"/>
          <w:lang w:eastAsia="en-GB"/>
        </w:rPr>
        <w:t xml:space="preserve">the UN Biodiversity Summit </w:t>
      </w:r>
      <w:r w:rsidR="009D0C99" w:rsidRPr="004A0CC9">
        <w:rPr>
          <w:rFonts w:eastAsia="Times New Roman" w:cstheme="minorHAnsi"/>
          <w:lang w:eastAsia="en-GB"/>
        </w:rPr>
        <w:t>highlighting the importance of w</w:t>
      </w:r>
      <w:r w:rsidR="009D0C99" w:rsidRPr="004A0CC9">
        <w:rPr>
          <w:rFonts w:cstheme="minorHAnsi"/>
        </w:rPr>
        <w:t>etlands for nature-based</w:t>
      </w:r>
      <w:r w:rsidR="00725483">
        <w:rPr>
          <w:rFonts w:cstheme="minorHAnsi"/>
        </w:rPr>
        <w:t xml:space="preserve"> </w:t>
      </w:r>
      <w:r w:rsidR="009D0C99" w:rsidRPr="004A0CC9">
        <w:rPr>
          <w:rFonts w:cstheme="minorHAnsi"/>
        </w:rPr>
        <w:t>solutions to address the current threats to biodiversity.</w:t>
      </w:r>
    </w:p>
    <w:p w14:paraId="23BD92F9" w14:textId="77777777" w:rsidR="004500B4" w:rsidRPr="00360A0A" w:rsidRDefault="004500B4" w:rsidP="004A0CC9">
      <w:pPr>
        <w:ind w:left="851"/>
        <w:rPr>
          <w:rFonts w:asciiTheme="minorHAnsi" w:hAnsiTheme="minorHAnsi" w:cstheme="minorHAnsi"/>
        </w:rPr>
      </w:pPr>
    </w:p>
    <w:p w14:paraId="3ABC28D5" w14:textId="6CF1B400" w:rsidR="004F300C" w:rsidRDefault="004A0CC9" w:rsidP="004A0CC9">
      <w:pPr>
        <w:pStyle w:val="Default"/>
        <w:ind w:left="851" w:hanging="425"/>
        <w:rPr>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CF7C56" w:rsidRPr="001E39F1">
        <w:rPr>
          <w:rFonts w:asciiTheme="minorHAnsi" w:hAnsiTheme="minorHAnsi" w:cstheme="minorHAnsi"/>
          <w:sz w:val="22"/>
          <w:szCs w:val="22"/>
        </w:rPr>
        <w:t>T</w:t>
      </w:r>
      <w:r w:rsidR="004500B4" w:rsidRPr="001E39F1">
        <w:rPr>
          <w:rFonts w:asciiTheme="minorHAnsi" w:hAnsiTheme="minorHAnsi" w:cstheme="minorHAnsi"/>
          <w:sz w:val="22"/>
          <w:szCs w:val="22"/>
        </w:rPr>
        <w:t>he</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Secretary</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General</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participated</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in</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the</w:t>
      </w:r>
      <w:r w:rsidR="00360A0A" w:rsidRPr="001E39F1">
        <w:rPr>
          <w:rFonts w:asciiTheme="minorHAnsi" w:hAnsiTheme="minorHAnsi" w:cstheme="minorHAnsi"/>
          <w:sz w:val="22"/>
          <w:szCs w:val="22"/>
        </w:rPr>
        <w:t xml:space="preserve"> </w:t>
      </w:r>
      <w:r w:rsidR="004500B4" w:rsidRPr="00725483">
        <w:rPr>
          <w:rFonts w:asciiTheme="minorHAnsi" w:hAnsiTheme="minorHAnsi" w:cstheme="minorHAnsi"/>
          <w:sz w:val="22"/>
          <w:szCs w:val="22"/>
        </w:rPr>
        <w:t>2</w:t>
      </w:r>
      <w:r w:rsidR="00CF7C56" w:rsidRPr="00725483">
        <w:rPr>
          <w:rFonts w:asciiTheme="minorHAnsi" w:hAnsiTheme="minorHAnsi" w:cstheme="minorHAnsi"/>
          <w:sz w:val="22"/>
          <w:szCs w:val="22"/>
        </w:rPr>
        <w:t>6</w:t>
      </w:r>
      <w:r w:rsidR="00831639" w:rsidRPr="00725483">
        <w:rPr>
          <w:rFonts w:asciiTheme="minorHAnsi" w:hAnsiTheme="minorHAnsi" w:cstheme="minorHAnsi"/>
          <w:sz w:val="22"/>
          <w:szCs w:val="22"/>
        </w:rPr>
        <w:t>th</w:t>
      </w:r>
      <w:r w:rsidR="00831639">
        <w:rPr>
          <w:rFonts w:asciiTheme="minorHAnsi" w:hAnsiTheme="minorHAnsi" w:cstheme="minorHAnsi"/>
          <w:sz w:val="22"/>
          <w:szCs w:val="22"/>
        </w:rPr>
        <w:t xml:space="preserve"> </w:t>
      </w:r>
      <w:r w:rsidR="004500B4" w:rsidRPr="001E39F1">
        <w:rPr>
          <w:rFonts w:asciiTheme="minorHAnsi" w:hAnsiTheme="minorHAnsi" w:cstheme="minorHAnsi"/>
          <w:sz w:val="22"/>
          <w:szCs w:val="22"/>
        </w:rPr>
        <w:t>Senior</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Officials</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Meeting</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of</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the</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United</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Nations</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Environment</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Management</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Group</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(EMG)</w:t>
      </w:r>
      <w:r w:rsidR="005B4ABD" w:rsidRPr="001E39F1">
        <w:rPr>
          <w:rFonts w:asciiTheme="minorHAnsi" w:hAnsiTheme="minorHAnsi" w:cstheme="minorHAnsi"/>
          <w:sz w:val="22"/>
          <w:szCs w:val="22"/>
        </w:rPr>
        <w:t xml:space="preserve"> held virtually on 28 October 2020</w:t>
      </w:r>
      <w:r w:rsidR="004500B4" w:rsidRPr="001E39F1">
        <w:rPr>
          <w:rFonts w:asciiTheme="minorHAnsi" w:hAnsiTheme="minorHAnsi" w:cstheme="minorHAnsi"/>
          <w:sz w:val="22"/>
          <w:szCs w:val="22"/>
        </w:rPr>
        <w:t>,</w:t>
      </w:r>
      <w:r w:rsidR="00360A0A" w:rsidRPr="001E39F1">
        <w:rPr>
          <w:rFonts w:asciiTheme="minorHAnsi" w:hAnsiTheme="minorHAnsi" w:cstheme="minorHAnsi"/>
          <w:sz w:val="22"/>
          <w:szCs w:val="22"/>
        </w:rPr>
        <w:t xml:space="preserve"> </w:t>
      </w:r>
      <w:r w:rsidR="00B224FB" w:rsidRPr="001E39F1">
        <w:rPr>
          <w:rFonts w:asciiTheme="minorHAnsi" w:hAnsiTheme="minorHAnsi" w:cstheme="minorHAnsi"/>
          <w:sz w:val="22"/>
          <w:szCs w:val="22"/>
        </w:rPr>
        <w:t>which</w:t>
      </w:r>
      <w:r w:rsidR="00360A0A" w:rsidRPr="001E39F1">
        <w:rPr>
          <w:rFonts w:asciiTheme="minorHAnsi" w:hAnsiTheme="minorHAnsi" w:cstheme="minorHAnsi"/>
          <w:sz w:val="22"/>
          <w:szCs w:val="22"/>
        </w:rPr>
        <w:t xml:space="preserve"> </w:t>
      </w:r>
      <w:r w:rsidR="00CF10FF" w:rsidRPr="001E39F1">
        <w:rPr>
          <w:rFonts w:asciiTheme="minorHAnsi" w:hAnsiTheme="minorHAnsi" w:cstheme="minorHAnsi"/>
          <w:sz w:val="22"/>
          <w:szCs w:val="22"/>
        </w:rPr>
        <w:t>d</w:t>
      </w:r>
      <w:r w:rsidR="00CF10FF" w:rsidRPr="001E39F1">
        <w:rPr>
          <w:sz w:val="22"/>
          <w:szCs w:val="22"/>
        </w:rPr>
        <w:t>ecided to extend the Consul</w:t>
      </w:r>
      <w:r w:rsidR="00920075">
        <w:rPr>
          <w:sz w:val="22"/>
          <w:szCs w:val="22"/>
        </w:rPr>
        <w:t xml:space="preserve">tative Process on Biodiversity </w:t>
      </w:r>
      <w:r w:rsidR="00CF10FF" w:rsidRPr="001E39F1">
        <w:rPr>
          <w:sz w:val="22"/>
          <w:szCs w:val="22"/>
        </w:rPr>
        <w:t>in support of the post</w:t>
      </w:r>
      <w:r w:rsidR="008072E0">
        <w:rPr>
          <w:sz w:val="22"/>
          <w:szCs w:val="22"/>
        </w:rPr>
        <w:t>-</w:t>
      </w:r>
      <w:r w:rsidR="00CF10FF" w:rsidRPr="001E39F1">
        <w:rPr>
          <w:sz w:val="22"/>
          <w:szCs w:val="22"/>
        </w:rPr>
        <w:t>2020 global biodiversity framework.</w:t>
      </w:r>
      <w:r w:rsidR="00013A89">
        <w:rPr>
          <w:sz w:val="22"/>
          <w:szCs w:val="22"/>
        </w:rPr>
        <w:t xml:space="preserve"> </w:t>
      </w:r>
      <w:r w:rsidR="004500B4" w:rsidRPr="001E39F1">
        <w:rPr>
          <w:rFonts w:asciiTheme="minorHAnsi" w:hAnsiTheme="minorHAnsi" w:cstheme="minorHAnsi"/>
          <w:sz w:val="22"/>
          <w:szCs w:val="22"/>
        </w:rPr>
        <w:t>The</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Secretary</w:t>
      </w:r>
      <w:r w:rsidR="00360A0A" w:rsidRPr="001E39F1">
        <w:rPr>
          <w:rFonts w:asciiTheme="minorHAnsi" w:hAnsiTheme="minorHAnsi" w:cstheme="minorHAnsi"/>
          <w:sz w:val="22"/>
          <w:szCs w:val="22"/>
        </w:rPr>
        <w:t xml:space="preserve"> </w:t>
      </w:r>
      <w:r w:rsidR="004500B4" w:rsidRPr="001E39F1">
        <w:rPr>
          <w:rFonts w:asciiTheme="minorHAnsi" w:hAnsiTheme="minorHAnsi" w:cstheme="minorHAnsi"/>
          <w:sz w:val="22"/>
          <w:szCs w:val="22"/>
        </w:rPr>
        <w:t>General</w:t>
      </w:r>
      <w:r w:rsidR="00360A0A" w:rsidRPr="00CF10FF">
        <w:rPr>
          <w:rFonts w:asciiTheme="minorHAnsi" w:hAnsiTheme="minorHAnsi" w:cstheme="minorHAnsi"/>
        </w:rPr>
        <w:t xml:space="preserve"> </w:t>
      </w:r>
      <w:r w:rsidR="00CF10FF">
        <w:rPr>
          <w:sz w:val="22"/>
          <w:szCs w:val="22"/>
        </w:rPr>
        <w:t>expressed support for the Global Biodiversity Agenda and stated that the EMG has significant value in building a common narrative for “Building Back Better” with an environmental focus.</w:t>
      </w:r>
      <w:r w:rsidR="00013A89">
        <w:rPr>
          <w:sz w:val="22"/>
          <w:szCs w:val="22"/>
        </w:rPr>
        <w:t xml:space="preserve"> </w:t>
      </w:r>
    </w:p>
    <w:p w14:paraId="5F774D11" w14:textId="77777777" w:rsidR="00BC3F4A" w:rsidRDefault="00BC3F4A" w:rsidP="004A0CC9">
      <w:pPr>
        <w:pStyle w:val="Default"/>
        <w:ind w:left="851" w:hanging="425"/>
      </w:pPr>
    </w:p>
    <w:p w14:paraId="7ED46F45" w14:textId="768ECB28" w:rsidR="00A1035D" w:rsidRPr="004A0CC9" w:rsidRDefault="004A0CC9" w:rsidP="004A0CC9">
      <w:pPr>
        <w:ind w:left="851"/>
        <w:rPr>
          <w:rFonts w:asciiTheme="minorHAnsi" w:hAnsiTheme="minorHAnsi" w:cstheme="minorHAnsi"/>
        </w:rPr>
      </w:pPr>
      <w:r>
        <w:rPr>
          <w:rFonts w:asciiTheme="minorHAnsi" w:hAnsiTheme="minorHAnsi" w:cstheme="minorHAnsi"/>
        </w:rPr>
        <w:lastRenderedPageBreak/>
        <w:t>iv.</w:t>
      </w:r>
      <w:r w:rsidR="00920075" w:rsidRPr="004A0CC9">
        <w:rPr>
          <w:rFonts w:asciiTheme="minorHAnsi" w:hAnsiTheme="minorHAnsi" w:cstheme="minorHAnsi"/>
        </w:rPr>
        <w:tab/>
      </w:r>
      <w:r w:rsidR="00A1035D" w:rsidRPr="004A0CC9">
        <w:rPr>
          <w:rFonts w:asciiTheme="minorHAnsi" w:hAnsiTheme="minorHAnsi" w:cstheme="minorHAnsi"/>
        </w:rPr>
        <w:t>The Secretariat, the Chair and six Standing Committee representativ</w:t>
      </w:r>
      <w:r w:rsidR="00831639" w:rsidRPr="004A0CC9">
        <w:rPr>
          <w:rFonts w:asciiTheme="minorHAnsi" w:hAnsiTheme="minorHAnsi" w:cstheme="minorHAnsi"/>
        </w:rPr>
        <w:t xml:space="preserve">es participated in the Bern II </w:t>
      </w:r>
      <w:r w:rsidR="00A1035D" w:rsidRPr="004A0CC9">
        <w:rPr>
          <w:rFonts w:asciiTheme="minorHAnsi" w:hAnsiTheme="minorHAnsi" w:cstheme="minorHAnsi"/>
        </w:rPr>
        <w:t xml:space="preserve">virtual </w:t>
      </w:r>
      <w:r w:rsidR="008072E0">
        <w:rPr>
          <w:rFonts w:asciiTheme="minorHAnsi" w:hAnsiTheme="minorHAnsi" w:cstheme="minorHAnsi"/>
        </w:rPr>
        <w:t>multilateral environmental agreement (</w:t>
      </w:r>
      <w:r w:rsidR="00A1035D" w:rsidRPr="004A0CC9">
        <w:rPr>
          <w:rFonts w:asciiTheme="minorHAnsi" w:hAnsiTheme="minorHAnsi" w:cstheme="minorHAnsi"/>
        </w:rPr>
        <w:t>MEA</w:t>
      </w:r>
      <w:r w:rsidR="008072E0">
        <w:rPr>
          <w:rFonts w:asciiTheme="minorHAnsi" w:hAnsiTheme="minorHAnsi" w:cstheme="minorHAnsi"/>
        </w:rPr>
        <w:t>)</w:t>
      </w:r>
      <w:r w:rsidR="00A1035D" w:rsidRPr="004A0CC9">
        <w:rPr>
          <w:rFonts w:asciiTheme="minorHAnsi" w:hAnsiTheme="minorHAnsi" w:cstheme="minorHAnsi"/>
        </w:rPr>
        <w:t xml:space="preserve"> consultation workshop on the post-2020 </w:t>
      </w:r>
      <w:r w:rsidR="008072E0" w:rsidRPr="001E39F1">
        <w:t>framework</w:t>
      </w:r>
      <w:r w:rsidR="008072E0" w:rsidRPr="004A0CC9">
        <w:rPr>
          <w:rFonts w:asciiTheme="minorHAnsi" w:hAnsiTheme="minorHAnsi" w:cstheme="minorHAnsi"/>
        </w:rPr>
        <w:t xml:space="preserve"> </w:t>
      </w:r>
      <w:r w:rsidR="00A1035D" w:rsidRPr="004A0CC9">
        <w:rPr>
          <w:rFonts w:asciiTheme="minorHAnsi" w:hAnsiTheme="minorHAnsi" w:cstheme="minorHAnsi"/>
        </w:rPr>
        <w:t xml:space="preserve">from </w:t>
      </w:r>
      <w:r w:rsidR="00A1035D" w:rsidRPr="002131EC">
        <w:t>18 January</w:t>
      </w:r>
      <w:r w:rsidR="008072E0">
        <w:t xml:space="preserve"> to </w:t>
      </w:r>
      <w:r w:rsidR="00A1035D" w:rsidRPr="002131EC">
        <w:t>2 February 2021</w:t>
      </w:r>
      <w:r w:rsidR="00A1035D" w:rsidRPr="004A0CC9">
        <w:rPr>
          <w:rFonts w:asciiTheme="minorHAnsi" w:hAnsiTheme="minorHAnsi" w:cstheme="minorHAnsi"/>
        </w:rPr>
        <w:t xml:space="preserve">. </w:t>
      </w:r>
    </w:p>
    <w:p w14:paraId="068D128E" w14:textId="39027DC4" w:rsidR="00644405" w:rsidRPr="00360A0A" w:rsidRDefault="00644405" w:rsidP="00623F05">
      <w:pPr>
        <w:ind w:left="0" w:firstLine="0"/>
        <w:rPr>
          <w:rFonts w:asciiTheme="minorHAnsi" w:hAnsiTheme="minorHAnsi" w:cstheme="minorHAnsi"/>
          <w:highlight w:val="cyan"/>
        </w:rPr>
      </w:pPr>
    </w:p>
    <w:p w14:paraId="6D0D75EC" w14:textId="088B0D36" w:rsidR="00B73800" w:rsidRDefault="004A0CC9" w:rsidP="005972E9">
      <w:pPr>
        <w:rPr>
          <w:rFonts w:asciiTheme="minorHAnsi" w:hAnsiTheme="minorHAnsi" w:cstheme="minorHAnsi"/>
          <w:lang w:val="en-US"/>
        </w:rPr>
      </w:pPr>
      <w:r>
        <w:rPr>
          <w:rFonts w:asciiTheme="minorHAnsi" w:hAnsiTheme="minorHAnsi" w:cstheme="minorHAnsi"/>
          <w:lang w:val="en-US"/>
        </w:rPr>
        <w:t>31</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participate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actively</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BLG.</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Secretary</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General</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50EE8">
        <w:rPr>
          <w:rFonts w:asciiTheme="minorHAnsi" w:hAnsiTheme="minorHAnsi" w:cstheme="minorHAnsi"/>
          <w:lang w:val="en-US"/>
        </w:rPr>
        <w:t>virtual meetings</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BLG</w:t>
      </w:r>
      <w:r w:rsidR="00360A0A" w:rsidRPr="00360A0A">
        <w:rPr>
          <w:rFonts w:asciiTheme="minorHAnsi" w:hAnsiTheme="minorHAnsi" w:cstheme="minorHAnsi"/>
          <w:lang w:val="en-US"/>
        </w:rPr>
        <w:t xml:space="preserve"> </w:t>
      </w:r>
      <w:r w:rsidR="00AC2857">
        <w:rPr>
          <w:rFonts w:asciiTheme="minorHAnsi" w:hAnsiTheme="minorHAnsi" w:cstheme="minorHAnsi"/>
          <w:lang w:val="en-US"/>
        </w:rPr>
        <w:t>on</w:t>
      </w:r>
      <w:r w:rsidR="00E97D03">
        <w:rPr>
          <w:rFonts w:asciiTheme="minorHAnsi" w:hAnsiTheme="minorHAnsi" w:cstheme="minorHAnsi"/>
          <w:lang w:val="en-US"/>
        </w:rPr>
        <w:t xml:space="preserve"> </w:t>
      </w:r>
      <w:r w:rsidR="00920075">
        <w:rPr>
          <w:rFonts w:asciiTheme="minorHAnsi" w:hAnsiTheme="minorHAnsi" w:cstheme="minorHAnsi"/>
          <w:lang w:val="en-US"/>
        </w:rPr>
        <w:t>30</w:t>
      </w:r>
      <w:r w:rsidR="00920075">
        <w:rPr>
          <w:rFonts w:asciiTheme="minorHAnsi" w:hAnsiTheme="minorHAnsi" w:cstheme="minorHAnsi"/>
          <w:vertAlign w:val="superscript"/>
          <w:lang w:val="en-US"/>
        </w:rPr>
        <w:t xml:space="preserve"> </w:t>
      </w:r>
      <w:r w:rsidR="00E97D03">
        <w:rPr>
          <w:rFonts w:asciiTheme="minorHAnsi" w:hAnsiTheme="minorHAnsi" w:cstheme="minorHAnsi"/>
          <w:lang w:val="en-US"/>
        </w:rPr>
        <w:t xml:space="preserve">April </w:t>
      </w:r>
      <w:r w:rsidR="009C7A14">
        <w:rPr>
          <w:rFonts w:asciiTheme="minorHAnsi" w:hAnsiTheme="minorHAnsi" w:cstheme="minorHAnsi"/>
          <w:lang w:val="en-US"/>
        </w:rPr>
        <w:t>and 3 December 2020</w:t>
      </w:r>
      <w:r w:rsidR="00950EE8">
        <w:rPr>
          <w:rFonts w:asciiTheme="minorHAnsi" w:hAnsiTheme="minorHAnsi" w:cstheme="minorHAnsi"/>
          <w:lang w:val="en-US"/>
        </w:rPr>
        <w:t xml:space="preserve"> </w:t>
      </w:r>
      <w:r w:rsidR="00336839" w:rsidRPr="00360A0A">
        <w:rPr>
          <w:rFonts w:asciiTheme="minorHAnsi" w:hAnsiTheme="minorHAnsi" w:cstheme="minorHAnsi"/>
          <w:lang w:val="en-US"/>
        </w:rPr>
        <w:t>w</w:t>
      </w:r>
      <w:r w:rsidR="00F861E2" w:rsidRPr="00360A0A">
        <w:rPr>
          <w:rFonts w:asciiTheme="minorHAnsi" w:hAnsiTheme="minorHAnsi" w:cstheme="minorHAnsi"/>
          <w:lang w:val="en-US"/>
        </w:rPr>
        <w:t>ith</w:t>
      </w:r>
      <w:r w:rsidR="00360A0A" w:rsidRPr="00360A0A">
        <w:rPr>
          <w:rFonts w:asciiTheme="minorHAnsi" w:hAnsiTheme="minorHAnsi" w:cstheme="minorHAnsi"/>
          <w:lang w:val="en-US"/>
        </w:rPr>
        <w:t xml:space="preserve"> </w:t>
      </w:r>
      <w:r w:rsidR="00072DC0"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072DC0" w:rsidRPr="00360A0A">
        <w:rPr>
          <w:rFonts w:asciiTheme="minorHAnsi" w:hAnsiTheme="minorHAnsi" w:cstheme="minorHAnsi"/>
          <w:lang w:val="en-US"/>
        </w:rPr>
        <w:t>major</w:t>
      </w:r>
      <w:r w:rsidR="00360A0A" w:rsidRPr="00360A0A">
        <w:rPr>
          <w:rFonts w:asciiTheme="minorHAnsi" w:hAnsiTheme="minorHAnsi" w:cstheme="minorHAnsi"/>
          <w:lang w:val="en-US"/>
        </w:rPr>
        <w:t xml:space="preserve"> </w:t>
      </w:r>
      <w:r w:rsidR="00072DC0" w:rsidRPr="00360A0A">
        <w:rPr>
          <w:rFonts w:asciiTheme="minorHAnsi" w:hAnsiTheme="minorHAnsi" w:cstheme="minorHAnsi"/>
          <w:lang w:val="en-US"/>
        </w:rPr>
        <w:t>focus</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process</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development</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33683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27B14">
        <w:rPr>
          <w:rFonts w:asciiTheme="minorHAnsi" w:hAnsiTheme="minorHAnsi" w:cstheme="minorHAnsi"/>
          <w:lang w:val="en-US"/>
        </w:rPr>
        <w:t>p</w:t>
      </w:r>
      <w:r w:rsidR="00927B14" w:rsidRPr="00360A0A">
        <w:rPr>
          <w:rFonts w:asciiTheme="minorHAnsi" w:hAnsiTheme="minorHAnsi" w:cstheme="minorHAnsi"/>
          <w:lang w:val="en-US"/>
        </w:rPr>
        <w:t>ost</w:t>
      </w:r>
      <w:r w:rsidR="00336839"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927B14">
        <w:rPr>
          <w:rFonts w:asciiTheme="minorHAnsi" w:hAnsiTheme="minorHAnsi" w:cstheme="minorHAnsi"/>
          <w:lang w:val="en-US"/>
        </w:rPr>
        <w:t>g</w:t>
      </w:r>
      <w:r w:rsidR="00927B14" w:rsidRPr="00360A0A">
        <w:rPr>
          <w:rFonts w:asciiTheme="minorHAnsi" w:hAnsiTheme="minorHAnsi" w:cstheme="minorHAnsi"/>
          <w:lang w:val="en-US"/>
        </w:rPr>
        <w:t xml:space="preserve">lobal </w:t>
      </w:r>
      <w:r w:rsidR="00927B14">
        <w:rPr>
          <w:rFonts w:asciiTheme="minorHAnsi" w:hAnsiTheme="minorHAnsi" w:cstheme="minorHAnsi"/>
          <w:lang w:val="en-US"/>
        </w:rPr>
        <w:t>b</w:t>
      </w:r>
      <w:r w:rsidR="00927B14" w:rsidRPr="00360A0A">
        <w:rPr>
          <w:rFonts w:asciiTheme="minorHAnsi" w:hAnsiTheme="minorHAnsi" w:cstheme="minorHAnsi"/>
          <w:lang w:val="en-US"/>
        </w:rPr>
        <w:t xml:space="preserve">iodiversity </w:t>
      </w:r>
      <w:r w:rsidR="00927B14">
        <w:rPr>
          <w:rFonts w:asciiTheme="minorHAnsi" w:hAnsiTheme="minorHAnsi" w:cstheme="minorHAnsi"/>
          <w:lang w:val="en-US"/>
        </w:rPr>
        <w:t>f</w:t>
      </w:r>
      <w:r w:rsidR="00927B14" w:rsidRPr="00360A0A">
        <w:rPr>
          <w:rFonts w:asciiTheme="minorHAnsi" w:hAnsiTheme="minorHAnsi" w:cstheme="minorHAnsi"/>
          <w:lang w:val="en-US"/>
        </w:rPr>
        <w:t>ramework</w:t>
      </w:r>
      <w:r w:rsidR="009C7A14">
        <w:rPr>
          <w:rFonts w:asciiTheme="minorHAnsi" w:hAnsiTheme="minorHAnsi" w:cstheme="minorHAnsi"/>
          <w:lang w:val="en-US"/>
        </w:rPr>
        <w:t xml:space="preserve">, </w:t>
      </w:r>
      <w:r w:rsidR="009C7A14">
        <w:rPr>
          <w:rFonts w:eastAsia="Times New Roman" w:cstheme="minorHAnsi"/>
          <w:lang w:eastAsia="en-GB"/>
        </w:rPr>
        <w:t>the preparation of the Bern II workshop and</w:t>
      </w:r>
      <w:r w:rsidR="009C7A14">
        <w:rPr>
          <w:bCs/>
        </w:rPr>
        <w:t xml:space="preserve"> sharing experiences on how BLG members are </w:t>
      </w:r>
      <w:r w:rsidR="00AC2857">
        <w:rPr>
          <w:bCs/>
        </w:rPr>
        <w:t xml:space="preserve">managing operations within </w:t>
      </w:r>
      <w:r w:rsidR="008072E0">
        <w:rPr>
          <w:bCs/>
        </w:rPr>
        <w:t xml:space="preserve">the </w:t>
      </w:r>
      <w:r w:rsidR="00AC2857">
        <w:rPr>
          <w:bCs/>
        </w:rPr>
        <w:t>COVID</w:t>
      </w:r>
      <w:r w:rsidR="00205E80">
        <w:rPr>
          <w:bCs/>
        </w:rPr>
        <w:t>-</w:t>
      </w:r>
      <w:r w:rsidR="00AC2857">
        <w:rPr>
          <w:bCs/>
        </w:rPr>
        <w:t>19 context.</w:t>
      </w:r>
      <w:r w:rsidR="00013A89">
        <w:rPr>
          <w:bCs/>
        </w:rPr>
        <w:t xml:space="preserve"> </w:t>
      </w:r>
    </w:p>
    <w:p w14:paraId="3871E29C" w14:textId="77777777" w:rsidR="0015084D" w:rsidRDefault="0015084D" w:rsidP="005972E9">
      <w:pPr>
        <w:rPr>
          <w:rFonts w:asciiTheme="minorHAnsi" w:hAnsiTheme="minorHAnsi" w:cstheme="minorHAnsi"/>
          <w:lang w:val="en-US"/>
        </w:rPr>
      </w:pPr>
    </w:p>
    <w:p w14:paraId="0602EB94" w14:textId="773EEDB4" w:rsidR="00833D90" w:rsidRDefault="004A0CC9" w:rsidP="005972E9">
      <w:pPr>
        <w:rPr>
          <w:rFonts w:asciiTheme="minorHAnsi" w:hAnsiTheme="minorHAnsi" w:cstheme="minorHAnsi"/>
          <w:lang w:val="en-US"/>
        </w:rPr>
      </w:pPr>
      <w:r>
        <w:rPr>
          <w:rFonts w:asciiTheme="minorHAnsi" w:hAnsiTheme="minorHAnsi" w:cstheme="minorHAnsi"/>
          <w:lang w:val="en-US"/>
        </w:rPr>
        <w:t>32</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E90337" w:rsidRPr="00360A0A">
        <w:rPr>
          <w:rFonts w:asciiTheme="minorHAnsi" w:hAnsiTheme="minorHAnsi" w:cstheme="minorHAnsi"/>
          <w:lang w:val="en-US"/>
        </w:rPr>
        <w:t>Given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critical</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role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played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climate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change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mitigation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adaptation,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9437C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9437C6"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9437C6" w:rsidRPr="00360A0A">
        <w:rPr>
          <w:rFonts w:asciiTheme="minorHAnsi" w:hAnsiTheme="minorHAnsi" w:cstheme="minorHAnsi"/>
          <w:lang w:val="en-US"/>
        </w:rPr>
        <w:t>engaged</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issue,</w:t>
      </w:r>
      <w:r w:rsidR="00360A0A" w:rsidRPr="00360A0A">
        <w:rPr>
          <w:rFonts w:asciiTheme="minorHAnsi" w:hAnsiTheme="minorHAnsi" w:cstheme="minorHAnsi"/>
          <w:lang w:val="en-US"/>
        </w:rPr>
        <w:t xml:space="preserve"> </w:t>
      </w:r>
      <w:r w:rsidR="00F861E2" w:rsidRPr="00360A0A">
        <w:rPr>
          <w:rFonts w:asciiTheme="minorHAnsi" w:hAnsiTheme="minorHAnsi" w:cstheme="minorHAnsi"/>
          <w:lang w:val="en-US"/>
        </w:rPr>
        <w:t>including</w:t>
      </w:r>
      <w:r w:rsidR="00833D90">
        <w:rPr>
          <w:rFonts w:asciiTheme="minorHAnsi" w:hAnsiTheme="minorHAnsi" w:cstheme="minorHAnsi"/>
          <w:lang w:val="en-US"/>
        </w:rPr>
        <w:t xml:space="preserve"> through the participation of the Secretary General in the </w:t>
      </w:r>
      <w:r w:rsidR="00833D90" w:rsidRPr="000A180D">
        <w:rPr>
          <w:rFonts w:asciiTheme="minorHAnsi" w:hAnsiTheme="minorHAnsi" w:cstheme="minorHAnsi"/>
          <w:lang w:val="en-US"/>
        </w:rPr>
        <w:t xml:space="preserve">Race to Zero </w:t>
      </w:r>
      <w:hyperlink r:id="rId11" w:history="1">
        <w:r w:rsidR="00833D90" w:rsidRPr="000C41D1">
          <w:rPr>
            <w:rStyle w:val="Hyperlink"/>
            <w:rFonts w:asciiTheme="minorHAnsi" w:hAnsiTheme="minorHAnsi" w:cstheme="minorHAnsi"/>
            <w:color w:val="auto"/>
            <w:u w:val="none"/>
            <w:lang w:val="en-US"/>
          </w:rPr>
          <w:t>Water Day</w:t>
        </w:r>
      </w:hyperlink>
      <w:r w:rsidR="00833D90" w:rsidRPr="000A180D">
        <w:rPr>
          <w:rFonts w:asciiTheme="minorHAnsi" w:hAnsiTheme="minorHAnsi" w:cstheme="minorHAnsi"/>
        </w:rPr>
        <w:t xml:space="preserve"> on 20 November 2020</w:t>
      </w:r>
      <w:r w:rsidR="00833D90" w:rsidRPr="000A180D">
        <w:rPr>
          <w:rFonts w:asciiTheme="minorHAnsi" w:hAnsiTheme="minorHAnsi" w:cstheme="minorHAnsi"/>
          <w:b/>
          <w:bCs/>
          <w:i/>
          <w:iCs/>
        </w:rPr>
        <w:t xml:space="preserve"> </w:t>
      </w:r>
      <w:r w:rsidR="00833D90" w:rsidRPr="001623CF">
        <w:rPr>
          <w:rFonts w:asciiTheme="minorHAnsi" w:hAnsiTheme="minorHAnsi" w:cstheme="minorHAnsi"/>
          <w:bCs/>
          <w:i/>
          <w:iCs/>
        </w:rPr>
        <w:t>“</w:t>
      </w:r>
      <w:r w:rsidR="00833D90" w:rsidRPr="000A180D">
        <w:rPr>
          <w:rFonts w:asciiTheme="minorHAnsi" w:hAnsiTheme="minorHAnsi" w:cstheme="minorHAnsi"/>
          <w:bCs/>
          <w:iCs/>
        </w:rPr>
        <w:t>Vision of a zero-carbon, resilient future through Water”</w:t>
      </w:r>
      <w:r w:rsidR="00833D90" w:rsidRPr="000A180D">
        <w:rPr>
          <w:rFonts w:asciiTheme="minorHAnsi" w:hAnsiTheme="minorHAnsi" w:cstheme="minorHAnsi"/>
          <w:lang w:val="en-US"/>
        </w:rPr>
        <w:t xml:space="preserve"> organized</w:t>
      </w:r>
      <w:r w:rsidR="00013A89">
        <w:rPr>
          <w:rFonts w:asciiTheme="minorHAnsi" w:hAnsiTheme="minorHAnsi" w:cstheme="minorHAnsi"/>
          <w:lang w:val="en-US"/>
        </w:rPr>
        <w:t xml:space="preserve"> </w:t>
      </w:r>
      <w:r w:rsidR="00833D90" w:rsidRPr="000A180D">
        <w:rPr>
          <w:rFonts w:asciiTheme="minorHAnsi" w:hAnsiTheme="minorHAnsi" w:cstheme="minorHAnsi"/>
          <w:lang w:val="en-US"/>
        </w:rPr>
        <w:t xml:space="preserve">by </w:t>
      </w:r>
      <w:r w:rsidR="008259D5">
        <w:rPr>
          <w:rFonts w:asciiTheme="minorHAnsi" w:hAnsiTheme="minorHAnsi" w:cstheme="minorHAnsi"/>
          <w:lang w:val="en-US"/>
        </w:rPr>
        <w:t xml:space="preserve">the </w:t>
      </w:r>
      <w:r w:rsidR="008259D5" w:rsidRPr="008259D5">
        <w:rPr>
          <w:rFonts w:asciiTheme="minorHAnsi" w:hAnsiTheme="minorHAnsi" w:cstheme="minorHAnsi"/>
          <w:lang w:val="en-US"/>
        </w:rPr>
        <w:t xml:space="preserve">Stockholm International Water Institute </w:t>
      </w:r>
      <w:r w:rsidR="008259D5">
        <w:rPr>
          <w:rFonts w:asciiTheme="minorHAnsi" w:hAnsiTheme="minorHAnsi" w:cstheme="minorHAnsi"/>
          <w:lang w:val="en-US"/>
        </w:rPr>
        <w:t>(</w:t>
      </w:r>
      <w:r w:rsidR="00833D90" w:rsidRPr="000A180D">
        <w:rPr>
          <w:rFonts w:asciiTheme="minorHAnsi" w:hAnsiTheme="minorHAnsi" w:cstheme="minorHAnsi"/>
          <w:lang w:val="en-US"/>
        </w:rPr>
        <w:t>SIWI</w:t>
      </w:r>
      <w:r w:rsidR="008259D5">
        <w:rPr>
          <w:rFonts w:asciiTheme="minorHAnsi" w:hAnsiTheme="minorHAnsi" w:cstheme="minorHAnsi"/>
          <w:lang w:val="en-US"/>
        </w:rPr>
        <w:t>)</w:t>
      </w:r>
      <w:r w:rsidR="00833D90" w:rsidRPr="000A180D">
        <w:rPr>
          <w:rFonts w:asciiTheme="minorHAnsi" w:hAnsiTheme="minorHAnsi" w:cstheme="minorHAnsi"/>
          <w:lang w:val="en-US"/>
        </w:rPr>
        <w:t xml:space="preserve"> and partner organizations. </w:t>
      </w:r>
      <w:r w:rsidR="00833D90" w:rsidRPr="000A180D">
        <w:rPr>
          <w:rFonts w:asciiTheme="minorHAnsi" w:hAnsiTheme="minorHAnsi" w:cstheme="minorHAnsi"/>
          <w:shd w:val="clear" w:color="auto" w:fill="FFFFFF"/>
        </w:rPr>
        <w:t xml:space="preserve">Water Day was </w:t>
      </w:r>
      <w:r w:rsidR="00833D90" w:rsidRPr="000C41D1">
        <w:rPr>
          <w:rFonts w:asciiTheme="minorHAnsi" w:hAnsiTheme="minorHAnsi" w:cstheme="minorHAnsi"/>
          <w:shd w:val="clear" w:color="auto" w:fill="FFFFFF"/>
        </w:rPr>
        <w:t>opened by the </w:t>
      </w:r>
      <w:hyperlink r:id="rId12" w:history="1">
        <w:r w:rsidR="00833D90" w:rsidRPr="000C41D1">
          <w:rPr>
            <w:rStyle w:val="Hyperlink"/>
            <w:rFonts w:asciiTheme="minorHAnsi" w:hAnsiTheme="minorHAnsi" w:cstheme="minorHAnsi"/>
            <w:color w:val="auto"/>
            <w:u w:val="none"/>
            <w:shd w:val="clear" w:color="auto" w:fill="FFFFFF"/>
          </w:rPr>
          <w:t xml:space="preserve">United </w:t>
        </w:r>
        <w:r w:rsidR="00833D90" w:rsidRPr="000C41D1">
          <w:rPr>
            <w:rFonts w:asciiTheme="minorHAnsi" w:hAnsiTheme="minorHAnsi" w:cstheme="minorHAnsi"/>
            <w:lang w:val="en-US"/>
          </w:rPr>
          <w:t>Nations</w:t>
        </w:r>
        <w:r w:rsidR="00833D90" w:rsidRPr="000C41D1">
          <w:rPr>
            <w:rStyle w:val="Hyperlink"/>
            <w:rFonts w:asciiTheme="minorHAnsi" w:hAnsiTheme="minorHAnsi" w:cstheme="minorHAnsi"/>
            <w:color w:val="auto"/>
            <w:u w:val="none"/>
            <w:shd w:val="clear" w:color="auto" w:fill="FFFFFF"/>
          </w:rPr>
          <w:t xml:space="preserve"> High-Level Champions on Climate Change</w:t>
        </w:r>
      </w:hyperlink>
      <w:r w:rsidR="00833D90" w:rsidRPr="000C41D1">
        <w:rPr>
          <w:rFonts w:asciiTheme="minorHAnsi" w:hAnsiTheme="minorHAnsi" w:cstheme="minorHAnsi"/>
          <w:shd w:val="clear" w:color="auto" w:fill="FFFFFF"/>
        </w:rPr>
        <w:t> from Chile and from the U</w:t>
      </w:r>
      <w:r w:rsidR="00EA682D">
        <w:rPr>
          <w:rFonts w:asciiTheme="minorHAnsi" w:hAnsiTheme="minorHAnsi" w:cstheme="minorHAnsi"/>
          <w:shd w:val="clear" w:color="auto" w:fill="FFFFFF"/>
        </w:rPr>
        <w:t>nited Kingdom</w:t>
      </w:r>
      <w:r w:rsidR="00833D90" w:rsidRPr="000C41D1">
        <w:rPr>
          <w:rFonts w:asciiTheme="minorHAnsi" w:hAnsiTheme="minorHAnsi" w:cstheme="minorHAnsi"/>
          <w:shd w:val="clear" w:color="auto" w:fill="FFFFFF"/>
        </w:rPr>
        <w:t xml:space="preserve"> who emphasized the crucial role of water for climate</w:t>
      </w:r>
      <w:r w:rsidR="00833D90" w:rsidRPr="000A180D">
        <w:rPr>
          <w:rFonts w:asciiTheme="minorHAnsi" w:hAnsiTheme="minorHAnsi" w:cstheme="minorHAnsi"/>
          <w:shd w:val="clear" w:color="auto" w:fill="FFFFFF"/>
        </w:rPr>
        <w:t xml:space="preserve"> action.</w:t>
      </w:r>
      <w:r w:rsidR="00833D90" w:rsidRPr="000A180D">
        <w:rPr>
          <w:rFonts w:asciiTheme="minorHAnsi" w:hAnsiTheme="minorHAnsi" w:cstheme="minorHAnsi"/>
          <w:lang w:val="en-US"/>
        </w:rPr>
        <w:t xml:space="preserve"> The Secretary General </w:t>
      </w:r>
      <w:r w:rsidR="00833D90" w:rsidRPr="000A180D">
        <w:rPr>
          <w:rFonts w:asciiTheme="minorHAnsi" w:hAnsiTheme="minorHAnsi" w:cstheme="minorHAnsi"/>
          <w:shd w:val="clear" w:color="auto" w:fill="FFFFFF"/>
        </w:rPr>
        <w:t xml:space="preserve">highlighted the largely untapped potential of water-related ecosystems </w:t>
      </w:r>
      <w:r w:rsidR="008259D5">
        <w:rPr>
          <w:rFonts w:asciiTheme="minorHAnsi" w:hAnsiTheme="minorHAnsi" w:cstheme="minorHAnsi"/>
          <w:shd w:val="clear" w:color="auto" w:fill="FFFFFF"/>
        </w:rPr>
        <w:t>to</w:t>
      </w:r>
      <w:r w:rsidR="00833D90" w:rsidRPr="000A180D">
        <w:rPr>
          <w:rFonts w:asciiTheme="minorHAnsi" w:hAnsiTheme="minorHAnsi" w:cstheme="minorHAnsi"/>
          <w:shd w:val="clear" w:color="auto" w:fill="FFFFFF"/>
        </w:rPr>
        <w:t xml:space="preserve"> </w:t>
      </w:r>
      <w:r w:rsidR="00EA682D">
        <w:rPr>
          <w:rFonts w:asciiTheme="minorHAnsi" w:hAnsiTheme="minorHAnsi" w:cstheme="minorHAnsi"/>
          <w:shd w:val="clear" w:color="auto" w:fill="FFFFFF"/>
        </w:rPr>
        <w:t>contribute significantly to</w:t>
      </w:r>
      <w:r w:rsidR="008259D5">
        <w:rPr>
          <w:rFonts w:asciiTheme="minorHAnsi" w:hAnsiTheme="minorHAnsi" w:cstheme="minorHAnsi"/>
          <w:shd w:val="clear" w:color="auto" w:fill="FFFFFF"/>
        </w:rPr>
        <w:t xml:space="preserve"> </w:t>
      </w:r>
      <w:r w:rsidR="00833D90" w:rsidRPr="000A180D">
        <w:rPr>
          <w:rFonts w:asciiTheme="minorHAnsi" w:hAnsiTheme="minorHAnsi" w:cstheme="minorHAnsi"/>
          <w:shd w:val="clear" w:color="auto" w:fill="FFFFFF"/>
        </w:rPr>
        <w:t xml:space="preserve">the emissions reductions needed to achieve </w:t>
      </w:r>
      <w:r w:rsidR="008259D5">
        <w:rPr>
          <w:rFonts w:asciiTheme="minorHAnsi" w:hAnsiTheme="minorHAnsi" w:cstheme="minorHAnsi"/>
          <w:shd w:val="clear" w:color="auto" w:fill="FFFFFF"/>
        </w:rPr>
        <w:t xml:space="preserve">the </w:t>
      </w:r>
      <w:r w:rsidR="00847A97">
        <w:rPr>
          <w:rFonts w:asciiTheme="minorHAnsi" w:hAnsiTheme="minorHAnsi" w:cstheme="minorHAnsi"/>
          <w:shd w:val="clear" w:color="auto" w:fill="FFFFFF"/>
        </w:rPr>
        <w:t>limit</w:t>
      </w:r>
      <w:r w:rsidR="00847A97" w:rsidRPr="000A180D">
        <w:rPr>
          <w:rFonts w:asciiTheme="minorHAnsi" w:hAnsiTheme="minorHAnsi" w:cstheme="minorHAnsi"/>
          <w:shd w:val="clear" w:color="auto" w:fill="FFFFFF"/>
        </w:rPr>
        <w:t xml:space="preserve"> </w:t>
      </w:r>
      <w:r w:rsidR="00847A97">
        <w:rPr>
          <w:rFonts w:asciiTheme="minorHAnsi" w:hAnsiTheme="minorHAnsi" w:cstheme="minorHAnsi"/>
          <w:shd w:val="clear" w:color="auto" w:fill="FFFFFF"/>
        </w:rPr>
        <w:t xml:space="preserve">of </w:t>
      </w:r>
      <w:r w:rsidR="00833D90" w:rsidRPr="000A180D">
        <w:rPr>
          <w:rFonts w:asciiTheme="minorHAnsi" w:hAnsiTheme="minorHAnsi" w:cstheme="minorHAnsi"/>
          <w:shd w:val="clear" w:color="auto" w:fill="FFFFFF"/>
        </w:rPr>
        <w:t>two degrees Celsius</w:t>
      </w:r>
      <w:r w:rsidR="008259D5">
        <w:rPr>
          <w:rFonts w:asciiTheme="minorHAnsi" w:hAnsiTheme="minorHAnsi" w:cstheme="minorHAnsi"/>
          <w:shd w:val="clear" w:color="auto" w:fill="FFFFFF"/>
        </w:rPr>
        <w:t xml:space="preserve"> of warming</w:t>
      </w:r>
      <w:r w:rsidR="00833D90" w:rsidRPr="000A180D">
        <w:rPr>
          <w:rFonts w:asciiTheme="minorHAnsi" w:hAnsiTheme="minorHAnsi" w:cstheme="minorHAnsi"/>
          <w:shd w:val="clear" w:color="auto" w:fill="FFFFFF"/>
        </w:rPr>
        <w:t xml:space="preserve">. She highlighted that wetlands </w:t>
      </w:r>
      <w:r w:rsidR="00EA682D">
        <w:rPr>
          <w:rFonts w:asciiTheme="minorHAnsi" w:hAnsiTheme="minorHAnsi" w:cstheme="minorHAnsi"/>
          <w:shd w:val="clear" w:color="auto" w:fill="FFFFFF"/>
        </w:rPr>
        <w:t>are</w:t>
      </w:r>
      <w:r w:rsidR="00833D90" w:rsidRPr="000A180D">
        <w:rPr>
          <w:rFonts w:asciiTheme="minorHAnsi" w:hAnsiTheme="minorHAnsi" w:cstheme="minorHAnsi"/>
          <w:shd w:val="clear" w:color="auto" w:fill="FFFFFF"/>
        </w:rPr>
        <w:t xml:space="preserve"> increasingly important to protect us from the impacts of climate change since they reduce the risks of droughts and floods while also cleaning and recharging water.</w:t>
      </w:r>
      <w:r w:rsidR="00013A89">
        <w:rPr>
          <w:rFonts w:asciiTheme="minorHAnsi" w:hAnsiTheme="minorHAnsi" w:cstheme="minorHAnsi"/>
          <w:lang w:val="en-US"/>
        </w:rPr>
        <w:t xml:space="preserve"> </w:t>
      </w:r>
      <w:r w:rsidR="00833D90" w:rsidRPr="000A180D">
        <w:rPr>
          <w:rFonts w:asciiTheme="minorHAnsi" w:hAnsiTheme="minorHAnsi" w:cstheme="minorHAnsi"/>
          <w:lang w:val="en-US"/>
        </w:rPr>
        <w:t xml:space="preserve"> </w:t>
      </w:r>
    </w:p>
    <w:p w14:paraId="121F1DA3" w14:textId="4EC0C304" w:rsidR="00833D90" w:rsidRDefault="00833D90" w:rsidP="005972E9">
      <w:pPr>
        <w:rPr>
          <w:rFonts w:asciiTheme="minorHAnsi" w:hAnsiTheme="minorHAnsi" w:cstheme="minorHAnsi"/>
          <w:lang w:val="en-US"/>
        </w:rPr>
      </w:pPr>
    </w:p>
    <w:p w14:paraId="1E5931D9" w14:textId="3354D372" w:rsidR="009102C6" w:rsidRDefault="004A0CC9" w:rsidP="005972E9">
      <w:pPr>
        <w:rPr>
          <w:rFonts w:asciiTheme="minorHAnsi" w:hAnsiTheme="minorHAnsi" w:cstheme="minorHAnsi"/>
          <w:lang w:val="en-US"/>
        </w:rPr>
      </w:pPr>
      <w:r>
        <w:rPr>
          <w:rFonts w:asciiTheme="minorHAnsi" w:hAnsiTheme="minorHAnsi" w:cstheme="minorHAnsi"/>
          <w:lang w:val="en-US"/>
        </w:rPr>
        <w:t>33</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241F83">
        <w:rPr>
          <w:rFonts w:asciiTheme="minorHAnsi" w:hAnsiTheme="minorHAnsi" w:cstheme="minorHAnsi"/>
          <w:lang w:val="en-US"/>
        </w:rPr>
        <w:t>contributed to SDG</w:t>
      </w:r>
      <w:r w:rsidR="008259D5">
        <w:rPr>
          <w:rFonts w:asciiTheme="minorHAnsi" w:hAnsiTheme="minorHAnsi" w:cstheme="minorHAnsi"/>
          <w:lang w:val="en-US"/>
        </w:rPr>
        <w:t xml:space="preserve"> </w:t>
      </w:r>
      <w:r w:rsidR="00241F83">
        <w:rPr>
          <w:rFonts w:asciiTheme="minorHAnsi" w:hAnsiTheme="minorHAnsi" w:cstheme="minorHAnsi"/>
          <w:lang w:val="en-US"/>
        </w:rPr>
        <w:t>5 on gender equality and women</w:t>
      </w:r>
      <w:r w:rsidR="008259D5">
        <w:rPr>
          <w:rFonts w:asciiTheme="minorHAnsi" w:hAnsiTheme="minorHAnsi" w:cstheme="minorHAnsi"/>
          <w:lang w:val="en-US"/>
        </w:rPr>
        <w:t>’</w:t>
      </w:r>
      <w:r w:rsidR="00241F83">
        <w:rPr>
          <w:rFonts w:asciiTheme="minorHAnsi" w:hAnsiTheme="minorHAnsi" w:cstheme="minorHAnsi"/>
          <w:lang w:val="en-US"/>
        </w:rPr>
        <w:t>s empowerment. The Secretariat</w:t>
      </w:r>
      <w:r w:rsidR="00013A89">
        <w:rPr>
          <w:rFonts w:asciiTheme="minorHAnsi" w:hAnsiTheme="minorHAnsi" w:cstheme="minorHAnsi"/>
          <w:lang w:val="en-US"/>
        </w:rPr>
        <w:t xml:space="preserve"> </w:t>
      </w:r>
      <w:r w:rsidR="009102C6">
        <w:rPr>
          <w:rFonts w:asciiTheme="minorHAnsi" w:hAnsiTheme="minorHAnsi" w:cstheme="minorHAnsi"/>
          <w:lang w:val="en-US"/>
        </w:rPr>
        <w:t>develop</w:t>
      </w:r>
      <w:r w:rsidR="00241F83">
        <w:rPr>
          <w:rFonts w:asciiTheme="minorHAnsi" w:hAnsiTheme="minorHAnsi" w:cstheme="minorHAnsi"/>
          <w:lang w:val="en-US"/>
        </w:rPr>
        <w:t>ed</w:t>
      </w:r>
      <w:r w:rsidR="009102C6">
        <w:rPr>
          <w:rFonts w:asciiTheme="minorHAnsi" w:hAnsiTheme="minorHAnsi" w:cstheme="minorHAnsi"/>
          <w:lang w:val="en-US"/>
        </w:rPr>
        <w:t xml:space="preserve"> guidance</w:t>
      </w:r>
      <w:r w:rsidR="00F57FF2">
        <w:rPr>
          <w:rFonts w:asciiTheme="minorHAnsi" w:hAnsiTheme="minorHAnsi" w:cstheme="minorHAnsi"/>
          <w:lang w:val="en-US"/>
        </w:rPr>
        <w:t xml:space="preserve"> </w:t>
      </w:r>
      <w:r w:rsidR="006C1FC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F57FF2">
        <w:rPr>
          <w:rFonts w:asciiTheme="minorHAnsi" w:hAnsiTheme="minorHAnsi" w:cstheme="minorHAnsi"/>
          <w:lang w:val="en-US"/>
        </w:rPr>
        <w:t>assist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mainstream</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gender</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their</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work</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conservation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wise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use</w:t>
      </w:r>
      <w:r w:rsidR="00F57FF2">
        <w:rPr>
          <w:rFonts w:asciiTheme="minorHAnsi" w:hAnsiTheme="minorHAnsi" w:cstheme="minorHAnsi"/>
          <w:lang w:val="en-US"/>
        </w:rPr>
        <w:t xml:space="preserve"> in support of</w:t>
      </w:r>
      <w:r w:rsidR="00F57FF2" w:rsidRPr="00360A0A">
        <w:rPr>
          <w:rFonts w:asciiTheme="minorHAnsi" w:hAnsiTheme="minorHAnsi" w:cstheme="minorHAnsi"/>
          <w:lang w:val="en-US"/>
        </w:rPr>
        <w:t xml:space="preserve"> implementation of Resolution XIII.18 on </w:t>
      </w:r>
      <w:r w:rsidR="00F57FF2" w:rsidRPr="008469D7">
        <w:rPr>
          <w:rFonts w:asciiTheme="minorHAnsi" w:hAnsiTheme="minorHAnsi" w:cstheme="minorHAnsi"/>
          <w:i/>
          <w:lang w:val="en-US"/>
        </w:rPr>
        <w:t xml:space="preserve">Gender and </w:t>
      </w:r>
      <w:r w:rsidR="00F57FF2">
        <w:rPr>
          <w:rFonts w:asciiTheme="minorHAnsi" w:hAnsiTheme="minorHAnsi" w:cstheme="minorHAnsi"/>
          <w:i/>
          <w:lang w:val="en-US"/>
        </w:rPr>
        <w:t>w</w:t>
      </w:r>
      <w:r w:rsidR="00F57FF2" w:rsidRPr="008469D7">
        <w:rPr>
          <w:rFonts w:asciiTheme="minorHAnsi" w:hAnsiTheme="minorHAnsi" w:cstheme="minorHAnsi"/>
          <w:i/>
          <w:lang w:val="en-US"/>
        </w:rPr>
        <w:t>etlands</w:t>
      </w:r>
      <w:r w:rsidR="00F57FF2">
        <w:rPr>
          <w:rFonts w:asciiTheme="minorHAnsi" w:hAnsiTheme="minorHAnsi" w:cstheme="minorHAnsi"/>
          <w:lang w:val="en-US"/>
        </w:rPr>
        <w:t xml:space="preserve">. </w:t>
      </w:r>
      <w:r w:rsidR="009102C6">
        <w:rPr>
          <w:rFonts w:asciiTheme="minorHAnsi" w:hAnsiTheme="minorHAnsi" w:cstheme="minorHAnsi"/>
          <w:lang w:val="en-US"/>
        </w:rPr>
        <w:t xml:space="preserve">A </w:t>
      </w:r>
      <w:r w:rsidR="009102C6" w:rsidRPr="0012237F">
        <w:rPr>
          <w:rFonts w:asciiTheme="minorHAnsi" w:hAnsiTheme="minorHAnsi" w:cstheme="minorHAnsi"/>
          <w:lang w:val="en-US"/>
        </w:rPr>
        <w:t>gender guidance</w:t>
      </w:r>
      <w:r w:rsidR="009102C6">
        <w:rPr>
          <w:rFonts w:asciiTheme="minorHAnsi" w:hAnsiTheme="minorHAnsi" w:cstheme="minorHAnsi"/>
          <w:lang w:val="en-US"/>
        </w:rPr>
        <w:t xml:space="preserve"> document</w:t>
      </w:r>
      <w:r w:rsidR="0012237F">
        <w:rPr>
          <w:rStyle w:val="FootnoteReference"/>
          <w:rFonts w:asciiTheme="minorHAnsi" w:hAnsiTheme="minorHAnsi" w:cstheme="minorHAnsi"/>
          <w:lang w:val="en-US"/>
        </w:rPr>
        <w:footnoteReference w:id="6"/>
      </w:r>
      <w:r w:rsidR="009102C6">
        <w:rPr>
          <w:rFonts w:asciiTheme="minorHAnsi" w:hAnsiTheme="minorHAnsi" w:cstheme="minorHAnsi"/>
          <w:lang w:val="en-US"/>
        </w:rPr>
        <w:t xml:space="preserve"> with suppo</w:t>
      </w:r>
      <w:r w:rsidR="00514891">
        <w:rPr>
          <w:rFonts w:asciiTheme="minorHAnsi" w:hAnsiTheme="minorHAnsi" w:cstheme="minorHAnsi"/>
          <w:lang w:val="en-US"/>
        </w:rPr>
        <w:t>rting case studies was produced</w:t>
      </w:r>
      <w:r w:rsidR="009102C6">
        <w:rPr>
          <w:rFonts w:asciiTheme="minorHAnsi" w:hAnsiTheme="minorHAnsi" w:cstheme="minorHAnsi"/>
          <w:lang w:val="en-US"/>
        </w:rPr>
        <w:t xml:space="preserve"> and is available in three languages on the Convention website. Additionally, the Secretariat provided a training webinar</w:t>
      </w:r>
      <w:r w:rsidR="00B55E67">
        <w:rPr>
          <w:rFonts w:asciiTheme="minorHAnsi" w:hAnsiTheme="minorHAnsi" w:cstheme="minorHAnsi"/>
          <w:lang w:val="en-US"/>
        </w:rPr>
        <w:t xml:space="preserve"> </w:t>
      </w:r>
      <w:r w:rsidR="00514891">
        <w:rPr>
          <w:rFonts w:asciiTheme="minorHAnsi" w:hAnsiTheme="minorHAnsi" w:cstheme="minorHAnsi"/>
          <w:lang w:val="en-US"/>
        </w:rPr>
        <w:t xml:space="preserve">on the subject </w:t>
      </w:r>
      <w:r w:rsidR="00B55E67">
        <w:rPr>
          <w:rFonts w:asciiTheme="minorHAnsi" w:hAnsiTheme="minorHAnsi" w:cstheme="minorHAnsi"/>
          <w:lang w:val="en-US"/>
        </w:rPr>
        <w:t>for Contracting Parties and interested stakeholders</w:t>
      </w:r>
      <w:r w:rsidR="00EE2C4C">
        <w:rPr>
          <w:rFonts w:asciiTheme="minorHAnsi" w:hAnsiTheme="minorHAnsi" w:cstheme="minorHAnsi"/>
          <w:lang w:val="en-US"/>
        </w:rPr>
        <w:t xml:space="preserve">. A recording </w:t>
      </w:r>
      <w:r w:rsidR="00514891">
        <w:rPr>
          <w:rFonts w:asciiTheme="minorHAnsi" w:hAnsiTheme="minorHAnsi" w:cstheme="minorHAnsi"/>
          <w:lang w:val="en-US"/>
        </w:rPr>
        <w:t xml:space="preserve">of the webinar </w:t>
      </w:r>
      <w:r w:rsidR="00EE2C4C">
        <w:rPr>
          <w:rFonts w:asciiTheme="minorHAnsi" w:hAnsiTheme="minorHAnsi" w:cstheme="minorHAnsi"/>
          <w:lang w:val="en-US"/>
        </w:rPr>
        <w:t>in the three languages is presently available on the Convention website for viewing</w:t>
      </w:r>
      <w:r w:rsidR="0012237F">
        <w:rPr>
          <w:rStyle w:val="FootnoteReference"/>
          <w:rFonts w:asciiTheme="minorHAnsi" w:hAnsiTheme="minorHAnsi" w:cstheme="minorHAnsi"/>
          <w:lang w:val="en-US"/>
        </w:rPr>
        <w:footnoteReference w:id="7"/>
      </w:r>
      <w:r w:rsidR="00EE2C4C">
        <w:rPr>
          <w:rFonts w:asciiTheme="minorHAnsi" w:hAnsiTheme="minorHAnsi" w:cstheme="minorHAnsi"/>
          <w:lang w:val="en-US"/>
        </w:rPr>
        <w:t xml:space="preserve">. </w:t>
      </w:r>
    </w:p>
    <w:p w14:paraId="4E585312" w14:textId="7B5CE458" w:rsidR="009102C6" w:rsidRDefault="009102C6" w:rsidP="005972E9">
      <w:pPr>
        <w:rPr>
          <w:rFonts w:asciiTheme="minorHAnsi" w:hAnsiTheme="minorHAnsi" w:cstheme="minorHAnsi"/>
          <w:lang w:val="en-US"/>
        </w:rPr>
      </w:pPr>
    </w:p>
    <w:p w14:paraId="560A09C6" w14:textId="4DEAF7EC" w:rsidR="006C1FCA" w:rsidRPr="00360A0A" w:rsidRDefault="004A0CC9" w:rsidP="005972E9">
      <w:pPr>
        <w:rPr>
          <w:rFonts w:asciiTheme="minorHAnsi" w:hAnsiTheme="minorHAnsi" w:cstheme="minorHAnsi"/>
          <w:lang w:val="en-US"/>
        </w:rPr>
      </w:pPr>
      <w:r>
        <w:rPr>
          <w:rFonts w:asciiTheme="minorHAnsi" w:hAnsiTheme="minorHAnsi" w:cstheme="minorHAnsi"/>
          <w:lang w:val="en-US"/>
        </w:rPr>
        <w:t>34.</w:t>
      </w:r>
      <w:r>
        <w:rPr>
          <w:rFonts w:asciiTheme="minorHAnsi" w:hAnsiTheme="minorHAnsi" w:cstheme="minorHAnsi"/>
          <w:lang w:val="en-US"/>
        </w:rPr>
        <w:tab/>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Secretary</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General</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050581">
        <w:rPr>
          <w:rFonts w:asciiTheme="minorHAnsi" w:hAnsiTheme="minorHAnsi" w:cstheme="minorHAnsi"/>
          <w:lang w:val="en-US"/>
        </w:rPr>
        <w:t>one of the</w:t>
      </w:r>
      <w:r w:rsidR="00050581" w:rsidRPr="00360A0A">
        <w:rPr>
          <w:rFonts w:asciiTheme="minorHAnsi" w:hAnsiTheme="minorHAnsi" w:cstheme="minorHAnsi"/>
          <w:lang w:val="en-US"/>
        </w:rPr>
        <w:t xml:space="preserve"> </w:t>
      </w:r>
      <w:r w:rsidR="006C1FCA" w:rsidRPr="00360A0A">
        <w:rPr>
          <w:rFonts w:asciiTheme="minorHAnsi" w:hAnsiTheme="minorHAnsi" w:cstheme="minorHAnsi"/>
          <w:lang w:val="en-US"/>
        </w:rPr>
        <w:t>International</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Gender</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Champion</w:t>
      </w:r>
      <w:r w:rsidR="00050581">
        <w:rPr>
          <w:rFonts w:asciiTheme="minorHAnsi" w:hAnsiTheme="minorHAnsi" w:cstheme="minorHAnsi"/>
          <w:lang w:val="en-US"/>
        </w:rPr>
        <w:t>s (IGC)</w:t>
      </w:r>
      <w:r w:rsidR="006C1FCA"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network</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ambassadors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heads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agencies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established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initially</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Geneva</w:t>
      </w:r>
      <w:r w:rsidR="007D1B7C">
        <w:rPr>
          <w:rFonts w:asciiTheme="minorHAnsi" w:hAnsiTheme="minorHAnsi" w:cstheme="minorHAnsi"/>
          <w:lang w:val="en-US"/>
        </w:rPr>
        <w:t>, Switzerland,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now</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active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B56466">
        <w:rPr>
          <w:rFonts w:asciiTheme="minorHAnsi" w:hAnsiTheme="minorHAnsi" w:cstheme="minorHAnsi"/>
          <w:lang w:val="en-US"/>
        </w:rPr>
        <w:t xml:space="preserve"> other cities</w:t>
      </w:r>
      <w:r w:rsidR="006C1FCA"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50581" w:rsidRPr="00360A0A">
        <w:rPr>
          <w:rFonts w:asciiTheme="minorHAnsi" w:hAnsiTheme="minorHAnsi" w:cstheme="minorHAnsi"/>
          <w:lang w:val="en-US"/>
        </w:rPr>
        <w:t xml:space="preserve">Secretary General </w:t>
      </w:r>
      <w:r w:rsidR="006C1FCA"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implemented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her</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commitment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initiative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throughout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reporting</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period</w:t>
      </w:r>
      <w:r w:rsidR="00050581">
        <w:rPr>
          <w:rFonts w:asciiTheme="minorHAnsi" w:hAnsiTheme="minorHAnsi" w:cstheme="minorHAnsi"/>
          <w:lang w:val="en-US"/>
        </w:rPr>
        <w: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participated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network</w:t>
      </w:r>
      <w:r w:rsidR="001C2C01">
        <w:rPr>
          <w:rFonts w:asciiTheme="minorHAnsi" w:hAnsiTheme="minorHAnsi" w:cstheme="minorHAnsi"/>
          <w:lang w:val="en-US"/>
        </w:rPr>
        <w:t>’</w:t>
      </w:r>
      <w:r w:rsidR="006C1FCA" w:rsidRPr="00360A0A">
        <w:rPr>
          <w:rFonts w:asciiTheme="minorHAnsi" w:hAnsiTheme="minorHAnsi" w:cstheme="minorHAnsi"/>
          <w:lang w:val="en-US"/>
        </w:rPr>
        <w:t>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including</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050581">
        <w:rPr>
          <w:rFonts w:asciiTheme="minorHAnsi" w:hAnsiTheme="minorHAnsi" w:cstheme="minorHAnsi"/>
          <w:lang w:val="en-US"/>
        </w:rPr>
        <w:t>a</w:t>
      </w:r>
      <w:r w:rsidR="00050581" w:rsidRPr="00360A0A">
        <w:rPr>
          <w:rFonts w:asciiTheme="minorHAnsi" w:hAnsiTheme="minorHAnsi" w:cstheme="minorHAnsi"/>
          <w:lang w:val="en-US"/>
        </w:rPr>
        <w:t xml:space="preserve">nnual </w:t>
      </w:r>
      <w:r w:rsidR="00776917">
        <w:rPr>
          <w:rFonts w:asciiTheme="minorHAnsi" w:hAnsiTheme="minorHAnsi" w:cstheme="minorHAnsi"/>
          <w:lang w:val="en-US"/>
        </w:rPr>
        <w:t>meeting</w:t>
      </w:r>
      <w:r w:rsidR="00050581" w:rsidRPr="00360A0A">
        <w:rPr>
          <w:rFonts w:asciiTheme="minorHAnsi" w:hAnsiTheme="minorHAnsi" w:cstheme="minorHAnsi"/>
          <w:lang w:val="en-US"/>
        </w:rPr>
        <w:t xml:space="preserve"> </w:t>
      </w:r>
      <w:r w:rsidR="006C1FC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review</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progress</w:t>
      </w:r>
      <w:r w:rsidR="00B56466">
        <w:rPr>
          <w:rFonts w:asciiTheme="minorHAnsi" w:hAnsiTheme="minorHAnsi" w:cstheme="minorHAnsi"/>
          <w:lang w:val="en-US"/>
        </w:rPr>
        <w:t xml:space="preserve"> during 20</w:t>
      </w:r>
      <w:r w:rsidR="009102C6">
        <w:rPr>
          <w:rFonts w:asciiTheme="minorHAnsi" w:hAnsiTheme="minorHAnsi" w:cstheme="minorHAnsi"/>
          <w:lang w:val="en-US"/>
        </w:rPr>
        <w:t>20</w:t>
      </w:r>
      <w:r w:rsidR="00B56466">
        <w:rPr>
          <w:rFonts w:asciiTheme="minorHAnsi" w:hAnsiTheme="minorHAnsi" w:cstheme="minorHAnsi"/>
          <w:lang w:val="en-US"/>
        </w:rPr>
        <w:t xml:space="preserve"> and priorities for 202</w:t>
      </w:r>
      <w:r w:rsidR="009102C6">
        <w:rPr>
          <w:rFonts w:asciiTheme="minorHAnsi" w:hAnsiTheme="minorHAnsi" w:cstheme="minorHAnsi"/>
          <w:lang w:val="en-US"/>
        </w:rPr>
        <w:t>1</w:t>
      </w:r>
      <w:r w:rsidR="00B56466">
        <w:rPr>
          <w:rFonts w:asciiTheme="minorHAnsi" w:hAnsiTheme="minorHAnsi" w:cstheme="minorHAnsi"/>
          <w:lang w:val="en-US"/>
        </w:rPr>
        <w:t xml:space="preserve">.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9102C6">
        <w:rPr>
          <w:rFonts w:asciiTheme="minorHAnsi" w:hAnsiTheme="minorHAnsi" w:cstheme="minorHAnsi"/>
          <w:lang w:val="en-US"/>
        </w:rPr>
        <w:t>has made</w:t>
      </w:r>
      <w:r w:rsidR="00013A89">
        <w:rPr>
          <w:rFonts w:asciiTheme="minorHAnsi" w:hAnsiTheme="minorHAnsi" w:cstheme="minorHAnsi"/>
          <w:lang w:val="en-US"/>
        </w:rPr>
        <w:t xml:space="preserve"> </w:t>
      </w:r>
      <w:r w:rsidR="006C1FCA" w:rsidRPr="00360A0A">
        <w:rPr>
          <w:rFonts w:asciiTheme="minorHAnsi" w:hAnsiTheme="minorHAnsi" w:cstheme="minorHAnsi"/>
          <w:lang w:val="en-US"/>
        </w:rPr>
        <w:t>adjustments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systems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so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can</w:t>
      </w:r>
      <w:r w:rsidR="00360A0A" w:rsidRPr="00360A0A">
        <w:rPr>
          <w:rFonts w:asciiTheme="minorHAnsi" w:hAnsiTheme="minorHAnsi" w:cstheme="minorHAnsi"/>
          <w:lang w:val="en-US"/>
        </w:rPr>
        <w:t xml:space="preserve"> </w:t>
      </w:r>
      <w:r w:rsidR="006E4428" w:rsidRPr="00360A0A">
        <w:rPr>
          <w:rFonts w:asciiTheme="minorHAnsi" w:hAnsiTheme="minorHAnsi" w:cstheme="minorHAnsi"/>
          <w:lang w:val="en-US"/>
        </w:rPr>
        <w:t>better</w:t>
      </w:r>
      <w:r w:rsidR="00360A0A" w:rsidRPr="00360A0A">
        <w:rPr>
          <w:rFonts w:asciiTheme="minorHAnsi" w:hAnsiTheme="minorHAnsi" w:cstheme="minorHAnsi"/>
          <w:lang w:val="en-US"/>
        </w:rPr>
        <w:t xml:space="preserve"> </w:t>
      </w:r>
      <w:r w:rsidR="006E4428" w:rsidRPr="00360A0A">
        <w:rPr>
          <w:rFonts w:asciiTheme="minorHAnsi" w:hAnsiTheme="minorHAnsi" w:cstheme="minorHAnsi"/>
          <w:lang w:val="en-US"/>
        </w:rPr>
        <w:t>promote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report</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gender</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balance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50581">
        <w:rPr>
          <w:rFonts w:asciiTheme="minorHAnsi" w:hAnsiTheme="minorHAnsi" w:cstheme="minorHAnsi"/>
          <w:lang w:val="en-US"/>
        </w:rPr>
        <w:t xml:space="preserve">the </w:t>
      </w:r>
      <w:r w:rsidR="006C1FCA" w:rsidRPr="00360A0A">
        <w:rPr>
          <w:rFonts w:asciiTheme="minorHAnsi" w:hAnsiTheme="minorHAnsi" w:cstheme="minorHAnsi"/>
          <w:lang w:val="en-US"/>
        </w:rPr>
        <w:t>delegations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meetings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governing</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subsidiary</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bodies</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C1FCA" w:rsidRPr="00360A0A">
        <w:rPr>
          <w:rFonts w:asciiTheme="minorHAnsi" w:hAnsiTheme="minorHAnsi" w:cstheme="minorHAnsi"/>
          <w:lang w:val="en-US"/>
        </w:rPr>
        <w:t>Convention.</w:t>
      </w:r>
    </w:p>
    <w:p w14:paraId="5A25D57B" w14:textId="77777777" w:rsidR="006C1FCA" w:rsidRPr="00360A0A" w:rsidRDefault="006C1FCA" w:rsidP="005972E9">
      <w:pPr>
        <w:rPr>
          <w:rFonts w:asciiTheme="minorHAnsi" w:hAnsiTheme="minorHAnsi" w:cstheme="minorHAnsi"/>
          <w:lang w:val="en-US"/>
        </w:rPr>
      </w:pPr>
    </w:p>
    <w:p w14:paraId="787BC6BE" w14:textId="1C8B5DBB" w:rsidR="00E90337" w:rsidRPr="00360A0A" w:rsidRDefault="004A0CC9" w:rsidP="005972E9">
      <w:pPr>
        <w:rPr>
          <w:rFonts w:asciiTheme="minorHAnsi" w:hAnsiTheme="minorHAnsi" w:cstheme="minorHAnsi"/>
          <w:lang w:val="en-US"/>
        </w:rPr>
      </w:pPr>
      <w:r>
        <w:rPr>
          <w:rFonts w:asciiTheme="minorHAnsi" w:hAnsiTheme="minorHAnsi" w:cstheme="minorHAnsi"/>
          <w:lang w:val="en-US"/>
        </w:rPr>
        <w:t>35</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DF1FE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strengthen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relationship</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Geneva-based</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Permanent</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Missions</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United</w:t>
      </w:r>
      <w:r w:rsidR="00360A0A" w:rsidRPr="00360A0A">
        <w:rPr>
          <w:rFonts w:asciiTheme="minorHAnsi" w:hAnsiTheme="minorHAnsi" w:cstheme="minorHAnsi"/>
          <w:lang w:val="en-US"/>
        </w:rPr>
        <w:t xml:space="preserve"> </w:t>
      </w:r>
      <w:r w:rsidR="00F32961" w:rsidRPr="00360A0A">
        <w:rPr>
          <w:rFonts w:asciiTheme="minorHAnsi" w:hAnsiTheme="minorHAnsi" w:cstheme="minorHAnsi"/>
          <w:lang w:val="en-US"/>
        </w:rPr>
        <w:t>Nations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age</w:t>
      </w:r>
      <w:r w:rsidR="008E7CA5" w:rsidRPr="00360A0A">
        <w:rPr>
          <w:rFonts w:asciiTheme="minorHAnsi" w:hAnsiTheme="minorHAnsi" w:cstheme="minorHAnsi"/>
          <w:lang w:val="en-US"/>
        </w:rPr>
        <w:t>ncies.</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T</w:t>
      </w:r>
      <w:r w:rsidR="008E7CA5" w:rsidRPr="00360A0A">
        <w:rPr>
          <w:rFonts w:asciiTheme="minorHAnsi" w:hAnsiTheme="minorHAnsi" w:cstheme="minorHAnsi"/>
          <w:lang w:val="en-US"/>
        </w:rPr>
        <w:t>he</w:t>
      </w:r>
      <w:r w:rsidR="00360A0A" w:rsidRPr="00360A0A">
        <w:rPr>
          <w:rFonts w:asciiTheme="minorHAnsi" w:hAnsiTheme="minorHAnsi" w:cstheme="minorHAnsi"/>
          <w:lang w:val="en-US"/>
        </w:rPr>
        <w:t xml:space="preserve"> </w:t>
      </w:r>
      <w:r w:rsidR="008E7CA5"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had</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planned</w:t>
      </w:r>
      <w:r w:rsidR="00360A0A" w:rsidRPr="00360A0A">
        <w:rPr>
          <w:rFonts w:asciiTheme="minorHAnsi" w:hAnsiTheme="minorHAnsi" w:cstheme="minorHAnsi"/>
          <w:lang w:val="en-US"/>
        </w:rPr>
        <w:t xml:space="preserve"> </w:t>
      </w:r>
      <w:r w:rsidR="008E7CA5"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briefing</w:t>
      </w:r>
      <w:r w:rsidR="00360A0A" w:rsidRPr="00360A0A">
        <w:rPr>
          <w:rFonts w:asciiTheme="minorHAnsi" w:hAnsiTheme="minorHAnsi" w:cstheme="minorHAnsi"/>
          <w:lang w:val="en-US"/>
        </w:rPr>
        <w:t xml:space="preserve"> </w:t>
      </w:r>
      <w:r w:rsidR="008E7CA5"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Permanent</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Missions</w:t>
      </w:r>
      <w:r w:rsidR="00360A0A" w:rsidRPr="00360A0A">
        <w:rPr>
          <w:rFonts w:asciiTheme="minorHAnsi" w:hAnsiTheme="minorHAnsi" w:cstheme="minorHAnsi"/>
          <w:lang w:val="en-US"/>
        </w:rPr>
        <w:t xml:space="preserve"> </w:t>
      </w:r>
      <w:r w:rsidR="00E90337"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linkages</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between</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64A8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72763" w:rsidRPr="00360A0A">
        <w:rPr>
          <w:rFonts w:asciiTheme="minorHAnsi" w:hAnsiTheme="minorHAnsi" w:cstheme="minorHAnsi"/>
          <w:lang w:val="en-US"/>
        </w:rPr>
        <w:t>post</w:t>
      </w:r>
      <w:r w:rsidR="00D72763">
        <w:rPr>
          <w:rFonts w:asciiTheme="minorHAnsi" w:hAnsiTheme="minorHAnsi" w:cstheme="minorHAnsi"/>
          <w:lang w:val="en-US"/>
        </w:rPr>
        <w:t>-</w:t>
      </w:r>
      <w:r w:rsidR="00764A84"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D72763">
        <w:rPr>
          <w:rFonts w:asciiTheme="minorHAnsi" w:hAnsiTheme="minorHAnsi" w:cstheme="minorHAnsi"/>
          <w:lang w:val="en-US"/>
        </w:rPr>
        <w:t xml:space="preserve">global </w:t>
      </w:r>
      <w:r w:rsidR="008F067E" w:rsidRPr="00360A0A">
        <w:rPr>
          <w:rFonts w:asciiTheme="minorHAnsi" w:hAnsiTheme="minorHAnsi" w:cstheme="minorHAnsi"/>
          <w:lang w:val="en-US"/>
        </w:rPr>
        <w:t>biodiversity</w:t>
      </w:r>
      <w:r w:rsidR="00360A0A" w:rsidRPr="00360A0A">
        <w:rPr>
          <w:rFonts w:asciiTheme="minorHAnsi" w:hAnsiTheme="minorHAnsi" w:cstheme="minorHAnsi"/>
          <w:lang w:val="en-US"/>
        </w:rPr>
        <w:t xml:space="preserve"> </w:t>
      </w:r>
      <w:r w:rsidR="00764A84" w:rsidRPr="00360A0A">
        <w:rPr>
          <w:rFonts w:asciiTheme="minorHAnsi" w:hAnsiTheme="minorHAnsi" w:cstheme="minorHAnsi"/>
          <w:lang w:val="en-US"/>
        </w:rPr>
        <w:t>framework</w:t>
      </w:r>
      <w:r w:rsidR="00360A0A" w:rsidRPr="00360A0A">
        <w:rPr>
          <w:rFonts w:asciiTheme="minorHAnsi" w:hAnsiTheme="minorHAnsi" w:cstheme="minorHAnsi"/>
          <w:lang w:val="en-US"/>
        </w:rPr>
        <w:t xml:space="preserve"> </w:t>
      </w:r>
      <w:r w:rsidR="008F067E"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D72763">
        <w:rPr>
          <w:rFonts w:asciiTheme="minorHAnsi" w:hAnsiTheme="minorHAnsi" w:cstheme="minorHAnsi"/>
          <w:lang w:val="en-US"/>
        </w:rPr>
        <w:t>on</w:t>
      </w:r>
      <w:r w:rsidR="00F57FF2">
        <w:rPr>
          <w:rFonts w:asciiTheme="minorHAnsi" w:hAnsiTheme="minorHAnsi" w:cstheme="minorHAnsi"/>
          <w:lang w:val="en-US"/>
        </w:rPr>
        <w:t xml:space="preserve"> </w:t>
      </w:r>
      <w:r w:rsidR="0086166A">
        <w:rPr>
          <w:rFonts w:asciiTheme="minorHAnsi" w:hAnsiTheme="minorHAnsi" w:cstheme="minorHAnsi"/>
          <w:lang w:val="en-US"/>
        </w:rPr>
        <w:t>important</w:t>
      </w:r>
      <w:r w:rsidR="00776917">
        <w:rPr>
          <w:rFonts w:asciiTheme="minorHAnsi" w:hAnsiTheme="minorHAnsi" w:cstheme="minorHAnsi"/>
          <w:lang w:val="en-US"/>
        </w:rPr>
        <w:t xml:space="preserve"> issues in the SC58 agenda</w:t>
      </w:r>
      <w:r w:rsidR="00594619"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briefing</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schedule</w:t>
      </w:r>
      <w:r w:rsidR="00764A84" w:rsidRPr="00360A0A">
        <w:rPr>
          <w:rFonts w:asciiTheme="minorHAnsi" w:hAnsiTheme="minorHAnsi" w:cstheme="minorHAnsi"/>
          <w:lang w:val="en-US"/>
        </w:rPr>
        <w:t>d</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C8576D">
        <w:rPr>
          <w:rFonts w:asciiTheme="minorHAnsi" w:hAnsiTheme="minorHAnsi" w:cstheme="minorHAnsi"/>
          <w:lang w:val="en-US"/>
        </w:rPr>
        <w:t>autumn</w:t>
      </w:r>
      <w:r w:rsidR="002D4B96">
        <w:rPr>
          <w:rFonts w:asciiTheme="minorHAnsi" w:hAnsiTheme="minorHAnsi" w:cstheme="minorHAnsi"/>
          <w:lang w:val="en-US"/>
        </w:rPr>
        <w:t xml:space="preserve"> 2020</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was</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cancell</w:t>
      </w:r>
      <w:r w:rsidR="00594619" w:rsidRPr="00360A0A">
        <w:rPr>
          <w:rFonts w:asciiTheme="minorHAnsi" w:hAnsiTheme="minorHAnsi" w:cstheme="minorHAnsi"/>
          <w:lang w:val="en-US"/>
        </w:rPr>
        <w:t>ed</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due</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594619" w:rsidRPr="00360A0A">
        <w:rPr>
          <w:rFonts w:asciiTheme="minorHAnsi" w:hAnsiTheme="minorHAnsi" w:cstheme="minorHAnsi"/>
          <w:lang w:val="en-US"/>
        </w:rPr>
        <w:t>COVID-19</w:t>
      </w:r>
      <w:r w:rsidR="00360A0A" w:rsidRPr="00360A0A">
        <w:rPr>
          <w:rFonts w:asciiTheme="minorHAnsi" w:hAnsiTheme="minorHAnsi" w:cstheme="minorHAnsi"/>
          <w:lang w:val="en-US"/>
        </w:rPr>
        <w:t xml:space="preserve"> </w:t>
      </w:r>
      <w:r w:rsidR="002D4B96">
        <w:rPr>
          <w:rFonts w:asciiTheme="minorHAnsi" w:hAnsiTheme="minorHAnsi" w:cstheme="minorHAnsi"/>
          <w:lang w:val="en-US"/>
        </w:rPr>
        <w:t>situation</w:t>
      </w:r>
      <w:r w:rsidR="00DF1FE4"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will</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plan</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future</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briefing</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once</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situation</w:t>
      </w:r>
      <w:r w:rsidR="00360A0A" w:rsidRPr="00360A0A">
        <w:rPr>
          <w:rFonts w:asciiTheme="minorHAnsi" w:hAnsiTheme="minorHAnsi" w:cstheme="minorHAnsi"/>
          <w:lang w:val="en-US"/>
        </w:rPr>
        <w:t xml:space="preserve"> </w:t>
      </w:r>
      <w:r w:rsidR="00DF1FE4" w:rsidRPr="00360A0A">
        <w:rPr>
          <w:rFonts w:asciiTheme="minorHAnsi" w:hAnsiTheme="minorHAnsi" w:cstheme="minorHAnsi"/>
          <w:lang w:val="en-US"/>
        </w:rPr>
        <w:t>warrants.</w:t>
      </w:r>
      <w:r w:rsidR="00360A0A" w:rsidRPr="00360A0A">
        <w:rPr>
          <w:rFonts w:asciiTheme="minorHAnsi" w:hAnsiTheme="minorHAnsi" w:cstheme="minorHAnsi"/>
          <w:lang w:val="en-US"/>
        </w:rPr>
        <w:t xml:space="preserve"> </w:t>
      </w:r>
    </w:p>
    <w:p w14:paraId="3F8458EA" w14:textId="77777777" w:rsidR="00E90337" w:rsidRPr="00360A0A" w:rsidRDefault="00E90337" w:rsidP="005972E9">
      <w:pPr>
        <w:rPr>
          <w:rFonts w:asciiTheme="minorHAnsi" w:hAnsiTheme="minorHAnsi" w:cstheme="minorHAnsi"/>
          <w:lang w:val="en-US"/>
        </w:rPr>
      </w:pPr>
    </w:p>
    <w:p w14:paraId="5353E671" w14:textId="54C1191A" w:rsidR="00CE38BF" w:rsidRPr="00360A0A" w:rsidRDefault="00F70973" w:rsidP="005972E9">
      <w:pPr>
        <w:rPr>
          <w:rFonts w:asciiTheme="minorHAnsi" w:hAnsiTheme="minorHAnsi" w:cstheme="minorHAnsi"/>
          <w:lang w:val="en-US"/>
        </w:rPr>
      </w:pPr>
      <w:r>
        <w:rPr>
          <w:rFonts w:asciiTheme="minorHAnsi" w:hAnsiTheme="minorHAnsi" w:cstheme="minorHAnsi"/>
          <w:lang w:val="en-US"/>
        </w:rPr>
        <w:t>36</w:t>
      </w:r>
      <w:r w:rsidR="00D34C93" w:rsidRPr="00360A0A">
        <w:rPr>
          <w:rFonts w:asciiTheme="minorHAnsi" w:hAnsiTheme="minorHAnsi" w:cstheme="minorHAnsi"/>
          <w:lang w:val="en-US"/>
        </w:rPr>
        <w:t>.</w:t>
      </w:r>
      <w:r w:rsidR="00D34C93" w:rsidRPr="00360A0A">
        <w:rPr>
          <w:rFonts w:asciiTheme="minorHAnsi" w:hAnsiTheme="minorHAnsi" w:cstheme="minorHAnsi"/>
          <w:lang w:val="en-US"/>
        </w:rPr>
        <w:tab/>
      </w:r>
      <w:r w:rsidR="006D56CD"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C90A8E" w:rsidRPr="00360A0A">
        <w:rPr>
          <w:rFonts w:asciiTheme="minorHAnsi" w:hAnsiTheme="minorHAnsi" w:cstheme="minorHAnsi"/>
          <w:lang w:val="en-US"/>
        </w:rPr>
        <w:t>processes</w:t>
      </w:r>
      <w:r w:rsidR="00360A0A" w:rsidRPr="00360A0A">
        <w:rPr>
          <w:rFonts w:asciiTheme="minorHAnsi" w:hAnsiTheme="minorHAnsi" w:cstheme="minorHAnsi"/>
          <w:lang w:val="en-US"/>
        </w:rPr>
        <w:t xml:space="preserve"> </w:t>
      </w:r>
      <w:r w:rsidR="00C90A8E"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C90A8E" w:rsidRPr="00360A0A">
        <w:rPr>
          <w:rFonts w:asciiTheme="minorHAnsi" w:hAnsiTheme="minorHAnsi" w:cstheme="minorHAnsi"/>
          <w:lang w:val="en-US"/>
        </w:rPr>
        <w:t>which</w:t>
      </w:r>
      <w:r w:rsidR="00360A0A" w:rsidRPr="00360A0A">
        <w:rPr>
          <w:rFonts w:asciiTheme="minorHAnsi" w:hAnsiTheme="minorHAnsi" w:cstheme="minorHAnsi"/>
          <w:lang w:val="en-US"/>
        </w:rPr>
        <w:t xml:space="preserve"> </w:t>
      </w:r>
      <w:r w:rsidR="006D56C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D56CD"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C90A8E" w:rsidRPr="00360A0A">
        <w:rPr>
          <w:rFonts w:asciiTheme="minorHAnsi" w:hAnsiTheme="minorHAnsi" w:cstheme="minorHAnsi"/>
          <w:lang w:val="en-US"/>
        </w:rPr>
        <w:t>engaged</w:t>
      </w:r>
      <w:r w:rsidR="00360A0A" w:rsidRPr="00360A0A">
        <w:rPr>
          <w:rFonts w:asciiTheme="minorHAnsi" w:hAnsiTheme="minorHAnsi" w:cstheme="minorHAnsi"/>
          <w:lang w:val="en-US"/>
        </w:rPr>
        <w:t xml:space="preserve"> </w:t>
      </w:r>
      <w:r w:rsidR="00F44350" w:rsidRPr="00360A0A">
        <w:rPr>
          <w:rFonts w:asciiTheme="minorHAnsi" w:hAnsiTheme="minorHAnsi" w:cstheme="minorHAnsi"/>
          <w:lang w:val="en-US"/>
        </w:rPr>
        <w:t>include:</w:t>
      </w:r>
    </w:p>
    <w:p w14:paraId="54BC6A4C" w14:textId="77777777" w:rsidR="005E0208" w:rsidRPr="00360A0A" w:rsidRDefault="005E0208" w:rsidP="00623F05">
      <w:pPr>
        <w:ind w:left="0" w:firstLine="0"/>
        <w:rPr>
          <w:rFonts w:asciiTheme="minorHAnsi" w:hAnsiTheme="minorHAnsi" w:cstheme="minorHAnsi"/>
        </w:rPr>
      </w:pPr>
    </w:p>
    <w:p w14:paraId="5B46B901" w14:textId="0E8E545F" w:rsidR="004500B4" w:rsidRPr="00360A0A" w:rsidRDefault="00044A02" w:rsidP="004A0CC9">
      <w:pPr>
        <w:ind w:left="851"/>
        <w:rPr>
          <w:rFonts w:asciiTheme="minorHAnsi" w:hAnsiTheme="minorHAnsi" w:cstheme="minorHAnsi"/>
        </w:rPr>
      </w:pPr>
      <w:r w:rsidRPr="00360A0A">
        <w:rPr>
          <w:rFonts w:asciiTheme="minorHAnsi" w:hAnsiTheme="minorHAnsi" w:cstheme="minorHAnsi"/>
        </w:rPr>
        <w:t>i.</w:t>
      </w:r>
      <w:r w:rsidRPr="00360A0A">
        <w:rPr>
          <w:rFonts w:asciiTheme="minorHAnsi" w:hAnsiTheme="minorHAnsi" w:cstheme="minorHAnsi"/>
        </w:rPr>
        <w:tab/>
      </w:r>
      <w:r w:rsidR="004500B4" w:rsidRPr="00360A0A">
        <w:rPr>
          <w:rFonts w:asciiTheme="minorHAnsi" w:hAnsiTheme="minorHAnsi" w:cstheme="minorHAnsi"/>
        </w:rPr>
        <w:t>The</w:t>
      </w:r>
      <w:r w:rsidR="00360A0A" w:rsidRPr="00360A0A">
        <w:rPr>
          <w:rFonts w:asciiTheme="minorHAnsi" w:hAnsiTheme="minorHAnsi" w:cstheme="minorHAnsi"/>
        </w:rPr>
        <w:t xml:space="preserve"> </w:t>
      </w:r>
      <w:r w:rsidR="004500B4" w:rsidRPr="00360A0A">
        <w:rPr>
          <w:rFonts w:asciiTheme="minorHAnsi" w:hAnsiTheme="minorHAnsi" w:cstheme="minorHAnsi"/>
        </w:rPr>
        <w:t>Secretariat</w:t>
      </w:r>
      <w:r w:rsidR="00360A0A" w:rsidRPr="00360A0A">
        <w:rPr>
          <w:rFonts w:asciiTheme="minorHAnsi" w:hAnsiTheme="minorHAnsi" w:cstheme="minorHAnsi"/>
        </w:rPr>
        <w:t xml:space="preserve"> </w:t>
      </w:r>
      <w:r w:rsidR="004500B4" w:rsidRPr="00360A0A">
        <w:rPr>
          <w:rFonts w:asciiTheme="minorHAnsi" w:hAnsiTheme="minorHAnsi" w:cstheme="minorHAnsi"/>
        </w:rPr>
        <w:t>sent</w:t>
      </w:r>
      <w:r w:rsidR="00360A0A" w:rsidRPr="00360A0A">
        <w:rPr>
          <w:rFonts w:asciiTheme="minorHAnsi" w:hAnsiTheme="minorHAnsi" w:cstheme="minorHAnsi"/>
        </w:rPr>
        <w:t xml:space="preserve"> </w:t>
      </w:r>
      <w:r w:rsidR="004500B4" w:rsidRPr="00360A0A">
        <w:rPr>
          <w:rFonts w:asciiTheme="minorHAnsi" w:hAnsiTheme="minorHAnsi" w:cstheme="minorHAnsi"/>
        </w:rPr>
        <w:t>a</w:t>
      </w:r>
      <w:r w:rsidR="00360A0A" w:rsidRPr="00360A0A">
        <w:rPr>
          <w:rFonts w:asciiTheme="minorHAnsi" w:hAnsiTheme="minorHAnsi" w:cstheme="minorHAnsi"/>
        </w:rPr>
        <w:t xml:space="preserve"> </w:t>
      </w:r>
      <w:r w:rsidR="004500B4" w:rsidRPr="00360A0A">
        <w:rPr>
          <w:rFonts w:asciiTheme="minorHAnsi" w:hAnsiTheme="minorHAnsi" w:cstheme="minorHAnsi"/>
        </w:rPr>
        <w:t>notification</w:t>
      </w:r>
      <w:r w:rsidR="00360A0A" w:rsidRPr="00360A0A">
        <w:rPr>
          <w:rFonts w:asciiTheme="minorHAnsi" w:hAnsiTheme="minorHAnsi" w:cstheme="minorHAnsi"/>
        </w:rPr>
        <w:t xml:space="preserve"> </w:t>
      </w:r>
      <w:r w:rsidR="004E6755">
        <w:rPr>
          <w:rFonts w:asciiTheme="minorHAnsi" w:hAnsiTheme="minorHAnsi" w:cstheme="minorHAnsi"/>
        </w:rPr>
        <w:t xml:space="preserve">in February 2021 </w:t>
      </w:r>
      <w:r w:rsidR="004500B4" w:rsidRPr="00360A0A">
        <w:rPr>
          <w:rFonts w:asciiTheme="minorHAnsi" w:hAnsiTheme="minorHAnsi" w:cstheme="minorHAnsi"/>
        </w:rPr>
        <w:t>to</w:t>
      </w:r>
      <w:r w:rsidR="00360A0A" w:rsidRPr="00360A0A">
        <w:rPr>
          <w:rFonts w:asciiTheme="minorHAnsi" w:hAnsiTheme="minorHAnsi" w:cstheme="minorHAnsi"/>
        </w:rPr>
        <w:t xml:space="preserve"> </w:t>
      </w:r>
      <w:r w:rsidR="004500B4" w:rsidRPr="00360A0A">
        <w:rPr>
          <w:rFonts w:asciiTheme="minorHAnsi" w:hAnsiTheme="minorHAnsi" w:cstheme="minorHAnsi"/>
        </w:rPr>
        <w:t>Contracting</w:t>
      </w:r>
      <w:r w:rsidR="00360A0A" w:rsidRPr="00360A0A">
        <w:rPr>
          <w:rFonts w:asciiTheme="minorHAnsi" w:hAnsiTheme="minorHAnsi" w:cstheme="minorHAnsi"/>
        </w:rPr>
        <w:t xml:space="preserve"> </w:t>
      </w:r>
      <w:r w:rsidR="004500B4" w:rsidRPr="00360A0A">
        <w:rPr>
          <w:rFonts w:asciiTheme="minorHAnsi" w:hAnsiTheme="minorHAnsi" w:cstheme="minorHAnsi"/>
        </w:rPr>
        <w:t>Parties,</w:t>
      </w:r>
      <w:r w:rsidR="00360A0A" w:rsidRPr="00360A0A">
        <w:rPr>
          <w:rFonts w:asciiTheme="minorHAnsi" w:hAnsiTheme="minorHAnsi" w:cstheme="minorHAnsi"/>
        </w:rPr>
        <w:t xml:space="preserve"> </w:t>
      </w:r>
      <w:r w:rsidR="004500B4" w:rsidRPr="00360A0A">
        <w:rPr>
          <w:rFonts w:asciiTheme="minorHAnsi" w:hAnsiTheme="minorHAnsi" w:cstheme="minorHAnsi"/>
        </w:rPr>
        <w:t>STRP</w:t>
      </w:r>
      <w:r w:rsidR="00360A0A" w:rsidRPr="00360A0A">
        <w:rPr>
          <w:rFonts w:asciiTheme="minorHAnsi" w:hAnsiTheme="minorHAnsi" w:cstheme="minorHAnsi"/>
        </w:rPr>
        <w:t xml:space="preserve"> </w:t>
      </w:r>
      <w:r w:rsidR="004500B4" w:rsidRPr="00360A0A">
        <w:rPr>
          <w:rFonts w:asciiTheme="minorHAnsi" w:hAnsiTheme="minorHAnsi" w:cstheme="minorHAnsi"/>
        </w:rPr>
        <w:t>National</w:t>
      </w:r>
      <w:r w:rsidR="00360A0A" w:rsidRPr="00360A0A">
        <w:rPr>
          <w:rFonts w:asciiTheme="minorHAnsi" w:hAnsiTheme="minorHAnsi" w:cstheme="minorHAnsi"/>
        </w:rPr>
        <w:t xml:space="preserve"> </w:t>
      </w:r>
      <w:r w:rsidR="004500B4" w:rsidRPr="00360A0A">
        <w:rPr>
          <w:rFonts w:asciiTheme="minorHAnsi" w:hAnsiTheme="minorHAnsi" w:cstheme="minorHAnsi"/>
        </w:rPr>
        <w:t>Focal</w:t>
      </w:r>
      <w:r w:rsidR="00360A0A" w:rsidRPr="00360A0A">
        <w:rPr>
          <w:rFonts w:asciiTheme="minorHAnsi" w:hAnsiTheme="minorHAnsi" w:cstheme="minorHAnsi"/>
        </w:rPr>
        <w:t xml:space="preserve"> </w:t>
      </w:r>
      <w:r w:rsidR="004500B4" w:rsidRPr="00360A0A">
        <w:rPr>
          <w:rFonts w:asciiTheme="minorHAnsi" w:hAnsiTheme="minorHAnsi" w:cstheme="minorHAnsi"/>
        </w:rPr>
        <w:t>Points</w:t>
      </w:r>
      <w:r w:rsidR="00360A0A" w:rsidRPr="00360A0A">
        <w:rPr>
          <w:rFonts w:asciiTheme="minorHAnsi" w:hAnsiTheme="minorHAnsi" w:cstheme="minorHAnsi"/>
        </w:rPr>
        <w:t xml:space="preserve"> </w:t>
      </w:r>
      <w:r w:rsidR="004500B4" w:rsidRPr="00360A0A">
        <w:rPr>
          <w:rFonts w:asciiTheme="minorHAnsi" w:hAnsiTheme="minorHAnsi" w:cstheme="minorHAnsi"/>
        </w:rPr>
        <w:t>and</w:t>
      </w:r>
      <w:r w:rsidR="00360A0A" w:rsidRPr="00360A0A">
        <w:rPr>
          <w:rFonts w:asciiTheme="minorHAnsi" w:hAnsiTheme="minorHAnsi" w:cstheme="minorHAnsi"/>
        </w:rPr>
        <w:t xml:space="preserve"> </w:t>
      </w:r>
      <w:r w:rsidR="00C8576D">
        <w:rPr>
          <w:rFonts w:asciiTheme="minorHAnsi" w:hAnsiTheme="minorHAnsi" w:cstheme="minorHAnsi"/>
        </w:rPr>
        <w:t xml:space="preserve">the </w:t>
      </w:r>
      <w:r w:rsidR="00C8576D">
        <w:rPr>
          <w:rFonts w:asciiTheme="minorHAnsi" w:hAnsiTheme="minorHAnsi" w:cstheme="minorHAnsi"/>
          <w:lang w:val="en-US"/>
        </w:rPr>
        <w:t>International Organization Partners (IOPs)</w:t>
      </w:r>
      <w:r w:rsidR="00C8576D" w:rsidRPr="00360A0A">
        <w:rPr>
          <w:rFonts w:asciiTheme="minorHAnsi" w:hAnsiTheme="minorHAnsi" w:cstheme="minorHAnsi"/>
          <w:lang w:val="en-US"/>
        </w:rPr>
        <w:t xml:space="preserve"> </w:t>
      </w:r>
      <w:r w:rsidR="00A10E33">
        <w:rPr>
          <w:rFonts w:asciiTheme="minorHAnsi" w:hAnsiTheme="minorHAnsi" w:cstheme="minorHAnsi"/>
        </w:rPr>
        <w:t>on</w:t>
      </w:r>
      <w:r w:rsidR="00360A0A" w:rsidRPr="00360A0A">
        <w:rPr>
          <w:rFonts w:asciiTheme="minorHAnsi" w:hAnsiTheme="minorHAnsi" w:cstheme="minorHAnsi"/>
        </w:rPr>
        <w:t xml:space="preserve"> </w:t>
      </w:r>
      <w:r w:rsidR="004500B4" w:rsidRPr="00360A0A">
        <w:rPr>
          <w:rFonts w:asciiTheme="minorHAnsi" w:hAnsiTheme="minorHAnsi" w:cstheme="minorHAnsi"/>
        </w:rPr>
        <w:t>recent</w:t>
      </w:r>
      <w:r w:rsidR="00360A0A" w:rsidRPr="00360A0A">
        <w:rPr>
          <w:rFonts w:asciiTheme="minorHAnsi" w:hAnsiTheme="minorHAnsi" w:cstheme="minorHAnsi"/>
        </w:rPr>
        <w:t xml:space="preserve"> </w:t>
      </w:r>
      <w:r w:rsidR="004500B4" w:rsidRPr="00360A0A">
        <w:rPr>
          <w:rFonts w:asciiTheme="minorHAnsi" w:hAnsiTheme="minorHAnsi" w:cstheme="minorHAnsi"/>
        </w:rPr>
        <w:t>developments</w:t>
      </w:r>
      <w:r w:rsidR="00360A0A" w:rsidRPr="00360A0A">
        <w:rPr>
          <w:rFonts w:asciiTheme="minorHAnsi" w:hAnsiTheme="minorHAnsi" w:cstheme="minorHAnsi"/>
        </w:rPr>
        <w:t xml:space="preserve"> </w:t>
      </w:r>
      <w:r w:rsidR="00A10E33">
        <w:rPr>
          <w:rFonts w:asciiTheme="minorHAnsi" w:hAnsiTheme="minorHAnsi" w:cstheme="minorHAnsi"/>
        </w:rPr>
        <w:t xml:space="preserve">in </w:t>
      </w:r>
      <w:r w:rsidR="004500B4" w:rsidRPr="00360A0A">
        <w:rPr>
          <w:rFonts w:asciiTheme="minorHAnsi" w:hAnsiTheme="minorHAnsi" w:cstheme="minorHAnsi"/>
        </w:rPr>
        <w:t>IPBES</w:t>
      </w:r>
      <w:r w:rsidR="00360A0A" w:rsidRPr="00360A0A">
        <w:rPr>
          <w:rFonts w:asciiTheme="minorHAnsi" w:hAnsiTheme="minorHAnsi" w:cstheme="minorHAnsi"/>
        </w:rPr>
        <w:t xml:space="preserve"> </w:t>
      </w:r>
      <w:r w:rsidR="004500B4" w:rsidRPr="00360A0A">
        <w:rPr>
          <w:rFonts w:asciiTheme="minorHAnsi" w:hAnsiTheme="minorHAnsi" w:cstheme="minorHAnsi"/>
        </w:rPr>
        <w:t>processes,</w:t>
      </w:r>
      <w:r w:rsidR="00360A0A" w:rsidRPr="00360A0A">
        <w:rPr>
          <w:rFonts w:asciiTheme="minorHAnsi" w:hAnsiTheme="minorHAnsi" w:cstheme="minorHAnsi"/>
        </w:rPr>
        <w:t xml:space="preserve"> </w:t>
      </w:r>
      <w:r w:rsidR="00A10E33" w:rsidRPr="00847A97">
        <w:rPr>
          <w:rFonts w:asciiTheme="minorHAnsi" w:hAnsiTheme="minorHAnsi" w:cstheme="minorHAnsi"/>
        </w:rPr>
        <w:t xml:space="preserve">and </w:t>
      </w:r>
      <w:r w:rsidR="004500B4" w:rsidRPr="00847A97">
        <w:rPr>
          <w:rFonts w:asciiTheme="minorHAnsi" w:hAnsiTheme="minorHAnsi" w:cstheme="minorHAnsi"/>
        </w:rPr>
        <w:t>inviting</w:t>
      </w:r>
      <w:r w:rsidR="00360A0A" w:rsidRPr="00847A97">
        <w:rPr>
          <w:rFonts w:asciiTheme="minorHAnsi" w:hAnsiTheme="minorHAnsi" w:cstheme="minorHAnsi"/>
        </w:rPr>
        <w:t xml:space="preserve"> </w:t>
      </w:r>
      <w:r w:rsidR="004500B4" w:rsidRPr="00847A97">
        <w:rPr>
          <w:rFonts w:asciiTheme="minorHAnsi" w:hAnsiTheme="minorHAnsi" w:cstheme="minorHAnsi"/>
        </w:rPr>
        <w:t>them</w:t>
      </w:r>
      <w:r w:rsidR="00360A0A" w:rsidRPr="00847A97">
        <w:rPr>
          <w:rFonts w:asciiTheme="minorHAnsi" w:hAnsiTheme="minorHAnsi" w:cstheme="minorHAnsi"/>
        </w:rPr>
        <w:t xml:space="preserve"> </w:t>
      </w:r>
      <w:r w:rsidR="004500B4" w:rsidRPr="00847A97">
        <w:rPr>
          <w:rFonts w:asciiTheme="minorHAnsi" w:hAnsiTheme="minorHAnsi" w:cstheme="minorHAnsi"/>
        </w:rPr>
        <w:t>to</w:t>
      </w:r>
      <w:r w:rsidR="00360A0A" w:rsidRPr="00847A97">
        <w:rPr>
          <w:rFonts w:asciiTheme="minorHAnsi" w:hAnsiTheme="minorHAnsi" w:cstheme="minorHAnsi"/>
        </w:rPr>
        <w:t xml:space="preserve"> </w:t>
      </w:r>
      <w:r w:rsidR="004500B4" w:rsidRPr="00847A97">
        <w:rPr>
          <w:rFonts w:asciiTheme="minorHAnsi" w:hAnsiTheme="minorHAnsi" w:cstheme="minorHAnsi"/>
        </w:rPr>
        <w:t>participate</w:t>
      </w:r>
      <w:r w:rsidR="00360A0A" w:rsidRPr="00847A97">
        <w:rPr>
          <w:rFonts w:asciiTheme="minorHAnsi" w:hAnsiTheme="minorHAnsi" w:cstheme="minorHAnsi"/>
        </w:rPr>
        <w:t xml:space="preserve"> </w:t>
      </w:r>
      <w:r w:rsidR="004500B4" w:rsidRPr="00847A97">
        <w:rPr>
          <w:rFonts w:asciiTheme="minorHAnsi" w:hAnsiTheme="minorHAnsi" w:cstheme="minorHAnsi"/>
        </w:rPr>
        <w:t>in</w:t>
      </w:r>
      <w:r w:rsidR="00360A0A" w:rsidRPr="00847A97">
        <w:rPr>
          <w:rFonts w:asciiTheme="minorHAnsi" w:hAnsiTheme="minorHAnsi" w:cstheme="minorHAnsi"/>
        </w:rPr>
        <w:t xml:space="preserve"> </w:t>
      </w:r>
      <w:r w:rsidR="004500B4" w:rsidRPr="00847A97">
        <w:rPr>
          <w:rFonts w:asciiTheme="minorHAnsi" w:hAnsiTheme="minorHAnsi" w:cstheme="minorHAnsi"/>
        </w:rPr>
        <w:t>these</w:t>
      </w:r>
      <w:r w:rsidR="00A10E33" w:rsidRPr="00847A97">
        <w:rPr>
          <w:rFonts w:asciiTheme="minorHAnsi" w:hAnsiTheme="minorHAnsi" w:cstheme="minorHAnsi"/>
        </w:rPr>
        <w:t xml:space="preserve"> processes</w:t>
      </w:r>
      <w:r w:rsidR="00360A0A" w:rsidRPr="00847A97">
        <w:rPr>
          <w:rFonts w:asciiTheme="minorHAnsi" w:hAnsiTheme="minorHAnsi" w:cstheme="minorHAnsi"/>
        </w:rPr>
        <w:t xml:space="preserve"> </w:t>
      </w:r>
      <w:r w:rsidR="004500B4" w:rsidRPr="00847A97">
        <w:rPr>
          <w:rFonts w:asciiTheme="minorHAnsi" w:hAnsiTheme="minorHAnsi" w:cstheme="minorHAnsi"/>
        </w:rPr>
        <w:t>including</w:t>
      </w:r>
      <w:r w:rsidR="00360A0A" w:rsidRPr="00847A97">
        <w:rPr>
          <w:rFonts w:asciiTheme="minorHAnsi" w:hAnsiTheme="minorHAnsi" w:cstheme="minorHAnsi"/>
        </w:rPr>
        <w:t xml:space="preserve"> </w:t>
      </w:r>
      <w:r w:rsidR="00231CF1" w:rsidRPr="00847A97">
        <w:rPr>
          <w:rFonts w:asciiTheme="minorHAnsi" w:hAnsiTheme="minorHAnsi" w:cstheme="minorHAnsi"/>
        </w:rPr>
        <w:t xml:space="preserve">the review of </w:t>
      </w:r>
      <w:r w:rsidR="00A10E33" w:rsidRPr="00847A97">
        <w:rPr>
          <w:rFonts w:asciiTheme="minorHAnsi" w:hAnsiTheme="minorHAnsi" w:cstheme="minorHAnsi"/>
        </w:rPr>
        <w:t xml:space="preserve">the </w:t>
      </w:r>
      <w:r w:rsidR="00231CF1" w:rsidRPr="00847A97">
        <w:t>summary for policymakers of the values assessment</w:t>
      </w:r>
      <w:r w:rsidR="004500B4" w:rsidRPr="00847A97">
        <w:rPr>
          <w:rFonts w:asciiTheme="minorHAnsi" w:hAnsiTheme="minorHAnsi" w:cstheme="minorHAnsi"/>
        </w:rPr>
        <w:t>.</w:t>
      </w:r>
      <w:r w:rsidR="00013A89">
        <w:rPr>
          <w:rFonts w:asciiTheme="minorHAnsi" w:hAnsiTheme="minorHAnsi" w:cstheme="minorHAnsi"/>
        </w:rPr>
        <w:t xml:space="preserve"> </w:t>
      </w:r>
    </w:p>
    <w:p w14:paraId="43343B92" w14:textId="77777777" w:rsidR="00D34C93" w:rsidRPr="00360A0A" w:rsidRDefault="00D34C93" w:rsidP="004A0CC9">
      <w:pPr>
        <w:ind w:left="851"/>
        <w:rPr>
          <w:rFonts w:asciiTheme="minorHAnsi" w:hAnsiTheme="minorHAnsi" w:cstheme="minorHAnsi"/>
        </w:rPr>
      </w:pPr>
    </w:p>
    <w:p w14:paraId="45DE3292" w14:textId="645E2548" w:rsidR="004E6755" w:rsidRPr="00920075" w:rsidRDefault="00044A02" w:rsidP="004A0CC9">
      <w:pPr>
        <w:ind w:left="851"/>
        <w:rPr>
          <w:rFonts w:eastAsiaTheme="minorHAnsi"/>
        </w:rPr>
      </w:pPr>
      <w:r w:rsidRPr="00920075">
        <w:rPr>
          <w:rFonts w:asciiTheme="minorHAnsi" w:hAnsiTheme="minorHAnsi" w:cstheme="minorHAnsi"/>
        </w:rPr>
        <w:t>ii.</w:t>
      </w:r>
      <w:r w:rsidRPr="00920075">
        <w:rPr>
          <w:rFonts w:asciiTheme="minorHAnsi" w:hAnsiTheme="minorHAnsi" w:cstheme="minorHAnsi"/>
        </w:rPr>
        <w:tab/>
      </w:r>
      <w:r w:rsidR="000D15EE">
        <w:rPr>
          <w:rFonts w:asciiTheme="minorHAnsi" w:hAnsiTheme="minorHAnsi" w:cstheme="minorHAnsi"/>
        </w:rPr>
        <w:t>T</w:t>
      </w:r>
      <w:r w:rsidR="00A66E2F" w:rsidRPr="00920075">
        <w:rPr>
          <w:rFonts w:asciiTheme="minorHAnsi" w:hAnsiTheme="minorHAnsi" w:cstheme="minorHAnsi"/>
        </w:rPr>
        <w:t xml:space="preserve">he Secretariat </w:t>
      </w:r>
      <w:r w:rsidR="00C85DF1" w:rsidRPr="00920075">
        <w:rPr>
          <w:rFonts w:asciiTheme="minorHAnsi" w:hAnsiTheme="minorHAnsi" w:cstheme="minorHAnsi"/>
        </w:rPr>
        <w:t>participated</w:t>
      </w:r>
      <w:r w:rsidR="000D15EE">
        <w:rPr>
          <w:rFonts w:asciiTheme="minorHAnsi" w:hAnsiTheme="minorHAnsi" w:cstheme="minorHAnsi"/>
        </w:rPr>
        <w:t xml:space="preserve"> virtually</w:t>
      </w:r>
      <w:r w:rsidR="00C85DF1" w:rsidRPr="00920075">
        <w:rPr>
          <w:rFonts w:asciiTheme="minorHAnsi" w:hAnsiTheme="minorHAnsi" w:cstheme="minorHAnsi"/>
        </w:rPr>
        <w:t xml:space="preserve"> in the</w:t>
      </w:r>
      <w:r w:rsidR="000D15EE">
        <w:t xml:space="preserve"> </w:t>
      </w:r>
      <w:r w:rsidR="000D15EE" w:rsidRPr="00A10E33">
        <w:t>11th</w:t>
      </w:r>
      <w:r w:rsidR="000D15EE">
        <w:t xml:space="preserve"> </w:t>
      </w:r>
      <w:r w:rsidR="00C85DF1" w:rsidRPr="00920075">
        <w:t>meeting of the InforMEA</w:t>
      </w:r>
      <w:r w:rsidR="000D15EE">
        <w:t xml:space="preserve"> Steering C</w:t>
      </w:r>
      <w:r w:rsidR="00205E80">
        <w:t>ommittee which took place on</w:t>
      </w:r>
      <w:r w:rsidR="000D15EE">
        <w:t xml:space="preserve"> 26 November</w:t>
      </w:r>
      <w:r w:rsidR="00A10E33">
        <w:t xml:space="preserve"> 2020</w:t>
      </w:r>
      <w:r w:rsidR="000D15EE">
        <w:t>.</w:t>
      </w:r>
      <w:r w:rsidR="008F4529" w:rsidRPr="00920075">
        <w:rPr>
          <w:rFonts w:asciiTheme="minorHAnsi" w:hAnsiTheme="minorHAnsi" w:cstheme="minorHAnsi"/>
        </w:rPr>
        <w:t xml:space="preserve"> </w:t>
      </w:r>
      <w:r w:rsidR="00C85DF1" w:rsidRPr="00920075">
        <w:t xml:space="preserve">The Secretariat acted as the co-chair of the technical group </w:t>
      </w:r>
      <w:r w:rsidR="004E6755" w:rsidRPr="00920075">
        <w:t>liaising with different MEAs regarding the</w:t>
      </w:r>
      <w:r w:rsidR="008F4529" w:rsidRPr="00920075">
        <w:t xml:space="preserve"> i</w:t>
      </w:r>
      <w:r w:rsidR="004E6755" w:rsidRPr="00920075">
        <w:t>mplementation of the application programming interface which enables</w:t>
      </w:r>
      <w:r w:rsidR="000D15EE">
        <w:t xml:space="preserve"> selected content to be visible </w:t>
      </w:r>
      <w:r w:rsidR="004E6755" w:rsidRPr="00920075">
        <w:t>on the InforMEA website</w:t>
      </w:r>
      <w:r w:rsidR="000D15EE">
        <w:t xml:space="preserve">. </w:t>
      </w:r>
    </w:p>
    <w:p w14:paraId="51F586DA" w14:textId="63D4DF1F" w:rsidR="006E4428" w:rsidRPr="00360A0A" w:rsidRDefault="006E4428" w:rsidP="004A0CC9">
      <w:pPr>
        <w:ind w:left="851"/>
        <w:rPr>
          <w:rFonts w:asciiTheme="minorHAnsi" w:hAnsiTheme="minorHAnsi" w:cstheme="minorHAnsi"/>
        </w:rPr>
      </w:pPr>
    </w:p>
    <w:p w14:paraId="0754B159" w14:textId="1B70119A" w:rsidR="0015084D" w:rsidRPr="009A4FA7" w:rsidRDefault="00044A02" w:rsidP="004A0CC9">
      <w:pPr>
        <w:ind w:left="851"/>
        <w:rPr>
          <w:rFonts w:asciiTheme="minorHAnsi" w:hAnsiTheme="minorHAnsi" w:cstheme="minorHAnsi"/>
        </w:rPr>
      </w:pPr>
      <w:r w:rsidRPr="00360A0A">
        <w:rPr>
          <w:rFonts w:asciiTheme="minorHAnsi" w:hAnsiTheme="minorHAnsi" w:cstheme="minorHAnsi"/>
        </w:rPr>
        <w:t>iii.</w:t>
      </w:r>
      <w:r w:rsidRPr="00360A0A">
        <w:rPr>
          <w:rFonts w:asciiTheme="minorHAnsi" w:hAnsiTheme="minorHAnsi" w:cstheme="minorHAnsi"/>
        </w:rPr>
        <w:tab/>
      </w:r>
      <w:r w:rsidR="002973A5">
        <w:rPr>
          <w:rFonts w:asciiTheme="minorHAnsi" w:hAnsiTheme="minorHAnsi" w:cstheme="minorHAnsi"/>
        </w:rPr>
        <w:t>T</w:t>
      </w:r>
      <w:r w:rsidR="0015084D">
        <w:rPr>
          <w:rFonts w:eastAsia="Times New Roman" w:cstheme="minorHAnsi"/>
          <w:color w:val="000000"/>
          <w:lang w:eastAsia="en-GB"/>
        </w:rPr>
        <w:t>he Secr</w:t>
      </w:r>
      <w:r w:rsidR="002973A5">
        <w:rPr>
          <w:rFonts w:eastAsia="Times New Roman" w:cstheme="minorHAnsi"/>
          <w:color w:val="000000"/>
          <w:lang w:eastAsia="en-GB"/>
        </w:rPr>
        <w:t>etar</w:t>
      </w:r>
      <w:r w:rsidR="00830EFA">
        <w:rPr>
          <w:rFonts w:eastAsia="Times New Roman" w:cstheme="minorHAnsi"/>
          <w:color w:val="000000"/>
          <w:lang w:eastAsia="en-GB"/>
        </w:rPr>
        <w:t>iat</w:t>
      </w:r>
      <w:r w:rsidR="002973A5">
        <w:rPr>
          <w:rFonts w:eastAsia="Times New Roman" w:cstheme="minorHAnsi"/>
          <w:color w:val="000000"/>
          <w:lang w:eastAsia="en-GB"/>
        </w:rPr>
        <w:t xml:space="preserve"> </w:t>
      </w:r>
      <w:r w:rsidR="00241F83">
        <w:rPr>
          <w:rFonts w:eastAsia="Times New Roman" w:cstheme="minorHAnsi"/>
          <w:color w:val="000000"/>
          <w:lang w:eastAsia="en-GB"/>
        </w:rPr>
        <w:t xml:space="preserve">contributed to the </w:t>
      </w:r>
      <w:r w:rsidR="00A43FAB">
        <w:rPr>
          <w:rFonts w:eastAsia="Times New Roman" w:cstheme="minorHAnsi"/>
          <w:color w:val="000000"/>
          <w:lang w:eastAsia="en-GB"/>
        </w:rPr>
        <w:t xml:space="preserve">online session of the </w:t>
      </w:r>
      <w:r w:rsidR="00241F83" w:rsidRPr="00A10E33">
        <w:rPr>
          <w:rFonts w:eastAsia="Times New Roman" w:cstheme="minorHAnsi"/>
          <w:color w:val="000000"/>
          <w:lang w:eastAsia="en-GB"/>
        </w:rPr>
        <w:t>5th</w:t>
      </w:r>
      <w:r w:rsidR="00241F83">
        <w:rPr>
          <w:rFonts w:eastAsia="Times New Roman" w:cstheme="minorHAnsi"/>
          <w:color w:val="000000"/>
          <w:lang w:eastAsia="en-GB"/>
        </w:rPr>
        <w:t xml:space="preserve"> session of the United Nati</w:t>
      </w:r>
      <w:r w:rsidR="00A10E33">
        <w:rPr>
          <w:rFonts w:eastAsia="Times New Roman" w:cstheme="minorHAnsi"/>
          <w:color w:val="000000"/>
          <w:lang w:eastAsia="en-GB"/>
        </w:rPr>
        <w:t>ons Environment Assembly (UNEA-</w:t>
      </w:r>
      <w:r w:rsidR="00241F83">
        <w:rPr>
          <w:rFonts w:eastAsia="Times New Roman" w:cstheme="minorHAnsi"/>
          <w:color w:val="000000"/>
          <w:lang w:eastAsia="en-GB"/>
        </w:rPr>
        <w:t>5</w:t>
      </w:r>
      <w:r w:rsidR="00A43FAB">
        <w:rPr>
          <w:rFonts w:eastAsia="Times New Roman" w:cstheme="minorHAnsi"/>
          <w:color w:val="000000"/>
          <w:lang w:eastAsia="en-GB"/>
        </w:rPr>
        <w:t>.1</w:t>
      </w:r>
      <w:r w:rsidR="00A10E33">
        <w:rPr>
          <w:rFonts w:eastAsia="Times New Roman" w:cstheme="minorHAnsi"/>
          <w:color w:val="000000"/>
          <w:lang w:eastAsia="en-GB"/>
        </w:rPr>
        <w:t>)</w:t>
      </w:r>
      <w:r w:rsidR="00830EFA">
        <w:rPr>
          <w:rFonts w:eastAsia="Times New Roman" w:cstheme="minorHAnsi"/>
          <w:color w:val="000000"/>
          <w:lang w:eastAsia="en-GB"/>
        </w:rPr>
        <w:t xml:space="preserve"> on 22 February 2021. The Secretary General</w:t>
      </w:r>
      <w:r w:rsidR="00241F83">
        <w:rPr>
          <w:rFonts w:eastAsia="Times New Roman" w:cstheme="minorHAnsi"/>
          <w:color w:val="000000"/>
          <w:lang w:eastAsia="en-GB"/>
        </w:rPr>
        <w:t xml:space="preserve"> </w:t>
      </w:r>
      <w:r w:rsidR="002973A5">
        <w:rPr>
          <w:rFonts w:eastAsia="Times New Roman" w:cstheme="minorHAnsi"/>
          <w:color w:val="000000"/>
          <w:lang w:eastAsia="en-GB"/>
        </w:rPr>
        <w:t xml:space="preserve">delivered a </w:t>
      </w:r>
      <w:r w:rsidR="0015084D">
        <w:rPr>
          <w:rFonts w:eastAsia="Times New Roman" w:cstheme="minorHAnsi"/>
          <w:color w:val="000000"/>
          <w:lang w:eastAsia="en-GB"/>
        </w:rPr>
        <w:t xml:space="preserve">recorded </w:t>
      </w:r>
      <w:r w:rsidR="002973A5">
        <w:rPr>
          <w:rFonts w:eastAsia="Times New Roman" w:cstheme="minorHAnsi"/>
          <w:color w:val="000000"/>
          <w:lang w:eastAsia="en-GB"/>
        </w:rPr>
        <w:t xml:space="preserve">video </w:t>
      </w:r>
      <w:r w:rsidR="0015084D">
        <w:rPr>
          <w:rFonts w:eastAsia="Times New Roman" w:cstheme="minorHAnsi"/>
          <w:color w:val="000000"/>
          <w:lang w:eastAsia="en-GB"/>
        </w:rPr>
        <w:t xml:space="preserve">message to the Leadership Dialogue “Contribution of the environmental dimension of sustainable development to building a resilient and inclusive post-pandemic world”. She </w:t>
      </w:r>
      <w:r w:rsidR="0015084D">
        <w:rPr>
          <w:rFonts w:eastAsia="Times New Roman" w:cstheme="minorHAnsi"/>
          <w:color w:val="000000"/>
          <w:lang w:eastAsia="en-GB"/>
        </w:rPr>
        <w:t xml:space="preserve">emphasized </w:t>
      </w:r>
      <w:r w:rsidR="0015084D">
        <w:t>the role of the Convention</w:t>
      </w:r>
      <w:r w:rsidR="004E2646">
        <w:t xml:space="preserve"> in</w:t>
      </w:r>
      <w:r w:rsidR="0015084D">
        <w:t xml:space="preserve"> addressing habitat los</w:t>
      </w:r>
      <w:r w:rsidR="00A10E33">
        <w:t>s</w:t>
      </w:r>
      <w:r w:rsidR="0015084D">
        <w:t xml:space="preserve"> through the protection and restoration of wetlands and their relevance </w:t>
      </w:r>
      <w:r w:rsidR="0015084D" w:rsidRPr="00692AC6">
        <w:t>for a successful green post</w:t>
      </w:r>
      <w:r w:rsidR="00A10E33">
        <w:t>-</w:t>
      </w:r>
      <w:r w:rsidR="0015084D" w:rsidRPr="00692AC6">
        <w:t>COVID recovery.</w:t>
      </w:r>
      <w:r w:rsidR="0015084D">
        <w:t xml:space="preserve"> </w:t>
      </w:r>
    </w:p>
    <w:p w14:paraId="57245156" w14:textId="77777777" w:rsidR="00A62AB3" w:rsidRDefault="00A62AB3" w:rsidP="00623F05">
      <w:pPr>
        <w:autoSpaceDE w:val="0"/>
        <w:autoSpaceDN w:val="0"/>
        <w:adjustRightInd w:val="0"/>
        <w:ind w:left="0" w:firstLine="0"/>
        <w:rPr>
          <w:rFonts w:eastAsia="Times New Roman" w:cstheme="minorHAnsi"/>
          <w:color w:val="000000"/>
          <w:lang w:eastAsia="en-GB"/>
        </w:rPr>
      </w:pPr>
    </w:p>
    <w:p w14:paraId="72D05661" w14:textId="6D864076" w:rsidR="00A62AB3" w:rsidRPr="00647E0D" w:rsidRDefault="00F70973" w:rsidP="005972E9">
      <w:pPr>
        <w:rPr>
          <w:rFonts w:asciiTheme="minorHAnsi" w:hAnsiTheme="minorHAnsi" w:cstheme="minorHAnsi"/>
        </w:rPr>
      </w:pPr>
      <w:r>
        <w:rPr>
          <w:rFonts w:asciiTheme="minorHAnsi" w:eastAsia="Times New Roman" w:hAnsiTheme="minorHAnsi" w:cstheme="minorHAnsi"/>
          <w:color w:val="000000"/>
          <w:lang w:eastAsia="en-GB"/>
        </w:rPr>
        <w:t>37</w:t>
      </w:r>
      <w:r w:rsidR="004A0CC9">
        <w:rPr>
          <w:rFonts w:asciiTheme="minorHAnsi" w:eastAsia="Times New Roman" w:hAnsiTheme="minorHAnsi" w:cstheme="minorHAnsi"/>
          <w:color w:val="000000"/>
          <w:lang w:eastAsia="en-GB"/>
        </w:rPr>
        <w:t>.</w:t>
      </w:r>
      <w:r w:rsidR="004A0CC9">
        <w:rPr>
          <w:rFonts w:asciiTheme="minorHAnsi" w:eastAsia="Times New Roman" w:hAnsiTheme="minorHAnsi" w:cstheme="minorHAnsi"/>
          <w:color w:val="000000"/>
          <w:lang w:eastAsia="en-GB"/>
        </w:rPr>
        <w:tab/>
      </w:r>
      <w:r w:rsidR="004E2646">
        <w:rPr>
          <w:rFonts w:asciiTheme="minorHAnsi" w:eastAsia="Times New Roman" w:hAnsiTheme="minorHAnsi" w:cstheme="minorHAnsi"/>
          <w:color w:val="000000"/>
          <w:lang w:eastAsia="en-GB"/>
        </w:rPr>
        <w:t>In 2020</w:t>
      </w:r>
      <w:r w:rsidR="00830EFA">
        <w:rPr>
          <w:rFonts w:asciiTheme="minorHAnsi" w:eastAsia="Times New Roman" w:hAnsiTheme="minorHAnsi" w:cstheme="minorHAnsi"/>
          <w:color w:val="000000"/>
          <w:lang w:eastAsia="en-GB"/>
        </w:rPr>
        <w:t>,</w:t>
      </w:r>
      <w:r w:rsidR="004E2646">
        <w:rPr>
          <w:rFonts w:asciiTheme="minorHAnsi" w:eastAsia="Times New Roman" w:hAnsiTheme="minorHAnsi" w:cstheme="minorHAnsi"/>
          <w:color w:val="000000"/>
          <w:lang w:eastAsia="en-GB"/>
        </w:rPr>
        <w:t xml:space="preserve"> t</w:t>
      </w:r>
      <w:r w:rsidR="00A62AB3" w:rsidRPr="003A411B">
        <w:rPr>
          <w:rFonts w:asciiTheme="minorHAnsi" w:eastAsia="Times New Roman" w:hAnsiTheme="minorHAnsi" w:cstheme="minorHAnsi"/>
          <w:color w:val="000000"/>
          <w:lang w:eastAsia="en-GB"/>
        </w:rPr>
        <w:t>he Secretaria</w:t>
      </w:r>
      <w:r w:rsidR="004E2646">
        <w:rPr>
          <w:rFonts w:asciiTheme="minorHAnsi" w:eastAsia="Times New Roman" w:hAnsiTheme="minorHAnsi" w:cstheme="minorHAnsi"/>
          <w:color w:val="000000"/>
          <w:lang w:eastAsia="en-GB"/>
        </w:rPr>
        <w:t xml:space="preserve">t participated actively </w:t>
      </w:r>
      <w:r w:rsidR="00A62AB3" w:rsidRPr="003A411B">
        <w:rPr>
          <w:rFonts w:asciiTheme="minorHAnsi" w:eastAsia="Times New Roman" w:hAnsiTheme="minorHAnsi" w:cstheme="minorHAnsi"/>
          <w:color w:val="000000"/>
          <w:lang w:eastAsia="en-GB"/>
        </w:rPr>
        <w:t>in the</w:t>
      </w:r>
      <w:r w:rsidR="00A62AB3" w:rsidRPr="003A411B">
        <w:rPr>
          <w:rFonts w:asciiTheme="minorHAnsi" w:hAnsiTheme="minorHAnsi" w:cstheme="minorHAnsi"/>
        </w:rPr>
        <w:t xml:space="preserve"> development of the UN Decade on Ecosystem Restoration and in the task force of the aquatic and transitional ecosystems</w:t>
      </w:r>
      <w:r w:rsidR="00C80C87">
        <w:rPr>
          <w:rFonts w:asciiTheme="minorHAnsi" w:hAnsiTheme="minorHAnsi" w:cstheme="minorHAnsi"/>
        </w:rPr>
        <w:t xml:space="preserve"> </w:t>
      </w:r>
      <w:r w:rsidR="00A62AB3" w:rsidRPr="003A411B">
        <w:rPr>
          <w:rFonts w:asciiTheme="minorHAnsi" w:hAnsiTheme="minorHAnsi" w:cstheme="minorHAnsi"/>
        </w:rPr>
        <w:t xml:space="preserve">monitoring and evaluation framework. </w:t>
      </w:r>
      <w:r w:rsidR="003A411B">
        <w:t>These engagements inform</w:t>
      </w:r>
      <w:r w:rsidR="00C80C87">
        <w:t>ed the consideration of SDG 6 I</w:t>
      </w:r>
      <w:r w:rsidR="003A411B">
        <w:t xml:space="preserve">ndicator 6.6.1 </w:t>
      </w:r>
      <w:r w:rsidR="00C80C87">
        <w:t>“C</w:t>
      </w:r>
      <w:r w:rsidR="003A411B">
        <w:t xml:space="preserve">hange </w:t>
      </w:r>
      <w:r w:rsidR="00C80C87">
        <w:t>in</w:t>
      </w:r>
      <w:r w:rsidR="003A411B">
        <w:t xml:space="preserve"> the extent of water-related ecosystems over time</w:t>
      </w:r>
      <w:r w:rsidR="00C80C87">
        <w:t>”</w:t>
      </w:r>
      <w:r w:rsidR="003A411B">
        <w:t xml:space="preserve"> for which the Convention is co-custodian and various targets of the Convention</w:t>
      </w:r>
      <w:r w:rsidR="00C80C87">
        <w:t>’</w:t>
      </w:r>
      <w:r w:rsidR="003A411B">
        <w:t>s 4th Strategic Plan as priority indicators of the U</w:t>
      </w:r>
      <w:r w:rsidR="003A411B">
        <w:t>N Decade</w:t>
      </w:r>
      <w:r w:rsidR="00C80C87">
        <w:t>’</w:t>
      </w:r>
      <w:r w:rsidR="003A411B">
        <w:t xml:space="preserve">s </w:t>
      </w:r>
      <w:r w:rsidR="00C80C87">
        <w:t>monitoring framework</w:t>
      </w:r>
      <w:r w:rsidR="003A411B">
        <w:t>.</w:t>
      </w:r>
      <w:r w:rsidR="00013A89">
        <w:t xml:space="preserve"> </w:t>
      </w:r>
      <w:r w:rsidR="00A62AB3" w:rsidRPr="003A411B">
        <w:rPr>
          <w:rFonts w:asciiTheme="minorHAnsi" w:hAnsiTheme="minorHAnsi" w:cstheme="minorHAnsi"/>
        </w:rPr>
        <w:t>In February 2021</w:t>
      </w:r>
      <w:r w:rsidR="003A411B">
        <w:rPr>
          <w:rFonts w:asciiTheme="minorHAnsi" w:hAnsiTheme="minorHAnsi" w:cstheme="minorHAnsi"/>
        </w:rPr>
        <w:t>,</w:t>
      </w:r>
      <w:r w:rsidR="00A62AB3" w:rsidRPr="003A411B">
        <w:rPr>
          <w:rFonts w:asciiTheme="minorHAnsi" w:hAnsiTheme="minorHAnsi" w:cstheme="minorHAnsi"/>
        </w:rPr>
        <w:t xml:space="preserve"> the Secretariat was appointed as</w:t>
      </w:r>
      <w:r w:rsidR="005522B0">
        <w:rPr>
          <w:rFonts w:asciiTheme="minorHAnsi" w:hAnsiTheme="minorHAnsi" w:cstheme="minorHAnsi"/>
        </w:rPr>
        <w:t xml:space="preserve"> a</w:t>
      </w:r>
      <w:r w:rsidR="00A62AB3" w:rsidRPr="003A411B">
        <w:rPr>
          <w:rFonts w:asciiTheme="minorHAnsi" w:hAnsiTheme="minorHAnsi" w:cstheme="minorHAnsi"/>
        </w:rPr>
        <w:t xml:space="preserve"> Global Partner</w:t>
      </w:r>
      <w:r w:rsidR="003A411B" w:rsidRPr="003A411B">
        <w:rPr>
          <w:rFonts w:asciiTheme="minorHAnsi" w:hAnsiTheme="minorHAnsi" w:cstheme="minorHAnsi"/>
        </w:rPr>
        <w:t xml:space="preserve"> of the </w:t>
      </w:r>
      <w:r w:rsidR="003A411B" w:rsidRPr="003A411B">
        <w:rPr>
          <w:rFonts w:asciiTheme="minorHAnsi" w:eastAsiaTheme="minorHAnsi" w:hAnsiTheme="minorHAnsi" w:cstheme="minorHAnsi"/>
          <w:color w:val="000000"/>
        </w:rPr>
        <w:t>UN Decade on Ecosystem Restoration.</w:t>
      </w:r>
      <w:r w:rsidR="00013A89">
        <w:rPr>
          <w:rFonts w:asciiTheme="minorHAnsi" w:eastAsiaTheme="minorHAnsi" w:hAnsiTheme="minorHAnsi" w:cstheme="minorHAnsi"/>
          <w:color w:val="000000"/>
        </w:rPr>
        <w:t xml:space="preserve"> </w:t>
      </w:r>
      <w:r w:rsidR="00013A89">
        <w:rPr>
          <w:rFonts w:asciiTheme="minorHAnsi" w:hAnsiTheme="minorHAnsi" w:cstheme="minorHAnsi"/>
        </w:rPr>
        <w:t xml:space="preserve">   </w:t>
      </w:r>
    </w:p>
    <w:p w14:paraId="296F0CD5" w14:textId="77777777" w:rsidR="00F44350" w:rsidRPr="00374087" w:rsidRDefault="00F44350" w:rsidP="005972E9">
      <w:pPr>
        <w:rPr>
          <w:rFonts w:asciiTheme="minorHAnsi" w:hAnsiTheme="minorHAnsi" w:cstheme="minorHAnsi"/>
        </w:rPr>
      </w:pPr>
    </w:p>
    <w:p w14:paraId="6A49C171" w14:textId="2C6254C8" w:rsidR="006752E9" w:rsidRPr="00360A0A" w:rsidRDefault="00F70973" w:rsidP="005972E9">
      <w:pPr>
        <w:rPr>
          <w:rFonts w:asciiTheme="minorHAnsi" w:hAnsiTheme="minorHAnsi" w:cstheme="minorHAnsi"/>
          <w:lang w:val="en-US"/>
        </w:rPr>
      </w:pPr>
      <w:r>
        <w:rPr>
          <w:rFonts w:asciiTheme="minorHAnsi" w:hAnsiTheme="minorHAnsi" w:cstheme="minorHAnsi"/>
          <w:lang w:val="en-US"/>
        </w:rPr>
        <w:t>38</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F918DE">
        <w:rPr>
          <w:rFonts w:asciiTheme="minorHAnsi" w:hAnsiTheme="minorHAnsi" w:cstheme="minorHAnsi"/>
          <w:lang w:val="en-US"/>
        </w:rPr>
        <w:t>Despite the COVID</w:t>
      </w:r>
      <w:r w:rsidR="005522B0">
        <w:rPr>
          <w:rFonts w:asciiTheme="minorHAnsi" w:hAnsiTheme="minorHAnsi" w:cstheme="minorHAnsi"/>
          <w:lang w:val="en-US"/>
        </w:rPr>
        <w:t>-</w:t>
      </w:r>
      <w:r w:rsidR="00F918DE">
        <w:rPr>
          <w:rFonts w:asciiTheme="minorHAnsi" w:hAnsiTheme="minorHAnsi" w:cstheme="minorHAnsi"/>
          <w:lang w:val="en-US"/>
        </w:rPr>
        <w:t xml:space="preserve">19 pandemic and the resulting postponement of meetings of relevant policy processes, there was considerable activity in keeping work moving forward, creating important opportunities for engagement </w:t>
      </w:r>
      <w:r w:rsidR="005522B0">
        <w:rPr>
          <w:rFonts w:asciiTheme="minorHAnsi" w:hAnsiTheme="minorHAnsi" w:cstheme="minorHAnsi"/>
          <w:lang w:val="en-US"/>
        </w:rPr>
        <w:t>by</w:t>
      </w:r>
      <w:r w:rsidR="00F918DE">
        <w:rPr>
          <w:rFonts w:asciiTheme="minorHAnsi" w:hAnsiTheme="minorHAnsi" w:cstheme="minorHAnsi"/>
          <w:lang w:val="en-US"/>
        </w:rPr>
        <w:t xml:space="preserve"> the Secretariat to position wetlands and the work of the Convention in the global agenda</w:t>
      </w:r>
      <w:r w:rsidR="005522B0">
        <w:rPr>
          <w:rFonts w:asciiTheme="minorHAnsi" w:hAnsiTheme="minorHAnsi" w:cstheme="minorHAnsi"/>
          <w:lang w:val="en-US"/>
        </w:rPr>
        <w:t>s</w:t>
      </w:r>
      <w:r w:rsidR="00F918DE">
        <w:rPr>
          <w:rFonts w:asciiTheme="minorHAnsi" w:hAnsiTheme="minorHAnsi" w:cstheme="minorHAnsi"/>
          <w:lang w:val="en-US"/>
        </w:rPr>
        <w:t xml:space="preserve"> on biodiversity, sustainable development and climate change. </w:t>
      </w:r>
      <w:r w:rsidR="00A60541"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fulfil</w:t>
      </w:r>
      <w:r w:rsidR="00F04C15" w:rsidRPr="00360A0A">
        <w:rPr>
          <w:rFonts w:asciiTheme="minorHAnsi" w:hAnsiTheme="minorHAnsi" w:cstheme="minorHAnsi"/>
          <w:lang w:val="en-US"/>
        </w:rPr>
        <w:t>ment</w:t>
      </w:r>
      <w:r w:rsidR="00360A0A" w:rsidRPr="00360A0A">
        <w:rPr>
          <w:rFonts w:asciiTheme="minorHAnsi" w:hAnsiTheme="minorHAnsi" w:cstheme="minorHAnsi"/>
          <w:lang w:val="en-US"/>
        </w:rPr>
        <w:t xml:space="preserve"> </w:t>
      </w:r>
      <w:r w:rsidR="00F04C15"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F04C15"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F04C15" w:rsidRPr="00360A0A">
        <w:rPr>
          <w:rFonts w:asciiTheme="minorHAnsi" w:hAnsiTheme="minorHAnsi" w:cstheme="minorHAnsi"/>
          <w:lang w:val="en-US"/>
        </w:rPr>
        <w:t>mandate,</w:t>
      </w:r>
      <w:r w:rsidR="00360A0A" w:rsidRPr="00360A0A">
        <w:rPr>
          <w:rFonts w:asciiTheme="minorHAnsi" w:hAnsiTheme="minorHAnsi" w:cstheme="minorHAnsi"/>
          <w:lang w:val="en-US"/>
        </w:rPr>
        <w:t xml:space="preserve"> </w:t>
      </w:r>
      <w:r w:rsidR="00F04C15"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continue</w:t>
      </w:r>
      <w:r w:rsidR="00F918DE">
        <w:rPr>
          <w:rFonts w:asciiTheme="minorHAnsi" w:hAnsiTheme="minorHAnsi" w:cstheme="minorHAnsi"/>
          <w:lang w:val="en-US"/>
        </w:rPr>
        <w:t>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relevant</w:t>
      </w:r>
      <w:r w:rsidR="00360A0A" w:rsidRPr="00360A0A">
        <w:rPr>
          <w:rFonts w:asciiTheme="minorHAnsi" w:hAnsiTheme="minorHAnsi" w:cstheme="minorHAnsi"/>
          <w:lang w:val="en-US"/>
        </w:rPr>
        <w:t xml:space="preserve"> </w:t>
      </w:r>
      <w:r w:rsidR="00873313">
        <w:rPr>
          <w:rFonts w:asciiTheme="minorHAnsi" w:hAnsiTheme="minorHAnsi" w:cstheme="minorHAnsi"/>
          <w:lang w:val="en-US"/>
        </w:rPr>
        <w:t xml:space="preserve">and prioritized </w:t>
      </w:r>
      <w:r w:rsidR="00A60541" w:rsidRPr="00360A0A">
        <w:rPr>
          <w:rFonts w:asciiTheme="minorHAnsi" w:hAnsiTheme="minorHAnsi" w:cstheme="minorHAnsi"/>
          <w:lang w:val="en-US"/>
        </w:rPr>
        <w:t>MEAs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processes.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However,</w:t>
      </w:r>
      <w:r w:rsidR="00360A0A" w:rsidRPr="00360A0A">
        <w:rPr>
          <w:rFonts w:asciiTheme="minorHAnsi" w:hAnsiTheme="minorHAnsi" w:cstheme="minorHAnsi"/>
          <w:lang w:val="en-US"/>
        </w:rPr>
        <w:t xml:space="preserve"> </w:t>
      </w:r>
      <w:r w:rsidR="008F4529">
        <w:rPr>
          <w:rFonts w:asciiTheme="minorHAnsi" w:hAnsiTheme="minorHAnsi" w:cstheme="minorHAnsi"/>
          <w:lang w:val="en-US"/>
        </w:rPr>
        <w:t>as reported previ</w:t>
      </w:r>
      <w:r w:rsidR="00D126C9">
        <w:rPr>
          <w:rFonts w:asciiTheme="minorHAnsi" w:hAnsiTheme="minorHAnsi" w:cstheme="minorHAnsi"/>
          <w:lang w:val="en-US"/>
        </w:rPr>
        <w:t>o</w:t>
      </w:r>
      <w:r w:rsidR="008F4529">
        <w:rPr>
          <w:rFonts w:asciiTheme="minorHAnsi" w:hAnsiTheme="minorHAnsi" w:cstheme="minorHAnsi"/>
          <w:lang w:val="en-US"/>
        </w:rPr>
        <w:t>usly</w:t>
      </w:r>
      <w:r w:rsidR="005522B0">
        <w:rPr>
          <w:rFonts w:asciiTheme="minorHAnsi" w:hAnsiTheme="minorHAnsi" w:cstheme="minorHAnsi"/>
          <w:lang w:val="en-US"/>
        </w:rPr>
        <w:t>, it</w:t>
      </w:r>
      <w:r w:rsidR="008F4529">
        <w:rPr>
          <w:rFonts w:asciiTheme="minorHAnsi" w:hAnsiTheme="minorHAnsi" w:cstheme="minorHAnsi"/>
          <w:lang w:val="en-US"/>
        </w:rPr>
        <w:t xml:space="preserve"> </w:t>
      </w:r>
      <w:r w:rsidR="00A60541" w:rsidRPr="00360A0A">
        <w:rPr>
          <w:rFonts w:asciiTheme="minorHAnsi" w:hAnsiTheme="minorHAnsi" w:cstheme="minorHAnsi"/>
          <w:lang w:val="en-US"/>
        </w:rPr>
        <w:t>remains</w:t>
      </w:r>
      <w:r w:rsidR="00360A0A" w:rsidRPr="00360A0A">
        <w:rPr>
          <w:rFonts w:asciiTheme="minorHAnsi" w:hAnsiTheme="minorHAnsi" w:cstheme="minorHAnsi"/>
          <w:lang w:val="en-US"/>
        </w:rPr>
        <w:t xml:space="preserve"> </w:t>
      </w:r>
      <w:r w:rsidR="005522B0" w:rsidRPr="00360A0A">
        <w:rPr>
          <w:rFonts w:asciiTheme="minorHAnsi" w:hAnsiTheme="minorHAnsi" w:cstheme="minorHAnsi"/>
          <w:lang w:val="en-US"/>
        </w:rPr>
        <w:t xml:space="preserve">a major challenge </w:t>
      </w:r>
      <w:r w:rsidR="00A60541"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does</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not</w:t>
      </w:r>
      <w:r w:rsidR="00360A0A" w:rsidRPr="00360A0A">
        <w:rPr>
          <w:rFonts w:asciiTheme="minorHAnsi" w:hAnsiTheme="minorHAnsi" w:cstheme="minorHAnsi"/>
          <w:lang w:val="en-US"/>
        </w:rPr>
        <w:t xml:space="preserve"> </w:t>
      </w:r>
      <w:r w:rsidR="006E4428"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745747">
        <w:rPr>
          <w:rFonts w:asciiTheme="minorHAnsi" w:hAnsiTheme="minorHAnsi" w:cstheme="minorHAnsi"/>
          <w:lang w:val="en-US"/>
        </w:rPr>
        <w:t xml:space="preserve">access to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UN</w:t>
      </w:r>
      <w:r w:rsidR="00D5264D">
        <w:rPr>
          <w:rFonts w:asciiTheme="minorHAnsi" w:hAnsiTheme="minorHAnsi" w:cstheme="minorHAnsi"/>
          <w:lang w:val="en-US"/>
        </w:rPr>
        <w:t>GA</w:t>
      </w:r>
      <w:r w:rsidR="00A60541"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5522B0">
        <w:rPr>
          <w:rFonts w:asciiTheme="minorHAnsi" w:hAnsiTheme="minorHAnsi" w:cstheme="minorHAnsi"/>
          <w:lang w:val="en-US"/>
        </w:rPr>
        <w:t>or</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Economic</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Social</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Council,</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platform</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debate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sustainable</w:t>
      </w:r>
      <w:r w:rsidR="00360A0A" w:rsidRPr="00360A0A">
        <w:rPr>
          <w:rFonts w:asciiTheme="minorHAnsi" w:hAnsiTheme="minorHAnsi" w:cstheme="minorHAnsi"/>
          <w:lang w:val="en-US"/>
        </w:rPr>
        <w:t xml:space="preserve"> </w:t>
      </w:r>
      <w:r w:rsidR="00A60541" w:rsidRPr="00360A0A">
        <w:rPr>
          <w:rFonts w:asciiTheme="minorHAnsi" w:hAnsiTheme="minorHAnsi" w:cstheme="minorHAnsi"/>
          <w:lang w:val="en-US"/>
        </w:rPr>
        <w:t>development.</w:t>
      </w:r>
      <w:r w:rsidR="00745747" w:rsidRPr="00745747">
        <w:rPr>
          <w:rFonts w:asciiTheme="minorHAnsi" w:hAnsiTheme="minorHAnsi" w:cstheme="minorHAnsi"/>
          <w:lang w:val="en-US"/>
        </w:rPr>
        <w:t xml:space="preserve"> </w:t>
      </w:r>
      <w:r w:rsidR="008F4529">
        <w:rPr>
          <w:rFonts w:asciiTheme="minorHAnsi" w:hAnsiTheme="minorHAnsi" w:cstheme="minorHAnsi"/>
          <w:lang w:val="en-US"/>
        </w:rPr>
        <w:t xml:space="preserve">The </w:t>
      </w:r>
      <w:r w:rsidR="00745747">
        <w:rPr>
          <w:rFonts w:asciiTheme="minorHAnsi" w:hAnsiTheme="minorHAnsi" w:cstheme="minorHAnsi"/>
          <w:lang w:val="en-US"/>
        </w:rPr>
        <w:t xml:space="preserve">proposal to </w:t>
      </w:r>
      <w:r w:rsidR="00B55E67">
        <w:rPr>
          <w:rFonts w:asciiTheme="minorHAnsi" w:hAnsiTheme="minorHAnsi" w:cstheme="minorHAnsi"/>
          <w:lang w:val="en-US"/>
        </w:rPr>
        <w:t>obtain</w:t>
      </w:r>
      <w:r w:rsidR="00745747">
        <w:rPr>
          <w:rFonts w:asciiTheme="minorHAnsi" w:hAnsiTheme="minorHAnsi" w:cstheme="minorHAnsi"/>
          <w:lang w:val="en-US"/>
        </w:rPr>
        <w:t xml:space="preserve"> </w:t>
      </w:r>
      <w:r w:rsidR="00745747" w:rsidRPr="00360A0A">
        <w:rPr>
          <w:rFonts w:asciiTheme="minorHAnsi" w:hAnsiTheme="minorHAnsi" w:cstheme="minorHAnsi"/>
          <w:lang w:val="en-US"/>
        </w:rPr>
        <w:t>observer status</w:t>
      </w:r>
      <w:r w:rsidR="00205E80">
        <w:rPr>
          <w:rFonts w:asciiTheme="minorHAnsi" w:hAnsiTheme="minorHAnsi" w:cstheme="minorHAnsi"/>
          <w:lang w:val="en-US"/>
        </w:rPr>
        <w:t xml:space="preserve"> </w:t>
      </w:r>
      <w:r w:rsidR="002E7ED6">
        <w:rPr>
          <w:rFonts w:asciiTheme="minorHAnsi" w:hAnsiTheme="minorHAnsi" w:cstheme="minorHAnsi"/>
          <w:lang w:val="en-US"/>
        </w:rPr>
        <w:t xml:space="preserve">was </w:t>
      </w:r>
      <w:r w:rsidR="00745747">
        <w:rPr>
          <w:rFonts w:asciiTheme="minorHAnsi" w:hAnsiTheme="minorHAnsi" w:cstheme="minorHAnsi"/>
          <w:lang w:val="en-US"/>
        </w:rPr>
        <w:t xml:space="preserve">submitted by Uruguay, then </w:t>
      </w:r>
      <w:r w:rsidR="00205E80">
        <w:rPr>
          <w:rFonts w:asciiTheme="minorHAnsi" w:hAnsiTheme="minorHAnsi" w:cstheme="minorHAnsi"/>
          <w:lang w:val="en-US"/>
        </w:rPr>
        <w:t>Chair of the Standing Committee</w:t>
      </w:r>
      <w:r w:rsidR="005522B0">
        <w:rPr>
          <w:rFonts w:asciiTheme="minorHAnsi" w:hAnsiTheme="minorHAnsi" w:cstheme="minorHAnsi"/>
          <w:lang w:val="en-US"/>
        </w:rPr>
        <w:t>,</w:t>
      </w:r>
      <w:r w:rsidR="00745747">
        <w:rPr>
          <w:rFonts w:asciiTheme="minorHAnsi" w:hAnsiTheme="minorHAnsi" w:cstheme="minorHAnsi"/>
          <w:lang w:val="en-US"/>
        </w:rPr>
        <w:t xml:space="preserve"> in 2017, but its consideration </w:t>
      </w:r>
      <w:r w:rsidR="00205E80">
        <w:rPr>
          <w:rFonts w:asciiTheme="minorHAnsi" w:hAnsiTheme="minorHAnsi" w:cstheme="minorHAnsi"/>
          <w:lang w:val="en-US"/>
        </w:rPr>
        <w:t xml:space="preserve">has </w:t>
      </w:r>
      <w:r w:rsidR="00745747">
        <w:rPr>
          <w:rFonts w:asciiTheme="minorHAnsi" w:hAnsiTheme="minorHAnsi" w:cstheme="minorHAnsi"/>
          <w:lang w:val="en-US"/>
        </w:rPr>
        <w:t>been deferred.</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644E68">
        <w:rPr>
          <w:rFonts w:asciiTheme="minorHAnsi" w:hAnsiTheme="minorHAnsi" w:cstheme="minorHAnsi"/>
          <w:lang w:val="en-US"/>
        </w:rPr>
        <w:t xml:space="preserve">has </w:t>
      </w:r>
      <w:r w:rsidR="000B0DE6" w:rsidRPr="00360A0A">
        <w:rPr>
          <w:rFonts w:asciiTheme="minorHAnsi" w:hAnsiTheme="minorHAnsi" w:cstheme="minorHAnsi"/>
          <w:lang w:val="en-US"/>
        </w:rPr>
        <w:t>continue</w:t>
      </w:r>
      <w:r w:rsidR="00644E68">
        <w:rPr>
          <w:rFonts w:asciiTheme="minorHAnsi" w:hAnsiTheme="minorHAnsi" w:cstheme="minorHAnsi"/>
          <w:lang w:val="en-US"/>
        </w:rPr>
        <w:t>d</w:t>
      </w:r>
      <w:r w:rsidR="00360A0A" w:rsidRPr="00360A0A">
        <w:rPr>
          <w:rFonts w:asciiTheme="minorHAnsi" w:hAnsiTheme="minorHAnsi" w:cstheme="minorHAnsi"/>
          <w:lang w:val="en-US"/>
        </w:rPr>
        <w:t xml:space="preserve"> </w:t>
      </w:r>
      <w:r w:rsidR="00644E68">
        <w:rPr>
          <w:rFonts w:asciiTheme="minorHAnsi" w:hAnsiTheme="minorHAnsi" w:cstheme="minorHAnsi"/>
          <w:lang w:val="en-US"/>
        </w:rPr>
        <w:t xml:space="preserve">to </w:t>
      </w:r>
      <w:r w:rsidR="00745747">
        <w:rPr>
          <w:rFonts w:asciiTheme="minorHAnsi" w:hAnsiTheme="minorHAnsi" w:cstheme="minorHAnsi"/>
          <w:lang w:val="en-US"/>
        </w:rPr>
        <w:t>face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limitations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0DE6" w:rsidRPr="00360A0A">
        <w:rPr>
          <w:rFonts w:asciiTheme="minorHAnsi" w:hAnsiTheme="minorHAnsi" w:cstheme="minorHAnsi"/>
          <w:lang w:val="en-US"/>
        </w:rPr>
        <w:t>UN,</w:t>
      </w:r>
      <w:r w:rsidR="00360A0A" w:rsidRPr="00360A0A">
        <w:rPr>
          <w:rFonts w:asciiTheme="minorHAnsi" w:hAnsiTheme="minorHAnsi" w:cstheme="minorHAnsi"/>
          <w:lang w:val="en-US"/>
        </w:rPr>
        <w:t xml:space="preserve"> </w:t>
      </w:r>
      <w:r w:rsidR="00F918DE">
        <w:rPr>
          <w:rFonts w:asciiTheme="minorHAnsi" w:hAnsiTheme="minorHAnsi" w:cstheme="minorHAnsi"/>
          <w:lang w:val="en-US"/>
        </w:rPr>
        <w:t>including UNGA and UN-Water processes. This is an issue being addressed by the S</w:t>
      </w:r>
      <w:r w:rsidR="005522B0">
        <w:rPr>
          <w:rFonts w:asciiTheme="minorHAnsi" w:hAnsiTheme="minorHAnsi" w:cstheme="minorHAnsi"/>
          <w:lang w:val="en-US"/>
        </w:rPr>
        <w:t xml:space="preserve">tanding </w:t>
      </w:r>
      <w:r w:rsidR="00F918DE">
        <w:rPr>
          <w:rFonts w:asciiTheme="minorHAnsi" w:hAnsiTheme="minorHAnsi" w:cstheme="minorHAnsi"/>
          <w:lang w:val="en-US"/>
        </w:rPr>
        <w:t>C</w:t>
      </w:r>
      <w:r w:rsidR="005522B0">
        <w:rPr>
          <w:rFonts w:asciiTheme="minorHAnsi" w:hAnsiTheme="minorHAnsi" w:cstheme="minorHAnsi"/>
          <w:lang w:val="en-US"/>
        </w:rPr>
        <w:t>ommittee’s</w:t>
      </w:r>
      <w:r w:rsidR="00F918DE">
        <w:rPr>
          <w:rFonts w:asciiTheme="minorHAnsi" w:hAnsiTheme="minorHAnsi" w:cstheme="minorHAnsi"/>
          <w:lang w:val="en-US"/>
        </w:rPr>
        <w:t xml:space="preserve"> Working Group on the Observer Status.</w:t>
      </w:r>
    </w:p>
    <w:p w14:paraId="2A8F0908" w14:textId="77777777" w:rsidR="006752E9" w:rsidRPr="00360A0A" w:rsidRDefault="006752E9" w:rsidP="00623F05">
      <w:pPr>
        <w:ind w:left="0" w:firstLine="0"/>
        <w:rPr>
          <w:rFonts w:asciiTheme="minorHAnsi" w:hAnsiTheme="minorHAnsi" w:cstheme="minorHAnsi"/>
          <w:lang w:val="en-US"/>
        </w:rPr>
      </w:pPr>
    </w:p>
    <w:p w14:paraId="6E5C77BC" w14:textId="77777777" w:rsidR="00E90337" w:rsidRPr="00360A0A" w:rsidRDefault="00E90337" w:rsidP="00623F05">
      <w:pPr>
        <w:ind w:left="0" w:firstLine="0"/>
        <w:rPr>
          <w:rFonts w:asciiTheme="minorHAnsi" w:hAnsiTheme="minorHAnsi" w:cstheme="minorHAnsi"/>
          <w:b/>
          <w:bCs/>
        </w:rPr>
      </w:pPr>
      <w:r w:rsidRPr="00360A0A">
        <w:rPr>
          <w:rFonts w:asciiTheme="minorHAnsi" w:hAnsiTheme="minorHAnsi" w:cstheme="minorHAnsi"/>
          <w:b/>
          <w:bCs/>
        </w:rPr>
        <w:t>Strengthening</w:t>
      </w:r>
      <w:r w:rsidR="00360A0A" w:rsidRPr="00360A0A">
        <w:rPr>
          <w:rFonts w:asciiTheme="minorHAnsi" w:hAnsiTheme="minorHAnsi" w:cstheme="minorHAnsi"/>
          <w:b/>
          <w:bCs/>
        </w:rPr>
        <w:t xml:space="preserve"> </w:t>
      </w:r>
      <w:r w:rsidRPr="00360A0A">
        <w:rPr>
          <w:rFonts w:asciiTheme="minorHAnsi" w:hAnsiTheme="minorHAnsi" w:cstheme="minorHAnsi"/>
          <w:b/>
          <w:bCs/>
        </w:rPr>
        <w:t>support</w:t>
      </w:r>
      <w:r w:rsidR="00360A0A" w:rsidRPr="00360A0A">
        <w:rPr>
          <w:rFonts w:asciiTheme="minorHAnsi" w:hAnsiTheme="minorHAnsi" w:cstheme="minorHAnsi"/>
          <w:b/>
          <w:bCs/>
        </w:rPr>
        <w:t xml:space="preserve"> </w:t>
      </w:r>
      <w:r w:rsidRPr="00360A0A">
        <w:rPr>
          <w:rFonts w:asciiTheme="minorHAnsi" w:hAnsiTheme="minorHAnsi" w:cstheme="minorHAnsi"/>
          <w:b/>
          <w:bCs/>
        </w:rPr>
        <w:t>and</w:t>
      </w:r>
      <w:r w:rsidR="00360A0A" w:rsidRPr="00360A0A">
        <w:rPr>
          <w:rFonts w:asciiTheme="minorHAnsi" w:hAnsiTheme="minorHAnsi" w:cstheme="minorHAnsi"/>
          <w:b/>
          <w:bCs/>
        </w:rPr>
        <w:t xml:space="preserve"> </w:t>
      </w:r>
      <w:r w:rsidRPr="00360A0A">
        <w:rPr>
          <w:rFonts w:asciiTheme="minorHAnsi" w:hAnsiTheme="minorHAnsi" w:cstheme="minorHAnsi"/>
          <w:b/>
          <w:bCs/>
        </w:rPr>
        <w:t>enabling</w:t>
      </w:r>
      <w:r w:rsidR="00360A0A" w:rsidRPr="00360A0A">
        <w:rPr>
          <w:rFonts w:asciiTheme="minorHAnsi" w:hAnsiTheme="minorHAnsi" w:cstheme="minorHAnsi"/>
          <w:b/>
          <w:bCs/>
        </w:rPr>
        <w:t xml:space="preserve"> </w:t>
      </w:r>
      <w:r w:rsidRPr="00360A0A">
        <w:rPr>
          <w:rFonts w:asciiTheme="minorHAnsi" w:hAnsiTheme="minorHAnsi" w:cstheme="minorHAnsi"/>
          <w:b/>
          <w:bCs/>
        </w:rPr>
        <w:t>implementation</w:t>
      </w:r>
    </w:p>
    <w:p w14:paraId="6C6A63C0" w14:textId="77777777" w:rsidR="00DD15F3" w:rsidRPr="00360A0A" w:rsidRDefault="00DD15F3" w:rsidP="00623F05">
      <w:pPr>
        <w:ind w:left="0" w:firstLine="0"/>
        <w:rPr>
          <w:rFonts w:asciiTheme="minorHAnsi" w:hAnsiTheme="minorHAnsi" w:cstheme="minorHAnsi"/>
        </w:rPr>
      </w:pPr>
    </w:p>
    <w:p w14:paraId="4881B1B6" w14:textId="4C59C004" w:rsidR="004E7D6C" w:rsidRPr="00360A0A" w:rsidRDefault="004A0CC9" w:rsidP="005972E9">
      <w:pPr>
        <w:rPr>
          <w:rFonts w:asciiTheme="minorHAnsi" w:hAnsiTheme="minorHAnsi" w:cstheme="minorHAnsi"/>
          <w:lang w:val="en-US"/>
        </w:rPr>
      </w:pPr>
      <w:r>
        <w:rPr>
          <w:rFonts w:asciiTheme="minorHAnsi" w:hAnsiTheme="minorHAnsi" w:cstheme="minorHAnsi"/>
          <w:lang w:val="en-US"/>
        </w:rPr>
        <w:t>3</w:t>
      </w:r>
      <w:r w:rsidR="00F70973">
        <w:rPr>
          <w:rFonts w:asciiTheme="minorHAnsi" w:hAnsiTheme="minorHAnsi" w:cstheme="minorHAnsi"/>
          <w:lang w:val="en-US"/>
        </w:rPr>
        <w:t>9</w:t>
      </w:r>
      <w:r w:rsidR="004E7D6C" w:rsidRPr="00360A0A">
        <w:rPr>
          <w:rFonts w:asciiTheme="minorHAnsi" w:hAnsiTheme="minorHAnsi" w:cstheme="minorHAnsi"/>
          <w:lang w:val="en-US"/>
        </w:rPr>
        <w:t>.</w:t>
      </w:r>
      <w:r w:rsidR="004E7D6C" w:rsidRPr="00360A0A">
        <w:rPr>
          <w:rFonts w:asciiTheme="minorHAnsi" w:hAnsiTheme="minorHAnsi" w:cstheme="minorHAnsi"/>
          <w:lang w:val="en-US"/>
        </w:rPr>
        <w:tab/>
        <w:t xml:space="preserve">During the reporting period, the Secretariat provided support </w:t>
      </w:r>
      <w:r w:rsidR="004E7D6C">
        <w:rPr>
          <w:rFonts w:asciiTheme="minorHAnsi" w:hAnsiTheme="minorHAnsi" w:cstheme="minorHAnsi"/>
          <w:lang w:val="en-US"/>
        </w:rPr>
        <w:t>to</w:t>
      </w:r>
      <w:r w:rsidR="004E7D6C" w:rsidRPr="00360A0A">
        <w:rPr>
          <w:rFonts w:asciiTheme="minorHAnsi" w:hAnsiTheme="minorHAnsi" w:cstheme="minorHAnsi"/>
          <w:lang w:val="en-US"/>
        </w:rPr>
        <w:t xml:space="preserve"> the designation of </w:t>
      </w:r>
      <w:r w:rsidR="004E7D6C">
        <w:rPr>
          <w:rFonts w:asciiTheme="minorHAnsi" w:hAnsiTheme="minorHAnsi" w:cstheme="minorHAnsi"/>
          <w:lang w:val="en-US"/>
        </w:rPr>
        <w:t>28</w:t>
      </w:r>
      <w:r w:rsidR="004E7D6C" w:rsidRPr="00360A0A">
        <w:rPr>
          <w:rFonts w:asciiTheme="minorHAnsi" w:hAnsiTheme="minorHAnsi" w:cstheme="minorHAnsi"/>
          <w:lang w:val="en-US"/>
        </w:rPr>
        <w:t xml:space="preserve"> </w:t>
      </w:r>
      <w:r w:rsidR="004E7D6C">
        <w:rPr>
          <w:rFonts w:asciiTheme="minorHAnsi" w:hAnsiTheme="minorHAnsi" w:cstheme="minorHAnsi"/>
          <w:lang w:val="en-US"/>
        </w:rPr>
        <w:t xml:space="preserve">new Wetlands of International Importance, the extension of two </w:t>
      </w:r>
      <w:r w:rsidR="00DA2731">
        <w:rPr>
          <w:rFonts w:asciiTheme="minorHAnsi" w:hAnsiTheme="minorHAnsi" w:cstheme="minorHAnsi"/>
          <w:lang w:val="en-US"/>
        </w:rPr>
        <w:t>“</w:t>
      </w:r>
      <w:r w:rsidR="004E7D6C">
        <w:rPr>
          <w:rFonts w:asciiTheme="minorHAnsi" w:hAnsiTheme="minorHAnsi" w:cstheme="minorHAnsi"/>
          <w:lang w:val="en-US"/>
        </w:rPr>
        <w:t>Ramsar Sites</w:t>
      </w:r>
      <w:r w:rsidR="00DA2731">
        <w:rPr>
          <w:rFonts w:asciiTheme="minorHAnsi" w:hAnsiTheme="minorHAnsi" w:cstheme="minorHAnsi"/>
          <w:lang w:val="en-US"/>
        </w:rPr>
        <w:t>”</w:t>
      </w:r>
      <w:r w:rsidR="004E7D6C">
        <w:rPr>
          <w:rFonts w:asciiTheme="minorHAnsi" w:hAnsiTheme="minorHAnsi" w:cstheme="minorHAnsi"/>
          <w:lang w:val="en-US"/>
        </w:rPr>
        <w:t xml:space="preserve"> </w:t>
      </w:r>
      <w:r w:rsidR="004E7D6C" w:rsidRPr="00360A0A">
        <w:rPr>
          <w:rFonts w:asciiTheme="minorHAnsi" w:hAnsiTheme="minorHAnsi" w:cstheme="minorHAnsi"/>
          <w:lang w:val="en-US"/>
        </w:rPr>
        <w:t xml:space="preserve">and the update of information for </w:t>
      </w:r>
      <w:r w:rsidR="004E7D6C">
        <w:rPr>
          <w:rFonts w:asciiTheme="minorHAnsi" w:hAnsiTheme="minorHAnsi" w:cstheme="minorHAnsi"/>
          <w:lang w:val="en-US"/>
        </w:rPr>
        <w:t>37</w:t>
      </w:r>
      <w:r w:rsidR="004E7D6C" w:rsidRPr="00360A0A">
        <w:rPr>
          <w:rFonts w:asciiTheme="minorHAnsi" w:hAnsiTheme="minorHAnsi" w:cstheme="minorHAnsi"/>
          <w:lang w:val="en-US"/>
        </w:rPr>
        <w:t xml:space="preserve"> Sites. This included support in </w:t>
      </w:r>
      <w:r w:rsidR="00DA2731">
        <w:rPr>
          <w:rFonts w:asciiTheme="minorHAnsi" w:hAnsiTheme="minorHAnsi" w:cstheme="minorHAnsi"/>
          <w:lang w:val="en-US"/>
        </w:rPr>
        <w:t xml:space="preserve">the </w:t>
      </w:r>
      <w:r w:rsidR="004E7D6C" w:rsidRPr="00360A0A">
        <w:rPr>
          <w:rFonts w:asciiTheme="minorHAnsi" w:hAnsiTheme="minorHAnsi" w:cstheme="minorHAnsi"/>
          <w:lang w:val="en-US"/>
        </w:rPr>
        <w:t>transfer of data into the Ramsar Sites Information System (RSIS), and publication and translation of Site summaries</w:t>
      </w:r>
      <w:r w:rsidR="004E7D6C">
        <w:rPr>
          <w:rFonts w:asciiTheme="minorHAnsi" w:hAnsiTheme="minorHAnsi" w:cstheme="minorHAnsi"/>
          <w:lang w:val="en-US"/>
        </w:rPr>
        <w:t xml:space="preserve"> (</w:t>
      </w:r>
      <w:r w:rsidR="00205E80">
        <w:rPr>
          <w:rFonts w:asciiTheme="minorHAnsi" w:hAnsiTheme="minorHAnsi" w:cstheme="minorHAnsi"/>
          <w:lang w:val="en-US"/>
        </w:rPr>
        <w:t xml:space="preserve">for more details see </w:t>
      </w:r>
      <w:r w:rsidR="00DA2731">
        <w:rPr>
          <w:rFonts w:asciiTheme="minorHAnsi" w:hAnsiTheme="minorHAnsi" w:cstheme="minorHAnsi"/>
          <w:lang w:val="en-US"/>
        </w:rPr>
        <w:t xml:space="preserve">document </w:t>
      </w:r>
      <w:r w:rsidR="00205E80">
        <w:rPr>
          <w:rFonts w:asciiTheme="minorHAnsi" w:hAnsiTheme="minorHAnsi" w:cstheme="minorHAnsi"/>
          <w:lang w:val="en-US"/>
        </w:rPr>
        <w:t>SC59</w:t>
      </w:r>
      <w:r w:rsidR="00DA2731" w:rsidRPr="00DA2731">
        <w:rPr>
          <w:rFonts w:asciiTheme="minorHAnsi" w:hAnsiTheme="minorHAnsi" w:cstheme="minorHAnsi"/>
          <w:lang w:val="en-US"/>
        </w:rPr>
        <w:t xml:space="preserve"> </w:t>
      </w:r>
      <w:r w:rsidR="00DA2731">
        <w:rPr>
          <w:rFonts w:asciiTheme="minorHAnsi" w:hAnsiTheme="minorHAnsi" w:cstheme="minorHAnsi"/>
          <w:lang w:val="en-US"/>
        </w:rPr>
        <w:t>Doc.</w:t>
      </w:r>
      <w:r w:rsidR="00B55E67">
        <w:rPr>
          <w:rFonts w:asciiTheme="minorHAnsi" w:hAnsiTheme="minorHAnsi" w:cstheme="minorHAnsi"/>
          <w:lang w:val="en-US"/>
        </w:rPr>
        <w:t>23</w:t>
      </w:r>
      <w:r w:rsidR="00205E80">
        <w:rPr>
          <w:rFonts w:asciiTheme="minorHAnsi" w:hAnsiTheme="minorHAnsi" w:cstheme="minorHAnsi"/>
          <w:lang w:val="en-US"/>
        </w:rPr>
        <w:t>)</w:t>
      </w:r>
      <w:r w:rsidR="00873313">
        <w:rPr>
          <w:rFonts w:asciiTheme="minorHAnsi" w:hAnsiTheme="minorHAnsi" w:cstheme="minorHAnsi"/>
          <w:lang w:val="en-US"/>
        </w:rPr>
        <w:t>.</w:t>
      </w:r>
    </w:p>
    <w:p w14:paraId="328B81CA" w14:textId="77777777" w:rsidR="004E7D6C" w:rsidRPr="00360A0A" w:rsidRDefault="004E7D6C" w:rsidP="005972E9">
      <w:pPr>
        <w:rPr>
          <w:rFonts w:asciiTheme="minorHAnsi" w:hAnsiTheme="minorHAnsi" w:cstheme="minorHAnsi"/>
          <w:lang w:val="en-US"/>
        </w:rPr>
      </w:pPr>
    </w:p>
    <w:p w14:paraId="48FFF7D7" w14:textId="1CC19B08" w:rsidR="004E7D6C" w:rsidRDefault="00F70973" w:rsidP="005972E9">
      <w:pPr>
        <w:rPr>
          <w:rFonts w:asciiTheme="minorHAnsi" w:hAnsiTheme="minorHAnsi" w:cstheme="minorHAnsi"/>
          <w:lang w:val="en-US"/>
        </w:rPr>
      </w:pPr>
      <w:r>
        <w:rPr>
          <w:rFonts w:asciiTheme="minorHAnsi" w:hAnsiTheme="minorHAnsi" w:cstheme="minorHAnsi"/>
          <w:lang w:val="en-US"/>
        </w:rPr>
        <w:t>40</w:t>
      </w:r>
      <w:r w:rsidR="004E7D6C" w:rsidRPr="00360A0A">
        <w:rPr>
          <w:rFonts w:asciiTheme="minorHAnsi" w:hAnsiTheme="minorHAnsi" w:cstheme="minorHAnsi"/>
          <w:lang w:val="en-US"/>
        </w:rPr>
        <w:t>.</w:t>
      </w:r>
      <w:r w:rsidR="004E7D6C" w:rsidRPr="00360A0A">
        <w:rPr>
          <w:rFonts w:asciiTheme="minorHAnsi" w:hAnsiTheme="minorHAnsi" w:cstheme="minorHAnsi"/>
          <w:lang w:val="en-US"/>
        </w:rPr>
        <w:tab/>
        <w:t xml:space="preserve">The Secretariat carried out </w:t>
      </w:r>
      <w:r w:rsidR="004E7D6C">
        <w:rPr>
          <w:rFonts w:asciiTheme="minorHAnsi" w:hAnsiTheme="minorHAnsi" w:cstheme="minorHAnsi"/>
          <w:lang w:val="en-US"/>
        </w:rPr>
        <w:t>one</w:t>
      </w:r>
      <w:r w:rsidR="004E7D6C" w:rsidRPr="00360A0A">
        <w:rPr>
          <w:rFonts w:asciiTheme="minorHAnsi" w:hAnsiTheme="minorHAnsi" w:cstheme="minorHAnsi"/>
          <w:lang w:val="en-US"/>
        </w:rPr>
        <w:t xml:space="preserve"> Ramsar Advisory Mission (RAM) to </w:t>
      </w:r>
      <w:r w:rsidR="004E7D6C">
        <w:rPr>
          <w:rFonts w:asciiTheme="minorHAnsi" w:hAnsiTheme="minorHAnsi" w:cstheme="minorHAnsi"/>
          <w:lang w:val="en-US"/>
        </w:rPr>
        <w:t>Spain</w:t>
      </w:r>
      <w:r w:rsidR="004E7D6C" w:rsidRPr="00360A0A">
        <w:rPr>
          <w:rFonts w:asciiTheme="minorHAnsi" w:hAnsiTheme="minorHAnsi" w:cstheme="minorHAnsi"/>
          <w:lang w:val="en-US"/>
        </w:rPr>
        <w:t xml:space="preserve"> (</w:t>
      </w:r>
      <w:r w:rsidR="004E7D6C">
        <w:rPr>
          <w:rFonts w:asciiTheme="minorHAnsi" w:hAnsiTheme="minorHAnsi" w:cstheme="minorHAnsi"/>
          <w:lang w:val="en-US"/>
        </w:rPr>
        <w:t>Doñana),</w:t>
      </w:r>
      <w:r w:rsidR="004E7D6C" w:rsidRPr="00360A0A">
        <w:rPr>
          <w:rFonts w:asciiTheme="minorHAnsi" w:hAnsiTheme="minorHAnsi" w:cstheme="minorHAnsi"/>
          <w:lang w:val="en-US"/>
        </w:rPr>
        <w:t xml:space="preserve"> together with </w:t>
      </w:r>
      <w:r w:rsidR="004E7D6C">
        <w:rPr>
          <w:rFonts w:asciiTheme="minorHAnsi" w:hAnsiTheme="minorHAnsi" w:cstheme="minorHAnsi"/>
          <w:lang w:val="en-US"/>
        </w:rPr>
        <w:t xml:space="preserve">the </w:t>
      </w:r>
      <w:r w:rsidR="004E7D6C" w:rsidRPr="00360A0A">
        <w:rPr>
          <w:rFonts w:asciiTheme="minorHAnsi" w:hAnsiTheme="minorHAnsi" w:cstheme="minorHAnsi"/>
          <w:lang w:val="en-US"/>
        </w:rPr>
        <w:t>UNESCO World Heritage Centre and I</w:t>
      </w:r>
      <w:r w:rsidR="004E7D6C">
        <w:rPr>
          <w:rFonts w:asciiTheme="minorHAnsi" w:hAnsiTheme="minorHAnsi" w:cstheme="minorHAnsi"/>
          <w:lang w:val="en-US"/>
        </w:rPr>
        <w:t>UCN.</w:t>
      </w:r>
      <w:r w:rsidR="00013A89">
        <w:rPr>
          <w:rFonts w:asciiTheme="minorHAnsi" w:hAnsiTheme="minorHAnsi" w:cstheme="minorHAnsi"/>
          <w:lang w:val="en-US"/>
        </w:rPr>
        <w:t xml:space="preserve"> </w:t>
      </w:r>
      <w:r w:rsidR="004E7D6C">
        <w:rPr>
          <w:rFonts w:asciiTheme="minorHAnsi" w:hAnsiTheme="minorHAnsi" w:cstheme="minorHAnsi"/>
          <w:lang w:val="en-US"/>
        </w:rPr>
        <w:t xml:space="preserve">Additional RAMs were prepared for Malawi </w:t>
      </w:r>
      <w:r w:rsidR="00426279">
        <w:rPr>
          <w:rFonts w:asciiTheme="minorHAnsi" w:hAnsiTheme="minorHAnsi" w:cstheme="minorHAnsi"/>
          <w:lang w:val="en-US"/>
        </w:rPr>
        <w:lastRenderedPageBreak/>
        <w:t>(Lake Chilwa), Ni</w:t>
      </w:r>
      <w:r w:rsidR="004E7D6C">
        <w:rPr>
          <w:rFonts w:asciiTheme="minorHAnsi" w:hAnsiTheme="minorHAnsi" w:cstheme="minorHAnsi"/>
          <w:lang w:val="en-US"/>
        </w:rPr>
        <w:t xml:space="preserve">caragua (Sistema de Humedales de Bahía de Bluefields) and Tunisia (Sebkhet Sejoumi), but could not be undertaken because of </w:t>
      </w:r>
      <w:r w:rsidR="00514891">
        <w:rPr>
          <w:rFonts w:asciiTheme="minorHAnsi" w:hAnsiTheme="minorHAnsi" w:cstheme="minorHAnsi"/>
          <w:lang w:val="en-US"/>
        </w:rPr>
        <w:t xml:space="preserve">travel </w:t>
      </w:r>
      <w:r w:rsidR="004E7D6C">
        <w:rPr>
          <w:rFonts w:asciiTheme="minorHAnsi" w:hAnsiTheme="minorHAnsi" w:cstheme="minorHAnsi"/>
          <w:lang w:val="en-US"/>
        </w:rPr>
        <w:t>restrictions imposed by the C</w:t>
      </w:r>
      <w:r w:rsidR="007731AE">
        <w:rPr>
          <w:rFonts w:asciiTheme="minorHAnsi" w:hAnsiTheme="minorHAnsi" w:cstheme="minorHAnsi"/>
          <w:lang w:val="en-US"/>
        </w:rPr>
        <w:t>OVID</w:t>
      </w:r>
      <w:r w:rsidR="004E7D6C">
        <w:rPr>
          <w:rFonts w:asciiTheme="minorHAnsi" w:hAnsiTheme="minorHAnsi" w:cstheme="minorHAnsi"/>
          <w:lang w:val="en-US"/>
        </w:rPr>
        <w:t>-19 pandemic.</w:t>
      </w:r>
    </w:p>
    <w:p w14:paraId="1ED3DCC2" w14:textId="77777777" w:rsidR="004E7D6C" w:rsidRPr="00360A0A" w:rsidRDefault="004E7D6C" w:rsidP="005972E9">
      <w:pPr>
        <w:rPr>
          <w:rFonts w:asciiTheme="minorHAnsi" w:hAnsiTheme="minorHAnsi" w:cstheme="minorHAnsi"/>
          <w:lang w:val="en-US"/>
        </w:rPr>
      </w:pPr>
    </w:p>
    <w:p w14:paraId="1230452F" w14:textId="5C85DE8F" w:rsidR="00296770" w:rsidRDefault="00F70973" w:rsidP="005972E9">
      <w:pPr>
        <w:rPr>
          <w:rFonts w:cs="Calibri"/>
        </w:rPr>
      </w:pPr>
      <w:r>
        <w:rPr>
          <w:rFonts w:asciiTheme="minorHAnsi" w:hAnsiTheme="minorHAnsi" w:cstheme="minorHAnsi"/>
          <w:lang w:val="en-US"/>
        </w:rPr>
        <w:t>41</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2B3D47" w:rsidRPr="00D4363D">
        <w:rPr>
          <w:rFonts w:cs="Calibri"/>
        </w:rPr>
        <w:t xml:space="preserve">The Secretariat supported the work of Ramsar Regional Initiatives (RRIs), including the </w:t>
      </w:r>
      <w:r w:rsidR="000321C8">
        <w:t>Initiative on Black and Azov Seas Coastal Wetlands</w:t>
      </w:r>
      <w:r w:rsidR="000321C8" w:rsidRPr="00D4363D">
        <w:rPr>
          <w:rFonts w:cs="Calibri"/>
        </w:rPr>
        <w:t xml:space="preserve"> </w:t>
      </w:r>
      <w:r w:rsidR="002B3D47" w:rsidRPr="00D4363D">
        <w:rPr>
          <w:rFonts w:cs="Calibri"/>
        </w:rPr>
        <w:t xml:space="preserve">(BlackSeaWet), the Ramsar Regional Initiative for Central Asia (RRI-CA), the Carpathian Wetland Initiative (CWI), </w:t>
      </w:r>
      <w:r w:rsidR="00426279">
        <w:rPr>
          <w:rFonts w:cs="Calibri"/>
        </w:rPr>
        <w:t xml:space="preserve">the </w:t>
      </w:r>
      <w:r w:rsidR="002B3D47" w:rsidRPr="00D4363D">
        <w:rPr>
          <w:rFonts w:cs="Calibri"/>
        </w:rPr>
        <w:t>Indo</w:t>
      </w:r>
      <w:r w:rsidR="00426279">
        <w:rPr>
          <w:rFonts w:cs="Calibri"/>
        </w:rPr>
        <w:t>-</w:t>
      </w:r>
      <w:r w:rsidR="002B3D47" w:rsidRPr="00D4363D">
        <w:rPr>
          <w:rFonts w:cs="Calibri"/>
        </w:rPr>
        <w:t>Burma Ramsar Regional Initiative (IBRRI), the Nordic-Baltic Wetlands Initiative (NorBalWet), the Mediterranean W</w:t>
      </w:r>
      <w:r w:rsidR="00296770">
        <w:rPr>
          <w:rFonts w:cs="Calibri"/>
        </w:rPr>
        <w:t xml:space="preserve">etlands Initiative (MedWet), </w:t>
      </w:r>
      <w:r w:rsidR="002B3D47" w:rsidRPr="00D4363D">
        <w:rPr>
          <w:rFonts w:cs="Calibri"/>
        </w:rPr>
        <w:t>the Niger River Basin Network (NigerWet)</w:t>
      </w:r>
      <w:r w:rsidR="00296770">
        <w:rPr>
          <w:rFonts w:cs="Calibri"/>
        </w:rPr>
        <w:t xml:space="preserve">, </w:t>
      </w:r>
      <w:r w:rsidR="00990957">
        <w:rPr>
          <w:rFonts w:cs="Calibri"/>
        </w:rPr>
        <w:t xml:space="preserve">the </w:t>
      </w:r>
      <w:r w:rsidR="000321C8">
        <w:t xml:space="preserve">Initiative for the </w:t>
      </w:r>
      <w:r w:rsidR="00990957" w:rsidRPr="00990957">
        <w:rPr>
          <w:rFonts w:cs="Calibri"/>
        </w:rPr>
        <w:t xml:space="preserve">Amazon River Basin, </w:t>
      </w:r>
      <w:r w:rsidR="000321C8">
        <w:rPr>
          <w:rFonts w:cs="Calibri"/>
        </w:rPr>
        <w:t>the I</w:t>
      </w:r>
      <w:r w:rsidR="000321C8">
        <w:t xml:space="preserve">nitiative for the Conservation and Wise Use of the </w:t>
      </w:r>
      <w:r w:rsidR="00990957" w:rsidRPr="00990957">
        <w:rPr>
          <w:rFonts w:cs="Calibri"/>
        </w:rPr>
        <w:t xml:space="preserve">Plata River Basin, </w:t>
      </w:r>
      <w:r w:rsidR="000321C8">
        <w:rPr>
          <w:rFonts w:cs="Calibri"/>
        </w:rPr>
        <w:t xml:space="preserve">the </w:t>
      </w:r>
      <w:r w:rsidR="000321C8">
        <w:t xml:space="preserve">Initiative for the Conservation and Wise Use of </w:t>
      </w:r>
      <w:r w:rsidR="00990957">
        <w:rPr>
          <w:rFonts w:cs="Calibri"/>
        </w:rPr>
        <w:t>Mangroves and Coral Reefs</w:t>
      </w:r>
      <w:r w:rsidR="000321C8">
        <w:rPr>
          <w:rFonts w:cs="Calibri"/>
        </w:rPr>
        <w:t>,</w:t>
      </w:r>
      <w:r w:rsidR="00990957">
        <w:rPr>
          <w:rFonts w:cs="Calibri"/>
        </w:rPr>
        <w:t xml:space="preserve"> and </w:t>
      </w:r>
      <w:r w:rsidR="000321C8">
        <w:rPr>
          <w:rFonts w:cs="Calibri"/>
        </w:rPr>
        <w:t xml:space="preserve">the </w:t>
      </w:r>
      <w:r w:rsidR="000321C8">
        <w:t>Caribbean Wetlands Initiative (</w:t>
      </w:r>
      <w:r w:rsidR="00990957">
        <w:rPr>
          <w:rFonts w:cs="Calibri"/>
        </w:rPr>
        <w:t>Cariwet</w:t>
      </w:r>
      <w:r w:rsidR="000321C8">
        <w:rPr>
          <w:rFonts w:cs="Calibri"/>
        </w:rPr>
        <w:t>)</w:t>
      </w:r>
      <w:r w:rsidR="00990957">
        <w:rPr>
          <w:rFonts w:cs="Calibri"/>
        </w:rPr>
        <w:t>.</w:t>
      </w:r>
      <w:r w:rsidR="00013A89">
        <w:rPr>
          <w:rFonts w:cs="Calibri"/>
        </w:rPr>
        <w:t xml:space="preserve"> </w:t>
      </w:r>
    </w:p>
    <w:p w14:paraId="5DC681B4" w14:textId="77777777" w:rsidR="00296770" w:rsidRDefault="00296770" w:rsidP="005972E9">
      <w:pPr>
        <w:rPr>
          <w:rFonts w:cs="Calibri"/>
        </w:rPr>
      </w:pPr>
    </w:p>
    <w:p w14:paraId="40C8B64C" w14:textId="44AD9F88" w:rsidR="002B3D47" w:rsidRDefault="00F70973" w:rsidP="005972E9">
      <w:pPr>
        <w:rPr>
          <w:rFonts w:cs="Calibri"/>
        </w:rPr>
      </w:pPr>
      <w:r>
        <w:rPr>
          <w:rFonts w:cs="Calibri"/>
        </w:rPr>
        <w:t>42</w:t>
      </w:r>
      <w:r w:rsidR="004A0CC9">
        <w:rPr>
          <w:rFonts w:cs="Calibri"/>
        </w:rPr>
        <w:t>.</w:t>
      </w:r>
      <w:r w:rsidR="004A0CC9">
        <w:rPr>
          <w:rFonts w:cs="Calibri"/>
        </w:rPr>
        <w:tab/>
      </w:r>
      <w:r w:rsidR="00C61968">
        <w:rPr>
          <w:rFonts w:cs="Calibri"/>
        </w:rPr>
        <w:t>E</w:t>
      </w:r>
      <w:r w:rsidR="002B3D47">
        <w:rPr>
          <w:rFonts w:cs="Calibri"/>
        </w:rPr>
        <w:t xml:space="preserve">ighteen </w:t>
      </w:r>
      <w:r w:rsidR="002B3D47" w:rsidRPr="00D4363D">
        <w:rPr>
          <w:rFonts w:cs="Calibri"/>
        </w:rPr>
        <w:t>RRIs benefited from guidance to submit annual reports to SC59. NorBalWet, BlackSeaWet and RRI-CA management</w:t>
      </w:r>
      <w:r w:rsidR="002B3D47">
        <w:rPr>
          <w:rFonts w:cs="Calibri"/>
        </w:rPr>
        <w:t xml:space="preserve"> was advised by the Secretariat </w:t>
      </w:r>
      <w:r w:rsidR="002B3D47" w:rsidRPr="00D4363D">
        <w:rPr>
          <w:rFonts w:cs="Calibri"/>
        </w:rPr>
        <w:t>on possible new funding sources and how to scale up activities. The Secretariat advise</w:t>
      </w:r>
      <w:r w:rsidR="002B3D47">
        <w:rPr>
          <w:rFonts w:cs="Calibri"/>
        </w:rPr>
        <w:t xml:space="preserve">d and supported </w:t>
      </w:r>
      <w:r w:rsidR="002B3D47" w:rsidRPr="00A4778A">
        <w:rPr>
          <w:rFonts w:cs="Calibri"/>
        </w:rPr>
        <w:t>MedWet</w:t>
      </w:r>
      <w:r w:rsidR="002B3D47">
        <w:rPr>
          <w:rFonts w:cs="Calibri"/>
        </w:rPr>
        <w:t xml:space="preserve"> to</w:t>
      </w:r>
      <w:r w:rsidR="002B3D47" w:rsidRPr="00D4363D">
        <w:rPr>
          <w:rFonts w:cs="Calibri"/>
        </w:rPr>
        <w:t xml:space="preserve"> organiz</w:t>
      </w:r>
      <w:r w:rsidR="002B3D47">
        <w:rPr>
          <w:rFonts w:cs="Calibri"/>
        </w:rPr>
        <w:t xml:space="preserve">e </w:t>
      </w:r>
      <w:r w:rsidR="002B3D47" w:rsidRPr="00D4363D">
        <w:rPr>
          <w:rFonts w:cs="Calibri"/>
        </w:rPr>
        <w:t>the members</w:t>
      </w:r>
      <w:r w:rsidR="003A6F9C">
        <w:rPr>
          <w:rFonts w:cs="Calibri"/>
        </w:rPr>
        <w:t>’</w:t>
      </w:r>
      <w:r w:rsidR="002B3D47" w:rsidRPr="00D4363D">
        <w:rPr>
          <w:rFonts w:cs="Calibri"/>
        </w:rPr>
        <w:t xml:space="preserve"> meeting </w:t>
      </w:r>
      <w:bookmarkStart w:id="0" w:name="_Hlk68686478"/>
      <w:r w:rsidR="002B3D47" w:rsidRPr="00D4363D">
        <w:rPr>
          <w:rFonts w:cs="Calibri"/>
        </w:rPr>
        <w:t>MedWet</w:t>
      </w:r>
      <w:bookmarkEnd w:id="0"/>
      <w:r w:rsidR="002B3D47" w:rsidRPr="00D4363D">
        <w:rPr>
          <w:rFonts w:cs="Calibri"/>
        </w:rPr>
        <w:t>/Com14, and revision of the</w:t>
      </w:r>
      <w:r w:rsidR="002B3D47">
        <w:rPr>
          <w:rFonts w:cs="Calibri"/>
        </w:rPr>
        <w:t xml:space="preserve">ir </w:t>
      </w:r>
      <w:r w:rsidR="003A6F9C" w:rsidRPr="00D4363D">
        <w:rPr>
          <w:rFonts w:cs="Calibri"/>
        </w:rPr>
        <w:t>t</w:t>
      </w:r>
      <w:r w:rsidR="003A6F9C">
        <w:rPr>
          <w:rFonts w:cs="Calibri"/>
        </w:rPr>
        <w:t>erms of reference</w:t>
      </w:r>
      <w:r w:rsidR="002B3D47" w:rsidRPr="00D4363D">
        <w:rPr>
          <w:rFonts w:cs="Calibri"/>
        </w:rPr>
        <w:t>.</w:t>
      </w:r>
      <w:r w:rsidR="00013A89">
        <w:rPr>
          <w:rFonts w:cs="Calibri"/>
        </w:rPr>
        <w:t xml:space="preserve"> </w:t>
      </w:r>
      <w:r w:rsidR="002B3D47" w:rsidRPr="00D4363D">
        <w:rPr>
          <w:rFonts w:cs="Calibri"/>
        </w:rPr>
        <w:t>The Secretariat participated in RRI</w:t>
      </w:r>
      <w:r w:rsidR="003A6F9C">
        <w:rPr>
          <w:rFonts w:cs="Calibri"/>
        </w:rPr>
        <w:t>-</w:t>
      </w:r>
      <w:r w:rsidR="002B3D47" w:rsidRPr="00D4363D">
        <w:rPr>
          <w:rFonts w:cs="Calibri"/>
        </w:rPr>
        <w:t xml:space="preserve">led events including the </w:t>
      </w:r>
      <w:r w:rsidR="002B3D47" w:rsidRPr="008A340A">
        <w:rPr>
          <w:rFonts w:cs="Calibri"/>
        </w:rPr>
        <w:t>COP6 of the Carpathian Convention</w:t>
      </w:r>
      <w:r w:rsidR="002B3D47" w:rsidRPr="00D4363D">
        <w:rPr>
          <w:rFonts w:cs="Calibri"/>
        </w:rPr>
        <w:t xml:space="preserve"> and the first-ever Flyway Youth Forum organized by EAAFP, during which the Secretary</w:t>
      </w:r>
      <w:r w:rsidR="003A6F9C">
        <w:rPr>
          <w:rFonts w:cs="Calibri"/>
        </w:rPr>
        <w:t xml:space="preserve"> </w:t>
      </w:r>
      <w:r w:rsidR="002B3D47" w:rsidRPr="00D4363D">
        <w:rPr>
          <w:rFonts w:cs="Calibri"/>
        </w:rPr>
        <w:t>General delivered a keynote speech.</w:t>
      </w:r>
      <w:r w:rsidR="00013A89">
        <w:rPr>
          <w:rFonts w:cs="Calibri"/>
        </w:rPr>
        <w:t xml:space="preserve"> </w:t>
      </w:r>
    </w:p>
    <w:p w14:paraId="6F0667CF" w14:textId="3FEDB9F9" w:rsidR="002B3D47" w:rsidRDefault="002B3D47" w:rsidP="005972E9">
      <w:pPr>
        <w:rPr>
          <w:rFonts w:cs="Calibri"/>
        </w:rPr>
      </w:pPr>
    </w:p>
    <w:p w14:paraId="20AA6F41" w14:textId="5E27AFAE" w:rsidR="00296770" w:rsidRPr="00296770" w:rsidRDefault="00F70973" w:rsidP="005972E9">
      <w:pPr>
        <w:rPr>
          <w:rFonts w:cs="Calibri"/>
        </w:rPr>
      </w:pPr>
      <w:r>
        <w:rPr>
          <w:rFonts w:cs="Calibri"/>
        </w:rPr>
        <w:t>43</w:t>
      </w:r>
      <w:r w:rsidR="004A0CC9">
        <w:rPr>
          <w:rFonts w:cs="Calibri"/>
        </w:rPr>
        <w:t>.</w:t>
      </w:r>
      <w:r w:rsidR="004A0CC9">
        <w:rPr>
          <w:rFonts w:cs="Calibri"/>
        </w:rPr>
        <w:tab/>
      </w:r>
      <w:r w:rsidR="00296770" w:rsidRPr="00296770">
        <w:rPr>
          <w:rFonts w:cs="Calibri"/>
        </w:rPr>
        <w:t>The Secretariat also supported the fundraising activities of La Plata River Basin and Mangroves and Coral Reefs Regional Initiatives.</w:t>
      </w:r>
    </w:p>
    <w:p w14:paraId="57F5C749" w14:textId="728B45DA" w:rsidR="00990957" w:rsidRPr="00360A0A" w:rsidRDefault="00990957" w:rsidP="005972E9">
      <w:pPr>
        <w:rPr>
          <w:rFonts w:asciiTheme="minorHAnsi" w:hAnsiTheme="minorHAnsi" w:cstheme="minorHAnsi"/>
          <w:lang w:val="en-US"/>
        </w:rPr>
      </w:pPr>
    </w:p>
    <w:p w14:paraId="6C1BD0D3" w14:textId="3753FD6F" w:rsidR="00C7114C" w:rsidRPr="00886848" w:rsidRDefault="00F70973" w:rsidP="005972E9">
      <w:pPr>
        <w:rPr>
          <w:rFonts w:asciiTheme="minorHAnsi" w:hAnsiTheme="minorHAnsi" w:cstheme="minorHAnsi"/>
          <w:lang w:val="en-US"/>
        </w:rPr>
      </w:pPr>
      <w:r>
        <w:rPr>
          <w:rFonts w:asciiTheme="minorHAnsi" w:hAnsiTheme="minorHAnsi" w:cstheme="minorHAnsi"/>
          <w:lang w:val="en-US"/>
        </w:rPr>
        <w:t>44</w:t>
      </w:r>
      <w:r w:rsidR="00C425E5" w:rsidRPr="00886848">
        <w:rPr>
          <w:rFonts w:asciiTheme="minorHAnsi" w:hAnsiTheme="minorHAnsi" w:cstheme="minorHAnsi"/>
          <w:lang w:val="en-US"/>
        </w:rPr>
        <w:t>.</w:t>
      </w:r>
      <w:r w:rsidR="00C425E5" w:rsidRPr="00886848">
        <w:rPr>
          <w:rFonts w:asciiTheme="minorHAnsi" w:hAnsiTheme="minorHAnsi" w:cstheme="minorHAnsi"/>
          <w:lang w:val="en-US"/>
        </w:rPr>
        <w:tab/>
      </w:r>
      <w:r w:rsidR="0017529C">
        <w:rPr>
          <w:rFonts w:asciiTheme="minorHAnsi" w:hAnsiTheme="minorHAnsi" w:cstheme="minorHAnsi"/>
          <w:lang w:val="en-US"/>
        </w:rPr>
        <w:t>The provision of technical support to Contracting Parties continued to evolve with travel limitations resulting from the COVID</w:t>
      </w:r>
      <w:r w:rsidR="000757D3">
        <w:rPr>
          <w:rFonts w:asciiTheme="minorHAnsi" w:hAnsiTheme="minorHAnsi" w:cstheme="minorHAnsi"/>
          <w:lang w:val="en-US"/>
        </w:rPr>
        <w:t>-</w:t>
      </w:r>
      <w:r w:rsidR="0017529C">
        <w:rPr>
          <w:rFonts w:asciiTheme="minorHAnsi" w:hAnsiTheme="minorHAnsi" w:cstheme="minorHAnsi"/>
          <w:lang w:val="en-US"/>
        </w:rPr>
        <w:t xml:space="preserve">19 pandemic. </w:t>
      </w:r>
      <w:r w:rsidR="00C425E5" w:rsidRPr="00886848">
        <w:rPr>
          <w:rFonts w:asciiTheme="minorHAnsi" w:hAnsiTheme="minorHAnsi" w:cstheme="minorHAnsi"/>
          <w:lang w:val="en-US"/>
        </w:rPr>
        <w:t>The Secretaria</w:t>
      </w:r>
      <w:r w:rsidR="002E7ED6">
        <w:rPr>
          <w:rFonts w:asciiTheme="minorHAnsi" w:hAnsiTheme="minorHAnsi" w:cstheme="minorHAnsi"/>
          <w:lang w:val="en-US"/>
        </w:rPr>
        <w:t>t continue</w:t>
      </w:r>
      <w:r w:rsidR="0017529C">
        <w:rPr>
          <w:rFonts w:asciiTheme="minorHAnsi" w:hAnsiTheme="minorHAnsi" w:cstheme="minorHAnsi"/>
          <w:lang w:val="en-US"/>
        </w:rPr>
        <w:t>d</w:t>
      </w:r>
      <w:r w:rsidR="002E7ED6">
        <w:rPr>
          <w:rFonts w:asciiTheme="minorHAnsi" w:hAnsiTheme="minorHAnsi" w:cstheme="minorHAnsi"/>
          <w:lang w:val="en-US"/>
        </w:rPr>
        <w:t xml:space="preserve"> to support </w:t>
      </w:r>
      <w:r w:rsidR="00C425E5" w:rsidRPr="00886848">
        <w:rPr>
          <w:rFonts w:asciiTheme="minorHAnsi" w:hAnsiTheme="minorHAnsi" w:cstheme="minorHAnsi"/>
          <w:lang w:val="en-US"/>
        </w:rPr>
        <w:t>capacity-building nee</w:t>
      </w:r>
      <w:r w:rsidR="002E7ED6">
        <w:rPr>
          <w:rFonts w:asciiTheme="minorHAnsi" w:hAnsiTheme="minorHAnsi" w:cstheme="minorHAnsi"/>
          <w:lang w:val="en-US"/>
        </w:rPr>
        <w:t xml:space="preserve">ds of Contracting Parties and </w:t>
      </w:r>
      <w:r w:rsidR="0017529C">
        <w:rPr>
          <w:rFonts w:asciiTheme="minorHAnsi" w:hAnsiTheme="minorHAnsi" w:cstheme="minorHAnsi"/>
          <w:lang w:val="en-US"/>
        </w:rPr>
        <w:t>strengthened the use of virtual technologies to increase its reach. It further</w:t>
      </w:r>
      <w:r w:rsidR="00013A89">
        <w:rPr>
          <w:rFonts w:asciiTheme="minorHAnsi" w:hAnsiTheme="minorHAnsi" w:cstheme="minorHAnsi"/>
          <w:lang w:val="en-US"/>
        </w:rPr>
        <w:t xml:space="preserve"> </w:t>
      </w:r>
      <w:r w:rsidR="002E7ED6">
        <w:rPr>
          <w:rFonts w:asciiTheme="minorHAnsi" w:hAnsiTheme="minorHAnsi" w:cstheme="minorHAnsi"/>
          <w:lang w:val="en-US"/>
        </w:rPr>
        <w:t>develop</w:t>
      </w:r>
      <w:r w:rsidR="0017529C">
        <w:rPr>
          <w:rFonts w:asciiTheme="minorHAnsi" w:hAnsiTheme="minorHAnsi" w:cstheme="minorHAnsi"/>
          <w:lang w:val="en-US"/>
        </w:rPr>
        <w:t>ed</w:t>
      </w:r>
      <w:r w:rsidR="002E7ED6">
        <w:rPr>
          <w:rFonts w:asciiTheme="minorHAnsi" w:hAnsiTheme="minorHAnsi" w:cstheme="minorHAnsi"/>
          <w:lang w:val="en-US"/>
        </w:rPr>
        <w:t xml:space="preserve"> </w:t>
      </w:r>
      <w:r w:rsidR="00886848">
        <w:rPr>
          <w:rFonts w:asciiTheme="minorHAnsi" w:hAnsiTheme="minorHAnsi" w:cstheme="minorHAnsi"/>
          <w:lang w:val="en-US"/>
        </w:rPr>
        <w:t>webinars</w:t>
      </w:r>
      <w:r w:rsidR="00C425E5" w:rsidRPr="00886848">
        <w:rPr>
          <w:rFonts w:asciiTheme="minorHAnsi" w:hAnsiTheme="minorHAnsi" w:cstheme="minorHAnsi"/>
          <w:lang w:val="en-US"/>
        </w:rPr>
        <w:t xml:space="preserve"> to reach an increasing number of Contracting Parties with </w:t>
      </w:r>
      <w:r w:rsidR="00D01A81">
        <w:rPr>
          <w:rFonts w:asciiTheme="minorHAnsi" w:hAnsiTheme="minorHAnsi" w:cstheme="minorHAnsi"/>
          <w:lang w:val="en-US"/>
        </w:rPr>
        <w:t>the aim to further support implementation of the Convention</w:t>
      </w:r>
      <w:r w:rsidR="00C425E5" w:rsidRPr="00886848">
        <w:rPr>
          <w:rFonts w:asciiTheme="minorHAnsi" w:hAnsiTheme="minorHAnsi" w:cstheme="minorHAnsi"/>
          <w:lang w:val="en-US"/>
        </w:rPr>
        <w:t xml:space="preserve">. </w:t>
      </w:r>
      <w:r w:rsidR="00EE2C4C" w:rsidRPr="00886848">
        <w:rPr>
          <w:rFonts w:asciiTheme="minorHAnsi" w:hAnsiTheme="minorHAnsi" w:cstheme="minorHAnsi"/>
          <w:lang w:val="en-US"/>
        </w:rPr>
        <w:t>During this reporting pe</w:t>
      </w:r>
      <w:r w:rsidR="00C7114C" w:rsidRPr="00886848">
        <w:rPr>
          <w:rFonts w:asciiTheme="minorHAnsi" w:hAnsiTheme="minorHAnsi" w:cstheme="minorHAnsi"/>
          <w:lang w:val="en-US"/>
        </w:rPr>
        <w:t>riod</w:t>
      </w:r>
      <w:r w:rsidR="00D01A81">
        <w:rPr>
          <w:rFonts w:asciiTheme="minorHAnsi" w:hAnsiTheme="minorHAnsi" w:cstheme="minorHAnsi"/>
          <w:lang w:val="en-US"/>
        </w:rPr>
        <w:t>,</w:t>
      </w:r>
      <w:r w:rsidR="00C7114C" w:rsidRPr="00886848">
        <w:rPr>
          <w:rFonts w:asciiTheme="minorHAnsi" w:hAnsiTheme="minorHAnsi" w:cstheme="minorHAnsi"/>
          <w:lang w:val="en-US"/>
        </w:rPr>
        <w:t xml:space="preserve"> the Secretariat organized</w:t>
      </w:r>
      <w:r w:rsidR="00A11783">
        <w:rPr>
          <w:rFonts w:asciiTheme="minorHAnsi" w:hAnsiTheme="minorHAnsi" w:cstheme="minorHAnsi"/>
          <w:lang w:val="en-US"/>
        </w:rPr>
        <w:t xml:space="preserve"> a series of</w:t>
      </w:r>
      <w:r w:rsidR="00C7114C" w:rsidRPr="00886848">
        <w:rPr>
          <w:rFonts w:asciiTheme="minorHAnsi" w:hAnsiTheme="minorHAnsi" w:cstheme="minorHAnsi"/>
          <w:lang w:val="en-US"/>
        </w:rPr>
        <w:t xml:space="preserve"> </w:t>
      </w:r>
      <w:r w:rsidR="005E787B">
        <w:rPr>
          <w:rFonts w:asciiTheme="minorHAnsi" w:hAnsiTheme="minorHAnsi" w:cstheme="minorHAnsi"/>
          <w:lang w:val="en-US"/>
        </w:rPr>
        <w:t>eight</w:t>
      </w:r>
      <w:r w:rsidR="00EE2C4C" w:rsidRPr="00886848">
        <w:rPr>
          <w:rFonts w:asciiTheme="minorHAnsi" w:hAnsiTheme="minorHAnsi" w:cstheme="minorHAnsi"/>
          <w:lang w:val="en-US"/>
        </w:rPr>
        <w:t xml:space="preserve"> webinars on the following </w:t>
      </w:r>
      <w:r w:rsidR="00C7114C" w:rsidRPr="00886848">
        <w:rPr>
          <w:rFonts w:asciiTheme="minorHAnsi" w:hAnsiTheme="minorHAnsi" w:cstheme="minorHAnsi"/>
          <w:lang w:val="en-US"/>
        </w:rPr>
        <w:t xml:space="preserve">topics: </w:t>
      </w:r>
    </w:p>
    <w:p w14:paraId="2FDB5558" w14:textId="77777777" w:rsidR="00C7114C" w:rsidRDefault="00C7114C" w:rsidP="00623F05">
      <w:pPr>
        <w:ind w:left="0" w:firstLine="0"/>
        <w:rPr>
          <w:rFonts w:asciiTheme="minorHAnsi" w:hAnsiTheme="minorHAnsi" w:cstheme="minorHAnsi"/>
          <w:highlight w:val="yellow"/>
          <w:lang w:val="en-US"/>
        </w:rPr>
      </w:pPr>
    </w:p>
    <w:p w14:paraId="01230327" w14:textId="4E93FA06" w:rsidR="00886848" w:rsidRDefault="002F41D9" w:rsidP="004A0CC9">
      <w:pPr>
        <w:pStyle w:val="ListParagraph"/>
        <w:numPr>
          <w:ilvl w:val="0"/>
          <w:numId w:val="38"/>
        </w:numPr>
        <w:ind w:left="851" w:hanging="425"/>
      </w:pPr>
      <w:r>
        <w:t xml:space="preserve">27 May </w:t>
      </w:r>
      <w:r w:rsidRPr="002F41D9">
        <w:t>2020</w:t>
      </w:r>
      <w:r>
        <w:t>:</w:t>
      </w:r>
      <w:r w:rsidRPr="002F41D9">
        <w:t xml:space="preserve"> </w:t>
      </w:r>
      <w:r w:rsidR="00886848">
        <w:t>RSIS</w:t>
      </w:r>
      <w:r w:rsidR="00D01A81">
        <w:t xml:space="preserve"> Compilers Training</w:t>
      </w:r>
      <w:r w:rsidR="00886848">
        <w:t xml:space="preserve"> 2020</w:t>
      </w:r>
      <w:r w:rsidR="00D01A81">
        <w:t xml:space="preserve"> (English, French and Spanish)</w:t>
      </w:r>
    </w:p>
    <w:p w14:paraId="373CABDC" w14:textId="7D15BEC2" w:rsidR="00886848" w:rsidRDefault="002F41D9" w:rsidP="004A0CC9">
      <w:pPr>
        <w:pStyle w:val="ListParagraph"/>
        <w:numPr>
          <w:ilvl w:val="0"/>
          <w:numId w:val="38"/>
        </w:numPr>
        <w:ind w:left="851" w:hanging="425"/>
      </w:pPr>
      <w:r>
        <w:t>24 September 2020 and 1 October 2020:</w:t>
      </w:r>
      <w:r w:rsidRPr="002F41D9">
        <w:t xml:space="preserve"> </w:t>
      </w:r>
      <w:r w:rsidR="00414F11">
        <w:t>Grant W</w:t>
      </w:r>
      <w:r w:rsidR="00886848">
        <w:t>riting:</w:t>
      </w:r>
      <w:r w:rsidR="00013A89">
        <w:t xml:space="preserve"> </w:t>
      </w:r>
      <w:r w:rsidR="00886848">
        <w:t xml:space="preserve">How to write effective project proposals (English, French </w:t>
      </w:r>
      <w:r w:rsidR="00DC0111">
        <w:t>and</w:t>
      </w:r>
      <w:r w:rsidR="00886848">
        <w:t xml:space="preserve"> Spanish)</w:t>
      </w:r>
    </w:p>
    <w:p w14:paraId="2D99F5B5" w14:textId="7751C0B6" w:rsidR="00886848" w:rsidRDefault="002F41D9" w:rsidP="004A0CC9">
      <w:pPr>
        <w:pStyle w:val="ListParagraph"/>
        <w:numPr>
          <w:ilvl w:val="0"/>
          <w:numId w:val="38"/>
        </w:numPr>
        <w:ind w:left="851" w:hanging="425"/>
      </w:pPr>
      <w:r w:rsidRPr="002F41D9">
        <w:t>19</w:t>
      </w:r>
      <w:r>
        <w:t>,</w:t>
      </w:r>
      <w:r w:rsidR="00DC0111">
        <w:t xml:space="preserve"> </w:t>
      </w:r>
      <w:r>
        <w:t>20,</w:t>
      </w:r>
      <w:r w:rsidR="00DC0111">
        <w:t xml:space="preserve"> 21 and </w:t>
      </w:r>
      <w:r>
        <w:t xml:space="preserve">22 October 2020: </w:t>
      </w:r>
      <w:r w:rsidR="00886848">
        <w:t>National Wetlands Inventories Training Webinar (E</w:t>
      </w:r>
      <w:r w:rsidR="00DC0111">
        <w:t>nglish with French and Spanish i</w:t>
      </w:r>
      <w:r w:rsidR="00886848">
        <w:t>nterpretation)</w:t>
      </w:r>
    </w:p>
    <w:p w14:paraId="0673FD72" w14:textId="6BD60625" w:rsidR="00886848" w:rsidRDefault="002F41D9" w:rsidP="004A0CC9">
      <w:pPr>
        <w:pStyle w:val="ListParagraph"/>
        <w:numPr>
          <w:ilvl w:val="0"/>
          <w:numId w:val="38"/>
        </w:numPr>
        <w:ind w:left="851" w:hanging="425"/>
      </w:pPr>
      <w:r>
        <w:t>12, 13, 17</w:t>
      </w:r>
      <w:r w:rsidR="00DC0111">
        <w:t xml:space="preserve"> and</w:t>
      </w:r>
      <w:r>
        <w:t xml:space="preserve"> 18 November 2020: </w:t>
      </w:r>
      <w:r w:rsidR="00886848">
        <w:t xml:space="preserve">Preparation of National Reports to COP14 (English, French </w:t>
      </w:r>
      <w:r w:rsidR="00DC0111">
        <w:t>and</w:t>
      </w:r>
      <w:r w:rsidR="00886848">
        <w:t xml:space="preserve"> Spanish)</w:t>
      </w:r>
    </w:p>
    <w:p w14:paraId="2ACEA5FA" w14:textId="07CC55C1" w:rsidR="00886848" w:rsidRDefault="002F41D9" w:rsidP="004A0CC9">
      <w:pPr>
        <w:pStyle w:val="ListParagraph"/>
        <w:numPr>
          <w:ilvl w:val="0"/>
          <w:numId w:val="38"/>
        </w:numPr>
        <w:ind w:left="851" w:hanging="425"/>
      </w:pPr>
      <w:r>
        <w:t xml:space="preserve">10 December 2020: </w:t>
      </w:r>
      <w:r w:rsidR="00886848">
        <w:t>Wetlands as Nature-based Solutions (NbS) for Nationally Determine</w:t>
      </w:r>
      <w:r w:rsidR="00D01A81">
        <w:t>d</w:t>
      </w:r>
      <w:r w:rsidR="00886848">
        <w:t xml:space="preserve"> Contributions (NDCs) (English with French and Spanish interpretation)</w:t>
      </w:r>
    </w:p>
    <w:p w14:paraId="3AD3C846" w14:textId="1E7E5906" w:rsidR="00886848" w:rsidRDefault="002F41D9" w:rsidP="004A0CC9">
      <w:pPr>
        <w:pStyle w:val="ListParagraph"/>
        <w:numPr>
          <w:ilvl w:val="0"/>
          <w:numId w:val="38"/>
        </w:numPr>
        <w:ind w:left="851" w:hanging="425"/>
      </w:pPr>
      <w:r>
        <w:t xml:space="preserve">16 March 2021: </w:t>
      </w:r>
      <w:r w:rsidR="00886848">
        <w:t xml:space="preserve">50th Anniversary Campaign </w:t>
      </w:r>
      <w:r w:rsidR="00D01A81">
        <w:t>Briefing</w:t>
      </w:r>
      <w:r w:rsidR="00886848">
        <w:t xml:space="preserve"> (English with French and Spanish </w:t>
      </w:r>
      <w:r w:rsidR="00DC0111">
        <w:t>i</w:t>
      </w:r>
      <w:r w:rsidR="00886848">
        <w:t>nterpretation)</w:t>
      </w:r>
    </w:p>
    <w:p w14:paraId="69B704D0" w14:textId="737B04FF" w:rsidR="00886848" w:rsidRDefault="002F41D9" w:rsidP="004A0CC9">
      <w:pPr>
        <w:pStyle w:val="ListParagraph"/>
        <w:numPr>
          <w:ilvl w:val="0"/>
          <w:numId w:val="38"/>
        </w:numPr>
        <w:ind w:left="851" w:hanging="425"/>
      </w:pPr>
      <w:r>
        <w:t xml:space="preserve">23 March 2021: </w:t>
      </w:r>
      <w:r w:rsidR="00886848">
        <w:t>Tra</w:t>
      </w:r>
      <w:r w:rsidR="00414F11">
        <w:t>ining Webinar – Preparation of Draft R</w:t>
      </w:r>
      <w:r w:rsidR="00886848">
        <w:t xml:space="preserve">esolutions for COP14 (English, French </w:t>
      </w:r>
      <w:r w:rsidR="00DC0111">
        <w:t>and</w:t>
      </w:r>
      <w:r w:rsidR="00886848">
        <w:t xml:space="preserve"> Spanish)</w:t>
      </w:r>
    </w:p>
    <w:p w14:paraId="2D40822B" w14:textId="1E1663B4" w:rsidR="00886848" w:rsidRDefault="002F41D9" w:rsidP="004A0CC9">
      <w:pPr>
        <w:pStyle w:val="ListParagraph"/>
        <w:numPr>
          <w:ilvl w:val="0"/>
          <w:numId w:val="38"/>
        </w:numPr>
        <w:ind w:left="851" w:hanging="425"/>
      </w:pPr>
      <w:r>
        <w:t xml:space="preserve">25 March 2021: </w:t>
      </w:r>
      <w:r w:rsidR="00886848">
        <w:t xml:space="preserve">Training Webinar: Mainstreaming Gender under the Convention on </w:t>
      </w:r>
      <w:r>
        <w:t xml:space="preserve">Wetlands (English, Spanish and </w:t>
      </w:r>
      <w:r w:rsidR="00886848">
        <w:t>French interpretation)</w:t>
      </w:r>
    </w:p>
    <w:p w14:paraId="3C31649C" w14:textId="7DEF7738" w:rsidR="00C0091B" w:rsidRDefault="00C0091B" w:rsidP="00623F05">
      <w:pPr>
        <w:ind w:left="0" w:firstLine="0"/>
        <w:rPr>
          <w:rFonts w:asciiTheme="minorHAnsi" w:hAnsiTheme="minorHAnsi" w:cstheme="minorHAnsi"/>
          <w:highlight w:val="yellow"/>
          <w:lang w:val="en-US"/>
        </w:rPr>
      </w:pPr>
    </w:p>
    <w:p w14:paraId="1E7B88F7" w14:textId="0FB8BF75" w:rsidR="004A79DC" w:rsidRDefault="00A839E1" w:rsidP="004A0CC9">
      <w:pPr>
        <w:ind w:left="426" w:firstLine="0"/>
        <w:rPr>
          <w:rFonts w:asciiTheme="minorHAnsi" w:hAnsiTheme="minorHAnsi" w:cstheme="minorHAnsi"/>
          <w:lang w:val="en-US"/>
        </w:rPr>
      </w:pPr>
      <w:r>
        <w:rPr>
          <w:rFonts w:asciiTheme="minorHAnsi" w:hAnsiTheme="minorHAnsi" w:cstheme="minorHAnsi"/>
          <w:lang w:val="en-US"/>
        </w:rPr>
        <w:t>In total, t</w:t>
      </w:r>
      <w:r w:rsidR="00D3425C" w:rsidRPr="00D3425C">
        <w:rPr>
          <w:rFonts w:asciiTheme="minorHAnsi" w:hAnsiTheme="minorHAnsi" w:cstheme="minorHAnsi"/>
          <w:lang w:val="en-US"/>
        </w:rPr>
        <w:t>here were 984</w:t>
      </w:r>
      <w:r w:rsidR="00EE2C4C" w:rsidRPr="00D3425C">
        <w:rPr>
          <w:rFonts w:asciiTheme="minorHAnsi" w:hAnsiTheme="minorHAnsi" w:cstheme="minorHAnsi"/>
          <w:lang w:val="en-US"/>
        </w:rPr>
        <w:t xml:space="preserve"> par</w:t>
      </w:r>
      <w:r w:rsidR="00D3425C" w:rsidRPr="00D3425C">
        <w:rPr>
          <w:rFonts w:asciiTheme="minorHAnsi" w:hAnsiTheme="minorHAnsi" w:cstheme="minorHAnsi"/>
          <w:lang w:val="en-US"/>
        </w:rPr>
        <w:t>ticipants</w:t>
      </w:r>
      <w:r w:rsidR="001377BE">
        <w:rPr>
          <w:rFonts w:asciiTheme="minorHAnsi" w:hAnsiTheme="minorHAnsi" w:cstheme="minorHAnsi"/>
          <w:lang w:val="en-US"/>
        </w:rPr>
        <w:t xml:space="preserve"> </w:t>
      </w:r>
      <w:r w:rsidR="00D3425C">
        <w:rPr>
          <w:rFonts w:asciiTheme="minorHAnsi" w:hAnsiTheme="minorHAnsi" w:cstheme="minorHAnsi"/>
          <w:lang w:val="en-US"/>
        </w:rPr>
        <w:t>from 137 countries</w:t>
      </w:r>
      <w:r w:rsidR="00DC0111">
        <w:rPr>
          <w:rFonts w:asciiTheme="minorHAnsi" w:hAnsiTheme="minorHAnsi" w:cstheme="minorHAnsi"/>
          <w:lang w:val="en-US"/>
        </w:rPr>
        <w:t>; 60</w:t>
      </w:r>
      <w:r w:rsidR="00D3425C">
        <w:rPr>
          <w:rFonts w:asciiTheme="minorHAnsi" w:hAnsiTheme="minorHAnsi" w:cstheme="minorHAnsi"/>
          <w:lang w:val="en-US"/>
        </w:rPr>
        <w:t>% of participants were female and 40% male.</w:t>
      </w:r>
      <w:r w:rsidR="00013A89">
        <w:rPr>
          <w:rFonts w:asciiTheme="minorHAnsi" w:hAnsiTheme="minorHAnsi" w:cstheme="minorHAnsi"/>
          <w:lang w:val="en-US"/>
        </w:rPr>
        <w:t xml:space="preserve"> </w:t>
      </w:r>
      <w:r w:rsidR="00EE2C4C" w:rsidRPr="00D3425C">
        <w:rPr>
          <w:rFonts w:asciiTheme="minorHAnsi" w:hAnsiTheme="minorHAnsi" w:cstheme="minorHAnsi"/>
          <w:lang w:val="en-US"/>
        </w:rPr>
        <w:t>Building on the success and learnings of these webinars, the Secretariat is planning additional webinars an</w:t>
      </w:r>
      <w:r w:rsidR="00D3425C">
        <w:rPr>
          <w:rFonts w:asciiTheme="minorHAnsi" w:hAnsiTheme="minorHAnsi" w:cstheme="minorHAnsi"/>
          <w:lang w:val="en-US"/>
        </w:rPr>
        <w:t xml:space="preserve">d </w:t>
      </w:r>
      <w:r>
        <w:rPr>
          <w:rFonts w:asciiTheme="minorHAnsi" w:hAnsiTheme="minorHAnsi" w:cstheme="minorHAnsi"/>
          <w:lang w:val="en-US"/>
        </w:rPr>
        <w:t xml:space="preserve">developing new </w:t>
      </w:r>
      <w:r w:rsidR="00D3425C">
        <w:rPr>
          <w:rFonts w:asciiTheme="minorHAnsi" w:hAnsiTheme="minorHAnsi" w:cstheme="minorHAnsi"/>
          <w:lang w:val="en-US"/>
        </w:rPr>
        <w:t>capacity</w:t>
      </w:r>
      <w:r w:rsidR="00DC0111">
        <w:rPr>
          <w:rFonts w:asciiTheme="minorHAnsi" w:hAnsiTheme="minorHAnsi" w:cstheme="minorHAnsi"/>
          <w:lang w:val="en-US"/>
        </w:rPr>
        <w:t>-</w:t>
      </w:r>
      <w:r w:rsidR="00D3425C">
        <w:rPr>
          <w:rFonts w:asciiTheme="minorHAnsi" w:hAnsiTheme="minorHAnsi" w:cstheme="minorHAnsi"/>
          <w:lang w:val="en-US"/>
        </w:rPr>
        <w:t xml:space="preserve">building </w:t>
      </w:r>
      <w:r w:rsidR="0017529C">
        <w:rPr>
          <w:rFonts w:asciiTheme="minorHAnsi" w:hAnsiTheme="minorHAnsi" w:cstheme="minorHAnsi"/>
          <w:lang w:val="en-US"/>
        </w:rPr>
        <w:t>initiatives</w:t>
      </w:r>
      <w:r w:rsidR="00D3425C">
        <w:rPr>
          <w:rFonts w:asciiTheme="minorHAnsi" w:hAnsiTheme="minorHAnsi" w:cstheme="minorHAnsi"/>
          <w:lang w:val="en-US"/>
        </w:rPr>
        <w:t xml:space="preserve"> in</w:t>
      </w:r>
      <w:r w:rsidR="00EE2C4C" w:rsidRPr="00D3425C">
        <w:rPr>
          <w:rFonts w:asciiTheme="minorHAnsi" w:hAnsiTheme="minorHAnsi" w:cstheme="minorHAnsi"/>
          <w:lang w:val="en-US"/>
        </w:rPr>
        <w:t xml:space="preserve"> 2021.</w:t>
      </w:r>
      <w:r w:rsidR="00EE2C4C">
        <w:rPr>
          <w:rFonts w:asciiTheme="minorHAnsi" w:hAnsiTheme="minorHAnsi" w:cstheme="minorHAnsi"/>
          <w:lang w:val="en-US"/>
        </w:rPr>
        <w:t xml:space="preserve"> </w:t>
      </w:r>
    </w:p>
    <w:p w14:paraId="212A6D06" w14:textId="77777777" w:rsidR="00C425E5" w:rsidRDefault="00C425E5" w:rsidP="00623F05">
      <w:pPr>
        <w:ind w:left="0" w:firstLine="0"/>
        <w:rPr>
          <w:rFonts w:asciiTheme="minorHAnsi" w:hAnsiTheme="minorHAnsi" w:cstheme="minorHAnsi"/>
          <w:lang w:val="en-US"/>
        </w:rPr>
      </w:pPr>
    </w:p>
    <w:p w14:paraId="553AB85B" w14:textId="1C5CFED1" w:rsidR="00E1214C" w:rsidRPr="003E5A45" w:rsidRDefault="00F70973" w:rsidP="005972E9">
      <w:pPr>
        <w:rPr>
          <w:rFonts w:asciiTheme="minorHAnsi" w:hAnsiTheme="minorHAnsi" w:cstheme="minorHAnsi"/>
        </w:rPr>
      </w:pPr>
      <w:r>
        <w:rPr>
          <w:rFonts w:asciiTheme="minorHAnsi" w:hAnsiTheme="minorHAnsi" w:cstheme="minorHAnsi"/>
        </w:rPr>
        <w:t>45</w:t>
      </w:r>
      <w:r w:rsidR="00C425E5" w:rsidRPr="003E5A45">
        <w:rPr>
          <w:rFonts w:asciiTheme="minorHAnsi" w:hAnsiTheme="minorHAnsi" w:cstheme="minorHAnsi"/>
        </w:rPr>
        <w:t>.</w:t>
      </w:r>
      <w:r w:rsidR="00C425E5" w:rsidRPr="003E5A45">
        <w:rPr>
          <w:rFonts w:asciiTheme="minorHAnsi" w:hAnsiTheme="minorHAnsi" w:cstheme="minorHAnsi"/>
        </w:rPr>
        <w:tab/>
        <w:t>The Secretariat continues to work to identify strategic partnerships to enhance</w:t>
      </w:r>
      <w:r w:rsidR="00E1214C" w:rsidRPr="003E5A45">
        <w:rPr>
          <w:rFonts w:asciiTheme="minorHAnsi" w:hAnsiTheme="minorHAnsi" w:cstheme="minorHAnsi"/>
        </w:rPr>
        <w:t xml:space="preserve"> the</w:t>
      </w:r>
      <w:r w:rsidR="00C425E5" w:rsidRPr="003E5A45">
        <w:rPr>
          <w:rFonts w:asciiTheme="minorHAnsi" w:hAnsiTheme="minorHAnsi" w:cstheme="minorHAnsi"/>
        </w:rPr>
        <w:t xml:space="preserve"> support to Contracting Parties at scale. </w:t>
      </w:r>
      <w:r w:rsidR="00EE2C4C" w:rsidRPr="003E5A45">
        <w:rPr>
          <w:rFonts w:asciiTheme="minorHAnsi" w:hAnsiTheme="minorHAnsi" w:cstheme="minorHAnsi"/>
        </w:rPr>
        <w:t>Notably</w:t>
      </w:r>
      <w:r w:rsidR="00C425E5" w:rsidRPr="003E5A45">
        <w:rPr>
          <w:rFonts w:asciiTheme="minorHAnsi" w:hAnsiTheme="minorHAnsi" w:cstheme="minorHAnsi"/>
        </w:rPr>
        <w:t>, the Secretariat</w:t>
      </w:r>
      <w:r w:rsidR="001377BE" w:rsidRPr="003E5A45">
        <w:rPr>
          <w:rFonts w:asciiTheme="minorHAnsi" w:hAnsiTheme="minorHAnsi" w:cstheme="minorHAnsi"/>
        </w:rPr>
        <w:t xml:space="preserve"> </w:t>
      </w:r>
      <w:r w:rsidR="00C425E5" w:rsidRPr="003E5A45">
        <w:rPr>
          <w:rFonts w:asciiTheme="minorHAnsi" w:hAnsiTheme="minorHAnsi" w:cstheme="minorHAnsi"/>
        </w:rPr>
        <w:t>collabora</w:t>
      </w:r>
      <w:r w:rsidR="00EE2C4C" w:rsidRPr="003E5A45">
        <w:rPr>
          <w:rFonts w:asciiTheme="minorHAnsi" w:hAnsiTheme="minorHAnsi" w:cstheme="minorHAnsi"/>
        </w:rPr>
        <w:t>ted</w:t>
      </w:r>
      <w:r w:rsidR="00C425E5" w:rsidRPr="003E5A45">
        <w:rPr>
          <w:rFonts w:asciiTheme="minorHAnsi" w:hAnsiTheme="minorHAnsi" w:cstheme="minorHAnsi"/>
        </w:rPr>
        <w:t xml:space="preserve"> with the United Nations Development Programme (UNDP) to </w:t>
      </w:r>
      <w:r w:rsidR="003A78C1" w:rsidRPr="003E5A45">
        <w:rPr>
          <w:rFonts w:asciiTheme="minorHAnsi" w:hAnsiTheme="minorHAnsi" w:cstheme="minorHAnsi"/>
        </w:rPr>
        <w:t xml:space="preserve">produce </w:t>
      </w:r>
      <w:r w:rsidR="00C60553" w:rsidRPr="003E5A45">
        <w:rPr>
          <w:rFonts w:asciiTheme="minorHAnsi" w:hAnsiTheme="minorHAnsi" w:cstheme="minorHAnsi"/>
        </w:rPr>
        <w:t xml:space="preserve">reports for 12 </w:t>
      </w:r>
      <w:r w:rsidR="003A78C1" w:rsidRPr="003E5A45">
        <w:rPr>
          <w:rFonts w:asciiTheme="minorHAnsi" w:hAnsiTheme="minorHAnsi" w:cstheme="minorHAnsi"/>
        </w:rPr>
        <w:t>countries providing information and guidance on</w:t>
      </w:r>
      <w:r w:rsidR="00C425E5" w:rsidRPr="003E5A45">
        <w:rPr>
          <w:rFonts w:asciiTheme="minorHAnsi" w:hAnsiTheme="minorHAnsi" w:cstheme="minorHAnsi"/>
        </w:rPr>
        <w:t xml:space="preserve"> includ</w:t>
      </w:r>
      <w:r w:rsidR="00E1214C" w:rsidRPr="003E5A45">
        <w:rPr>
          <w:rFonts w:asciiTheme="minorHAnsi" w:hAnsiTheme="minorHAnsi" w:cstheme="minorHAnsi"/>
        </w:rPr>
        <w:t>ing wetlands in their</w:t>
      </w:r>
      <w:r w:rsidR="00C425E5" w:rsidRPr="003E5A45">
        <w:rPr>
          <w:rFonts w:asciiTheme="minorHAnsi" w:hAnsiTheme="minorHAnsi" w:cstheme="minorHAnsi"/>
        </w:rPr>
        <w:t xml:space="preserve"> Nationally Determined Contributions. </w:t>
      </w:r>
      <w:r w:rsidR="00E1214C" w:rsidRPr="003E5A45">
        <w:rPr>
          <w:rFonts w:asciiTheme="minorHAnsi" w:hAnsiTheme="minorHAnsi" w:cstheme="minorHAnsi"/>
        </w:rPr>
        <w:t xml:space="preserve">In December 2020 the Secretariat and UNDP </w:t>
      </w:r>
      <w:r w:rsidR="003A78C1" w:rsidRPr="003E5A45">
        <w:rPr>
          <w:rFonts w:asciiTheme="minorHAnsi" w:hAnsiTheme="minorHAnsi" w:cstheme="minorHAnsi"/>
        </w:rPr>
        <w:t xml:space="preserve">co-hosted </w:t>
      </w:r>
      <w:r w:rsidR="00E1214C" w:rsidRPr="003E5A45">
        <w:rPr>
          <w:rFonts w:asciiTheme="minorHAnsi" w:hAnsiTheme="minorHAnsi" w:cstheme="minorHAnsi"/>
        </w:rPr>
        <w:t>an online training</w:t>
      </w:r>
      <w:r w:rsidR="00DC0111">
        <w:rPr>
          <w:rFonts w:asciiTheme="minorHAnsi" w:hAnsiTheme="minorHAnsi" w:cstheme="minorHAnsi"/>
        </w:rPr>
        <w:t xml:space="preserve"> event </w:t>
      </w:r>
      <w:r w:rsidR="00E1214C" w:rsidRPr="003E5A45">
        <w:rPr>
          <w:rFonts w:asciiTheme="minorHAnsi" w:hAnsiTheme="minorHAnsi" w:cstheme="minorHAnsi"/>
        </w:rPr>
        <w:t xml:space="preserve">“Wetlands as Nature-based Solutions (NbS) for Nationally Determined Contributions (NDCs)”. The training provided guidance </w:t>
      </w:r>
      <w:r w:rsidR="00DC0111">
        <w:rPr>
          <w:rFonts w:asciiTheme="minorHAnsi" w:hAnsiTheme="minorHAnsi" w:cstheme="minorHAnsi"/>
        </w:rPr>
        <w:t xml:space="preserve">on </w:t>
      </w:r>
      <w:r w:rsidR="00E1214C" w:rsidRPr="003E5A45">
        <w:rPr>
          <w:rFonts w:asciiTheme="minorHAnsi" w:hAnsiTheme="minorHAnsi" w:cstheme="minorHAnsi"/>
        </w:rPr>
        <w:t>how Contracting Parties can integrate wetlands into their national commitments to achieve the targets set in their NDCs.</w:t>
      </w:r>
    </w:p>
    <w:p w14:paraId="26BA047E" w14:textId="2B2075E1" w:rsidR="00C425E5" w:rsidRPr="003E5A45" w:rsidRDefault="00C425E5" w:rsidP="005972E9">
      <w:pPr>
        <w:rPr>
          <w:rFonts w:asciiTheme="minorHAnsi" w:hAnsiTheme="minorHAnsi" w:cstheme="minorHAnsi"/>
          <w:lang w:val="en-US"/>
        </w:rPr>
      </w:pPr>
    </w:p>
    <w:p w14:paraId="1756FDE6" w14:textId="2B7A4A13" w:rsidR="00C75027" w:rsidRPr="002445CE" w:rsidRDefault="00F70973" w:rsidP="005972E9">
      <w:pPr>
        <w:rPr>
          <w:rFonts w:asciiTheme="minorHAnsi" w:hAnsiTheme="minorHAnsi" w:cstheme="minorHAnsi"/>
          <w:lang w:val="en-US"/>
        </w:rPr>
      </w:pPr>
      <w:r>
        <w:rPr>
          <w:rFonts w:asciiTheme="minorHAnsi" w:hAnsiTheme="minorHAnsi" w:cstheme="minorHAnsi"/>
          <w:lang w:val="en-US"/>
        </w:rPr>
        <w:t>46</w:t>
      </w:r>
      <w:r w:rsidR="004A0CC9" w:rsidRPr="002445CE">
        <w:rPr>
          <w:rFonts w:asciiTheme="minorHAnsi" w:hAnsiTheme="minorHAnsi" w:cstheme="minorHAnsi"/>
          <w:lang w:val="en-US"/>
        </w:rPr>
        <w:t>.</w:t>
      </w:r>
      <w:r w:rsidR="00C75027" w:rsidRPr="002445CE">
        <w:rPr>
          <w:rFonts w:asciiTheme="minorHAnsi" w:hAnsiTheme="minorHAnsi" w:cstheme="minorHAnsi"/>
          <w:lang w:val="en-US"/>
        </w:rPr>
        <w:tab/>
        <w:t>As part of the Global Peatlands Initiative</w:t>
      </w:r>
      <w:r w:rsidR="00DC0111" w:rsidRPr="002445CE">
        <w:rPr>
          <w:rFonts w:asciiTheme="minorHAnsi" w:hAnsiTheme="minorHAnsi" w:cstheme="minorHAnsi"/>
          <w:lang w:val="en-US"/>
        </w:rPr>
        <w:t>,</w:t>
      </w:r>
      <w:r w:rsidR="00C75027" w:rsidRPr="002445CE">
        <w:rPr>
          <w:rFonts w:asciiTheme="minorHAnsi" w:hAnsiTheme="minorHAnsi" w:cstheme="minorHAnsi"/>
          <w:lang w:val="en-US"/>
        </w:rPr>
        <w:t xml:space="preserve"> the Secretariat provided support to the preparation of its main project </w:t>
      </w:r>
      <w:r w:rsidR="00C75027" w:rsidRPr="002445CE">
        <w:rPr>
          <w:rFonts w:asciiTheme="minorHAnsi" w:hAnsiTheme="minorHAnsi" w:cstheme="minorHAnsi"/>
        </w:rPr>
        <w:t xml:space="preserve">funded by the German Climate Initiative (IKI) with a focus on global peatland mapping and country programmes in the Democratic Republic of the Congo, </w:t>
      </w:r>
      <w:r w:rsidR="00DC0111" w:rsidRPr="002445CE">
        <w:rPr>
          <w:rFonts w:asciiTheme="minorHAnsi" w:hAnsiTheme="minorHAnsi" w:cstheme="minorHAnsi"/>
        </w:rPr>
        <w:t xml:space="preserve">Indonesia, </w:t>
      </w:r>
      <w:r w:rsidR="00C75027" w:rsidRPr="002445CE">
        <w:rPr>
          <w:rFonts w:asciiTheme="minorHAnsi" w:hAnsiTheme="minorHAnsi" w:cstheme="minorHAnsi"/>
        </w:rPr>
        <w:t>Peru</w:t>
      </w:r>
      <w:r w:rsidR="00DC0111" w:rsidRPr="002445CE">
        <w:rPr>
          <w:rFonts w:asciiTheme="minorHAnsi" w:hAnsiTheme="minorHAnsi" w:cstheme="minorHAnsi"/>
        </w:rPr>
        <w:t xml:space="preserve"> and </w:t>
      </w:r>
      <w:r w:rsidR="005F548F">
        <w:rPr>
          <w:rFonts w:asciiTheme="minorHAnsi" w:hAnsiTheme="minorHAnsi" w:cstheme="minorHAnsi"/>
        </w:rPr>
        <w:t xml:space="preserve">the </w:t>
      </w:r>
      <w:r w:rsidR="00DC0111" w:rsidRPr="002445CE">
        <w:rPr>
          <w:rFonts w:asciiTheme="minorHAnsi" w:hAnsiTheme="minorHAnsi" w:cstheme="minorHAnsi"/>
        </w:rPr>
        <w:t>Republic of the Congo</w:t>
      </w:r>
      <w:r w:rsidR="00C75027" w:rsidRPr="002445CE">
        <w:rPr>
          <w:rFonts w:asciiTheme="minorHAnsi" w:hAnsiTheme="minorHAnsi" w:cstheme="minorHAnsi"/>
        </w:rPr>
        <w:t>.</w:t>
      </w:r>
      <w:r w:rsidR="00C75027" w:rsidRPr="002445CE">
        <w:t xml:space="preserve"> </w:t>
      </w:r>
    </w:p>
    <w:p w14:paraId="43DA988F" w14:textId="61C48D36" w:rsidR="00C75027" w:rsidRPr="002445CE" w:rsidRDefault="00C75027" w:rsidP="005972E9">
      <w:pPr>
        <w:rPr>
          <w:rFonts w:asciiTheme="minorHAnsi" w:hAnsiTheme="minorHAnsi" w:cstheme="minorHAnsi"/>
          <w:lang w:val="en-US"/>
        </w:rPr>
      </w:pPr>
    </w:p>
    <w:p w14:paraId="494B2C51" w14:textId="1C00AD99" w:rsidR="00C425E5" w:rsidRPr="002445CE" w:rsidRDefault="00F70973" w:rsidP="005972E9">
      <w:pPr>
        <w:rPr>
          <w:rFonts w:asciiTheme="minorHAnsi" w:hAnsiTheme="minorHAnsi" w:cstheme="minorHAnsi"/>
          <w:lang w:val="en-US"/>
        </w:rPr>
      </w:pPr>
      <w:r>
        <w:rPr>
          <w:rFonts w:asciiTheme="minorHAnsi" w:hAnsiTheme="minorHAnsi" w:cstheme="minorHAnsi"/>
          <w:lang w:val="en-US"/>
        </w:rPr>
        <w:t>47</w:t>
      </w:r>
      <w:r w:rsidR="00C425E5" w:rsidRPr="002445CE">
        <w:rPr>
          <w:rFonts w:asciiTheme="minorHAnsi" w:hAnsiTheme="minorHAnsi" w:cstheme="minorHAnsi"/>
          <w:lang w:val="en-US"/>
        </w:rPr>
        <w:t>.</w:t>
      </w:r>
      <w:r w:rsidR="00C425E5" w:rsidRPr="002445CE">
        <w:rPr>
          <w:rFonts w:asciiTheme="minorHAnsi" w:hAnsiTheme="minorHAnsi" w:cstheme="minorHAnsi"/>
          <w:lang w:val="en-US"/>
        </w:rPr>
        <w:tab/>
        <w:t xml:space="preserve">The Secretariat continues to strengthen collaboration with the </w:t>
      </w:r>
      <w:r w:rsidR="003E5A45" w:rsidRPr="002445CE">
        <w:rPr>
          <w:rFonts w:asciiTheme="minorHAnsi" w:hAnsiTheme="minorHAnsi" w:cstheme="minorHAnsi"/>
          <w:lang w:val="en-US"/>
        </w:rPr>
        <w:t>IOPs</w:t>
      </w:r>
      <w:r w:rsidR="00C8576D" w:rsidRPr="002445CE">
        <w:rPr>
          <w:rFonts w:asciiTheme="minorHAnsi" w:hAnsiTheme="minorHAnsi" w:cstheme="minorHAnsi"/>
          <w:lang w:val="en-US"/>
        </w:rPr>
        <w:t>.</w:t>
      </w:r>
      <w:r w:rsidR="00C425E5" w:rsidRPr="002445CE">
        <w:rPr>
          <w:rFonts w:asciiTheme="minorHAnsi" w:hAnsiTheme="minorHAnsi" w:cstheme="minorHAnsi"/>
          <w:lang w:val="en-US"/>
        </w:rPr>
        <w:t xml:space="preserve"> Periodic teleconferences between the partners are held to review implementation of the Joint Activities for Collaboration in the renewed Memorandum of Cooperation. </w:t>
      </w:r>
      <w:r w:rsidR="008F589F" w:rsidRPr="002445CE">
        <w:rPr>
          <w:rFonts w:asciiTheme="minorHAnsi" w:hAnsiTheme="minorHAnsi" w:cstheme="minorHAnsi"/>
          <w:lang w:val="en-US"/>
        </w:rPr>
        <w:t xml:space="preserve">The IOPs </w:t>
      </w:r>
      <w:r w:rsidR="00A839E1" w:rsidRPr="002445CE">
        <w:rPr>
          <w:rFonts w:asciiTheme="minorHAnsi" w:hAnsiTheme="minorHAnsi" w:cstheme="minorHAnsi"/>
          <w:lang w:val="en-US"/>
        </w:rPr>
        <w:t xml:space="preserve">contributed to </w:t>
      </w:r>
      <w:r w:rsidR="00DC0111" w:rsidRPr="002445CE">
        <w:rPr>
          <w:rFonts w:asciiTheme="minorHAnsi" w:hAnsiTheme="minorHAnsi" w:cstheme="minorHAnsi"/>
          <w:lang w:val="en-US"/>
        </w:rPr>
        <w:t xml:space="preserve">the </w:t>
      </w:r>
      <w:r w:rsidR="00A839E1" w:rsidRPr="002445CE">
        <w:rPr>
          <w:rFonts w:asciiTheme="minorHAnsi" w:hAnsiTheme="minorHAnsi" w:cstheme="minorHAnsi"/>
          <w:lang w:val="en-US"/>
        </w:rPr>
        <w:t xml:space="preserve">development of the 50th Anniversary campaign and actively supported World Wetlands Day 2021. Notably, </w:t>
      </w:r>
      <w:r w:rsidR="005D5FEB" w:rsidRPr="002445CE">
        <w:rPr>
          <w:rFonts w:asciiTheme="minorHAnsi" w:hAnsiTheme="minorHAnsi" w:cstheme="minorHAnsi"/>
          <w:lang w:val="en-US"/>
        </w:rPr>
        <w:t>IUCN was a join</w:t>
      </w:r>
      <w:r w:rsidR="00A839E1" w:rsidRPr="002445CE">
        <w:rPr>
          <w:rFonts w:asciiTheme="minorHAnsi" w:hAnsiTheme="minorHAnsi" w:cstheme="minorHAnsi"/>
          <w:lang w:val="en-US"/>
        </w:rPr>
        <w:t>t</w:t>
      </w:r>
      <w:r w:rsidR="005D5FEB" w:rsidRPr="002445CE">
        <w:rPr>
          <w:rFonts w:asciiTheme="minorHAnsi" w:hAnsiTheme="minorHAnsi" w:cstheme="minorHAnsi"/>
          <w:lang w:val="en-US"/>
        </w:rPr>
        <w:t xml:space="preserve"> co-sponsor of World Wetlands Day 2021.</w:t>
      </w:r>
    </w:p>
    <w:p w14:paraId="63EFF165" w14:textId="77777777" w:rsidR="00C425E5" w:rsidRPr="002445CE" w:rsidRDefault="00C425E5" w:rsidP="005972E9">
      <w:pPr>
        <w:rPr>
          <w:rFonts w:asciiTheme="minorHAnsi" w:hAnsiTheme="minorHAnsi" w:cstheme="minorHAnsi"/>
          <w:lang w:val="en-US"/>
        </w:rPr>
      </w:pPr>
    </w:p>
    <w:p w14:paraId="070CA4F5" w14:textId="1B210F1E" w:rsidR="00C425E5" w:rsidRPr="00360A0A" w:rsidRDefault="00F70973" w:rsidP="005972E9">
      <w:pPr>
        <w:rPr>
          <w:rFonts w:asciiTheme="minorHAnsi" w:hAnsiTheme="minorHAnsi" w:cstheme="minorHAnsi"/>
          <w:lang w:val="en-US"/>
        </w:rPr>
      </w:pPr>
      <w:r>
        <w:rPr>
          <w:rFonts w:asciiTheme="minorHAnsi" w:hAnsiTheme="minorHAnsi" w:cstheme="minorHAnsi"/>
          <w:lang w:val="en-US"/>
        </w:rPr>
        <w:t>48</w:t>
      </w:r>
      <w:r w:rsidR="00C425E5" w:rsidRPr="002445CE">
        <w:rPr>
          <w:rFonts w:asciiTheme="minorHAnsi" w:hAnsiTheme="minorHAnsi" w:cstheme="minorHAnsi"/>
          <w:lang w:val="en-US"/>
        </w:rPr>
        <w:t>.</w:t>
      </w:r>
      <w:r w:rsidR="00C425E5" w:rsidRPr="002445CE">
        <w:rPr>
          <w:rFonts w:asciiTheme="minorHAnsi" w:hAnsiTheme="minorHAnsi" w:cstheme="minorHAnsi"/>
          <w:lang w:val="en-US"/>
        </w:rPr>
        <w:tab/>
        <w:t>The Partnership Agreement with Danone concluded in December 2019 and a no-cost extension was accorded until June 202</w:t>
      </w:r>
      <w:r w:rsidR="002445CE">
        <w:rPr>
          <w:rFonts w:asciiTheme="minorHAnsi" w:hAnsiTheme="minorHAnsi" w:cstheme="minorHAnsi"/>
          <w:lang w:val="en-US"/>
        </w:rPr>
        <w:t>1</w:t>
      </w:r>
      <w:r w:rsidR="00C425E5" w:rsidRPr="002445CE">
        <w:rPr>
          <w:rFonts w:asciiTheme="minorHAnsi" w:hAnsiTheme="minorHAnsi" w:cstheme="minorHAnsi"/>
          <w:lang w:val="en-US"/>
        </w:rPr>
        <w:t xml:space="preserve"> to finalize all pending activities. During the extension period the Secretariat and Danone will undertake a review of the Partnership, with the clear objective to assess and frame the elements of a future collaboration that is aligned to the priorities of the Convention, cognizant of the changes in the funding priorities of Danone. Since 1998, Danone has funded the development of communication materials for World Wetlands Day and the Ramsar Awards, in particular the cash prize of USD 10,000 awarded to each Award winner. </w:t>
      </w:r>
      <w:r w:rsidR="008B2201" w:rsidRPr="002445CE">
        <w:rPr>
          <w:rFonts w:asciiTheme="minorHAnsi" w:hAnsiTheme="minorHAnsi" w:cstheme="minorHAnsi"/>
          <w:lang w:val="en-US"/>
        </w:rPr>
        <w:t>As Danone will no longer be funding World Wetland Day, t</w:t>
      </w:r>
      <w:r w:rsidR="00C425E5" w:rsidRPr="002445CE">
        <w:rPr>
          <w:rFonts w:asciiTheme="minorHAnsi" w:hAnsiTheme="minorHAnsi" w:cstheme="minorHAnsi"/>
          <w:lang w:val="en-US"/>
        </w:rPr>
        <w:t>he Secretariat has prepared a funding proposal for World Wetlands Day and is approaching potential donors. The Secretariat requests support from Contracting Parties in identifying potential donors for World Wetlands Day 202</w:t>
      </w:r>
      <w:r w:rsidR="008B2201" w:rsidRPr="002445CE">
        <w:rPr>
          <w:rFonts w:asciiTheme="minorHAnsi" w:hAnsiTheme="minorHAnsi" w:cstheme="minorHAnsi"/>
          <w:lang w:val="en-US"/>
        </w:rPr>
        <w:t>2</w:t>
      </w:r>
      <w:r w:rsidR="00C425E5" w:rsidRPr="002445CE">
        <w:rPr>
          <w:rFonts w:asciiTheme="minorHAnsi" w:hAnsiTheme="minorHAnsi" w:cstheme="minorHAnsi"/>
          <w:lang w:val="en-US"/>
        </w:rPr>
        <w:t>.</w:t>
      </w:r>
    </w:p>
    <w:p w14:paraId="0B2108C0" w14:textId="77777777" w:rsidR="00C425E5" w:rsidRPr="00360A0A" w:rsidRDefault="00C425E5" w:rsidP="005972E9">
      <w:pPr>
        <w:rPr>
          <w:rFonts w:asciiTheme="minorHAnsi" w:hAnsiTheme="minorHAnsi" w:cstheme="minorHAnsi"/>
          <w:lang w:val="en-US"/>
        </w:rPr>
      </w:pPr>
    </w:p>
    <w:p w14:paraId="60F12656" w14:textId="04245784" w:rsidR="001377BE" w:rsidRPr="001377BE" w:rsidRDefault="00F70973" w:rsidP="005972E9">
      <w:pPr>
        <w:rPr>
          <w:rFonts w:eastAsiaTheme="minorHAnsi"/>
          <w:color w:val="1F497D"/>
        </w:rPr>
      </w:pPr>
      <w:r>
        <w:rPr>
          <w:rFonts w:asciiTheme="minorHAnsi" w:hAnsiTheme="minorHAnsi" w:cstheme="minorHAnsi"/>
          <w:lang w:val="en-US"/>
        </w:rPr>
        <w:t>49</w:t>
      </w:r>
      <w:r w:rsidR="00C425E5" w:rsidRPr="00360A0A">
        <w:rPr>
          <w:rFonts w:asciiTheme="minorHAnsi" w:hAnsiTheme="minorHAnsi" w:cstheme="minorHAnsi"/>
          <w:lang w:val="en-US"/>
        </w:rPr>
        <w:t>.</w:t>
      </w:r>
      <w:r w:rsidR="00C425E5" w:rsidRPr="00360A0A">
        <w:rPr>
          <w:rFonts w:asciiTheme="minorHAnsi" w:hAnsiTheme="minorHAnsi" w:cstheme="minorHAnsi"/>
          <w:lang w:val="en-US"/>
        </w:rPr>
        <w:tab/>
      </w:r>
      <w:r w:rsidR="001377BE">
        <w:rPr>
          <w:lang w:val="en-US"/>
        </w:rPr>
        <w:t>The Secretariat continues to implement the Resource Mobilization Work Plan approved for the triennium. Fundraising for non-core priorities continued with outreach to public and private donors during the reporting period to mobilize funds for RAM</w:t>
      </w:r>
      <w:r w:rsidR="00860074">
        <w:rPr>
          <w:lang w:val="en-US"/>
        </w:rPr>
        <w:t>s</w:t>
      </w:r>
      <w:r w:rsidR="001377BE">
        <w:rPr>
          <w:lang w:val="en-US"/>
        </w:rPr>
        <w:t xml:space="preserve">, World Wetlands Day, </w:t>
      </w:r>
      <w:r w:rsidR="005453A8">
        <w:rPr>
          <w:lang w:val="en-US"/>
        </w:rPr>
        <w:t>wetland inventories</w:t>
      </w:r>
      <w:r w:rsidR="001377BE">
        <w:rPr>
          <w:lang w:val="en-US"/>
        </w:rPr>
        <w:t xml:space="preserve">, Ramsar Regional Initiatives and the Ramsar </w:t>
      </w:r>
      <w:r w:rsidR="006C5202">
        <w:rPr>
          <w:lang w:val="en-US"/>
        </w:rPr>
        <w:t xml:space="preserve">Wetland </w:t>
      </w:r>
      <w:r w:rsidR="001377BE">
        <w:rPr>
          <w:lang w:val="en-US"/>
        </w:rPr>
        <w:t>Conservation Awards. The list of fundraising priorities is published and can be accessed under t</w:t>
      </w:r>
      <w:r w:rsidR="00514891">
        <w:rPr>
          <w:lang w:val="en-US"/>
        </w:rPr>
        <w:t>he Resource Mobilization page</w:t>
      </w:r>
      <w:r w:rsidR="001377BE">
        <w:rPr>
          <w:lang w:val="en-US"/>
        </w:rPr>
        <w:t xml:space="preserve"> of the website</w:t>
      </w:r>
      <w:r w:rsidR="005453A8">
        <w:rPr>
          <w:rStyle w:val="FootnoteReference"/>
          <w:lang w:val="en-US"/>
        </w:rPr>
        <w:footnoteReference w:id="8"/>
      </w:r>
      <w:r w:rsidR="00514891">
        <w:rPr>
          <w:lang w:val="en-US"/>
        </w:rPr>
        <w:t>. A</w:t>
      </w:r>
      <w:r w:rsidR="001377BE">
        <w:rPr>
          <w:lang w:val="en-US"/>
        </w:rPr>
        <w:t xml:space="preserve"> fundraising proposal to facilitate delegate travel to attend COP14 has been drafted and it will be shared with prospective donors once there is clarity on dates. Updating of the funding organization database continued and focus was given to adding more government organizations</w:t>
      </w:r>
      <w:r w:rsidR="005453A8">
        <w:rPr>
          <w:lang w:val="en-US"/>
        </w:rPr>
        <w:t xml:space="preserve"> and </w:t>
      </w:r>
      <w:r w:rsidR="001377BE">
        <w:rPr>
          <w:lang w:val="en-US"/>
        </w:rPr>
        <w:t xml:space="preserve">institutions that are funding wetland conservation. The </w:t>
      </w:r>
      <w:r w:rsidR="005F548F">
        <w:rPr>
          <w:lang w:val="en-US"/>
        </w:rPr>
        <w:t>f</w:t>
      </w:r>
      <w:r w:rsidR="001377BE" w:rsidRPr="005453A8">
        <w:rPr>
          <w:lang w:val="en-US"/>
        </w:rPr>
        <w:t xml:space="preserve">unding </w:t>
      </w:r>
      <w:r w:rsidR="005F548F">
        <w:rPr>
          <w:lang w:val="en-US"/>
        </w:rPr>
        <w:t>d</w:t>
      </w:r>
      <w:r w:rsidR="001377BE" w:rsidRPr="005453A8">
        <w:rPr>
          <w:lang w:val="en-US"/>
        </w:rPr>
        <w:t>atabase</w:t>
      </w:r>
      <w:r w:rsidR="005453A8">
        <w:rPr>
          <w:rStyle w:val="FootnoteReference"/>
          <w:lang w:val="en-US"/>
        </w:rPr>
        <w:footnoteReference w:id="9"/>
      </w:r>
      <w:r w:rsidR="001377BE">
        <w:rPr>
          <w:lang w:val="en-US"/>
        </w:rPr>
        <w:t xml:space="preserve"> was set up to facilitate resource mobilization e</w:t>
      </w:r>
      <w:r w:rsidR="00B01776">
        <w:rPr>
          <w:lang w:val="en-US"/>
        </w:rPr>
        <w:t>fforts of Contracting Parties</w:t>
      </w:r>
      <w:r w:rsidR="005453A8">
        <w:rPr>
          <w:lang w:val="en-US"/>
        </w:rPr>
        <w:t>: i</w:t>
      </w:r>
      <w:r w:rsidR="001377BE">
        <w:rPr>
          <w:lang w:val="en-US"/>
        </w:rPr>
        <w:t>t is a searchable database and currently lists 98 funding organizations. On this same page, Contracting Parties can also view current calls for proposals when they are published by the Secretariat.</w:t>
      </w:r>
    </w:p>
    <w:p w14:paraId="1E589C78" w14:textId="77777777" w:rsidR="001377BE" w:rsidRDefault="001377BE" w:rsidP="005972E9">
      <w:pPr>
        <w:rPr>
          <w:lang w:val="en-US"/>
        </w:rPr>
      </w:pPr>
    </w:p>
    <w:p w14:paraId="4877584C" w14:textId="5217D87F" w:rsidR="001377BE" w:rsidRDefault="00F70973" w:rsidP="005972E9">
      <w:r>
        <w:rPr>
          <w:lang w:val="en-US"/>
        </w:rPr>
        <w:t>50</w:t>
      </w:r>
      <w:r w:rsidR="004A0CC9">
        <w:rPr>
          <w:lang w:val="en-US"/>
        </w:rPr>
        <w:t>.</w:t>
      </w:r>
      <w:r w:rsidR="004A0CC9">
        <w:rPr>
          <w:lang w:val="en-US"/>
        </w:rPr>
        <w:tab/>
      </w:r>
      <w:r w:rsidR="001377BE" w:rsidRPr="001436DD">
        <w:rPr>
          <w:lang w:val="en-US"/>
        </w:rPr>
        <w:t xml:space="preserve">A training webinar </w:t>
      </w:r>
      <w:r w:rsidR="005453A8" w:rsidRPr="001436DD">
        <w:rPr>
          <w:lang w:val="en-US"/>
        </w:rPr>
        <w:t>in English, French and Spanis</w:t>
      </w:r>
      <w:r w:rsidR="005453A8">
        <w:rPr>
          <w:lang w:val="en-US"/>
        </w:rPr>
        <w:t xml:space="preserve">h </w:t>
      </w:r>
      <w:r w:rsidR="001377BE" w:rsidRPr="001436DD">
        <w:rPr>
          <w:lang w:val="en-US"/>
        </w:rPr>
        <w:t xml:space="preserve">on how to write effective </w:t>
      </w:r>
      <w:r w:rsidR="008D675D">
        <w:rPr>
          <w:lang w:val="en-US"/>
        </w:rPr>
        <w:t xml:space="preserve">funding </w:t>
      </w:r>
      <w:r w:rsidR="001377BE" w:rsidRPr="001436DD">
        <w:rPr>
          <w:lang w:val="en-US"/>
        </w:rPr>
        <w:t xml:space="preserve">proposals </w:t>
      </w:r>
      <w:r w:rsidR="008D675D">
        <w:rPr>
          <w:lang w:val="en-US"/>
        </w:rPr>
        <w:t>was organized</w:t>
      </w:r>
      <w:r w:rsidR="00013A89">
        <w:rPr>
          <w:lang w:val="en-US"/>
        </w:rPr>
        <w:t xml:space="preserve"> </w:t>
      </w:r>
      <w:r w:rsidR="008D675D">
        <w:rPr>
          <w:lang w:val="en-US"/>
        </w:rPr>
        <w:t xml:space="preserve">to support </w:t>
      </w:r>
      <w:r w:rsidR="001377BE" w:rsidRPr="001436DD">
        <w:rPr>
          <w:lang w:val="en-US"/>
        </w:rPr>
        <w:t>national fundraising. A recording o</w:t>
      </w:r>
      <w:r w:rsidR="008D675D">
        <w:rPr>
          <w:lang w:val="en-US"/>
        </w:rPr>
        <w:t>f the webinar including supporting</w:t>
      </w:r>
      <w:r w:rsidR="001377BE" w:rsidRPr="001436DD">
        <w:rPr>
          <w:lang w:val="en-US"/>
        </w:rPr>
        <w:t xml:space="preserve"> resource documents </w:t>
      </w:r>
      <w:r w:rsidR="005453A8">
        <w:rPr>
          <w:lang w:val="en-US"/>
        </w:rPr>
        <w:t>is</w:t>
      </w:r>
      <w:r w:rsidR="001377BE" w:rsidRPr="001436DD">
        <w:rPr>
          <w:lang w:val="en-US"/>
        </w:rPr>
        <w:t xml:space="preserve"> published on the capacity-building page of the website</w:t>
      </w:r>
      <w:r w:rsidR="005453A8">
        <w:rPr>
          <w:rStyle w:val="FootnoteReference"/>
          <w:lang w:val="en-US"/>
        </w:rPr>
        <w:footnoteReference w:id="10"/>
      </w:r>
      <w:r w:rsidR="00B01776" w:rsidRPr="001436DD">
        <w:rPr>
          <w:lang w:val="en-US"/>
        </w:rPr>
        <w:t xml:space="preserve">. </w:t>
      </w:r>
      <w:r w:rsidR="001377BE" w:rsidRPr="001436DD">
        <w:rPr>
          <w:lang w:val="en-US"/>
        </w:rPr>
        <w:t xml:space="preserve">Furthermore, a </w:t>
      </w:r>
      <w:r w:rsidR="001377BE" w:rsidRPr="001436DD">
        <w:rPr>
          <w:lang w:val="en-US"/>
        </w:rPr>
        <w:lastRenderedPageBreak/>
        <w:t xml:space="preserve">new </w:t>
      </w:r>
      <w:r w:rsidR="005F548F" w:rsidRPr="001436DD">
        <w:rPr>
          <w:lang w:val="en-US"/>
        </w:rPr>
        <w:t>resources page was added under the resource mobilizatio</w:t>
      </w:r>
      <w:r w:rsidR="001377BE" w:rsidRPr="001436DD">
        <w:rPr>
          <w:lang w:val="en-US"/>
        </w:rPr>
        <w:t>n section of the website</w:t>
      </w:r>
      <w:r w:rsidR="00557BC6">
        <w:rPr>
          <w:rStyle w:val="FootnoteReference"/>
          <w:lang w:val="en-US"/>
        </w:rPr>
        <w:footnoteReference w:id="11"/>
      </w:r>
      <w:r w:rsidR="007479A0">
        <w:rPr>
          <w:lang w:val="en-US"/>
        </w:rPr>
        <w:t>; t</w:t>
      </w:r>
      <w:r w:rsidR="001377BE" w:rsidRPr="001436DD">
        <w:rPr>
          <w:lang w:val="en-US"/>
        </w:rPr>
        <w:t xml:space="preserve">his page </w:t>
      </w:r>
      <w:r w:rsidR="001377BE" w:rsidRPr="001436DD">
        <w:t>lists training resources and guidelines developed by the Secretariat and</w:t>
      </w:r>
      <w:r w:rsidR="008D675D">
        <w:t>/</w:t>
      </w:r>
      <w:r w:rsidR="001377BE" w:rsidRPr="001436DD">
        <w:t>or its partners to support national fundraising efforts. The Secretaria</w:t>
      </w:r>
      <w:r w:rsidR="008D675D">
        <w:t>t, Danone and WWF have developed</w:t>
      </w:r>
      <w:r w:rsidR="001377BE" w:rsidRPr="001436DD">
        <w:t xml:space="preserve"> a training module on facilitating public and private sector </w:t>
      </w:r>
      <w:r w:rsidR="008D675D">
        <w:t>engagement. It will be available online</w:t>
      </w:r>
      <w:r w:rsidR="001377BE" w:rsidRPr="001436DD">
        <w:t xml:space="preserve"> in </w:t>
      </w:r>
      <w:r w:rsidR="008D675D">
        <w:t>July 2021 with the objective of</w:t>
      </w:r>
      <w:r w:rsidR="001377BE" w:rsidRPr="001436DD">
        <w:t xml:space="preserve"> raising awareness about the different funding opportunities and avenues available to conserve wetlands.</w:t>
      </w:r>
      <w:r w:rsidR="00013A89">
        <w:t xml:space="preserve"> </w:t>
      </w:r>
    </w:p>
    <w:p w14:paraId="5F176EF4" w14:textId="14F5E3DA" w:rsidR="00C75027" w:rsidRDefault="00C75027" w:rsidP="005972E9">
      <w:pPr>
        <w:rPr>
          <w:lang w:val="en-US"/>
        </w:rPr>
      </w:pPr>
    </w:p>
    <w:p w14:paraId="76004D47" w14:textId="6297341F" w:rsidR="00C75027" w:rsidRPr="00DF267E" w:rsidRDefault="00F70973" w:rsidP="005972E9">
      <w:pPr>
        <w:shd w:val="clear" w:color="auto" w:fill="FAFAFA"/>
        <w:rPr>
          <w:color w:val="363A2F"/>
          <w:lang w:val="en-US"/>
        </w:rPr>
      </w:pPr>
      <w:r>
        <w:rPr>
          <w:lang w:val="en-US"/>
        </w:rPr>
        <w:t>51</w:t>
      </w:r>
      <w:r w:rsidR="004A0CC9">
        <w:rPr>
          <w:lang w:val="en-US"/>
        </w:rPr>
        <w:t>.</w:t>
      </w:r>
      <w:r w:rsidR="004A0CC9">
        <w:rPr>
          <w:lang w:val="en-US"/>
        </w:rPr>
        <w:tab/>
      </w:r>
      <w:r w:rsidR="00C75027" w:rsidRPr="003E5A45">
        <w:rPr>
          <w:lang w:val="en-US"/>
        </w:rPr>
        <w:t xml:space="preserve">Additonally, </w:t>
      </w:r>
      <w:r w:rsidR="007479A0">
        <w:rPr>
          <w:lang w:val="en-US"/>
        </w:rPr>
        <w:t>t</w:t>
      </w:r>
      <w:r w:rsidR="00C75027" w:rsidRPr="003E5A45">
        <w:rPr>
          <w:lang w:val="en-US"/>
        </w:rPr>
        <w:t xml:space="preserve">o support Contracting Parties with resource mobilization, the Secretariat organized a capacity building webinar </w:t>
      </w:r>
      <w:r w:rsidR="005F548F">
        <w:rPr>
          <w:lang w:val="en-US"/>
        </w:rPr>
        <w:t>“</w:t>
      </w:r>
      <w:r w:rsidR="00C75027" w:rsidRPr="003E5A45">
        <w:rPr>
          <w:lang w:val="en-US"/>
        </w:rPr>
        <w:t>How to access the green Climate Fund (GCF) for the Conservation of Wetlands</w:t>
      </w:r>
      <w:r w:rsidR="005F548F">
        <w:rPr>
          <w:lang w:val="en-US"/>
        </w:rPr>
        <w:t>”</w:t>
      </w:r>
      <w:r w:rsidR="00C75027" w:rsidRPr="003E5A45">
        <w:rPr>
          <w:lang w:val="en-US"/>
        </w:rPr>
        <w:t xml:space="preserve"> in collaboration with the GCF. This webinar</w:t>
      </w:r>
      <w:r w:rsidR="007479A0">
        <w:rPr>
          <w:rStyle w:val="FootnoteReference"/>
          <w:lang w:val="en-US"/>
        </w:rPr>
        <w:footnoteReference w:id="12"/>
      </w:r>
      <w:r w:rsidR="00C75027" w:rsidRPr="003E5A45">
        <w:rPr>
          <w:lang w:val="en-US"/>
        </w:rPr>
        <w:t xml:space="preserve"> provided information and guidance on how to access funding for wetland</w:t>
      </w:r>
      <w:r w:rsidR="005F548F">
        <w:rPr>
          <w:lang w:val="en-US"/>
        </w:rPr>
        <w:t>-</w:t>
      </w:r>
      <w:r w:rsidR="007479A0">
        <w:rPr>
          <w:lang w:val="en-US"/>
        </w:rPr>
        <w:t>related projects from the GCF.</w:t>
      </w:r>
    </w:p>
    <w:p w14:paraId="3710D578" w14:textId="16D546F2" w:rsidR="00C425E5" w:rsidRPr="00360A0A" w:rsidRDefault="00C425E5" w:rsidP="005972E9">
      <w:pPr>
        <w:rPr>
          <w:rFonts w:asciiTheme="minorHAnsi" w:hAnsiTheme="minorHAnsi" w:cstheme="minorHAnsi"/>
          <w:lang w:val="en-US"/>
        </w:rPr>
      </w:pPr>
    </w:p>
    <w:p w14:paraId="571DAF0F" w14:textId="77777777" w:rsidR="00E90337" w:rsidRPr="00360A0A" w:rsidRDefault="00E90337" w:rsidP="00623F05">
      <w:pPr>
        <w:ind w:left="0" w:firstLine="0"/>
        <w:rPr>
          <w:rFonts w:asciiTheme="minorHAnsi" w:hAnsiTheme="minorHAnsi" w:cstheme="minorHAnsi"/>
          <w:b/>
          <w:bCs/>
        </w:rPr>
      </w:pPr>
      <w:r w:rsidRPr="00360A0A">
        <w:rPr>
          <w:rFonts w:asciiTheme="minorHAnsi" w:hAnsiTheme="minorHAnsi" w:cstheme="minorHAnsi"/>
          <w:b/>
          <w:bCs/>
        </w:rPr>
        <w:t>Enhancing</w:t>
      </w:r>
      <w:r w:rsidR="00360A0A" w:rsidRPr="00360A0A">
        <w:rPr>
          <w:rFonts w:asciiTheme="minorHAnsi" w:hAnsiTheme="minorHAnsi" w:cstheme="minorHAnsi"/>
          <w:b/>
          <w:bCs/>
        </w:rPr>
        <w:t xml:space="preserve"> </w:t>
      </w:r>
      <w:r w:rsidRPr="00360A0A">
        <w:rPr>
          <w:rFonts w:asciiTheme="minorHAnsi" w:hAnsiTheme="minorHAnsi" w:cstheme="minorHAnsi"/>
          <w:b/>
          <w:bCs/>
        </w:rPr>
        <w:t>the</w:t>
      </w:r>
      <w:r w:rsidR="00360A0A" w:rsidRPr="00360A0A">
        <w:rPr>
          <w:rFonts w:asciiTheme="minorHAnsi" w:hAnsiTheme="minorHAnsi" w:cstheme="minorHAnsi"/>
          <w:b/>
          <w:bCs/>
        </w:rPr>
        <w:t xml:space="preserve"> </w:t>
      </w:r>
      <w:r w:rsidRPr="00360A0A">
        <w:rPr>
          <w:rFonts w:asciiTheme="minorHAnsi" w:hAnsiTheme="minorHAnsi" w:cstheme="minorHAnsi"/>
          <w:b/>
          <w:bCs/>
        </w:rPr>
        <w:t>visibility</w:t>
      </w:r>
      <w:r w:rsidR="00360A0A" w:rsidRPr="00360A0A">
        <w:rPr>
          <w:rFonts w:asciiTheme="minorHAnsi" w:hAnsiTheme="minorHAnsi" w:cstheme="minorHAnsi"/>
          <w:b/>
          <w:bCs/>
        </w:rPr>
        <w:t xml:space="preserve"> </w:t>
      </w:r>
      <w:r w:rsidRPr="00360A0A">
        <w:rPr>
          <w:rFonts w:asciiTheme="minorHAnsi" w:hAnsiTheme="minorHAnsi" w:cstheme="minorHAnsi"/>
          <w:b/>
          <w:bCs/>
        </w:rPr>
        <w:t>of</w:t>
      </w:r>
      <w:r w:rsidR="00360A0A" w:rsidRPr="00360A0A">
        <w:rPr>
          <w:rFonts w:asciiTheme="minorHAnsi" w:hAnsiTheme="minorHAnsi" w:cstheme="minorHAnsi"/>
          <w:b/>
          <w:bCs/>
        </w:rPr>
        <w:t xml:space="preserve"> </w:t>
      </w:r>
      <w:r w:rsidRPr="00360A0A">
        <w:rPr>
          <w:rFonts w:asciiTheme="minorHAnsi" w:hAnsiTheme="minorHAnsi" w:cstheme="minorHAnsi"/>
          <w:b/>
          <w:bCs/>
        </w:rPr>
        <w:t>wetlands</w:t>
      </w:r>
      <w:r w:rsidR="00360A0A" w:rsidRPr="00360A0A">
        <w:rPr>
          <w:rFonts w:asciiTheme="minorHAnsi" w:hAnsiTheme="minorHAnsi" w:cstheme="minorHAnsi"/>
          <w:b/>
          <w:bCs/>
        </w:rPr>
        <w:t xml:space="preserve"> </w:t>
      </w:r>
      <w:r w:rsidRPr="00360A0A">
        <w:rPr>
          <w:rFonts w:asciiTheme="minorHAnsi" w:hAnsiTheme="minorHAnsi" w:cstheme="minorHAnsi"/>
          <w:b/>
          <w:bCs/>
        </w:rPr>
        <w:t>and</w:t>
      </w:r>
      <w:r w:rsidR="00360A0A" w:rsidRPr="00360A0A">
        <w:rPr>
          <w:rFonts w:asciiTheme="minorHAnsi" w:hAnsiTheme="minorHAnsi" w:cstheme="minorHAnsi"/>
          <w:b/>
          <w:bCs/>
        </w:rPr>
        <w:t xml:space="preserve"> </w:t>
      </w:r>
      <w:r w:rsidRPr="00360A0A">
        <w:rPr>
          <w:rFonts w:asciiTheme="minorHAnsi" w:hAnsiTheme="minorHAnsi" w:cstheme="minorHAnsi"/>
          <w:b/>
          <w:bCs/>
        </w:rPr>
        <w:t>the</w:t>
      </w:r>
      <w:r w:rsidR="00360A0A" w:rsidRPr="00360A0A">
        <w:rPr>
          <w:rFonts w:asciiTheme="minorHAnsi" w:hAnsiTheme="minorHAnsi" w:cstheme="minorHAnsi"/>
          <w:b/>
          <w:bCs/>
        </w:rPr>
        <w:t xml:space="preserve"> </w:t>
      </w:r>
      <w:r w:rsidRPr="00360A0A">
        <w:rPr>
          <w:rFonts w:asciiTheme="minorHAnsi" w:hAnsiTheme="minorHAnsi" w:cstheme="minorHAnsi"/>
          <w:b/>
          <w:bCs/>
        </w:rPr>
        <w:t>Convention</w:t>
      </w:r>
    </w:p>
    <w:p w14:paraId="28D1A76B" w14:textId="77777777" w:rsidR="00E90337" w:rsidRPr="00360A0A" w:rsidRDefault="00E90337" w:rsidP="00623F05">
      <w:pPr>
        <w:ind w:left="0" w:firstLine="0"/>
        <w:rPr>
          <w:rFonts w:asciiTheme="minorHAnsi" w:hAnsiTheme="minorHAnsi" w:cstheme="minorHAnsi"/>
        </w:rPr>
      </w:pPr>
    </w:p>
    <w:p w14:paraId="55E4F19B" w14:textId="7EBCB3E3" w:rsidR="00E1214C" w:rsidRDefault="00F70973" w:rsidP="005972E9">
      <w:pPr>
        <w:rPr>
          <w:rFonts w:asciiTheme="minorHAnsi" w:hAnsiTheme="minorHAnsi" w:cstheme="minorHAnsi"/>
          <w:lang w:val="en-US"/>
        </w:rPr>
      </w:pPr>
      <w:r>
        <w:rPr>
          <w:rFonts w:asciiTheme="minorHAnsi" w:hAnsiTheme="minorHAnsi" w:cstheme="minorHAnsi"/>
          <w:lang w:val="en-US"/>
        </w:rPr>
        <w:t>52</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visibility</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being</w:t>
      </w:r>
      <w:r w:rsidR="00360A0A" w:rsidRPr="00360A0A">
        <w:rPr>
          <w:rFonts w:asciiTheme="minorHAnsi" w:hAnsiTheme="minorHAnsi" w:cstheme="minorHAnsi"/>
          <w:lang w:val="en-US"/>
        </w:rPr>
        <w:t xml:space="preserve"> </w:t>
      </w:r>
      <w:r w:rsidR="002F4E26">
        <w:rPr>
          <w:rFonts w:asciiTheme="minorHAnsi" w:hAnsiTheme="minorHAnsi" w:cstheme="minorHAnsi"/>
          <w:lang w:val="en-US"/>
        </w:rPr>
        <w:t>increased</w:t>
      </w:r>
      <w:r w:rsidR="002F4E26" w:rsidRPr="00360A0A">
        <w:rPr>
          <w:rFonts w:asciiTheme="minorHAnsi" w:hAnsiTheme="minorHAnsi" w:cstheme="minorHAnsi"/>
          <w:lang w:val="en-US"/>
        </w:rPr>
        <w:t xml:space="preserve"> </w:t>
      </w:r>
      <w:r w:rsidR="00E677DC" w:rsidRPr="00360A0A">
        <w:rPr>
          <w:rFonts w:asciiTheme="minorHAnsi" w:hAnsiTheme="minorHAnsi" w:cstheme="minorHAnsi"/>
          <w:lang w:val="en-US"/>
        </w:rPr>
        <w:t>through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variety</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communications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outreach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efforts.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strengthened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information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sharing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among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stakeholders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increased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public</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awareness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about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services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benefits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through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Convention</w:t>
      </w:r>
      <w:r w:rsidR="007A62CB">
        <w:rPr>
          <w:rFonts w:asciiTheme="minorHAnsi" w:hAnsiTheme="minorHAnsi" w:cstheme="minorHAnsi"/>
          <w:lang w:val="en-US"/>
        </w:rPr>
        <w:t>’</w:t>
      </w:r>
      <w:r w:rsidR="00E677DC" w:rsidRPr="00360A0A">
        <w:rPr>
          <w:rFonts w:asciiTheme="minorHAnsi" w:hAnsiTheme="minorHAnsi" w:cstheme="minorHAnsi"/>
          <w:lang w:val="en-US"/>
        </w:rPr>
        <w:t>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website</w:t>
      </w:r>
      <w:r w:rsidR="007A62CB" w:rsidRPr="007A62CB">
        <w:rPr>
          <w:rFonts w:asciiTheme="minorHAnsi" w:hAnsiTheme="minorHAnsi" w:cstheme="minorHAnsi"/>
          <w:lang w:val="en-US"/>
        </w:rPr>
        <w:t xml:space="preserve"> </w:t>
      </w:r>
      <w:r w:rsidR="007A62CB" w:rsidRPr="00360A0A">
        <w:rPr>
          <w:rFonts w:asciiTheme="minorHAnsi" w:hAnsiTheme="minorHAnsi" w:cstheme="minorHAnsi"/>
          <w:lang w:val="en-US"/>
        </w:rPr>
        <w:t xml:space="preserve">at </w:t>
      </w:r>
      <w:hyperlink r:id="rId13" w:history="1">
        <w:r w:rsidR="007A62CB" w:rsidRPr="00A2164F">
          <w:rPr>
            <w:rStyle w:val="Hyperlink"/>
          </w:rPr>
          <w:t>www.ramsar.org</w:t>
        </w:r>
      </w:hyperlink>
      <w:r w:rsidR="00E677DC"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social</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media,</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newsletter,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outreach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campaigns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such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Day</w:t>
      </w:r>
      <w:r w:rsidR="008B2201">
        <w:rPr>
          <w:rFonts w:asciiTheme="minorHAnsi" w:hAnsiTheme="minorHAnsi" w:cstheme="minorHAnsi"/>
          <w:lang w:val="en-US"/>
        </w:rPr>
        <w:t xml:space="preserve">, </w:t>
      </w:r>
      <w:r w:rsidR="00E677DC"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international</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days</w:t>
      </w:r>
      <w:r w:rsidR="008B2201">
        <w:rPr>
          <w:rFonts w:asciiTheme="minorHAnsi" w:hAnsiTheme="minorHAnsi" w:cstheme="minorHAnsi"/>
          <w:lang w:val="en-US"/>
        </w:rPr>
        <w:t xml:space="preserve"> and importantly this year, through the </w:t>
      </w:r>
      <w:r w:rsidR="008B2201" w:rsidRPr="007A62CB">
        <w:rPr>
          <w:rFonts w:asciiTheme="minorHAnsi" w:hAnsiTheme="minorHAnsi" w:cstheme="minorHAnsi"/>
          <w:lang w:val="en-US"/>
        </w:rPr>
        <w:t>50th</w:t>
      </w:r>
      <w:r w:rsidR="008B2201">
        <w:rPr>
          <w:rFonts w:asciiTheme="minorHAnsi" w:hAnsiTheme="minorHAnsi" w:cstheme="minorHAnsi"/>
          <w:lang w:val="en-US"/>
        </w:rPr>
        <w:t xml:space="preserve"> Anniversary campaign</w:t>
      </w:r>
      <w:r w:rsidR="00E677DC"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has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taken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approach</w:t>
      </w:r>
      <w:r w:rsidR="00360A0A" w:rsidRPr="00360A0A">
        <w:rPr>
          <w:rFonts w:asciiTheme="minorHAnsi" w:hAnsiTheme="minorHAnsi" w:cstheme="minorHAnsi"/>
          <w:lang w:val="en-US"/>
        </w:rPr>
        <w:t xml:space="preserve"> </w:t>
      </w:r>
      <w:r w:rsidR="002F4E26">
        <w:rPr>
          <w:rFonts w:asciiTheme="minorHAnsi" w:hAnsiTheme="minorHAnsi" w:cstheme="minorHAnsi"/>
          <w:lang w:val="en-US"/>
        </w:rPr>
        <w:t>of speaking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“one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voice”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across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our</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target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audiences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about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issues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linking</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relevant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policy</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frameworks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such</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SDGs,</w:t>
      </w:r>
      <w:r w:rsidR="00360A0A" w:rsidRPr="00360A0A">
        <w:rPr>
          <w:rFonts w:asciiTheme="minorHAnsi" w:hAnsiTheme="minorHAnsi" w:cstheme="minorHAnsi"/>
          <w:lang w:val="en-US"/>
        </w:rPr>
        <w:t xml:space="preserve"> </w:t>
      </w:r>
      <w:r w:rsidR="002F4E26">
        <w:rPr>
          <w:rFonts w:asciiTheme="minorHAnsi" w:hAnsiTheme="minorHAnsi" w:cstheme="minorHAnsi"/>
          <w:lang w:val="en-US"/>
        </w:rPr>
        <w:t>t</w:t>
      </w:r>
      <w:r w:rsidR="002F4E26" w:rsidRPr="00360A0A">
        <w:rPr>
          <w:rFonts w:asciiTheme="minorHAnsi" w:hAnsiTheme="minorHAnsi" w:cstheme="minorHAnsi"/>
          <w:lang w:val="en-US"/>
        </w:rPr>
        <w:t xml:space="preserve">he </w:t>
      </w:r>
      <w:r w:rsidR="00E677DC" w:rsidRPr="00360A0A">
        <w:rPr>
          <w:rFonts w:asciiTheme="minorHAnsi" w:hAnsiTheme="minorHAnsi" w:cstheme="minorHAnsi"/>
          <w:lang w:val="en-US"/>
        </w:rPr>
        <w:t>Paris</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Agreement</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E677DC"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F4E26">
        <w:rPr>
          <w:rFonts w:asciiTheme="minorHAnsi" w:hAnsiTheme="minorHAnsi" w:cstheme="minorHAnsi"/>
          <w:lang w:val="en-US"/>
        </w:rPr>
        <w:t>p</w:t>
      </w:r>
      <w:r w:rsidR="002F4E26" w:rsidRPr="00360A0A">
        <w:rPr>
          <w:rFonts w:asciiTheme="minorHAnsi" w:hAnsiTheme="minorHAnsi" w:cstheme="minorHAnsi"/>
          <w:lang w:val="en-US"/>
        </w:rPr>
        <w:t>ost</w:t>
      </w:r>
      <w:r w:rsidR="002F4E26">
        <w:rPr>
          <w:rFonts w:asciiTheme="minorHAnsi" w:hAnsiTheme="minorHAnsi" w:cstheme="minorHAnsi"/>
          <w:lang w:val="en-US"/>
        </w:rPr>
        <w:t>-</w:t>
      </w:r>
      <w:r w:rsidR="00E677DC"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2F4E26">
        <w:rPr>
          <w:rFonts w:asciiTheme="minorHAnsi" w:hAnsiTheme="minorHAnsi" w:cstheme="minorHAnsi"/>
          <w:lang w:val="en-US"/>
        </w:rPr>
        <w:t>global b</w:t>
      </w:r>
      <w:r w:rsidR="002F4E26" w:rsidRPr="00360A0A">
        <w:rPr>
          <w:rFonts w:asciiTheme="minorHAnsi" w:hAnsiTheme="minorHAnsi" w:cstheme="minorHAnsi"/>
          <w:lang w:val="en-US"/>
        </w:rPr>
        <w:t xml:space="preserve">iodiversity </w:t>
      </w:r>
      <w:r w:rsidR="002F4E26">
        <w:rPr>
          <w:rFonts w:asciiTheme="minorHAnsi" w:hAnsiTheme="minorHAnsi" w:cstheme="minorHAnsi"/>
          <w:lang w:val="en-US"/>
        </w:rPr>
        <w:t>f</w:t>
      </w:r>
      <w:r w:rsidR="002F4E26" w:rsidRPr="00360A0A">
        <w:rPr>
          <w:rFonts w:asciiTheme="minorHAnsi" w:hAnsiTheme="minorHAnsi" w:cstheme="minorHAnsi"/>
          <w:lang w:val="en-US"/>
        </w:rPr>
        <w:t>ramework</w:t>
      </w:r>
      <w:r w:rsidR="00E677DC"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p>
    <w:p w14:paraId="60B9DD57" w14:textId="77777777" w:rsidR="004B0825" w:rsidRDefault="004B0825" w:rsidP="005972E9">
      <w:pPr>
        <w:rPr>
          <w:rFonts w:asciiTheme="minorHAnsi" w:hAnsiTheme="minorHAnsi" w:cstheme="minorHAnsi"/>
          <w:lang w:val="en-US"/>
        </w:rPr>
      </w:pPr>
    </w:p>
    <w:p w14:paraId="0E273E49" w14:textId="0EE3D23E" w:rsidR="00E1214C" w:rsidRDefault="00F70973" w:rsidP="005972E9">
      <w:pPr>
        <w:rPr>
          <w:rFonts w:asciiTheme="minorHAnsi" w:hAnsiTheme="minorHAnsi" w:cstheme="minorHAnsi"/>
          <w:lang w:val="en-US"/>
        </w:rPr>
      </w:pPr>
      <w:r>
        <w:rPr>
          <w:rFonts w:asciiTheme="minorHAnsi" w:hAnsiTheme="minorHAnsi" w:cstheme="minorHAnsi"/>
          <w:lang w:val="en-US"/>
        </w:rPr>
        <w:t>53</w:t>
      </w:r>
      <w:r w:rsidR="004A0CC9">
        <w:rPr>
          <w:rFonts w:asciiTheme="minorHAnsi" w:hAnsiTheme="minorHAnsi" w:cstheme="minorHAnsi"/>
          <w:lang w:val="en-US"/>
        </w:rPr>
        <w:t>.</w:t>
      </w:r>
      <w:r w:rsidR="004A0CC9">
        <w:rPr>
          <w:rFonts w:asciiTheme="minorHAnsi" w:hAnsiTheme="minorHAnsi" w:cstheme="minorHAnsi"/>
          <w:lang w:val="en-US"/>
        </w:rPr>
        <w:tab/>
      </w:r>
      <w:r w:rsidR="004B0825" w:rsidRPr="004B0825">
        <w:rPr>
          <w:rFonts w:asciiTheme="minorHAnsi" w:hAnsiTheme="minorHAnsi" w:cstheme="minorHAnsi"/>
          <w:lang w:val="en-US"/>
        </w:rPr>
        <w:t>During the reporting period, 193,000 users visited the Convention website. All Convention social media platforms have seen a steady increase in engagement over the past year. Twitter and Instagram are the fastest growing channels, with audience increases of 25% over the past year. Currently the Convention</w:t>
      </w:r>
      <w:r w:rsidR="00E121B9">
        <w:rPr>
          <w:rFonts w:asciiTheme="minorHAnsi" w:hAnsiTheme="minorHAnsi" w:cstheme="minorHAnsi"/>
          <w:lang w:val="en-US"/>
        </w:rPr>
        <w:t>’</w:t>
      </w:r>
      <w:r w:rsidR="004B0825" w:rsidRPr="004B0825">
        <w:rPr>
          <w:rFonts w:asciiTheme="minorHAnsi" w:hAnsiTheme="minorHAnsi" w:cstheme="minorHAnsi"/>
          <w:lang w:val="en-US"/>
        </w:rPr>
        <w:t>s Twitter account has 22,900 followers, Instagram over 8,300 and Facebook 156,400.</w:t>
      </w:r>
    </w:p>
    <w:p w14:paraId="3E76316F" w14:textId="77777777" w:rsidR="003612A3" w:rsidRPr="00360A0A" w:rsidRDefault="003612A3" w:rsidP="005972E9">
      <w:pPr>
        <w:rPr>
          <w:rFonts w:asciiTheme="minorHAnsi" w:hAnsiTheme="minorHAnsi" w:cstheme="minorHAnsi"/>
          <w:lang w:val="en-US"/>
        </w:rPr>
      </w:pPr>
    </w:p>
    <w:p w14:paraId="48A99ED0" w14:textId="0EDF2EB3" w:rsidR="00D3425C" w:rsidRDefault="00F70973" w:rsidP="005972E9">
      <w:pPr>
        <w:rPr>
          <w:rFonts w:asciiTheme="minorHAnsi" w:hAnsiTheme="minorHAnsi" w:cstheme="minorHAnsi"/>
          <w:lang w:val="en-US"/>
        </w:rPr>
      </w:pPr>
      <w:r>
        <w:rPr>
          <w:rFonts w:asciiTheme="minorHAnsi" w:hAnsiTheme="minorHAnsi" w:cstheme="minorHAnsi"/>
          <w:lang w:val="en-US"/>
        </w:rPr>
        <w:t>54</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continues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update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enhance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website,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so</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it</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better</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serves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needs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Contracting</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700509" w:rsidRPr="00360A0A">
        <w:rPr>
          <w:rFonts w:asciiTheme="minorHAnsi" w:hAnsiTheme="minorHAnsi" w:cstheme="minorHAnsi"/>
          <w:lang w:val="en-US"/>
        </w:rPr>
        <w:t>users.</w:t>
      </w:r>
      <w:r w:rsidR="00360A0A" w:rsidRPr="00360A0A">
        <w:rPr>
          <w:rFonts w:asciiTheme="minorHAnsi" w:hAnsiTheme="minorHAnsi" w:cstheme="minorHAnsi"/>
          <w:lang w:val="en-US"/>
        </w:rPr>
        <w:t xml:space="preserve"> </w:t>
      </w:r>
      <w:r w:rsidR="00D3425C" w:rsidRPr="00D3425C">
        <w:rPr>
          <w:rFonts w:asciiTheme="minorHAnsi" w:hAnsiTheme="minorHAnsi" w:cstheme="minorHAnsi"/>
          <w:lang w:val="en-US"/>
        </w:rPr>
        <w:t>The Secretariat took several steps to ensure the easy access of Contracting Parties and other users to the documents and communications they need. A “quick search” entry page to the documents library was created, giving one-click access to key documents such as the records and decisions of meetings of Convention bodies, the Convention texts, and the List of Wetlands of International Importance. In addition</w:t>
      </w:r>
      <w:r w:rsidR="008B2201">
        <w:rPr>
          <w:rFonts w:asciiTheme="minorHAnsi" w:hAnsiTheme="minorHAnsi" w:cstheme="minorHAnsi"/>
          <w:lang w:val="en-US"/>
        </w:rPr>
        <w:t>,</w:t>
      </w:r>
      <w:r w:rsidR="00D3425C" w:rsidRPr="00D3425C">
        <w:rPr>
          <w:rFonts w:asciiTheme="minorHAnsi" w:hAnsiTheme="minorHAnsi" w:cstheme="minorHAnsi"/>
          <w:lang w:val="en-US"/>
        </w:rPr>
        <w:t xml:space="preserve"> the Secretariat worked with the site developer to optimize the search functionality of the main library. In order to ensure that Parties can access all the Secretariat communications on the implementation of the Convention, a list of the latest “Notifications” was created on the home page alongside the latest “News” and “Events”, with a link to all the qualifying communications sent to </w:t>
      </w:r>
      <w:r w:rsidR="008B2201">
        <w:rPr>
          <w:rFonts w:asciiTheme="minorHAnsi" w:hAnsiTheme="minorHAnsi" w:cstheme="minorHAnsi"/>
          <w:lang w:val="en-US"/>
        </w:rPr>
        <w:t xml:space="preserve">Contracting </w:t>
      </w:r>
      <w:r w:rsidR="000A4817">
        <w:rPr>
          <w:rFonts w:asciiTheme="minorHAnsi" w:hAnsiTheme="minorHAnsi" w:cstheme="minorHAnsi"/>
          <w:lang w:val="en-US"/>
        </w:rPr>
        <w:t xml:space="preserve">Parties using the </w:t>
      </w:r>
      <w:r w:rsidR="00D3425C" w:rsidRPr="00D3425C">
        <w:rPr>
          <w:rFonts w:asciiTheme="minorHAnsi" w:hAnsiTheme="minorHAnsi" w:cstheme="minorHAnsi"/>
          <w:lang w:val="en-US"/>
        </w:rPr>
        <w:t xml:space="preserve">CRM system. </w:t>
      </w:r>
      <w:r w:rsidR="00044301">
        <w:rPr>
          <w:rFonts w:asciiTheme="minorHAnsi" w:hAnsiTheme="minorHAnsi" w:cstheme="minorHAnsi"/>
          <w:lang w:val="en-US"/>
        </w:rPr>
        <w:t>Additionally, the Secretariat has taken action</w:t>
      </w:r>
      <w:r w:rsidR="007A62CB">
        <w:rPr>
          <w:rFonts w:asciiTheme="minorHAnsi" w:hAnsiTheme="minorHAnsi" w:cstheme="minorHAnsi"/>
          <w:lang w:val="en-US"/>
        </w:rPr>
        <w:t xml:space="preserve"> </w:t>
      </w:r>
      <w:r w:rsidR="00D3425C" w:rsidRPr="00D3425C">
        <w:rPr>
          <w:rFonts w:asciiTheme="minorHAnsi" w:hAnsiTheme="minorHAnsi" w:cstheme="minorHAnsi"/>
          <w:lang w:val="en-US"/>
        </w:rPr>
        <w:t xml:space="preserve">to ensure that the record of the intersessional process of the Standing Committee and the resulting Decisions taken through 2020 and early 2021 remain accessible and clear </w:t>
      </w:r>
      <w:r w:rsidR="007A62CB">
        <w:rPr>
          <w:rFonts w:asciiTheme="minorHAnsi" w:hAnsiTheme="minorHAnsi" w:cstheme="minorHAnsi"/>
          <w:lang w:val="en-US"/>
        </w:rPr>
        <w:t>for</w:t>
      </w:r>
      <w:r w:rsidR="00D3425C" w:rsidRPr="00D3425C">
        <w:rPr>
          <w:rFonts w:asciiTheme="minorHAnsi" w:hAnsiTheme="minorHAnsi" w:cstheme="minorHAnsi"/>
          <w:lang w:val="en-US"/>
        </w:rPr>
        <w:t xml:space="preserve"> the long</w:t>
      </w:r>
      <w:r w:rsidR="007A62CB">
        <w:rPr>
          <w:rFonts w:asciiTheme="minorHAnsi" w:hAnsiTheme="minorHAnsi" w:cstheme="minorHAnsi"/>
          <w:lang w:val="en-US"/>
        </w:rPr>
        <w:t xml:space="preserve"> </w:t>
      </w:r>
      <w:r w:rsidR="00D3425C" w:rsidRPr="00D3425C">
        <w:rPr>
          <w:rFonts w:asciiTheme="minorHAnsi" w:hAnsiTheme="minorHAnsi" w:cstheme="minorHAnsi"/>
          <w:lang w:val="en-US"/>
        </w:rPr>
        <w:t>term</w:t>
      </w:r>
      <w:r w:rsidR="00044301">
        <w:rPr>
          <w:rFonts w:asciiTheme="minorHAnsi" w:hAnsiTheme="minorHAnsi" w:cstheme="minorHAnsi"/>
          <w:lang w:val="en-US"/>
        </w:rPr>
        <w:t xml:space="preserve"> through the creation of a </w:t>
      </w:r>
      <w:r w:rsidR="007A62CB">
        <w:rPr>
          <w:rFonts w:asciiTheme="minorHAnsi" w:hAnsiTheme="minorHAnsi" w:cstheme="minorHAnsi"/>
          <w:lang w:val="en-US"/>
        </w:rPr>
        <w:t>list</w:t>
      </w:r>
      <w:r w:rsidR="00044301">
        <w:rPr>
          <w:rFonts w:asciiTheme="minorHAnsi" w:hAnsiTheme="minorHAnsi" w:cstheme="minorHAnsi"/>
          <w:lang w:val="en-US"/>
        </w:rPr>
        <w:t xml:space="preserve"> of intersessional Decisions taken</w:t>
      </w:r>
      <w:r w:rsidR="007A62CB">
        <w:rPr>
          <w:rFonts w:asciiTheme="minorHAnsi" w:hAnsiTheme="minorHAnsi" w:cstheme="minorHAnsi"/>
          <w:lang w:val="en-US"/>
        </w:rPr>
        <w:t>.</w:t>
      </w:r>
    </w:p>
    <w:p w14:paraId="2F6A361B" w14:textId="2F526240" w:rsidR="00E90337" w:rsidRPr="00360A0A" w:rsidRDefault="00E90337" w:rsidP="005972E9">
      <w:pPr>
        <w:rPr>
          <w:rFonts w:asciiTheme="minorHAnsi" w:hAnsiTheme="minorHAnsi" w:cstheme="minorHAnsi"/>
          <w:lang w:val="en-US"/>
        </w:rPr>
      </w:pPr>
    </w:p>
    <w:p w14:paraId="76605A87" w14:textId="3AD0CC6A" w:rsidR="005529FA" w:rsidRPr="006C5202" w:rsidRDefault="00F70973" w:rsidP="005972E9">
      <w:pPr>
        <w:rPr>
          <w:rFonts w:asciiTheme="minorHAnsi" w:hAnsiTheme="minorHAnsi" w:cstheme="minorHAnsi"/>
          <w:lang w:val="en-US"/>
        </w:rPr>
      </w:pPr>
      <w:r>
        <w:rPr>
          <w:rFonts w:asciiTheme="minorHAnsi" w:hAnsiTheme="minorHAnsi" w:cstheme="minorHAnsi"/>
          <w:lang w:val="en-US"/>
        </w:rPr>
        <w:t>55</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4272FF" w:rsidRPr="004272FF">
        <w:rPr>
          <w:rFonts w:asciiTheme="minorHAnsi" w:hAnsiTheme="minorHAnsi" w:cstheme="minorHAnsi"/>
          <w:lang w:val="en-US"/>
        </w:rPr>
        <w:t>The 2021 World Wetlands Day campaign highlighted the contribution of wetlands to the quantity and quality of freshwater on our planet.</w:t>
      </w:r>
      <w:r w:rsidR="00013A89">
        <w:rPr>
          <w:rFonts w:asciiTheme="minorHAnsi" w:hAnsiTheme="minorHAnsi" w:cstheme="minorHAnsi"/>
          <w:lang w:val="en-US"/>
        </w:rPr>
        <w:t xml:space="preserve"> </w:t>
      </w:r>
      <w:r w:rsidR="004272FF" w:rsidRPr="004272FF">
        <w:rPr>
          <w:rFonts w:asciiTheme="minorHAnsi" w:hAnsiTheme="minorHAnsi" w:cstheme="minorHAnsi"/>
          <w:lang w:val="en-US"/>
        </w:rPr>
        <w:t>A key highlight, in addition</w:t>
      </w:r>
      <w:r w:rsidR="000A4817">
        <w:rPr>
          <w:rFonts w:asciiTheme="minorHAnsi" w:hAnsiTheme="minorHAnsi" w:cstheme="minorHAnsi"/>
          <w:lang w:val="en-US"/>
        </w:rPr>
        <w:t xml:space="preserve"> to the information materials provided by the Secretariat to support </w:t>
      </w:r>
      <w:r w:rsidR="004272FF" w:rsidRPr="004272FF">
        <w:rPr>
          <w:rFonts w:asciiTheme="minorHAnsi" w:hAnsiTheme="minorHAnsi" w:cstheme="minorHAnsi"/>
          <w:lang w:val="en-US"/>
        </w:rPr>
        <w:t xml:space="preserve">national outreach activities of Contracting Parties, was the </w:t>
      </w:r>
      <w:r w:rsidR="000A4817">
        <w:rPr>
          <w:rFonts w:asciiTheme="minorHAnsi" w:hAnsiTheme="minorHAnsi" w:cstheme="minorHAnsi"/>
          <w:lang w:val="en-US"/>
        </w:rPr>
        <w:t xml:space="preserve">organization of a </w:t>
      </w:r>
      <w:r w:rsidR="004272FF" w:rsidRPr="004272FF">
        <w:rPr>
          <w:rFonts w:asciiTheme="minorHAnsi" w:hAnsiTheme="minorHAnsi" w:cstheme="minorHAnsi"/>
          <w:lang w:val="en-US"/>
        </w:rPr>
        <w:t xml:space="preserve">global </w:t>
      </w:r>
      <w:r w:rsidR="005529FA" w:rsidRPr="004272FF">
        <w:rPr>
          <w:rFonts w:asciiTheme="minorHAnsi" w:hAnsiTheme="minorHAnsi" w:cstheme="minorHAnsi"/>
          <w:lang w:val="en-US"/>
        </w:rPr>
        <w:t xml:space="preserve">online panel </w:t>
      </w:r>
      <w:r w:rsidR="005529FA">
        <w:rPr>
          <w:rFonts w:asciiTheme="minorHAnsi" w:hAnsiTheme="minorHAnsi" w:cstheme="minorHAnsi"/>
          <w:lang w:val="en-US"/>
        </w:rPr>
        <w:t>discussion on</w:t>
      </w:r>
      <w:r w:rsidR="004272FF" w:rsidRPr="004272FF">
        <w:rPr>
          <w:rFonts w:asciiTheme="minorHAnsi" w:hAnsiTheme="minorHAnsi" w:cstheme="minorHAnsi"/>
          <w:lang w:val="en-US"/>
        </w:rPr>
        <w:t xml:space="preserve"> </w:t>
      </w:r>
      <w:r w:rsidR="005529FA">
        <w:rPr>
          <w:rFonts w:asciiTheme="minorHAnsi" w:hAnsiTheme="minorHAnsi" w:cstheme="minorHAnsi"/>
          <w:lang w:val="en-US"/>
        </w:rPr>
        <w:t>“</w:t>
      </w:r>
      <w:r w:rsidR="004272FF" w:rsidRPr="004272FF">
        <w:rPr>
          <w:rFonts w:asciiTheme="minorHAnsi" w:hAnsiTheme="minorHAnsi" w:cstheme="minorHAnsi"/>
          <w:lang w:val="en-US"/>
        </w:rPr>
        <w:t xml:space="preserve">Wetlands Securing Fresh </w:t>
      </w:r>
      <w:r w:rsidR="004272FF" w:rsidRPr="004272FF">
        <w:rPr>
          <w:rFonts w:asciiTheme="minorHAnsi" w:hAnsiTheme="minorHAnsi" w:cstheme="minorHAnsi"/>
          <w:lang w:val="en-US"/>
        </w:rPr>
        <w:lastRenderedPageBreak/>
        <w:t>W</w:t>
      </w:r>
      <w:r w:rsidR="000A4817">
        <w:rPr>
          <w:rFonts w:asciiTheme="minorHAnsi" w:hAnsiTheme="minorHAnsi" w:cstheme="minorHAnsi"/>
          <w:lang w:val="en-US"/>
        </w:rPr>
        <w:t>ater for All</w:t>
      </w:r>
      <w:r w:rsidR="005529FA">
        <w:rPr>
          <w:rFonts w:asciiTheme="minorHAnsi" w:hAnsiTheme="minorHAnsi" w:cstheme="minorHAnsi"/>
          <w:lang w:val="en-US"/>
        </w:rPr>
        <w:t>”</w:t>
      </w:r>
      <w:r w:rsidR="000A4817">
        <w:rPr>
          <w:rFonts w:asciiTheme="minorHAnsi" w:hAnsiTheme="minorHAnsi" w:cstheme="minorHAnsi"/>
          <w:lang w:val="en-US"/>
        </w:rPr>
        <w:t xml:space="preserve"> hosted</w:t>
      </w:r>
      <w:r w:rsidR="004272FF" w:rsidRPr="004272FF">
        <w:rPr>
          <w:rFonts w:asciiTheme="minorHAnsi" w:hAnsiTheme="minorHAnsi" w:cstheme="minorHAnsi"/>
          <w:lang w:val="en-US"/>
        </w:rPr>
        <w:t xml:space="preserve"> by the Secretariat on 1 February and streamed through Zoom and the Convention</w:t>
      </w:r>
      <w:r w:rsidR="005529FA">
        <w:rPr>
          <w:rFonts w:asciiTheme="minorHAnsi" w:hAnsiTheme="minorHAnsi" w:cstheme="minorHAnsi"/>
          <w:lang w:val="en-US"/>
        </w:rPr>
        <w:t>’s YouTube c</w:t>
      </w:r>
      <w:r w:rsidR="004272FF" w:rsidRPr="004272FF">
        <w:rPr>
          <w:rFonts w:asciiTheme="minorHAnsi" w:hAnsiTheme="minorHAnsi" w:cstheme="minorHAnsi"/>
          <w:lang w:val="en-US"/>
        </w:rPr>
        <w:t xml:space="preserve">hannel. </w:t>
      </w:r>
      <w:r w:rsidR="000A4817">
        <w:rPr>
          <w:rFonts w:asciiTheme="minorHAnsi" w:hAnsiTheme="minorHAnsi" w:cstheme="minorHAnsi"/>
          <w:lang w:val="en-US"/>
        </w:rPr>
        <w:t xml:space="preserve">Over 300 participants attended </w:t>
      </w:r>
      <w:r w:rsidR="004272FF" w:rsidRPr="004272FF">
        <w:rPr>
          <w:rFonts w:asciiTheme="minorHAnsi" w:hAnsiTheme="minorHAnsi" w:cstheme="minorHAnsi"/>
          <w:lang w:val="en-US"/>
        </w:rPr>
        <w:t>the intera</w:t>
      </w:r>
      <w:r w:rsidR="005529FA">
        <w:rPr>
          <w:rFonts w:asciiTheme="minorHAnsi" w:hAnsiTheme="minorHAnsi" w:cstheme="minorHAnsi"/>
          <w:lang w:val="en-US"/>
        </w:rPr>
        <w:t>ctive live event, while the You</w:t>
      </w:r>
      <w:r w:rsidR="004272FF" w:rsidRPr="004272FF">
        <w:rPr>
          <w:rFonts w:asciiTheme="minorHAnsi" w:hAnsiTheme="minorHAnsi" w:cstheme="minorHAnsi"/>
          <w:lang w:val="en-US"/>
        </w:rPr>
        <w:t xml:space="preserve">Tube video recording of the event has 9,200 views. The online panel moderated by the Secretary General included a distinguished panel of speakers from UNCCD, UN-Water, IPBES, CBD, IUCN, Danone, the STRP Chair, the Special </w:t>
      </w:r>
      <w:r w:rsidR="005529FA">
        <w:rPr>
          <w:rFonts w:asciiTheme="minorHAnsi" w:hAnsiTheme="minorHAnsi" w:cstheme="minorHAnsi"/>
          <w:lang w:val="en-US"/>
        </w:rPr>
        <w:t>E</w:t>
      </w:r>
      <w:r w:rsidR="004272FF" w:rsidRPr="004272FF">
        <w:rPr>
          <w:rFonts w:asciiTheme="minorHAnsi" w:hAnsiTheme="minorHAnsi" w:cstheme="minorHAnsi"/>
          <w:lang w:val="en-US"/>
        </w:rPr>
        <w:t xml:space="preserve">nvoy for </w:t>
      </w:r>
      <w:r w:rsidR="005529FA">
        <w:rPr>
          <w:rFonts w:asciiTheme="minorHAnsi" w:hAnsiTheme="minorHAnsi" w:cstheme="minorHAnsi"/>
          <w:lang w:val="en-US"/>
        </w:rPr>
        <w:t xml:space="preserve">International </w:t>
      </w:r>
      <w:r w:rsidR="005529FA" w:rsidRPr="004272FF">
        <w:rPr>
          <w:rFonts w:asciiTheme="minorHAnsi" w:hAnsiTheme="minorHAnsi" w:cstheme="minorHAnsi"/>
          <w:lang w:val="en-US"/>
        </w:rPr>
        <w:t xml:space="preserve">Water Affairs </w:t>
      </w:r>
      <w:r w:rsidR="005529FA">
        <w:rPr>
          <w:rFonts w:asciiTheme="minorHAnsi" w:hAnsiTheme="minorHAnsi" w:cstheme="minorHAnsi"/>
          <w:lang w:val="en-US"/>
        </w:rPr>
        <w:t xml:space="preserve">of the </w:t>
      </w:r>
      <w:r w:rsidR="004272FF" w:rsidRPr="004272FF">
        <w:rPr>
          <w:rFonts w:asciiTheme="minorHAnsi" w:hAnsiTheme="minorHAnsi" w:cstheme="minorHAnsi"/>
          <w:lang w:val="en-US"/>
        </w:rPr>
        <w:t xml:space="preserve">Netherlands and a representative </w:t>
      </w:r>
      <w:r w:rsidR="005529FA">
        <w:rPr>
          <w:rFonts w:asciiTheme="minorHAnsi" w:hAnsiTheme="minorHAnsi" w:cstheme="minorHAnsi"/>
          <w:lang w:val="en-US"/>
        </w:rPr>
        <w:t>of the</w:t>
      </w:r>
      <w:r w:rsidR="004272FF" w:rsidRPr="004272FF">
        <w:rPr>
          <w:rFonts w:asciiTheme="minorHAnsi" w:hAnsiTheme="minorHAnsi" w:cstheme="minorHAnsi"/>
          <w:lang w:val="en-US"/>
        </w:rPr>
        <w:t xml:space="preserve"> </w:t>
      </w:r>
      <w:r w:rsidR="005529FA">
        <w:rPr>
          <w:rFonts w:asciiTheme="minorHAnsi" w:hAnsiTheme="minorHAnsi" w:cstheme="minorHAnsi"/>
          <w:lang w:val="en-US"/>
        </w:rPr>
        <w:t>G</w:t>
      </w:r>
      <w:r w:rsidR="005529FA" w:rsidRPr="004272FF">
        <w:rPr>
          <w:rFonts w:asciiTheme="minorHAnsi" w:hAnsiTheme="minorHAnsi" w:cstheme="minorHAnsi"/>
          <w:lang w:val="en-US"/>
        </w:rPr>
        <w:t xml:space="preserve">overnment </w:t>
      </w:r>
      <w:r w:rsidR="005529FA">
        <w:rPr>
          <w:rFonts w:asciiTheme="minorHAnsi" w:hAnsiTheme="minorHAnsi" w:cstheme="minorHAnsi"/>
          <w:lang w:val="en-US"/>
        </w:rPr>
        <w:t xml:space="preserve">of </w:t>
      </w:r>
      <w:r w:rsidR="004272FF" w:rsidRPr="004272FF">
        <w:rPr>
          <w:rFonts w:asciiTheme="minorHAnsi" w:hAnsiTheme="minorHAnsi" w:cstheme="minorHAnsi"/>
          <w:lang w:val="en-US"/>
        </w:rPr>
        <w:t xml:space="preserve">Mexico. Each </w:t>
      </w:r>
      <w:r w:rsidR="00E54CAB" w:rsidRPr="004272FF">
        <w:rPr>
          <w:rFonts w:asciiTheme="minorHAnsi" w:hAnsiTheme="minorHAnsi" w:cstheme="minorHAnsi"/>
          <w:lang w:val="en-US"/>
        </w:rPr>
        <w:t>panelist</w:t>
      </w:r>
      <w:r w:rsidR="004272FF" w:rsidRPr="004272FF">
        <w:rPr>
          <w:rFonts w:asciiTheme="minorHAnsi" w:hAnsiTheme="minorHAnsi" w:cstheme="minorHAnsi"/>
          <w:lang w:val="en-US"/>
        </w:rPr>
        <w:t xml:space="preserve"> shared insights about why we need to upscale and accelerate initiatives that conserve wetlands and all </w:t>
      </w:r>
      <w:r w:rsidR="004272FF" w:rsidRPr="006C5202">
        <w:rPr>
          <w:rFonts w:asciiTheme="minorHAnsi" w:hAnsiTheme="minorHAnsi" w:cstheme="minorHAnsi"/>
          <w:lang w:val="en-US"/>
        </w:rPr>
        <w:t xml:space="preserve">freshwater ecosystems. </w:t>
      </w:r>
    </w:p>
    <w:p w14:paraId="7988EB16" w14:textId="77777777" w:rsidR="005529FA" w:rsidRPr="006C5202" w:rsidRDefault="005529FA" w:rsidP="005972E9">
      <w:pPr>
        <w:rPr>
          <w:rFonts w:asciiTheme="minorHAnsi" w:hAnsiTheme="minorHAnsi" w:cstheme="minorHAnsi"/>
          <w:lang w:val="en-US"/>
        </w:rPr>
      </w:pPr>
    </w:p>
    <w:p w14:paraId="18AA79E9" w14:textId="10BF6D69" w:rsidR="00991E80" w:rsidRDefault="00F70973" w:rsidP="005972E9">
      <w:pPr>
        <w:rPr>
          <w:rFonts w:asciiTheme="minorHAnsi" w:hAnsiTheme="minorHAnsi" w:cstheme="minorHAnsi"/>
          <w:lang w:val="en-US"/>
        </w:rPr>
      </w:pPr>
      <w:r>
        <w:rPr>
          <w:rFonts w:asciiTheme="minorHAnsi" w:hAnsiTheme="minorHAnsi" w:cstheme="minorHAnsi"/>
          <w:lang w:val="en-US"/>
        </w:rPr>
        <w:t>56</w:t>
      </w:r>
      <w:r w:rsidR="005529FA" w:rsidRPr="006C5202">
        <w:rPr>
          <w:rFonts w:asciiTheme="minorHAnsi" w:hAnsiTheme="minorHAnsi" w:cstheme="minorHAnsi"/>
          <w:lang w:val="en-US"/>
        </w:rPr>
        <w:t>.</w:t>
      </w:r>
      <w:r w:rsidR="005529FA" w:rsidRPr="006C5202">
        <w:rPr>
          <w:rFonts w:asciiTheme="minorHAnsi" w:hAnsiTheme="minorHAnsi" w:cstheme="minorHAnsi"/>
          <w:lang w:val="en-US"/>
        </w:rPr>
        <w:tab/>
      </w:r>
      <w:r w:rsidR="006C5202" w:rsidRPr="006C5202">
        <w:rPr>
          <w:rFonts w:asciiTheme="minorHAnsi" w:hAnsiTheme="minorHAnsi" w:cstheme="minorHAnsi"/>
          <w:lang w:val="en-US"/>
        </w:rPr>
        <w:t>D</w:t>
      </w:r>
      <w:r w:rsidR="004272FF" w:rsidRPr="006C5202">
        <w:rPr>
          <w:rFonts w:asciiTheme="minorHAnsi" w:hAnsiTheme="minorHAnsi" w:cstheme="minorHAnsi"/>
          <w:lang w:val="en-US"/>
        </w:rPr>
        <w:t xml:space="preserve">igital platforms and in particular social media </w:t>
      </w:r>
      <w:r w:rsidR="006C5202" w:rsidRPr="006C5202">
        <w:rPr>
          <w:rFonts w:asciiTheme="minorHAnsi" w:hAnsiTheme="minorHAnsi" w:cstheme="minorHAnsi"/>
          <w:lang w:val="en-US"/>
        </w:rPr>
        <w:t xml:space="preserve">are proving to be powerful mediums </w:t>
      </w:r>
      <w:r w:rsidR="004272FF" w:rsidRPr="006C5202">
        <w:rPr>
          <w:rFonts w:asciiTheme="minorHAnsi" w:hAnsiTheme="minorHAnsi" w:cstheme="minorHAnsi"/>
          <w:lang w:val="en-US"/>
        </w:rPr>
        <w:t>to amplify our messages and reach larger and diverse audiences</w:t>
      </w:r>
      <w:r w:rsidR="006C5202" w:rsidRPr="006C5202">
        <w:rPr>
          <w:rFonts w:asciiTheme="minorHAnsi" w:hAnsiTheme="minorHAnsi" w:cstheme="minorHAnsi"/>
          <w:lang w:val="en-US"/>
        </w:rPr>
        <w:t>. This</w:t>
      </w:r>
      <w:r w:rsidR="004272FF" w:rsidRPr="006C5202">
        <w:rPr>
          <w:rFonts w:asciiTheme="minorHAnsi" w:hAnsiTheme="minorHAnsi" w:cstheme="minorHAnsi"/>
          <w:lang w:val="en-US"/>
        </w:rPr>
        <w:t xml:space="preserve"> can be confirmed by the 1.3 billion</w:t>
      </w:r>
      <w:r w:rsidR="004272FF" w:rsidRPr="004272FF">
        <w:rPr>
          <w:rFonts w:asciiTheme="minorHAnsi" w:hAnsiTheme="minorHAnsi" w:cstheme="minorHAnsi"/>
          <w:lang w:val="en-US"/>
        </w:rPr>
        <w:t xml:space="preserve"> people reached through social media on World Wetlands Day, due to the collective campaigns undertaken by</w:t>
      </w:r>
      <w:r w:rsidR="00E121B9">
        <w:rPr>
          <w:rFonts w:asciiTheme="minorHAnsi" w:hAnsiTheme="minorHAnsi" w:cstheme="minorHAnsi"/>
          <w:lang w:val="en-US"/>
        </w:rPr>
        <w:t xml:space="preserve"> the Secretariat, governments, i</w:t>
      </w:r>
      <w:r w:rsidR="004272FF" w:rsidRPr="004272FF">
        <w:rPr>
          <w:rFonts w:asciiTheme="minorHAnsi" w:hAnsiTheme="minorHAnsi" w:cstheme="minorHAnsi"/>
          <w:lang w:val="en-US"/>
        </w:rPr>
        <w:t xml:space="preserve">nternational and </w:t>
      </w:r>
      <w:r w:rsidR="00E121B9">
        <w:rPr>
          <w:rFonts w:asciiTheme="minorHAnsi" w:hAnsiTheme="minorHAnsi" w:cstheme="minorHAnsi"/>
          <w:lang w:val="en-US"/>
        </w:rPr>
        <w:t xml:space="preserve">other </w:t>
      </w:r>
      <w:r w:rsidR="004272FF" w:rsidRPr="004272FF">
        <w:rPr>
          <w:rFonts w:asciiTheme="minorHAnsi" w:hAnsiTheme="minorHAnsi" w:cstheme="minorHAnsi"/>
          <w:lang w:val="en-US"/>
        </w:rPr>
        <w:t>partner organizations. Danone and the Norweg</w:t>
      </w:r>
      <w:r w:rsidR="000A4817">
        <w:rPr>
          <w:rFonts w:asciiTheme="minorHAnsi" w:hAnsiTheme="minorHAnsi" w:cstheme="minorHAnsi"/>
          <w:lang w:val="en-US"/>
        </w:rPr>
        <w:t>ian Environment Agency provided</w:t>
      </w:r>
      <w:r w:rsidR="004272FF" w:rsidRPr="004272FF">
        <w:rPr>
          <w:rFonts w:asciiTheme="minorHAnsi" w:hAnsiTheme="minorHAnsi" w:cstheme="minorHAnsi"/>
          <w:lang w:val="en-US"/>
        </w:rPr>
        <w:t xml:space="preserve"> funding to support the 2021 World Wetlands Day outreach campaign</w:t>
      </w:r>
      <w:r w:rsidR="007516F6">
        <w:rPr>
          <w:rFonts w:asciiTheme="minorHAnsi" w:hAnsiTheme="minorHAnsi" w:cstheme="minorHAnsi"/>
          <w:lang w:val="en-US"/>
        </w:rPr>
        <w:t>.</w:t>
      </w:r>
    </w:p>
    <w:p w14:paraId="24E8BCC1" w14:textId="426B154C" w:rsidR="00466BA4" w:rsidRDefault="00466BA4" w:rsidP="005972E9">
      <w:pPr>
        <w:rPr>
          <w:rFonts w:asciiTheme="minorHAnsi" w:hAnsiTheme="minorHAnsi" w:cstheme="minorHAnsi"/>
          <w:lang w:val="en-US"/>
        </w:rPr>
      </w:pPr>
    </w:p>
    <w:p w14:paraId="211CDD7A" w14:textId="55C21DDA" w:rsidR="00466BA4" w:rsidRPr="00360A0A" w:rsidRDefault="00F70973" w:rsidP="005972E9">
      <w:pPr>
        <w:rPr>
          <w:rFonts w:asciiTheme="minorHAnsi" w:hAnsiTheme="minorHAnsi" w:cstheme="minorHAnsi"/>
          <w:lang w:val="en-US"/>
        </w:rPr>
      </w:pPr>
      <w:r>
        <w:rPr>
          <w:rFonts w:asciiTheme="minorHAnsi" w:hAnsiTheme="minorHAnsi" w:cstheme="minorHAnsi"/>
          <w:lang w:val="en-US"/>
        </w:rPr>
        <w:t>57</w:t>
      </w:r>
      <w:r w:rsidR="00466BA4" w:rsidRPr="000C1565">
        <w:rPr>
          <w:rFonts w:asciiTheme="minorHAnsi" w:hAnsiTheme="minorHAnsi" w:cstheme="minorHAnsi"/>
          <w:lang w:val="en-US"/>
        </w:rPr>
        <w:t xml:space="preserve">. </w:t>
      </w:r>
      <w:r w:rsidR="00E121B9" w:rsidRPr="000C1565">
        <w:rPr>
          <w:rFonts w:asciiTheme="minorHAnsi" w:hAnsiTheme="minorHAnsi" w:cstheme="minorHAnsi"/>
          <w:lang w:val="en-US"/>
        </w:rPr>
        <w:tab/>
      </w:r>
      <w:r w:rsidR="00466BA4" w:rsidRPr="000C1565">
        <w:rPr>
          <w:rFonts w:asciiTheme="minorHAnsi" w:hAnsiTheme="minorHAnsi" w:cstheme="minorHAnsi"/>
          <w:lang w:val="en-US"/>
        </w:rPr>
        <w:t xml:space="preserve">The 50th Anniversary of the Convention of Wetlands is </w:t>
      </w:r>
      <w:r w:rsidR="00E54CAB" w:rsidRPr="000C1565">
        <w:rPr>
          <w:rFonts w:asciiTheme="minorHAnsi" w:hAnsiTheme="minorHAnsi" w:cstheme="minorHAnsi"/>
          <w:lang w:val="en-US"/>
        </w:rPr>
        <w:t xml:space="preserve">being </w:t>
      </w:r>
      <w:r w:rsidR="00466BA4" w:rsidRPr="000C1565">
        <w:rPr>
          <w:rFonts w:asciiTheme="minorHAnsi" w:hAnsiTheme="minorHAnsi" w:cstheme="minorHAnsi"/>
          <w:lang w:val="en-US"/>
        </w:rPr>
        <w:t xml:space="preserve">celebrated </w:t>
      </w:r>
      <w:r w:rsidR="00E54CAB" w:rsidRPr="000C1565">
        <w:rPr>
          <w:rFonts w:asciiTheme="minorHAnsi" w:hAnsiTheme="minorHAnsi" w:cstheme="minorHAnsi"/>
          <w:lang w:val="en-US"/>
        </w:rPr>
        <w:t xml:space="preserve">in </w:t>
      </w:r>
      <w:r w:rsidR="007516F6" w:rsidRPr="000C1565">
        <w:rPr>
          <w:rFonts w:asciiTheme="minorHAnsi" w:hAnsiTheme="minorHAnsi" w:cstheme="minorHAnsi"/>
          <w:lang w:val="en-US"/>
        </w:rPr>
        <w:t xml:space="preserve">2021. </w:t>
      </w:r>
      <w:r w:rsidR="00E54CAB" w:rsidRPr="000C1565">
        <w:rPr>
          <w:rFonts w:asciiTheme="minorHAnsi" w:hAnsiTheme="minorHAnsi" w:cstheme="minorHAnsi"/>
          <w:lang w:val="en-US"/>
        </w:rPr>
        <w:t>To develop the 50th Anniversary campaign</w:t>
      </w:r>
      <w:r w:rsidR="000C1565" w:rsidRPr="000C1565">
        <w:rPr>
          <w:rFonts w:asciiTheme="minorHAnsi" w:hAnsiTheme="minorHAnsi" w:cstheme="minorHAnsi"/>
          <w:lang w:val="en-US"/>
        </w:rPr>
        <w:t>,</w:t>
      </w:r>
      <w:r w:rsidR="00466BA4" w:rsidRPr="000C1565">
        <w:rPr>
          <w:rFonts w:asciiTheme="minorHAnsi" w:hAnsiTheme="minorHAnsi" w:cstheme="minorHAnsi"/>
          <w:lang w:val="en-US"/>
        </w:rPr>
        <w:t xml:space="preserve"> the Secretariat worked with</w:t>
      </w:r>
      <w:r w:rsidR="00044301" w:rsidRPr="000C1565">
        <w:rPr>
          <w:rFonts w:asciiTheme="minorHAnsi" w:hAnsiTheme="minorHAnsi" w:cstheme="minorHAnsi"/>
          <w:lang w:val="en-US"/>
        </w:rPr>
        <w:t xml:space="preserve"> a public relations</w:t>
      </w:r>
      <w:r w:rsidR="000C1565" w:rsidRPr="000C1565">
        <w:rPr>
          <w:rFonts w:asciiTheme="minorHAnsi" w:hAnsiTheme="minorHAnsi" w:cstheme="minorHAnsi"/>
          <w:lang w:val="en-US"/>
        </w:rPr>
        <w:t xml:space="preserve"> and c</w:t>
      </w:r>
      <w:r w:rsidR="00466BA4" w:rsidRPr="000C1565">
        <w:rPr>
          <w:rFonts w:asciiTheme="minorHAnsi" w:hAnsiTheme="minorHAnsi" w:cstheme="minorHAnsi"/>
          <w:lang w:val="en-US"/>
        </w:rPr>
        <w:t>ommunications agency in designi</w:t>
      </w:r>
      <w:r w:rsidR="00376B15" w:rsidRPr="000C1565">
        <w:rPr>
          <w:rFonts w:asciiTheme="minorHAnsi" w:hAnsiTheme="minorHAnsi" w:cstheme="minorHAnsi"/>
          <w:lang w:val="en-US"/>
        </w:rPr>
        <w:t xml:space="preserve">ng </w:t>
      </w:r>
      <w:r w:rsidR="00E54CAB" w:rsidRPr="000C1565">
        <w:rPr>
          <w:rFonts w:asciiTheme="minorHAnsi" w:hAnsiTheme="minorHAnsi" w:cstheme="minorHAnsi"/>
          <w:lang w:val="en-US"/>
        </w:rPr>
        <w:t xml:space="preserve">a </w:t>
      </w:r>
      <w:r w:rsidR="00466BA4" w:rsidRPr="000C1565">
        <w:rPr>
          <w:rFonts w:asciiTheme="minorHAnsi" w:hAnsiTheme="minorHAnsi" w:cstheme="minorHAnsi"/>
          <w:lang w:val="en-US"/>
        </w:rPr>
        <w:t>campaign with a</w:t>
      </w:r>
      <w:r w:rsidR="00376B15" w:rsidRPr="000C1565">
        <w:rPr>
          <w:rFonts w:asciiTheme="minorHAnsi" w:hAnsiTheme="minorHAnsi" w:cstheme="minorHAnsi"/>
          <w:lang w:val="en-US"/>
        </w:rPr>
        <w:t>n</w:t>
      </w:r>
      <w:r w:rsidR="00466BA4" w:rsidRPr="000C1565">
        <w:rPr>
          <w:rFonts w:asciiTheme="minorHAnsi" w:hAnsiTheme="minorHAnsi" w:cstheme="minorHAnsi"/>
          <w:lang w:val="en-US"/>
        </w:rPr>
        <w:t xml:space="preserve"> </w:t>
      </w:r>
      <w:r w:rsidR="00E54CAB" w:rsidRPr="000C1565">
        <w:rPr>
          <w:rFonts w:asciiTheme="minorHAnsi" w:hAnsiTheme="minorHAnsi" w:cstheme="minorHAnsi"/>
          <w:lang w:val="en-US"/>
        </w:rPr>
        <w:t>ambition</w:t>
      </w:r>
      <w:r w:rsidR="00466BA4" w:rsidRPr="000C1565">
        <w:rPr>
          <w:rFonts w:asciiTheme="minorHAnsi" w:hAnsiTheme="minorHAnsi" w:cstheme="minorHAnsi"/>
          <w:lang w:val="en-US"/>
        </w:rPr>
        <w:t xml:space="preserve"> to achieve an increased understanding among key influencers </w:t>
      </w:r>
      <w:r w:rsidR="008D59DB">
        <w:rPr>
          <w:rFonts w:asciiTheme="minorHAnsi" w:hAnsiTheme="minorHAnsi" w:cstheme="minorHAnsi"/>
          <w:lang w:val="en-US"/>
        </w:rPr>
        <w:t>of</w:t>
      </w:r>
      <w:r w:rsidR="00E54CAB" w:rsidRPr="000C1565">
        <w:rPr>
          <w:rFonts w:asciiTheme="minorHAnsi" w:hAnsiTheme="minorHAnsi" w:cstheme="minorHAnsi"/>
          <w:lang w:val="en-US"/>
        </w:rPr>
        <w:t xml:space="preserve"> </w:t>
      </w:r>
      <w:r w:rsidR="00466BA4" w:rsidRPr="000C1565">
        <w:rPr>
          <w:rFonts w:asciiTheme="minorHAnsi" w:hAnsiTheme="minorHAnsi" w:cstheme="minorHAnsi"/>
          <w:lang w:val="en-US"/>
        </w:rPr>
        <w:t xml:space="preserve">what Wetlands </w:t>
      </w:r>
      <w:r w:rsidR="000C1565">
        <w:rPr>
          <w:rFonts w:asciiTheme="minorHAnsi" w:hAnsiTheme="minorHAnsi" w:cstheme="minorHAnsi"/>
          <w:lang w:val="en-US"/>
        </w:rPr>
        <w:t>“</w:t>
      </w:r>
      <w:r w:rsidR="00466BA4" w:rsidRPr="000C1565">
        <w:rPr>
          <w:rFonts w:asciiTheme="minorHAnsi" w:hAnsiTheme="minorHAnsi" w:cstheme="minorHAnsi"/>
          <w:lang w:val="en-US"/>
        </w:rPr>
        <w:t>are</w:t>
      </w:r>
      <w:r w:rsidR="000C1565">
        <w:rPr>
          <w:rFonts w:asciiTheme="minorHAnsi" w:hAnsiTheme="minorHAnsi" w:cstheme="minorHAnsi"/>
          <w:lang w:val="en-US"/>
        </w:rPr>
        <w:t>”</w:t>
      </w:r>
      <w:r w:rsidR="00466BA4" w:rsidRPr="000C1565">
        <w:rPr>
          <w:rFonts w:asciiTheme="minorHAnsi" w:hAnsiTheme="minorHAnsi" w:cstheme="minorHAnsi"/>
          <w:lang w:val="en-US"/>
        </w:rPr>
        <w:t xml:space="preserve">, and the services they perform for humankind - with the ultimate goal of improving their protection. The campaign was created with an intention </w:t>
      </w:r>
      <w:r w:rsidR="000C1565">
        <w:rPr>
          <w:rFonts w:asciiTheme="minorHAnsi" w:hAnsiTheme="minorHAnsi" w:cstheme="minorHAnsi"/>
          <w:lang w:val="en-US"/>
        </w:rPr>
        <w:t>that</w:t>
      </w:r>
      <w:r w:rsidR="00466BA4" w:rsidRPr="000C1565">
        <w:rPr>
          <w:rFonts w:asciiTheme="minorHAnsi" w:hAnsiTheme="minorHAnsi" w:cstheme="minorHAnsi"/>
          <w:lang w:val="en-US"/>
        </w:rPr>
        <w:t xml:space="preserve"> Contracting Parties and partners spread the message about wetlands and thus easily share content adapted to their national and local audiences. A number of communications assets and resources were produced and continue to be produced during 2021, </w:t>
      </w:r>
      <w:r w:rsidR="000C1565">
        <w:rPr>
          <w:rFonts w:asciiTheme="minorHAnsi" w:hAnsiTheme="minorHAnsi" w:cstheme="minorHAnsi"/>
          <w:lang w:val="en-US"/>
        </w:rPr>
        <w:t>including</w:t>
      </w:r>
      <w:r w:rsidR="00466BA4" w:rsidRPr="000C1565">
        <w:rPr>
          <w:rFonts w:asciiTheme="minorHAnsi" w:hAnsiTheme="minorHAnsi" w:cstheme="minorHAnsi"/>
          <w:lang w:val="en-US"/>
        </w:rPr>
        <w:t xml:space="preserve"> the 50th Anniversary logo, brand guidelines, social media toolkit, social media tiles, fact sheets and gifs. </w:t>
      </w:r>
      <w:r w:rsidR="004B0888" w:rsidRPr="000C1565">
        <w:rPr>
          <w:rFonts w:asciiTheme="minorHAnsi" w:hAnsiTheme="minorHAnsi" w:cstheme="minorHAnsi"/>
          <w:lang w:val="en-US"/>
        </w:rPr>
        <w:t xml:space="preserve">Contracting Parties, IOPs, NGOs and individuals can customize the creative communications assets based on their own context and interest. </w:t>
      </w:r>
      <w:r w:rsidR="00466BA4" w:rsidRPr="000C1565">
        <w:rPr>
          <w:rFonts w:asciiTheme="minorHAnsi" w:hAnsiTheme="minorHAnsi" w:cstheme="minorHAnsi"/>
          <w:lang w:val="en-US"/>
        </w:rPr>
        <w:t xml:space="preserve">All campaign resources are produced in three languages and are housed on a </w:t>
      </w:r>
      <w:r w:rsidR="00DC2760">
        <w:rPr>
          <w:rFonts w:asciiTheme="minorHAnsi" w:hAnsiTheme="minorHAnsi" w:cstheme="minorHAnsi"/>
          <w:lang w:val="en-US"/>
        </w:rPr>
        <w:t>dedicated</w:t>
      </w:r>
      <w:r w:rsidR="00466BA4" w:rsidRPr="000C1565">
        <w:rPr>
          <w:rFonts w:asciiTheme="minorHAnsi" w:hAnsiTheme="minorHAnsi" w:cstheme="minorHAnsi"/>
          <w:lang w:val="en-US"/>
        </w:rPr>
        <w:t xml:space="preserve"> 50th Anniversary </w:t>
      </w:r>
      <w:r w:rsidR="00466BA4" w:rsidRPr="002C7D32">
        <w:rPr>
          <w:rFonts w:asciiTheme="minorHAnsi" w:hAnsiTheme="minorHAnsi" w:cstheme="minorHAnsi"/>
          <w:lang w:val="en-US"/>
        </w:rPr>
        <w:t>website</w:t>
      </w:r>
      <w:r w:rsidR="002C7D32">
        <w:rPr>
          <w:rFonts w:asciiTheme="minorHAnsi" w:hAnsiTheme="minorHAnsi" w:cstheme="minorHAnsi"/>
          <w:lang w:val="en-US"/>
        </w:rPr>
        <w:t xml:space="preserve"> at </w:t>
      </w:r>
      <w:hyperlink r:id="rId14" w:history="1">
        <w:r w:rsidR="002C7D32" w:rsidRPr="00C07BD1">
          <w:rPr>
            <w:rStyle w:val="Hyperlink"/>
            <w:rFonts w:asciiTheme="minorHAnsi" w:hAnsiTheme="minorHAnsi" w:cstheme="minorHAnsi"/>
            <w:lang w:val="en-US"/>
          </w:rPr>
          <w:t>https://ramsar50.org/</w:t>
        </w:r>
      </w:hyperlink>
      <w:r w:rsidR="00466BA4" w:rsidRPr="000C1565">
        <w:rPr>
          <w:rFonts w:asciiTheme="minorHAnsi" w:hAnsiTheme="minorHAnsi" w:cstheme="minorHAnsi"/>
          <w:lang w:val="en-US"/>
        </w:rPr>
        <w:t xml:space="preserve">. The website was launched on </w:t>
      </w:r>
      <w:r w:rsidR="00376B15" w:rsidRPr="000C1565">
        <w:rPr>
          <w:rFonts w:asciiTheme="minorHAnsi" w:hAnsiTheme="minorHAnsi" w:cstheme="minorHAnsi"/>
          <w:lang w:val="en-US"/>
        </w:rPr>
        <w:t xml:space="preserve">16 March </w:t>
      </w:r>
      <w:r w:rsidR="008F6CE9" w:rsidRPr="000C1565">
        <w:rPr>
          <w:rFonts w:asciiTheme="minorHAnsi" w:hAnsiTheme="minorHAnsi" w:cstheme="minorHAnsi"/>
          <w:lang w:val="en-US"/>
        </w:rPr>
        <w:t>following the conclusion of</w:t>
      </w:r>
      <w:r w:rsidR="007516F6" w:rsidRPr="000C1565">
        <w:rPr>
          <w:rFonts w:asciiTheme="minorHAnsi" w:hAnsiTheme="minorHAnsi" w:cstheme="minorHAnsi"/>
          <w:lang w:val="en-US"/>
        </w:rPr>
        <w:t xml:space="preserve"> WWD </w:t>
      </w:r>
      <w:r w:rsidR="008F6CE9" w:rsidRPr="000C1565">
        <w:rPr>
          <w:rFonts w:asciiTheme="minorHAnsi" w:hAnsiTheme="minorHAnsi" w:cstheme="minorHAnsi"/>
          <w:lang w:val="en-US"/>
        </w:rPr>
        <w:t>activities.</w:t>
      </w:r>
      <w:r w:rsidR="004B0888" w:rsidRPr="000C1565">
        <w:rPr>
          <w:rFonts w:asciiTheme="minorHAnsi" w:hAnsiTheme="minorHAnsi" w:cstheme="minorHAnsi"/>
          <w:lang w:val="en-US"/>
        </w:rPr>
        <w:t xml:space="preserve"> </w:t>
      </w:r>
      <w:r w:rsidR="00466BA4" w:rsidRPr="000C1565">
        <w:rPr>
          <w:rFonts w:asciiTheme="minorHAnsi" w:hAnsiTheme="minorHAnsi" w:cstheme="minorHAnsi"/>
          <w:lang w:val="en-US"/>
        </w:rPr>
        <w:t xml:space="preserve">The official hashtag of the campaign is #RestoreWetlands. Since the </w:t>
      </w:r>
      <w:r w:rsidR="008F6CE9" w:rsidRPr="000C1565">
        <w:rPr>
          <w:rFonts w:asciiTheme="minorHAnsi" w:hAnsiTheme="minorHAnsi" w:cstheme="minorHAnsi"/>
          <w:lang w:val="en-US"/>
        </w:rPr>
        <w:t>beginning of</w:t>
      </w:r>
      <w:r w:rsidR="00466BA4" w:rsidRPr="000C1565">
        <w:rPr>
          <w:rFonts w:asciiTheme="minorHAnsi" w:hAnsiTheme="minorHAnsi" w:cstheme="minorHAnsi"/>
          <w:lang w:val="en-US"/>
        </w:rPr>
        <w:t xml:space="preserve"> the campaign there were 1</w:t>
      </w:r>
      <w:r w:rsidR="00DC2760">
        <w:rPr>
          <w:rFonts w:asciiTheme="minorHAnsi" w:hAnsiTheme="minorHAnsi" w:cstheme="minorHAnsi"/>
          <w:lang w:val="en-US"/>
        </w:rPr>
        <w:t>,</w:t>
      </w:r>
      <w:r w:rsidR="00466BA4" w:rsidRPr="000C1565">
        <w:rPr>
          <w:rFonts w:asciiTheme="minorHAnsi" w:hAnsiTheme="minorHAnsi" w:cstheme="minorHAnsi"/>
          <w:lang w:val="en-US"/>
        </w:rPr>
        <w:t>26</w:t>
      </w:r>
      <w:r w:rsidR="00DC2760">
        <w:rPr>
          <w:rFonts w:asciiTheme="minorHAnsi" w:hAnsiTheme="minorHAnsi" w:cstheme="minorHAnsi"/>
          <w:lang w:val="en-US"/>
        </w:rPr>
        <w:t>0</w:t>
      </w:r>
      <w:r w:rsidR="00466BA4" w:rsidRPr="000C1565">
        <w:rPr>
          <w:rFonts w:asciiTheme="minorHAnsi" w:hAnsiTheme="minorHAnsi" w:cstheme="minorHAnsi"/>
          <w:lang w:val="en-US"/>
        </w:rPr>
        <w:t xml:space="preserve"> social media posts with the </w:t>
      </w:r>
      <w:r w:rsidR="00B82BEA" w:rsidRPr="000C1565">
        <w:rPr>
          <w:rFonts w:asciiTheme="minorHAnsi" w:hAnsiTheme="minorHAnsi" w:cstheme="minorHAnsi"/>
          <w:lang w:val="en-US"/>
        </w:rPr>
        <w:t>hashtag #RestoreWetlands which gained</w:t>
      </w:r>
      <w:r w:rsidR="00466BA4" w:rsidRPr="000C1565">
        <w:rPr>
          <w:rFonts w:asciiTheme="minorHAnsi" w:hAnsiTheme="minorHAnsi" w:cstheme="minorHAnsi"/>
          <w:lang w:val="en-US"/>
        </w:rPr>
        <w:t xml:space="preserve"> 11.08</w:t>
      </w:r>
      <w:r w:rsidR="00DC2760">
        <w:rPr>
          <w:rFonts w:asciiTheme="minorHAnsi" w:hAnsiTheme="minorHAnsi" w:cstheme="minorHAnsi"/>
          <w:lang w:val="en-US"/>
        </w:rPr>
        <w:t xml:space="preserve"> million</w:t>
      </w:r>
      <w:r w:rsidR="007516F6" w:rsidRPr="000C1565">
        <w:rPr>
          <w:rFonts w:asciiTheme="minorHAnsi" w:hAnsiTheme="minorHAnsi" w:cstheme="minorHAnsi"/>
          <w:lang w:val="en-US"/>
        </w:rPr>
        <w:t xml:space="preserve"> </w:t>
      </w:r>
      <w:r w:rsidR="00466BA4" w:rsidRPr="000C1565">
        <w:rPr>
          <w:rFonts w:asciiTheme="minorHAnsi" w:hAnsiTheme="minorHAnsi" w:cstheme="minorHAnsi"/>
          <w:lang w:val="en-US"/>
        </w:rPr>
        <w:t>impressions.</w:t>
      </w:r>
      <w:r w:rsidR="004B0888" w:rsidRPr="000C1565">
        <w:rPr>
          <w:rFonts w:asciiTheme="minorHAnsi" w:hAnsiTheme="minorHAnsi" w:cstheme="minorHAnsi"/>
          <w:lang w:val="en-US"/>
        </w:rPr>
        <w:t xml:space="preserve"> </w:t>
      </w:r>
      <w:r w:rsidR="00E54CAB" w:rsidRPr="000C1565">
        <w:rPr>
          <w:rFonts w:asciiTheme="minorHAnsi" w:hAnsiTheme="minorHAnsi" w:cstheme="minorHAnsi"/>
          <w:lang w:val="en-US"/>
        </w:rPr>
        <w:t>One of the campaign objectives was to reach and resonate with you</w:t>
      </w:r>
      <w:r w:rsidR="009D37D8" w:rsidRPr="000C1565">
        <w:rPr>
          <w:rFonts w:asciiTheme="minorHAnsi" w:hAnsiTheme="minorHAnsi" w:cstheme="minorHAnsi"/>
          <w:lang w:val="en-US"/>
        </w:rPr>
        <w:t xml:space="preserve">th with early indicators that </w:t>
      </w:r>
      <w:r w:rsidR="00245D5D" w:rsidRPr="000C1565">
        <w:rPr>
          <w:rFonts w:asciiTheme="minorHAnsi" w:hAnsiTheme="minorHAnsi" w:cstheme="minorHAnsi"/>
          <w:lang w:val="en-US"/>
        </w:rPr>
        <w:t>website</w:t>
      </w:r>
      <w:r w:rsidR="00905B5D" w:rsidRPr="000C1565">
        <w:rPr>
          <w:rFonts w:asciiTheme="minorHAnsi" w:hAnsiTheme="minorHAnsi" w:cstheme="minorHAnsi"/>
          <w:lang w:val="en-US"/>
        </w:rPr>
        <w:t xml:space="preserve"> visitors are primarily </w:t>
      </w:r>
      <w:r w:rsidR="00245D5D" w:rsidRPr="000C1565">
        <w:rPr>
          <w:rFonts w:asciiTheme="minorHAnsi" w:hAnsiTheme="minorHAnsi" w:cstheme="minorHAnsi"/>
          <w:lang w:val="en-US"/>
        </w:rPr>
        <w:t xml:space="preserve">aged </w:t>
      </w:r>
      <w:r w:rsidR="00DC2760">
        <w:rPr>
          <w:rFonts w:asciiTheme="minorHAnsi" w:hAnsiTheme="minorHAnsi" w:cstheme="minorHAnsi"/>
          <w:lang w:val="en-US"/>
        </w:rPr>
        <w:t xml:space="preserve">between </w:t>
      </w:r>
      <w:r w:rsidR="00245D5D" w:rsidRPr="000C1565">
        <w:rPr>
          <w:rFonts w:asciiTheme="minorHAnsi" w:hAnsiTheme="minorHAnsi" w:cstheme="minorHAnsi"/>
          <w:lang w:val="en-US"/>
        </w:rPr>
        <w:t>18</w:t>
      </w:r>
      <w:r w:rsidR="00DC2760">
        <w:rPr>
          <w:rFonts w:asciiTheme="minorHAnsi" w:hAnsiTheme="minorHAnsi" w:cstheme="minorHAnsi"/>
          <w:lang w:val="en-US"/>
        </w:rPr>
        <w:t xml:space="preserve"> and 3</w:t>
      </w:r>
      <w:r w:rsidR="00245D5D" w:rsidRPr="000C1565">
        <w:rPr>
          <w:rFonts w:asciiTheme="minorHAnsi" w:hAnsiTheme="minorHAnsi" w:cstheme="minorHAnsi"/>
          <w:lang w:val="en-US"/>
        </w:rPr>
        <w:t>4 years old.</w:t>
      </w:r>
      <w:r w:rsidR="00245D5D">
        <w:rPr>
          <w:rFonts w:asciiTheme="minorHAnsi" w:hAnsiTheme="minorHAnsi" w:cstheme="minorHAnsi"/>
          <w:lang w:val="en-US"/>
        </w:rPr>
        <w:t xml:space="preserve"> </w:t>
      </w:r>
    </w:p>
    <w:p w14:paraId="5F1399CA" w14:textId="77777777" w:rsidR="00037F4D" w:rsidRPr="00360A0A" w:rsidRDefault="00037F4D" w:rsidP="005972E9">
      <w:pPr>
        <w:rPr>
          <w:rFonts w:asciiTheme="minorHAnsi" w:hAnsiTheme="minorHAnsi" w:cstheme="minorHAnsi"/>
          <w:lang w:val="en-US"/>
        </w:rPr>
      </w:pPr>
    </w:p>
    <w:p w14:paraId="0DFFB26D" w14:textId="591F86FD" w:rsidR="00744801" w:rsidRDefault="00F70973" w:rsidP="005972E9">
      <w:pPr>
        <w:rPr>
          <w:rFonts w:asciiTheme="minorHAnsi" w:hAnsiTheme="minorHAnsi" w:cstheme="minorHAnsi"/>
          <w:lang w:val="en-US"/>
        </w:rPr>
      </w:pPr>
      <w:r>
        <w:rPr>
          <w:rFonts w:asciiTheme="minorHAnsi" w:hAnsiTheme="minorHAnsi" w:cstheme="minorHAnsi"/>
          <w:lang w:val="en-US"/>
        </w:rPr>
        <w:t>58</w:t>
      </w:r>
      <w:r w:rsidR="001B279A" w:rsidRPr="00360A0A">
        <w:rPr>
          <w:rFonts w:asciiTheme="minorHAnsi" w:hAnsiTheme="minorHAnsi" w:cstheme="minorHAnsi"/>
          <w:lang w:val="en-US"/>
        </w:rPr>
        <w:t>.</w:t>
      </w:r>
      <w:r w:rsidR="001B279A" w:rsidRPr="00360A0A">
        <w:rPr>
          <w:rFonts w:asciiTheme="minorHAnsi" w:hAnsiTheme="minorHAnsi" w:cstheme="minorHAnsi"/>
          <w:lang w:val="en-US"/>
        </w:rPr>
        <w:tab/>
      </w:r>
      <w:r w:rsidR="00CD057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City</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Accreditation</w:t>
      </w:r>
      <w:r w:rsidR="00C705CA">
        <w:rPr>
          <w:rFonts w:asciiTheme="minorHAnsi" w:hAnsiTheme="minorHAnsi" w:cstheme="minorHAnsi"/>
          <w:lang w:val="en-US"/>
        </w:rPr>
        <w:t xml:space="preserve"> initiative continues to contribute to</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enhancing</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visibility</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Convention</w:t>
      </w:r>
      <w:r w:rsidR="00C705CA">
        <w:rPr>
          <w:rFonts w:asciiTheme="minorHAnsi" w:hAnsiTheme="minorHAnsi" w:cstheme="minorHAnsi"/>
          <w:lang w:val="en-US"/>
        </w:rPr>
        <w:t>, including through the Convention</w:t>
      </w:r>
      <w:r w:rsidR="002C7D32">
        <w:rPr>
          <w:rFonts w:asciiTheme="minorHAnsi" w:hAnsiTheme="minorHAnsi" w:cstheme="minorHAnsi"/>
          <w:lang w:val="en-US"/>
        </w:rPr>
        <w:t>’</w:t>
      </w:r>
      <w:r w:rsidR="00C705CA">
        <w:rPr>
          <w:rFonts w:asciiTheme="minorHAnsi" w:hAnsiTheme="minorHAnsi" w:cstheme="minorHAnsi"/>
          <w:lang w:val="en-US"/>
        </w:rPr>
        <w:t>s webpa</w:t>
      </w:r>
      <w:r w:rsidR="002C7D32">
        <w:rPr>
          <w:rFonts w:asciiTheme="minorHAnsi" w:hAnsiTheme="minorHAnsi" w:cstheme="minorHAnsi"/>
          <w:lang w:val="en-US"/>
        </w:rPr>
        <w:t>g</w:t>
      </w:r>
      <w:r w:rsidR="00C705CA">
        <w:rPr>
          <w:rFonts w:asciiTheme="minorHAnsi" w:hAnsiTheme="minorHAnsi" w:cstheme="minorHAnsi"/>
          <w:lang w:val="en-US"/>
        </w:rPr>
        <w:t>e</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features</w:t>
      </w:r>
      <w:r w:rsidR="00360A0A" w:rsidRPr="00360A0A">
        <w:rPr>
          <w:rFonts w:asciiTheme="minorHAnsi" w:hAnsiTheme="minorHAnsi" w:cstheme="minorHAnsi"/>
          <w:lang w:val="en-US"/>
        </w:rPr>
        <w:t xml:space="preserve"> </w:t>
      </w:r>
      <w:r w:rsidR="00195A26"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195A26" w:rsidRPr="00360A0A">
        <w:rPr>
          <w:rFonts w:asciiTheme="minorHAnsi" w:hAnsiTheme="minorHAnsi" w:cstheme="minorHAnsi"/>
          <w:lang w:val="en-US"/>
        </w:rPr>
        <w:t>cities</w:t>
      </w:r>
      <w:r w:rsidR="00360A0A" w:rsidRPr="00360A0A">
        <w:rPr>
          <w:rFonts w:asciiTheme="minorHAnsi" w:hAnsiTheme="minorHAnsi" w:cstheme="minorHAnsi"/>
          <w:lang w:val="en-US"/>
        </w:rPr>
        <w:t xml:space="preserve"> </w:t>
      </w:r>
      <w:r w:rsidR="002B0BD1" w:rsidRPr="00360A0A">
        <w:rPr>
          <w:rFonts w:asciiTheme="minorHAnsi" w:hAnsiTheme="minorHAnsi" w:cstheme="minorHAnsi"/>
          <w:lang w:val="en-US"/>
        </w:rPr>
        <w:t>accredited</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at</w:t>
      </w:r>
      <w:r w:rsidR="00360A0A" w:rsidRPr="00360A0A">
        <w:rPr>
          <w:rFonts w:asciiTheme="minorHAnsi" w:hAnsiTheme="minorHAnsi" w:cstheme="minorHAnsi"/>
          <w:lang w:val="en-US"/>
        </w:rPr>
        <w:t xml:space="preserve"> </w:t>
      </w:r>
      <w:r w:rsidR="00CD0572" w:rsidRPr="00360A0A">
        <w:rPr>
          <w:rFonts w:asciiTheme="minorHAnsi" w:hAnsiTheme="minorHAnsi" w:cstheme="minorHAnsi"/>
          <w:lang w:val="en-US"/>
        </w:rPr>
        <w:t>COP13</w:t>
      </w:r>
      <w:r w:rsidR="00DF56F5"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instructed</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Resolution</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XII.10</w:t>
      </w:r>
      <w:r w:rsidR="00B63C90">
        <w:rPr>
          <w:rFonts w:asciiTheme="minorHAnsi" w:hAnsiTheme="minorHAnsi" w:cstheme="minorHAnsi"/>
          <w:lang w:val="en-US"/>
        </w:rPr>
        <w:t>,</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notified</w:t>
      </w:r>
      <w:r w:rsidR="00B63C90">
        <w:rPr>
          <w:rFonts w:asciiTheme="minorHAnsi" w:hAnsiTheme="minorHAnsi" w:cstheme="minorHAnsi"/>
          <w:lang w:val="en-US"/>
        </w:rPr>
        <w:t xml:space="preserve"> Contracting</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nomination</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process</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current</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triennium</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received</w:t>
      </w:r>
      <w:r w:rsidR="00360A0A" w:rsidRPr="00360A0A">
        <w:rPr>
          <w:rFonts w:asciiTheme="minorHAnsi" w:hAnsiTheme="minorHAnsi" w:cstheme="minorHAnsi"/>
          <w:lang w:val="en-US"/>
        </w:rPr>
        <w:t xml:space="preserve"> </w:t>
      </w:r>
      <w:r w:rsidR="000B1086" w:rsidRPr="00360A0A">
        <w:rPr>
          <w:rFonts w:asciiTheme="minorHAnsi" w:hAnsiTheme="minorHAnsi" w:cstheme="minorHAnsi"/>
          <w:lang w:val="en-US"/>
        </w:rPr>
        <w:t>25</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applications</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nomination</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deadline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15</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March</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2020.</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010DA"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transmitted</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all</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received</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nominations</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A1C97" w:rsidRPr="00360A0A">
        <w:rPr>
          <w:rFonts w:asciiTheme="minorHAnsi" w:hAnsiTheme="minorHAnsi" w:cstheme="minorHAnsi"/>
          <w:lang w:val="en-US"/>
        </w:rPr>
        <w:t>I</w:t>
      </w:r>
      <w:r w:rsidR="00B63C90">
        <w:rPr>
          <w:rFonts w:asciiTheme="minorHAnsi" w:hAnsiTheme="minorHAnsi" w:cstheme="minorHAnsi"/>
          <w:lang w:val="en-US"/>
        </w:rPr>
        <w:t xml:space="preserve">ndependent </w:t>
      </w:r>
      <w:r w:rsidR="002A1C97" w:rsidRPr="00360A0A">
        <w:rPr>
          <w:rFonts w:asciiTheme="minorHAnsi" w:hAnsiTheme="minorHAnsi" w:cstheme="minorHAnsi"/>
          <w:lang w:val="en-US"/>
        </w:rPr>
        <w:t>A</w:t>
      </w:r>
      <w:r w:rsidR="00B63C90">
        <w:rPr>
          <w:rFonts w:asciiTheme="minorHAnsi" w:hAnsiTheme="minorHAnsi" w:cstheme="minorHAnsi"/>
          <w:lang w:val="en-US"/>
        </w:rPr>
        <w:t xml:space="preserve">dvisory </w:t>
      </w:r>
      <w:r w:rsidR="002A1C97" w:rsidRPr="00360A0A">
        <w:rPr>
          <w:rFonts w:asciiTheme="minorHAnsi" w:hAnsiTheme="minorHAnsi" w:cstheme="minorHAnsi"/>
          <w:lang w:val="en-US"/>
        </w:rPr>
        <w:t>C</w:t>
      </w:r>
      <w:r w:rsidR="00B63C90">
        <w:rPr>
          <w:rFonts w:asciiTheme="minorHAnsi" w:hAnsiTheme="minorHAnsi" w:cstheme="minorHAnsi"/>
          <w:lang w:val="en-US"/>
        </w:rPr>
        <w:t>ommittee</w:t>
      </w:r>
      <w:r w:rsidR="00360A0A" w:rsidRPr="00360A0A">
        <w:rPr>
          <w:rFonts w:asciiTheme="minorHAnsi" w:hAnsiTheme="minorHAnsi" w:cstheme="minorHAnsi"/>
          <w:lang w:val="en-US"/>
        </w:rPr>
        <w:t xml:space="preserve"> </w:t>
      </w:r>
      <w:r w:rsidR="00B63C90" w:rsidRPr="00360A0A">
        <w:rPr>
          <w:rFonts w:asciiTheme="minorHAnsi" w:hAnsiTheme="minorHAnsi" w:cstheme="minorHAnsi"/>
          <w:lang w:val="en-US"/>
        </w:rPr>
        <w:t xml:space="preserve">for </w:t>
      </w:r>
      <w:r w:rsidR="002C7D32">
        <w:rPr>
          <w:rFonts w:asciiTheme="minorHAnsi" w:hAnsiTheme="minorHAnsi" w:cstheme="minorHAnsi"/>
          <w:lang w:val="en-US"/>
        </w:rPr>
        <w:t>its</w:t>
      </w:r>
      <w:r w:rsidR="00B63C90" w:rsidRPr="00360A0A">
        <w:rPr>
          <w:rFonts w:asciiTheme="minorHAnsi" w:hAnsiTheme="minorHAnsi" w:cstheme="minorHAnsi"/>
          <w:lang w:val="en-US"/>
        </w:rPr>
        <w:t xml:space="preserve"> review</w:t>
      </w:r>
      <w:r w:rsidR="00CE1BD8">
        <w:rPr>
          <w:rFonts w:asciiTheme="minorHAnsi" w:hAnsiTheme="minorHAnsi" w:cstheme="minorHAnsi"/>
          <w:lang w:val="en-US"/>
        </w:rPr>
        <w:t xml:space="preserve"> which has been completed. The IAC has prepared a report for SC59</w:t>
      </w:r>
      <w:r w:rsidR="002C7D32">
        <w:rPr>
          <w:rFonts w:asciiTheme="minorHAnsi" w:hAnsiTheme="minorHAnsi" w:cstheme="minorHAnsi"/>
          <w:lang w:val="en-US"/>
        </w:rPr>
        <w:t xml:space="preserve"> (document SC59 Doc.</w:t>
      </w:r>
      <w:r w:rsidR="009D37D8">
        <w:rPr>
          <w:rFonts w:asciiTheme="minorHAnsi" w:hAnsiTheme="minorHAnsi" w:cstheme="minorHAnsi"/>
          <w:lang w:val="en-US"/>
        </w:rPr>
        <w:t>22)</w:t>
      </w:r>
      <w:r w:rsidR="00CE1BD8">
        <w:rPr>
          <w:rFonts w:asciiTheme="minorHAnsi" w:hAnsiTheme="minorHAnsi" w:cstheme="minorHAnsi"/>
          <w:lang w:val="en-US"/>
        </w:rPr>
        <w:t xml:space="preserve"> which </w:t>
      </w:r>
      <w:r w:rsidR="009D37D8">
        <w:rPr>
          <w:rFonts w:asciiTheme="minorHAnsi" w:hAnsiTheme="minorHAnsi" w:cstheme="minorHAnsi"/>
          <w:lang w:val="en-US"/>
        </w:rPr>
        <w:t>identifies</w:t>
      </w:r>
      <w:r w:rsidR="00CE1BD8">
        <w:rPr>
          <w:rFonts w:asciiTheme="minorHAnsi" w:hAnsiTheme="minorHAnsi" w:cstheme="minorHAnsi"/>
          <w:lang w:val="en-US"/>
        </w:rPr>
        <w:t xml:space="preserve"> those cities </w:t>
      </w:r>
      <w:r w:rsidR="002C7D32">
        <w:rPr>
          <w:rFonts w:asciiTheme="minorHAnsi" w:hAnsiTheme="minorHAnsi" w:cstheme="minorHAnsi"/>
          <w:lang w:val="en-US"/>
        </w:rPr>
        <w:t>it is</w:t>
      </w:r>
      <w:r w:rsidR="00CE1BD8">
        <w:rPr>
          <w:rFonts w:asciiTheme="minorHAnsi" w:hAnsiTheme="minorHAnsi" w:cstheme="minorHAnsi"/>
          <w:lang w:val="en-US"/>
        </w:rPr>
        <w:t xml:space="preserve"> recommending become accredited wetland cities</w:t>
      </w:r>
    </w:p>
    <w:p w14:paraId="545925F3" w14:textId="4A18314C" w:rsidR="00D96011" w:rsidRDefault="00D96011" w:rsidP="005972E9">
      <w:pPr>
        <w:rPr>
          <w:rFonts w:asciiTheme="minorHAnsi" w:hAnsiTheme="minorHAnsi" w:cstheme="minorHAnsi"/>
          <w:lang w:val="en-US"/>
        </w:rPr>
      </w:pPr>
    </w:p>
    <w:p w14:paraId="1D28201B" w14:textId="2F2C77C6" w:rsidR="00D96011" w:rsidRPr="00360A0A" w:rsidRDefault="00F70973" w:rsidP="005972E9">
      <w:pPr>
        <w:rPr>
          <w:rFonts w:asciiTheme="minorHAnsi" w:hAnsiTheme="minorHAnsi" w:cstheme="minorHAnsi"/>
          <w:lang w:val="en-US"/>
        </w:rPr>
      </w:pPr>
      <w:r>
        <w:rPr>
          <w:rFonts w:asciiTheme="minorHAnsi" w:hAnsiTheme="minorHAnsi" w:cstheme="minorHAnsi"/>
          <w:lang w:val="en-US"/>
        </w:rPr>
        <w:t>59</w:t>
      </w:r>
      <w:r w:rsidR="00D96011">
        <w:rPr>
          <w:rFonts w:asciiTheme="minorHAnsi" w:hAnsiTheme="minorHAnsi" w:cstheme="minorHAnsi"/>
          <w:lang w:val="en-US"/>
        </w:rPr>
        <w:t>.</w:t>
      </w:r>
      <w:r w:rsidR="00FB6B66">
        <w:rPr>
          <w:rFonts w:asciiTheme="minorHAnsi" w:hAnsiTheme="minorHAnsi" w:cstheme="minorHAnsi"/>
          <w:lang w:val="en-US"/>
        </w:rPr>
        <w:tab/>
      </w:r>
      <w:r w:rsidR="00D96011" w:rsidRPr="00D96011">
        <w:rPr>
          <w:rFonts w:asciiTheme="minorHAnsi" w:hAnsiTheme="minorHAnsi" w:cstheme="minorHAnsi"/>
          <w:lang w:val="en-US"/>
        </w:rPr>
        <w:t>The Secretariat continues to participate in “Flotilla”</w:t>
      </w:r>
      <w:r w:rsidR="00D96011">
        <w:rPr>
          <w:rFonts w:asciiTheme="minorHAnsi" w:hAnsiTheme="minorHAnsi" w:cstheme="minorHAnsi"/>
          <w:lang w:val="en-US"/>
        </w:rPr>
        <w:t xml:space="preserve"> meetings</w:t>
      </w:r>
      <w:r w:rsidR="00D96011" w:rsidRPr="00D96011">
        <w:rPr>
          <w:rFonts w:asciiTheme="minorHAnsi" w:hAnsiTheme="minorHAnsi" w:cstheme="minorHAnsi"/>
          <w:lang w:val="en-US"/>
        </w:rPr>
        <w:t xml:space="preserve">, a mechanism to coordinate communications and achieve communications synergies among a number of biodiversity and environmental </w:t>
      </w:r>
      <w:r w:rsidR="00C705CA">
        <w:rPr>
          <w:rFonts w:asciiTheme="minorHAnsi" w:hAnsiTheme="minorHAnsi" w:cstheme="minorHAnsi"/>
          <w:lang w:val="en-US"/>
        </w:rPr>
        <w:t xml:space="preserve">agreements and </w:t>
      </w:r>
      <w:r w:rsidR="00D96011" w:rsidRPr="00D96011">
        <w:rPr>
          <w:rFonts w:asciiTheme="minorHAnsi" w:hAnsiTheme="minorHAnsi" w:cstheme="minorHAnsi"/>
          <w:lang w:val="en-US"/>
        </w:rPr>
        <w:t>organizations. A key activity of the Flotilla is the ability for organizations to share their communications plans and resources allowing other organizations to support their efforts. The Flotilla has played an important role in broadly disseminating the Convention</w:t>
      </w:r>
      <w:r w:rsidR="002C7D32">
        <w:rPr>
          <w:rFonts w:asciiTheme="minorHAnsi" w:hAnsiTheme="minorHAnsi" w:cstheme="minorHAnsi"/>
          <w:lang w:val="en-US"/>
        </w:rPr>
        <w:t>’</w:t>
      </w:r>
      <w:r w:rsidR="00D96011" w:rsidRPr="00D96011">
        <w:rPr>
          <w:rFonts w:asciiTheme="minorHAnsi" w:hAnsiTheme="minorHAnsi" w:cstheme="minorHAnsi"/>
          <w:lang w:val="en-US"/>
        </w:rPr>
        <w:t>s 50th Anniversary campaign resources and messages and promoting this milestone year.</w:t>
      </w:r>
    </w:p>
    <w:p w14:paraId="256CC37C" w14:textId="77777777" w:rsidR="003B053D" w:rsidRPr="00360A0A" w:rsidRDefault="003B053D" w:rsidP="005972E9">
      <w:pPr>
        <w:rPr>
          <w:rFonts w:asciiTheme="minorHAnsi" w:hAnsiTheme="minorHAnsi" w:cstheme="minorHAnsi"/>
          <w:lang w:val="en-US"/>
        </w:rPr>
      </w:pPr>
    </w:p>
    <w:p w14:paraId="58943540" w14:textId="250A8D1E" w:rsidR="003B053D" w:rsidRPr="00360A0A" w:rsidRDefault="00FB6B66" w:rsidP="005972E9">
      <w:pPr>
        <w:rPr>
          <w:rFonts w:asciiTheme="minorHAnsi" w:hAnsiTheme="minorHAnsi" w:cstheme="minorHAnsi"/>
          <w:lang w:val="en-US"/>
        </w:rPr>
      </w:pPr>
      <w:r>
        <w:rPr>
          <w:rFonts w:asciiTheme="minorHAnsi" w:hAnsiTheme="minorHAnsi" w:cstheme="minorHAnsi"/>
          <w:lang w:val="en-US"/>
        </w:rPr>
        <w:lastRenderedPageBreak/>
        <w:t>60</w:t>
      </w:r>
      <w:r w:rsidR="004672C1" w:rsidRPr="00360A0A">
        <w:rPr>
          <w:rFonts w:asciiTheme="minorHAnsi" w:hAnsiTheme="minorHAnsi" w:cstheme="minorHAnsi"/>
          <w:lang w:val="en-US"/>
        </w:rPr>
        <w:t>.</w:t>
      </w:r>
      <w:r w:rsidR="004672C1" w:rsidRPr="00360A0A">
        <w:rPr>
          <w:rFonts w:asciiTheme="minorHAnsi" w:hAnsiTheme="minorHAnsi" w:cstheme="minorHAnsi"/>
          <w:lang w:val="en-US"/>
        </w:rPr>
        <w:tab/>
      </w:r>
      <w:r w:rsidR="00B63C90">
        <w:rPr>
          <w:rFonts w:asciiTheme="minorHAnsi" w:hAnsiTheme="minorHAnsi" w:cstheme="minorHAnsi"/>
          <w:lang w:val="en-US"/>
        </w:rPr>
        <w:t>K</w:t>
      </w:r>
      <w:r w:rsidR="00231F6E" w:rsidRPr="00360A0A">
        <w:rPr>
          <w:rFonts w:asciiTheme="minorHAnsi" w:hAnsiTheme="minorHAnsi" w:cstheme="minorHAnsi"/>
          <w:lang w:val="en-US"/>
        </w:rPr>
        <w:t>ey</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challenge</w:t>
      </w:r>
      <w:r w:rsidR="00B63C90">
        <w:rPr>
          <w:rFonts w:asciiTheme="minorHAnsi" w:hAnsiTheme="minorHAnsi" w:cstheme="minorHAnsi"/>
          <w:lang w:val="en-US"/>
        </w:rPr>
        <w:t>s</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in</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enhancing</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visibility</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31F6E" w:rsidRPr="00360A0A">
        <w:rPr>
          <w:rFonts w:asciiTheme="minorHAnsi" w:hAnsiTheme="minorHAnsi" w:cstheme="minorHAnsi"/>
          <w:lang w:val="en-US"/>
        </w:rPr>
        <w:t>Convention</w:t>
      </w:r>
      <w:r w:rsidR="00360A0A" w:rsidRPr="00360A0A">
        <w:rPr>
          <w:rFonts w:asciiTheme="minorHAnsi" w:hAnsiTheme="minorHAnsi" w:cstheme="minorHAnsi"/>
          <w:lang w:val="en-US"/>
        </w:rPr>
        <w:t xml:space="preserve"> </w:t>
      </w:r>
      <w:r w:rsidR="00B63C90">
        <w:rPr>
          <w:rFonts w:asciiTheme="minorHAnsi" w:hAnsiTheme="minorHAnsi" w:cstheme="minorHAnsi"/>
          <w:lang w:val="en-US"/>
        </w:rPr>
        <w:t xml:space="preserve">are </w:t>
      </w:r>
      <w:r w:rsidR="00231F6E"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limited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resources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capacity</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undertake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communication</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outreach</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activities.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Secretariat</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is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addressing</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this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challenge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by</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focusing</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its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efforts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on</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providing</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communications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tools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assets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Parties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organizations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use,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leveraging</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communications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for</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events</w:t>
      </w:r>
      <w:r w:rsidR="00360A0A" w:rsidRPr="00360A0A">
        <w:rPr>
          <w:rFonts w:asciiTheme="minorHAnsi" w:hAnsiTheme="minorHAnsi" w:cstheme="minorHAnsi"/>
          <w:lang w:val="en-US"/>
        </w:rPr>
        <w:t xml:space="preserve"> </w:t>
      </w:r>
      <w:r w:rsidR="00715917" w:rsidRPr="00360A0A">
        <w:rPr>
          <w:rFonts w:asciiTheme="minorHAnsi" w:hAnsiTheme="minorHAnsi" w:cstheme="minorHAnsi"/>
          <w:lang w:val="en-US"/>
        </w:rPr>
        <w:t>such</w:t>
      </w:r>
      <w:r w:rsidR="00360A0A" w:rsidRPr="00360A0A">
        <w:rPr>
          <w:rFonts w:asciiTheme="minorHAnsi" w:hAnsiTheme="minorHAnsi" w:cstheme="minorHAnsi"/>
          <w:lang w:val="en-US"/>
        </w:rPr>
        <w:t xml:space="preserve"> </w:t>
      </w:r>
      <w:r w:rsidR="00715917"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World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Day</w:t>
      </w:r>
      <w:r w:rsidR="00624FFD"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A86C22"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Wetland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City</w:t>
      </w:r>
      <w:r w:rsidR="00360A0A" w:rsidRPr="00360A0A">
        <w:rPr>
          <w:rFonts w:asciiTheme="minorHAnsi" w:hAnsiTheme="minorHAnsi" w:cstheme="minorHAnsi"/>
          <w:lang w:val="en-US"/>
        </w:rPr>
        <w:t xml:space="preserve"> </w:t>
      </w:r>
      <w:r w:rsidR="00782ED0" w:rsidRPr="00360A0A">
        <w:rPr>
          <w:rFonts w:asciiTheme="minorHAnsi" w:hAnsiTheme="minorHAnsi" w:cstheme="minorHAnsi"/>
          <w:lang w:val="en-US"/>
        </w:rPr>
        <w:t>Accreditation</w:t>
      </w:r>
      <w:r w:rsidR="00360A0A" w:rsidRPr="00360A0A">
        <w:rPr>
          <w:rFonts w:asciiTheme="minorHAnsi" w:hAnsiTheme="minorHAnsi" w:cstheme="minorHAnsi"/>
          <w:lang w:val="en-US"/>
        </w:rPr>
        <w:t xml:space="preserve"> </w:t>
      </w:r>
      <w:r w:rsidR="00A86C22" w:rsidRPr="00360A0A">
        <w:rPr>
          <w:rFonts w:asciiTheme="minorHAnsi" w:hAnsiTheme="minorHAnsi" w:cstheme="minorHAnsi"/>
          <w:lang w:val="en-US"/>
        </w:rPr>
        <w:t>scheme</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624FFD" w:rsidRPr="00360A0A">
        <w:rPr>
          <w:rFonts w:asciiTheme="minorHAnsi" w:hAnsiTheme="minorHAnsi" w:cstheme="minorHAnsi"/>
          <w:lang w:val="en-US"/>
        </w:rPr>
        <w:t>50th</w:t>
      </w:r>
      <w:r w:rsidR="00360A0A" w:rsidRPr="00360A0A">
        <w:rPr>
          <w:rFonts w:asciiTheme="minorHAnsi" w:hAnsiTheme="minorHAnsi" w:cstheme="minorHAnsi"/>
          <w:lang w:val="en-US"/>
        </w:rPr>
        <w:t xml:space="preserve"> </w:t>
      </w:r>
      <w:r w:rsidR="00CE1BD8">
        <w:rPr>
          <w:rFonts w:asciiTheme="minorHAnsi" w:hAnsiTheme="minorHAnsi" w:cstheme="minorHAnsi"/>
          <w:lang w:val="en-US"/>
        </w:rPr>
        <w:t>A</w:t>
      </w:r>
      <w:r w:rsidR="00624FFD" w:rsidRPr="00360A0A">
        <w:rPr>
          <w:rFonts w:asciiTheme="minorHAnsi" w:hAnsiTheme="minorHAnsi" w:cstheme="minorHAnsi"/>
          <w:lang w:val="en-US"/>
        </w:rPr>
        <w:t>nniversary</w:t>
      </w:r>
      <w:r w:rsidR="00782ED0" w:rsidRPr="00360A0A">
        <w:rPr>
          <w:rFonts w:asciiTheme="minorHAnsi" w:hAnsiTheme="minorHAnsi" w:cstheme="minorHAnsi"/>
          <w:lang w:val="en-US"/>
        </w:rPr>
        <w:t>,</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pursuing</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strategic</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engagement</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with</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IOPs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other</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organizations</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such</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as</w:t>
      </w:r>
      <w:r w:rsidR="00360A0A" w:rsidRPr="00360A0A">
        <w:rPr>
          <w:rFonts w:asciiTheme="minorHAnsi" w:hAnsiTheme="minorHAnsi" w:cstheme="minorHAnsi"/>
          <w:lang w:val="en-US"/>
        </w:rPr>
        <w:t xml:space="preserve"> </w:t>
      </w:r>
      <w:r w:rsidR="000E7A80"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2C7D32">
        <w:rPr>
          <w:rFonts w:asciiTheme="minorHAnsi" w:hAnsiTheme="minorHAnsi" w:cstheme="minorHAnsi"/>
          <w:lang w:val="en-US"/>
        </w:rPr>
        <w:t>F</w:t>
      </w:r>
      <w:r w:rsidR="000E7A80" w:rsidRPr="00360A0A">
        <w:rPr>
          <w:rFonts w:asciiTheme="minorHAnsi" w:hAnsiTheme="minorHAnsi" w:cstheme="minorHAnsi"/>
          <w:lang w:val="en-US"/>
        </w:rPr>
        <w:t>lotilla</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that</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have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ability</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to</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raise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visibility</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of</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wetlands</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and</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the</w:t>
      </w:r>
      <w:r w:rsidR="00360A0A" w:rsidRPr="00360A0A">
        <w:rPr>
          <w:rFonts w:asciiTheme="minorHAnsi" w:hAnsiTheme="minorHAnsi" w:cstheme="minorHAnsi"/>
          <w:lang w:val="en-US"/>
        </w:rPr>
        <w:t xml:space="preserve"> </w:t>
      </w:r>
      <w:r w:rsidR="00861AE9" w:rsidRPr="00360A0A">
        <w:rPr>
          <w:rFonts w:asciiTheme="minorHAnsi" w:hAnsiTheme="minorHAnsi" w:cstheme="minorHAnsi"/>
          <w:lang w:val="en-US"/>
        </w:rPr>
        <w:t>Convention.</w:t>
      </w:r>
      <w:r w:rsidR="00C705CA">
        <w:rPr>
          <w:rFonts w:asciiTheme="minorHAnsi" w:hAnsiTheme="minorHAnsi" w:cstheme="minorHAnsi"/>
          <w:lang w:val="en-US"/>
        </w:rPr>
        <w:t xml:space="preserve"> At the same time, </w:t>
      </w:r>
      <w:r w:rsidR="00044301">
        <w:rPr>
          <w:rFonts w:asciiTheme="minorHAnsi" w:hAnsiTheme="minorHAnsi" w:cstheme="minorHAnsi"/>
          <w:lang w:val="en-US"/>
        </w:rPr>
        <w:t>the Secretariat continues to build</w:t>
      </w:r>
      <w:r w:rsidR="00C705CA">
        <w:rPr>
          <w:rFonts w:asciiTheme="minorHAnsi" w:hAnsiTheme="minorHAnsi" w:cstheme="minorHAnsi"/>
          <w:lang w:val="en-US"/>
        </w:rPr>
        <w:t xml:space="preserve"> on the increased outreach enabled </w:t>
      </w:r>
      <w:r w:rsidR="00044301">
        <w:rPr>
          <w:rFonts w:asciiTheme="minorHAnsi" w:hAnsiTheme="minorHAnsi" w:cstheme="minorHAnsi"/>
          <w:lang w:val="en-US"/>
        </w:rPr>
        <w:t>through social media</w:t>
      </w:r>
      <w:r w:rsidR="00065AF6">
        <w:rPr>
          <w:rFonts w:asciiTheme="minorHAnsi" w:hAnsiTheme="minorHAnsi" w:cstheme="minorHAnsi"/>
          <w:lang w:val="en-US"/>
        </w:rPr>
        <w:t xml:space="preserve"> and online events. </w:t>
      </w:r>
    </w:p>
    <w:p w14:paraId="530BC31A" w14:textId="45F5FCAC" w:rsidR="00D96011" w:rsidRDefault="00D96011" w:rsidP="00623F05">
      <w:pPr>
        <w:ind w:left="0" w:firstLine="0"/>
        <w:rPr>
          <w:rFonts w:asciiTheme="minorHAnsi" w:hAnsiTheme="minorHAnsi" w:cstheme="minorHAnsi"/>
        </w:rPr>
      </w:pPr>
    </w:p>
    <w:p w14:paraId="38564550" w14:textId="230D1790" w:rsidR="00516F66" w:rsidRPr="002D6DC1" w:rsidRDefault="00516F66" w:rsidP="00623F05">
      <w:pPr>
        <w:ind w:left="0" w:firstLine="0"/>
        <w:rPr>
          <w:rFonts w:cstheme="minorHAnsi"/>
          <w:b/>
          <w:bCs/>
        </w:rPr>
      </w:pPr>
      <w:r w:rsidRPr="002D6DC1">
        <w:rPr>
          <w:rFonts w:cstheme="minorHAnsi"/>
          <w:b/>
          <w:bCs/>
        </w:rPr>
        <w:t>Strengthening the Secretariat</w:t>
      </w:r>
      <w:r w:rsidR="002C7D32">
        <w:rPr>
          <w:rFonts w:cstheme="minorHAnsi"/>
          <w:b/>
          <w:bCs/>
        </w:rPr>
        <w:t>’</w:t>
      </w:r>
      <w:r w:rsidRPr="002D6DC1">
        <w:rPr>
          <w:rFonts w:cstheme="minorHAnsi"/>
          <w:b/>
          <w:bCs/>
        </w:rPr>
        <w:t>s efficiency and effectiveness</w:t>
      </w:r>
    </w:p>
    <w:p w14:paraId="60ADD2EC" w14:textId="77777777" w:rsidR="00516F66" w:rsidRPr="002D6DC1" w:rsidRDefault="00516F66" w:rsidP="00623F05">
      <w:pPr>
        <w:ind w:left="0" w:firstLine="0"/>
        <w:rPr>
          <w:rFonts w:cstheme="minorHAnsi"/>
        </w:rPr>
      </w:pPr>
    </w:p>
    <w:p w14:paraId="07817ECE" w14:textId="3A6A06AB" w:rsidR="00516F66" w:rsidRPr="002D6DC1" w:rsidRDefault="00FB6B66" w:rsidP="005972E9">
      <w:pPr>
        <w:ind w:left="426" w:hanging="426"/>
        <w:rPr>
          <w:rFonts w:cstheme="minorHAnsi"/>
          <w:lang w:val="en-US"/>
        </w:rPr>
      </w:pPr>
      <w:r>
        <w:rPr>
          <w:rFonts w:cstheme="minorHAnsi"/>
          <w:lang w:val="en-US"/>
        </w:rPr>
        <w:t>61</w:t>
      </w:r>
      <w:r w:rsidR="00516F66" w:rsidRPr="002D6DC1">
        <w:rPr>
          <w:rFonts w:cstheme="minorHAnsi"/>
          <w:lang w:val="en-US"/>
        </w:rPr>
        <w:t>.</w:t>
      </w:r>
      <w:r w:rsidR="00516F66" w:rsidRPr="002D6DC1">
        <w:rPr>
          <w:rFonts w:cstheme="minorHAnsi"/>
          <w:lang w:val="en-US"/>
        </w:rPr>
        <w:tab/>
        <w:t xml:space="preserve">The Secretariat continues to work towards strengthening its guiding objective to “organize to deliver” on the Strategic Plan of the Convention and the mandate of the Contracting Parties, and to use the limited resources of the Convention and the capacities of the Secretariat in the most efficient way. As mentioned above, the Secretariat </w:t>
      </w:r>
      <w:r w:rsidR="004E4A2D">
        <w:rPr>
          <w:rFonts w:cstheme="minorHAnsi"/>
          <w:lang w:val="en-US"/>
        </w:rPr>
        <w:t xml:space="preserve">has </w:t>
      </w:r>
      <w:r w:rsidR="00516F66" w:rsidRPr="002D6DC1">
        <w:rPr>
          <w:rFonts w:cstheme="minorHAnsi"/>
          <w:lang w:val="en-US"/>
        </w:rPr>
        <w:t xml:space="preserve">had to adapt its way of delivering its work in the current context. </w:t>
      </w:r>
    </w:p>
    <w:p w14:paraId="0DEA5ADD" w14:textId="77777777" w:rsidR="00516F66" w:rsidRPr="002D6DC1" w:rsidRDefault="00516F66" w:rsidP="005972E9">
      <w:pPr>
        <w:ind w:left="426" w:hanging="426"/>
        <w:rPr>
          <w:rFonts w:cstheme="minorHAnsi"/>
          <w:lang w:val="en-US"/>
        </w:rPr>
      </w:pPr>
    </w:p>
    <w:p w14:paraId="72AC8256" w14:textId="65625A6E" w:rsidR="00516F66" w:rsidRPr="002D6DC1" w:rsidRDefault="00FB6B66" w:rsidP="005972E9">
      <w:pPr>
        <w:ind w:left="426" w:hanging="426"/>
        <w:rPr>
          <w:rFonts w:cstheme="minorHAnsi"/>
          <w:lang w:val="en-US"/>
        </w:rPr>
      </w:pPr>
      <w:r>
        <w:rPr>
          <w:rFonts w:cstheme="minorHAnsi"/>
        </w:rPr>
        <w:t>62</w:t>
      </w:r>
      <w:r w:rsidR="004A0CC9">
        <w:rPr>
          <w:rFonts w:cstheme="minorHAnsi"/>
        </w:rPr>
        <w:t>.</w:t>
      </w:r>
      <w:r w:rsidR="004A0CC9">
        <w:rPr>
          <w:rFonts w:cstheme="minorHAnsi"/>
        </w:rPr>
        <w:tab/>
      </w:r>
      <w:r w:rsidR="00516F66" w:rsidRPr="002D6DC1">
        <w:rPr>
          <w:rFonts w:cstheme="minorHAnsi"/>
        </w:rPr>
        <w:t xml:space="preserve">Since the first signs of the pandemic, actions were taken to enable staff to quickly and effectively work from home. Previous efforts to strengthen IT infrastructure and train staff on the utilization of online tools allowed the Secretariat to work in a coordinated and effective manner despite working remotely. The Secretariat embraced new technologies to support the work of Contracting Parties including for their processes of decision-making. Some highlights are provided below. </w:t>
      </w:r>
    </w:p>
    <w:p w14:paraId="5F1103F8" w14:textId="77777777" w:rsidR="00516F66" w:rsidRPr="002D6DC1" w:rsidRDefault="00516F66" w:rsidP="005972E9">
      <w:pPr>
        <w:ind w:left="426" w:hanging="426"/>
        <w:rPr>
          <w:rFonts w:cstheme="minorHAnsi"/>
          <w:lang w:val="en-US"/>
        </w:rPr>
      </w:pPr>
    </w:p>
    <w:p w14:paraId="2AD21C22" w14:textId="1A12DAE4" w:rsidR="00516F66" w:rsidRPr="002D6DC1" w:rsidRDefault="00FB6B66" w:rsidP="005972E9">
      <w:pPr>
        <w:ind w:left="426" w:hanging="426"/>
        <w:rPr>
          <w:rFonts w:cstheme="minorHAnsi"/>
          <w:lang w:val="en-US"/>
        </w:rPr>
      </w:pPr>
      <w:r>
        <w:rPr>
          <w:rFonts w:cstheme="minorHAnsi"/>
          <w:lang w:val="en-US"/>
        </w:rPr>
        <w:t>63</w:t>
      </w:r>
      <w:r w:rsidR="00516F66" w:rsidRPr="002D6DC1">
        <w:rPr>
          <w:rFonts w:cstheme="minorHAnsi"/>
          <w:lang w:val="en-US"/>
        </w:rPr>
        <w:t>.</w:t>
      </w:r>
      <w:r w:rsidR="007E2868">
        <w:rPr>
          <w:rFonts w:cstheme="minorHAnsi"/>
          <w:lang w:val="en-US"/>
        </w:rPr>
        <w:tab/>
      </w:r>
      <w:r w:rsidR="00516F66" w:rsidRPr="002D6DC1">
        <w:rPr>
          <w:rFonts w:cstheme="minorHAnsi"/>
          <w:lang w:val="en-US"/>
        </w:rPr>
        <w:t xml:space="preserve">The management of finances </w:t>
      </w:r>
      <w:r w:rsidR="00516F66">
        <w:rPr>
          <w:rFonts w:cstheme="minorHAnsi"/>
          <w:lang w:val="en-US"/>
        </w:rPr>
        <w:t xml:space="preserve">and administration </w:t>
      </w:r>
      <w:r w:rsidR="00516F66" w:rsidRPr="002D6DC1">
        <w:rPr>
          <w:rFonts w:cstheme="minorHAnsi"/>
          <w:lang w:val="en-US"/>
        </w:rPr>
        <w:t>continues</w:t>
      </w:r>
      <w:r w:rsidR="00516F66">
        <w:rPr>
          <w:rFonts w:cstheme="minorHAnsi"/>
          <w:lang w:val="en-US"/>
        </w:rPr>
        <w:t xml:space="preserve"> to be strengthened and adapted</w:t>
      </w:r>
      <w:r w:rsidR="00516F66" w:rsidRPr="002D6DC1">
        <w:rPr>
          <w:rFonts w:cstheme="minorHAnsi"/>
          <w:lang w:val="en-US"/>
        </w:rPr>
        <w:t xml:space="preserve"> to new ways of working. </w:t>
      </w:r>
    </w:p>
    <w:p w14:paraId="598E126D" w14:textId="77777777" w:rsidR="00516F66" w:rsidRPr="002D6DC1" w:rsidRDefault="00516F66" w:rsidP="005972E9">
      <w:pPr>
        <w:ind w:left="426" w:hanging="426"/>
        <w:rPr>
          <w:rFonts w:cstheme="minorHAnsi"/>
          <w:lang w:val="en-US"/>
        </w:rPr>
      </w:pPr>
    </w:p>
    <w:p w14:paraId="3A65C3C7" w14:textId="5E66B42A" w:rsidR="00516F66" w:rsidRPr="002D6DC1" w:rsidRDefault="007E2868" w:rsidP="007E2868">
      <w:pPr>
        <w:ind w:left="851" w:hanging="426"/>
        <w:rPr>
          <w:rFonts w:cstheme="minorHAnsi"/>
          <w:lang w:val="en-US"/>
        </w:rPr>
      </w:pPr>
      <w:r>
        <w:rPr>
          <w:rFonts w:cstheme="minorHAnsi"/>
          <w:lang w:val="en-US"/>
        </w:rPr>
        <w:t>i.</w:t>
      </w:r>
      <w:r>
        <w:rPr>
          <w:rFonts w:cstheme="minorHAnsi"/>
          <w:lang w:val="en-US"/>
        </w:rPr>
        <w:tab/>
      </w:r>
      <w:r w:rsidR="00516F66" w:rsidRPr="002D6DC1">
        <w:rPr>
          <w:rFonts w:cstheme="minorHAnsi"/>
          <w:lang w:val="en-US"/>
        </w:rPr>
        <w:t xml:space="preserve">The financial stability of the Secretariat is solid. In 2020 there was an increase in cash from CHF 3,827K in 2019 to CHF 5,634K in 2020. There </w:t>
      </w:r>
      <w:r w:rsidR="004E4A2D">
        <w:rPr>
          <w:rFonts w:cstheme="minorHAnsi"/>
          <w:lang w:val="en-US"/>
        </w:rPr>
        <w:t>was</w:t>
      </w:r>
      <w:r w:rsidR="00516F66" w:rsidRPr="002D6DC1">
        <w:rPr>
          <w:rFonts w:cstheme="minorHAnsi"/>
          <w:lang w:val="en-US"/>
        </w:rPr>
        <w:t xml:space="preserve"> a decrease in Contracting Party net receivables from CHF 2,364K in 2019 to CHF 680K in 2020.</w:t>
      </w:r>
      <w:r w:rsidR="00013A89">
        <w:rPr>
          <w:rFonts w:cstheme="minorHAnsi"/>
          <w:lang w:val="en-US"/>
        </w:rPr>
        <w:t xml:space="preserve"> </w:t>
      </w:r>
      <w:r w:rsidR="00516F66" w:rsidRPr="002D6DC1">
        <w:rPr>
          <w:rFonts w:cstheme="minorHAnsi"/>
          <w:lang w:val="en-US"/>
        </w:rPr>
        <w:t>Furthermore, amounts owned to IUCN decreased from CHF 367K in 2019 to CHF 61K in 2020 and other payables decreased from CHF 749K to CHF 655K due to closer monitoring of payments to IUCN and vendors.</w:t>
      </w:r>
    </w:p>
    <w:p w14:paraId="6D147D83" w14:textId="77777777" w:rsidR="00516F66" w:rsidRPr="002D6DC1" w:rsidRDefault="00516F66" w:rsidP="007E2868">
      <w:pPr>
        <w:ind w:left="851" w:hanging="426"/>
        <w:rPr>
          <w:rFonts w:cstheme="minorHAnsi"/>
          <w:lang w:val="en-US"/>
        </w:rPr>
      </w:pPr>
    </w:p>
    <w:p w14:paraId="461FEAB9" w14:textId="076A98A8" w:rsidR="00516F66" w:rsidRPr="002D6DC1" w:rsidRDefault="007E2868" w:rsidP="007E2868">
      <w:pPr>
        <w:ind w:left="851" w:hanging="426"/>
        <w:rPr>
          <w:rFonts w:cstheme="minorHAnsi"/>
          <w:lang w:val="en-US"/>
        </w:rPr>
      </w:pPr>
      <w:r>
        <w:rPr>
          <w:rFonts w:cstheme="minorHAnsi"/>
          <w:lang w:val="en-US"/>
        </w:rPr>
        <w:t>ii.</w:t>
      </w:r>
      <w:r w:rsidR="00516F66">
        <w:rPr>
          <w:rFonts w:cstheme="minorHAnsi"/>
          <w:lang w:val="en-US"/>
        </w:rPr>
        <w:tab/>
      </w:r>
      <w:r w:rsidR="00516F66" w:rsidRPr="002D6DC1">
        <w:rPr>
          <w:rFonts w:cstheme="minorHAnsi"/>
          <w:lang w:val="en-US"/>
        </w:rPr>
        <w:t xml:space="preserve">Despite the challenging conditions of working remotely, the Secretariat successfully delivered all requested documentation and information for the first remote financial audit. The report of external auditors noted that since April 2020 there were no new financial issues raised by auditors. </w:t>
      </w:r>
    </w:p>
    <w:p w14:paraId="517C96D8" w14:textId="77777777" w:rsidR="00516F66" w:rsidRPr="002D6DC1" w:rsidRDefault="00516F66" w:rsidP="007E2868">
      <w:pPr>
        <w:ind w:left="851" w:hanging="426"/>
        <w:rPr>
          <w:rFonts w:cstheme="minorHAnsi"/>
          <w:lang w:val="en-US"/>
        </w:rPr>
      </w:pPr>
    </w:p>
    <w:p w14:paraId="33B3BBEE" w14:textId="3C5A43CA" w:rsidR="00516F66" w:rsidRPr="002D6DC1" w:rsidRDefault="007E2868" w:rsidP="007E2868">
      <w:pPr>
        <w:ind w:left="851" w:hanging="426"/>
        <w:rPr>
          <w:rFonts w:cstheme="minorHAnsi"/>
          <w:lang w:val="en-US"/>
        </w:rPr>
      </w:pPr>
      <w:r>
        <w:rPr>
          <w:rFonts w:cstheme="minorHAnsi"/>
          <w:lang w:val="en-US"/>
        </w:rPr>
        <w:t>iii.</w:t>
      </w:r>
      <w:r>
        <w:rPr>
          <w:rFonts w:cstheme="minorHAnsi"/>
          <w:lang w:val="en-US"/>
        </w:rPr>
        <w:tab/>
      </w:r>
      <w:r w:rsidR="00516F66" w:rsidRPr="002D6DC1">
        <w:rPr>
          <w:rFonts w:cstheme="minorHAnsi"/>
          <w:lang w:val="en-US"/>
        </w:rPr>
        <w:t xml:space="preserve">Technologies and business practices continue to be developed to enhance the efficiency and effectiveness in the work of the Secretariat, such as the use of the CRM and Basecamp, with implications on reducing the time spent by staff on administrative tasks (e.g. correspondence, registration, meeting organization), </w:t>
      </w:r>
      <w:r w:rsidR="004E4A2D">
        <w:rPr>
          <w:rFonts w:cstheme="minorHAnsi"/>
          <w:lang w:val="en-US"/>
        </w:rPr>
        <w:t xml:space="preserve">use of </w:t>
      </w:r>
      <w:r w:rsidR="00516F66" w:rsidRPr="002D6DC1">
        <w:rPr>
          <w:rFonts w:cstheme="minorHAnsi"/>
          <w:lang w:val="en-US"/>
        </w:rPr>
        <w:t>digital rather than paper documents, on-line signatures and electronic submission of documents and contracts, among other</w:t>
      </w:r>
      <w:r w:rsidR="004E4A2D">
        <w:rPr>
          <w:rFonts w:cstheme="minorHAnsi"/>
          <w:lang w:val="en-US"/>
        </w:rPr>
        <w:t>s</w:t>
      </w:r>
      <w:r w:rsidR="00516F66" w:rsidRPr="002D6DC1">
        <w:rPr>
          <w:rFonts w:cstheme="minorHAnsi"/>
          <w:lang w:val="en-US"/>
        </w:rPr>
        <w:t>.</w:t>
      </w:r>
    </w:p>
    <w:p w14:paraId="113D5CAD" w14:textId="77777777" w:rsidR="00516F66" w:rsidRPr="002D6DC1" w:rsidRDefault="00516F66" w:rsidP="005972E9">
      <w:pPr>
        <w:ind w:left="426" w:hanging="426"/>
        <w:rPr>
          <w:rFonts w:cstheme="minorHAnsi"/>
          <w:lang w:val="en-US"/>
        </w:rPr>
      </w:pPr>
    </w:p>
    <w:p w14:paraId="7A1909B3" w14:textId="41006B3B" w:rsidR="00516F66" w:rsidRPr="002D6DC1" w:rsidRDefault="00FB6B66" w:rsidP="005972E9">
      <w:pPr>
        <w:tabs>
          <w:tab w:val="left" w:pos="1572"/>
        </w:tabs>
        <w:ind w:left="426" w:hanging="426"/>
        <w:rPr>
          <w:rFonts w:cstheme="minorHAnsi"/>
          <w:lang w:val="en-US"/>
        </w:rPr>
      </w:pPr>
      <w:r>
        <w:rPr>
          <w:rFonts w:cstheme="minorHAnsi"/>
          <w:lang w:val="en-US"/>
        </w:rPr>
        <w:t>64</w:t>
      </w:r>
      <w:r w:rsidR="00516F66" w:rsidRPr="002D6DC1">
        <w:rPr>
          <w:rFonts w:cstheme="minorHAnsi"/>
          <w:lang w:val="en-US"/>
        </w:rPr>
        <w:t>.</w:t>
      </w:r>
      <w:r w:rsidR="00516F66" w:rsidRPr="002D6DC1">
        <w:rPr>
          <w:rFonts w:cstheme="minorHAnsi"/>
          <w:lang w:val="en-US"/>
        </w:rPr>
        <w:tab/>
        <w:t xml:space="preserve">Work continued in ensuring that the capacity of staff meets the requirements of the key functions of the Secretariat as identified in the triennial and annual work plans approved by the Standing Committee. Talent management policies and procedures of IUCN were implemented, including on appraisals and promotions. Adjustment of job descriptions, grades, compensation </w:t>
      </w:r>
      <w:r w:rsidR="00516F66" w:rsidRPr="002D6DC1">
        <w:rPr>
          <w:rFonts w:cstheme="minorHAnsi"/>
          <w:lang w:val="en-US"/>
        </w:rPr>
        <w:lastRenderedPageBreak/>
        <w:t>and benefits of current and vacant positions were conducted with IUCN to enhance alignment of competencies and functional requirements, as well as equity within the Secretariat, with IUCN and the market. A main highlight in this area is the conversion of the Internship Programme into a Junior Professional Programme whereby job descriptions and hiring conditions were revised and enhanced in line with IUCN.</w:t>
      </w:r>
      <w:r w:rsidR="00013A89">
        <w:rPr>
          <w:rFonts w:cstheme="minorHAnsi"/>
          <w:lang w:val="en-US"/>
        </w:rPr>
        <w:t xml:space="preserve"> </w:t>
      </w:r>
    </w:p>
    <w:p w14:paraId="2D96025A" w14:textId="77777777" w:rsidR="00516F66" w:rsidRPr="002D6DC1" w:rsidRDefault="00516F66" w:rsidP="005972E9">
      <w:pPr>
        <w:tabs>
          <w:tab w:val="left" w:pos="1572"/>
        </w:tabs>
        <w:ind w:left="426" w:hanging="426"/>
        <w:rPr>
          <w:rFonts w:cstheme="minorHAnsi"/>
          <w:lang w:val="en-US"/>
        </w:rPr>
      </w:pPr>
    </w:p>
    <w:p w14:paraId="6EE506F1" w14:textId="5946C082" w:rsidR="00516F66" w:rsidRPr="002D6DC1" w:rsidRDefault="00FB6B66" w:rsidP="008C4298">
      <w:pPr>
        <w:tabs>
          <w:tab w:val="left" w:pos="1572"/>
        </w:tabs>
        <w:ind w:left="426" w:hanging="426"/>
        <w:rPr>
          <w:rFonts w:cstheme="minorHAnsi"/>
          <w:lang w:val="en-US"/>
        </w:rPr>
      </w:pPr>
      <w:r>
        <w:rPr>
          <w:rFonts w:cstheme="minorHAnsi"/>
          <w:lang w:val="en-US"/>
        </w:rPr>
        <w:t>65</w:t>
      </w:r>
      <w:r w:rsidR="007E2868">
        <w:rPr>
          <w:rFonts w:cstheme="minorHAnsi"/>
          <w:lang w:val="en-US"/>
        </w:rPr>
        <w:t>.</w:t>
      </w:r>
      <w:r w:rsidR="00516F66" w:rsidRPr="002D6DC1">
        <w:rPr>
          <w:rFonts w:cstheme="minorHAnsi"/>
          <w:lang w:val="en-US"/>
        </w:rPr>
        <w:tab/>
        <w:t xml:space="preserve">During the reporting period three competitive recruitment processes were completed with the </w:t>
      </w:r>
      <w:r w:rsidR="004E4A2D" w:rsidRPr="002D6DC1">
        <w:rPr>
          <w:rFonts w:cstheme="minorHAnsi"/>
          <w:lang w:val="en-US"/>
        </w:rPr>
        <w:t xml:space="preserve">positions </w:t>
      </w:r>
      <w:r w:rsidR="004E4A2D">
        <w:rPr>
          <w:rFonts w:cstheme="minorHAnsi"/>
          <w:lang w:val="en-US"/>
        </w:rPr>
        <w:t xml:space="preserve">of </w:t>
      </w:r>
      <w:r w:rsidR="00516F66" w:rsidRPr="002D6DC1">
        <w:rPr>
          <w:rFonts w:cstheme="minorHAnsi"/>
          <w:lang w:val="en-US"/>
        </w:rPr>
        <w:t>Director</w:t>
      </w:r>
      <w:r w:rsidR="004E4A2D">
        <w:rPr>
          <w:rFonts w:cstheme="minorHAnsi"/>
          <w:lang w:val="en-US"/>
        </w:rPr>
        <w:t xml:space="preserve">, Science and Policy, </w:t>
      </w:r>
      <w:r w:rsidR="00516F66" w:rsidRPr="002D6DC1">
        <w:rPr>
          <w:rFonts w:cstheme="minorHAnsi"/>
          <w:lang w:val="en-US"/>
        </w:rPr>
        <w:t>Senior Advisor for Africa</w:t>
      </w:r>
      <w:r w:rsidR="004E4A2D">
        <w:rPr>
          <w:rFonts w:cstheme="minorHAnsi"/>
          <w:lang w:val="en-US"/>
        </w:rPr>
        <w:t>,</w:t>
      </w:r>
      <w:r w:rsidR="00516F66" w:rsidRPr="002D6DC1">
        <w:rPr>
          <w:rFonts w:cstheme="minorHAnsi"/>
          <w:lang w:val="en-US"/>
        </w:rPr>
        <w:t xml:space="preserve"> and Senior Advisor for Asia and Oceania now filled</w:t>
      </w:r>
      <w:r w:rsidR="004E4A2D">
        <w:rPr>
          <w:rFonts w:cstheme="minorHAnsi"/>
          <w:lang w:val="en-US"/>
        </w:rPr>
        <w:t>.</w:t>
      </w:r>
    </w:p>
    <w:p w14:paraId="634839FE" w14:textId="77777777" w:rsidR="00516F66" w:rsidRPr="002D6DC1" w:rsidRDefault="00516F66" w:rsidP="008C4298">
      <w:pPr>
        <w:tabs>
          <w:tab w:val="left" w:pos="1572"/>
        </w:tabs>
        <w:ind w:left="426" w:hanging="426"/>
        <w:rPr>
          <w:rFonts w:cstheme="minorHAnsi"/>
          <w:lang w:val="en-US"/>
        </w:rPr>
      </w:pPr>
    </w:p>
    <w:p w14:paraId="64E5BB95" w14:textId="1F624B6F" w:rsidR="00516F66" w:rsidRPr="002D6DC1" w:rsidRDefault="00FB6B66" w:rsidP="008C4298">
      <w:pPr>
        <w:tabs>
          <w:tab w:val="left" w:pos="1572"/>
        </w:tabs>
        <w:ind w:left="426" w:hanging="426"/>
        <w:rPr>
          <w:rFonts w:cstheme="minorHAnsi"/>
          <w:lang w:val="en-US"/>
        </w:rPr>
      </w:pPr>
      <w:r>
        <w:rPr>
          <w:rFonts w:cstheme="minorHAnsi"/>
          <w:lang w:val="en-US"/>
        </w:rPr>
        <w:t>66</w:t>
      </w:r>
      <w:r w:rsidR="007E2868">
        <w:rPr>
          <w:rFonts w:cstheme="minorHAnsi"/>
          <w:lang w:val="en-US"/>
        </w:rPr>
        <w:t>.</w:t>
      </w:r>
      <w:r w:rsidR="00516F66" w:rsidRPr="002D6DC1">
        <w:rPr>
          <w:rFonts w:cstheme="minorHAnsi"/>
          <w:lang w:val="en-US"/>
        </w:rPr>
        <w:tab/>
        <w:t>During the process of recruitment for vacant posts, efforts are being made to ensure that competencies align with the Secretariat</w:t>
      </w:r>
      <w:r w:rsidR="004E4A2D">
        <w:rPr>
          <w:rFonts w:cstheme="minorHAnsi"/>
          <w:lang w:val="en-US"/>
        </w:rPr>
        <w:t>’</w:t>
      </w:r>
      <w:r w:rsidR="00516F66" w:rsidRPr="002D6DC1">
        <w:rPr>
          <w:rFonts w:cstheme="minorHAnsi"/>
          <w:lang w:val="en-US"/>
        </w:rPr>
        <w:t xml:space="preserve">s functional requirements and that regional and gender diversity is achieved to the extent possible. Currently, 52% of Secretariat staff are women. </w:t>
      </w:r>
    </w:p>
    <w:p w14:paraId="5C5A3C10" w14:textId="77777777" w:rsidR="00516F66" w:rsidRPr="002D6DC1" w:rsidRDefault="00516F66" w:rsidP="008C4298">
      <w:pPr>
        <w:tabs>
          <w:tab w:val="left" w:pos="1572"/>
        </w:tabs>
        <w:ind w:left="426" w:hanging="426"/>
        <w:rPr>
          <w:rFonts w:cstheme="minorHAnsi"/>
          <w:lang w:val="en-US"/>
        </w:rPr>
      </w:pPr>
    </w:p>
    <w:p w14:paraId="0CBF1219" w14:textId="796A0314" w:rsidR="00516F66" w:rsidRPr="002D6DC1" w:rsidRDefault="00FB6B66" w:rsidP="008C4298">
      <w:pPr>
        <w:tabs>
          <w:tab w:val="left" w:pos="1572"/>
        </w:tabs>
        <w:ind w:left="426" w:hanging="426"/>
        <w:rPr>
          <w:rFonts w:cstheme="minorHAnsi"/>
          <w:lang w:val="en-US"/>
        </w:rPr>
      </w:pPr>
      <w:r>
        <w:rPr>
          <w:rFonts w:cstheme="minorHAnsi"/>
          <w:lang w:val="en-US"/>
        </w:rPr>
        <w:t>67</w:t>
      </w:r>
      <w:r w:rsidR="007E2868">
        <w:rPr>
          <w:rFonts w:cstheme="minorHAnsi"/>
          <w:lang w:val="en-US"/>
        </w:rPr>
        <w:t>.</w:t>
      </w:r>
      <w:r w:rsidR="00516F66" w:rsidRPr="002D6DC1">
        <w:rPr>
          <w:rFonts w:cstheme="minorHAnsi"/>
          <w:lang w:val="en-US"/>
        </w:rPr>
        <w:tab/>
        <w:t>Capacity building of staff continued in 2020, in particular through the roll</w:t>
      </w:r>
      <w:r w:rsidR="004E4A2D">
        <w:rPr>
          <w:rFonts w:cstheme="minorHAnsi"/>
          <w:lang w:val="en-US"/>
        </w:rPr>
        <w:t>-</w:t>
      </w:r>
      <w:r w:rsidR="00516F66" w:rsidRPr="002D6DC1">
        <w:rPr>
          <w:rFonts w:cstheme="minorHAnsi"/>
          <w:lang w:val="en-US"/>
        </w:rPr>
        <w:t xml:space="preserve">out of the following activities: individual sessions with a professional coach to identify personality, communication and work styles followed by a </w:t>
      </w:r>
      <w:r w:rsidR="004E4A2D">
        <w:rPr>
          <w:rFonts w:cstheme="minorHAnsi"/>
          <w:lang w:val="en-US"/>
        </w:rPr>
        <w:t>two</w:t>
      </w:r>
      <w:r w:rsidR="00516F66" w:rsidRPr="002D6DC1">
        <w:rPr>
          <w:rFonts w:cstheme="minorHAnsi"/>
          <w:lang w:val="en-US"/>
        </w:rPr>
        <w:t xml:space="preserve">-day workshop focusing on individual strengths and team collaboration. A </w:t>
      </w:r>
      <w:r w:rsidR="004E4A2D">
        <w:rPr>
          <w:rFonts w:cstheme="minorHAnsi"/>
          <w:lang w:val="en-US"/>
        </w:rPr>
        <w:t>l</w:t>
      </w:r>
      <w:r w:rsidR="00516F66" w:rsidRPr="002D6DC1">
        <w:rPr>
          <w:rFonts w:cstheme="minorHAnsi"/>
          <w:lang w:val="en-US"/>
        </w:rPr>
        <w:t xml:space="preserve">eadership development training </w:t>
      </w:r>
      <w:r w:rsidR="004E4A2D">
        <w:rPr>
          <w:rFonts w:cstheme="minorHAnsi"/>
          <w:lang w:val="en-US"/>
        </w:rPr>
        <w:t xml:space="preserve">course </w:t>
      </w:r>
      <w:r w:rsidR="00516F66" w:rsidRPr="002D6DC1">
        <w:rPr>
          <w:rFonts w:cstheme="minorHAnsi"/>
          <w:lang w:val="en-US"/>
        </w:rPr>
        <w:t>for the Senior M</w:t>
      </w:r>
      <w:r w:rsidR="004E4A2D">
        <w:rPr>
          <w:rFonts w:cstheme="minorHAnsi"/>
          <w:lang w:val="en-US"/>
        </w:rPr>
        <w:t>anagement T</w:t>
      </w:r>
      <w:r w:rsidR="00516F66" w:rsidRPr="002D6DC1">
        <w:rPr>
          <w:rFonts w:cstheme="minorHAnsi"/>
          <w:lang w:val="en-US"/>
        </w:rPr>
        <w:t xml:space="preserve">eam is scheduled for </w:t>
      </w:r>
      <w:r w:rsidR="004E4A2D">
        <w:rPr>
          <w:rFonts w:cstheme="minorHAnsi"/>
          <w:lang w:val="en-US"/>
        </w:rPr>
        <w:t>autumn</w:t>
      </w:r>
      <w:r w:rsidR="00516F66" w:rsidRPr="002D6DC1">
        <w:rPr>
          <w:rFonts w:cstheme="minorHAnsi"/>
          <w:lang w:val="en-US"/>
        </w:rPr>
        <w:t xml:space="preserve"> 2021.</w:t>
      </w:r>
    </w:p>
    <w:p w14:paraId="19260C38" w14:textId="77777777" w:rsidR="00516F66" w:rsidRPr="002D6DC1" w:rsidRDefault="00516F66" w:rsidP="008C4298">
      <w:pPr>
        <w:tabs>
          <w:tab w:val="left" w:pos="1572"/>
        </w:tabs>
        <w:ind w:left="426" w:hanging="426"/>
        <w:rPr>
          <w:rFonts w:cstheme="minorHAnsi"/>
          <w:lang w:val="en-US"/>
        </w:rPr>
      </w:pPr>
    </w:p>
    <w:p w14:paraId="63AF9097" w14:textId="7BFBA7B2" w:rsidR="00516F66" w:rsidRPr="002D6DC1" w:rsidRDefault="00FB6B66" w:rsidP="008C4298">
      <w:pPr>
        <w:tabs>
          <w:tab w:val="left" w:pos="1572"/>
        </w:tabs>
        <w:ind w:left="426" w:hanging="426"/>
        <w:rPr>
          <w:rFonts w:cstheme="minorHAnsi"/>
          <w:lang w:val="en-US"/>
        </w:rPr>
      </w:pPr>
      <w:r>
        <w:rPr>
          <w:rFonts w:cstheme="minorHAnsi"/>
          <w:lang w:val="en-US"/>
        </w:rPr>
        <w:t>68</w:t>
      </w:r>
      <w:r w:rsidR="007E2868">
        <w:rPr>
          <w:rFonts w:cstheme="minorHAnsi"/>
          <w:lang w:val="en-US"/>
        </w:rPr>
        <w:t>.</w:t>
      </w:r>
      <w:r w:rsidR="00516F66" w:rsidRPr="002D6DC1">
        <w:rPr>
          <w:rFonts w:cstheme="minorHAnsi"/>
          <w:lang w:val="en-US"/>
        </w:rPr>
        <w:tab/>
        <w:t xml:space="preserve">Attention has been </w:t>
      </w:r>
      <w:r w:rsidR="00901554">
        <w:rPr>
          <w:rFonts w:cstheme="minorHAnsi"/>
          <w:lang w:val="en-US"/>
        </w:rPr>
        <w:t>paid</w:t>
      </w:r>
      <w:r w:rsidR="00516F66" w:rsidRPr="002D6DC1">
        <w:rPr>
          <w:rFonts w:cstheme="minorHAnsi"/>
          <w:lang w:val="en-US"/>
        </w:rPr>
        <w:t xml:space="preserve"> to the challenges and opportunities resulting from working from home. Weekly staff meetings have been held while working in these conditions to maintain internal communication and foster a sense of team and connectedness. </w:t>
      </w:r>
    </w:p>
    <w:p w14:paraId="614ADF4C" w14:textId="77777777" w:rsidR="00516F66" w:rsidRPr="002D6DC1" w:rsidRDefault="00516F66" w:rsidP="008C4298">
      <w:pPr>
        <w:tabs>
          <w:tab w:val="left" w:pos="1572"/>
        </w:tabs>
        <w:ind w:left="426" w:hanging="426"/>
        <w:rPr>
          <w:rFonts w:cstheme="minorHAnsi"/>
          <w:lang w:val="en-US"/>
        </w:rPr>
      </w:pPr>
    </w:p>
    <w:p w14:paraId="10655CC6" w14:textId="4C6B4BE8" w:rsidR="00516F66" w:rsidRPr="002D6DC1" w:rsidRDefault="00FB6B66" w:rsidP="008C4298">
      <w:pPr>
        <w:tabs>
          <w:tab w:val="left" w:pos="1572"/>
        </w:tabs>
        <w:ind w:left="426" w:hanging="426"/>
        <w:rPr>
          <w:rFonts w:cstheme="minorHAnsi"/>
          <w:lang w:val="en-US"/>
        </w:rPr>
      </w:pPr>
      <w:r>
        <w:rPr>
          <w:rFonts w:cstheme="minorHAnsi"/>
          <w:lang w:val="en-US"/>
        </w:rPr>
        <w:t>69</w:t>
      </w:r>
      <w:r w:rsidR="007E2868">
        <w:rPr>
          <w:rFonts w:cstheme="minorHAnsi"/>
          <w:lang w:val="en-US"/>
        </w:rPr>
        <w:t>.</w:t>
      </w:r>
      <w:r w:rsidR="00516F66">
        <w:rPr>
          <w:rFonts w:cstheme="minorHAnsi"/>
          <w:lang w:val="en-US"/>
        </w:rPr>
        <w:tab/>
      </w:r>
      <w:r w:rsidR="00516F66" w:rsidRPr="002D6DC1">
        <w:rPr>
          <w:rFonts w:cstheme="minorHAnsi"/>
          <w:lang w:val="en-US"/>
        </w:rPr>
        <w:t>The planning meeting identified the need to address staff wellness. A survey was conducted to measure the impact of the pandemic on staff</w:t>
      </w:r>
      <w:r w:rsidR="00901554">
        <w:rPr>
          <w:rFonts w:cstheme="minorHAnsi"/>
          <w:lang w:val="en-US"/>
        </w:rPr>
        <w:t>,</w:t>
      </w:r>
      <w:r w:rsidR="00516F66" w:rsidRPr="002D6DC1">
        <w:rPr>
          <w:rFonts w:cstheme="minorHAnsi"/>
          <w:lang w:val="en-US"/>
        </w:rPr>
        <w:t xml:space="preserve"> and follow</w:t>
      </w:r>
      <w:r w:rsidR="00901554">
        <w:rPr>
          <w:rFonts w:cstheme="minorHAnsi"/>
          <w:lang w:val="en-US"/>
        </w:rPr>
        <w:t>-</w:t>
      </w:r>
      <w:r w:rsidR="00516F66" w:rsidRPr="002D6DC1">
        <w:rPr>
          <w:rFonts w:cstheme="minorHAnsi"/>
          <w:lang w:val="en-US"/>
        </w:rPr>
        <w:t>up activities to support employees in the COVID-19 work environment will be undertaken during the year. The wellbeing of staff was identified as a priority for 2021 and included in the Secretariat</w:t>
      </w:r>
      <w:r w:rsidR="001C2C01">
        <w:rPr>
          <w:rFonts w:cstheme="minorHAnsi"/>
          <w:lang w:val="en-US"/>
        </w:rPr>
        <w:t>’</w:t>
      </w:r>
      <w:r w:rsidR="00516F66" w:rsidRPr="002D6DC1">
        <w:rPr>
          <w:rFonts w:cstheme="minorHAnsi"/>
          <w:lang w:val="en-US"/>
        </w:rPr>
        <w:t>s HR work plan for 2021.</w:t>
      </w:r>
    </w:p>
    <w:p w14:paraId="1BA4DC91" w14:textId="77777777" w:rsidR="00516F66" w:rsidRPr="002D6DC1" w:rsidRDefault="00516F66" w:rsidP="005972E9">
      <w:pPr>
        <w:ind w:left="426" w:hanging="426"/>
        <w:rPr>
          <w:rFonts w:cstheme="minorHAnsi"/>
          <w:lang w:val="en-US"/>
        </w:rPr>
      </w:pPr>
    </w:p>
    <w:p w14:paraId="1EAE68D7" w14:textId="767B6E67" w:rsidR="00516F66" w:rsidRPr="002D6DC1" w:rsidRDefault="00FB6B66" w:rsidP="005972E9">
      <w:pPr>
        <w:ind w:left="426" w:hanging="426"/>
        <w:rPr>
          <w:rFonts w:cstheme="minorHAnsi"/>
          <w:lang w:val="en-US"/>
        </w:rPr>
      </w:pPr>
      <w:r>
        <w:rPr>
          <w:rFonts w:cstheme="minorHAnsi"/>
          <w:lang w:val="en-US"/>
        </w:rPr>
        <w:t>70</w:t>
      </w:r>
      <w:r w:rsidR="00516F66" w:rsidRPr="002D6DC1">
        <w:rPr>
          <w:rFonts w:cstheme="minorHAnsi"/>
          <w:lang w:val="en-US"/>
        </w:rPr>
        <w:t>.</w:t>
      </w:r>
      <w:r w:rsidR="00516F66" w:rsidRPr="002D6DC1">
        <w:rPr>
          <w:rFonts w:cstheme="minorHAnsi"/>
          <w:lang w:val="en-US"/>
        </w:rPr>
        <w:tab/>
        <w:t>The reporting period has been marked by the COVID</w:t>
      </w:r>
      <w:r w:rsidR="00901554">
        <w:rPr>
          <w:rFonts w:cstheme="minorHAnsi"/>
          <w:lang w:val="en-US"/>
        </w:rPr>
        <w:t>-</w:t>
      </w:r>
      <w:r w:rsidR="00516F66" w:rsidRPr="002D6DC1">
        <w:rPr>
          <w:rFonts w:cstheme="minorHAnsi"/>
          <w:lang w:val="en-US"/>
        </w:rPr>
        <w:t>19 pandemic. Despite the resulting challenges, the team has worked hard with achievements in all areas of the Secretariat</w:t>
      </w:r>
      <w:r w:rsidR="00901554">
        <w:rPr>
          <w:rFonts w:cstheme="minorHAnsi"/>
          <w:lang w:val="en-US"/>
        </w:rPr>
        <w:t>’</w:t>
      </w:r>
      <w:r w:rsidR="00516F66" w:rsidRPr="002D6DC1">
        <w:rPr>
          <w:rFonts w:cstheme="minorHAnsi"/>
          <w:lang w:val="en-US"/>
        </w:rPr>
        <w:t>s work plan as described in this report. The pandemic has also created opportunities to develop new ways of working including virtual means to increase the Secretariat</w:t>
      </w:r>
      <w:r w:rsidR="00901554">
        <w:rPr>
          <w:rFonts w:cstheme="minorHAnsi"/>
          <w:lang w:val="en-US"/>
        </w:rPr>
        <w:t>’</w:t>
      </w:r>
      <w:r w:rsidR="00516F66" w:rsidRPr="002D6DC1">
        <w:rPr>
          <w:rFonts w:cstheme="minorHAnsi"/>
          <w:lang w:val="en-US"/>
        </w:rPr>
        <w:t>s reach and to build capacities of Contracting Parties. However, challenges remain especially related to restrictions in office use, travel and face-to-face meetings. Importantly, the COVID</w:t>
      </w:r>
      <w:r w:rsidR="00901554">
        <w:rPr>
          <w:rFonts w:cstheme="minorHAnsi"/>
          <w:lang w:val="en-US"/>
        </w:rPr>
        <w:t>-</w:t>
      </w:r>
      <w:r w:rsidR="00516F66" w:rsidRPr="002D6DC1">
        <w:rPr>
          <w:rFonts w:cstheme="minorHAnsi"/>
          <w:lang w:val="en-US"/>
        </w:rPr>
        <w:t>19 survey showed an increase in work across the Secretariat in the current virtual setting as compared with the normal situation, as well as implications on staff wellness.</w:t>
      </w:r>
      <w:r w:rsidR="00013A89">
        <w:rPr>
          <w:rFonts w:cstheme="minorHAnsi"/>
          <w:lang w:val="en-US"/>
        </w:rPr>
        <w:t xml:space="preserve"> </w:t>
      </w:r>
      <w:r w:rsidR="00516F66" w:rsidRPr="002D6DC1">
        <w:rPr>
          <w:rFonts w:cstheme="minorHAnsi"/>
          <w:lang w:val="en-US"/>
        </w:rPr>
        <w:t xml:space="preserve">Special consideration is being given to these findings and this will be an important area of work moving forward in 2021. </w:t>
      </w:r>
    </w:p>
    <w:p w14:paraId="23F8C27E" w14:textId="77777777" w:rsidR="00516F66" w:rsidRPr="002D6DC1" w:rsidRDefault="00516F66" w:rsidP="005972E9">
      <w:pPr>
        <w:ind w:left="426" w:hanging="426"/>
        <w:rPr>
          <w:rFonts w:cstheme="minorHAnsi"/>
          <w:lang w:val="en-US"/>
        </w:rPr>
      </w:pPr>
    </w:p>
    <w:p w14:paraId="3BE84909" w14:textId="0084ED0C" w:rsidR="00F344DE" w:rsidRPr="00360A0A" w:rsidRDefault="00FB6B66" w:rsidP="005972E9">
      <w:pPr>
        <w:ind w:left="426" w:hanging="426"/>
        <w:rPr>
          <w:rFonts w:asciiTheme="minorHAnsi" w:hAnsiTheme="minorHAnsi" w:cstheme="minorHAnsi"/>
          <w:lang w:val="en-US"/>
        </w:rPr>
      </w:pPr>
      <w:r>
        <w:t>71</w:t>
      </w:r>
      <w:r w:rsidR="005529FA">
        <w:t>.</w:t>
      </w:r>
      <w:r w:rsidR="00385F42">
        <w:tab/>
        <w:t>T</w:t>
      </w:r>
      <w:r w:rsidR="002912AE">
        <w:t xml:space="preserve">he Secretariat </w:t>
      </w:r>
      <w:r w:rsidR="009E1A0F">
        <w:t xml:space="preserve">will </w:t>
      </w:r>
      <w:r w:rsidR="002912AE">
        <w:t xml:space="preserve">continue to </w:t>
      </w:r>
      <w:r w:rsidR="009E1A0F">
        <w:t>strengthen</w:t>
      </w:r>
      <w:r w:rsidR="00013A89">
        <w:t xml:space="preserve"> </w:t>
      </w:r>
      <w:r w:rsidR="00AD1D52">
        <w:t>a whole-of-Secretariat approach</w:t>
      </w:r>
      <w:r w:rsidR="009E1A0F">
        <w:t xml:space="preserve">, with the </w:t>
      </w:r>
      <w:r w:rsidR="00AD1D52" w:rsidRPr="00AD1D52">
        <w:t>develop</w:t>
      </w:r>
      <w:r w:rsidR="009E1A0F">
        <w:t>ment of</w:t>
      </w:r>
      <w:r w:rsidR="00013A89">
        <w:t xml:space="preserve"> </w:t>
      </w:r>
      <w:r w:rsidR="00AD1D52" w:rsidRPr="00AD1D52">
        <w:t xml:space="preserve">additional </w:t>
      </w:r>
      <w:r w:rsidR="00813B25">
        <w:t>standard operating procedures (SOPs)</w:t>
      </w:r>
      <w:r w:rsidR="00AD1D52" w:rsidRPr="00AD1D52">
        <w:t xml:space="preserve"> that will contribute to making further progress</w:t>
      </w:r>
      <w:r w:rsidR="001D1005">
        <w:t xml:space="preserve"> in terms of operational excellence</w:t>
      </w:r>
      <w:r w:rsidR="00AD1D52" w:rsidRPr="00AD1D52">
        <w:t xml:space="preserve">. </w:t>
      </w:r>
      <w:r w:rsidR="009E1A0F">
        <w:t xml:space="preserve">Some important challenges identified earlier on remain including the legal status of the Secretariat as it relates to access to strategic global fora, signing </w:t>
      </w:r>
      <w:r w:rsidR="00901554">
        <w:t xml:space="preserve">of </w:t>
      </w:r>
      <w:r w:rsidR="009E1A0F">
        <w:t xml:space="preserve">donor contracts and talent acquisition and retention, which is being addressed by the Working Group on the Observer Status established by Decision SC57-14. </w:t>
      </w:r>
      <w:r w:rsidR="00AD1D52" w:rsidRPr="00AD1D52">
        <w:t>Other areas for fur</w:t>
      </w:r>
      <w:bookmarkStart w:id="1" w:name="_GoBack"/>
      <w:bookmarkEnd w:id="1"/>
      <w:r w:rsidR="00AD1D52" w:rsidRPr="00AD1D52">
        <w:t xml:space="preserve">ther work include: continuing to develop more coherent and coordinated approaches across the team to achieve efficiencies and better serve Contracting Parties across all regions; balancing enhanced accountability for implementation of the decisions taken by the COP and Standing Committee with the service provided to Contracting Parties in each region; </w:t>
      </w:r>
      <w:r w:rsidR="009E1A0F">
        <w:t xml:space="preserve">balancing thematic and regional approaches; </w:t>
      </w:r>
      <w:r w:rsidR="00AD1D52" w:rsidRPr="00AD1D52">
        <w:t>and continuing to build the needed capabilities, capacities and skills in core functional areas of the Secretariat</w:t>
      </w:r>
      <w:r w:rsidR="00901554">
        <w:t>’</w:t>
      </w:r>
      <w:r w:rsidR="00AD1D52" w:rsidRPr="00AD1D52">
        <w:t xml:space="preserve">s work. </w:t>
      </w:r>
    </w:p>
    <w:sectPr w:rsidR="00F344DE" w:rsidRPr="00360A0A" w:rsidSect="00043DAD">
      <w:headerReference w:type="default" r:id="rId15"/>
      <w:footerReference w:type="default" r:id="rId16"/>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D9946" w16cid:durableId="2461EBDC"/>
  <w16cid:commentId w16cid:paraId="65B86C7D" w16cid:durableId="245BB893"/>
  <w16cid:commentId w16cid:paraId="3FD4D8EA" w16cid:durableId="245BBA1F"/>
  <w16cid:commentId w16cid:paraId="1D6007CA" w16cid:durableId="2461EFF5"/>
  <w16cid:commentId w16cid:paraId="0ACD9014" w16cid:durableId="245BB9A8"/>
  <w16cid:commentId w16cid:paraId="15F2C950" w16cid:durableId="246226CC"/>
  <w16cid:commentId w16cid:paraId="441BA7BA" w16cid:durableId="24622965"/>
  <w16cid:commentId w16cid:paraId="391435C1" w16cid:durableId="24623485"/>
  <w16cid:commentId w16cid:paraId="5E5557D8" w16cid:durableId="2462343D"/>
  <w16cid:commentId w16cid:paraId="79C5C398" w16cid:durableId="24622AFE"/>
  <w16cid:commentId w16cid:paraId="1575ED76" w16cid:durableId="24623474"/>
  <w16cid:commentId w16cid:paraId="0D468934" w16cid:durableId="245A51A0"/>
  <w16cid:commentId w16cid:paraId="12F0E330" w16cid:durableId="2462359D"/>
  <w16cid:commentId w16cid:paraId="1CCEE165" w16cid:durableId="246235F5"/>
  <w16cid:commentId w16cid:paraId="380D0460" w16cid:durableId="246236B1"/>
  <w16cid:commentId w16cid:paraId="472C77A3" w16cid:durableId="246236D4"/>
  <w16cid:commentId w16cid:paraId="2A83BEF9" w16cid:durableId="246237EC"/>
  <w16cid:commentId w16cid:paraId="1026CF6C" w16cid:durableId="2462386F"/>
  <w16cid:commentId w16cid:paraId="32EC4342" w16cid:durableId="246238E8"/>
  <w16cid:commentId w16cid:paraId="73E91D03" w16cid:durableId="246239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0DC6E" w14:textId="77777777" w:rsidR="00A95A13" w:rsidRDefault="00A95A13" w:rsidP="00DF2386">
      <w:r>
        <w:separator/>
      </w:r>
    </w:p>
  </w:endnote>
  <w:endnote w:type="continuationSeparator" w:id="0">
    <w:p w14:paraId="7A761EC1" w14:textId="77777777" w:rsidR="00A95A13" w:rsidRDefault="00A95A13"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B9DC" w14:textId="3170184A" w:rsidR="00A95A13" w:rsidRPr="005D6E99" w:rsidRDefault="008F589F" w:rsidP="002137E0">
    <w:pPr>
      <w:pStyle w:val="Header"/>
      <w:rPr>
        <w:noProof/>
      </w:rPr>
    </w:pPr>
    <w:r>
      <w:rPr>
        <w:sz w:val="20"/>
        <w:szCs w:val="20"/>
      </w:rPr>
      <w:t>SC59 Doc.</w:t>
    </w:r>
    <w:r w:rsidR="00A95A13">
      <w:rPr>
        <w:sz w:val="20"/>
        <w:szCs w:val="20"/>
      </w:rPr>
      <w:t>6</w:t>
    </w:r>
    <w:r w:rsidR="00A95A13" w:rsidRPr="005D6E99">
      <w:tab/>
    </w:r>
    <w:r w:rsidR="00A95A13" w:rsidRPr="005D6E99">
      <w:tab/>
    </w:r>
    <w:sdt>
      <w:sdtPr>
        <w:id w:val="-1790969534"/>
        <w:docPartObj>
          <w:docPartGallery w:val="Page Numbers (Top of Page)"/>
          <w:docPartUnique/>
        </w:docPartObj>
      </w:sdtPr>
      <w:sdtEndPr>
        <w:rPr>
          <w:noProof/>
        </w:rPr>
      </w:sdtEndPr>
      <w:sdtContent>
        <w:r w:rsidR="00A95A13" w:rsidRPr="005D6E99">
          <w:rPr>
            <w:noProof/>
            <w:sz w:val="20"/>
            <w:szCs w:val="20"/>
          </w:rPr>
          <w:fldChar w:fldCharType="begin"/>
        </w:r>
        <w:r w:rsidR="00A95A13" w:rsidRPr="005D6E99">
          <w:rPr>
            <w:noProof/>
            <w:sz w:val="20"/>
            <w:szCs w:val="20"/>
          </w:rPr>
          <w:instrText xml:space="preserve"> PAGE   \* MERGEFORMAT </w:instrText>
        </w:r>
        <w:r w:rsidR="00A95A13" w:rsidRPr="005D6E99">
          <w:rPr>
            <w:noProof/>
            <w:sz w:val="20"/>
            <w:szCs w:val="20"/>
          </w:rPr>
          <w:fldChar w:fldCharType="separate"/>
        </w:r>
        <w:r w:rsidR="00FB6B66">
          <w:rPr>
            <w:noProof/>
            <w:sz w:val="20"/>
            <w:szCs w:val="20"/>
          </w:rPr>
          <w:t>14</w:t>
        </w:r>
        <w:r w:rsidR="00A95A13" w:rsidRPr="005D6E9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3571" w14:textId="77777777" w:rsidR="00A95A13" w:rsidRDefault="00A95A13" w:rsidP="00DF2386">
      <w:r>
        <w:separator/>
      </w:r>
    </w:p>
  </w:footnote>
  <w:footnote w:type="continuationSeparator" w:id="0">
    <w:p w14:paraId="58838C1A" w14:textId="77777777" w:rsidR="00A95A13" w:rsidRDefault="00A95A13" w:rsidP="00DF2386">
      <w:r>
        <w:continuationSeparator/>
      </w:r>
    </w:p>
  </w:footnote>
  <w:footnote w:id="1">
    <w:p w14:paraId="15F09234" w14:textId="79749196" w:rsidR="00A95A13" w:rsidRDefault="00A95A13" w:rsidP="0012237F">
      <w:pPr>
        <w:pStyle w:val="FootnoteText"/>
        <w:ind w:left="0" w:firstLine="0"/>
      </w:pPr>
      <w:r>
        <w:rPr>
          <w:rStyle w:val="FootnoteReference"/>
        </w:rPr>
        <w:footnoteRef/>
      </w:r>
      <w:r>
        <w:t xml:space="preserve"> </w:t>
      </w:r>
      <w:hyperlink r:id="rId1" w:history="1">
        <w:r w:rsidRPr="00BB2333">
          <w:rPr>
            <w:rStyle w:val="Hyperlink"/>
          </w:rPr>
          <w:t>https://www.ramsar.org/document/sc58-doc6-report-of-the-secretary-general</w:t>
        </w:r>
      </w:hyperlink>
      <w:r>
        <w:t xml:space="preserve"> </w:t>
      </w:r>
    </w:p>
  </w:footnote>
  <w:footnote w:id="2">
    <w:p w14:paraId="506AF191" w14:textId="2E365CEC" w:rsidR="00A95A13" w:rsidRDefault="00A95A13" w:rsidP="0012237F">
      <w:pPr>
        <w:pStyle w:val="FootnoteText"/>
        <w:ind w:left="0" w:firstLine="0"/>
      </w:pPr>
      <w:r>
        <w:rPr>
          <w:rStyle w:val="FootnoteReference"/>
        </w:rPr>
        <w:footnoteRef/>
      </w:r>
      <w:r>
        <w:t xml:space="preserve"> </w:t>
      </w:r>
      <w:hyperlink r:id="rId2" w:history="1">
        <w:r w:rsidRPr="00BB2333">
          <w:rPr>
            <w:rStyle w:val="Hyperlink"/>
          </w:rPr>
          <w:t>https://www.ramsar.org/document/sc59-doc18-integrated-secretariat-2021-annual-plan-as-part-of-the-approved-triennial-plan</w:t>
        </w:r>
      </w:hyperlink>
      <w:r>
        <w:t xml:space="preserve"> </w:t>
      </w:r>
    </w:p>
  </w:footnote>
  <w:footnote w:id="3">
    <w:p w14:paraId="4DEABBE3" w14:textId="52BD2D6C" w:rsidR="00A95A13" w:rsidRDefault="00A95A13" w:rsidP="0012237F">
      <w:pPr>
        <w:pStyle w:val="FootnoteText"/>
        <w:ind w:left="0" w:firstLine="0"/>
      </w:pPr>
      <w:r>
        <w:rPr>
          <w:rStyle w:val="FootnoteReference"/>
        </w:rPr>
        <w:footnoteRef/>
      </w:r>
      <w:r>
        <w:t xml:space="preserve"> </w:t>
      </w:r>
      <w:hyperlink r:id="rId3" w:history="1">
        <w:r w:rsidRPr="00BB2333">
          <w:rPr>
            <w:rStyle w:val="Hyperlink"/>
          </w:rPr>
          <w:t>https://www.ramsar.org/document/sc59-doc10-report-of-the-working-group-on-the-review-of-the-strategic-plan</w:t>
        </w:r>
      </w:hyperlink>
      <w:r>
        <w:t xml:space="preserve"> </w:t>
      </w:r>
    </w:p>
  </w:footnote>
  <w:footnote w:id="4">
    <w:p w14:paraId="6D31749E" w14:textId="7C675CE9" w:rsidR="00A95A13" w:rsidRDefault="00A95A13" w:rsidP="0012237F">
      <w:pPr>
        <w:pStyle w:val="FootnoteText"/>
        <w:ind w:left="0" w:firstLine="0"/>
      </w:pPr>
      <w:r>
        <w:rPr>
          <w:rStyle w:val="FootnoteReference"/>
        </w:rPr>
        <w:footnoteRef/>
      </w:r>
      <w:r>
        <w:t xml:space="preserve"> See </w:t>
      </w:r>
      <w:hyperlink r:id="rId4" w:history="1">
        <w:r w:rsidRPr="00BB2333">
          <w:rPr>
            <w:rStyle w:val="Hyperlink"/>
          </w:rPr>
          <w:t>https://www.ramsar.org/document/sc59-doc171-report-of-the-chair-of-the-cepa-oversight-panel</w:t>
        </w:r>
      </w:hyperlink>
      <w:r>
        <w:t xml:space="preserve"> </w:t>
      </w:r>
    </w:p>
  </w:footnote>
  <w:footnote w:id="5">
    <w:p w14:paraId="7C12EF4D" w14:textId="06F720D7" w:rsidR="00A95A13" w:rsidRDefault="00A95A13" w:rsidP="0012237F">
      <w:pPr>
        <w:pStyle w:val="FootnoteText"/>
        <w:ind w:left="0" w:firstLine="0"/>
      </w:pPr>
      <w:r>
        <w:rPr>
          <w:rStyle w:val="FootnoteReference"/>
        </w:rPr>
        <w:footnoteRef/>
      </w:r>
      <w:r>
        <w:t xml:space="preserve"> See </w:t>
      </w:r>
      <w:hyperlink r:id="rId5" w:history="1">
        <w:r w:rsidRPr="00BB2333">
          <w:rPr>
            <w:rStyle w:val="Hyperlink"/>
          </w:rPr>
          <w:t>https://www.ramsar.org/news/a-new-toolkit-for-national-wetlands-inventories</w:t>
        </w:r>
      </w:hyperlink>
      <w:r>
        <w:t xml:space="preserve">. </w:t>
      </w:r>
    </w:p>
  </w:footnote>
  <w:footnote w:id="6">
    <w:p w14:paraId="709E9F9C" w14:textId="38C2A7D5" w:rsidR="0012237F" w:rsidRDefault="0012237F" w:rsidP="0012237F">
      <w:pPr>
        <w:pStyle w:val="FootnoteText"/>
        <w:ind w:left="0" w:firstLine="0"/>
      </w:pPr>
      <w:r>
        <w:rPr>
          <w:rStyle w:val="FootnoteReference"/>
        </w:rPr>
        <w:footnoteRef/>
      </w:r>
      <w:r>
        <w:t xml:space="preserve"> See </w:t>
      </w:r>
      <w:hyperlink r:id="rId6" w:history="1">
        <w:r w:rsidRPr="00BB2333">
          <w:rPr>
            <w:rStyle w:val="Hyperlink"/>
          </w:rPr>
          <w:t>https://www.ramsar.org/document/guidance-on-mainstreaming-gender-under-the-ramsar-convention-on-wetlands-0</w:t>
        </w:r>
      </w:hyperlink>
      <w:r>
        <w:t xml:space="preserve"> </w:t>
      </w:r>
    </w:p>
  </w:footnote>
  <w:footnote w:id="7">
    <w:p w14:paraId="58409295" w14:textId="59667A80" w:rsidR="0012237F" w:rsidRDefault="0012237F" w:rsidP="0012237F">
      <w:pPr>
        <w:pStyle w:val="FootnoteText"/>
        <w:ind w:left="0" w:firstLine="0"/>
      </w:pPr>
      <w:r>
        <w:rPr>
          <w:rStyle w:val="FootnoteReference"/>
        </w:rPr>
        <w:footnoteRef/>
      </w:r>
      <w:r>
        <w:t xml:space="preserve"> </w:t>
      </w:r>
      <w:hyperlink r:id="rId7" w:history="1">
        <w:r w:rsidRPr="00BB2333">
          <w:rPr>
            <w:rStyle w:val="Hyperlink"/>
          </w:rPr>
          <w:t>https://www.ramsar.org/resources/training-webinar-mainstreaming-gender-under-the-convention-on-wetlands</w:t>
        </w:r>
      </w:hyperlink>
      <w:r>
        <w:t xml:space="preserve"> </w:t>
      </w:r>
    </w:p>
  </w:footnote>
  <w:footnote w:id="8">
    <w:p w14:paraId="12678A94" w14:textId="5A05A22A" w:rsidR="005453A8" w:rsidRDefault="005453A8">
      <w:pPr>
        <w:pStyle w:val="FootnoteText"/>
      </w:pPr>
      <w:r>
        <w:rPr>
          <w:rStyle w:val="FootnoteReference"/>
        </w:rPr>
        <w:footnoteRef/>
      </w:r>
      <w:r>
        <w:t xml:space="preserve"> </w:t>
      </w:r>
      <w:hyperlink r:id="rId8" w:history="1">
        <w:r w:rsidRPr="00BB2333">
          <w:rPr>
            <w:rStyle w:val="Hyperlink"/>
          </w:rPr>
          <w:t>https://www.ramsar.org/about/fundraising-priorities-for-the-triennium-2019-2021</w:t>
        </w:r>
      </w:hyperlink>
      <w:r>
        <w:t xml:space="preserve"> </w:t>
      </w:r>
    </w:p>
  </w:footnote>
  <w:footnote w:id="9">
    <w:p w14:paraId="45CBFF16" w14:textId="4E19A998" w:rsidR="005453A8" w:rsidRDefault="005453A8">
      <w:pPr>
        <w:pStyle w:val="FootnoteText"/>
      </w:pPr>
      <w:r>
        <w:rPr>
          <w:rStyle w:val="FootnoteReference"/>
        </w:rPr>
        <w:footnoteRef/>
      </w:r>
      <w:r>
        <w:t xml:space="preserve"> </w:t>
      </w:r>
      <w:hyperlink r:id="rId9" w:history="1">
        <w:r w:rsidRPr="00BB2333">
          <w:rPr>
            <w:rStyle w:val="Hyperlink"/>
          </w:rPr>
          <w:t>https://www.ramsar.org/activity/funding-organization-database</w:t>
        </w:r>
      </w:hyperlink>
      <w:r>
        <w:t xml:space="preserve"> </w:t>
      </w:r>
    </w:p>
  </w:footnote>
  <w:footnote w:id="10">
    <w:p w14:paraId="0995FAC8" w14:textId="5942A0AA" w:rsidR="005453A8" w:rsidRDefault="005453A8">
      <w:pPr>
        <w:pStyle w:val="FootnoteText"/>
      </w:pPr>
      <w:r>
        <w:rPr>
          <w:rStyle w:val="FootnoteReference"/>
        </w:rPr>
        <w:footnoteRef/>
      </w:r>
      <w:r>
        <w:t xml:space="preserve"> See </w:t>
      </w:r>
      <w:hyperlink r:id="rId10" w:history="1">
        <w:r w:rsidRPr="00BB2333">
          <w:rPr>
            <w:rStyle w:val="Hyperlink"/>
          </w:rPr>
          <w:t>https://www.ramsar.org/resources/training-webinar-on-grant-writing</w:t>
        </w:r>
      </w:hyperlink>
      <w:r>
        <w:t xml:space="preserve"> </w:t>
      </w:r>
    </w:p>
  </w:footnote>
  <w:footnote w:id="11">
    <w:p w14:paraId="7517AC0B" w14:textId="12B417AA" w:rsidR="00557BC6" w:rsidRDefault="00557BC6">
      <w:pPr>
        <w:pStyle w:val="FootnoteText"/>
      </w:pPr>
      <w:r>
        <w:rPr>
          <w:rStyle w:val="FootnoteReference"/>
        </w:rPr>
        <w:footnoteRef/>
      </w:r>
      <w:r>
        <w:t xml:space="preserve"> See </w:t>
      </w:r>
      <w:hyperlink r:id="rId11" w:history="1">
        <w:r w:rsidRPr="00BB2333">
          <w:rPr>
            <w:rStyle w:val="Hyperlink"/>
          </w:rPr>
          <w:t>https://www.ramsar.org/about/resources</w:t>
        </w:r>
      </w:hyperlink>
      <w:r>
        <w:t xml:space="preserve"> </w:t>
      </w:r>
    </w:p>
  </w:footnote>
  <w:footnote w:id="12">
    <w:p w14:paraId="1BC38291" w14:textId="5518385B" w:rsidR="007479A0" w:rsidRDefault="007479A0">
      <w:pPr>
        <w:pStyle w:val="FootnoteText"/>
      </w:pPr>
      <w:r>
        <w:rPr>
          <w:rStyle w:val="FootnoteReference"/>
        </w:rPr>
        <w:footnoteRef/>
      </w:r>
      <w:r>
        <w:t xml:space="preserve"> See </w:t>
      </w:r>
      <w:hyperlink r:id="rId12" w:history="1">
        <w:r w:rsidRPr="00BB2333">
          <w:rPr>
            <w:rStyle w:val="Hyperlink"/>
          </w:rPr>
          <w:t>https://www.ramsar.org/sites/default/files/documents/library/gcf_webinar_e.pdf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33BE" w14:textId="77777777" w:rsidR="00A95A13" w:rsidRDefault="00A95A13">
    <w:pPr>
      <w:pStyle w:val="Header"/>
    </w:pPr>
  </w:p>
  <w:p w14:paraId="5A26ED6B" w14:textId="77777777" w:rsidR="00A95A13" w:rsidRDefault="00A95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AC8C6"/>
    <w:multiLevelType w:val="hybridMultilevel"/>
    <w:tmpl w:val="EFB34C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0EF0"/>
    <w:multiLevelType w:val="hybridMultilevel"/>
    <w:tmpl w:val="D0B2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F7E"/>
    <w:multiLevelType w:val="hybridMultilevel"/>
    <w:tmpl w:val="7F8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45CD1"/>
    <w:multiLevelType w:val="hybridMultilevel"/>
    <w:tmpl w:val="0A92D0A8"/>
    <w:lvl w:ilvl="0" w:tplc="6DE20B40">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87C2DAF"/>
    <w:multiLevelType w:val="hybridMultilevel"/>
    <w:tmpl w:val="8BB6253A"/>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AE71D2"/>
    <w:multiLevelType w:val="hybridMultilevel"/>
    <w:tmpl w:val="AFFA949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965"/>
    <w:multiLevelType w:val="hybridMultilevel"/>
    <w:tmpl w:val="E200C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60624"/>
    <w:multiLevelType w:val="hybridMultilevel"/>
    <w:tmpl w:val="8544F7AC"/>
    <w:lvl w:ilvl="0" w:tplc="D39A31B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0740A"/>
    <w:multiLevelType w:val="hybridMultilevel"/>
    <w:tmpl w:val="DF22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67732"/>
    <w:multiLevelType w:val="hybridMultilevel"/>
    <w:tmpl w:val="0714FA20"/>
    <w:lvl w:ilvl="0" w:tplc="08090013">
      <w:start w:val="1"/>
      <w:numFmt w:val="upperRoman"/>
      <w:lvlText w:val="%1."/>
      <w:lvlJc w:val="righ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0" w15:restartNumberingAfterBreak="0">
    <w:nsid w:val="23C15F13"/>
    <w:multiLevelType w:val="hybridMultilevel"/>
    <w:tmpl w:val="1E5E413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1" w15:restartNumberingAfterBreak="0">
    <w:nsid w:val="2797168F"/>
    <w:multiLevelType w:val="hybridMultilevel"/>
    <w:tmpl w:val="2B165EFA"/>
    <w:lvl w:ilvl="0" w:tplc="DFD454D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D21CDD"/>
    <w:multiLevelType w:val="hybridMultilevel"/>
    <w:tmpl w:val="5D1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57CE8"/>
    <w:multiLevelType w:val="hybridMultilevel"/>
    <w:tmpl w:val="A24E3B8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1540F"/>
    <w:multiLevelType w:val="hybridMultilevel"/>
    <w:tmpl w:val="041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92ED8"/>
    <w:multiLevelType w:val="hybridMultilevel"/>
    <w:tmpl w:val="BD72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07A9E"/>
    <w:multiLevelType w:val="hybridMultilevel"/>
    <w:tmpl w:val="B1BE5AF4"/>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35FED"/>
    <w:multiLevelType w:val="hybridMultilevel"/>
    <w:tmpl w:val="B76E8704"/>
    <w:lvl w:ilvl="0" w:tplc="0809000F">
      <w:start w:val="1"/>
      <w:numFmt w:val="decimal"/>
      <w:lvlText w:val="%1."/>
      <w:lvlJc w:val="left"/>
      <w:pPr>
        <w:ind w:left="1494"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D75E3"/>
    <w:multiLevelType w:val="hybridMultilevel"/>
    <w:tmpl w:val="A9A4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444FE"/>
    <w:multiLevelType w:val="hybridMultilevel"/>
    <w:tmpl w:val="FC14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526DB"/>
    <w:multiLevelType w:val="hybridMultilevel"/>
    <w:tmpl w:val="9084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42D7"/>
    <w:multiLevelType w:val="hybridMultilevel"/>
    <w:tmpl w:val="220A2B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4FA8065E"/>
    <w:multiLevelType w:val="hybridMultilevel"/>
    <w:tmpl w:val="D81E04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2C7E58"/>
    <w:multiLevelType w:val="hybridMultilevel"/>
    <w:tmpl w:val="767AC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165B1"/>
    <w:multiLevelType w:val="hybridMultilevel"/>
    <w:tmpl w:val="EAF6647C"/>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59125890"/>
    <w:multiLevelType w:val="hybridMultilevel"/>
    <w:tmpl w:val="2B66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E3C5A"/>
    <w:multiLevelType w:val="hybridMultilevel"/>
    <w:tmpl w:val="1B04B15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5E192898"/>
    <w:multiLevelType w:val="hybridMultilevel"/>
    <w:tmpl w:val="F92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C34ED"/>
    <w:multiLevelType w:val="hybridMultilevel"/>
    <w:tmpl w:val="3A683560"/>
    <w:lvl w:ilvl="0" w:tplc="0BFABD0E">
      <w:start w:val="1"/>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E66E61"/>
    <w:multiLevelType w:val="hybridMultilevel"/>
    <w:tmpl w:val="5234045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4C64F3B"/>
    <w:multiLevelType w:val="hybridMultilevel"/>
    <w:tmpl w:val="8C66A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892250"/>
    <w:multiLevelType w:val="hybridMultilevel"/>
    <w:tmpl w:val="340E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70BF8"/>
    <w:multiLevelType w:val="hybridMultilevel"/>
    <w:tmpl w:val="303A88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8D0E1A"/>
    <w:multiLevelType w:val="hybridMultilevel"/>
    <w:tmpl w:val="953A353A"/>
    <w:lvl w:ilvl="0" w:tplc="0809000F">
      <w:start w:val="1"/>
      <w:numFmt w:val="decimal"/>
      <w:lvlText w:val="%1."/>
      <w:lvlJc w:val="left"/>
      <w:pPr>
        <w:ind w:left="2934" w:hanging="360"/>
      </w:pPr>
      <w:rPr>
        <w:rFonts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A47786C"/>
    <w:multiLevelType w:val="hybridMultilevel"/>
    <w:tmpl w:val="36328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DF53C3"/>
    <w:multiLevelType w:val="hybridMultilevel"/>
    <w:tmpl w:val="64AC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C25ECD"/>
    <w:multiLevelType w:val="hybridMultilevel"/>
    <w:tmpl w:val="64D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41C99"/>
    <w:multiLevelType w:val="hybridMultilevel"/>
    <w:tmpl w:val="86B4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04958"/>
    <w:multiLevelType w:val="hybridMultilevel"/>
    <w:tmpl w:val="157C756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B3F29"/>
    <w:multiLevelType w:val="hybridMultilevel"/>
    <w:tmpl w:val="A63E3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E08BD"/>
    <w:multiLevelType w:val="hybridMultilevel"/>
    <w:tmpl w:val="8F78826C"/>
    <w:lvl w:ilvl="0" w:tplc="3F6A3F8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2"/>
  </w:num>
  <w:num w:numId="5">
    <w:abstractNumId w:val="27"/>
  </w:num>
  <w:num w:numId="6">
    <w:abstractNumId w:val="30"/>
  </w:num>
  <w:num w:numId="7">
    <w:abstractNumId w:val="25"/>
  </w:num>
  <w:num w:numId="8">
    <w:abstractNumId w:val="3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34"/>
  </w:num>
  <w:num w:numId="13">
    <w:abstractNumId w:val="2"/>
  </w:num>
  <w:num w:numId="14">
    <w:abstractNumId w:val="23"/>
  </w:num>
  <w:num w:numId="15">
    <w:abstractNumId w:val="40"/>
  </w:num>
  <w:num w:numId="16">
    <w:abstractNumId w:val="35"/>
  </w:num>
  <w:num w:numId="17">
    <w:abstractNumId w:val="8"/>
  </w:num>
  <w:num w:numId="18">
    <w:abstractNumId w:val="13"/>
  </w:num>
  <w:num w:numId="19">
    <w:abstractNumId w:val="18"/>
  </w:num>
  <w:num w:numId="20">
    <w:abstractNumId w:val="38"/>
  </w:num>
  <w:num w:numId="21">
    <w:abstractNumId w:val="39"/>
  </w:num>
  <w:num w:numId="22">
    <w:abstractNumId w:val="19"/>
  </w:num>
  <w:num w:numId="23">
    <w:abstractNumId w:val="15"/>
  </w:num>
  <w:num w:numId="24">
    <w:abstractNumId w:val="37"/>
  </w:num>
  <w:num w:numId="25">
    <w:abstractNumId w:val="5"/>
  </w:num>
  <w:num w:numId="26">
    <w:abstractNumId w:val="33"/>
  </w:num>
  <w:num w:numId="27">
    <w:abstractNumId w:val="16"/>
  </w:num>
  <w:num w:numId="28">
    <w:abstractNumId w:val="31"/>
  </w:num>
  <w:num w:numId="29">
    <w:abstractNumId w:val="22"/>
  </w:num>
  <w:num w:numId="30">
    <w:abstractNumId w:val="0"/>
  </w:num>
  <w:num w:numId="31">
    <w:abstractNumId w:val="29"/>
  </w:num>
  <w:num w:numId="32">
    <w:abstractNumId w:val="4"/>
  </w:num>
  <w:num w:numId="33">
    <w:abstractNumId w:val="9"/>
  </w:num>
  <w:num w:numId="34">
    <w:abstractNumId w:val="24"/>
  </w:num>
  <w:num w:numId="35">
    <w:abstractNumId w:val="20"/>
  </w:num>
  <w:num w:numId="36">
    <w:abstractNumId w:val="41"/>
  </w:num>
  <w:num w:numId="37">
    <w:abstractNumId w:val="7"/>
  </w:num>
  <w:num w:numId="38">
    <w:abstractNumId w:val="26"/>
  </w:num>
  <w:num w:numId="39">
    <w:abstractNumId w:val="11"/>
  </w:num>
  <w:num w:numId="40">
    <w:abstractNumId w:val="28"/>
  </w:num>
  <w:num w:numId="41">
    <w:abstractNumId w:val="3"/>
  </w:num>
  <w:num w:numId="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14F"/>
    <w:rsid w:val="00000681"/>
    <w:rsid w:val="000006DB"/>
    <w:rsid w:val="0000179E"/>
    <w:rsid w:val="00001B12"/>
    <w:rsid w:val="00001E12"/>
    <w:rsid w:val="00004592"/>
    <w:rsid w:val="00006A7C"/>
    <w:rsid w:val="00006AD4"/>
    <w:rsid w:val="00006D5B"/>
    <w:rsid w:val="00007294"/>
    <w:rsid w:val="00010FD2"/>
    <w:rsid w:val="0001165C"/>
    <w:rsid w:val="000138C9"/>
    <w:rsid w:val="00013A89"/>
    <w:rsid w:val="00013B2B"/>
    <w:rsid w:val="00014168"/>
    <w:rsid w:val="0001465B"/>
    <w:rsid w:val="00015D7B"/>
    <w:rsid w:val="00016225"/>
    <w:rsid w:val="00017A16"/>
    <w:rsid w:val="0002490F"/>
    <w:rsid w:val="0002618D"/>
    <w:rsid w:val="0002627E"/>
    <w:rsid w:val="00026E09"/>
    <w:rsid w:val="00026E8B"/>
    <w:rsid w:val="00032078"/>
    <w:rsid w:val="000320CE"/>
    <w:rsid w:val="000321C8"/>
    <w:rsid w:val="00036238"/>
    <w:rsid w:val="00036580"/>
    <w:rsid w:val="00036B4D"/>
    <w:rsid w:val="00037092"/>
    <w:rsid w:val="00037CE0"/>
    <w:rsid w:val="00037F4D"/>
    <w:rsid w:val="00042180"/>
    <w:rsid w:val="00043A63"/>
    <w:rsid w:val="00043DAD"/>
    <w:rsid w:val="00044301"/>
    <w:rsid w:val="00044A02"/>
    <w:rsid w:val="00044E4C"/>
    <w:rsid w:val="000475CE"/>
    <w:rsid w:val="00050581"/>
    <w:rsid w:val="00053929"/>
    <w:rsid w:val="00057B25"/>
    <w:rsid w:val="00057BAF"/>
    <w:rsid w:val="00060A58"/>
    <w:rsid w:val="000622D2"/>
    <w:rsid w:val="0006506B"/>
    <w:rsid w:val="00065AF6"/>
    <w:rsid w:val="00065C9E"/>
    <w:rsid w:val="000663B9"/>
    <w:rsid w:val="000664BC"/>
    <w:rsid w:val="00071081"/>
    <w:rsid w:val="00072432"/>
    <w:rsid w:val="00072DC0"/>
    <w:rsid w:val="00074912"/>
    <w:rsid w:val="00074DE8"/>
    <w:rsid w:val="000757D3"/>
    <w:rsid w:val="00085825"/>
    <w:rsid w:val="0009005C"/>
    <w:rsid w:val="00090956"/>
    <w:rsid w:val="00092F4E"/>
    <w:rsid w:val="00097B3E"/>
    <w:rsid w:val="000A180D"/>
    <w:rsid w:val="000A1A70"/>
    <w:rsid w:val="000A24FF"/>
    <w:rsid w:val="000A2871"/>
    <w:rsid w:val="000A2FB7"/>
    <w:rsid w:val="000A3437"/>
    <w:rsid w:val="000A3E3E"/>
    <w:rsid w:val="000A4817"/>
    <w:rsid w:val="000A4D3D"/>
    <w:rsid w:val="000A6BFA"/>
    <w:rsid w:val="000A70EF"/>
    <w:rsid w:val="000B0927"/>
    <w:rsid w:val="000B0DB8"/>
    <w:rsid w:val="000B0DE6"/>
    <w:rsid w:val="000B1086"/>
    <w:rsid w:val="000B1F8D"/>
    <w:rsid w:val="000B223B"/>
    <w:rsid w:val="000B2F00"/>
    <w:rsid w:val="000B31D0"/>
    <w:rsid w:val="000B581A"/>
    <w:rsid w:val="000C0A55"/>
    <w:rsid w:val="000C1565"/>
    <w:rsid w:val="000C2489"/>
    <w:rsid w:val="000C41D1"/>
    <w:rsid w:val="000C756F"/>
    <w:rsid w:val="000D15EE"/>
    <w:rsid w:val="000D1884"/>
    <w:rsid w:val="000D4770"/>
    <w:rsid w:val="000D5C76"/>
    <w:rsid w:val="000E0D18"/>
    <w:rsid w:val="000E12CC"/>
    <w:rsid w:val="000E1DE3"/>
    <w:rsid w:val="000E2FA0"/>
    <w:rsid w:val="000E4161"/>
    <w:rsid w:val="000E47E9"/>
    <w:rsid w:val="000E6D23"/>
    <w:rsid w:val="000E7A80"/>
    <w:rsid w:val="000F1EC2"/>
    <w:rsid w:val="000F1ECC"/>
    <w:rsid w:val="000F247D"/>
    <w:rsid w:val="000F53C9"/>
    <w:rsid w:val="000F7A27"/>
    <w:rsid w:val="001022A1"/>
    <w:rsid w:val="00106655"/>
    <w:rsid w:val="00111B4D"/>
    <w:rsid w:val="0011322D"/>
    <w:rsid w:val="00114843"/>
    <w:rsid w:val="00114D7E"/>
    <w:rsid w:val="00116FD2"/>
    <w:rsid w:val="0012096C"/>
    <w:rsid w:val="001211ED"/>
    <w:rsid w:val="001217B7"/>
    <w:rsid w:val="0012237F"/>
    <w:rsid w:val="00123272"/>
    <w:rsid w:val="00125090"/>
    <w:rsid w:val="00127828"/>
    <w:rsid w:val="001304DC"/>
    <w:rsid w:val="001310BC"/>
    <w:rsid w:val="00131F09"/>
    <w:rsid w:val="001339D0"/>
    <w:rsid w:val="0013466D"/>
    <w:rsid w:val="00134816"/>
    <w:rsid w:val="001364ED"/>
    <w:rsid w:val="00137057"/>
    <w:rsid w:val="001377BE"/>
    <w:rsid w:val="001412DC"/>
    <w:rsid w:val="00141787"/>
    <w:rsid w:val="0014293C"/>
    <w:rsid w:val="001436DD"/>
    <w:rsid w:val="0015084D"/>
    <w:rsid w:val="00156EBA"/>
    <w:rsid w:val="00157656"/>
    <w:rsid w:val="00161BDA"/>
    <w:rsid w:val="001623CF"/>
    <w:rsid w:val="001645BB"/>
    <w:rsid w:val="00165524"/>
    <w:rsid w:val="001663DB"/>
    <w:rsid w:val="001666FC"/>
    <w:rsid w:val="00170872"/>
    <w:rsid w:val="00171618"/>
    <w:rsid w:val="00173176"/>
    <w:rsid w:val="001739A9"/>
    <w:rsid w:val="00174115"/>
    <w:rsid w:val="0017529C"/>
    <w:rsid w:val="0017645C"/>
    <w:rsid w:val="00176BF1"/>
    <w:rsid w:val="001814CF"/>
    <w:rsid w:val="001819B1"/>
    <w:rsid w:val="00182F11"/>
    <w:rsid w:val="00183ADA"/>
    <w:rsid w:val="00183CA1"/>
    <w:rsid w:val="0018595C"/>
    <w:rsid w:val="00186706"/>
    <w:rsid w:val="001876AE"/>
    <w:rsid w:val="00187D9E"/>
    <w:rsid w:val="00191B2B"/>
    <w:rsid w:val="0019253E"/>
    <w:rsid w:val="0019579B"/>
    <w:rsid w:val="00195A26"/>
    <w:rsid w:val="00196386"/>
    <w:rsid w:val="00196F71"/>
    <w:rsid w:val="001A12BF"/>
    <w:rsid w:val="001A2071"/>
    <w:rsid w:val="001A2D10"/>
    <w:rsid w:val="001A510E"/>
    <w:rsid w:val="001A6850"/>
    <w:rsid w:val="001B1B84"/>
    <w:rsid w:val="001B1EF5"/>
    <w:rsid w:val="001B279A"/>
    <w:rsid w:val="001B7A78"/>
    <w:rsid w:val="001C263A"/>
    <w:rsid w:val="001C2C01"/>
    <w:rsid w:val="001C5E41"/>
    <w:rsid w:val="001C77BC"/>
    <w:rsid w:val="001D1005"/>
    <w:rsid w:val="001D13B8"/>
    <w:rsid w:val="001D2FC3"/>
    <w:rsid w:val="001D48BB"/>
    <w:rsid w:val="001D55F2"/>
    <w:rsid w:val="001D5A5A"/>
    <w:rsid w:val="001E00E3"/>
    <w:rsid w:val="001E0580"/>
    <w:rsid w:val="001E39F1"/>
    <w:rsid w:val="001E6E6C"/>
    <w:rsid w:val="001E7AB3"/>
    <w:rsid w:val="001F223E"/>
    <w:rsid w:val="001F2349"/>
    <w:rsid w:val="001F2708"/>
    <w:rsid w:val="001F3C45"/>
    <w:rsid w:val="001F3FB4"/>
    <w:rsid w:val="001F4521"/>
    <w:rsid w:val="001F60F3"/>
    <w:rsid w:val="002005D2"/>
    <w:rsid w:val="002010DA"/>
    <w:rsid w:val="002022B4"/>
    <w:rsid w:val="002026AA"/>
    <w:rsid w:val="0020298B"/>
    <w:rsid w:val="0020356A"/>
    <w:rsid w:val="00203DEC"/>
    <w:rsid w:val="0020462D"/>
    <w:rsid w:val="00205334"/>
    <w:rsid w:val="00205A62"/>
    <w:rsid w:val="00205E80"/>
    <w:rsid w:val="00206111"/>
    <w:rsid w:val="00210834"/>
    <w:rsid w:val="002116D7"/>
    <w:rsid w:val="0021254D"/>
    <w:rsid w:val="002128BA"/>
    <w:rsid w:val="002134D9"/>
    <w:rsid w:val="002137E0"/>
    <w:rsid w:val="00213AE4"/>
    <w:rsid w:val="00213C1B"/>
    <w:rsid w:val="00213D89"/>
    <w:rsid w:val="00215FBE"/>
    <w:rsid w:val="0021604A"/>
    <w:rsid w:val="00216FD7"/>
    <w:rsid w:val="00220BF6"/>
    <w:rsid w:val="0022111D"/>
    <w:rsid w:val="0022674B"/>
    <w:rsid w:val="00230024"/>
    <w:rsid w:val="00231CF1"/>
    <w:rsid w:val="00231F6E"/>
    <w:rsid w:val="00232A98"/>
    <w:rsid w:val="00233CED"/>
    <w:rsid w:val="00237830"/>
    <w:rsid w:val="00237C55"/>
    <w:rsid w:val="00237F3A"/>
    <w:rsid w:val="002407E9"/>
    <w:rsid w:val="002419E4"/>
    <w:rsid w:val="00241F83"/>
    <w:rsid w:val="002445CE"/>
    <w:rsid w:val="00245099"/>
    <w:rsid w:val="00245D5D"/>
    <w:rsid w:val="0024666C"/>
    <w:rsid w:val="00250E23"/>
    <w:rsid w:val="002510CB"/>
    <w:rsid w:val="00251F90"/>
    <w:rsid w:val="00252C88"/>
    <w:rsid w:val="0025471D"/>
    <w:rsid w:val="00257729"/>
    <w:rsid w:val="002600FB"/>
    <w:rsid w:val="00260745"/>
    <w:rsid w:val="0026488C"/>
    <w:rsid w:val="00265991"/>
    <w:rsid w:val="002663AA"/>
    <w:rsid w:val="00266B80"/>
    <w:rsid w:val="00266D98"/>
    <w:rsid w:val="0027086E"/>
    <w:rsid w:val="002722DC"/>
    <w:rsid w:val="0027313E"/>
    <w:rsid w:val="002741AC"/>
    <w:rsid w:val="00275F13"/>
    <w:rsid w:val="00275FB2"/>
    <w:rsid w:val="0027697C"/>
    <w:rsid w:val="00277771"/>
    <w:rsid w:val="00277853"/>
    <w:rsid w:val="002819C0"/>
    <w:rsid w:val="00290B12"/>
    <w:rsid w:val="002912AE"/>
    <w:rsid w:val="00295556"/>
    <w:rsid w:val="00295BB5"/>
    <w:rsid w:val="00295C91"/>
    <w:rsid w:val="00296770"/>
    <w:rsid w:val="002973A5"/>
    <w:rsid w:val="002977E7"/>
    <w:rsid w:val="002A1C97"/>
    <w:rsid w:val="002A2748"/>
    <w:rsid w:val="002A35E4"/>
    <w:rsid w:val="002A4469"/>
    <w:rsid w:val="002A4914"/>
    <w:rsid w:val="002A4A06"/>
    <w:rsid w:val="002A5A4D"/>
    <w:rsid w:val="002A681B"/>
    <w:rsid w:val="002A6A9D"/>
    <w:rsid w:val="002B0BD1"/>
    <w:rsid w:val="002B3D47"/>
    <w:rsid w:val="002B4262"/>
    <w:rsid w:val="002B4BEF"/>
    <w:rsid w:val="002C01DA"/>
    <w:rsid w:val="002C2A5F"/>
    <w:rsid w:val="002C739E"/>
    <w:rsid w:val="002C7D32"/>
    <w:rsid w:val="002D08E0"/>
    <w:rsid w:val="002D0976"/>
    <w:rsid w:val="002D1089"/>
    <w:rsid w:val="002D4876"/>
    <w:rsid w:val="002D4B96"/>
    <w:rsid w:val="002D5A4D"/>
    <w:rsid w:val="002E0007"/>
    <w:rsid w:val="002E22AF"/>
    <w:rsid w:val="002E3528"/>
    <w:rsid w:val="002E450D"/>
    <w:rsid w:val="002E48CC"/>
    <w:rsid w:val="002E5A39"/>
    <w:rsid w:val="002E7ED6"/>
    <w:rsid w:val="002F3B5D"/>
    <w:rsid w:val="002F3C29"/>
    <w:rsid w:val="002F3FEF"/>
    <w:rsid w:val="002F41D9"/>
    <w:rsid w:val="002F4BFA"/>
    <w:rsid w:val="002F4E26"/>
    <w:rsid w:val="002F51EF"/>
    <w:rsid w:val="002F6155"/>
    <w:rsid w:val="002F701B"/>
    <w:rsid w:val="002F77D7"/>
    <w:rsid w:val="00305D7F"/>
    <w:rsid w:val="00306D16"/>
    <w:rsid w:val="003103FD"/>
    <w:rsid w:val="00310C7A"/>
    <w:rsid w:val="00315786"/>
    <w:rsid w:val="003234F4"/>
    <w:rsid w:val="00323B38"/>
    <w:rsid w:val="00324398"/>
    <w:rsid w:val="00327C35"/>
    <w:rsid w:val="003314F9"/>
    <w:rsid w:val="00333E9F"/>
    <w:rsid w:val="00336839"/>
    <w:rsid w:val="00337B4E"/>
    <w:rsid w:val="00337B60"/>
    <w:rsid w:val="00343D0A"/>
    <w:rsid w:val="00345070"/>
    <w:rsid w:val="00346904"/>
    <w:rsid w:val="00346AD5"/>
    <w:rsid w:val="00346BE0"/>
    <w:rsid w:val="003477BB"/>
    <w:rsid w:val="00355BC5"/>
    <w:rsid w:val="00355D2B"/>
    <w:rsid w:val="00355D32"/>
    <w:rsid w:val="00360A0A"/>
    <w:rsid w:val="00360FB2"/>
    <w:rsid w:val="003612A3"/>
    <w:rsid w:val="00362634"/>
    <w:rsid w:val="0036283B"/>
    <w:rsid w:val="00365460"/>
    <w:rsid w:val="00367168"/>
    <w:rsid w:val="00367C12"/>
    <w:rsid w:val="00373DFF"/>
    <w:rsid w:val="00374087"/>
    <w:rsid w:val="00375672"/>
    <w:rsid w:val="00376B15"/>
    <w:rsid w:val="0038297F"/>
    <w:rsid w:val="00384FC3"/>
    <w:rsid w:val="00385860"/>
    <w:rsid w:val="00385F42"/>
    <w:rsid w:val="0038705A"/>
    <w:rsid w:val="00391C79"/>
    <w:rsid w:val="00391F1F"/>
    <w:rsid w:val="00392408"/>
    <w:rsid w:val="00393047"/>
    <w:rsid w:val="00393B64"/>
    <w:rsid w:val="00394028"/>
    <w:rsid w:val="00397985"/>
    <w:rsid w:val="003A039A"/>
    <w:rsid w:val="003A15C2"/>
    <w:rsid w:val="003A3804"/>
    <w:rsid w:val="003A411B"/>
    <w:rsid w:val="003A52BE"/>
    <w:rsid w:val="003A5713"/>
    <w:rsid w:val="003A5866"/>
    <w:rsid w:val="003A6E26"/>
    <w:rsid w:val="003A6E9F"/>
    <w:rsid w:val="003A6F9C"/>
    <w:rsid w:val="003A78C1"/>
    <w:rsid w:val="003B053D"/>
    <w:rsid w:val="003B0695"/>
    <w:rsid w:val="003B1FFF"/>
    <w:rsid w:val="003B7482"/>
    <w:rsid w:val="003C4757"/>
    <w:rsid w:val="003C5DAF"/>
    <w:rsid w:val="003D09F9"/>
    <w:rsid w:val="003D0D54"/>
    <w:rsid w:val="003D1098"/>
    <w:rsid w:val="003D171A"/>
    <w:rsid w:val="003D4525"/>
    <w:rsid w:val="003D4CD6"/>
    <w:rsid w:val="003E3AD3"/>
    <w:rsid w:val="003E5A45"/>
    <w:rsid w:val="003E6623"/>
    <w:rsid w:val="003F0EB8"/>
    <w:rsid w:val="003F1FA8"/>
    <w:rsid w:val="003F2999"/>
    <w:rsid w:val="003F3268"/>
    <w:rsid w:val="003F3992"/>
    <w:rsid w:val="003F4600"/>
    <w:rsid w:val="003F5F13"/>
    <w:rsid w:val="003F6703"/>
    <w:rsid w:val="003F6C96"/>
    <w:rsid w:val="0040015C"/>
    <w:rsid w:val="00400AFA"/>
    <w:rsid w:val="004021ED"/>
    <w:rsid w:val="00407399"/>
    <w:rsid w:val="00412C6B"/>
    <w:rsid w:val="00413AAB"/>
    <w:rsid w:val="004142B8"/>
    <w:rsid w:val="00414653"/>
    <w:rsid w:val="00414F11"/>
    <w:rsid w:val="0041506F"/>
    <w:rsid w:val="0041513F"/>
    <w:rsid w:val="00415B2D"/>
    <w:rsid w:val="00416E07"/>
    <w:rsid w:val="00420614"/>
    <w:rsid w:val="004221B3"/>
    <w:rsid w:val="004228C7"/>
    <w:rsid w:val="00425948"/>
    <w:rsid w:val="00425BE5"/>
    <w:rsid w:val="00425EF4"/>
    <w:rsid w:val="00426279"/>
    <w:rsid w:val="00426485"/>
    <w:rsid w:val="004272FF"/>
    <w:rsid w:val="0042798B"/>
    <w:rsid w:val="004308A6"/>
    <w:rsid w:val="00430934"/>
    <w:rsid w:val="00431B87"/>
    <w:rsid w:val="00432A9B"/>
    <w:rsid w:val="00432B12"/>
    <w:rsid w:val="0043396A"/>
    <w:rsid w:val="00434913"/>
    <w:rsid w:val="00436223"/>
    <w:rsid w:val="0043673E"/>
    <w:rsid w:val="00441AAF"/>
    <w:rsid w:val="00441E22"/>
    <w:rsid w:val="00441F8D"/>
    <w:rsid w:val="00445A22"/>
    <w:rsid w:val="00445EFB"/>
    <w:rsid w:val="0044606D"/>
    <w:rsid w:val="00446220"/>
    <w:rsid w:val="004474F8"/>
    <w:rsid w:val="004500B4"/>
    <w:rsid w:val="0045064C"/>
    <w:rsid w:val="0045142C"/>
    <w:rsid w:val="004537C0"/>
    <w:rsid w:val="00456A92"/>
    <w:rsid w:val="00464126"/>
    <w:rsid w:val="00464174"/>
    <w:rsid w:val="00464266"/>
    <w:rsid w:val="004667ED"/>
    <w:rsid w:val="00466BA4"/>
    <w:rsid w:val="004672C1"/>
    <w:rsid w:val="00467551"/>
    <w:rsid w:val="00471A91"/>
    <w:rsid w:val="00474730"/>
    <w:rsid w:val="00477550"/>
    <w:rsid w:val="00480640"/>
    <w:rsid w:val="004844A8"/>
    <w:rsid w:val="004844FC"/>
    <w:rsid w:val="00484907"/>
    <w:rsid w:val="004857F5"/>
    <w:rsid w:val="004864EF"/>
    <w:rsid w:val="004869B8"/>
    <w:rsid w:val="00486D26"/>
    <w:rsid w:val="004872D5"/>
    <w:rsid w:val="00492933"/>
    <w:rsid w:val="00495B9C"/>
    <w:rsid w:val="00495F21"/>
    <w:rsid w:val="00496803"/>
    <w:rsid w:val="00497ED4"/>
    <w:rsid w:val="004A0AE8"/>
    <w:rsid w:val="004A0CC9"/>
    <w:rsid w:val="004A2D45"/>
    <w:rsid w:val="004A3CA4"/>
    <w:rsid w:val="004A55A7"/>
    <w:rsid w:val="004A79DC"/>
    <w:rsid w:val="004A7C49"/>
    <w:rsid w:val="004B0825"/>
    <w:rsid w:val="004B0888"/>
    <w:rsid w:val="004B2738"/>
    <w:rsid w:val="004B2A37"/>
    <w:rsid w:val="004B4D29"/>
    <w:rsid w:val="004B515A"/>
    <w:rsid w:val="004B524D"/>
    <w:rsid w:val="004B6688"/>
    <w:rsid w:val="004B6D9F"/>
    <w:rsid w:val="004C0107"/>
    <w:rsid w:val="004C057F"/>
    <w:rsid w:val="004C11CA"/>
    <w:rsid w:val="004C2206"/>
    <w:rsid w:val="004C5041"/>
    <w:rsid w:val="004C5B13"/>
    <w:rsid w:val="004C64F4"/>
    <w:rsid w:val="004D1A8E"/>
    <w:rsid w:val="004D1B95"/>
    <w:rsid w:val="004D2E8F"/>
    <w:rsid w:val="004D44C5"/>
    <w:rsid w:val="004D458A"/>
    <w:rsid w:val="004E0240"/>
    <w:rsid w:val="004E0B49"/>
    <w:rsid w:val="004E2646"/>
    <w:rsid w:val="004E32AB"/>
    <w:rsid w:val="004E4A2D"/>
    <w:rsid w:val="004E55AC"/>
    <w:rsid w:val="004E6755"/>
    <w:rsid w:val="004E7D6C"/>
    <w:rsid w:val="004F300C"/>
    <w:rsid w:val="004F4097"/>
    <w:rsid w:val="00501A98"/>
    <w:rsid w:val="00504F31"/>
    <w:rsid w:val="0050555F"/>
    <w:rsid w:val="00505890"/>
    <w:rsid w:val="0050655C"/>
    <w:rsid w:val="00514891"/>
    <w:rsid w:val="00516F66"/>
    <w:rsid w:val="005244A4"/>
    <w:rsid w:val="0052580E"/>
    <w:rsid w:val="00525D05"/>
    <w:rsid w:val="00527483"/>
    <w:rsid w:val="00527783"/>
    <w:rsid w:val="005301E9"/>
    <w:rsid w:val="0053376B"/>
    <w:rsid w:val="0053626F"/>
    <w:rsid w:val="0053689C"/>
    <w:rsid w:val="00537965"/>
    <w:rsid w:val="005403D0"/>
    <w:rsid w:val="0054130C"/>
    <w:rsid w:val="00541C1A"/>
    <w:rsid w:val="00542152"/>
    <w:rsid w:val="0054481A"/>
    <w:rsid w:val="005453A8"/>
    <w:rsid w:val="00545745"/>
    <w:rsid w:val="0054574B"/>
    <w:rsid w:val="00547DFE"/>
    <w:rsid w:val="00547E18"/>
    <w:rsid w:val="00547E88"/>
    <w:rsid w:val="00551A01"/>
    <w:rsid w:val="005522B0"/>
    <w:rsid w:val="00552301"/>
    <w:rsid w:val="005529FA"/>
    <w:rsid w:val="00553DCD"/>
    <w:rsid w:val="00554A1F"/>
    <w:rsid w:val="00555518"/>
    <w:rsid w:val="005570EB"/>
    <w:rsid w:val="00557BC6"/>
    <w:rsid w:val="005600F2"/>
    <w:rsid w:val="00560AC6"/>
    <w:rsid w:val="005645A2"/>
    <w:rsid w:val="00567068"/>
    <w:rsid w:val="005678C3"/>
    <w:rsid w:val="00567A02"/>
    <w:rsid w:val="00570327"/>
    <w:rsid w:val="005705B6"/>
    <w:rsid w:val="005744D3"/>
    <w:rsid w:val="00574C6F"/>
    <w:rsid w:val="00575A9C"/>
    <w:rsid w:val="005814B5"/>
    <w:rsid w:val="005844E5"/>
    <w:rsid w:val="00585565"/>
    <w:rsid w:val="00585C51"/>
    <w:rsid w:val="0059357A"/>
    <w:rsid w:val="00593CB5"/>
    <w:rsid w:val="00594619"/>
    <w:rsid w:val="0059657D"/>
    <w:rsid w:val="00596C51"/>
    <w:rsid w:val="005972E9"/>
    <w:rsid w:val="005A40D6"/>
    <w:rsid w:val="005B26C9"/>
    <w:rsid w:val="005B28B8"/>
    <w:rsid w:val="005B2E5C"/>
    <w:rsid w:val="005B31C1"/>
    <w:rsid w:val="005B338C"/>
    <w:rsid w:val="005B4ABD"/>
    <w:rsid w:val="005B74DD"/>
    <w:rsid w:val="005B7719"/>
    <w:rsid w:val="005B7C17"/>
    <w:rsid w:val="005C014B"/>
    <w:rsid w:val="005C17BA"/>
    <w:rsid w:val="005C2DE3"/>
    <w:rsid w:val="005C40FE"/>
    <w:rsid w:val="005C6BDB"/>
    <w:rsid w:val="005D3422"/>
    <w:rsid w:val="005D3E9D"/>
    <w:rsid w:val="005D5A71"/>
    <w:rsid w:val="005D5C03"/>
    <w:rsid w:val="005D5FEB"/>
    <w:rsid w:val="005D6C72"/>
    <w:rsid w:val="005D6E99"/>
    <w:rsid w:val="005E00E3"/>
    <w:rsid w:val="005E0208"/>
    <w:rsid w:val="005E0487"/>
    <w:rsid w:val="005E1C9E"/>
    <w:rsid w:val="005E20E4"/>
    <w:rsid w:val="005E256F"/>
    <w:rsid w:val="005E25C7"/>
    <w:rsid w:val="005E577B"/>
    <w:rsid w:val="005E5FCD"/>
    <w:rsid w:val="005E787B"/>
    <w:rsid w:val="005E798B"/>
    <w:rsid w:val="005F1771"/>
    <w:rsid w:val="005F1956"/>
    <w:rsid w:val="005F4D1C"/>
    <w:rsid w:val="005F548F"/>
    <w:rsid w:val="005F5E57"/>
    <w:rsid w:val="005F61E2"/>
    <w:rsid w:val="005F6682"/>
    <w:rsid w:val="00600BD7"/>
    <w:rsid w:val="00601DEE"/>
    <w:rsid w:val="0060345F"/>
    <w:rsid w:val="00603AA3"/>
    <w:rsid w:val="00605121"/>
    <w:rsid w:val="006107A3"/>
    <w:rsid w:val="00610E92"/>
    <w:rsid w:val="00611386"/>
    <w:rsid w:val="00614307"/>
    <w:rsid w:val="006205AA"/>
    <w:rsid w:val="00620BC6"/>
    <w:rsid w:val="00623F05"/>
    <w:rsid w:val="00624345"/>
    <w:rsid w:val="0062474B"/>
    <w:rsid w:val="00624FFD"/>
    <w:rsid w:val="006256D3"/>
    <w:rsid w:val="00625F8D"/>
    <w:rsid w:val="00626391"/>
    <w:rsid w:val="00627BB7"/>
    <w:rsid w:val="0063375A"/>
    <w:rsid w:val="00635EF1"/>
    <w:rsid w:val="0063629C"/>
    <w:rsid w:val="00640BF3"/>
    <w:rsid w:val="00643CE1"/>
    <w:rsid w:val="00644405"/>
    <w:rsid w:val="0064447C"/>
    <w:rsid w:val="006446DC"/>
    <w:rsid w:val="00644A13"/>
    <w:rsid w:val="00644E68"/>
    <w:rsid w:val="00647084"/>
    <w:rsid w:val="00647E0D"/>
    <w:rsid w:val="0065136E"/>
    <w:rsid w:val="006518CD"/>
    <w:rsid w:val="0065205F"/>
    <w:rsid w:val="00654C4E"/>
    <w:rsid w:val="00657873"/>
    <w:rsid w:val="00657FD9"/>
    <w:rsid w:val="00661A4E"/>
    <w:rsid w:val="0066287B"/>
    <w:rsid w:val="00664D04"/>
    <w:rsid w:val="00664E59"/>
    <w:rsid w:val="006653E0"/>
    <w:rsid w:val="00665699"/>
    <w:rsid w:val="00670D71"/>
    <w:rsid w:val="00671192"/>
    <w:rsid w:val="00671332"/>
    <w:rsid w:val="00675035"/>
    <w:rsid w:val="006752E9"/>
    <w:rsid w:val="00682219"/>
    <w:rsid w:val="00682998"/>
    <w:rsid w:val="0068661F"/>
    <w:rsid w:val="00692AC6"/>
    <w:rsid w:val="00696195"/>
    <w:rsid w:val="006A009D"/>
    <w:rsid w:val="006A2F5D"/>
    <w:rsid w:val="006A7B7A"/>
    <w:rsid w:val="006A7D47"/>
    <w:rsid w:val="006B2832"/>
    <w:rsid w:val="006B459F"/>
    <w:rsid w:val="006B5D22"/>
    <w:rsid w:val="006B6D43"/>
    <w:rsid w:val="006B6E32"/>
    <w:rsid w:val="006B7C5D"/>
    <w:rsid w:val="006C0436"/>
    <w:rsid w:val="006C0BE7"/>
    <w:rsid w:val="006C1284"/>
    <w:rsid w:val="006C1C5E"/>
    <w:rsid w:val="006C1FCA"/>
    <w:rsid w:val="006C2FE3"/>
    <w:rsid w:val="006C4B67"/>
    <w:rsid w:val="006C5202"/>
    <w:rsid w:val="006C5970"/>
    <w:rsid w:val="006D07E0"/>
    <w:rsid w:val="006D25D1"/>
    <w:rsid w:val="006D3B2B"/>
    <w:rsid w:val="006D4478"/>
    <w:rsid w:val="006D47BC"/>
    <w:rsid w:val="006D4D0C"/>
    <w:rsid w:val="006D56CD"/>
    <w:rsid w:val="006D6A56"/>
    <w:rsid w:val="006E09BA"/>
    <w:rsid w:val="006E12B9"/>
    <w:rsid w:val="006E3924"/>
    <w:rsid w:val="006E4037"/>
    <w:rsid w:val="006E4080"/>
    <w:rsid w:val="006E4428"/>
    <w:rsid w:val="006E58ED"/>
    <w:rsid w:val="006E7DCE"/>
    <w:rsid w:val="006E7ED9"/>
    <w:rsid w:val="006F061B"/>
    <w:rsid w:val="006F11A0"/>
    <w:rsid w:val="006F3243"/>
    <w:rsid w:val="006F4871"/>
    <w:rsid w:val="006F6034"/>
    <w:rsid w:val="006F65A0"/>
    <w:rsid w:val="006F7D86"/>
    <w:rsid w:val="00700509"/>
    <w:rsid w:val="00700521"/>
    <w:rsid w:val="00701942"/>
    <w:rsid w:val="0070383E"/>
    <w:rsid w:val="00703D9A"/>
    <w:rsid w:val="00703EDC"/>
    <w:rsid w:val="007048A2"/>
    <w:rsid w:val="007050FF"/>
    <w:rsid w:val="00705633"/>
    <w:rsid w:val="0070660C"/>
    <w:rsid w:val="00707E2E"/>
    <w:rsid w:val="00711CF6"/>
    <w:rsid w:val="00712B2A"/>
    <w:rsid w:val="00713FF6"/>
    <w:rsid w:val="0071500C"/>
    <w:rsid w:val="00715917"/>
    <w:rsid w:val="00715BC7"/>
    <w:rsid w:val="00717B80"/>
    <w:rsid w:val="00721983"/>
    <w:rsid w:val="00724977"/>
    <w:rsid w:val="00725483"/>
    <w:rsid w:val="007255EB"/>
    <w:rsid w:val="00726DB1"/>
    <w:rsid w:val="00730E92"/>
    <w:rsid w:val="00731382"/>
    <w:rsid w:val="007315B9"/>
    <w:rsid w:val="00731914"/>
    <w:rsid w:val="00731B6E"/>
    <w:rsid w:val="00731E89"/>
    <w:rsid w:val="007325CC"/>
    <w:rsid w:val="007370AF"/>
    <w:rsid w:val="007418A3"/>
    <w:rsid w:val="00742D9C"/>
    <w:rsid w:val="00744801"/>
    <w:rsid w:val="00745747"/>
    <w:rsid w:val="007479A0"/>
    <w:rsid w:val="007516F6"/>
    <w:rsid w:val="00751DD3"/>
    <w:rsid w:val="007524C3"/>
    <w:rsid w:val="00752764"/>
    <w:rsid w:val="007535AE"/>
    <w:rsid w:val="00754124"/>
    <w:rsid w:val="00754308"/>
    <w:rsid w:val="00757029"/>
    <w:rsid w:val="00761B88"/>
    <w:rsid w:val="007633D7"/>
    <w:rsid w:val="00764A84"/>
    <w:rsid w:val="00766962"/>
    <w:rsid w:val="007671CD"/>
    <w:rsid w:val="007731AE"/>
    <w:rsid w:val="00775287"/>
    <w:rsid w:val="00775306"/>
    <w:rsid w:val="0077597F"/>
    <w:rsid w:val="007768E2"/>
    <w:rsid w:val="00776917"/>
    <w:rsid w:val="00781464"/>
    <w:rsid w:val="007827C4"/>
    <w:rsid w:val="007828FC"/>
    <w:rsid w:val="00782ED0"/>
    <w:rsid w:val="00783425"/>
    <w:rsid w:val="007847F8"/>
    <w:rsid w:val="00786D99"/>
    <w:rsid w:val="00791322"/>
    <w:rsid w:val="00791513"/>
    <w:rsid w:val="00794085"/>
    <w:rsid w:val="00794FC0"/>
    <w:rsid w:val="007961A7"/>
    <w:rsid w:val="00797071"/>
    <w:rsid w:val="007A13A3"/>
    <w:rsid w:val="007A13CC"/>
    <w:rsid w:val="007A2CB9"/>
    <w:rsid w:val="007A3EF4"/>
    <w:rsid w:val="007A62CB"/>
    <w:rsid w:val="007B05BE"/>
    <w:rsid w:val="007C0A55"/>
    <w:rsid w:val="007C1047"/>
    <w:rsid w:val="007C15C1"/>
    <w:rsid w:val="007C4682"/>
    <w:rsid w:val="007C5836"/>
    <w:rsid w:val="007C774A"/>
    <w:rsid w:val="007C778B"/>
    <w:rsid w:val="007C7F77"/>
    <w:rsid w:val="007D1B7C"/>
    <w:rsid w:val="007D2D36"/>
    <w:rsid w:val="007D33F4"/>
    <w:rsid w:val="007D391D"/>
    <w:rsid w:val="007D42BD"/>
    <w:rsid w:val="007D5EE1"/>
    <w:rsid w:val="007D659D"/>
    <w:rsid w:val="007D7BFF"/>
    <w:rsid w:val="007E152D"/>
    <w:rsid w:val="007E2868"/>
    <w:rsid w:val="007E446B"/>
    <w:rsid w:val="007E725D"/>
    <w:rsid w:val="007F0A11"/>
    <w:rsid w:val="007F2DF7"/>
    <w:rsid w:val="007F341A"/>
    <w:rsid w:val="007F3ABE"/>
    <w:rsid w:val="007F3F91"/>
    <w:rsid w:val="007F57C0"/>
    <w:rsid w:val="007F78B0"/>
    <w:rsid w:val="00801810"/>
    <w:rsid w:val="00807159"/>
    <w:rsid w:val="008072E0"/>
    <w:rsid w:val="0080752F"/>
    <w:rsid w:val="008115A5"/>
    <w:rsid w:val="0081195F"/>
    <w:rsid w:val="00811DAA"/>
    <w:rsid w:val="00813B25"/>
    <w:rsid w:val="008159BA"/>
    <w:rsid w:val="00820909"/>
    <w:rsid w:val="00820E54"/>
    <w:rsid w:val="008217D7"/>
    <w:rsid w:val="008222B0"/>
    <w:rsid w:val="0082537D"/>
    <w:rsid w:val="008257E7"/>
    <w:rsid w:val="008259D5"/>
    <w:rsid w:val="00830EFA"/>
    <w:rsid w:val="00831639"/>
    <w:rsid w:val="008328E9"/>
    <w:rsid w:val="00833D90"/>
    <w:rsid w:val="008346DF"/>
    <w:rsid w:val="00834C78"/>
    <w:rsid w:val="00835BCB"/>
    <w:rsid w:val="00835CDC"/>
    <w:rsid w:val="00836446"/>
    <w:rsid w:val="0083661D"/>
    <w:rsid w:val="00837770"/>
    <w:rsid w:val="00841566"/>
    <w:rsid w:val="00841706"/>
    <w:rsid w:val="008421DD"/>
    <w:rsid w:val="00842442"/>
    <w:rsid w:val="00843622"/>
    <w:rsid w:val="008469D7"/>
    <w:rsid w:val="00847A97"/>
    <w:rsid w:val="00850B09"/>
    <w:rsid w:val="00851B2E"/>
    <w:rsid w:val="008526B2"/>
    <w:rsid w:val="00855C00"/>
    <w:rsid w:val="008561D2"/>
    <w:rsid w:val="00856D6E"/>
    <w:rsid w:val="00860074"/>
    <w:rsid w:val="0086166A"/>
    <w:rsid w:val="00861775"/>
    <w:rsid w:val="00861AE9"/>
    <w:rsid w:val="008626C7"/>
    <w:rsid w:val="008639FD"/>
    <w:rsid w:val="00863B9D"/>
    <w:rsid w:val="00863BE6"/>
    <w:rsid w:val="00864AD8"/>
    <w:rsid w:val="00864DFD"/>
    <w:rsid w:val="00865595"/>
    <w:rsid w:val="008663CB"/>
    <w:rsid w:val="008677FC"/>
    <w:rsid w:val="00867ABC"/>
    <w:rsid w:val="00867FBC"/>
    <w:rsid w:val="0087197C"/>
    <w:rsid w:val="00873313"/>
    <w:rsid w:val="008760C2"/>
    <w:rsid w:val="008775BC"/>
    <w:rsid w:val="00880518"/>
    <w:rsid w:val="00881B2B"/>
    <w:rsid w:val="00882C00"/>
    <w:rsid w:val="00882D19"/>
    <w:rsid w:val="00882F1B"/>
    <w:rsid w:val="008832A3"/>
    <w:rsid w:val="00884949"/>
    <w:rsid w:val="00884E3B"/>
    <w:rsid w:val="00886848"/>
    <w:rsid w:val="008925D0"/>
    <w:rsid w:val="008940A5"/>
    <w:rsid w:val="00895DF1"/>
    <w:rsid w:val="00895E0F"/>
    <w:rsid w:val="00896011"/>
    <w:rsid w:val="00896C99"/>
    <w:rsid w:val="008A1544"/>
    <w:rsid w:val="008A55C5"/>
    <w:rsid w:val="008A5845"/>
    <w:rsid w:val="008A5D38"/>
    <w:rsid w:val="008A6910"/>
    <w:rsid w:val="008A70CE"/>
    <w:rsid w:val="008B2201"/>
    <w:rsid w:val="008B3154"/>
    <w:rsid w:val="008B48E7"/>
    <w:rsid w:val="008B6D14"/>
    <w:rsid w:val="008B734A"/>
    <w:rsid w:val="008C25E4"/>
    <w:rsid w:val="008C2DAE"/>
    <w:rsid w:val="008C4298"/>
    <w:rsid w:val="008D2E0A"/>
    <w:rsid w:val="008D417A"/>
    <w:rsid w:val="008D59DB"/>
    <w:rsid w:val="008D675D"/>
    <w:rsid w:val="008E2134"/>
    <w:rsid w:val="008E2880"/>
    <w:rsid w:val="008E6998"/>
    <w:rsid w:val="008E7135"/>
    <w:rsid w:val="008E7CA5"/>
    <w:rsid w:val="008F067E"/>
    <w:rsid w:val="008F0755"/>
    <w:rsid w:val="008F4529"/>
    <w:rsid w:val="008F4C8B"/>
    <w:rsid w:val="008F589F"/>
    <w:rsid w:val="008F6601"/>
    <w:rsid w:val="008F6CE9"/>
    <w:rsid w:val="008F789B"/>
    <w:rsid w:val="008F7CE9"/>
    <w:rsid w:val="00901473"/>
    <w:rsid w:val="00901554"/>
    <w:rsid w:val="009024C9"/>
    <w:rsid w:val="00903C9E"/>
    <w:rsid w:val="009059A9"/>
    <w:rsid w:val="00905B5D"/>
    <w:rsid w:val="009073A6"/>
    <w:rsid w:val="009102C6"/>
    <w:rsid w:val="00911C11"/>
    <w:rsid w:val="00913356"/>
    <w:rsid w:val="00914F80"/>
    <w:rsid w:val="0091699B"/>
    <w:rsid w:val="00916CDF"/>
    <w:rsid w:val="00917824"/>
    <w:rsid w:val="00920075"/>
    <w:rsid w:val="00921775"/>
    <w:rsid w:val="0092247E"/>
    <w:rsid w:val="0092261B"/>
    <w:rsid w:val="00923144"/>
    <w:rsid w:val="00923DC5"/>
    <w:rsid w:val="00924348"/>
    <w:rsid w:val="0092515E"/>
    <w:rsid w:val="00925E8A"/>
    <w:rsid w:val="009274E7"/>
    <w:rsid w:val="00927B14"/>
    <w:rsid w:val="00930A5A"/>
    <w:rsid w:val="0093199F"/>
    <w:rsid w:val="00931E71"/>
    <w:rsid w:val="00932431"/>
    <w:rsid w:val="0093279F"/>
    <w:rsid w:val="00932A3D"/>
    <w:rsid w:val="00936866"/>
    <w:rsid w:val="00937203"/>
    <w:rsid w:val="00937668"/>
    <w:rsid w:val="009411D5"/>
    <w:rsid w:val="009422B2"/>
    <w:rsid w:val="00942FBD"/>
    <w:rsid w:val="009437C6"/>
    <w:rsid w:val="009446C7"/>
    <w:rsid w:val="00944A2C"/>
    <w:rsid w:val="0094770B"/>
    <w:rsid w:val="009507BA"/>
    <w:rsid w:val="00950B0E"/>
    <w:rsid w:val="00950EE8"/>
    <w:rsid w:val="00951786"/>
    <w:rsid w:val="00952BBC"/>
    <w:rsid w:val="00952EA8"/>
    <w:rsid w:val="00953DF7"/>
    <w:rsid w:val="00960A60"/>
    <w:rsid w:val="0096132A"/>
    <w:rsid w:val="00961BE6"/>
    <w:rsid w:val="00964479"/>
    <w:rsid w:val="00966429"/>
    <w:rsid w:val="00967ABA"/>
    <w:rsid w:val="00973345"/>
    <w:rsid w:val="009733DE"/>
    <w:rsid w:val="0097600A"/>
    <w:rsid w:val="009763AC"/>
    <w:rsid w:val="009802FC"/>
    <w:rsid w:val="0098073C"/>
    <w:rsid w:val="00981EE9"/>
    <w:rsid w:val="00983AFC"/>
    <w:rsid w:val="00984C28"/>
    <w:rsid w:val="00985262"/>
    <w:rsid w:val="00986EF0"/>
    <w:rsid w:val="00990957"/>
    <w:rsid w:val="00991E80"/>
    <w:rsid w:val="00993A23"/>
    <w:rsid w:val="00994AEE"/>
    <w:rsid w:val="00995683"/>
    <w:rsid w:val="00995E2D"/>
    <w:rsid w:val="009A122E"/>
    <w:rsid w:val="009A4FA7"/>
    <w:rsid w:val="009A68FD"/>
    <w:rsid w:val="009A7780"/>
    <w:rsid w:val="009B18DC"/>
    <w:rsid w:val="009B1FB2"/>
    <w:rsid w:val="009B2267"/>
    <w:rsid w:val="009B520A"/>
    <w:rsid w:val="009B5E47"/>
    <w:rsid w:val="009B6F5E"/>
    <w:rsid w:val="009B782E"/>
    <w:rsid w:val="009B7C1C"/>
    <w:rsid w:val="009C005C"/>
    <w:rsid w:val="009C0FD0"/>
    <w:rsid w:val="009C259F"/>
    <w:rsid w:val="009C43EB"/>
    <w:rsid w:val="009C7A14"/>
    <w:rsid w:val="009D022E"/>
    <w:rsid w:val="009D0646"/>
    <w:rsid w:val="009D0C99"/>
    <w:rsid w:val="009D150F"/>
    <w:rsid w:val="009D1682"/>
    <w:rsid w:val="009D281A"/>
    <w:rsid w:val="009D37D8"/>
    <w:rsid w:val="009D3F02"/>
    <w:rsid w:val="009D4D6A"/>
    <w:rsid w:val="009D5F0E"/>
    <w:rsid w:val="009D63CF"/>
    <w:rsid w:val="009D6F4A"/>
    <w:rsid w:val="009D78F7"/>
    <w:rsid w:val="009E0AE8"/>
    <w:rsid w:val="009E1A0F"/>
    <w:rsid w:val="009E1D1D"/>
    <w:rsid w:val="009E1E7E"/>
    <w:rsid w:val="009E4024"/>
    <w:rsid w:val="009E5374"/>
    <w:rsid w:val="009F1E2A"/>
    <w:rsid w:val="009F345D"/>
    <w:rsid w:val="009F3D2F"/>
    <w:rsid w:val="009F3E0A"/>
    <w:rsid w:val="009F3E26"/>
    <w:rsid w:val="009F575F"/>
    <w:rsid w:val="009F60E9"/>
    <w:rsid w:val="009F64EA"/>
    <w:rsid w:val="009F7C5E"/>
    <w:rsid w:val="00A00CB5"/>
    <w:rsid w:val="00A1035D"/>
    <w:rsid w:val="00A10856"/>
    <w:rsid w:val="00A10928"/>
    <w:rsid w:val="00A10E33"/>
    <w:rsid w:val="00A11304"/>
    <w:rsid w:val="00A11783"/>
    <w:rsid w:val="00A12459"/>
    <w:rsid w:val="00A13218"/>
    <w:rsid w:val="00A21438"/>
    <w:rsid w:val="00A227A3"/>
    <w:rsid w:val="00A22DBC"/>
    <w:rsid w:val="00A23058"/>
    <w:rsid w:val="00A2602F"/>
    <w:rsid w:val="00A31D53"/>
    <w:rsid w:val="00A31D58"/>
    <w:rsid w:val="00A31F17"/>
    <w:rsid w:val="00A33579"/>
    <w:rsid w:val="00A33DB8"/>
    <w:rsid w:val="00A346FB"/>
    <w:rsid w:val="00A3494D"/>
    <w:rsid w:val="00A42A3F"/>
    <w:rsid w:val="00A42C14"/>
    <w:rsid w:val="00A43E0E"/>
    <w:rsid w:val="00A43FAB"/>
    <w:rsid w:val="00A44C22"/>
    <w:rsid w:val="00A45196"/>
    <w:rsid w:val="00A462B1"/>
    <w:rsid w:val="00A46637"/>
    <w:rsid w:val="00A470F3"/>
    <w:rsid w:val="00A47F05"/>
    <w:rsid w:val="00A51E5E"/>
    <w:rsid w:val="00A55061"/>
    <w:rsid w:val="00A55F40"/>
    <w:rsid w:val="00A56A92"/>
    <w:rsid w:val="00A60541"/>
    <w:rsid w:val="00A609C9"/>
    <w:rsid w:val="00A60B73"/>
    <w:rsid w:val="00A62AB3"/>
    <w:rsid w:val="00A6573D"/>
    <w:rsid w:val="00A6670A"/>
    <w:rsid w:val="00A66716"/>
    <w:rsid w:val="00A66E2F"/>
    <w:rsid w:val="00A6715F"/>
    <w:rsid w:val="00A67EE9"/>
    <w:rsid w:val="00A71A79"/>
    <w:rsid w:val="00A744DD"/>
    <w:rsid w:val="00A7499C"/>
    <w:rsid w:val="00A74A4F"/>
    <w:rsid w:val="00A7717A"/>
    <w:rsid w:val="00A80080"/>
    <w:rsid w:val="00A82AB0"/>
    <w:rsid w:val="00A839E1"/>
    <w:rsid w:val="00A86C22"/>
    <w:rsid w:val="00A872C8"/>
    <w:rsid w:val="00A9118F"/>
    <w:rsid w:val="00A91689"/>
    <w:rsid w:val="00A92836"/>
    <w:rsid w:val="00A9331D"/>
    <w:rsid w:val="00A93AE9"/>
    <w:rsid w:val="00A95A13"/>
    <w:rsid w:val="00A96E07"/>
    <w:rsid w:val="00A96F10"/>
    <w:rsid w:val="00A97683"/>
    <w:rsid w:val="00A97744"/>
    <w:rsid w:val="00AA0DCB"/>
    <w:rsid w:val="00AA1D45"/>
    <w:rsid w:val="00AA4442"/>
    <w:rsid w:val="00AB236F"/>
    <w:rsid w:val="00AB2918"/>
    <w:rsid w:val="00AB4951"/>
    <w:rsid w:val="00AB5C29"/>
    <w:rsid w:val="00AB5F89"/>
    <w:rsid w:val="00AB64EB"/>
    <w:rsid w:val="00AC0CC2"/>
    <w:rsid w:val="00AC240C"/>
    <w:rsid w:val="00AC2857"/>
    <w:rsid w:val="00AC3DDB"/>
    <w:rsid w:val="00AC5858"/>
    <w:rsid w:val="00AD08E1"/>
    <w:rsid w:val="00AD1D52"/>
    <w:rsid w:val="00AD2866"/>
    <w:rsid w:val="00AD5A65"/>
    <w:rsid w:val="00AD66C8"/>
    <w:rsid w:val="00AD6B8D"/>
    <w:rsid w:val="00AE16C6"/>
    <w:rsid w:val="00AE1ED3"/>
    <w:rsid w:val="00AE4290"/>
    <w:rsid w:val="00AE68DB"/>
    <w:rsid w:val="00AF074F"/>
    <w:rsid w:val="00AF1364"/>
    <w:rsid w:val="00AF1F3E"/>
    <w:rsid w:val="00AF3E01"/>
    <w:rsid w:val="00AF581E"/>
    <w:rsid w:val="00AF6D40"/>
    <w:rsid w:val="00AF740B"/>
    <w:rsid w:val="00B009E8"/>
    <w:rsid w:val="00B01776"/>
    <w:rsid w:val="00B02375"/>
    <w:rsid w:val="00B051BD"/>
    <w:rsid w:val="00B0571A"/>
    <w:rsid w:val="00B0661E"/>
    <w:rsid w:val="00B072AC"/>
    <w:rsid w:val="00B10EF1"/>
    <w:rsid w:val="00B11212"/>
    <w:rsid w:val="00B14BDE"/>
    <w:rsid w:val="00B1587A"/>
    <w:rsid w:val="00B16DC2"/>
    <w:rsid w:val="00B2189B"/>
    <w:rsid w:val="00B2229B"/>
    <w:rsid w:val="00B222AB"/>
    <w:rsid w:val="00B224FB"/>
    <w:rsid w:val="00B22A18"/>
    <w:rsid w:val="00B238D6"/>
    <w:rsid w:val="00B2467F"/>
    <w:rsid w:val="00B26048"/>
    <w:rsid w:val="00B268F3"/>
    <w:rsid w:val="00B308CF"/>
    <w:rsid w:val="00B315A0"/>
    <w:rsid w:val="00B323B0"/>
    <w:rsid w:val="00B33539"/>
    <w:rsid w:val="00B34A18"/>
    <w:rsid w:val="00B34E4D"/>
    <w:rsid w:val="00B40A79"/>
    <w:rsid w:val="00B416D3"/>
    <w:rsid w:val="00B4178B"/>
    <w:rsid w:val="00B41DAF"/>
    <w:rsid w:val="00B42E57"/>
    <w:rsid w:val="00B43224"/>
    <w:rsid w:val="00B45312"/>
    <w:rsid w:val="00B465F1"/>
    <w:rsid w:val="00B468CE"/>
    <w:rsid w:val="00B47E4A"/>
    <w:rsid w:val="00B524CD"/>
    <w:rsid w:val="00B55E67"/>
    <w:rsid w:val="00B56466"/>
    <w:rsid w:val="00B57192"/>
    <w:rsid w:val="00B579CB"/>
    <w:rsid w:val="00B626CD"/>
    <w:rsid w:val="00B63C90"/>
    <w:rsid w:val="00B64C7D"/>
    <w:rsid w:val="00B65503"/>
    <w:rsid w:val="00B70083"/>
    <w:rsid w:val="00B703F1"/>
    <w:rsid w:val="00B7181F"/>
    <w:rsid w:val="00B72509"/>
    <w:rsid w:val="00B73800"/>
    <w:rsid w:val="00B73FAE"/>
    <w:rsid w:val="00B74440"/>
    <w:rsid w:val="00B74592"/>
    <w:rsid w:val="00B7573A"/>
    <w:rsid w:val="00B76CC5"/>
    <w:rsid w:val="00B82BEA"/>
    <w:rsid w:val="00B83D6F"/>
    <w:rsid w:val="00B83E79"/>
    <w:rsid w:val="00B87E7A"/>
    <w:rsid w:val="00B919C3"/>
    <w:rsid w:val="00B928D7"/>
    <w:rsid w:val="00B92BF4"/>
    <w:rsid w:val="00B93082"/>
    <w:rsid w:val="00B94492"/>
    <w:rsid w:val="00BA0F41"/>
    <w:rsid w:val="00BA2A58"/>
    <w:rsid w:val="00BA2B66"/>
    <w:rsid w:val="00BA4455"/>
    <w:rsid w:val="00BA50A6"/>
    <w:rsid w:val="00BA64A4"/>
    <w:rsid w:val="00BA66F6"/>
    <w:rsid w:val="00BA7516"/>
    <w:rsid w:val="00BB19AA"/>
    <w:rsid w:val="00BB1F29"/>
    <w:rsid w:val="00BB28F6"/>
    <w:rsid w:val="00BB30CC"/>
    <w:rsid w:val="00BB36F9"/>
    <w:rsid w:val="00BB555B"/>
    <w:rsid w:val="00BC0809"/>
    <w:rsid w:val="00BC087B"/>
    <w:rsid w:val="00BC16CB"/>
    <w:rsid w:val="00BC19C2"/>
    <w:rsid w:val="00BC2609"/>
    <w:rsid w:val="00BC2C67"/>
    <w:rsid w:val="00BC3F4A"/>
    <w:rsid w:val="00BC4FFD"/>
    <w:rsid w:val="00BD02F4"/>
    <w:rsid w:val="00BD1A29"/>
    <w:rsid w:val="00BD339A"/>
    <w:rsid w:val="00BD417E"/>
    <w:rsid w:val="00BD5388"/>
    <w:rsid w:val="00BD6138"/>
    <w:rsid w:val="00BE04A1"/>
    <w:rsid w:val="00BE122A"/>
    <w:rsid w:val="00BE1B62"/>
    <w:rsid w:val="00BE2AEE"/>
    <w:rsid w:val="00BE3558"/>
    <w:rsid w:val="00BE3FC2"/>
    <w:rsid w:val="00BE6B1D"/>
    <w:rsid w:val="00BF0C8A"/>
    <w:rsid w:val="00BF1A18"/>
    <w:rsid w:val="00BF2F50"/>
    <w:rsid w:val="00BF487F"/>
    <w:rsid w:val="00BF4C4E"/>
    <w:rsid w:val="00C0091B"/>
    <w:rsid w:val="00C00D28"/>
    <w:rsid w:val="00C025C0"/>
    <w:rsid w:val="00C03317"/>
    <w:rsid w:val="00C03AA6"/>
    <w:rsid w:val="00C0450E"/>
    <w:rsid w:val="00C0528F"/>
    <w:rsid w:val="00C05E66"/>
    <w:rsid w:val="00C061E6"/>
    <w:rsid w:val="00C06BDE"/>
    <w:rsid w:val="00C115C9"/>
    <w:rsid w:val="00C13145"/>
    <w:rsid w:val="00C16B94"/>
    <w:rsid w:val="00C17373"/>
    <w:rsid w:val="00C20AB6"/>
    <w:rsid w:val="00C2108A"/>
    <w:rsid w:val="00C232DD"/>
    <w:rsid w:val="00C25F67"/>
    <w:rsid w:val="00C260FF"/>
    <w:rsid w:val="00C268FE"/>
    <w:rsid w:val="00C279D2"/>
    <w:rsid w:val="00C3064E"/>
    <w:rsid w:val="00C31B0B"/>
    <w:rsid w:val="00C36446"/>
    <w:rsid w:val="00C425E5"/>
    <w:rsid w:val="00C4707A"/>
    <w:rsid w:val="00C5132C"/>
    <w:rsid w:val="00C52B0C"/>
    <w:rsid w:val="00C5479E"/>
    <w:rsid w:val="00C567DC"/>
    <w:rsid w:val="00C5757F"/>
    <w:rsid w:val="00C60052"/>
    <w:rsid w:val="00C60553"/>
    <w:rsid w:val="00C61968"/>
    <w:rsid w:val="00C62125"/>
    <w:rsid w:val="00C6302B"/>
    <w:rsid w:val="00C63109"/>
    <w:rsid w:val="00C64DDE"/>
    <w:rsid w:val="00C64E8B"/>
    <w:rsid w:val="00C67E70"/>
    <w:rsid w:val="00C705CA"/>
    <w:rsid w:val="00C7114C"/>
    <w:rsid w:val="00C721FD"/>
    <w:rsid w:val="00C723E1"/>
    <w:rsid w:val="00C72BDA"/>
    <w:rsid w:val="00C7446F"/>
    <w:rsid w:val="00C75027"/>
    <w:rsid w:val="00C771F3"/>
    <w:rsid w:val="00C80304"/>
    <w:rsid w:val="00C80C87"/>
    <w:rsid w:val="00C80DB4"/>
    <w:rsid w:val="00C820A3"/>
    <w:rsid w:val="00C82450"/>
    <w:rsid w:val="00C845DC"/>
    <w:rsid w:val="00C8576D"/>
    <w:rsid w:val="00C85DF1"/>
    <w:rsid w:val="00C87358"/>
    <w:rsid w:val="00C90A8E"/>
    <w:rsid w:val="00C91AE5"/>
    <w:rsid w:val="00C939BC"/>
    <w:rsid w:val="00C93F37"/>
    <w:rsid w:val="00CA0AE1"/>
    <w:rsid w:val="00CA0EFF"/>
    <w:rsid w:val="00CA2172"/>
    <w:rsid w:val="00CA7946"/>
    <w:rsid w:val="00CB2719"/>
    <w:rsid w:val="00CC1A79"/>
    <w:rsid w:val="00CC48BF"/>
    <w:rsid w:val="00CD0572"/>
    <w:rsid w:val="00CD0AF8"/>
    <w:rsid w:val="00CD3CD5"/>
    <w:rsid w:val="00CD6F41"/>
    <w:rsid w:val="00CE0615"/>
    <w:rsid w:val="00CE0BB6"/>
    <w:rsid w:val="00CE1BD8"/>
    <w:rsid w:val="00CE26F2"/>
    <w:rsid w:val="00CE38BF"/>
    <w:rsid w:val="00CE38C8"/>
    <w:rsid w:val="00CE750F"/>
    <w:rsid w:val="00CF10FF"/>
    <w:rsid w:val="00CF3532"/>
    <w:rsid w:val="00CF46CB"/>
    <w:rsid w:val="00CF497C"/>
    <w:rsid w:val="00CF5F16"/>
    <w:rsid w:val="00CF6C57"/>
    <w:rsid w:val="00CF7C56"/>
    <w:rsid w:val="00CF7D69"/>
    <w:rsid w:val="00D011A2"/>
    <w:rsid w:val="00D0183B"/>
    <w:rsid w:val="00D01A81"/>
    <w:rsid w:val="00D062B1"/>
    <w:rsid w:val="00D063A8"/>
    <w:rsid w:val="00D07F19"/>
    <w:rsid w:val="00D101E6"/>
    <w:rsid w:val="00D12487"/>
    <w:rsid w:val="00D126C9"/>
    <w:rsid w:val="00D126FD"/>
    <w:rsid w:val="00D1450E"/>
    <w:rsid w:val="00D1457D"/>
    <w:rsid w:val="00D14CE0"/>
    <w:rsid w:val="00D15B3A"/>
    <w:rsid w:val="00D160CB"/>
    <w:rsid w:val="00D16BE6"/>
    <w:rsid w:val="00D24453"/>
    <w:rsid w:val="00D245A1"/>
    <w:rsid w:val="00D249C2"/>
    <w:rsid w:val="00D2504A"/>
    <w:rsid w:val="00D25AEA"/>
    <w:rsid w:val="00D2651E"/>
    <w:rsid w:val="00D266B2"/>
    <w:rsid w:val="00D27DBC"/>
    <w:rsid w:val="00D31D1C"/>
    <w:rsid w:val="00D32DC6"/>
    <w:rsid w:val="00D32FCB"/>
    <w:rsid w:val="00D33AE6"/>
    <w:rsid w:val="00D3425C"/>
    <w:rsid w:val="00D34C93"/>
    <w:rsid w:val="00D34EE6"/>
    <w:rsid w:val="00D356D3"/>
    <w:rsid w:val="00D369F0"/>
    <w:rsid w:val="00D369FB"/>
    <w:rsid w:val="00D415E2"/>
    <w:rsid w:val="00D4187E"/>
    <w:rsid w:val="00D41C3F"/>
    <w:rsid w:val="00D42055"/>
    <w:rsid w:val="00D4247A"/>
    <w:rsid w:val="00D44A86"/>
    <w:rsid w:val="00D459C1"/>
    <w:rsid w:val="00D459DF"/>
    <w:rsid w:val="00D45BF7"/>
    <w:rsid w:val="00D45D96"/>
    <w:rsid w:val="00D51E88"/>
    <w:rsid w:val="00D5264D"/>
    <w:rsid w:val="00D531A4"/>
    <w:rsid w:val="00D5351A"/>
    <w:rsid w:val="00D56625"/>
    <w:rsid w:val="00D6226E"/>
    <w:rsid w:val="00D6263A"/>
    <w:rsid w:val="00D635E3"/>
    <w:rsid w:val="00D647C3"/>
    <w:rsid w:val="00D64A8E"/>
    <w:rsid w:val="00D66043"/>
    <w:rsid w:val="00D72763"/>
    <w:rsid w:val="00D733E3"/>
    <w:rsid w:val="00D751D0"/>
    <w:rsid w:val="00D77906"/>
    <w:rsid w:val="00D77997"/>
    <w:rsid w:val="00D816C0"/>
    <w:rsid w:val="00D84654"/>
    <w:rsid w:val="00D85DCC"/>
    <w:rsid w:val="00D9126E"/>
    <w:rsid w:val="00D94795"/>
    <w:rsid w:val="00D94E00"/>
    <w:rsid w:val="00D95270"/>
    <w:rsid w:val="00D96011"/>
    <w:rsid w:val="00D9633A"/>
    <w:rsid w:val="00DA1BEC"/>
    <w:rsid w:val="00DA2040"/>
    <w:rsid w:val="00DA2731"/>
    <w:rsid w:val="00DA2D55"/>
    <w:rsid w:val="00DA70DF"/>
    <w:rsid w:val="00DA7A0D"/>
    <w:rsid w:val="00DB004F"/>
    <w:rsid w:val="00DB2778"/>
    <w:rsid w:val="00DB70BA"/>
    <w:rsid w:val="00DC0111"/>
    <w:rsid w:val="00DC0467"/>
    <w:rsid w:val="00DC2760"/>
    <w:rsid w:val="00DC2D2B"/>
    <w:rsid w:val="00DD0A59"/>
    <w:rsid w:val="00DD0AF6"/>
    <w:rsid w:val="00DD15F3"/>
    <w:rsid w:val="00DE2C16"/>
    <w:rsid w:val="00DE3C51"/>
    <w:rsid w:val="00DE538E"/>
    <w:rsid w:val="00DE6EA9"/>
    <w:rsid w:val="00DF0587"/>
    <w:rsid w:val="00DF0AC9"/>
    <w:rsid w:val="00DF19B6"/>
    <w:rsid w:val="00DF1FE4"/>
    <w:rsid w:val="00DF2386"/>
    <w:rsid w:val="00DF267E"/>
    <w:rsid w:val="00DF3391"/>
    <w:rsid w:val="00DF3E50"/>
    <w:rsid w:val="00DF56F5"/>
    <w:rsid w:val="00DF5F1B"/>
    <w:rsid w:val="00DF6C5A"/>
    <w:rsid w:val="00DF7FE7"/>
    <w:rsid w:val="00E00235"/>
    <w:rsid w:val="00E018D6"/>
    <w:rsid w:val="00E0205D"/>
    <w:rsid w:val="00E059D5"/>
    <w:rsid w:val="00E0707A"/>
    <w:rsid w:val="00E1214C"/>
    <w:rsid w:val="00E121B9"/>
    <w:rsid w:val="00E14BA7"/>
    <w:rsid w:val="00E15B18"/>
    <w:rsid w:val="00E224CE"/>
    <w:rsid w:val="00E22E81"/>
    <w:rsid w:val="00E235D0"/>
    <w:rsid w:val="00E32950"/>
    <w:rsid w:val="00E33921"/>
    <w:rsid w:val="00E34B07"/>
    <w:rsid w:val="00E36A91"/>
    <w:rsid w:val="00E3751A"/>
    <w:rsid w:val="00E4127D"/>
    <w:rsid w:val="00E4319A"/>
    <w:rsid w:val="00E45830"/>
    <w:rsid w:val="00E46367"/>
    <w:rsid w:val="00E47717"/>
    <w:rsid w:val="00E50AF6"/>
    <w:rsid w:val="00E510B0"/>
    <w:rsid w:val="00E51C2D"/>
    <w:rsid w:val="00E54CAB"/>
    <w:rsid w:val="00E55A5E"/>
    <w:rsid w:val="00E57322"/>
    <w:rsid w:val="00E6052C"/>
    <w:rsid w:val="00E61050"/>
    <w:rsid w:val="00E621BA"/>
    <w:rsid w:val="00E62BE4"/>
    <w:rsid w:val="00E63F0B"/>
    <w:rsid w:val="00E64E9B"/>
    <w:rsid w:val="00E64EDF"/>
    <w:rsid w:val="00E656C1"/>
    <w:rsid w:val="00E65CD7"/>
    <w:rsid w:val="00E66BC3"/>
    <w:rsid w:val="00E677DC"/>
    <w:rsid w:val="00E7071D"/>
    <w:rsid w:val="00E715FC"/>
    <w:rsid w:val="00E71AD7"/>
    <w:rsid w:val="00E72D1A"/>
    <w:rsid w:val="00E75CCE"/>
    <w:rsid w:val="00E80EDB"/>
    <w:rsid w:val="00E810F8"/>
    <w:rsid w:val="00E841E8"/>
    <w:rsid w:val="00E8596B"/>
    <w:rsid w:val="00E87507"/>
    <w:rsid w:val="00E90337"/>
    <w:rsid w:val="00E930C2"/>
    <w:rsid w:val="00E95E5D"/>
    <w:rsid w:val="00E97258"/>
    <w:rsid w:val="00E979E1"/>
    <w:rsid w:val="00E97D03"/>
    <w:rsid w:val="00EA0897"/>
    <w:rsid w:val="00EA393A"/>
    <w:rsid w:val="00EA3A7F"/>
    <w:rsid w:val="00EA3D7C"/>
    <w:rsid w:val="00EA3EAE"/>
    <w:rsid w:val="00EA4F36"/>
    <w:rsid w:val="00EA682D"/>
    <w:rsid w:val="00EB032F"/>
    <w:rsid w:val="00EB04B5"/>
    <w:rsid w:val="00EB0ACE"/>
    <w:rsid w:val="00EB0F34"/>
    <w:rsid w:val="00EB7138"/>
    <w:rsid w:val="00EB79C2"/>
    <w:rsid w:val="00EC0EEB"/>
    <w:rsid w:val="00EC0FFA"/>
    <w:rsid w:val="00EC21A0"/>
    <w:rsid w:val="00EC2DFE"/>
    <w:rsid w:val="00EC3F47"/>
    <w:rsid w:val="00EC4D11"/>
    <w:rsid w:val="00ED0D8F"/>
    <w:rsid w:val="00ED0F86"/>
    <w:rsid w:val="00ED1D26"/>
    <w:rsid w:val="00ED2D66"/>
    <w:rsid w:val="00ED53FC"/>
    <w:rsid w:val="00ED7394"/>
    <w:rsid w:val="00EE06FA"/>
    <w:rsid w:val="00EE2C4C"/>
    <w:rsid w:val="00EE420A"/>
    <w:rsid w:val="00EE7D00"/>
    <w:rsid w:val="00EF04FD"/>
    <w:rsid w:val="00EF0F1E"/>
    <w:rsid w:val="00EF136D"/>
    <w:rsid w:val="00EF1803"/>
    <w:rsid w:val="00EF261C"/>
    <w:rsid w:val="00EF2ACE"/>
    <w:rsid w:val="00EF2B40"/>
    <w:rsid w:val="00F005EE"/>
    <w:rsid w:val="00F01DB2"/>
    <w:rsid w:val="00F0219C"/>
    <w:rsid w:val="00F0362E"/>
    <w:rsid w:val="00F0459C"/>
    <w:rsid w:val="00F04C15"/>
    <w:rsid w:val="00F06493"/>
    <w:rsid w:val="00F072EF"/>
    <w:rsid w:val="00F073E9"/>
    <w:rsid w:val="00F078F1"/>
    <w:rsid w:val="00F0791D"/>
    <w:rsid w:val="00F07B1E"/>
    <w:rsid w:val="00F07DF1"/>
    <w:rsid w:val="00F1140A"/>
    <w:rsid w:val="00F1152F"/>
    <w:rsid w:val="00F1223F"/>
    <w:rsid w:val="00F12C15"/>
    <w:rsid w:val="00F12E40"/>
    <w:rsid w:val="00F227F6"/>
    <w:rsid w:val="00F24640"/>
    <w:rsid w:val="00F248A8"/>
    <w:rsid w:val="00F26B22"/>
    <w:rsid w:val="00F27B3F"/>
    <w:rsid w:val="00F27CA1"/>
    <w:rsid w:val="00F3097E"/>
    <w:rsid w:val="00F32778"/>
    <w:rsid w:val="00F32961"/>
    <w:rsid w:val="00F32D03"/>
    <w:rsid w:val="00F344DE"/>
    <w:rsid w:val="00F35CAD"/>
    <w:rsid w:val="00F35DDE"/>
    <w:rsid w:val="00F407B5"/>
    <w:rsid w:val="00F429D6"/>
    <w:rsid w:val="00F44350"/>
    <w:rsid w:val="00F45B4A"/>
    <w:rsid w:val="00F45FC0"/>
    <w:rsid w:val="00F4788A"/>
    <w:rsid w:val="00F50305"/>
    <w:rsid w:val="00F575E8"/>
    <w:rsid w:val="00F57FF2"/>
    <w:rsid w:val="00F6703B"/>
    <w:rsid w:val="00F6707A"/>
    <w:rsid w:val="00F70973"/>
    <w:rsid w:val="00F711CC"/>
    <w:rsid w:val="00F73E71"/>
    <w:rsid w:val="00F861E2"/>
    <w:rsid w:val="00F86643"/>
    <w:rsid w:val="00F86C30"/>
    <w:rsid w:val="00F907D9"/>
    <w:rsid w:val="00F918DE"/>
    <w:rsid w:val="00F92301"/>
    <w:rsid w:val="00F953D9"/>
    <w:rsid w:val="00FA1EEC"/>
    <w:rsid w:val="00FA21A7"/>
    <w:rsid w:val="00FA6C0C"/>
    <w:rsid w:val="00FA721F"/>
    <w:rsid w:val="00FB0F4C"/>
    <w:rsid w:val="00FB17BE"/>
    <w:rsid w:val="00FB31A4"/>
    <w:rsid w:val="00FB503B"/>
    <w:rsid w:val="00FB5B8F"/>
    <w:rsid w:val="00FB6B66"/>
    <w:rsid w:val="00FC31B4"/>
    <w:rsid w:val="00FC7FD9"/>
    <w:rsid w:val="00FD5BFB"/>
    <w:rsid w:val="00FD5D1C"/>
    <w:rsid w:val="00FD6A25"/>
    <w:rsid w:val="00FD77A8"/>
    <w:rsid w:val="00FE0305"/>
    <w:rsid w:val="00FE0E9B"/>
    <w:rsid w:val="00FE330B"/>
    <w:rsid w:val="00FE3503"/>
    <w:rsid w:val="00FE3A0A"/>
    <w:rsid w:val="00FE4018"/>
    <w:rsid w:val="00FE48D3"/>
    <w:rsid w:val="00FE5F7C"/>
    <w:rsid w:val="00FF4392"/>
    <w:rsid w:val="00FF6C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B175B7"/>
  <w15:docId w15:val="{41C903DC-A715-4EE8-A197-D0D0339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C845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paragraph" w:styleId="Heading3">
    <w:name w:val="heading 3"/>
    <w:basedOn w:val="Normal"/>
    <w:next w:val="Normal"/>
    <w:link w:val="Heading3Char"/>
    <w:uiPriority w:val="9"/>
    <w:semiHidden/>
    <w:unhideWhenUsed/>
    <w:qFormat/>
    <w:rsid w:val="00044E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link w:val="ListParagraphChar"/>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44E4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10"/>
    <w:qFormat/>
    <w:rsid w:val="009C259F"/>
    <w:pPr>
      <w:keepNext/>
      <w:spacing w:before="480" w:after="120"/>
      <w:ind w:left="0" w:firstLine="0"/>
    </w:pPr>
    <w:rPr>
      <w:rFonts w:eastAsiaTheme="minorHAnsi" w:cs="Calibri"/>
      <w:b/>
      <w:bCs/>
      <w:sz w:val="40"/>
      <w:szCs w:val="40"/>
      <w:lang w:val="en-US"/>
    </w:rPr>
  </w:style>
  <w:style w:type="character" w:customStyle="1" w:styleId="TitleChar">
    <w:name w:val="Title Char"/>
    <w:basedOn w:val="DefaultParagraphFont"/>
    <w:link w:val="Title"/>
    <w:uiPriority w:val="10"/>
    <w:rsid w:val="009C259F"/>
    <w:rPr>
      <w:rFonts w:ascii="Calibri" w:hAnsi="Calibri" w:cs="Calibri"/>
      <w:b/>
      <w:bCs/>
      <w:sz w:val="40"/>
      <w:szCs w:val="40"/>
      <w:lang w:val="en-US"/>
    </w:rPr>
  </w:style>
  <w:style w:type="character" w:customStyle="1" w:styleId="Heading1Char">
    <w:name w:val="Heading 1 Char"/>
    <w:basedOn w:val="DefaultParagraphFont"/>
    <w:link w:val="Heading1"/>
    <w:uiPriority w:val="9"/>
    <w:rsid w:val="00C845D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71A79"/>
    <w:rPr>
      <w:color w:val="800080" w:themeColor="followedHyperlink"/>
      <w:u w:val="single"/>
    </w:rPr>
  </w:style>
  <w:style w:type="character" w:customStyle="1" w:styleId="ListParagraphChar">
    <w:name w:val="List Paragraph Char"/>
    <w:link w:val="ListParagraph"/>
    <w:uiPriority w:val="34"/>
    <w:locked/>
    <w:rsid w:val="003740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976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329141944">
      <w:bodyDiv w:val="1"/>
      <w:marLeft w:val="0"/>
      <w:marRight w:val="0"/>
      <w:marTop w:val="0"/>
      <w:marBottom w:val="0"/>
      <w:divBdr>
        <w:top w:val="none" w:sz="0" w:space="0" w:color="auto"/>
        <w:left w:val="none" w:sz="0" w:space="0" w:color="auto"/>
        <w:bottom w:val="none" w:sz="0" w:space="0" w:color="auto"/>
        <w:right w:val="none" w:sz="0" w:space="0" w:color="auto"/>
      </w:divBdr>
    </w:div>
    <w:div w:id="341051040">
      <w:bodyDiv w:val="1"/>
      <w:marLeft w:val="0"/>
      <w:marRight w:val="0"/>
      <w:marTop w:val="0"/>
      <w:marBottom w:val="0"/>
      <w:divBdr>
        <w:top w:val="none" w:sz="0" w:space="0" w:color="auto"/>
        <w:left w:val="none" w:sz="0" w:space="0" w:color="auto"/>
        <w:bottom w:val="none" w:sz="0" w:space="0" w:color="auto"/>
        <w:right w:val="none" w:sz="0" w:space="0" w:color="auto"/>
      </w:divBdr>
    </w:div>
    <w:div w:id="454252880">
      <w:bodyDiv w:val="1"/>
      <w:marLeft w:val="0"/>
      <w:marRight w:val="0"/>
      <w:marTop w:val="0"/>
      <w:marBottom w:val="0"/>
      <w:divBdr>
        <w:top w:val="none" w:sz="0" w:space="0" w:color="auto"/>
        <w:left w:val="none" w:sz="0" w:space="0" w:color="auto"/>
        <w:bottom w:val="none" w:sz="0" w:space="0" w:color="auto"/>
        <w:right w:val="none" w:sz="0" w:space="0" w:color="auto"/>
      </w:divBdr>
    </w:div>
    <w:div w:id="606305281">
      <w:bodyDiv w:val="1"/>
      <w:marLeft w:val="0"/>
      <w:marRight w:val="0"/>
      <w:marTop w:val="0"/>
      <w:marBottom w:val="0"/>
      <w:divBdr>
        <w:top w:val="none" w:sz="0" w:space="0" w:color="auto"/>
        <w:left w:val="none" w:sz="0" w:space="0" w:color="auto"/>
        <w:bottom w:val="none" w:sz="0" w:space="0" w:color="auto"/>
        <w:right w:val="none" w:sz="0" w:space="0" w:color="auto"/>
      </w:divBdr>
    </w:div>
    <w:div w:id="609095544">
      <w:bodyDiv w:val="1"/>
      <w:marLeft w:val="0"/>
      <w:marRight w:val="0"/>
      <w:marTop w:val="0"/>
      <w:marBottom w:val="0"/>
      <w:divBdr>
        <w:top w:val="none" w:sz="0" w:space="0" w:color="auto"/>
        <w:left w:val="none" w:sz="0" w:space="0" w:color="auto"/>
        <w:bottom w:val="none" w:sz="0" w:space="0" w:color="auto"/>
        <w:right w:val="none" w:sz="0" w:space="0" w:color="auto"/>
      </w:divBdr>
    </w:div>
    <w:div w:id="613365420">
      <w:bodyDiv w:val="1"/>
      <w:marLeft w:val="0"/>
      <w:marRight w:val="0"/>
      <w:marTop w:val="0"/>
      <w:marBottom w:val="0"/>
      <w:divBdr>
        <w:top w:val="none" w:sz="0" w:space="0" w:color="auto"/>
        <w:left w:val="none" w:sz="0" w:space="0" w:color="auto"/>
        <w:bottom w:val="none" w:sz="0" w:space="0" w:color="auto"/>
        <w:right w:val="none" w:sz="0" w:space="0" w:color="auto"/>
      </w:divBdr>
    </w:div>
    <w:div w:id="643006096">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897010791">
      <w:bodyDiv w:val="1"/>
      <w:marLeft w:val="0"/>
      <w:marRight w:val="0"/>
      <w:marTop w:val="0"/>
      <w:marBottom w:val="0"/>
      <w:divBdr>
        <w:top w:val="none" w:sz="0" w:space="0" w:color="auto"/>
        <w:left w:val="none" w:sz="0" w:space="0" w:color="auto"/>
        <w:bottom w:val="none" w:sz="0" w:space="0" w:color="auto"/>
        <w:right w:val="none" w:sz="0" w:space="0" w:color="auto"/>
      </w:divBdr>
    </w:div>
    <w:div w:id="898638057">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33924147">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087767780">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186748432">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384907815">
      <w:bodyDiv w:val="1"/>
      <w:marLeft w:val="0"/>
      <w:marRight w:val="0"/>
      <w:marTop w:val="0"/>
      <w:marBottom w:val="0"/>
      <w:divBdr>
        <w:top w:val="none" w:sz="0" w:space="0" w:color="auto"/>
        <w:left w:val="none" w:sz="0" w:space="0" w:color="auto"/>
        <w:bottom w:val="none" w:sz="0" w:space="0" w:color="auto"/>
        <w:right w:val="none" w:sz="0" w:space="0" w:color="auto"/>
      </w:divBdr>
    </w:div>
    <w:div w:id="14150836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460034110">
      <w:bodyDiv w:val="1"/>
      <w:marLeft w:val="0"/>
      <w:marRight w:val="0"/>
      <w:marTop w:val="0"/>
      <w:marBottom w:val="0"/>
      <w:divBdr>
        <w:top w:val="none" w:sz="0" w:space="0" w:color="auto"/>
        <w:left w:val="none" w:sz="0" w:space="0" w:color="auto"/>
        <w:bottom w:val="none" w:sz="0" w:space="0" w:color="auto"/>
        <w:right w:val="none" w:sz="0" w:space="0" w:color="auto"/>
      </w:divBdr>
    </w:div>
    <w:div w:id="1540699675">
      <w:bodyDiv w:val="1"/>
      <w:marLeft w:val="0"/>
      <w:marRight w:val="0"/>
      <w:marTop w:val="0"/>
      <w:marBottom w:val="0"/>
      <w:divBdr>
        <w:top w:val="none" w:sz="0" w:space="0" w:color="auto"/>
        <w:left w:val="none" w:sz="0" w:space="0" w:color="auto"/>
        <w:bottom w:val="none" w:sz="0" w:space="0" w:color="auto"/>
        <w:right w:val="none" w:sz="0" w:space="0" w:color="auto"/>
      </w:divBdr>
    </w:div>
    <w:div w:id="1598977831">
      <w:bodyDiv w:val="1"/>
      <w:marLeft w:val="0"/>
      <w:marRight w:val="0"/>
      <w:marTop w:val="0"/>
      <w:marBottom w:val="0"/>
      <w:divBdr>
        <w:top w:val="none" w:sz="0" w:space="0" w:color="auto"/>
        <w:left w:val="none" w:sz="0" w:space="0" w:color="auto"/>
        <w:bottom w:val="none" w:sz="0" w:space="0" w:color="auto"/>
        <w:right w:val="none" w:sz="0" w:space="0" w:color="auto"/>
      </w:divBdr>
    </w:div>
    <w:div w:id="1720400499">
      <w:bodyDiv w:val="1"/>
      <w:marLeft w:val="0"/>
      <w:marRight w:val="0"/>
      <w:marTop w:val="0"/>
      <w:marBottom w:val="0"/>
      <w:divBdr>
        <w:top w:val="none" w:sz="0" w:space="0" w:color="auto"/>
        <w:left w:val="none" w:sz="0" w:space="0" w:color="auto"/>
        <w:bottom w:val="none" w:sz="0" w:space="0" w:color="auto"/>
        <w:right w:val="none" w:sz="0" w:space="0" w:color="auto"/>
      </w:divBdr>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877497901">
      <w:bodyDiv w:val="1"/>
      <w:marLeft w:val="0"/>
      <w:marRight w:val="0"/>
      <w:marTop w:val="0"/>
      <w:marBottom w:val="0"/>
      <w:divBdr>
        <w:top w:val="none" w:sz="0" w:space="0" w:color="auto"/>
        <w:left w:val="none" w:sz="0" w:space="0" w:color="auto"/>
        <w:bottom w:val="none" w:sz="0" w:space="0" w:color="auto"/>
        <w:right w:val="none" w:sz="0" w:space="0" w:color="auto"/>
      </w:divBdr>
    </w:div>
    <w:div w:id="1919173425">
      <w:bodyDiv w:val="1"/>
      <w:marLeft w:val="0"/>
      <w:marRight w:val="0"/>
      <w:marTop w:val="0"/>
      <w:marBottom w:val="0"/>
      <w:divBdr>
        <w:top w:val="none" w:sz="0" w:space="0" w:color="auto"/>
        <w:left w:val="none" w:sz="0" w:space="0" w:color="auto"/>
        <w:bottom w:val="none" w:sz="0" w:space="0" w:color="auto"/>
        <w:right w:val="none" w:sz="0" w:space="0" w:color="auto"/>
      </w:divBdr>
    </w:div>
    <w:div w:id="1942448427">
      <w:bodyDiv w:val="1"/>
      <w:marLeft w:val="0"/>
      <w:marRight w:val="0"/>
      <w:marTop w:val="0"/>
      <w:marBottom w:val="0"/>
      <w:divBdr>
        <w:top w:val="none" w:sz="0" w:space="0" w:color="auto"/>
        <w:left w:val="none" w:sz="0" w:space="0" w:color="auto"/>
        <w:bottom w:val="none" w:sz="0" w:space="0" w:color="auto"/>
        <w:right w:val="none" w:sz="0" w:space="0" w:color="auto"/>
      </w:divBdr>
    </w:div>
    <w:div w:id="1975136897">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28021670">
      <w:bodyDiv w:val="1"/>
      <w:marLeft w:val="0"/>
      <w:marRight w:val="0"/>
      <w:marTop w:val="0"/>
      <w:marBottom w:val="0"/>
      <w:divBdr>
        <w:top w:val="none" w:sz="0" w:space="0" w:color="auto"/>
        <w:left w:val="none" w:sz="0" w:space="0" w:color="auto"/>
        <w:bottom w:val="none" w:sz="0" w:space="0" w:color="auto"/>
        <w:right w:val="none" w:sz="0" w:space="0" w:color="auto"/>
      </w:divBdr>
    </w:div>
    <w:div w:id="20482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msa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fccc.int/climate-action/marrakech-partnership/actors/meet-the-champ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siwi.org%2Fpriority-area%2Fwater-climate%2F%23tab1nov12agenda&amp;data=04%7C01%7C%7C565d91602afa4e9d735d08d89099c50a%7C52c09282682a444e87eff79f53826cb5%7C0%7C0%7C637418337467558095%7CUnknown%7CTWFpbGZsb3d8eyJWIjoiMC4wLjAwMDAiLCJQIjoiV2luMzIiLCJBTiI6Ik1haWwiLCJXVCI6Mn0%3D%7C1000&amp;sdata=0X9my9SFtvV9x1LGx%2FYruPJ%2FOICw62KyQNSKdqYgwoY%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msar50.org/" TargetMode="Externa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about/fundraising-priorities-for-the-triennium-2019-2021" TargetMode="External"/><Relationship Id="rId3" Type="http://schemas.openxmlformats.org/officeDocument/2006/relationships/hyperlink" Target="https://www.ramsar.org/document/sc59-doc10-report-of-the-working-group-on-the-review-of-the-strategic-plan" TargetMode="External"/><Relationship Id="rId7" Type="http://schemas.openxmlformats.org/officeDocument/2006/relationships/hyperlink" Target="https://www.ramsar.org/resources/training-webinar-mainstreaming-gender-under-the-convention-on-wetlands" TargetMode="External"/><Relationship Id="rId12" Type="http://schemas.openxmlformats.org/officeDocument/2006/relationships/hyperlink" Target="https://www.ramsar.org/sites/default/files/documents/library/gcf_webinar_e.pdf" TargetMode="External"/><Relationship Id="rId2" Type="http://schemas.openxmlformats.org/officeDocument/2006/relationships/hyperlink" Target="https://www.ramsar.org/document/sc59-doc18-integrated-secretariat-2021-annual-plan-as-part-of-the-approved-triennial-plan" TargetMode="External"/><Relationship Id="rId1" Type="http://schemas.openxmlformats.org/officeDocument/2006/relationships/hyperlink" Target="https://www.ramsar.org/document/sc58-doc6-report-of-the-secretary-general" TargetMode="External"/><Relationship Id="rId6" Type="http://schemas.openxmlformats.org/officeDocument/2006/relationships/hyperlink" Target="https://www.ramsar.org/document/guidance-on-mainstreaming-gender-under-the-ramsar-convention-on-wetlands-0" TargetMode="External"/><Relationship Id="rId11" Type="http://schemas.openxmlformats.org/officeDocument/2006/relationships/hyperlink" Target="https://www.ramsar.org/about/resources" TargetMode="External"/><Relationship Id="rId5" Type="http://schemas.openxmlformats.org/officeDocument/2006/relationships/hyperlink" Target="https://www.ramsar.org/news/a-new-toolkit-for-national-wetlands-inventories" TargetMode="External"/><Relationship Id="rId10" Type="http://schemas.openxmlformats.org/officeDocument/2006/relationships/hyperlink" Target="https://www.ramsar.org/resources/training-webinar-on-grant-writing" TargetMode="External"/><Relationship Id="rId4" Type="http://schemas.openxmlformats.org/officeDocument/2006/relationships/hyperlink" Target="https://www.ramsar.org/document/sc59-doc171-report-of-the-chair-of-the-cepa-oversight-panel" TargetMode="External"/><Relationship Id="rId9" Type="http://schemas.openxmlformats.org/officeDocument/2006/relationships/hyperlink" Target="https://www.ramsar.org/activity/funding-organization-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D0E7-18ED-4DE5-9022-C306719C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645F8-E72C-41AA-86B8-D27F97635842}">
  <ds:schemaRefs>
    <ds:schemaRef ds:uri="http://schemas.microsoft.com/sharepoint/v3/contenttype/forms"/>
  </ds:schemaRefs>
</ds:datastoreItem>
</file>

<file path=customXml/itemProps3.xml><?xml version="1.0" encoding="utf-8"?>
<ds:datastoreItem xmlns:ds="http://schemas.openxmlformats.org/officeDocument/2006/customXml" ds:itemID="{D7A10A82-CF76-4D5C-B90A-75586508605B}">
  <ds:schemaRef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8c0b6b05-eb82-4bda-97e8-cd82d0d6b453"/>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033234E-8957-4B7B-8823-C1BC4232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8120</Words>
  <Characters>46284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4</cp:revision>
  <cp:lastPrinted>2021-06-07T10:51:00Z</cp:lastPrinted>
  <dcterms:created xsi:type="dcterms:W3CDTF">2021-06-07T10:50:00Z</dcterms:created>
  <dcterms:modified xsi:type="dcterms:W3CDTF">2021-06-10T14:07:00Z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