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F4D7" w14:textId="77777777" w:rsidR="003F5A03" w:rsidRPr="0046007D"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CONVENTION DE RAMSAR SUR LES ZONES HUMIDES</w:t>
      </w:r>
    </w:p>
    <w:p w14:paraId="2C29CAB3" w14:textId="6D2B25AF" w:rsidR="003F5A03" w:rsidRPr="0046007D"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5</w:t>
      </w:r>
      <w:r w:rsidR="00F64B95">
        <w:rPr>
          <w:bCs/>
          <w:lang w:val="fr-FR"/>
        </w:rPr>
        <w:t>9</w:t>
      </w:r>
      <w:r w:rsidRPr="0046007D">
        <w:rPr>
          <w:bCs/>
          <w:vertAlign w:val="superscript"/>
          <w:lang w:val="fr-FR"/>
        </w:rPr>
        <w:t>e</w:t>
      </w:r>
      <w:r w:rsidRPr="0046007D">
        <w:rPr>
          <w:bCs/>
          <w:lang w:val="fr-FR"/>
        </w:rPr>
        <w:t xml:space="preserve"> Réunion du Comité permanent</w:t>
      </w:r>
    </w:p>
    <w:p w14:paraId="5A5212C3" w14:textId="5B318379" w:rsidR="003F5A03" w:rsidRPr="0046007D"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Gland, Suisse, 2</w:t>
      </w:r>
      <w:r w:rsidR="00F64B95">
        <w:rPr>
          <w:bCs/>
          <w:lang w:val="fr-FR"/>
        </w:rPr>
        <w:t>1-25</w:t>
      </w:r>
      <w:r w:rsidRPr="0046007D">
        <w:rPr>
          <w:bCs/>
          <w:lang w:val="fr-FR"/>
        </w:rPr>
        <w:t xml:space="preserve"> juin 20</w:t>
      </w:r>
      <w:r w:rsidR="00F64B95">
        <w:rPr>
          <w:bCs/>
          <w:lang w:val="fr-FR"/>
        </w:rPr>
        <w:t>21</w:t>
      </w:r>
    </w:p>
    <w:p w14:paraId="19A6A599" w14:textId="77777777" w:rsidR="003F5A03" w:rsidRPr="0046007D" w:rsidRDefault="003F5A03" w:rsidP="008D7493">
      <w:pPr>
        <w:tabs>
          <w:tab w:val="left" w:pos="10650"/>
          <w:tab w:val="right" w:pos="13958"/>
        </w:tabs>
        <w:spacing w:after="0" w:line="240" w:lineRule="auto"/>
        <w:jc w:val="right"/>
        <w:rPr>
          <w:rFonts w:cs="Arial"/>
          <w:b/>
          <w:sz w:val="28"/>
          <w:szCs w:val="28"/>
          <w:lang w:val="fr-FR"/>
        </w:rPr>
      </w:pPr>
    </w:p>
    <w:p w14:paraId="292BA17F" w14:textId="778F7C60" w:rsidR="003F5A03" w:rsidRPr="00D72580" w:rsidRDefault="003F5A03" w:rsidP="008D7493">
      <w:pPr>
        <w:tabs>
          <w:tab w:val="left" w:pos="10650"/>
          <w:tab w:val="right" w:pos="13958"/>
        </w:tabs>
        <w:spacing w:after="0" w:line="240" w:lineRule="auto"/>
        <w:jc w:val="right"/>
        <w:rPr>
          <w:rFonts w:cs="Arial"/>
          <w:sz w:val="28"/>
          <w:szCs w:val="28"/>
          <w:lang w:val="fr-FR"/>
        </w:rPr>
      </w:pPr>
      <w:r w:rsidRPr="00D72580">
        <w:rPr>
          <w:rFonts w:cs="Arial"/>
          <w:b/>
          <w:sz w:val="28"/>
          <w:szCs w:val="28"/>
          <w:lang w:val="fr-FR"/>
        </w:rPr>
        <w:t>SC5</w:t>
      </w:r>
      <w:r w:rsidR="00F64B95">
        <w:rPr>
          <w:rFonts w:cs="Arial"/>
          <w:b/>
          <w:sz w:val="28"/>
          <w:szCs w:val="28"/>
          <w:lang w:val="fr-FR"/>
        </w:rPr>
        <w:t>9</w:t>
      </w:r>
      <w:r w:rsidRPr="00D72580">
        <w:rPr>
          <w:rFonts w:cs="Arial"/>
          <w:b/>
          <w:sz w:val="28"/>
          <w:szCs w:val="28"/>
          <w:lang w:val="fr-FR"/>
        </w:rPr>
        <w:t xml:space="preserve"> Doc.</w:t>
      </w:r>
      <w:r>
        <w:rPr>
          <w:rFonts w:cs="Arial"/>
          <w:b/>
          <w:sz w:val="28"/>
          <w:szCs w:val="28"/>
          <w:lang w:val="fr-FR"/>
        </w:rPr>
        <w:t>4</w:t>
      </w:r>
    </w:p>
    <w:p w14:paraId="1B56C4C1" w14:textId="77777777" w:rsidR="00B853B0" w:rsidRPr="00A138B1" w:rsidRDefault="00B853B0" w:rsidP="008D7493">
      <w:pPr>
        <w:autoSpaceDE w:val="0"/>
        <w:autoSpaceDN w:val="0"/>
        <w:adjustRightInd w:val="0"/>
        <w:spacing w:after="0" w:line="240" w:lineRule="auto"/>
        <w:jc w:val="center"/>
        <w:rPr>
          <w:rFonts w:cs="Garamond"/>
          <w:b/>
          <w:bCs/>
          <w:sz w:val="28"/>
          <w:szCs w:val="28"/>
          <w:lang w:val="es-ES_tradnl"/>
        </w:rPr>
      </w:pPr>
    </w:p>
    <w:p w14:paraId="6AC6DB3B" w14:textId="24DD8620" w:rsidR="00B853B0" w:rsidRDefault="008E5056" w:rsidP="008D7493">
      <w:pPr>
        <w:autoSpaceDE w:val="0"/>
        <w:autoSpaceDN w:val="0"/>
        <w:adjustRightInd w:val="0"/>
        <w:spacing w:after="0" w:line="240" w:lineRule="auto"/>
        <w:jc w:val="center"/>
        <w:rPr>
          <w:b/>
          <w:sz w:val="28"/>
          <w:szCs w:val="28"/>
          <w:lang w:val="fr-CA"/>
        </w:rPr>
      </w:pPr>
      <w:r w:rsidRPr="008E6BEB">
        <w:rPr>
          <w:b/>
          <w:sz w:val="28"/>
          <w:szCs w:val="28"/>
          <w:lang w:val="fr-CA"/>
        </w:rPr>
        <w:t xml:space="preserve">Admission </w:t>
      </w:r>
      <w:r w:rsidR="008E6BEB">
        <w:rPr>
          <w:b/>
          <w:sz w:val="28"/>
          <w:szCs w:val="28"/>
          <w:lang w:val="fr-CA"/>
        </w:rPr>
        <w:t>des observateurs</w:t>
      </w:r>
    </w:p>
    <w:p w14:paraId="5D330406" w14:textId="77777777" w:rsidR="003F5A03" w:rsidRPr="00056A1D" w:rsidRDefault="003F5A03" w:rsidP="008D7493">
      <w:pPr>
        <w:spacing w:after="0" w:line="240" w:lineRule="auto"/>
        <w:rPr>
          <w:rFonts w:cs="Arial"/>
          <w:b/>
          <w:sz w:val="28"/>
          <w:szCs w:val="28"/>
          <w:lang w:val="fr-CH"/>
        </w:rPr>
      </w:pPr>
    </w:p>
    <w:p w14:paraId="092E5092" w14:textId="77777777" w:rsidR="003F5A03" w:rsidRPr="00056A1D" w:rsidRDefault="003F5A03" w:rsidP="008D7493">
      <w:pPr>
        <w:spacing w:after="0" w:line="240" w:lineRule="auto"/>
        <w:rPr>
          <w:rFonts w:cs="Arial"/>
          <w:b/>
          <w:lang w:val="fr-CH"/>
        </w:rPr>
      </w:pPr>
      <w:r w:rsidRPr="00056A1D">
        <w:rPr>
          <w:noProof/>
          <w:lang w:val="en-GB" w:eastAsia="en-GB"/>
        </w:rPr>
        <mc:AlternateContent>
          <mc:Choice Requires="wps">
            <w:drawing>
              <wp:inline distT="0" distB="0" distL="0" distR="0" wp14:anchorId="50D5A437" wp14:editId="7A95ADE0">
                <wp:extent cx="5580185" cy="1606550"/>
                <wp:effectExtent l="0" t="0" r="2095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185" cy="1606550"/>
                        </a:xfrm>
                        <a:prstGeom prst="rect">
                          <a:avLst/>
                        </a:prstGeom>
                        <a:solidFill>
                          <a:srgbClr val="FFFFFF"/>
                        </a:solidFill>
                        <a:ln w="9525">
                          <a:solidFill>
                            <a:srgbClr val="000000"/>
                          </a:solidFill>
                          <a:miter lim="800000"/>
                          <a:headEnd/>
                          <a:tailEnd/>
                        </a:ln>
                      </wps:spPr>
                      <wps:txbx>
                        <w:txbxContent>
                          <w:p w14:paraId="754B2573" w14:textId="178A136B" w:rsidR="003F5A03" w:rsidRPr="00056A1D" w:rsidRDefault="002F09A9" w:rsidP="003F5A03">
                            <w:pPr>
                              <w:rPr>
                                <w:lang w:val="fr-CH"/>
                              </w:rPr>
                            </w:pPr>
                            <w:r>
                              <w:rPr>
                                <w:b/>
                                <w:bCs/>
                                <w:lang w:val="fr-CH"/>
                              </w:rPr>
                              <w:t>Actions</w:t>
                            </w:r>
                            <w:r w:rsidR="003F5A03">
                              <w:rPr>
                                <w:b/>
                                <w:bCs/>
                                <w:lang w:val="fr-CH"/>
                              </w:rPr>
                              <w:t xml:space="preserve"> requises </w:t>
                            </w:r>
                            <w:r w:rsidR="003F5A03" w:rsidRPr="00056A1D">
                              <w:rPr>
                                <w:b/>
                                <w:bCs/>
                                <w:lang w:val="fr-CH"/>
                              </w:rPr>
                              <w:t xml:space="preserve">: </w:t>
                            </w:r>
                          </w:p>
                          <w:p w14:paraId="5EE89334" w14:textId="5B3C5B11" w:rsidR="003F5A03" w:rsidRPr="00F64B95" w:rsidRDefault="003F5A03" w:rsidP="00F64B95">
                            <w:pPr>
                              <w:pStyle w:val="ColorfulList-Accent11"/>
                              <w:numPr>
                                <w:ilvl w:val="0"/>
                                <w:numId w:val="14"/>
                              </w:numPr>
                              <w:rPr>
                                <w:rFonts w:cs="Calibri"/>
                                <w:lang w:val="fr-CH"/>
                              </w:rPr>
                            </w:pPr>
                            <w:r>
                              <w:rPr>
                                <w:lang w:val="fr-CH"/>
                              </w:rPr>
                              <w:t>Le Président du Comité permanent peut inviter les États et les organisations figurant au paragraphe 3 à être représentés à la réunion par des observateurs à moins qu’un tiers des Parties présentes ne s’y oppose.</w:t>
                            </w:r>
                          </w:p>
                          <w:p w14:paraId="357E7C35" w14:textId="77777777" w:rsidR="00F64B95" w:rsidRPr="00F64B95" w:rsidRDefault="00F64B95" w:rsidP="00F64B95">
                            <w:pPr>
                              <w:pStyle w:val="ColorfulList-Accent11"/>
                              <w:rPr>
                                <w:rFonts w:cs="Calibri"/>
                                <w:lang w:val="fr-CH"/>
                              </w:rPr>
                            </w:pPr>
                          </w:p>
                          <w:p w14:paraId="2C40EE6E" w14:textId="206756C0" w:rsidR="00F64B95" w:rsidRPr="00F64B95" w:rsidRDefault="00F64B95" w:rsidP="00F64B95">
                            <w:pPr>
                              <w:pStyle w:val="ListParagraph"/>
                              <w:numPr>
                                <w:ilvl w:val="0"/>
                                <w:numId w:val="14"/>
                              </w:numPr>
                              <w:rPr>
                                <w:rFonts w:eastAsia="Calibri" w:cs="Calibri"/>
                                <w:lang w:val="fr-CH"/>
                              </w:rPr>
                            </w:pPr>
                            <w:r>
                              <w:rPr>
                                <w:rFonts w:eastAsia="Calibri" w:cs="Calibri"/>
                                <w:lang w:val="fr-CH"/>
                              </w:rPr>
                              <w:t xml:space="preserve">Le Comité permanent est invité à approuver </w:t>
                            </w:r>
                            <w:r w:rsidR="007A0FE7">
                              <w:rPr>
                                <w:rFonts w:eastAsia="Calibri" w:cs="Calibri"/>
                                <w:lang w:val="fr-CH"/>
                              </w:rPr>
                              <w:t xml:space="preserve">la </w:t>
                            </w:r>
                            <w:r w:rsidRPr="00F64B95">
                              <w:rPr>
                                <w:rFonts w:eastAsia="Calibri" w:cs="Calibri"/>
                                <w:lang w:val="fr-CH"/>
                              </w:rPr>
                              <w:t>participation</w:t>
                            </w:r>
                            <w:r w:rsidR="007A0FE7">
                              <w:rPr>
                                <w:rFonts w:eastAsia="Calibri" w:cs="Calibri"/>
                                <w:lang w:val="fr-CH"/>
                              </w:rPr>
                              <w:t xml:space="preserve"> à la présente réunion d’observateurs </w:t>
                            </w:r>
                            <w:r w:rsidRPr="00F64B95">
                              <w:rPr>
                                <w:rFonts w:eastAsia="Calibri" w:cs="Calibri"/>
                                <w:lang w:val="fr-CH"/>
                              </w:rPr>
                              <w:t>repr</w:t>
                            </w:r>
                            <w:r w:rsidR="007A0FE7">
                              <w:rPr>
                                <w:rFonts w:eastAsia="Calibri" w:cs="Calibri"/>
                                <w:lang w:val="fr-CH"/>
                              </w:rPr>
                              <w:t>é</w:t>
                            </w:r>
                            <w:r w:rsidRPr="00F64B95">
                              <w:rPr>
                                <w:rFonts w:eastAsia="Calibri" w:cs="Calibri"/>
                                <w:lang w:val="fr-CH"/>
                              </w:rPr>
                              <w:t>sent</w:t>
                            </w:r>
                            <w:r w:rsidR="007A0FE7">
                              <w:rPr>
                                <w:rFonts w:eastAsia="Calibri" w:cs="Calibri"/>
                                <w:lang w:val="fr-CH"/>
                              </w:rPr>
                              <w:t xml:space="preserve">ant les organes et agences mentionnés au </w:t>
                            </w:r>
                            <w:r w:rsidRPr="00F64B95">
                              <w:rPr>
                                <w:rFonts w:eastAsia="Calibri" w:cs="Calibri"/>
                                <w:lang w:val="fr-CH"/>
                              </w:rPr>
                              <w:t>paragraph</w:t>
                            </w:r>
                            <w:r w:rsidR="007A0FE7">
                              <w:rPr>
                                <w:rFonts w:eastAsia="Calibri" w:cs="Calibri"/>
                                <w:lang w:val="fr-CH"/>
                              </w:rPr>
                              <w:t>e </w:t>
                            </w:r>
                            <w:r w:rsidRPr="00F64B95">
                              <w:rPr>
                                <w:rFonts w:eastAsia="Calibri" w:cs="Calibri"/>
                                <w:lang w:val="fr-CH"/>
                              </w:rPr>
                              <w:t>7.</w:t>
                            </w:r>
                          </w:p>
                          <w:p w14:paraId="01BF571F" w14:textId="77777777" w:rsidR="00F64B95" w:rsidRPr="00F64B95" w:rsidRDefault="00F64B95" w:rsidP="00F64B95">
                            <w:pPr>
                              <w:pStyle w:val="ColorfulList-Accent11"/>
                              <w:numPr>
                                <w:ilvl w:val="0"/>
                                <w:numId w:val="14"/>
                              </w:numPr>
                              <w:rPr>
                                <w:rFonts w:cs="Calibri"/>
                                <w:lang w:val="fr-CH"/>
                              </w:rPr>
                            </w:pPr>
                          </w:p>
                          <w:p w14:paraId="21FDAA54" w14:textId="77777777" w:rsidR="00F64B95" w:rsidRPr="00056A1D" w:rsidRDefault="00F64B95" w:rsidP="00F64B95">
                            <w:pPr>
                              <w:pStyle w:val="ColorfulList-Accent11"/>
                              <w:ind w:firstLine="0"/>
                              <w:rPr>
                                <w:rFonts w:cs="Calibri"/>
                                <w:lang w:val="fr-CH"/>
                              </w:rPr>
                            </w:pPr>
                          </w:p>
                          <w:p w14:paraId="1B64176C" w14:textId="77777777" w:rsidR="003F5A03" w:rsidRPr="00056A1D" w:rsidRDefault="003F5A03" w:rsidP="003F5A03">
                            <w:pPr>
                              <w:pStyle w:val="ColorfulList-Accent11"/>
                              <w:ind w:left="0"/>
                              <w:rPr>
                                <w:rFonts w:cs="Calibri"/>
                                <w:lang w:val="fr-CH"/>
                              </w:rPr>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D5A437" id="_x0000_t202" coordsize="21600,21600" o:spt="202" path="m,l,21600r21600,l21600,xe">
                <v:stroke joinstyle="miter"/>
                <v:path gradientshapeok="t" o:connecttype="rect"/>
              </v:shapetype>
              <v:shape id="Text Box 1" o:spid="_x0000_s1026" type="#_x0000_t202" style="width:439.4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">
                <v:textbox>
                  <w:txbxContent>
                    <w:p w14:paraId="754B2573" w14:textId="178A136B" w:rsidR="003F5A03" w:rsidRPr="00056A1D" w:rsidRDefault="002F09A9" w:rsidP="003F5A03">
                      <w:pPr>
                        <w:rPr>
                          <w:lang w:val="fr-CH"/>
                        </w:rPr>
                      </w:pPr>
                      <w:r>
                        <w:rPr>
                          <w:b/>
                          <w:bCs/>
                          <w:lang w:val="fr-CH"/>
                        </w:rPr>
                        <w:t>Actions</w:t>
                      </w:r>
                      <w:r w:rsidR="003F5A03">
                        <w:rPr>
                          <w:b/>
                          <w:bCs/>
                          <w:lang w:val="fr-CH"/>
                        </w:rPr>
                        <w:t xml:space="preserve"> requises </w:t>
                      </w:r>
                      <w:r w:rsidR="003F5A03" w:rsidRPr="00056A1D">
                        <w:rPr>
                          <w:b/>
                          <w:bCs/>
                          <w:lang w:val="fr-CH"/>
                        </w:rPr>
                        <w:t xml:space="preserve">: </w:t>
                      </w:r>
                    </w:p>
                    <w:p w14:paraId="5EE89334" w14:textId="5B3C5B11" w:rsidR="003F5A03" w:rsidRPr="00F64B95" w:rsidRDefault="003F5A03" w:rsidP="00F64B95">
                      <w:pPr>
                        <w:pStyle w:val="ColorfulList-Accent11"/>
                        <w:numPr>
                          <w:ilvl w:val="0"/>
                          <w:numId w:val="14"/>
                        </w:numPr>
                        <w:rPr>
                          <w:rFonts w:cs="Calibri"/>
                          <w:lang w:val="fr-CH"/>
                        </w:rPr>
                      </w:pPr>
                      <w:r>
                        <w:rPr>
                          <w:lang w:val="fr-CH"/>
                        </w:rPr>
                        <w:t>Le Président du Comité permanent peut inviter les États et les organisations figurant au paragraphe 3 à être représentés à la réunion par des observateurs à moins qu’un tiers des Parties présentes ne s’y oppose.</w:t>
                      </w:r>
                    </w:p>
                    <w:p w14:paraId="357E7C35" w14:textId="77777777" w:rsidR="00F64B95" w:rsidRPr="00F64B95" w:rsidRDefault="00F64B95" w:rsidP="00F64B95">
                      <w:pPr>
                        <w:pStyle w:val="ColorfulList-Accent11"/>
                        <w:rPr>
                          <w:rFonts w:cs="Calibri"/>
                          <w:lang w:val="fr-CH"/>
                        </w:rPr>
                      </w:pPr>
                    </w:p>
                    <w:p w14:paraId="2C40EE6E" w14:textId="206756C0" w:rsidR="00F64B95" w:rsidRPr="00F64B95" w:rsidRDefault="00F64B95" w:rsidP="00F64B95">
                      <w:pPr>
                        <w:pStyle w:val="Paragraphedeliste"/>
                        <w:numPr>
                          <w:ilvl w:val="0"/>
                          <w:numId w:val="14"/>
                        </w:numPr>
                        <w:rPr>
                          <w:rFonts w:eastAsia="Calibri" w:cs="Calibri"/>
                          <w:lang w:val="fr-CH"/>
                        </w:rPr>
                      </w:pPr>
                      <w:r>
                        <w:rPr>
                          <w:rFonts w:eastAsia="Calibri" w:cs="Calibri"/>
                          <w:lang w:val="fr-CH"/>
                        </w:rPr>
                        <w:t xml:space="preserve">Le Comité permanent est invité à approuver </w:t>
                      </w:r>
                      <w:r w:rsidR="007A0FE7">
                        <w:rPr>
                          <w:rFonts w:eastAsia="Calibri" w:cs="Calibri"/>
                          <w:lang w:val="fr-CH"/>
                        </w:rPr>
                        <w:t xml:space="preserve">la </w:t>
                      </w:r>
                      <w:r w:rsidRPr="00F64B95">
                        <w:rPr>
                          <w:rFonts w:eastAsia="Calibri" w:cs="Calibri"/>
                          <w:lang w:val="fr-CH"/>
                        </w:rPr>
                        <w:t>participation</w:t>
                      </w:r>
                      <w:r w:rsidR="007A0FE7">
                        <w:rPr>
                          <w:rFonts w:eastAsia="Calibri" w:cs="Calibri"/>
                          <w:lang w:val="fr-CH"/>
                        </w:rPr>
                        <w:t xml:space="preserve"> à la présente réunion d’observateurs </w:t>
                      </w:r>
                      <w:r w:rsidRPr="00F64B95">
                        <w:rPr>
                          <w:rFonts w:eastAsia="Calibri" w:cs="Calibri"/>
                          <w:lang w:val="fr-CH"/>
                        </w:rPr>
                        <w:t>repr</w:t>
                      </w:r>
                      <w:r w:rsidR="007A0FE7">
                        <w:rPr>
                          <w:rFonts w:eastAsia="Calibri" w:cs="Calibri"/>
                          <w:lang w:val="fr-CH"/>
                        </w:rPr>
                        <w:t>é</w:t>
                      </w:r>
                      <w:r w:rsidRPr="00F64B95">
                        <w:rPr>
                          <w:rFonts w:eastAsia="Calibri" w:cs="Calibri"/>
                          <w:lang w:val="fr-CH"/>
                        </w:rPr>
                        <w:t>sent</w:t>
                      </w:r>
                      <w:r w:rsidR="007A0FE7">
                        <w:rPr>
                          <w:rFonts w:eastAsia="Calibri" w:cs="Calibri"/>
                          <w:lang w:val="fr-CH"/>
                        </w:rPr>
                        <w:t xml:space="preserve">ant les organes et agences mentionnés au </w:t>
                      </w:r>
                      <w:r w:rsidRPr="00F64B95">
                        <w:rPr>
                          <w:rFonts w:eastAsia="Calibri" w:cs="Calibri"/>
                          <w:lang w:val="fr-CH"/>
                        </w:rPr>
                        <w:t>paragraph</w:t>
                      </w:r>
                      <w:r w:rsidR="007A0FE7">
                        <w:rPr>
                          <w:rFonts w:eastAsia="Calibri" w:cs="Calibri"/>
                          <w:lang w:val="fr-CH"/>
                        </w:rPr>
                        <w:t>e </w:t>
                      </w:r>
                      <w:r w:rsidRPr="00F64B95">
                        <w:rPr>
                          <w:rFonts w:eastAsia="Calibri" w:cs="Calibri"/>
                          <w:lang w:val="fr-CH"/>
                        </w:rPr>
                        <w:t>7.</w:t>
                      </w:r>
                    </w:p>
                    <w:p w14:paraId="01BF571F" w14:textId="77777777" w:rsidR="00F64B95" w:rsidRPr="00F64B95" w:rsidRDefault="00F64B95" w:rsidP="00F64B95">
                      <w:pPr>
                        <w:pStyle w:val="ColorfulList-Accent11"/>
                        <w:numPr>
                          <w:ilvl w:val="0"/>
                          <w:numId w:val="14"/>
                        </w:numPr>
                        <w:rPr>
                          <w:rFonts w:cs="Calibri"/>
                          <w:lang w:val="fr-CH"/>
                        </w:rPr>
                      </w:pPr>
                    </w:p>
                    <w:p w14:paraId="21FDAA54" w14:textId="77777777" w:rsidR="00F64B95" w:rsidRPr="00056A1D" w:rsidRDefault="00F64B95" w:rsidP="00F64B95">
                      <w:pPr>
                        <w:pStyle w:val="ColorfulList-Accent11"/>
                        <w:ind w:firstLine="0"/>
                        <w:rPr>
                          <w:rFonts w:cs="Calibri"/>
                          <w:lang w:val="fr-CH"/>
                        </w:rPr>
                      </w:pPr>
                    </w:p>
                    <w:p w14:paraId="1B64176C" w14:textId="77777777" w:rsidR="003F5A03" w:rsidRPr="00056A1D" w:rsidRDefault="003F5A03" w:rsidP="003F5A03">
                      <w:pPr>
                        <w:pStyle w:val="ColorfulList-Accent11"/>
                        <w:ind w:left="0"/>
                        <w:rPr>
                          <w:rFonts w:cs="Calibri"/>
                          <w:lang w:val="fr-CH"/>
                        </w:rPr>
                      </w:pPr>
                    </w:p>
                  </w:txbxContent>
                </v:textbox>
                <w10:anchorlock/>
              </v:shape>
            </w:pict>
          </mc:Fallback>
        </mc:AlternateContent>
      </w:r>
    </w:p>
    <w:p w14:paraId="437A474D" w14:textId="77777777" w:rsidR="008D7493" w:rsidRPr="008E6BEB" w:rsidRDefault="008D7493" w:rsidP="008D7493">
      <w:pPr>
        <w:autoSpaceDE w:val="0"/>
        <w:autoSpaceDN w:val="0"/>
        <w:adjustRightInd w:val="0"/>
        <w:spacing w:after="0" w:line="240" w:lineRule="auto"/>
        <w:rPr>
          <w:rFonts w:asciiTheme="minorHAnsi" w:hAnsiTheme="minorHAnsi"/>
          <w:lang w:val="fr-CA"/>
        </w:rPr>
      </w:pPr>
    </w:p>
    <w:p w14:paraId="0FD1B777" w14:textId="15886985"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1.</w:t>
      </w:r>
      <w:r w:rsidRPr="008E6BEB">
        <w:rPr>
          <w:rFonts w:asciiTheme="minorHAnsi" w:hAnsiTheme="minorHAnsi"/>
          <w:lang w:val="fr-CA"/>
        </w:rPr>
        <w:tab/>
      </w:r>
      <w:r w:rsidR="003F76B5">
        <w:rPr>
          <w:rFonts w:asciiTheme="minorHAnsi" w:hAnsiTheme="minorHAnsi"/>
          <w:lang w:val="fr-CA"/>
        </w:rPr>
        <w:t xml:space="preserve">Le </w:t>
      </w:r>
      <w:r w:rsidR="00DF63E9">
        <w:rPr>
          <w:rFonts w:asciiTheme="minorHAnsi" w:hAnsiTheme="minorHAnsi"/>
          <w:lang w:val="fr-CA"/>
        </w:rPr>
        <w:t>R</w:t>
      </w:r>
      <w:r w:rsidR="003F76B5">
        <w:rPr>
          <w:rFonts w:asciiTheme="minorHAnsi" w:hAnsiTheme="minorHAnsi"/>
          <w:lang w:val="fr-CA"/>
        </w:rPr>
        <w:t>èglement intérieur des sessions de la Conférence des Parties</w:t>
      </w:r>
      <w:r w:rsidR="00C86B75">
        <w:rPr>
          <w:rStyle w:val="FootnoteReference"/>
          <w:rFonts w:asciiTheme="minorHAnsi" w:hAnsiTheme="minorHAnsi"/>
          <w:lang w:val="fr-CA"/>
        </w:rPr>
        <w:footnoteReference w:id="1"/>
      </w:r>
      <w:r w:rsidR="003F76B5">
        <w:rPr>
          <w:rFonts w:asciiTheme="minorHAnsi" w:hAnsiTheme="minorHAnsi"/>
          <w:lang w:val="fr-CA"/>
        </w:rPr>
        <w:t xml:space="preserve"> prévoit la participation </w:t>
      </w:r>
      <w:r w:rsidR="00DF63E9">
        <w:rPr>
          <w:rFonts w:asciiTheme="minorHAnsi" w:hAnsiTheme="minorHAnsi"/>
          <w:lang w:val="fr-CA"/>
        </w:rPr>
        <w:t>d’</w:t>
      </w:r>
      <w:r w:rsidR="003F76B5">
        <w:rPr>
          <w:rFonts w:asciiTheme="minorHAnsi" w:hAnsiTheme="minorHAnsi"/>
          <w:lang w:val="fr-CA"/>
        </w:rPr>
        <w:t xml:space="preserve">observateurs </w:t>
      </w:r>
      <w:r w:rsidR="00DF63E9">
        <w:rPr>
          <w:rFonts w:asciiTheme="minorHAnsi" w:hAnsiTheme="minorHAnsi"/>
          <w:lang w:val="fr-CA"/>
        </w:rPr>
        <w:t>de</w:t>
      </w:r>
      <w:r w:rsidR="003F76B5">
        <w:rPr>
          <w:rFonts w:asciiTheme="minorHAnsi" w:hAnsiTheme="minorHAnsi"/>
          <w:lang w:val="fr-CA"/>
        </w:rPr>
        <w:t xml:space="preserve"> deux catégories :</w:t>
      </w:r>
    </w:p>
    <w:p w14:paraId="2C12B3F5" w14:textId="3777D08D" w:rsidR="00F7595E" w:rsidRPr="008E6BEB" w:rsidRDefault="003F76B5" w:rsidP="008D7493">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l’Organisation des Nations Unies, ses institutions spécialisées et les États </w:t>
      </w:r>
      <w:r w:rsidR="00971AC5">
        <w:rPr>
          <w:rFonts w:asciiTheme="minorHAnsi" w:hAnsiTheme="minorHAnsi"/>
          <w:lang w:val="fr-CA"/>
        </w:rPr>
        <w:t xml:space="preserve">qui ne sont pas </w:t>
      </w:r>
      <w:r w:rsidR="001F5554">
        <w:rPr>
          <w:rFonts w:asciiTheme="minorHAnsi" w:hAnsiTheme="minorHAnsi"/>
          <w:lang w:val="fr-CA"/>
        </w:rPr>
        <w:t>P</w:t>
      </w:r>
      <w:r>
        <w:rPr>
          <w:rFonts w:asciiTheme="minorHAnsi" w:hAnsiTheme="minorHAnsi"/>
          <w:lang w:val="fr-CA"/>
        </w:rPr>
        <w:t xml:space="preserve">arties à la Convention; et </w:t>
      </w:r>
    </w:p>
    <w:p w14:paraId="174C56C2" w14:textId="31E74B1A" w:rsidR="005B1BB9" w:rsidRPr="008E6BEB" w:rsidRDefault="003F76B5" w:rsidP="008D7493">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tout organe ou </w:t>
      </w:r>
      <w:r w:rsidR="00C623FA">
        <w:rPr>
          <w:rFonts w:asciiTheme="minorHAnsi" w:hAnsiTheme="minorHAnsi"/>
          <w:lang w:val="fr-CA"/>
        </w:rPr>
        <w:t>agence</w:t>
      </w:r>
      <w:r>
        <w:rPr>
          <w:rFonts w:asciiTheme="minorHAnsi" w:hAnsiTheme="minorHAnsi"/>
          <w:lang w:val="fr-CA"/>
        </w:rPr>
        <w:t xml:space="preserve"> qualifié dans les domaines relatifs à la conservation et à l’utilisation </w:t>
      </w:r>
      <w:r w:rsidR="00DF63E9" w:rsidRPr="00DF63E9">
        <w:rPr>
          <w:rFonts w:asciiTheme="minorHAnsi" w:hAnsiTheme="minorHAnsi"/>
          <w:lang w:val="fr-CA"/>
        </w:rPr>
        <w:t>durable</w:t>
      </w:r>
      <w:r w:rsidRPr="00DF63E9">
        <w:rPr>
          <w:rFonts w:asciiTheme="minorHAnsi" w:hAnsiTheme="minorHAnsi"/>
          <w:lang w:val="fr-CA"/>
        </w:rPr>
        <w:t xml:space="preserve"> d</w:t>
      </w:r>
      <w:r>
        <w:rPr>
          <w:rFonts w:asciiTheme="minorHAnsi" w:hAnsiTheme="minorHAnsi"/>
          <w:lang w:val="fr-CA"/>
        </w:rPr>
        <w:t>es zones humides.</w:t>
      </w:r>
    </w:p>
    <w:p w14:paraId="7B780B1F" w14:textId="6130FB7A"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5071C960" w14:textId="01A17BE7" w:rsidR="005B1BB9" w:rsidRPr="003F5A03" w:rsidRDefault="003F76B5" w:rsidP="008D7493">
      <w:pPr>
        <w:tabs>
          <w:tab w:val="num" w:pos="720"/>
          <w:tab w:val="left" w:pos="4253"/>
        </w:tabs>
        <w:overflowPunct w:val="0"/>
        <w:autoSpaceDE w:val="0"/>
        <w:autoSpaceDN w:val="0"/>
        <w:adjustRightInd w:val="0"/>
        <w:spacing w:after="0" w:line="240" w:lineRule="auto"/>
        <w:rPr>
          <w:rFonts w:asciiTheme="minorHAnsi" w:hAnsiTheme="minorHAnsi"/>
          <w:b/>
          <w:bCs/>
          <w:lang w:val="fr-CA"/>
        </w:rPr>
      </w:pPr>
      <w:r w:rsidRPr="003F5A03">
        <w:rPr>
          <w:rFonts w:asciiTheme="minorHAnsi" w:hAnsiTheme="minorHAnsi"/>
          <w:b/>
          <w:bCs/>
          <w:lang w:val="fr-CA"/>
        </w:rPr>
        <w:t xml:space="preserve">L’Organisation des Nations Unies, ses institutions spécialisées et les États </w:t>
      </w:r>
      <w:r w:rsidR="00971AC5" w:rsidRPr="003F5A03">
        <w:rPr>
          <w:rFonts w:asciiTheme="minorHAnsi" w:hAnsiTheme="minorHAnsi"/>
          <w:b/>
          <w:bCs/>
          <w:lang w:val="fr-CA"/>
        </w:rPr>
        <w:t xml:space="preserve">qui ne sont pas </w:t>
      </w:r>
      <w:r w:rsidR="001F5554" w:rsidRPr="003F5A03">
        <w:rPr>
          <w:rFonts w:asciiTheme="minorHAnsi" w:hAnsiTheme="minorHAnsi"/>
          <w:b/>
          <w:bCs/>
          <w:lang w:val="fr-CA"/>
        </w:rPr>
        <w:t>P</w:t>
      </w:r>
      <w:r w:rsidRPr="003F5A03">
        <w:rPr>
          <w:rFonts w:asciiTheme="minorHAnsi" w:hAnsiTheme="minorHAnsi"/>
          <w:b/>
          <w:bCs/>
          <w:lang w:val="fr-CA"/>
        </w:rPr>
        <w:t>arties</w:t>
      </w:r>
      <w:r w:rsidR="00971AC5" w:rsidRPr="003F5A03">
        <w:rPr>
          <w:rFonts w:asciiTheme="minorHAnsi" w:hAnsiTheme="minorHAnsi"/>
          <w:b/>
          <w:bCs/>
          <w:lang w:val="fr-CA"/>
        </w:rPr>
        <w:t xml:space="preserve"> à la Convention</w:t>
      </w:r>
      <w:r w:rsidRPr="003F5A03">
        <w:rPr>
          <w:rFonts w:asciiTheme="minorHAnsi" w:hAnsiTheme="minorHAnsi"/>
          <w:b/>
          <w:bCs/>
          <w:lang w:val="fr-CA"/>
        </w:rPr>
        <w:t xml:space="preserve"> </w:t>
      </w:r>
    </w:p>
    <w:p w14:paraId="38473C18" w14:textId="77777777" w:rsidR="005B1BB9" w:rsidRPr="008E6BEB" w:rsidRDefault="005B1BB9"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6C1A9569" w14:textId="34570A75" w:rsidR="00617C4D" w:rsidRPr="008E6BEB" w:rsidRDefault="00CB69E7"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2</w:t>
      </w:r>
      <w:r w:rsidR="00AC1DD6" w:rsidRPr="008E6BEB">
        <w:rPr>
          <w:rFonts w:asciiTheme="minorHAnsi" w:hAnsiTheme="minorHAnsi"/>
          <w:lang w:val="fr-CA"/>
        </w:rPr>
        <w:t>.</w:t>
      </w:r>
      <w:r w:rsidR="00AC1DD6" w:rsidRPr="008E6BEB">
        <w:rPr>
          <w:rFonts w:asciiTheme="minorHAnsi" w:hAnsiTheme="minorHAnsi"/>
          <w:lang w:val="fr-CA"/>
        </w:rPr>
        <w:tab/>
      </w:r>
      <w:r w:rsidR="003F76B5">
        <w:rPr>
          <w:rFonts w:asciiTheme="minorHAnsi" w:hAnsiTheme="minorHAnsi"/>
          <w:lang w:val="fr-CA"/>
        </w:rPr>
        <w:t xml:space="preserve">L’article 6 du </w:t>
      </w:r>
      <w:r w:rsidR="00A0379D">
        <w:rPr>
          <w:rFonts w:asciiTheme="minorHAnsi" w:hAnsiTheme="minorHAnsi"/>
          <w:lang w:val="fr-CA"/>
        </w:rPr>
        <w:t>R</w:t>
      </w:r>
      <w:r w:rsidR="003F76B5">
        <w:rPr>
          <w:rFonts w:asciiTheme="minorHAnsi" w:hAnsiTheme="minorHAnsi"/>
          <w:lang w:val="fr-CA"/>
        </w:rPr>
        <w:t xml:space="preserve">èglement intérieur précise que les observateurs représentant l’Organisation des Nations Unies, ses institutions spécialisées et les États </w:t>
      </w:r>
      <w:r w:rsidR="002C513A">
        <w:rPr>
          <w:rFonts w:asciiTheme="minorHAnsi" w:hAnsiTheme="minorHAnsi"/>
          <w:lang w:val="fr-CA"/>
        </w:rPr>
        <w:t>qui ne sont pas P</w:t>
      </w:r>
      <w:r w:rsidR="003F76B5">
        <w:rPr>
          <w:rFonts w:asciiTheme="minorHAnsi" w:hAnsiTheme="minorHAnsi"/>
          <w:lang w:val="fr-CA"/>
        </w:rPr>
        <w:t xml:space="preserve">arties à la Convention peuvent participer sur invitation du </w:t>
      </w:r>
      <w:r w:rsidR="007A0FE7">
        <w:rPr>
          <w:rFonts w:asciiTheme="minorHAnsi" w:hAnsiTheme="minorHAnsi"/>
          <w:lang w:val="fr-CA"/>
        </w:rPr>
        <w:t>P</w:t>
      </w:r>
      <w:r w:rsidR="003F76B5">
        <w:rPr>
          <w:rFonts w:asciiTheme="minorHAnsi" w:hAnsiTheme="minorHAnsi"/>
          <w:lang w:val="fr-CA"/>
        </w:rPr>
        <w:t>résident, « </w:t>
      </w:r>
      <w:r w:rsidR="00971AC5">
        <w:rPr>
          <w:rFonts w:asciiTheme="minorHAnsi" w:hAnsiTheme="minorHAnsi"/>
          <w:lang w:val="fr-CA"/>
        </w:rPr>
        <w:t>à moins qu’</w:t>
      </w:r>
      <w:r w:rsidR="003F76B5">
        <w:rPr>
          <w:rFonts w:asciiTheme="minorHAnsi" w:hAnsiTheme="minorHAnsi"/>
          <w:lang w:val="fr-CA"/>
        </w:rPr>
        <w:t xml:space="preserve">un tiers au moins des Parties contractantes présentes </w:t>
      </w:r>
      <w:r w:rsidR="00971AC5">
        <w:rPr>
          <w:rFonts w:asciiTheme="minorHAnsi" w:hAnsiTheme="minorHAnsi"/>
          <w:lang w:val="fr-CA"/>
        </w:rPr>
        <w:t>ne</w:t>
      </w:r>
      <w:r w:rsidR="003F76B5">
        <w:rPr>
          <w:rFonts w:asciiTheme="minorHAnsi" w:hAnsiTheme="minorHAnsi"/>
          <w:lang w:val="fr-CA"/>
        </w:rPr>
        <w:t xml:space="preserve"> s’y oppose ». </w:t>
      </w:r>
    </w:p>
    <w:p w14:paraId="153B04C8" w14:textId="77777777" w:rsidR="000A273E" w:rsidRPr="008E6BEB" w:rsidRDefault="000A273E"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3891B100" w14:textId="4648C5B6" w:rsidR="00CB69E7" w:rsidRPr="008E6BEB" w:rsidRDefault="00CB69E7"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3.</w:t>
      </w:r>
      <w:r w:rsidRPr="008E6BEB">
        <w:rPr>
          <w:rFonts w:asciiTheme="minorHAnsi" w:hAnsiTheme="minorHAnsi"/>
          <w:lang w:val="fr-CA"/>
        </w:rPr>
        <w:tab/>
      </w:r>
      <w:r w:rsidR="003F76B5">
        <w:rPr>
          <w:rFonts w:asciiTheme="minorHAnsi" w:hAnsiTheme="minorHAnsi"/>
          <w:lang w:val="fr-CA"/>
        </w:rPr>
        <w:t xml:space="preserve">Pour les observateurs de cette catégorie, le Secrétariat a reçu les préinscriptions suivantes au </w:t>
      </w:r>
      <w:r w:rsidR="007A0FE7">
        <w:rPr>
          <w:rFonts w:asciiTheme="minorHAnsi" w:hAnsiTheme="minorHAnsi"/>
          <w:lang w:val="fr-CA"/>
        </w:rPr>
        <w:t>18 juin 2021</w:t>
      </w:r>
      <w:r w:rsidR="003F76B5">
        <w:rPr>
          <w:rFonts w:asciiTheme="minorHAnsi" w:hAnsiTheme="minorHAnsi"/>
          <w:lang w:val="fr-CA"/>
        </w:rPr>
        <w:t> :</w:t>
      </w:r>
    </w:p>
    <w:p w14:paraId="60FF975C" w14:textId="77777777"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lang w:val="fr-CA"/>
        </w:rPr>
      </w:pPr>
    </w:p>
    <w:p w14:paraId="477D4A51" w14:textId="7F1B31A6" w:rsidR="000A273E" w:rsidRPr="008E6BEB" w:rsidRDefault="000A273E" w:rsidP="008D7493">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Organisation des Nations Unies et ses institutions spécialisées</w:t>
      </w:r>
      <w:r w:rsidR="003F76B5" w:rsidRPr="003F76B5">
        <w:rPr>
          <w:lang w:val="fr-CA"/>
        </w:rPr>
        <w:t> </w:t>
      </w:r>
      <w:r w:rsidRPr="008E6BEB">
        <w:rPr>
          <w:lang w:val="fr-CA"/>
        </w:rPr>
        <w:t>:</w:t>
      </w:r>
    </w:p>
    <w:p w14:paraId="6BEDC435" w14:textId="77777777"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lang w:val="fr-CA"/>
        </w:rPr>
      </w:pPr>
    </w:p>
    <w:p w14:paraId="19017242" w14:textId="7E3D4C4C" w:rsidR="00490D1C" w:rsidRPr="008E6BEB" w:rsidRDefault="007A0FE7"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Programme</w:t>
      </w:r>
      <w:r w:rsidR="003F76B5">
        <w:rPr>
          <w:rFonts w:asciiTheme="minorHAnsi" w:hAnsiTheme="minorHAnsi" w:cstheme="minorHAnsi"/>
          <w:color w:val="000000"/>
          <w:lang w:val="fr-CA" w:eastAsia="en-GB"/>
        </w:rPr>
        <w:t xml:space="preserve"> des Nations Unies pour </w:t>
      </w:r>
      <w:r>
        <w:rPr>
          <w:rFonts w:asciiTheme="minorHAnsi" w:hAnsiTheme="minorHAnsi" w:cstheme="minorHAnsi"/>
          <w:color w:val="000000"/>
          <w:lang w:val="fr-CA" w:eastAsia="en-GB"/>
        </w:rPr>
        <w:t>l’environnement (PNUE</w:t>
      </w:r>
      <w:r w:rsidR="00490D1C" w:rsidRPr="008E6BEB">
        <w:rPr>
          <w:rFonts w:asciiTheme="minorHAnsi" w:hAnsiTheme="minorHAnsi" w:cstheme="minorHAnsi"/>
          <w:color w:val="000000"/>
          <w:lang w:val="fr-CA" w:eastAsia="en-GB"/>
        </w:rPr>
        <w:t>)</w:t>
      </w:r>
    </w:p>
    <w:p w14:paraId="519D92E8" w14:textId="514CA437" w:rsidR="004A5875" w:rsidRPr="008E6BEB" w:rsidRDefault="004A5875" w:rsidP="008D7493">
      <w:pPr>
        <w:pStyle w:val="ListParagraph"/>
        <w:spacing w:after="0" w:line="240" w:lineRule="auto"/>
        <w:ind w:left="850"/>
        <w:rPr>
          <w:rFonts w:asciiTheme="minorHAnsi" w:hAnsiTheme="minorHAnsi" w:cstheme="minorHAnsi"/>
          <w:color w:val="000000"/>
          <w:lang w:val="fr-CA" w:eastAsia="en-GB"/>
        </w:rPr>
      </w:pPr>
    </w:p>
    <w:p w14:paraId="1D0444AC" w14:textId="3E4C203B" w:rsidR="000A273E" w:rsidRPr="003F5A03" w:rsidRDefault="00971AC5" w:rsidP="008D7493">
      <w:pPr>
        <w:tabs>
          <w:tab w:val="num" w:pos="720"/>
          <w:tab w:val="left" w:pos="4253"/>
        </w:tabs>
        <w:overflowPunct w:val="0"/>
        <w:autoSpaceDE w:val="0"/>
        <w:autoSpaceDN w:val="0"/>
        <w:adjustRightInd w:val="0"/>
        <w:spacing w:after="0" w:line="240" w:lineRule="auto"/>
        <w:rPr>
          <w:rFonts w:asciiTheme="minorHAnsi" w:hAnsiTheme="minorHAnsi"/>
          <w:b/>
          <w:bCs/>
          <w:lang w:val="fr-CA"/>
        </w:rPr>
      </w:pPr>
      <w:r w:rsidRPr="003F5A03">
        <w:rPr>
          <w:rFonts w:asciiTheme="minorHAnsi" w:hAnsiTheme="minorHAnsi"/>
          <w:b/>
          <w:bCs/>
          <w:lang w:val="fr-CA"/>
        </w:rPr>
        <w:t xml:space="preserve">D’autres organes </w:t>
      </w:r>
      <w:r w:rsidR="001F5554" w:rsidRPr="003F5A03">
        <w:rPr>
          <w:rFonts w:asciiTheme="minorHAnsi" w:hAnsiTheme="minorHAnsi"/>
          <w:b/>
          <w:bCs/>
          <w:lang w:val="fr-CA"/>
        </w:rPr>
        <w:t>et</w:t>
      </w:r>
      <w:r w:rsidRPr="003F5A03">
        <w:rPr>
          <w:rFonts w:asciiTheme="minorHAnsi" w:hAnsiTheme="minorHAnsi"/>
          <w:b/>
          <w:bCs/>
          <w:lang w:val="fr-CA"/>
        </w:rPr>
        <w:t xml:space="preserve"> agences qualifiés en matière de conservation et d’utilisation </w:t>
      </w:r>
      <w:r w:rsidR="00271D0E" w:rsidRPr="003F5A03">
        <w:rPr>
          <w:rFonts w:asciiTheme="minorHAnsi" w:hAnsiTheme="minorHAnsi"/>
          <w:b/>
          <w:bCs/>
          <w:lang w:val="fr-CA"/>
        </w:rPr>
        <w:t>durable</w:t>
      </w:r>
      <w:r w:rsidRPr="003F5A03">
        <w:rPr>
          <w:rFonts w:asciiTheme="minorHAnsi" w:hAnsiTheme="minorHAnsi"/>
          <w:b/>
          <w:bCs/>
          <w:lang w:val="fr-CA"/>
        </w:rPr>
        <w:t xml:space="preserve"> des</w:t>
      </w:r>
      <w:r w:rsidR="007A0FE7">
        <w:rPr>
          <w:rFonts w:asciiTheme="minorHAnsi" w:hAnsiTheme="minorHAnsi"/>
          <w:b/>
          <w:bCs/>
          <w:lang w:val="fr-CA"/>
        </w:rPr>
        <w:t xml:space="preserve"> </w:t>
      </w:r>
      <w:r w:rsidRPr="003F5A03">
        <w:rPr>
          <w:rFonts w:asciiTheme="minorHAnsi" w:hAnsiTheme="minorHAnsi"/>
          <w:b/>
          <w:bCs/>
          <w:lang w:val="fr-CA"/>
        </w:rPr>
        <w:t xml:space="preserve">zones humides </w:t>
      </w:r>
    </w:p>
    <w:p w14:paraId="485E7CFD" w14:textId="77777777"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lang w:val="fr-CA"/>
        </w:rPr>
      </w:pPr>
    </w:p>
    <w:p w14:paraId="0B3A4A3C" w14:textId="053F5E48" w:rsidR="009F56D8" w:rsidRPr="008E6BEB" w:rsidRDefault="00811DAC" w:rsidP="008D7493">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 xml:space="preserve">4. </w:t>
      </w:r>
      <w:r w:rsidRPr="008E6BEB">
        <w:rPr>
          <w:lang w:val="fr-CA"/>
        </w:rPr>
        <w:tab/>
      </w:r>
      <w:r w:rsidR="002C513A">
        <w:rPr>
          <w:lang w:val="fr-CA"/>
        </w:rPr>
        <w:t xml:space="preserve">Les articles </w:t>
      </w:r>
      <w:r w:rsidR="00C95279" w:rsidRPr="008E6BEB">
        <w:rPr>
          <w:lang w:val="fr-CA"/>
        </w:rPr>
        <w:t>7.1</w:t>
      </w:r>
      <w:r w:rsidR="00DA1A85" w:rsidRPr="008E6BEB">
        <w:rPr>
          <w:lang w:val="fr-CA"/>
        </w:rPr>
        <w:t xml:space="preserve"> </w:t>
      </w:r>
      <w:r w:rsidR="002C513A">
        <w:rPr>
          <w:lang w:val="fr-CA"/>
        </w:rPr>
        <w:t>et</w:t>
      </w:r>
      <w:r w:rsidR="00DA1A85" w:rsidRPr="008E6BEB">
        <w:rPr>
          <w:lang w:val="fr-CA"/>
        </w:rPr>
        <w:t xml:space="preserve"> 7.2</w:t>
      </w:r>
      <w:r w:rsidR="00C95279" w:rsidRPr="008E6BEB">
        <w:rPr>
          <w:rFonts w:asciiTheme="minorHAnsi" w:hAnsiTheme="minorHAnsi"/>
          <w:lang w:val="fr-CA"/>
        </w:rPr>
        <w:t xml:space="preserve"> </w:t>
      </w:r>
      <w:r w:rsidR="002C513A">
        <w:rPr>
          <w:rFonts w:asciiTheme="minorHAnsi" w:hAnsiTheme="minorHAnsi"/>
          <w:lang w:val="fr-CA"/>
        </w:rPr>
        <w:t>portent sur la « </w:t>
      </w:r>
      <w:r w:rsidR="00C95279" w:rsidRPr="008E6BEB">
        <w:rPr>
          <w:lang w:val="fr-CA"/>
        </w:rPr>
        <w:t xml:space="preserve">Participation </w:t>
      </w:r>
      <w:r w:rsidR="002C513A">
        <w:rPr>
          <w:lang w:val="fr-CA"/>
        </w:rPr>
        <w:t>d’autres organes ou agences » comme suit :</w:t>
      </w:r>
      <w:r w:rsidR="00C95279" w:rsidRPr="008E6BEB">
        <w:rPr>
          <w:lang w:val="fr-CA"/>
        </w:rPr>
        <w:t xml:space="preserve"> </w:t>
      </w:r>
    </w:p>
    <w:p w14:paraId="563E9D9D" w14:textId="77777777" w:rsidR="00DA1A85" w:rsidRPr="008E6BEB" w:rsidRDefault="00DA1A85" w:rsidP="008D7493">
      <w:pPr>
        <w:pStyle w:val="ListParagraph"/>
        <w:tabs>
          <w:tab w:val="num" w:pos="720"/>
          <w:tab w:val="left" w:pos="4253"/>
        </w:tabs>
        <w:overflowPunct w:val="0"/>
        <w:autoSpaceDE w:val="0"/>
        <w:autoSpaceDN w:val="0"/>
        <w:adjustRightInd w:val="0"/>
        <w:spacing w:after="0" w:line="240" w:lineRule="auto"/>
        <w:ind w:left="780"/>
        <w:rPr>
          <w:lang w:val="fr-CA"/>
        </w:rPr>
      </w:pPr>
    </w:p>
    <w:p w14:paraId="3B316441" w14:textId="2AAD4AE2" w:rsidR="00DA1A85" w:rsidRPr="008E6BEB" w:rsidRDefault="00AC1DD6" w:rsidP="008D7493">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lastRenderedPageBreak/>
        <w:t>7.</w:t>
      </w:r>
      <w:r w:rsidR="00DA1A85" w:rsidRPr="008E6BEB">
        <w:rPr>
          <w:i/>
          <w:lang w:val="fr-CA"/>
        </w:rPr>
        <w:t>1.</w:t>
      </w:r>
      <w:r w:rsidR="00DA1A85" w:rsidRPr="008E6BEB">
        <w:rPr>
          <w:i/>
          <w:lang w:val="fr-CA"/>
        </w:rPr>
        <w:tab/>
      </w:r>
      <w:r w:rsidR="00983949" w:rsidRPr="008E6BEB">
        <w:rPr>
          <w:i/>
          <w:lang w:val="fr-CA"/>
        </w:rPr>
        <w:t xml:space="preserve">Tout organe ou agence, national ou international, gouvernemental ou non gouvernemental, qualifié en matière de conservation et d’utilisation </w:t>
      </w:r>
      <w:r w:rsidR="00983949" w:rsidRPr="00271D0E">
        <w:rPr>
          <w:i/>
          <w:lang w:val="fr-CA"/>
        </w:rPr>
        <w:t>durable</w:t>
      </w:r>
      <w:r w:rsidR="00983949" w:rsidRPr="008E6BEB">
        <w:rPr>
          <w:i/>
          <w:lang w:val="fr-CA"/>
        </w:rPr>
        <w:t xml:space="preserve"> des zones humides, qui a fait part au Secrétariat de son désir d’être représenté aux sessions de la Conférence des Parties, peut être représenté à toute session par des observateurs, à moins qu’un tiers au moins des Parties présentes ne s’y oppose.</w:t>
      </w:r>
      <w:r w:rsidR="00DA1A85" w:rsidRPr="008E6BEB">
        <w:rPr>
          <w:i/>
          <w:lang w:val="fr-CA"/>
        </w:rPr>
        <w:t xml:space="preserve"> </w:t>
      </w:r>
    </w:p>
    <w:p w14:paraId="70DFF1BE" w14:textId="77777777" w:rsidR="00DA1A85" w:rsidRPr="008E6BEB" w:rsidRDefault="00DA1A85" w:rsidP="008D7493">
      <w:pPr>
        <w:tabs>
          <w:tab w:val="num" w:pos="720"/>
          <w:tab w:val="left" w:pos="4253"/>
        </w:tabs>
        <w:overflowPunct w:val="0"/>
        <w:autoSpaceDE w:val="0"/>
        <w:autoSpaceDN w:val="0"/>
        <w:adjustRightInd w:val="0"/>
        <w:spacing w:after="0" w:line="240" w:lineRule="auto"/>
        <w:ind w:left="850" w:hanging="425"/>
        <w:rPr>
          <w:i/>
          <w:lang w:val="fr-CA"/>
        </w:rPr>
      </w:pPr>
    </w:p>
    <w:p w14:paraId="5A4A07F3" w14:textId="77A8AC3E" w:rsidR="00DA1A85" w:rsidRPr="008E6BEB" w:rsidRDefault="00AC1DD6" w:rsidP="008D7493">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7.2</w:t>
      </w:r>
      <w:r w:rsidRPr="008E6BEB">
        <w:rPr>
          <w:i/>
          <w:lang w:val="fr-CA"/>
        </w:rPr>
        <w:tab/>
      </w:r>
      <w:r w:rsidRPr="008E6BEB">
        <w:rPr>
          <w:i/>
          <w:lang w:val="fr-CA"/>
        </w:rPr>
        <w:tab/>
      </w:r>
      <w:r w:rsidR="00983949" w:rsidRPr="008E6BEB">
        <w:rPr>
          <w:i/>
          <w:lang w:val="fr-CA"/>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DA1A85" w:rsidRPr="008E6BEB">
        <w:rPr>
          <w:i/>
          <w:lang w:val="fr-CA"/>
        </w:rPr>
        <w:t>.</w:t>
      </w:r>
    </w:p>
    <w:p w14:paraId="651FCDEA" w14:textId="77777777" w:rsidR="00DA1A85" w:rsidRPr="008E6BEB" w:rsidRDefault="00DA1A85" w:rsidP="008D7493">
      <w:pPr>
        <w:tabs>
          <w:tab w:val="num" w:pos="720"/>
          <w:tab w:val="left" w:pos="4253"/>
        </w:tabs>
        <w:overflowPunct w:val="0"/>
        <w:autoSpaceDE w:val="0"/>
        <w:autoSpaceDN w:val="0"/>
        <w:adjustRightInd w:val="0"/>
        <w:spacing w:after="0" w:line="240" w:lineRule="auto"/>
        <w:rPr>
          <w:rFonts w:asciiTheme="minorHAnsi" w:hAnsiTheme="minorHAnsi"/>
          <w:i/>
          <w:lang w:val="fr-CA"/>
        </w:rPr>
      </w:pPr>
    </w:p>
    <w:p w14:paraId="64EA9AB3" w14:textId="244B7066" w:rsidR="00811DAC" w:rsidRPr="008E6BEB"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5.</w:t>
      </w:r>
      <w:r w:rsidRPr="008E6BEB">
        <w:rPr>
          <w:rFonts w:asciiTheme="minorHAnsi" w:hAnsiTheme="minorHAnsi" w:cs="Garamond"/>
          <w:lang w:val="fr-CA"/>
        </w:rPr>
        <w:tab/>
      </w:r>
      <w:r w:rsidR="00061857">
        <w:rPr>
          <w:rFonts w:asciiTheme="minorHAnsi" w:hAnsiTheme="minorHAnsi" w:cs="Garamond"/>
          <w:lang w:val="fr-CA"/>
        </w:rPr>
        <w:t>L’article</w:t>
      </w:r>
      <w:r w:rsidRPr="008E6BEB">
        <w:rPr>
          <w:rFonts w:asciiTheme="minorHAnsi" w:hAnsiTheme="minorHAnsi" w:cs="Garamond"/>
          <w:lang w:val="fr-CA"/>
        </w:rPr>
        <w:t xml:space="preserve"> 7.7 </w:t>
      </w:r>
      <w:r w:rsidR="00061857">
        <w:rPr>
          <w:rFonts w:asciiTheme="minorHAnsi" w:hAnsiTheme="minorHAnsi" w:cs="Garamond"/>
          <w:lang w:val="fr-CA"/>
        </w:rPr>
        <w:t xml:space="preserve">demande au Secrétariat d’informer les organes ou agences </w:t>
      </w:r>
      <w:r w:rsidR="00271D0E">
        <w:rPr>
          <w:rFonts w:asciiTheme="minorHAnsi" w:hAnsiTheme="minorHAnsi" w:cs="Garamond"/>
          <w:lang w:val="fr-CA"/>
        </w:rPr>
        <w:t xml:space="preserve">ayant été </w:t>
      </w:r>
      <w:r w:rsidR="00061857">
        <w:rPr>
          <w:rFonts w:asciiTheme="minorHAnsi" w:hAnsiTheme="minorHAnsi" w:cs="Garamond"/>
          <w:lang w:val="fr-CA"/>
        </w:rPr>
        <w:t>approuvés précédemment de la date et du lieu des sessions de la Conférence des Parties « </w:t>
      </w:r>
      <w:r w:rsidR="00DE18DA" w:rsidRPr="008E6BEB">
        <w:rPr>
          <w:rFonts w:asciiTheme="minorHAnsi" w:hAnsiTheme="minorHAnsi" w:cs="Garamond"/>
          <w:lang w:val="fr-CA"/>
        </w:rPr>
        <w:t>afin qu’ils puissent s’y faire représenter</w:t>
      </w:r>
      <w:r w:rsidR="00061857">
        <w:rPr>
          <w:rFonts w:asciiTheme="minorHAnsi" w:hAnsiTheme="minorHAnsi" w:cs="Garamond"/>
          <w:lang w:val="fr-CA"/>
        </w:rPr>
        <w:t> »</w:t>
      </w:r>
      <w:r w:rsidRPr="008E6BEB">
        <w:rPr>
          <w:rFonts w:asciiTheme="minorHAnsi" w:hAnsiTheme="minorHAnsi" w:cs="Garamond"/>
          <w:lang w:val="fr-CA"/>
        </w:rPr>
        <w:t>.</w:t>
      </w:r>
    </w:p>
    <w:p w14:paraId="173DAF0E" w14:textId="6DF93530" w:rsidR="00811DAC" w:rsidRPr="008E6BEB"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F5A7003" w14:textId="0533A0B3" w:rsidR="005B4CA5" w:rsidRPr="008E6BEB" w:rsidRDefault="00061857" w:rsidP="008D7493">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Organes ou agences précédemment approuvés</w:t>
      </w:r>
    </w:p>
    <w:p w14:paraId="65E7E218" w14:textId="77777777"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D99E18" w14:textId="1DF0989F"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6.</w:t>
      </w:r>
      <w:r w:rsidRPr="008E6BEB">
        <w:rPr>
          <w:rFonts w:asciiTheme="minorHAnsi" w:hAnsiTheme="minorHAnsi" w:cs="Garamond"/>
          <w:lang w:val="fr-CA"/>
        </w:rPr>
        <w:tab/>
      </w:r>
      <w:r w:rsidR="00061857">
        <w:rPr>
          <w:rFonts w:asciiTheme="minorHAnsi" w:hAnsiTheme="minorHAnsi" w:cs="Garamond"/>
          <w:lang w:val="fr-CA"/>
        </w:rPr>
        <w:t xml:space="preserve">Les organes ou agences suivants ayant été approuvés pour être représentés par des observateurs à des sessions précédentes de la Conférence des Parties contractantes se sont inscrits pour participer à la </w:t>
      </w:r>
      <w:r w:rsidR="00B449CB">
        <w:rPr>
          <w:rFonts w:asciiTheme="minorHAnsi" w:hAnsiTheme="minorHAnsi" w:cs="Garamond"/>
          <w:lang w:val="fr-CA"/>
        </w:rPr>
        <w:t>5</w:t>
      </w:r>
      <w:r w:rsidR="002117CD">
        <w:rPr>
          <w:rFonts w:asciiTheme="minorHAnsi" w:hAnsiTheme="minorHAnsi" w:cs="Garamond"/>
          <w:lang w:val="fr-CA"/>
        </w:rPr>
        <w:t>9</w:t>
      </w:r>
      <w:r w:rsidR="00B449CB" w:rsidRPr="00B449CB">
        <w:rPr>
          <w:rFonts w:asciiTheme="minorHAnsi" w:hAnsiTheme="minorHAnsi" w:cs="Garamond"/>
          <w:vertAlign w:val="superscript"/>
          <w:lang w:val="fr-CA"/>
        </w:rPr>
        <w:t>e</w:t>
      </w:r>
      <w:r w:rsidR="00B449CB">
        <w:rPr>
          <w:rFonts w:asciiTheme="minorHAnsi" w:hAnsiTheme="minorHAnsi" w:cs="Garamond"/>
          <w:lang w:val="fr-CA"/>
        </w:rPr>
        <w:t xml:space="preserve"> Réunion du Comité permanent</w:t>
      </w:r>
      <w:r w:rsidR="00061857">
        <w:rPr>
          <w:rFonts w:asciiTheme="minorHAnsi" w:hAnsiTheme="minorHAnsi" w:cs="Garamond"/>
          <w:lang w:val="fr-CA"/>
        </w:rPr>
        <w:t> </w:t>
      </w:r>
      <w:r w:rsidRPr="008E6BEB">
        <w:rPr>
          <w:rFonts w:asciiTheme="minorHAnsi" w:hAnsiTheme="minorHAnsi" w:cs="Garamond"/>
          <w:lang w:val="fr-CA"/>
        </w:rPr>
        <w:t>:</w:t>
      </w:r>
    </w:p>
    <w:p w14:paraId="58728E53" w14:textId="77777777" w:rsidR="00B15B43" w:rsidRPr="008E6BEB" w:rsidRDefault="00B15B43"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DCAF772" w14:textId="00F60899" w:rsidR="00B15B43" w:rsidRPr="008E6BEB" w:rsidRDefault="00B15B43" w:rsidP="008D7493">
      <w:pPr>
        <w:tabs>
          <w:tab w:val="left" w:pos="4253"/>
        </w:tabs>
        <w:overflowPunct w:val="0"/>
        <w:autoSpaceDE w:val="0"/>
        <w:autoSpaceDN w:val="0"/>
        <w:adjustRightInd w:val="0"/>
        <w:spacing w:after="0" w:line="240" w:lineRule="auto"/>
        <w:ind w:left="426" w:hanging="426"/>
        <w:rPr>
          <w:rFonts w:asciiTheme="minorHAnsi" w:hAnsiTheme="minorHAnsi" w:cs="Garamond"/>
          <w:u w:val="single"/>
          <w:lang w:val="fr-CA"/>
        </w:rPr>
      </w:pPr>
      <w:r w:rsidRPr="008E6BEB">
        <w:rPr>
          <w:rFonts w:asciiTheme="minorHAnsi" w:hAnsiTheme="minorHAnsi" w:cs="Garamond"/>
          <w:lang w:val="fr-CA"/>
        </w:rPr>
        <w:tab/>
      </w:r>
      <w:r w:rsidR="00482AB8" w:rsidRPr="00482AB8">
        <w:rPr>
          <w:rFonts w:asciiTheme="minorHAnsi" w:hAnsiTheme="minorHAnsi" w:cs="Garamond"/>
          <w:u w:val="single"/>
          <w:lang w:val="fr-CA"/>
        </w:rPr>
        <w:t>i</w:t>
      </w:r>
      <w:r w:rsidR="00061857">
        <w:rPr>
          <w:rFonts w:asciiTheme="minorHAnsi" w:hAnsiTheme="minorHAnsi" w:cs="Garamond"/>
          <w:u w:val="single"/>
          <w:lang w:val="fr-CA"/>
        </w:rPr>
        <w:t>ntergouvernementa</w:t>
      </w:r>
      <w:r w:rsidR="00482AB8">
        <w:rPr>
          <w:rFonts w:asciiTheme="minorHAnsi" w:hAnsiTheme="minorHAnsi" w:cs="Garamond"/>
          <w:u w:val="single"/>
          <w:lang w:val="fr-CA"/>
        </w:rPr>
        <w:t>ux</w:t>
      </w:r>
    </w:p>
    <w:p w14:paraId="22D2A4DA" w14:textId="77777777" w:rsidR="00B15B43" w:rsidRPr="008E6BEB" w:rsidRDefault="00B15B43" w:rsidP="008D749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p>
    <w:p w14:paraId="0AB6D33E" w14:textId="30236AFD" w:rsidR="00B15B43" w:rsidRPr="00B449CB" w:rsidRDefault="00B449CB" w:rsidP="008D7493">
      <w:pPr>
        <w:pStyle w:val="ListParagraph"/>
        <w:numPr>
          <w:ilvl w:val="0"/>
          <w:numId w:val="12"/>
        </w:numPr>
        <w:spacing w:after="0" w:line="240" w:lineRule="auto"/>
        <w:ind w:left="850" w:hanging="425"/>
        <w:rPr>
          <w:rFonts w:asciiTheme="minorHAnsi" w:hAnsiTheme="minorHAnsi" w:cstheme="minorHAnsi"/>
          <w:color w:val="000000"/>
          <w:lang w:val="es-ES" w:eastAsia="en-GB"/>
        </w:rPr>
      </w:pPr>
      <w:r w:rsidRPr="00B449CB">
        <w:rPr>
          <w:rFonts w:asciiTheme="minorHAnsi" w:hAnsiTheme="minorHAnsi" w:cstheme="minorHAnsi"/>
          <w:color w:val="000000"/>
          <w:lang w:val="es-ES" w:eastAsia="en-GB"/>
        </w:rPr>
        <w:t>Centro Regional Ramsar para la Capacitación e Investigación sobre humedales para el Hemisferio Occidental (CREHO)</w:t>
      </w:r>
    </w:p>
    <w:p w14:paraId="19980F0C" w14:textId="02BDEDDF" w:rsidR="00B15B43" w:rsidRDefault="00482AB8"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Union internationale pour la conservation de la nature</w:t>
      </w:r>
      <w:r w:rsidR="00B15B43" w:rsidRPr="008E6BEB">
        <w:rPr>
          <w:rFonts w:asciiTheme="minorHAnsi" w:hAnsiTheme="minorHAnsi" w:cstheme="minorHAnsi"/>
          <w:color w:val="000000"/>
          <w:lang w:val="fr-CA" w:eastAsia="en-GB"/>
        </w:rPr>
        <w:t xml:space="preserve"> – </w:t>
      </w:r>
      <w:r>
        <w:rPr>
          <w:rFonts w:asciiTheme="minorHAnsi" w:hAnsiTheme="minorHAnsi" w:cstheme="minorHAnsi"/>
          <w:color w:val="000000"/>
          <w:lang w:val="fr-CA" w:eastAsia="en-GB"/>
        </w:rPr>
        <w:t>UICN</w:t>
      </w:r>
    </w:p>
    <w:p w14:paraId="4B5B48B8" w14:textId="49936694" w:rsidR="004A686A" w:rsidRPr="008E6BEB" w:rsidRDefault="004A686A"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C</w:t>
      </w:r>
      <w:r w:rsidRPr="004A686A">
        <w:rPr>
          <w:rFonts w:asciiTheme="minorHAnsi" w:hAnsiTheme="minorHAnsi" w:cstheme="minorHAnsi"/>
          <w:color w:val="000000"/>
          <w:lang w:val="fr-CA" w:eastAsia="en-GB"/>
        </w:rPr>
        <w:t xml:space="preserve">entre </w:t>
      </w:r>
      <w:r>
        <w:rPr>
          <w:rFonts w:asciiTheme="minorHAnsi" w:hAnsiTheme="minorHAnsi" w:cstheme="minorHAnsi"/>
          <w:color w:val="000000"/>
          <w:lang w:val="fr-CA" w:eastAsia="en-GB"/>
        </w:rPr>
        <w:t xml:space="preserve">mondial </w:t>
      </w:r>
      <w:r w:rsidRPr="004A686A">
        <w:rPr>
          <w:rFonts w:asciiTheme="minorHAnsi" w:hAnsiTheme="minorHAnsi" w:cstheme="minorHAnsi"/>
          <w:color w:val="000000"/>
          <w:lang w:val="fr-CA" w:eastAsia="en-GB"/>
        </w:rPr>
        <w:t xml:space="preserve">de surveillance de la conservation de la nature </w:t>
      </w:r>
      <w:r w:rsidR="002F09A9">
        <w:rPr>
          <w:rFonts w:asciiTheme="minorHAnsi" w:hAnsiTheme="minorHAnsi" w:cstheme="minorHAnsi"/>
          <w:color w:val="000000"/>
          <w:lang w:val="fr-CA" w:eastAsia="en-GB"/>
        </w:rPr>
        <w:t xml:space="preserve">du Programme des Nations Unies pour l’environnement </w:t>
      </w:r>
      <w:r w:rsidRPr="004A686A">
        <w:rPr>
          <w:rFonts w:asciiTheme="minorHAnsi" w:hAnsiTheme="minorHAnsi" w:cstheme="minorHAnsi"/>
          <w:color w:val="000000"/>
          <w:lang w:val="fr-CA" w:eastAsia="en-GB"/>
        </w:rPr>
        <w:t>(PNUE-WCMC)</w:t>
      </w:r>
    </w:p>
    <w:p w14:paraId="4B49D393" w14:textId="77777777" w:rsidR="00B15B43" w:rsidRPr="008E6BEB" w:rsidRDefault="00B15B43" w:rsidP="008D7493">
      <w:pPr>
        <w:tabs>
          <w:tab w:val="left" w:pos="4253"/>
        </w:tabs>
        <w:overflowPunct w:val="0"/>
        <w:autoSpaceDE w:val="0"/>
        <w:autoSpaceDN w:val="0"/>
        <w:adjustRightInd w:val="0"/>
        <w:spacing w:after="0" w:line="240" w:lineRule="auto"/>
        <w:ind w:left="851" w:hanging="851"/>
        <w:rPr>
          <w:rFonts w:asciiTheme="minorHAnsi" w:hAnsiTheme="minorHAnsi" w:cs="Garamond"/>
          <w:lang w:val="fr-CA"/>
        </w:rPr>
      </w:pPr>
    </w:p>
    <w:p w14:paraId="6A46853E" w14:textId="2C870A4C" w:rsidR="00B15B43" w:rsidRPr="008E6BEB" w:rsidRDefault="00482AB8" w:rsidP="008D7493">
      <w:pPr>
        <w:tabs>
          <w:tab w:val="left" w:pos="4253"/>
        </w:tabs>
        <w:overflowPunct w:val="0"/>
        <w:autoSpaceDE w:val="0"/>
        <w:autoSpaceDN w:val="0"/>
        <w:adjustRightInd w:val="0"/>
        <w:spacing w:after="0" w:line="240" w:lineRule="auto"/>
        <w:ind w:firstLine="426"/>
        <w:rPr>
          <w:rFonts w:asciiTheme="minorHAnsi" w:hAnsiTheme="minorHAnsi" w:cs="Garamond"/>
          <w:u w:val="single"/>
          <w:lang w:val="fr-CA"/>
        </w:rPr>
      </w:pPr>
      <w:r>
        <w:rPr>
          <w:rFonts w:asciiTheme="minorHAnsi" w:hAnsiTheme="minorHAnsi" w:cs="Garamond"/>
          <w:u w:val="single"/>
          <w:lang w:val="fr-CA"/>
        </w:rPr>
        <w:t xml:space="preserve">non </w:t>
      </w:r>
      <w:r w:rsidRPr="008E6BEB">
        <w:rPr>
          <w:rFonts w:asciiTheme="minorHAnsi" w:hAnsiTheme="minorHAnsi" w:cs="Garamond"/>
          <w:u w:val="single"/>
          <w:lang w:val="fr-CA"/>
        </w:rPr>
        <w:t>gouvernementa</w:t>
      </w:r>
      <w:r>
        <w:rPr>
          <w:rFonts w:asciiTheme="minorHAnsi" w:hAnsiTheme="minorHAnsi" w:cs="Garamond"/>
          <w:u w:val="single"/>
          <w:lang w:val="fr-CA"/>
        </w:rPr>
        <w:t>ux</w:t>
      </w:r>
    </w:p>
    <w:p w14:paraId="3692BD5C" w14:textId="77777777" w:rsidR="005B4CA5" w:rsidRPr="008E6BEB" w:rsidRDefault="005B4CA5" w:rsidP="008D7493">
      <w:pPr>
        <w:spacing w:after="0" w:line="240" w:lineRule="auto"/>
        <w:rPr>
          <w:rFonts w:asciiTheme="minorHAnsi" w:hAnsiTheme="minorHAnsi" w:cstheme="minorHAnsi"/>
          <w:color w:val="000000"/>
          <w:lang w:val="fr-CA" w:eastAsia="en-GB"/>
        </w:rPr>
      </w:pPr>
    </w:p>
    <w:p w14:paraId="18DB01D8" w14:textId="07BC166E" w:rsidR="005B4CA5" w:rsidRPr="002F09A9" w:rsidRDefault="004A686A"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Interamerican Association for Environmental Defense (AIDA)</w:t>
      </w:r>
    </w:p>
    <w:p w14:paraId="756CFD56" w14:textId="3DFBBA72" w:rsidR="004A686A" w:rsidRPr="002F09A9" w:rsidRDefault="004A686A" w:rsidP="004A686A">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Corporación Montaña</w:t>
      </w:r>
    </w:p>
    <w:p w14:paraId="67104569" w14:textId="77777777" w:rsidR="004A686A" w:rsidRPr="002117CD" w:rsidRDefault="004A686A" w:rsidP="004A686A">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2117CD">
        <w:rPr>
          <w:rFonts w:asciiTheme="minorHAnsi" w:hAnsiTheme="minorHAnsi" w:cstheme="minorHAnsi"/>
          <w:color w:val="000000"/>
          <w:lang w:val="en-GB" w:eastAsia="en-GB"/>
        </w:rPr>
        <w:t>China Biodiversity Conservation and Green Development Foundation</w:t>
      </w:r>
    </w:p>
    <w:p w14:paraId="173A0A1A" w14:textId="09AD019D" w:rsidR="00555684" w:rsidRPr="002F09A9"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International Center for Environmental Research</w:t>
      </w:r>
    </w:p>
    <w:p w14:paraId="37D72B41" w14:textId="01381485" w:rsidR="004A686A" w:rsidRPr="002F09A9" w:rsidRDefault="004A686A" w:rsidP="0010584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International Centre of Comparative Environmental Law (C.I.D.C.E.)</w:t>
      </w:r>
    </w:p>
    <w:p w14:paraId="6D6577B4" w14:textId="77777777" w:rsidR="00105845" w:rsidRPr="002F09A9" w:rsidRDefault="00105845" w:rsidP="0010584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International Water Management Institute</w:t>
      </w:r>
    </w:p>
    <w:p w14:paraId="3C27A093" w14:textId="30F517D3" w:rsidR="005B4CA5" w:rsidRPr="002F09A9" w:rsidRDefault="00105845" w:rsidP="0010584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Centre r</w:t>
      </w:r>
      <w:r w:rsidR="002F09A9" w:rsidRPr="002F09A9">
        <w:rPr>
          <w:rFonts w:asciiTheme="minorHAnsi" w:hAnsiTheme="minorHAnsi" w:cstheme="minorHAnsi"/>
          <w:color w:val="000000"/>
          <w:lang w:val="fr-FR" w:eastAsia="en-GB"/>
        </w:rPr>
        <w:t>é</w:t>
      </w:r>
      <w:r w:rsidRPr="002F09A9">
        <w:rPr>
          <w:rFonts w:asciiTheme="minorHAnsi" w:hAnsiTheme="minorHAnsi" w:cstheme="minorHAnsi"/>
          <w:color w:val="000000"/>
          <w:lang w:val="fr-FR" w:eastAsia="en-GB"/>
        </w:rPr>
        <w:t xml:space="preserve">gional </w:t>
      </w:r>
      <w:r w:rsidR="00555684" w:rsidRPr="002F09A9">
        <w:rPr>
          <w:rFonts w:asciiTheme="minorHAnsi" w:hAnsiTheme="minorHAnsi" w:cstheme="minorHAnsi"/>
          <w:color w:val="000000"/>
          <w:lang w:val="fr-FR" w:eastAsia="en-GB"/>
        </w:rPr>
        <w:t xml:space="preserve">Ramsar </w:t>
      </w:r>
      <w:r w:rsidRPr="002F09A9">
        <w:rPr>
          <w:rFonts w:asciiTheme="minorHAnsi" w:hAnsiTheme="minorHAnsi" w:cstheme="minorHAnsi"/>
          <w:color w:val="000000"/>
          <w:lang w:val="fr-FR" w:eastAsia="en-GB"/>
        </w:rPr>
        <w:t>– Asie de l’Est (RRC-EA)</w:t>
      </w:r>
    </w:p>
    <w:p w14:paraId="6EF1F046" w14:textId="1B11ED88" w:rsidR="00105845" w:rsidRPr="002F09A9" w:rsidRDefault="00105845" w:rsidP="00105845">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Centre r</w:t>
      </w:r>
      <w:r w:rsidR="002F09A9" w:rsidRPr="002F09A9">
        <w:rPr>
          <w:rFonts w:asciiTheme="minorHAnsi" w:hAnsiTheme="minorHAnsi" w:cstheme="minorHAnsi"/>
          <w:color w:val="000000"/>
          <w:lang w:val="fr-FR" w:eastAsia="en-GB"/>
        </w:rPr>
        <w:t>é</w:t>
      </w:r>
      <w:r w:rsidRPr="002F09A9">
        <w:rPr>
          <w:rFonts w:asciiTheme="minorHAnsi" w:hAnsiTheme="minorHAnsi" w:cstheme="minorHAnsi"/>
          <w:color w:val="000000"/>
          <w:lang w:val="fr-FR" w:eastAsia="en-GB"/>
        </w:rPr>
        <w:t>gional Ramsar – Asie centrale et de l’Ouest</w:t>
      </w:r>
    </w:p>
    <w:p w14:paraId="7F2E0729" w14:textId="5B8ED2C9" w:rsidR="005B4CA5" w:rsidRPr="002F09A9"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000000"/>
          <w:lang w:val="fr-FR" w:eastAsia="en-GB"/>
        </w:rPr>
        <w:t>Réseau Africain des Jeunes sur les Zones Humides</w:t>
      </w:r>
    </w:p>
    <w:p w14:paraId="77325B77" w14:textId="1EFE8323" w:rsidR="00555684" w:rsidRPr="002F09A9"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333333"/>
          <w:lang w:val="fr-FR"/>
        </w:rPr>
        <w:t xml:space="preserve">Society of </w:t>
      </w:r>
      <w:r w:rsidR="00105845" w:rsidRPr="002F09A9">
        <w:rPr>
          <w:rFonts w:asciiTheme="minorHAnsi" w:hAnsiTheme="minorHAnsi" w:cstheme="minorHAnsi"/>
          <w:color w:val="333333"/>
          <w:lang w:val="fr-FR"/>
        </w:rPr>
        <w:t>Wetland Scientists</w:t>
      </w:r>
    </w:p>
    <w:p w14:paraId="61EBE39B" w14:textId="24F9AB0F" w:rsidR="00555684" w:rsidRPr="002F09A9"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333333"/>
          <w:lang w:val="fr-FR"/>
        </w:rPr>
        <w:t xml:space="preserve">The Wildfowl &amp; Wetlands Trust </w:t>
      </w:r>
    </w:p>
    <w:p w14:paraId="19243405" w14:textId="101E8BB2" w:rsidR="00105845" w:rsidRPr="002F09A9" w:rsidRDefault="00105845"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2F09A9">
        <w:rPr>
          <w:rFonts w:asciiTheme="minorHAnsi" w:hAnsiTheme="minorHAnsi" w:cstheme="minorHAnsi"/>
          <w:color w:val="333333"/>
          <w:lang w:val="fr-FR"/>
        </w:rPr>
        <w:t>Wetlands International</w:t>
      </w:r>
    </w:p>
    <w:p w14:paraId="3187A96B" w14:textId="77777777" w:rsidR="00555684" w:rsidRPr="00B265A4"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en"/>
        </w:rPr>
        <w:t>Wetlands International Japan</w:t>
      </w:r>
    </w:p>
    <w:p w14:paraId="380814D3" w14:textId="77777777"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87F85D" w14:textId="7EE1E9A1" w:rsidR="005B4CA5" w:rsidRPr="00792AB0" w:rsidRDefault="00792AB0" w:rsidP="008D7493">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 xml:space="preserve">Organes ou agences </w:t>
      </w:r>
      <w:r w:rsidRPr="00666DBC">
        <w:rPr>
          <w:rFonts w:asciiTheme="minorHAnsi" w:hAnsiTheme="minorHAnsi" w:cs="Garamond"/>
          <w:u w:val="single"/>
          <w:lang w:val="fr-CA"/>
        </w:rPr>
        <w:t xml:space="preserve">qui </w:t>
      </w:r>
      <w:bookmarkStart w:id="0" w:name="_Hlk526838949"/>
      <w:r w:rsidR="00D464E6">
        <w:rPr>
          <w:rFonts w:asciiTheme="minorHAnsi" w:hAnsiTheme="minorHAnsi" w:cs="Garamond"/>
          <w:u w:val="single"/>
          <w:lang w:val="fr-CA"/>
        </w:rPr>
        <w:t>aspirent à</w:t>
      </w:r>
      <w:bookmarkEnd w:id="0"/>
      <w:r w:rsidRPr="00666DBC">
        <w:rPr>
          <w:rFonts w:asciiTheme="minorHAnsi" w:hAnsiTheme="minorHAnsi" w:cs="Garamond"/>
          <w:u w:val="single"/>
          <w:lang w:val="fr-CA"/>
        </w:rPr>
        <w:t xml:space="preserve"> </w:t>
      </w:r>
      <w:r w:rsidR="00666DBC">
        <w:rPr>
          <w:rFonts w:asciiTheme="minorHAnsi" w:hAnsiTheme="minorHAnsi" w:cs="Garamond"/>
          <w:u w:val="single"/>
          <w:lang w:val="fr-CA"/>
        </w:rPr>
        <w:t>devenir observateurs</w:t>
      </w:r>
      <w:r w:rsidR="00FC30B4" w:rsidRPr="00792AB0">
        <w:rPr>
          <w:rFonts w:asciiTheme="minorHAnsi" w:hAnsiTheme="minorHAnsi" w:cs="Garamond"/>
          <w:u w:val="single"/>
          <w:lang w:val="fr-CA"/>
        </w:rPr>
        <w:t xml:space="preserve"> </w:t>
      </w:r>
      <w:r>
        <w:rPr>
          <w:rFonts w:asciiTheme="minorHAnsi" w:hAnsiTheme="minorHAnsi" w:cs="Garamond"/>
          <w:u w:val="single"/>
          <w:lang w:val="fr-CA"/>
        </w:rPr>
        <w:t>et qui ont rempli les critères</w:t>
      </w:r>
    </w:p>
    <w:p w14:paraId="34716063" w14:textId="77777777" w:rsidR="00811DAC" w:rsidRPr="00792AB0"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092B246" w14:textId="2455F271" w:rsidR="00637250" w:rsidRDefault="006D318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7</w:t>
      </w:r>
      <w:r w:rsidR="00637250" w:rsidRPr="00792AB0">
        <w:rPr>
          <w:rFonts w:asciiTheme="minorHAnsi" w:hAnsiTheme="minorHAnsi" w:cs="Garamond"/>
          <w:lang w:val="fr-CA"/>
        </w:rPr>
        <w:t>.</w:t>
      </w:r>
      <w:r w:rsidR="00637250" w:rsidRPr="00792AB0">
        <w:rPr>
          <w:rFonts w:asciiTheme="minorHAnsi" w:hAnsiTheme="minorHAnsi" w:cs="Garamond"/>
          <w:lang w:val="fr-CA"/>
        </w:rPr>
        <w:tab/>
      </w:r>
      <w:r w:rsidR="00121336">
        <w:rPr>
          <w:rFonts w:asciiTheme="minorHAnsi" w:hAnsiTheme="minorHAnsi" w:cs="Garamond"/>
          <w:lang w:val="fr-CA"/>
        </w:rPr>
        <w:t>O</w:t>
      </w:r>
      <w:r w:rsidR="00792AB0">
        <w:rPr>
          <w:rFonts w:asciiTheme="minorHAnsi" w:hAnsiTheme="minorHAnsi" w:cs="Garamond"/>
          <w:lang w:val="fr-CA"/>
        </w:rPr>
        <w:t>rgane</w:t>
      </w:r>
      <w:r w:rsidR="002F09A9">
        <w:rPr>
          <w:rFonts w:asciiTheme="minorHAnsi" w:hAnsiTheme="minorHAnsi" w:cs="Garamond"/>
          <w:lang w:val="fr-CA"/>
        </w:rPr>
        <w:t>s</w:t>
      </w:r>
      <w:r w:rsidR="00792AB0">
        <w:rPr>
          <w:rFonts w:asciiTheme="minorHAnsi" w:hAnsiTheme="minorHAnsi" w:cs="Garamond"/>
          <w:lang w:val="fr-CA"/>
        </w:rPr>
        <w:t xml:space="preserve"> ou agence</w:t>
      </w:r>
      <w:r w:rsidR="002F09A9">
        <w:rPr>
          <w:rFonts w:asciiTheme="minorHAnsi" w:hAnsiTheme="minorHAnsi" w:cs="Garamond"/>
          <w:lang w:val="fr-CA"/>
        </w:rPr>
        <w:t>s</w:t>
      </w:r>
      <w:r w:rsidR="00792AB0">
        <w:rPr>
          <w:rFonts w:asciiTheme="minorHAnsi" w:hAnsiTheme="minorHAnsi" w:cs="Garamond"/>
          <w:lang w:val="fr-CA"/>
        </w:rPr>
        <w:t xml:space="preserve"> </w:t>
      </w:r>
      <w:r w:rsidR="00121336">
        <w:rPr>
          <w:rFonts w:asciiTheme="minorHAnsi" w:hAnsiTheme="minorHAnsi" w:cs="Garamond"/>
          <w:lang w:val="fr-CA"/>
        </w:rPr>
        <w:t>ayant</w:t>
      </w:r>
      <w:r w:rsidR="00792AB0">
        <w:rPr>
          <w:rFonts w:asciiTheme="minorHAnsi" w:hAnsiTheme="minorHAnsi" w:cs="Garamond"/>
          <w:lang w:val="fr-CA"/>
        </w:rPr>
        <w:t xml:space="preserve"> informé le Secrétariat de </w:t>
      </w:r>
      <w:r w:rsidR="002F09A9">
        <w:rPr>
          <w:rFonts w:asciiTheme="minorHAnsi" w:hAnsiTheme="minorHAnsi" w:cs="Garamond"/>
          <w:lang w:val="fr-CA"/>
        </w:rPr>
        <w:t>leur</w:t>
      </w:r>
      <w:r w:rsidR="00792AB0">
        <w:rPr>
          <w:rFonts w:asciiTheme="minorHAnsi" w:hAnsiTheme="minorHAnsi" w:cs="Garamond"/>
          <w:lang w:val="fr-CA"/>
        </w:rPr>
        <w:t xml:space="preserve"> souhait d’être </w:t>
      </w:r>
      <w:r w:rsidR="0095058D">
        <w:rPr>
          <w:rFonts w:asciiTheme="minorHAnsi" w:hAnsiTheme="minorHAnsi" w:cs="Garamond"/>
          <w:lang w:val="fr-CA"/>
        </w:rPr>
        <w:t>admis</w:t>
      </w:r>
      <w:r w:rsidR="00792AB0">
        <w:rPr>
          <w:rFonts w:asciiTheme="minorHAnsi" w:hAnsiTheme="minorHAnsi" w:cs="Garamond"/>
          <w:lang w:val="fr-CA"/>
        </w:rPr>
        <w:t xml:space="preserve"> comme observateur</w:t>
      </w:r>
      <w:r w:rsidR="002F09A9">
        <w:rPr>
          <w:rFonts w:asciiTheme="minorHAnsi" w:hAnsiTheme="minorHAnsi" w:cs="Garamond"/>
          <w:lang w:val="fr-CA"/>
        </w:rPr>
        <w:t>s</w:t>
      </w:r>
      <w:r w:rsidR="00792AB0">
        <w:rPr>
          <w:rFonts w:asciiTheme="minorHAnsi" w:hAnsiTheme="minorHAnsi" w:cs="Garamond"/>
          <w:lang w:val="fr-CA"/>
        </w:rPr>
        <w:t xml:space="preserve">, </w:t>
      </w:r>
      <w:r w:rsidR="0095058D">
        <w:rPr>
          <w:rFonts w:asciiTheme="minorHAnsi" w:hAnsiTheme="minorHAnsi" w:cs="Garamond"/>
          <w:lang w:val="fr-CA"/>
        </w:rPr>
        <w:t>conformément à</w:t>
      </w:r>
      <w:r w:rsidR="00792AB0">
        <w:rPr>
          <w:rFonts w:asciiTheme="minorHAnsi" w:hAnsiTheme="minorHAnsi" w:cs="Garamond"/>
          <w:lang w:val="fr-CA"/>
        </w:rPr>
        <w:t xml:space="preserve"> l’article 7.2 : </w:t>
      </w:r>
    </w:p>
    <w:p w14:paraId="52E64303" w14:textId="66A5B0BD" w:rsidR="00121336" w:rsidRDefault="00121336"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7D7A3D04" w14:textId="34CEE71A" w:rsidR="00121336" w:rsidRPr="002117CD" w:rsidRDefault="002117CD" w:rsidP="00121336">
      <w:pPr>
        <w:pStyle w:val="ListParagraph"/>
        <w:numPr>
          <w:ilvl w:val="0"/>
          <w:numId w:val="15"/>
        </w:numPr>
        <w:tabs>
          <w:tab w:val="left" w:pos="4253"/>
        </w:tabs>
        <w:overflowPunct w:val="0"/>
        <w:autoSpaceDE w:val="0"/>
        <w:autoSpaceDN w:val="0"/>
        <w:adjustRightInd w:val="0"/>
        <w:spacing w:after="0" w:line="240" w:lineRule="auto"/>
        <w:rPr>
          <w:rFonts w:asciiTheme="minorHAnsi" w:hAnsiTheme="minorHAnsi" w:cs="Garamond"/>
          <w:lang w:val="en-GB"/>
        </w:rPr>
      </w:pPr>
      <w:r>
        <w:rPr>
          <w:rFonts w:asciiTheme="minorHAnsi" w:hAnsiTheme="minorHAnsi" w:cs="Garamond"/>
          <w:lang w:val="en-GB"/>
        </w:rPr>
        <w:t>Youth E</w:t>
      </w:r>
      <w:bookmarkStart w:id="1" w:name="_GoBack"/>
      <w:bookmarkEnd w:id="1"/>
      <w:r w:rsidR="00121336" w:rsidRPr="002117CD">
        <w:rPr>
          <w:rFonts w:asciiTheme="minorHAnsi" w:hAnsiTheme="minorHAnsi" w:cs="Garamond"/>
          <w:lang w:val="en-GB"/>
        </w:rPr>
        <w:t>ngaged in Wetlands</w:t>
      </w:r>
      <w:r w:rsidR="002F09A9" w:rsidRPr="002117CD">
        <w:rPr>
          <w:rFonts w:asciiTheme="minorHAnsi" w:hAnsiTheme="minorHAnsi" w:cs="Garamond"/>
          <w:lang w:val="en-GB"/>
        </w:rPr>
        <w:t xml:space="preserve"> (YEW)</w:t>
      </w:r>
    </w:p>
    <w:p w14:paraId="2309201E" w14:textId="77777777" w:rsidR="00532CED" w:rsidRPr="00F268D6" w:rsidRDefault="00532CED" w:rsidP="008D7493">
      <w:pPr>
        <w:spacing w:after="0" w:line="240" w:lineRule="auto"/>
        <w:rPr>
          <w:rFonts w:asciiTheme="minorHAnsi" w:hAnsiTheme="minorHAnsi" w:cstheme="minorHAnsi"/>
          <w:color w:val="000000"/>
          <w:lang w:eastAsia="en-GB"/>
        </w:rPr>
      </w:pPr>
    </w:p>
    <w:p w14:paraId="5E209E69" w14:textId="089D2F78" w:rsidR="005B4CA5" w:rsidRPr="008D7493" w:rsidRDefault="00A300B9" w:rsidP="008D7493">
      <w:pPr>
        <w:keepNext/>
        <w:tabs>
          <w:tab w:val="left" w:pos="4253"/>
        </w:tabs>
        <w:overflowPunct w:val="0"/>
        <w:autoSpaceDE w:val="0"/>
        <w:autoSpaceDN w:val="0"/>
        <w:adjustRightInd w:val="0"/>
        <w:spacing w:after="0" w:line="240" w:lineRule="auto"/>
        <w:ind w:left="425" w:hanging="425"/>
        <w:rPr>
          <w:rFonts w:asciiTheme="minorHAnsi" w:hAnsiTheme="minorHAnsi" w:cs="Garamond"/>
          <w:b/>
          <w:lang w:val="fr-CA"/>
        </w:rPr>
      </w:pPr>
      <w:r w:rsidRPr="008D7493">
        <w:rPr>
          <w:rFonts w:asciiTheme="minorHAnsi" w:hAnsiTheme="minorHAnsi" w:cs="Garamond"/>
          <w:b/>
          <w:lang w:val="fr-CA"/>
        </w:rPr>
        <w:t>Recommandation</w:t>
      </w:r>
    </w:p>
    <w:p w14:paraId="254FB9A5" w14:textId="77777777" w:rsidR="00F27AA0" w:rsidRPr="00792AB0" w:rsidRDefault="00F27AA0" w:rsidP="008D7493">
      <w:pPr>
        <w:keepNext/>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0A0034A" w14:textId="16E45224" w:rsidR="004210F6" w:rsidRDefault="00121336" w:rsidP="008D7493">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Pr>
          <w:rFonts w:asciiTheme="minorHAnsi" w:hAnsiTheme="minorHAnsi" w:cs="Garamond"/>
          <w:lang w:val="fr-CA"/>
        </w:rPr>
        <w:t>8</w:t>
      </w:r>
      <w:r w:rsidR="00636699" w:rsidRPr="00792AB0">
        <w:rPr>
          <w:rFonts w:asciiTheme="minorHAnsi" w:hAnsiTheme="minorHAnsi" w:cs="Garamond"/>
          <w:lang w:val="fr-CA"/>
        </w:rPr>
        <w:t>.</w:t>
      </w:r>
      <w:r w:rsidR="00636699" w:rsidRPr="00792AB0">
        <w:rPr>
          <w:rFonts w:asciiTheme="minorHAnsi" w:hAnsiTheme="minorHAnsi" w:cs="Garamond"/>
          <w:lang w:val="fr-CA"/>
        </w:rPr>
        <w:tab/>
      </w:r>
      <w:r w:rsidR="00A300B9">
        <w:rPr>
          <w:rFonts w:asciiTheme="minorHAnsi" w:hAnsiTheme="minorHAnsi" w:cs="Garamond"/>
          <w:lang w:val="fr-CA"/>
        </w:rPr>
        <w:t xml:space="preserve">Le Président </w:t>
      </w:r>
      <w:r w:rsidR="0095058D">
        <w:rPr>
          <w:rFonts w:asciiTheme="minorHAnsi" w:hAnsiTheme="minorHAnsi" w:cs="Garamond"/>
          <w:lang w:val="fr-CA"/>
        </w:rPr>
        <w:t xml:space="preserve">du Comité permanent </w:t>
      </w:r>
      <w:r w:rsidR="00A300B9">
        <w:rPr>
          <w:rFonts w:asciiTheme="minorHAnsi" w:hAnsiTheme="minorHAnsi" w:cs="Garamond"/>
          <w:lang w:val="fr-CA"/>
        </w:rPr>
        <w:t xml:space="preserve">peut inviter les États et organisations figurant au paragraphe 3 à être représentés par des observateurs à la </w:t>
      </w:r>
      <w:r w:rsidR="0095058D">
        <w:rPr>
          <w:rFonts w:asciiTheme="minorHAnsi" w:hAnsiTheme="minorHAnsi" w:cs="Garamond"/>
          <w:lang w:val="fr-CA"/>
        </w:rPr>
        <w:t>réunion</w:t>
      </w:r>
      <w:r w:rsidR="00A300B9">
        <w:rPr>
          <w:rFonts w:asciiTheme="minorHAnsi" w:hAnsiTheme="minorHAnsi" w:cs="Garamond"/>
          <w:lang w:val="fr-CA"/>
        </w:rPr>
        <w:t xml:space="preserve"> à moins qu’un tiers des Parties présentes ne s’y oppose. </w:t>
      </w:r>
    </w:p>
    <w:p w14:paraId="502FEADF" w14:textId="595244E7" w:rsidR="00121336" w:rsidRDefault="00121336" w:rsidP="008D7493">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p>
    <w:p w14:paraId="15AAEBC7" w14:textId="6C7E99D4" w:rsidR="00EB6303" w:rsidRPr="00121336" w:rsidRDefault="00121336" w:rsidP="0012133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Pr>
          <w:rFonts w:asciiTheme="minorHAnsi" w:hAnsiTheme="minorHAnsi" w:cs="Garamond"/>
          <w:lang w:val="fr-CA"/>
        </w:rPr>
        <w:t>9.</w:t>
      </w:r>
      <w:r>
        <w:rPr>
          <w:rFonts w:asciiTheme="minorHAnsi" w:hAnsiTheme="minorHAnsi" w:cs="Garamond"/>
          <w:lang w:val="fr-CA"/>
        </w:rPr>
        <w:tab/>
      </w:r>
      <w:r w:rsidRPr="00121336">
        <w:rPr>
          <w:rFonts w:asciiTheme="minorHAnsi" w:hAnsiTheme="minorHAnsi" w:cs="Garamond"/>
          <w:lang w:val="fr-CA"/>
        </w:rPr>
        <w:t>Le Comité permanent est invité à approuver la participation à la présente réunion d’observateurs représentant les organes et agences mentionnés au paragraphe 7.</w:t>
      </w:r>
    </w:p>
    <w:sectPr w:rsidR="00EB6303" w:rsidRPr="00121336" w:rsidSect="00C5173B">
      <w:footerReference w:type="default" r:id="rId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42BB" w16cex:dateUtc="2021-06-22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4E958" w16cid:durableId="247C42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FE5B" w14:textId="77777777" w:rsidR="009A1AE7" w:rsidRDefault="009A1AE7" w:rsidP="00C5173B">
      <w:pPr>
        <w:spacing w:after="0" w:line="240" w:lineRule="auto"/>
      </w:pPr>
      <w:r>
        <w:separator/>
      </w:r>
    </w:p>
  </w:endnote>
  <w:endnote w:type="continuationSeparator" w:id="0">
    <w:p w14:paraId="0F9361CF" w14:textId="77777777" w:rsidR="009A1AE7" w:rsidRDefault="009A1AE7"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2005F083" w:rsidR="00F31ECF" w:rsidRPr="00C5173B" w:rsidRDefault="0095058D" w:rsidP="00C5173B">
    <w:pPr>
      <w:pStyle w:val="Footer"/>
    </w:pPr>
    <w:r>
      <w:rPr>
        <w:rFonts w:asciiTheme="minorHAnsi" w:hAnsiTheme="minorHAnsi"/>
        <w:sz w:val="20"/>
        <w:szCs w:val="20"/>
      </w:rPr>
      <w:t>SC5</w:t>
    </w:r>
    <w:r w:rsidR="00121336">
      <w:rPr>
        <w:rFonts w:asciiTheme="minorHAnsi" w:hAnsiTheme="minorHAnsi"/>
        <w:sz w:val="20"/>
        <w:szCs w:val="20"/>
      </w:rPr>
      <w:t>9</w:t>
    </w:r>
    <w:r w:rsidR="00F31ECF" w:rsidRPr="00870418">
      <w:rPr>
        <w:rFonts w:asciiTheme="minorHAnsi" w:hAnsiTheme="minorHAnsi"/>
        <w:sz w:val="20"/>
        <w:szCs w:val="20"/>
      </w:rPr>
      <w:t xml:space="preserve"> Doc.</w:t>
    </w:r>
    <w:r>
      <w:rPr>
        <w:rFonts w:asciiTheme="minorHAnsi" w:hAnsiTheme="minorHAnsi"/>
        <w:sz w:val="20"/>
        <w:szCs w:val="20"/>
      </w:rPr>
      <w:t>4</w:t>
    </w:r>
    <w:r w:rsidR="00F31ECF" w:rsidRPr="00870418">
      <w:rPr>
        <w:rFonts w:asciiTheme="minorHAnsi" w:hAnsiTheme="minorHAnsi"/>
        <w:sz w:val="20"/>
        <w:szCs w:val="20"/>
      </w:rPr>
      <w:tab/>
    </w:r>
    <w:r w:rsidR="00F31ECF" w:rsidRPr="00870418">
      <w:rPr>
        <w:rFonts w:asciiTheme="minorHAnsi" w:hAnsiTheme="minorHAnsi"/>
        <w:sz w:val="20"/>
        <w:szCs w:val="20"/>
      </w:rPr>
      <w:tab/>
    </w:r>
    <w:r w:rsidR="00F31ECF" w:rsidRPr="00870418">
      <w:rPr>
        <w:rFonts w:asciiTheme="minorHAnsi" w:hAnsiTheme="minorHAnsi"/>
        <w:sz w:val="20"/>
        <w:szCs w:val="20"/>
      </w:rPr>
      <w:fldChar w:fldCharType="begin"/>
    </w:r>
    <w:r w:rsidR="00F31ECF" w:rsidRPr="00870418">
      <w:rPr>
        <w:rFonts w:asciiTheme="minorHAnsi" w:hAnsiTheme="minorHAnsi"/>
        <w:sz w:val="20"/>
        <w:szCs w:val="20"/>
      </w:rPr>
      <w:instrText xml:space="preserve"> PAGE   \* MERGEFORMAT </w:instrText>
    </w:r>
    <w:r w:rsidR="00F31ECF" w:rsidRPr="00870418">
      <w:rPr>
        <w:rFonts w:asciiTheme="minorHAnsi" w:hAnsiTheme="minorHAnsi"/>
        <w:sz w:val="20"/>
        <w:szCs w:val="20"/>
      </w:rPr>
      <w:fldChar w:fldCharType="separate"/>
    </w:r>
    <w:r w:rsidR="002117CD">
      <w:rPr>
        <w:rFonts w:asciiTheme="minorHAnsi" w:hAnsiTheme="minorHAnsi"/>
        <w:noProof/>
        <w:sz w:val="20"/>
        <w:szCs w:val="20"/>
      </w:rPr>
      <w:t>2</w:t>
    </w:r>
    <w:r w:rsidR="00F31ECF"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0C3D" w14:textId="77777777" w:rsidR="009A1AE7" w:rsidRDefault="009A1AE7" w:rsidP="00C5173B">
      <w:pPr>
        <w:spacing w:after="0" w:line="240" w:lineRule="auto"/>
      </w:pPr>
      <w:r>
        <w:separator/>
      </w:r>
    </w:p>
  </w:footnote>
  <w:footnote w:type="continuationSeparator" w:id="0">
    <w:p w14:paraId="079AC1CF" w14:textId="77777777" w:rsidR="009A1AE7" w:rsidRDefault="009A1AE7" w:rsidP="00C5173B">
      <w:pPr>
        <w:spacing w:after="0" w:line="240" w:lineRule="auto"/>
      </w:pPr>
      <w:r>
        <w:continuationSeparator/>
      </w:r>
    </w:p>
  </w:footnote>
  <w:footnote w:id="1">
    <w:p w14:paraId="2D44CA51" w14:textId="73900A3A" w:rsidR="00C86B75" w:rsidRPr="008D7493" w:rsidRDefault="00C86B75">
      <w:pPr>
        <w:pStyle w:val="FootnoteText"/>
        <w:rPr>
          <w:rFonts w:asciiTheme="minorHAnsi" w:hAnsiTheme="minorHAnsi" w:cstheme="minorHAnsi"/>
          <w:lang w:val="fr-FR"/>
        </w:rPr>
      </w:pPr>
      <w:r w:rsidRPr="008D7493">
        <w:rPr>
          <w:rStyle w:val="FootnoteReference"/>
          <w:rFonts w:asciiTheme="minorHAnsi" w:hAnsiTheme="minorHAnsi" w:cstheme="minorHAnsi"/>
        </w:rPr>
        <w:footnoteRef/>
      </w:r>
      <w:r w:rsidRPr="008D7493">
        <w:rPr>
          <w:rFonts w:asciiTheme="minorHAnsi" w:hAnsiTheme="minorHAnsi" w:cstheme="minorHAnsi"/>
          <w:lang w:val="fr-FR"/>
        </w:rPr>
        <w:t xml:space="preserve"> Article 25.5 : « </w:t>
      </w:r>
      <w:r w:rsidR="00B449CB" w:rsidRPr="008D7493">
        <w:rPr>
          <w:rFonts w:asciiTheme="minorHAnsi" w:hAnsiTheme="minorHAnsi" w:cstheme="minorHAnsi"/>
          <w:lang w:val="fr-FR"/>
        </w:rPr>
        <w:t xml:space="preserve">Sauf décision contraire de la Conférence des Parties, le présent Règlement intérieur régit </w:t>
      </w:r>
      <w:r w:rsidR="00B449CB" w:rsidRPr="007A0FE7">
        <w:rPr>
          <w:rFonts w:asciiTheme="minorHAnsi" w:hAnsiTheme="minorHAnsi" w:cstheme="minorHAnsi"/>
          <w:i/>
          <w:iCs/>
          <w:lang w:val="fr-FR"/>
        </w:rPr>
        <w:t>mutatis mutandis</w:t>
      </w:r>
      <w:r w:rsidR="00B449CB" w:rsidRPr="008D7493">
        <w:rPr>
          <w:rFonts w:asciiTheme="minorHAnsi" w:hAnsiTheme="minorHAnsi" w:cstheme="minorHAnsi"/>
          <w:lang w:val="fr-FR"/>
        </w:rPr>
        <w:t xml:space="preserve"> les travaux des organes subsidiaires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583389E"/>
    <w:multiLevelType w:val="hybridMultilevel"/>
    <w:tmpl w:val="8966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A12E3"/>
    <w:multiLevelType w:val="hybridMultilevel"/>
    <w:tmpl w:val="7436C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4"/>
  </w:num>
  <w:num w:numId="6">
    <w:abstractNumId w:val="5"/>
  </w:num>
  <w:num w:numId="7">
    <w:abstractNumId w:val="9"/>
  </w:num>
  <w:num w:numId="8">
    <w:abstractNumId w:val="11"/>
  </w:num>
  <w:num w:numId="9">
    <w:abstractNumId w:val="3"/>
  </w:num>
  <w:num w:numId="10">
    <w:abstractNumId w:val="7"/>
  </w:num>
  <w:num w:numId="11">
    <w:abstractNumId w:val="12"/>
  </w:num>
  <w:num w:numId="12">
    <w:abstractNumId w:val="14"/>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0008D6"/>
    <w:rsid w:val="00005958"/>
    <w:rsid w:val="00006B39"/>
    <w:rsid w:val="0001285C"/>
    <w:rsid w:val="00015E04"/>
    <w:rsid w:val="00021C94"/>
    <w:rsid w:val="00060666"/>
    <w:rsid w:val="00061857"/>
    <w:rsid w:val="000929BA"/>
    <w:rsid w:val="00092A94"/>
    <w:rsid w:val="0009493A"/>
    <w:rsid w:val="000A273E"/>
    <w:rsid w:val="000A34DE"/>
    <w:rsid w:val="000B0404"/>
    <w:rsid w:val="000B14DE"/>
    <w:rsid w:val="000C2357"/>
    <w:rsid w:val="000D3C12"/>
    <w:rsid w:val="000D62F0"/>
    <w:rsid w:val="000D7873"/>
    <w:rsid w:val="000F4938"/>
    <w:rsid w:val="00104A41"/>
    <w:rsid w:val="00105845"/>
    <w:rsid w:val="00114452"/>
    <w:rsid w:val="00121253"/>
    <w:rsid w:val="00121336"/>
    <w:rsid w:val="00136DE8"/>
    <w:rsid w:val="00141775"/>
    <w:rsid w:val="001555A8"/>
    <w:rsid w:val="001640D5"/>
    <w:rsid w:val="00167ADA"/>
    <w:rsid w:val="00183156"/>
    <w:rsid w:val="00187C95"/>
    <w:rsid w:val="00190836"/>
    <w:rsid w:val="001924EA"/>
    <w:rsid w:val="001A4962"/>
    <w:rsid w:val="001A63A0"/>
    <w:rsid w:val="001B6568"/>
    <w:rsid w:val="001F1377"/>
    <w:rsid w:val="001F5554"/>
    <w:rsid w:val="002117CD"/>
    <w:rsid w:val="00212724"/>
    <w:rsid w:val="00227C19"/>
    <w:rsid w:val="002320F7"/>
    <w:rsid w:val="002321E9"/>
    <w:rsid w:val="002410F9"/>
    <w:rsid w:val="00254142"/>
    <w:rsid w:val="00257E47"/>
    <w:rsid w:val="00263CE9"/>
    <w:rsid w:val="002648D6"/>
    <w:rsid w:val="0026492C"/>
    <w:rsid w:val="00271D0E"/>
    <w:rsid w:val="00271D16"/>
    <w:rsid w:val="00272FD1"/>
    <w:rsid w:val="00273F3B"/>
    <w:rsid w:val="002749DD"/>
    <w:rsid w:val="002947CC"/>
    <w:rsid w:val="00294824"/>
    <w:rsid w:val="00294D49"/>
    <w:rsid w:val="002956DC"/>
    <w:rsid w:val="002A47CD"/>
    <w:rsid w:val="002B751E"/>
    <w:rsid w:val="002C513A"/>
    <w:rsid w:val="002E5690"/>
    <w:rsid w:val="002F09A9"/>
    <w:rsid w:val="002F571D"/>
    <w:rsid w:val="00301793"/>
    <w:rsid w:val="00302301"/>
    <w:rsid w:val="00305838"/>
    <w:rsid w:val="003173E7"/>
    <w:rsid w:val="0032557B"/>
    <w:rsid w:val="003265A2"/>
    <w:rsid w:val="0033067A"/>
    <w:rsid w:val="003317B9"/>
    <w:rsid w:val="0033487D"/>
    <w:rsid w:val="00337961"/>
    <w:rsid w:val="00341666"/>
    <w:rsid w:val="00353BF5"/>
    <w:rsid w:val="00373F47"/>
    <w:rsid w:val="00380A66"/>
    <w:rsid w:val="00382308"/>
    <w:rsid w:val="00383D65"/>
    <w:rsid w:val="00393045"/>
    <w:rsid w:val="00395877"/>
    <w:rsid w:val="003A3A07"/>
    <w:rsid w:val="003D715D"/>
    <w:rsid w:val="003F40E1"/>
    <w:rsid w:val="003F5A03"/>
    <w:rsid w:val="003F76B5"/>
    <w:rsid w:val="00420737"/>
    <w:rsid w:val="004210F6"/>
    <w:rsid w:val="00426276"/>
    <w:rsid w:val="00427878"/>
    <w:rsid w:val="004279F4"/>
    <w:rsid w:val="00435D15"/>
    <w:rsid w:val="00442389"/>
    <w:rsid w:val="00444B34"/>
    <w:rsid w:val="00452FBE"/>
    <w:rsid w:val="00456081"/>
    <w:rsid w:val="0045699D"/>
    <w:rsid w:val="004630FB"/>
    <w:rsid w:val="0048211C"/>
    <w:rsid w:val="00482AB8"/>
    <w:rsid w:val="00490946"/>
    <w:rsid w:val="00490D1C"/>
    <w:rsid w:val="004A0367"/>
    <w:rsid w:val="004A1E22"/>
    <w:rsid w:val="004A38AC"/>
    <w:rsid w:val="004A5875"/>
    <w:rsid w:val="004A686A"/>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55684"/>
    <w:rsid w:val="00560716"/>
    <w:rsid w:val="00571101"/>
    <w:rsid w:val="00583BC5"/>
    <w:rsid w:val="005871AC"/>
    <w:rsid w:val="00596F6A"/>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6048A"/>
    <w:rsid w:val="0066583C"/>
    <w:rsid w:val="00666DB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5101C"/>
    <w:rsid w:val="00756887"/>
    <w:rsid w:val="00762915"/>
    <w:rsid w:val="00764409"/>
    <w:rsid w:val="00772528"/>
    <w:rsid w:val="00774CA8"/>
    <w:rsid w:val="00777B4C"/>
    <w:rsid w:val="00782A64"/>
    <w:rsid w:val="00792AB0"/>
    <w:rsid w:val="007A0FE7"/>
    <w:rsid w:val="007A3252"/>
    <w:rsid w:val="007A372F"/>
    <w:rsid w:val="007A5B7D"/>
    <w:rsid w:val="007B1503"/>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70638"/>
    <w:rsid w:val="00883D09"/>
    <w:rsid w:val="008A69D0"/>
    <w:rsid w:val="008D7493"/>
    <w:rsid w:val="008E5056"/>
    <w:rsid w:val="008E6BEB"/>
    <w:rsid w:val="009033A3"/>
    <w:rsid w:val="00910F79"/>
    <w:rsid w:val="009214FD"/>
    <w:rsid w:val="0092300D"/>
    <w:rsid w:val="00924B65"/>
    <w:rsid w:val="00924E02"/>
    <w:rsid w:val="00934629"/>
    <w:rsid w:val="009358FF"/>
    <w:rsid w:val="00945247"/>
    <w:rsid w:val="0095058D"/>
    <w:rsid w:val="009573B9"/>
    <w:rsid w:val="00971AC5"/>
    <w:rsid w:val="00983949"/>
    <w:rsid w:val="00990468"/>
    <w:rsid w:val="00990965"/>
    <w:rsid w:val="00993A65"/>
    <w:rsid w:val="009A1AE7"/>
    <w:rsid w:val="009A6681"/>
    <w:rsid w:val="009B0327"/>
    <w:rsid w:val="009B7088"/>
    <w:rsid w:val="009C113D"/>
    <w:rsid w:val="009D2210"/>
    <w:rsid w:val="009D3A95"/>
    <w:rsid w:val="009E00B9"/>
    <w:rsid w:val="009F56D8"/>
    <w:rsid w:val="009F7F86"/>
    <w:rsid w:val="00A02865"/>
    <w:rsid w:val="00A0379D"/>
    <w:rsid w:val="00A138B1"/>
    <w:rsid w:val="00A25933"/>
    <w:rsid w:val="00A300B9"/>
    <w:rsid w:val="00A3112D"/>
    <w:rsid w:val="00A42809"/>
    <w:rsid w:val="00A45DFE"/>
    <w:rsid w:val="00A542F0"/>
    <w:rsid w:val="00A571A9"/>
    <w:rsid w:val="00A60EB4"/>
    <w:rsid w:val="00A60F55"/>
    <w:rsid w:val="00A6168F"/>
    <w:rsid w:val="00A70045"/>
    <w:rsid w:val="00A775A7"/>
    <w:rsid w:val="00A81510"/>
    <w:rsid w:val="00A93888"/>
    <w:rsid w:val="00AA1589"/>
    <w:rsid w:val="00AB0BF1"/>
    <w:rsid w:val="00AB24DA"/>
    <w:rsid w:val="00AC1DD6"/>
    <w:rsid w:val="00AF710E"/>
    <w:rsid w:val="00B1143B"/>
    <w:rsid w:val="00B15B43"/>
    <w:rsid w:val="00B35521"/>
    <w:rsid w:val="00B3591B"/>
    <w:rsid w:val="00B4132D"/>
    <w:rsid w:val="00B449CB"/>
    <w:rsid w:val="00B469B4"/>
    <w:rsid w:val="00B4767F"/>
    <w:rsid w:val="00B50BB9"/>
    <w:rsid w:val="00B5183F"/>
    <w:rsid w:val="00B71240"/>
    <w:rsid w:val="00B73842"/>
    <w:rsid w:val="00B853B0"/>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623FA"/>
    <w:rsid w:val="00C74CD5"/>
    <w:rsid w:val="00C760C9"/>
    <w:rsid w:val="00C86B75"/>
    <w:rsid w:val="00C95279"/>
    <w:rsid w:val="00CA42E1"/>
    <w:rsid w:val="00CB184C"/>
    <w:rsid w:val="00CB37FF"/>
    <w:rsid w:val="00CB69E7"/>
    <w:rsid w:val="00CB7E61"/>
    <w:rsid w:val="00CC1064"/>
    <w:rsid w:val="00CC2DC8"/>
    <w:rsid w:val="00CE051C"/>
    <w:rsid w:val="00CE08BC"/>
    <w:rsid w:val="00CE2410"/>
    <w:rsid w:val="00CE2DAF"/>
    <w:rsid w:val="00CE51F2"/>
    <w:rsid w:val="00CE5D52"/>
    <w:rsid w:val="00CE5D9C"/>
    <w:rsid w:val="00CF12BB"/>
    <w:rsid w:val="00D0498F"/>
    <w:rsid w:val="00D06578"/>
    <w:rsid w:val="00D13697"/>
    <w:rsid w:val="00D14BAE"/>
    <w:rsid w:val="00D233E9"/>
    <w:rsid w:val="00D2688E"/>
    <w:rsid w:val="00D268BC"/>
    <w:rsid w:val="00D271F4"/>
    <w:rsid w:val="00D349DF"/>
    <w:rsid w:val="00D464E6"/>
    <w:rsid w:val="00D527AC"/>
    <w:rsid w:val="00D539A3"/>
    <w:rsid w:val="00D669C9"/>
    <w:rsid w:val="00D70817"/>
    <w:rsid w:val="00D8098E"/>
    <w:rsid w:val="00D851C7"/>
    <w:rsid w:val="00D854E2"/>
    <w:rsid w:val="00D87B21"/>
    <w:rsid w:val="00DA1A85"/>
    <w:rsid w:val="00DA5629"/>
    <w:rsid w:val="00DA6DFE"/>
    <w:rsid w:val="00DA78FF"/>
    <w:rsid w:val="00DD41F7"/>
    <w:rsid w:val="00DE18DA"/>
    <w:rsid w:val="00DF043D"/>
    <w:rsid w:val="00DF63E9"/>
    <w:rsid w:val="00E02D77"/>
    <w:rsid w:val="00E042B5"/>
    <w:rsid w:val="00E156DA"/>
    <w:rsid w:val="00E351FE"/>
    <w:rsid w:val="00E35A2F"/>
    <w:rsid w:val="00E5761B"/>
    <w:rsid w:val="00E60ED3"/>
    <w:rsid w:val="00E62AE4"/>
    <w:rsid w:val="00EA7882"/>
    <w:rsid w:val="00EB6303"/>
    <w:rsid w:val="00EC2C69"/>
    <w:rsid w:val="00EC3B37"/>
    <w:rsid w:val="00EC5C99"/>
    <w:rsid w:val="00ED0F4C"/>
    <w:rsid w:val="00ED3C3D"/>
    <w:rsid w:val="00ED4B42"/>
    <w:rsid w:val="00EE1330"/>
    <w:rsid w:val="00EE1818"/>
    <w:rsid w:val="00EE45B8"/>
    <w:rsid w:val="00F04B0A"/>
    <w:rsid w:val="00F20AB4"/>
    <w:rsid w:val="00F268D6"/>
    <w:rsid w:val="00F26E81"/>
    <w:rsid w:val="00F27448"/>
    <w:rsid w:val="00F27AA0"/>
    <w:rsid w:val="00F31ECF"/>
    <w:rsid w:val="00F4220C"/>
    <w:rsid w:val="00F51A12"/>
    <w:rsid w:val="00F64B95"/>
    <w:rsid w:val="00F738AE"/>
    <w:rsid w:val="00F740B8"/>
    <w:rsid w:val="00F7595E"/>
    <w:rsid w:val="00FA17BF"/>
    <w:rsid w:val="00FA1DC9"/>
    <w:rsid w:val="00FB2D3E"/>
    <w:rsid w:val="00FB4A99"/>
    <w:rsid w:val="00FC30B4"/>
    <w:rsid w:val="00FD49FD"/>
    <w:rsid w:val="00FD6A78"/>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A03508B6-592F-4B3A-8E78-BA6887F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 w:type="paragraph" w:customStyle="1" w:styleId="ColorfulList-Accent11">
    <w:name w:val="Colorful List - Accent 11"/>
    <w:basedOn w:val="Normal"/>
    <w:uiPriority w:val="34"/>
    <w:qFormat/>
    <w:rsid w:val="003F5A03"/>
    <w:pPr>
      <w:spacing w:after="0" w:line="240" w:lineRule="auto"/>
      <w:ind w:left="720" w:hanging="425"/>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8A13-8E6C-4E5A-9D2C-FBFC38EF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4</DocSecurity>
  <Lines>29</Lines>
  <Paragraphs>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4176</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Ed Jennings</cp:lastModifiedBy>
  <cp:revision>2</cp:revision>
  <cp:lastPrinted>2018-10-09T14:34:00Z</cp:lastPrinted>
  <dcterms:created xsi:type="dcterms:W3CDTF">2021-06-22T10:12:00Z</dcterms:created>
  <dcterms:modified xsi:type="dcterms:W3CDTF">2021-06-22T10:12:00Z</dcterms:modified>
</cp:coreProperties>
</file>