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35ECE" w14:textId="7FD6C6CD" w:rsidR="00F06FEB" w:rsidRPr="005F35D4" w:rsidRDefault="00F06FEB" w:rsidP="00F06FEB">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lang w:val="fr-FR"/>
        </w:rPr>
      </w:pPr>
      <w:r w:rsidRPr="005F35D4">
        <w:rPr>
          <w:rFonts w:cstheme="minorHAnsi"/>
          <w:lang w:val="fr-FR"/>
        </w:rPr>
        <w:t xml:space="preserve">CONVENTION SUR LES ZONES HUMIDES </w:t>
      </w:r>
    </w:p>
    <w:p w14:paraId="3238E352" w14:textId="6F9502B6" w:rsidR="00F06FEB" w:rsidRPr="005F35D4" w:rsidRDefault="00F06FEB" w:rsidP="00F06FEB">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lang w:val="fr-FR"/>
        </w:rPr>
      </w:pPr>
      <w:r w:rsidRPr="005F35D4">
        <w:rPr>
          <w:rFonts w:cstheme="minorHAnsi"/>
          <w:bCs/>
          <w:lang w:val="fr-FR"/>
        </w:rPr>
        <w:t>5</w:t>
      </w:r>
      <w:r>
        <w:rPr>
          <w:rFonts w:cstheme="minorHAnsi"/>
          <w:bCs/>
          <w:lang w:val="fr-FR"/>
        </w:rPr>
        <w:t>9</w:t>
      </w:r>
      <w:r w:rsidRPr="005F35D4">
        <w:rPr>
          <w:rFonts w:cstheme="minorHAnsi"/>
          <w:bCs/>
          <w:vertAlign w:val="superscript"/>
          <w:lang w:val="fr-FR"/>
        </w:rPr>
        <w:t>e</w:t>
      </w:r>
      <w:r w:rsidRPr="005F35D4">
        <w:rPr>
          <w:rFonts w:cstheme="minorHAnsi"/>
          <w:lang w:val="fr-FR"/>
        </w:rPr>
        <w:t xml:space="preserve"> Réunion du Comité permanent</w:t>
      </w:r>
    </w:p>
    <w:p w14:paraId="4B759C80" w14:textId="0242C97E" w:rsidR="00F06FEB" w:rsidRPr="005F35D4" w:rsidRDefault="00F06FEB" w:rsidP="00F06FEB">
      <w:pPr>
        <w:pBdr>
          <w:top w:val="single" w:sz="12" w:space="0" w:color="auto" w:shadow="1"/>
          <w:left w:val="single" w:sz="12" w:space="4" w:color="auto" w:shadow="1"/>
          <w:bottom w:val="single" w:sz="12" w:space="1" w:color="auto" w:shadow="1"/>
          <w:right w:val="single" w:sz="12" w:space="0" w:color="auto" w:shadow="1"/>
        </w:pBdr>
        <w:spacing w:after="0" w:line="240" w:lineRule="auto"/>
        <w:ind w:right="2790"/>
        <w:rPr>
          <w:rFonts w:cstheme="minorHAnsi"/>
          <w:lang w:val="fr-FR"/>
        </w:rPr>
      </w:pPr>
      <w:r w:rsidRPr="005F35D4">
        <w:rPr>
          <w:rFonts w:cstheme="minorHAnsi"/>
          <w:lang w:val="fr-FR"/>
        </w:rPr>
        <w:t xml:space="preserve">Gland, Suisse, </w:t>
      </w:r>
      <w:r w:rsidRPr="005F35D4">
        <w:rPr>
          <w:rFonts w:cstheme="minorHAnsi"/>
          <w:bCs/>
          <w:lang w:val="fr-FR"/>
        </w:rPr>
        <w:t>2</w:t>
      </w:r>
      <w:r>
        <w:rPr>
          <w:rFonts w:cstheme="minorHAnsi"/>
          <w:bCs/>
          <w:lang w:val="fr-FR"/>
        </w:rPr>
        <w:t>1</w:t>
      </w:r>
      <w:r w:rsidRPr="005F35D4">
        <w:rPr>
          <w:rFonts w:cstheme="minorHAnsi"/>
          <w:bCs/>
          <w:lang w:val="fr-FR"/>
        </w:rPr>
        <w:t xml:space="preserve"> au </w:t>
      </w:r>
      <w:r>
        <w:rPr>
          <w:rFonts w:cstheme="minorHAnsi"/>
          <w:bCs/>
          <w:lang w:val="fr-FR"/>
        </w:rPr>
        <w:t>25</w:t>
      </w:r>
      <w:r w:rsidRPr="005F35D4">
        <w:rPr>
          <w:rFonts w:cstheme="minorHAnsi"/>
          <w:bCs/>
          <w:lang w:val="fr-FR"/>
        </w:rPr>
        <w:t xml:space="preserve"> </w:t>
      </w:r>
      <w:r>
        <w:rPr>
          <w:rFonts w:cstheme="minorHAnsi"/>
          <w:bCs/>
          <w:lang w:val="fr-FR"/>
        </w:rPr>
        <w:t>juin</w:t>
      </w:r>
      <w:r w:rsidRPr="005F35D4">
        <w:rPr>
          <w:rFonts w:cstheme="minorHAnsi"/>
          <w:bCs/>
          <w:lang w:val="fr-FR"/>
        </w:rPr>
        <w:t xml:space="preserve"> 202</w:t>
      </w:r>
      <w:r>
        <w:rPr>
          <w:rFonts w:cstheme="minorHAnsi"/>
          <w:bCs/>
          <w:lang w:val="fr-FR"/>
        </w:rPr>
        <w:t>1</w:t>
      </w:r>
    </w:p>
    <w:p w14:paraId="7A01C0EC" w14:textId="77777777" w:rsidR="00F06FEB" w:rsidRPr="0089504E" w:rsidRDefault="00F06FEB" w:rsidP="00846037">
      <w:pPr>
        <w:spacing w:after="0" w:line="240" w:lineRule="auto"/>
        <w:outlineLvl w:val="0"/>
        <w:rPr>
          <w:rFonts w:cstheme="minorHAnsi"/>
          <w:b/>
          <w:lang w:val="fr-FR"/>
        </w:rPr>
      </w:pPr>
    </w:p>
    <w:p w14:paraId="3053298D" w14:textId="4407475E" w:rsidR="00F06FEB" w:rsidRPr="0089504E" w:rsidRDefault="00F06FEB" w:rsidP="00846037">
      <w:pPr>
        <w:spacing w:after="0" w:line="240" w:lineRule="auto"/>
        <w:jc w:val="right"/>
        <w:rPr>
          <w:rFonts w:cstheme="minorHAnsi"/>
          <w:sz w:val="28"/>
          <w:lang w:val="fr-FR"/>
        </w:rPr>
      </w:pPr>
      <w:bookmarkStart w:id="0" w:name="_GoBack"/>
      <w:r w:rsidRPr="0089504E">
        <w:rPr>
          <w:rFonts w:cstheme="minorHAnsi"/>
          <w:b/>
          <w:sz w:val="28"/>
          <w:szCs w:val="28"/>
          <w:lang w:val="fr-FR"/>
        </w:rPr>
        <w:t>SC5</w:t>
      </w:r>
      <w:r>
        <w:rPr>
          <w:rFonts w:cstheme="minorHAnsi"/>
          <w:b/>
          <w:sz w:val="28"/>
          <w:szCs w:val="28"/>
          <w:lang w:val="fr-FR"/>
        </w:rPr>
        <w:t>9</w:t>
      </w:r>
      <w:r w:rsidRPr="0089504E">
        <w:rPr>
          <w:rFonts w:cstheme="minorHAnsi"/>
          <w:b/>
          <w:sz w:val="28"/>
          <w:szCs w:val="28"/>
          <w:lang w:val="fr-FR"/>
        </w:rPr>
        <w:t xml:space="preserve"> </w:t>
      </w:r>
      <w:r w:rsidRPr="0089504E">
        <w:rPr>
          <w:rFonts w:cstheme="minorHAnsi"/>
          <w:b/>
          <w:sz w:val="28"/>
          <w:lang w:val="fr-FR"/>
        </w:rPr>
        <w:t>Doc.</w:t>
      </w:r>
      <w:r>
        <w:rPr>
          <w:rFonts w:cstheme="minorHAnsi"/>
          <w:b/>
          <w:sz w:val="28"/>
          <w:szCs w:val="28"/>
          <w:lang w:val="fr-FR"/>
        </w:rPr>
        <w:t>26</w:t>
      </w:r>
    </w:p>
    <w:p w14:paraId="016DDDF8" w14:textId="77777777" w:rsidR="00F06FEB" w:rsidRPr="0089504E" w:rsidRDefault="00F06FEB" w:rsidP="00846037">
      <w:pPr>
        <w:spacing w:after="0" w:line="240" w:lineRule="auto"/>
        <w:rPr>
          <w:rFonts w:eastAsia="Calibri" w:cstheme="minorHAnsi"/>
          <w:b/>
          <w:bCs/>
          <w:sz w:val="28"/>
          <w:szCs w:val="28"/>
          <w:lang w:val="fr-FR"/>
        </w:rPr>
      </w:pPr>
    </w:p>
    <w:p w14:paraId="7BFA452B" w14:textId="5D47A5F9" w:rsidR="00F44EF9" w:rsidRPr="00F06FEB" w:rsidRDefault="00F06FEB" w:rsidP="00846037">
      <w:pPr>
        <w:spacing w:after="0" w:line="240" w:lineRule="auto"/>
        <w:jc w:val="center"/>
        <w:rPr>
          <w:rFonts w:eastAsia="Times New Roman" w:cs="Times New Roman"/>
          <w:sz w:val="28"/>
          <w:szCs w:val="28"/>
          <w:lang w:val="fr-FR"/>
        </w:rPr>
      </w:pPr>
      <w:r>
        <w:rPr>
          <w:rFonts w:cstheme="minorHAnsi"/>
          <w:b/>
          <w:sz w:val="28"/>
          <w:szCs w:val="28"/>
          <w:lang w:val="fr-FR"/>
        </w:rPr>
        <w:t>Projet de r</w:t>
      </w:r>
      <w:r w:rsidR="00E451FB" w:rsidRPr="001A7F92">
        <w:rPr>
          <w:rFonts w:cstheme="minorHAnsi"/>
          <w:b/>
          <w:sz w:val="28"/>
          <w:szCs w:val="28"/>
          <w:lang w:val="fr-FR"/>
        </w:rPr>
        <w:t>ésolution</w:t>
      </w:r>
      <w:r>
        <w:rPr>
          <w:rFonts w:cstheme="minorHAnsi"/>
          <w:b/>
          <w:sz w:val="28"/>
          <w:szCs w:val="28"/>
          <w:lang w:val="fr-FR"/>
        </w:rPr>
        <w:t xml:space="preserve"> sur l’a</w:t>
      </w:r>
      <w:r w:rsidR="00554AF9" w:rsidRPr="00554AF9">
        <w:rPr>
          <w:rFonts w:eastAsia="Times New Roman" w:cs="Times New Roman"/>
          <w:b/>
          <w:bCs/>
          <w:sz w:val="28"/>
          <w:szCs w:val="28"/>
          <w:lang w:val="fr-FR"/>
        </w:rPr>
        <w:t>pplication future des aspects scientifique</w:t>
      </w:r>
      <w:r w:rsidR="00554AF9">
        <w:rPr>
          <w:rFonts w:eastAsia="Times New Roman" w:cs="Times New Roman"/>
          <w:b/>
          <w:bCs/>
          <w:sz w:val="28"/>
          <w:szCs w:val="28"/>
          <w:lang w:val="fr-FR"/>
        </w:rPr>
        <w:t>s</w:t>
      </w:r>
      <w:r w:rsidR="00C36BCF" w:rsidRPr="00554AF9">
        <w:rPr>
          <w:rFonts w:eastAsia="Times New Roman" w:cs="Times New Roman"/>
          <w:b/>
          <w:bCs/>
          <w:sz w:val="28"/>
          <w:szCs w:val="28"/>
          <w:lang w:val="fr-FR"/>
        </w:rPr>
        <w:t xml:space="preserve"> </w:t>
      </w:r>
      <w:r w:rsidR="00554AF9">
        <w:rPr>
          <w:rFonts w:eastAsia="Times New Roman" w:cs="Times New Roman"/>
          <w:b/>
          <w:bCs/>
          <w:sz w:val="28"/>
          <w:szCs w:val="28"/>
          <w:lang w:val="fr-FR"/>
        </w:rPr>
        <w:t>et</w:t>
      </w:r>
      <w:r w:rsidR="00C36BCF" w:rsidRPr="00554AF9">
        <w:rPr>
          <w:rFonts w:eastAsia="Times New Roman" w:cs="Times New Roman"/>
          <w:b/>
          <w:bCs/>
          <w:sz w:val="28"/>
          <w:szCs w:val="28"/>
          <w:lang w:val="fr-FR"/>
        </w:rPr>
        <w:t xml:space="preserve"> </w:t>
      </w:r>
      <w:r w:rsidR="00554AF9" w:rsidRPr="00554AF9">
        <w:rPr>
          <w:rFonts w:eastAsia="Times New Roman" w:cs="Times New Roman"/>
          <w:b/>
          <w:bCs/>
          <w:sz w:val="28"/>
          <w:szCs w:val="28"/>
          <w:lang w:val="fr-FR"/>
        </w:rPr>
        <w:t>techniques</w:t>
      </w:r>
      <w:r>
        <w:rPr>
          <w:rFonts w:eastAsia="Times New Roman" w:cs="Times New Roman"/>
          <w:b/>
          <w:bCs/>
          <w:sz w:val="28"/>
          <w:szCs w:val="28"/>
          <w:lang w:val="fr-FR"/>
        </w:rPr>
        <w:t xml:space="preserve"> </w:t>
      </w:r>
      <w:r w:rsidR="00554AF9">
        <w:rPr>
          <w:rFonts w:eastAsia="Times New Roman" w:cs="Times New Roman"/>
          <w:b/>
          <w:bCs/>
          <w:sz w:val="28"/>
          <w:szCs w:val="28"/>
          <w:lang w:val="fr-FR"/>
        </w:rPr>
        <w:t>de la</w:t>
      </w:r>
      <w:r w:rsidR="00C36BCF" w:rsidRPr="00554AF9">
        <w:rPr>
          <w:rFonts w:eastAsia="Times New Roman" w:cs="Times New Roman"/>
          <w:b/>
          <w:bCs/>
          <w:sz w:val="28"/>
          <w:szCs w:val="28"/>
          <w:lang w:val="fr-FR"/>
        </w:rPr>
        <w:t xml:space="preserve"> Convention </w:t>
      </w:r>
      <w:r w:rsidR="00554AF9">
        <w:rPr>
          <w:rFonts w:eastAsia="Times New Roman" w:cs="Times New Roman"/>
          <w:b/>
          <w:bCs/>
          <w:sz w:val="28"/>
          <w:szCs w:val="28"/>
          <w:lang w:val="fr-FR"/>
        </w:rPr>
        <w:t>pour</w:t>
      </w:r>
      <w:r w:rsidR="00C36BCF" w:rsidRPr="00554AF9">
        <w:rPr>
          <w:rFonts w:eastAsia="Times New Roman" w:cs="Times New Roman"/>
          <w:b/>
          <w:bCs/>
          <w:sz w:val="28"/>
          <w:szCs w:val="28"/>
          <w:lang w:val="fr-FR"/>
        </w:rPr>
        <w:t xml:space="preserve"> 20</w:t>
      </w:r>
      <w:r>
        <w:rPr>
          <w:rFonts w:eastAsia="Times New Roman" w:cs="Times New Roman"/>
          <w:b/>
          <w:bCs/>
          <w:sz w:val="28"/>
          <w:szCs w:val="28"/>
          <w:lang w:val="fr-FR"/>
        </w:rPr>
        <w:t>22</w:t>
      </w:r>
      <w:r w:rsidR="00C36BCF" w:rsidRPr="00554AF9">
        <w:rPr>
          <w:rFonts w:eastAsia="Times New Roman" w:cs="Times New Roman"/>
          <w:b/>
          <w:bCs/>
          <w:sz w:val="28"/>
          <w:szCs w:val="28"/>
          <w:lang w:val="fr-FR"/>
        </w:rPr>
        <w:t>-202</w:t>
      </w:r>
      <w:r>
        <w:rPr>
          <w:rFonts w:eastAsia="Times New Roman" w:cs="Times New Roman"/>
          <w:b/>
          <w:bCs/>
          <w:sz w:val="28"/>
          <w:szCs w:val="28"/>
          <w:lang w:val="fr-FR"/>
        </w:rPr>
        <w:t>4</w:t>
      </w:r>
    </w:p>
    <w:bookmarkEnd w:id="0"/>
    <w:p w14:paraId="4B3C8645" w14:textId="77777777" w:rsidR="00C36BCF" w:rsidRPr="005A5654" w:rsidRDefault="00C36BCF" w:rsidP="00846037">
      <w:pPr>
        <w:spacing w:after="0" w:line="240" w:lineRule="auto"/>
        <w:rPr>
          <w:rFonts w:eastAsia="Times New Roman" w:cs="Times New Roman"/>
          <w:i/>
          <w:sz w:val="28"/>
          <w:szCs w:val="28"/>
          <w:lang w:val="fr-FR"/>
        </w:rPr>
      </w:pPr>
    </w:p>
    <w:p w14:paraId="6BF7E473" w14:textId="449068E9" w:rsidR="00C36BCF" w:rsidRPr="00846037" w:rsidRDefault="00F06FEB" w:rsidP="00CE3D94">
      <w:pPr>
        <w:spacing w:after="0" w:line="240" w:lineRule="auto"/>
        <w:rPr>
          <w:rFonts w:eastAsia="Times New Roman" w:cs="Times New Roman"/>
          <w:i/>
          <w:lang w:val="fr-FR"/>
        </w:rPr>
      </w:pPr>
      <w:r w:rsidRPr="00846037">
        <w:rPr>
          <w:rFonts w:eastAsia="Times New Roman" w:cs="Times New Roman"/>
          <w:i/>
          <w:lang w:val="fr-FR"/>
        </w:rPr>
        <w:t xml:space="preserve">Présenté par </w:t>
      </w:r>
      <w:r w:rsidR="0013095A" w:rsidRPr="00846037">
        <w:rPr>
          <w:rFonts w:eastAsia="Times New Roman" w:cs="Times New Roman"/>
          <w:i/>
          <w:lang w:val="fr-FR"/>
        </w:rPr>
        <w:t>l</w:t>
      </w:r>
      <w:r w:rsidRPr="00846037">
        <w:rPr>
          <w:rFonts w:eastAsia="Times New Roman" w:cs="Times New Roman"/>
          <w:i/>
          <w:lang w:val="fr-FR"/>
        </w:rPr>
        <w:t>e Groupe d’évaluation scientifique et technique</w:t>
      </w:r>
    </w:p>
    <w:p w14:paraId="193964AE" w14:textId="77777777" w:rsidR="00603165" w:rsidRPr="00846037" w:rsidRDefault="00603165" w:rsidP="00CE3D94">
      <w:pPr>
        <w:spacing w:after="0" w:line="240" w:lineRule="auto"/>
        <w:rPr>
          <w:rFonts w:eastAsia="Times New Roman" w:cs="Times New Roman"/>
          <w:i/>
          <w:lang w:val="fr-FR"/>
        </w:rPr>
      </w:pPr>
    </w:p>
    <w:p w14:paraId="78291CF3" w14:textId="77777777" w:rsidR="00F06FEB" w:rsidRPr="0089504E" w:rsidRDefault="00F06FEB" w:rsidP="00F06FEB">
      <w:pPr>
        <w:rPr>
          <w:rFonts w:eastAsia="Calibri" w:cstheme="minorHAnsi"/>
          <w:sz w:val="20"/>
          <w:szCs w:val="20"/>
        </w:rPr>
      </w:pPr>
      <w:r w:rsidRPr="0089504E">
        <w:rPr>
          <w:rFonts w:eastAsia="Calibri" w:cstheme="minorHAnsi"/>
          <w:noProof/>
          <w:sz w:val="20"/>
          <w:szCs w:val="20"/>
          <w:lang w:eastAsia="en-GB"/>
        </w:rPr>
        <mc:AlternateContent>
          <mc:Choice Requires="wps">
            <w:drawing>
              <wp:inline distT="0" distB="0" distL="0" distR="0" wp14:anchorId="5C488638" wp14:editId="5FD5111A">
                <wp:extent cx="5378993" cy="942680"/>
                <wp:effectExtent l="0" t="0" r="12700" b="1016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993" cy="94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3F2151" w14:textId="23B1F42F" w:rsidR="00F06FEB" w:rsidRPr="009A7331" w:rsidRDefault="00F06FEB" w:rsidP="00F06FEB">
                            <w:pPr>
                              <w:spacing w:before="68"/>
                              <w:ind w:left="143"/>
                              <w:rPr>
                                <w:rFonts w:ascii="Calibri" w:eastAsia="Calibri" w:hAnsi="Calibri" w:cs="Calibri"/>
                                <w:bCs/>
                                <w:lang w:val="fr-FR"/>
                              </w:rPr>
                            </w:pPr>
                            <w:r w:rsidRPr="009A7331">
                              <w:rPr>
                                <w:rFonts w:ascii="Calibri"/>
                                <w:bCs/>
                                <w:spacing w:val="-1"/>
                                <w:lang w:val="fr-FR"/>
                              </w:rPr>
                              <w:t>Mesure requise :</w:t>
                            </w:r>
                          </w:p>
                          <w:p w14:paraId="685D0884" w14:textId="5F1567DB" w:rsidR="00F06FEB" w:rsidRPr="009A7331" w:rsidRDefault="00F06FEB" w:rsidP="009A7331">
                            <w:pPr>
                              <w:pStyle w:val="ListParagraph"/>
                              <w:numPr>
                                <w:ilvl w:val="0"/>
                                <w:numId w:val="14"/>
                              </w:numPr>
                              <w:ind w:left="426" w:hanging="284"/>
                              <w:rPr>
                                <w:rFonts w:ascii="Calibri"/>
                                <w:spacing w:val="-1"/>
                                <w:lang w:val="fr-FR"/>
                              </w:rPr>
                            </w:pPr>
                            <w:r w:rsidRPr="009A7331">
                              <w:rPr>
                                <w:rFonts w:ascii="Calibri"/>
                                <w:spacing w:val="-1"/>
                                <w:lang w:val="fr-FR"/>
                              </w:rPr>
                              <w:t>Le Comité permanent est invité à examiner et approuver le projet de résolution ci-</w:t>
                            </w:r>
                            <w:r w:rsidR="0013095A">
                              <w:rPr>
                                <w:rFonts w:ascii="Calibri"/>
                                <w:spacing w:val="-1"/>
                                <w:lang w:val="fr-FR"/>
                              </w:rPr>
                              <w:t>après</w:t>
                            </w:r>
                            <w:r w:rsidRPr="009A7331">
                              <w:rPr>
                                <w:rFonts w:ascii="Calibri"/>
                                <w:spacing w:val="-1"/>
                                <w:lang w:val="fr-FR"/>
                              </w:rPr>
                              <w:t xml:space="preserve"> pour examen par la Conférence des Parties à sa 14</w:t>
                            </w:r>
                            <w:r w:rsidRPr="009A7331">
                              <w:rPr>
                                <w:rFonts w:ascii="Calibri"/>
                                <w:spacing w:val="-1"/>
                                <w:vertAlign w:val="superscript"/>
                                <w:lang w:val="fr-FR"/>
                              </w:rPr>
                              <w:t>e</w:t>
                            </w:r>
                            <w:r w:rsidRPr="009A7331">
                              <w:rPr>
                                <w:rFonts w:ascii="Calibri"/>
                                <w:spacing w:val="-1"/>
                                <w:lang w:val="fr-FR"/>
                              </w:rPr>
                              <w:t xml:space="preserve"> Session.</w:t>
                            </w:r>
                          </w:p>
                        </w:txbxContent>
                      </wps:txbx>
                      <wps:bodyPr rot="0" vert="horz" wrap="square" lIns="0" tIns="0" rIns="0" bIns="0" anchor="t" anchorCtr="0" upright="1">
                        <a:noAutofit/>
                      </wps:bodyPr>
                    </wps:wsp>
                  </a:graphicData>
                </a:graphic>
              </wp:inline>
            </w:drawing>
          </mc:Choice>
          <mc:Fallback>
            <w:pict>
              <v:shapetype w14:anchorId="5C488638" id="_x0000_t202" coordsize="21600,21600" o:spt="202" path="m,l,21600r21600,l21600,xe">
                <v:stroke joinstyle="miter"/>
                <v:path gradientshapeok="t" o:connecttype="rect"/>
              </v:shapetype>
              <v:shape id="Text Box 388" o:spid="_x0000_s1026" type="#_x0000_t202" style="width:423.5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" filled="f">
                <v:textbox inset="0,0,0,0">
                  <w:txbxContent>
                    <w:p w14:paraId="243F2151" w14:textId="23B1F42F" w:rsidR="00F06FEB" w:rsidRPr="009A7331" w:rsidRDefault="00F06FEB" w:rsidP="00F06FEB">
                      <w:pPr>
                        <w:spacing w:before="68"/>
                        <w:ind w:left="143"/>
                        <w:rPr>
                          <w:rFonts w:ascii="Calibri" w:eastAsia="Calibri" w:hAnsi="Calibri" w:cs="Calibri"/>
                          <w:bCs/>
                          <w:lang w:val="fr-FR"/>
                        </w:rPr>
                      </w:pPr>
                      <w:r w:rsidRPr="009A7331">
                        <w:rPr>
                          <w:rFonts w:ascii="Calibri"/>
                          <w:bCs/>
                          <w:spacing w:val="-1"/>
                          <w:lang w:val="fr-FR"/>
                        </w:rPr>
                        <w:t>Mesure requise :</w:t>
                      </w:r>
                    </w:p>
                    <w:p w14:paraId="685D0884" w14:textId="5F1567DB" w:rsidR="00F06FEB" w:rsidRPr="009A7331" w:rsidRDefault="00F06FEB" w:rsidP="009A7331">
                      <w:pPr>
                        <w:pStyle w:val="ListParagraph"/>
                        <w:numPr>
                          <w:ilvl w:val="0"/>
                          <w:numId w:val="14"/>
                        </w:numPr>
                        <w:ind w:left="426" w:hanging="284"/>
                        <w:rPr>
                          <w:rFonts w:ascii="Calibri"/>
                          <w:spacing w:val="-1"/>
                          <w:lang w:val="fr-FR"/>
                        </w:rPr>
                      </w:pPr>
                      <w:r w:rsidRPr="009A7331">
                        <w:rPr>
                          <w:rFonts w:ascii="Calibri"/>
                          <w:spacing w:val="-1"/>
                          <w:lang w:val="fr-FR"/>
                        </w:rPr>
                        <w:t>Le Comité permanent est invité à examiner et approuver le projet de résolution ci-</w:t>
                      </w:r>
                      <w:r w:rsidR="0013095A">
                        <w:rPr>
                          <w:rFonts w:ascii="Calibri"/>
                          <w:spacing w:val="-1"/>
                          <w:lang w:val="fr-FR"/>
                        </w:rPr>
                        <w:t>après</w:t>
                      </w:r>
                      <w:r w:rsidRPr="009A7331">
                        <w:rPr>
                          <w:rFonts w:ascii="Calibri"/>
                          <w:spacing w:val="-1"/>
                          <w:lang w:val="fr-FR"/>
                        </w:rPr>
                        <w:t xml:space="preserve"> pour examen par la Conférence des Parties à sa 14</w:t>
                      </w:r>
                      <w:r w:rsidRPr="009A7331">
                        <w:rPr>
                          <w:rFonts w:ascii="Calibri"/>
                          <w:spacing w:val="-1"/>
                          <w:vertAlign w:val="superscript"/>
                          <w:lang w:val="fr-FR"/>
                        </w:rPr>
                        <w:t>e</w:t>
                      </w:r>
                      <w:r w:rsidRPr="009A7331">
                        <w:rPr>
                          <w:rFonts w:ascii="Calibri"/>
                          <w:spacing w:val="-1"/>
                          <w:lang w:val="fr-FR"/>
                        </w:rPr>
                        <w:t xml:space="preserve"> Session.</w:t>
                      </w:r>
                    </w:p>
                  </w:txbxContent>
                </v:textbox>
                <w10:anchorlock/>
              </v:shape>
            </w:pict>
          </mc:Fallback>
        </mc:AlternateContent>
      </w:r>
    </w:p>
    <w:p w14:paraId="119FE89A" w14:textId="77777777" w:rsidR="009A7331" w:rsidRDefault="009A7331" w:rsidP="00CE3D94">
      <w:pPr>
        <w:spacing w:after="0" w:line="240" w:lineRule="auto"/>
        <w:rPr>
          <w:rFonts w:eastAsia="Times New Roman" w:cs="Times New Roman"/>
          <w:b/>
          <w:bCs/>
          <w:iCs/>
          <w:lang w:val="fr-FR"/>
        </w:rPr>
      </w:pPr>
    </w:p>
    <w:p w14:paraId="02B74F4D" w14:textId="034B5E52" w:rsidR="00F06FEB" w:rsidRPr="00846037" w:rsidRDefault="009A7331" w:rsidP="00CE3D94">
      <w:pPr>
        <w:spacing w:after="0" w:line="240" w:lineRule="auto"/>
        <w:rPr>
          <w:rFonts w:eastAsia="Times New Roman" w:cs="Times New Roman"/>
          <w:b/>
          <w:bCs/>
          <w:iCs/>
          <w:sz w:val="24"/>
          <w:szCs w:val="24"/>
          <w:lang w:val="fr-FR"/>
        </w:rPr>
      </w:pPr>
      <w:r w:rsidRPr="00846037">
        <w:rPr>
          <w:rFonts w:eastAsia="Times New Roman" w:cs="Times New Roman"/>
          <w:b/>
          <w:bCs/>
          <w:iCs/>
          <w:sz w:val="24"/>
          <w:szCs w:val="24"/>
          <w:lang w:val="fr-FR"/>
        </w:rPr>
        <w:t>Projet de résolution XIV.xx</w:t>
      </w:r>
    </w:p>
    <w:p w14:paraId="7D6E16AC" w14:textId="77777777" w:rsidR="009A7331" w:rsidRPr="00846037" w:rsidRDefault="009A7331" w:rsidP="00CE3D94">
      <w:pPr>
        <w:spacing w:after="0" w:line="240" w:lineRule="auto"/>
        <w:rPr>
          <w:rFonts w:eastAsia="Times New Roman" w:cs="Times New Roman"/>
          <w:b/>
          <w:bCs/>
          <w:iCs/>
          <w:sz w:val="24"/>
          <w:szCs w:val="24"/>
          <w:lang w:val="fr-FR"/>
        </w:rPr>
      </w:pPr>
    </w:p>
    <w:p w14:paraId="16A76B8D" w14:textId="0368CF1C" w:rsidR="009A7331" w:rsidRPr="00846037" w:rsidRDefault="009A7331" w:rsidP="00CE3D94">
      <w:pPr>
        <w:spacing w:after="0" w:line="240" w:lineRule="auto"/>
        <w:rPr>
          <w:rFonts w:eastAsia="Times New Roman" w:cs="Times New Roman"/>
          <w:b/>
          <w:bCs/>
          <w:sz w:val="24"/>
          <w:szCs w:val="24"/>
          <w:lang w:val="fr-FR"/>
        </w:rPr>
      </w:pPr>
      <w:r w:rsidRPr="00846037">
        <w:rPr>
          <w:rFonts w:cstheme="minorHAnsi"/>
          <w:b/>
          <w:sz w:val="24"/>
          <w:szCs w:val="24"/>
          <w:lang w:val="fr-FR"/>
        </w:rPr>
        <w:t>A</w:t>
      </w:r>
      <w:r w:rsidRPr="00846037">
        <w:rPr>
          <w:rFonts w:eastAsia="Times New Roman" w:cs="Times New Roman"/>
          <w:b/>
          <w:bCs/>
          <w:sz w:val="24"/>
          <w:szCs w:val="24"/>
          <w:lang w:val="fr-FR"/>
        </w:rPr>
        <w:t>pplication future des aspects scientifiques et techniques de la Convention pour 2022-2024</w:t>
      </w:r>
    </w:p>
    <w:p w14:paraId="66DE0AB5" w14:textId="77777777" w:rsidR="009A7331" w:rsidRPr="009A7331" w:rsidRDefault="009A7331" w:rsidP="00CE3D94">
      <w:pPr>
        <w:spacing w:after="0" w:line="240" w:lineRule="auto"/>
        <w:rPr>
          <w:rFonts w:eastAsia="Times New Roman" w:cs="Times New Roman"/>
          <w:iCs/>
          <w:lang w:val="fr-FR"/>
        </w:rPr>
      </w:pPr>
    </w:p>
    <w:p w14:paraId="2003F263" w14:textId="7B71FAB3" w:rsidR="004E29D7" w:rsidRPr="0000127A" w:rsidRDefault="00496535" w:rsidP="00CE3D94">
      <w:pPr>
        <w:tabs>
          <w:tab w:val="left" w:pos="567"/>
        </w:tabs>
        <w:spacing w:after="0" w:line="240" w:lineRule="auto"/>
        <w:ind w:left="425" w:hanging="425"/>
        <w:rPr>
          <w:lang w:val="fr-FR"/>
        </w:rPr>
      </w:pPr>
      <w:r w:rsidRPr="00554AF9">
        <w:rPr>
          <w:rFonts w:ascii="Calibri" w:hAnsi="Calibri" w:cs="Arial"/>
          <w:lang w:val="fr-FR"/>
        </w:rPr>
        <w:t xml:space="preserve">1. </w:t>
      </w:r>
      <w:r w:rsidR="004E29D7" w:rsidRPr="00554AF9">
        <w:rPr>
          <w:rFonts w:ascii="Calibri" w:hAnsi="Calibri" w:cs="Arial"/>
          <w:lang w:val="fr-FR"/>
        </w:rPr>
        <w:tab/>
      </w:r>
      <w:r w:rsidR="003D151E" w:rsidRPr="0000127A">
        <w:rPr>
          <w:rFonts w:ascii="Calibri" w:hAnsi="Calibri" w:cs="Arial"/>
          <w:lang w:val="fr-FR"/>
        </w:rPr>
        <w:t>R</w:t>
      </w:r>
      <w:r w:rsidR="00554AF9" w:rsidRPr="0000127A">
        <w:rPr>
          <w:rFonts w:ascii="Calibri" w:hAnsi="Calibri" w:cs="Arial"/>
          <w:lang w:val="fr-FR"/>
        </w:rPr>
        <w:t>APPELANT la Ré</w:t>
      </w:r>
      <w:r w:rsidRPr="0000127A">
        <w:rPr>
          <w:rFonts w:ascii="Calibri" w:hAnsi="Calibri" w:cs="Arial"/>
          <w:lang w:val="fr-FR"/>
        </w:rPr>
        <w:t xml:space="preserve">solution XII.5, </w:t>
      </w:r>
      <w:r w:rsidR="006A7C42" w:rsidRPr="0000127A">
        <w:rPr>
          <w:i/>
          <w:lang w:val="fr-FR"/>
        </w:rPr>
        <w:t>Nouveau cadre pour la fourniture d’avis et d’orientations scientifiques et techniques à la Convention</w:t>
      </w:r>
      <w:r w:rsidRPr="0000127A">
        <w:rPr>
          <w:lang w:val="fr-FR"/>
        </w:rPr>
        <w:t xml:space="preserve">, </w:t>
      </w:r>
      <w:r w:rsidR="0000127A">
        <w:rPr>
          <w:lang w:val="fr-FR"/>
        </w:rPr>
        <w:t xml:space="preserve">qui </w:t>
      </w:r>
      <w:r w:rsidR="009A7331">
        <w:rPr>
          <w:lang w:val="fr-FR"/>
        </w:rPr>
        <w:t>modifie</w:t>
      </w:r>
      <w:r w:rsidR="0000127A">
        <w:rPr>
          <w:lang w:val="fr-FR"/>
        </w:rPr>
        <w:t xml:space="preserve"> le modus operandi et les responsabilités du Groupe d’évaluation scientifique et technique (GEST)</w:t>
      </w:r>
      <w:r w:rsidR="009A7331">
        <w:rPr>
          <w:lang w:val="fr-FR"/>
        </w:rPr>
        <w:t xml:space="preserve"> </w:t>
      </w:r>
      <w:r w:rsidR="004E29D7" w:rsidRPr="0000127A">
        <w:rPr>
          <w:lang w:val="fr-FR"/>
        </w:rPr>
        <w:t>;</w:t>
      </w:r>
    </w:p>
    <w:p w14:paraId="527674F0" w14:textId="77777777" w:rsidR="004E29D7" w:rsidRPr="0000127A" w:rsidRDefault="004E29D7" w:rsidP="00CE3D94">
      <w:pPr>
        <w:tabs>
          <w:tab w:val="left" w:pos="567"/>
        </w:tabs>
        <w:spacing w:after="0" w:line="240" w:lineRule="auto"/>
        <w:ind w:left="425" w:hanging="425"/>
        <w:rPr>
          <w:lang w:val="fr-FR"/>
        </w:rPr>
      </w:pPr>
    </w:p>
    <w:p w14:paraId="25710523" w14:textId="7CEAADC1" w:rsidR="00496535" w:rsidRPr="0000127A" w:rsidRDefault="004E29D7" w:rsidP="00CE3D94">
      <w:pPr>
        <w:tabs>
          <w:tab w:val="left" w:pos="567"/>
        </w:tabs>
        <w:spacing w:after="0" w:line="240" w:lineRule="auto"/>
        <w:ind w:left="425" w:hanging="425"/>
        <w:rPr>
          <w:lang w:val="fr-FR"/>
        </w:rPr>
      </w:pPr>
      <w:r w:rsidRPr="0000127A">
        <w:rPr>
          <w:lang w:val="fr-FR"/>
        </w:rPr>
        <w:t>2.</w:t>
      </w:r>
      <w:r w:rsidRPr="0000127A">
        <w:rPr>
          <w:lang w:val="fr-FR"/>
        </w:rPr>
        <w:tab/>
      </w:r>
      <w:r w:rsidR="00554AF9" w:rsidRPr="0000127A">
        <w:rPr>
          <w:rFonts w:ascii="Calibri" w:hAnsi="Calibri" w:cs="Arial"/>
          <w:lang w:val="fr-FR"/>
        </w:rPr>
        <w:t xml:space="preserve">RAPPELANT EN OUTRE le </w:t>
      </w:r>
      <w:r w:rsidRPr="0000127A">
        <w:rPr>
          <w:lang w:val="fr-FR"/>
        </w:rPr>
        <w:t>paragraph</w:t>
      </w:r>
      <w:r w:rsidR="00554AF9" w:rsidRPr="0000127A">
        <w:rPr>
          <w:lang w:val="fr-FR"/>
        </w:rPr>
        <w:t>e</w:t>
      </w:r>
      <w:r w:rsidRPr="0000127A">
        <w:rPr>
          <w:lang w:val="fr-FR"/>
        </w:rPr>
        <w:t xml:space="preserve"> 44 </w:t>
      </w:r>
      <w:r w:rsidR="00554AF9" w:rsidRPr="0000127A">
        <w:rPr>
          <w:lang w:val="fr-FR"/>
        </w:rPr>
        <w:t>de l’Annexe 1 de la Ré</w:t>
      </w:r>
      <w:r w:rsidRPr="0000127A">
        <w:rPr>
          <w:lang w:val="fr-FR"/>
        </w:rPr>
        <w:t xml:space="preserve">solution XII.5, </w:t>
      </w:r>
      <w:r w:rsidR="00554AF9" w:rsidRPr="0000127A">
        <w:rPr>
          <w:lang w:val="fr-FR"/>
        </w:rPr>
        <w:t>qui demande au GEST, en</w:t>
      </w:r>
      <w:r w:rsidRPr="0000127A">
        <w:rPr>
          <w:lang w:val="fr-FR"/>
        </w:rPr>
        <w:t xml:space="preserve"> consultation </w:t>
      </w:r>
      <w:r w:rsidR="00554AF9" w:rsidRPr="0000127A">
        <w:rPr>
          <w:lang w:val="fr-FR"/>
        </w:rPr>
        <w:t>avec le</w:t>
      </w:r>
      <w:r w:rsidRPr="0000127A">
        <w:rPr>
          <w:lang w:val="fr-FR"/>
        </w:rPr>
        <w:t xml:space="preserve"> </w:t>
      </w:r>
      <w:r w:rsidR="00554AF9" w:rsidRPr="0000127A">
        <w:rPr>
          <w:lang w:val="fr-FR"/>
        </w:rPr>
        <w:t>Secrétariat</w:t>
      </w:r>
      <w:r w:rsidRPr="0000127A">
        <w:rPr>
          <w:lang w:val="fr-FR"/>
        </w:rPr>
        <w:t xml:space="preserve"> </w:t>
      </w:r>
      <w:r w:rsidR="00554AF9" w:rsidRPr="0000127A">
        <w:rPr>
          <w:lang w:val="fr-FR"/>
        </w:rPr>
        <w:t>et le Comité permanent</w:t>
      </w:r>
      <w:r w:rsidRPr="0000127A">
        <w:rPr>
          <w:lang w:val="fr-FR"/>
        </w:rPr>
        <w:t>,</w:t>
      </w:r>
      <w:r w:rsidR="00554AF9" w:rsidRPr="0000127A">
        <w:rPr>
          <w:lang w:val="fr-FR"/>
        </w:rPr>
        <w:t xml:space="preserve"> d’identifier</w:t>
      </w:r>
      <w:r w:rsidRPr="0000127A">
        <w:rPr>
          <w:lang w:val="fr-FR"/>
        </w:rPr>
        <w:t xml:space="preserve"> </w:t>
      </w:r>
      <w:r w:rsidR="00554AF9" w:rsidRPr="0000127A">
        <w:rPr>
          <w:lang w:val="fr-FR"/>
        </w:rPr>
        <w:t>« </w:t>
      </w:r>
      <w:r w:rsidR="00554AF9" w:rsidRPr="0000127A">
        <w:rPr>
          <w:rFonts w:cs="Calibri"/>
          <w:bCs/>
          <w:lang w:val="fr-FR"/>
        </w:rPr>
        <w:t>les priorités scientifiques et techniques pour la nouvelle période triennale, les besoins financiers prévus et indique des organisations partenaires potentielles, pour examen par la Conférence des Parties »</w:t>
      </w:r>
      <w:r w:rsidR="009A7331">
        <w:rPr>
          <w:rFonts w:cs="Calibri"/>
          <w:bCs/>
          <w:lang w:val="fr-FR"/>
        </w:rPr>
        <w:t> </w:t>
      </w:r>
      <w:r w:rsidR="00742162" w:rsidRPr="0000127A">
        <w:rPr>
          <w:lang w:val="fr-FR"/>
        </w:rPr>
        <w:t>;</w:t>
      </w:r>
      <w:r w:rsidR="003D151E" w:rsidRPr="0000127A">
        <w:rPr>
          <w:lang w:val="fr-FR"/>
        </w:rPr>
        <w:t xml:space="preserve"> </w:t>
      </w:r>
    </w:p>
    <w:p w14:paraId="7BDEE368" w14:textId="77777777" w:rsidR="007F1B81" w:rsidRPr="0000127A" w:rsidRDefault="007F1B81" w:rsidP="00CE3D94">
      <w:pPr>
        <w:tabs>
          <w:tab w:val="left" w:pos="567"/>
        </w:tabs>
        <w:spacing w:after="0" w:line="240" w:lineRule="auto"/>
        <w:ind w:left="425" w:hanging="425"/>
        <w:rPr>
          <w:lang w:val="fr-FR"/>
        </w:rPr>
      </w:pPr>
    </w:p>
    <w:p w14:paraId="30C708DD" w14:textId="5218BA3A" w:rsidR="00E451FB" w:rsidRDefault="003D151E" w:rsidP="00CE3D94">
      <w:pPr>
        <w:pStyle w:val="Default"/>
        <w:tabs>
          <w:tab w:val="left" w:pos="284"/>
          <w:tab w:val="left" w:pos="567"/>
        </w:tabs>
        <w:ind w:left="425" w:hanging="425"/>
        <w:rPr>
          <w:sz w:val="22"/>
          <w:szCs w:val="22"/>
          <w:lang w:val="fr-FR"/>
        </w:rPr>
      </w:pPr>
      <w:r w:rsidRPr="0000127A">
        <w:rPr>
          <w:sz w:val="22"/>
          <w:szCs w:val="22"/>
          <w:lang w:val="fr-FR"/>
        </w:rPr>
        <w:t>3.</w:t>
      </w:r>
      <w:r w:rsidRPr="0000127A">
        <w:rPr>
          <w:sz w:val="22"/>
          <w:szCs w:val="22"/>
          <w:lang w:val="fr-FR"/>
        </w:rPr>
        <w:tab/>
      </w:r>
      <w:r w:rsidR="007F1B81" w:rsidRPr="0000127A">
        <w:rPr>
          <w:sz w:val="22"/>
          <w:szCs w:val="22"/>
          <w:lang w:val="fr-FR"/>
        </w:rPr>
        <w:tab/>
      </w:r>
      <w:r w:rsidR="0000127A" w:rsidRPr="0000127A">
        <w:rPr>
          <w:rFonts w:cs="Arial"/>
          <w:sz w:val="22"/>
          <w:szCs w:val="22"/>
          <w:lang w:val="fr-FR"/>
        </w:rPr>
        <w:t>RAPPELANT</w:t>
      </w:r>
      <w:r w:rsidR="0000127A" w:rsidRPr="0000127A">
        <w:rPr>
          <w:sz w:val="22"/>
          <w:szCs w:val="22"/>
          <w:lang w:val="fr-FR"/>
        </w:rPr>
        <w:t xml:space="preserve"> AUSSI le </w:t>
      </w:r>
      <w:r w:rsidRPr="0000127A">
        <w:rPr>
          <w:sz w:val="22"/>
          <w:szCs w:val="22"/>
          <w:lang w:val="fr-FR"/>
        </w:rPr>
        <w:t>paragraph</w:t>
      </w:r>
      <w:r w:rsidR="0000127A" w:rsidRPr="0000127A">
        <w:rPr>
          <w:sz w:val="22"/>
          <w:szCs w:val="22"/>
          <w:lang w:val="fr-FR"/>
        </w:rPr>
        <w:t>e</w:t>
      </w:r>
      <w:r w:rsidRPr="0000127A">
        <w:rPr>
          <w:sz w:val="22"/>
          <w:szCs w:val="22"/>
          <w:lang w:val="fr-FR"/>
        </w:rPr>
        <w:t xml:space="preserve"> </w:t>
      </w:r>
      <w:r w:rsidR="00742162" w:rsidRPr="0000127A">
        <w:rPr>
          <w:sz w:val="22"/>
          <w:szCs w:val="22"/>
          <w:lang w:val="fr-FR"/>
        </w:rPr>
        <w:t xml:space="preserve">45 </w:t>
      </w:r>
      <w:r w:rsidR="0000127A" w:rsidRPr="0000127A">
        <w:rPr>
          <w:sz w:val="22"/>
          <w:szCs w:val="22"/>
          <w:lang w:val="fr-FR"/>
        </w:rPr>
        <w:t>de l’</w:t>
      </w:r>
      <w:r w:rsidRPr="0000127A">
        <w:rPr>
          <w:sz w:val="22"/>
          <w:szCs w:val="22"/>
          <w:lang w:val="fr-FR"/>
        </w:rPr>
        <w:t>Annex</w:t>
      </w:r>
      <w:r w:rsidR="0000127A" w:rsidRPr="0000127A">
        <w:rPr>
          <w:sz w:val="22"/>
          <w:szCs w:val="22"/>
          <w:lang w:val="fr-FR"/>
        </w:rPr>
        <w:t>e</w:t>
      </w:r>
      <w:r w:rsidRPr="0000127A">
        <w:rPr>
          <w:sz w:val="22"/>
          <w:szCs w:val="22"/>
          <w:lang w:val="fr-FR"/>
        </w:rPr>
        <w:t xml:space="preserve"> 1 </w:t>
      </w:r>
      <w:r w:rsidR="0000127A" w:rsidRPr="0000127A">
        <w:rPr>
          <w:sz w:val="22"/>
          <w:szCs w:val="22"/>
          <w:lang w:val="fr-FR"/>
        </w:rPr>
        <w:t xml:space="preserve">de la même </w:t>
      </w:r>
      <w:r w:rsidR="00E451FB">
        <w:rPr>
          <w:sz w:val="22"/>
          <w:szCs w:val="22"/>
          <w:lang w:val="fr-FR"/>
        </w:rPr>
        <w:t>R</w:t>
      </w:r>
      <w:r w:rsidR="0000127A" w:rsidRPr="0000127A">
        <w:rPr>
          <w:sz w:val="22"/>
          <w:szCs w:val="22"/>
          <w:lang w:val="fr-FR"/>
        </w:rPr>
        <w:t>ésolution</w:t>
      </w:r>
      <w:r w:rsidRPr="0000127A">
        <w:rPr>
          <w:sz w:val="22"/>
          <w:szCs w:val="22"/>
          <w:lang w:val="fr-FR"/>
        </w:rPr>
        <w:t xml:space="preserve">, </w:t>
      </w:r>
      <w:r w:rsidR="0000127A" w:rsidRPr="0000127A">
        <w:rPr>
          <w:sz w:val="22"/>
          <w:szCs w:val="22"/>
          <w:lang w:val="fr-FR"/>
        </w:rPr>
        <w:t>qui demande que la liste des priorités scientifiques</w:t>
      </w:r>
      <w:r w:rsidR="007F1B81" w:rsidRPr="0000127A">
        <w:rPr>
          <w:sz w:val="22"/>
          <w:szCs w:val="22"/>
          <w:lang w:val="fr-FR"/>
        </w:rPr>
        <w:t xml:space="preserve"> </w:t>
      </w:r>
      <w:r w:rsidR="0000127A" w:rsidRPr="0000127A">
        <w:rPr>
          <w:sz w:val="22"/>
          <w:szCs w:val="22"/>
          <w:lang w:val="fr-FR"/>
        </w:rPr>
        <w:t>et</w:t>
      </w:r>
      <w:r w:rsidR="007F1B81" w:rsidRPr="0000127A">
        <w:rPr>
          <w:sz w:val="22"/>
          <w:szCs w:val="22"/>
          <w:lang w:val="fr-FR"/>
        </w:rPr>
        <w:t xml:space="preserve"> </w:t>
      </w:r>
      <w:r w:rsidR="0000127A" w:rsidRPr="0000127A">
        <w:rPr>
          <w:sz w:val="22"/>
          <w:szCs w:val="22"/>
          <w:lang w:val="fr-FR"/>
        </w:rPr>
        <w:t>techniques</w:t>
      </w:r>
      <w:r w:rsidR="007F1B81" w:rsidRPr="0000127A">
        <w:rPr>
          <w:sz w:val="22"/>
          <w:szCs w:val="22"/>
          <w:lang w:val="fr-FR"/>
        </w:rPr>
        <w:t xml:space="preserve"> </w:t>
      </w:r>
      <w:r w:rsidR="0000127A" w:rsidRPr="0000127A">
        <w:rPr>
          <w:sz w:val="22"/>
          <w:szCs w:val="22"/>
          <w:lang w:val="fr-FR"/>
        </w:rPr>
        <w:t>« </w:t>
      </w:r>
      <w:r w:rsidR="0000127A" w:rsidRPr="0000127A">
        <w:rPr>
          <w:bCs/>
          <w:sz w:val="22"/>
          <w:szCs w:val="22"/>
          <w:lang w:val="fr-FR"/>
        </w:rPr>
        <w:t>reflète le contenu du Plan stratégique Ramsar pour la nouvelle période triennale, les résolutions de la COP précédente et toute autre question prioritaire qui aura été identifiée par les réseaux des zones humides régionaux ou mondiaux »</w:t>
      </w:r>
      <w:r w:rsidR="009A7331">
        <w:rPr>
          <w:bCs/>
          <w:sz w:val="22"/>
          <w:szCs w:val="22"/>
          <w:lang w:val="fr-FR"/>
        </w:rPr>
        <w:t xml:space="preserve"> </w:t>
      </w:r>
      <w:r w:rsidR="007F1B81" w:rsidRPr="0000127A">
        <w:rPr>
          <w:sz w:val="22"/>
          <w:szCs w:val="22"/>
          <w:lang w:val="fr-FR"/>
        </w:rPr>
        <w:t>;</w:t>
      </w:r>
    </w:p>
    <w:p w14:paraId="5EABD855" w14:textId="77777777" w:rsidR="00E451FB" w:rsidRDefault="00E451FB" w:rsidP="00CE3D94">
      <w:pPr>
        <w:pStyle w:val="Default"/>
        <w:tabs>
          <w:tab w:val="left" w:pos="284"/>
          <w:tab w:val="left" w:pos="567"/>
        </w:tabs>
        <w:ind w:left="425" w:hanging="425"/>
        <w:rPr>
          <w:sz w:val="22"/>
          <w:szCs w:val="22"/>
          <w:lang w:val="fr-FR"/>
        </w:rPr>
      </w:pPr>
    </w:p>
    <w:p w14:paraId="01970AC0" w14:textId="19AD1951" w:rsidR="003D151E" w:rsidRPr="0000127A" w:rsidRDefault="00E451FB" w:rsidP="00E451FB">
      <w:pPr>
        <w:pStyle w:val="Default"/>
        <w:tabs>
          <w:tab w:val="left" w:pos="567"/>
        </w:tabs>
        <w:ind w:left="425" w:hanging="425"/>
        <w:rPr>
          <w:sz w:val="22"/>
          <w:szCs w:val="22"/>
          <w:lang w:val="fr-FR"/>
        </w:rPr>
      </w:pPr>
      <w:r>
        <w:rPr>
          <w:sz w:val="22"/>
          <w:szCs w:val="22"/>
          <w:lang w:val="fr-FR"/>
        </w:rPr>
        <w:t>4.</w:t>
      </w:r>
      <w:r>
        <w:rPr>
          <w:sz w:val="22"/>
          <w:szCs w:val="22"/>
          <w:lang w:val="fr-FR"/>
        </w:rPr>
        <w:tab/>
        <w:t xml:space="preserve">RAPPELANT la Résolution XII.9, </w:t>
      </w:r>
      <w:r w:rsidRPr="007F694A">
        <w:rPr>
          <w:i/>
          <w:sz w:val="22"/>
          <w:szCs w:val="22"/>
          <w:lang w:val="fr-FR"/>
        </w:rPr>
        <w:t>Le Programme de la Convention de Ramsar relatif à la communication, au renforcement des capacités, à l’éducation, à la sensibilisation et à la participation (CESP) 2016-2024</w:t>
      </w:r>
      <w:r w:rsidR="009A7331">
        <w:rPr>
          <w:i/>
          <w:sz w:val="22"/>
          <w:szCs w:val="22"/>
          <w:lang w:val="fr-FR"/>
        </w:rPr>
        <w:t xml:space="preserve"> </w:t>
      </w:r>
      <w:r w:rsidR="007F694A">
        <w:rPr>
          <w:sz w:val="22"/>
          <w:szCs w:val="22"/>
          <w:lang w:val="fr-FR"/>
        </w:rPr>
        <w:t>;</w:t>
      </w:r>
      <w:r w:rsidR="003D151E" w:rsidRPr="0000127A">
        <w:rPr>
          <w:sz w:val="22"/>
          <w:szCs w:val="22"/>
          <w:lang w:val="fr-FR"/>
        </w:rPr>
        <w:t xml:space="preserve"> </w:t>
      </w:r>
    </w:p>
    <w:p w14:paraId="1A84215F" w14:textId="77777777" w:rsidR="004E29D7" w:rsidRPr="0000127A" w:rsidRDefault="004E29D7" w:rsidP="00CE3D94">
      <w:pPr>
        <w:tabs>
          <w:tab w:val="left" w:pos="567"/>
        </w:tabs>
        <w:spacing w:after="0" w:line="240" w:lineRule="auto"/>
        <w:ind w:left="425" w:hanging="425"/>
        <w:rPr>
          <w:lang w:val="fr-FR"/>
        </w:rPr>
      </w:pPr>
    </w:p>
    <w:p w14:paraId="5A010723" w14:textId="77777777" w:rsidR="00644940" w:rsidRDefault="007F694A" w:rsidP="00CE3D94">
      <w:pPr>
        <w:spacing w:after="0" w:line="240" w:lineRule="auto"/>
        <w:ind w:left="425" w:hanging="425"/>
        <w:rPr>
          <w:rFonts w:ascii="Calibri" w:hAnsi="Calibri" w:cs="Arial"/>
          <w:lang w:val="fr-FR"/>
        </w:rPr>
      </w:pPr>
      <w:r>
        <w:rPr>
          <w:rFonts w:ascii="Calibri" w:hAnsi="Calibri" w:cs="Arial"/>
          <w:lang w:val="fr-FR"/>
        </w:rPr>
        <w:t>5</w:t>
      </w:r>
      <w:r w:rsidR="004E29D7" w:rsidRPr="00554AF9">
        <w:rPr>
          <w:rFonts w:ascii="Calibri" w:hAnsi="Calibri" w:cs="Arial"/>
          <w:lang w:val="fr-FR"/>
        </w:rPr>
        <w:t>.</w:t>
      </w:r>
      <w:r w:rsidR="004E29D7" w:rsidRPr="00554AF9">
        <w:rPr>
          <w:rFonts w:ascii="Calibri" w:hAnsi="Calibri" w:cs="Arial"/>
          <w:lang w:val="fr-FR"/>
        </w:rPr>
        <w:tab/>
      </w:r>
      <w:r w:rsidR="00D66813">
        <w:rPr>
          <w:rFonts w:ascii="Calibri" w:hAnsi="Calibri" w:cs="Arial"/>
          <w:lang w:val="fr-FR"/>
        </w:rPr>
        <w:t xml:space="preserve">NOTANT </w:t>
      </w:r>
      <w:r w:rsidR="00644940">
        <w:rPr>
          <w:rFonts w:ascii="Calibri" w:hAnsi="Calibri" w:cs="Arial"/>
          <w:lang w:val="fr-FR"/>
        </w:rPr>
        <w:t>AVEC APPRÉCIATION et exprimant sa gratitude :</w:t>
      </w:r>
    </w:p>
    <w:p w14:paraId="747BB5F2" w14:textId="77777777" w:rsidR="00644940" w:rsidRDefault="00644940" w:rsidP="00CE3D94">
      <w:pPr>
        <w:spacing w:after="0" w:line="240" w:lineRule="auto"/>
        <w:ind w:left="425" w:hanging="425"/>
        <w:rPr>
          <w:rFonts w:ascii="Calibri" w:hAnsi="Calibri" w:cs="Arial"/>
          <w:lang w:val="fr-FR"/>
        </w:rPr>
      </w:pPr>
    </w:p>
    <w:p w14:paraId="4900008C" w14:textId="20B0EE87" w:rsidR="00853CEA" w:rsidRPr="004B563A"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00127A" w:rsidRPr="004B563A">
        <w:rPr>
          <w:rFonts w:ascii="Calibri" w:hAnsi="Calibri" w:cs="Arial"/>
          <w:lang w:val="fr-FR"/>
        </w:rPr>
        <w:t xml:space="preserve"> membres du GEST</w:t>
      </w:r>
      <w:r w:rsidR="004E29D7" w:rsidRPr="004B563A">
        <w:rPr>
          <w:rFonts w:ascii="Calibri" w:hAnsi="Calibri" w:cs="Arial"/>
          <w:lang w:val="fr-FR"/>
        </w:rPr>
        <w:t xml:space="preserve">, </w:t>
      </w:r>
      <w:r w:rsidR="0000127A" w:rsidRPr="004B563A">
        <w:rPr>
          <w:rFonts w:ascii="Calibri" w:hAnsi="Calibri" w:cs="Arial"/>
          <w:lang w:val="fr-FR"/>
        </w:rPr>
        <w:t>observateurs des Organisations internationales partenaires</w:t>
      </w:r>
      <w:r w:rsidRPr="004B563A">
        <w:rPr>
          <w:rFonts w:ascii="Calibri" w:hAnsi="Calibri" w:cs="Arial"/>
          <w:lang w:val="fr-FR"/>
        </w:rPr>
        <w:t xml:space="preserve"> (OIP)</w:t>
      </w:r>
      <w:r w:rsidR="004E29D7" w:rsidRPr="004B563A">
        <w:rPr>
          <w:rFonts w:ascii="Calibri" w:hAnsi="Calibri" w:cs="Arial"/>
          <w:lang w:val="fr-FR"/>
        </w:rPr>
        <w:t xml:space="preserve">, </w:t>
      </w:r>
      <w:r w:rsidR="0000127A" w:rsidRPr="004B563A">
        <w:rPr>
          <w:rFonts w:ascii="Calibri" w:hAnsi="Calibri" w:cs="Arial"/>
          <w:lang w:val="fr-FR"/>
        </w:rPr>
        <w:t>observateurs d’autres organisations et Correspondants nationaux du GEST</w:t>
      </w:r>
      <w:r w:rsidR="004E29D7" w:rsidRPr="004B563A">
        <w:rPr>
          <w:rFonts w:ascii="Calibri" w:hAnsi="Calibri" w:cs="Arial"/>
          <w:lang w:val="fr-FR"/>
        </w:rPr>
        <w:t xml:space="preserve"> </w:t>
      </w:r>
      <w:r w:rsidR="003060CD" w:rsidRPr="004B563A">
        <w:rPr>
          <w:rFonts w:ascii="Calibri" w:hAnsi="Calibri" w:cs="Arial"/>
          <w:lang w:val="fr-FR"/>
        </w:rPr>
        <w:t xml:space="preserve">pour leurs contributions précieuses </w:t>
      </w:r>
      <w:r w:rsidRPr="004B563A">
        <w:rPr>
          <w:rFonts w:ascii="Calibri" w:hAnsi="Calibri" w:cs="Arial"/>
          <w:lang w:val="fr-FR"/>
        </w:rPr>
        <w:t xml:space="preserve">aux travaux du GEST </w:t>
      </w:r>
      <w:r w:rsidR="003060CD" w:rsidRPr="004B563A">
        <w:rPr>
          <w:rFonts w:ascii="Calibri" w:hAnsi="Calibri" w:cs="Arial"/>
          <w:lang w:val="fr-FR"/>
        </w:rPr>
        <w:t>au cours de la période triennale</w:t>
      </w:r>
      <w:r w:rsidR="009A7331">
        <w:rPr>
          <w:rFonts w:ascii="Calibri" w:hAnsi="Calibri" w:cs="Arial"/>
          <w:lang w:val="fr-FR"/>
        </w:rPr>
        <w:t xml:space="preserve"> </w:t>
      </w:r>
      <w:r w:rsidR="004E29D7" w:rsidRPr="004B563A">
        <w:rPr>
          <w:rFonts w:ascii="Calibri" w:hAnsi="Calibri" w:cs="Arial"/>
          <w:lang w:val="fr-FR"/>
        </w:rPr>
        <w:t>;</w:t>
      </w:r>
      <w:r w:rsidR="00853CEA" w:rsidRPr="004B563A">
        <w:rPr>
          <w:rFonts w:ascii="Calibri" w:hAnsi="Calibri" w:cs="Arial"/>
          <w:lang w:val="fr-FR"/>
        </w:rPr>
        <w:t xml:space="preserve"> </w:t>
      </w:r>
    </w:p>
    <w:p w14:paraId="000C4935" w14:textId="77777777" w:rsidR="009A7331" w:rsidRDefault="00644940" w:rsidP="004B563A">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w:t>
      </w:r>
      <w:r w:rsidR="00496535" w:rsidRPr="004B563A">
        <w:rPr>
          <w:rFonts w:ascii="Calibri" w:hAnsi="Calibri" w:cs="Arial"/>
          <w:lang w:val="fr-FR"/>
        </w:rPr>
        <w:t xml:space="preserve"> </w:t>
      </w:r>
      <w:r w:rsidR="0000127A" w:rsidRPr="004B563A">
        <w:rPr>
          <w:rFonts w:ascii="Calibri" w:hAnsi="Calibri" w:cs="Arial"/>
          <w:lang w:val="fr-FR"/>
        </w:rPr>
        <w:t>Secrétariat</w:t>
      </w:r>
      <w:r w:rsidR="00496535" w:rsidRPr="004B563A">
        <w:rPr>
          <w:rFonts w:ascii="Calibri" w:hAnsi="Calibri" w:cs="Arial"/>
          <w:lang w:val="fr-FR"/>
        </w:rPr>
        <w:t xml:space="preserve"> </w:t>
      </w:r>
      <w:r w:rsidR="0000127A" w:rsidRPr="004B563A">
        <w:rPr>
          <w:rFonts w:ascii="Calibri" w:hAnsi="Calibri" w:cs="Arial"/>
          <w:lang w:val="fr-FR"/>
        </w:rPr>
        <w:t>pour son appui</w:t>
      </w:r>
      <w:r w:rsidR="009A7331">
        <w:rPr>
          <w:rFonts w:ascii="Calibri" w:hAnsi="Calibri" w:cs="Arial"/>
          <w:lang w:val="fr-FR"/>
        </w:rPr>
        <w:t xml:space="preserve"> </w:t>
      </w:r>
      <w:r w:rsidR="003D151E" w:rsidRPr="004B563A">
        <w:rPr>
          <w:rFonts w:ascii="Calibri" w:hAnsi="Calibri" w:cs="Arial"/>
          <w:lang w:val="fr-FR"/>
        </w:rPr>
        <w:t>;</w:t>
      </w:r>
    </w:p>
    <w:p w14:paraId="4B403BD7" w14:textId="0A7C4FAF" w:rsidR="00853CEA" w:rsidRPr="004B563A" w:rsidRDefault="009A7331" w:rsidP="004B563A">
      <w:pPr>
        <w:pStyle w:val="ListParagraph"/>
        <w:numPr>
          <w:ilvl w:val="0"/>
          <w:numId w:val="7"/>
        </w:numPr>
        <w:spacing w:after="0" w:line="240" w:lineRule="auto"/>
        <w:rPr>
          <w:rFonts w:ascii="Calibri" w:hAnsi="Calibri" w:cs="Arial"/>
          <w:lang w:val="fr-FR"/>
        </w:rPr>
      </w:pPr>
      <w:r>
        <w:rPr>
          <w:rFonts w:ascii="Calibri" w:hAnsi="Calibri" w:cs="Arial"/>
          <w:lang w:val="fr-FR"/>
        </w:rPr>
        <w:lastRenderedPageBreak/>
        <w:t>au Gouvernement de la Norvège pour sa contribution financière généreuse en vue de soutenir les travaux du Groupe sur la restauration et la réhumidification</w:t>
      </w:r>
      <w:r w:rsidRPr="009A7331">
        <w:rPr>
          <w:rFonts w:ascii="Calibri" w:hAnsi="Calibri" w:cs="Arial"/>
          <w:lang w:val="fr-FR"/>
        </w:rPr>
        <w:t xml:space="preserve"> </w:t>
      </w:r>
      <w:r>
        <w:rPr>
          <w:rFonts w:ascii="Calibri" w:hAnsi="Calibri" w:cs="Arial"/>
          <w:lang w:val="fr-FR"/>
        </w:rPr>
        <w:t>des tourbières tropicales (Tâche 2.2) et sur le carbone bleu et les zones humides (Tâche 5.1) ;</w:t>
      </w:r>
      <w:r w:rsidR="007F694A">
        <w:rPr>
          <w:rFonts w:ascii="Calibri" w:hAnsi="Calibri" w:cs="Arial"/>
          <w:lang w:val="fr-FR"/>
        </w:rPr>
        <w:t xml:space="preserve"> </w:t>
      </w:r>
    </w:p>
    <w:p w14:paraId="306CDD17" w14:textId="538E700C" w:rsidR="00853CEA" w:rsidRDefault="0000127A" w:rsidP="00061874">
      <w:pPr>
        <w:pStyle w:val="ListParagraph"/>
        <w:numPr>
          <w:ilvl w:val="0"/>
          <w:numId w:val="7"/>
        </w:numPr>
        <w:spacing w:after="0" w:line="240" w:lineRule="auto"/>
        <w:rPr>
          <w:rFonts w:ascii="Calibri" w:hAnsi="Calibri" w:cs="Arial"/>
          <w:lang w:val="fr-FR"/>
        </w:rPr>
      </w:pPr>
      <w:r w:rsidRPr="004B563A">
        <w:rPr>
          <w:rFonts w:ascii="Calibri" w:hAnsi="Calibri" w:cs="Arial"/>
          <w:lang w:val="fr-FR"/>
        </w:rPr>
        <w:t>aux</w:t>
      </w:r>
      <w:r w:rsidR="00496535" w:rsidRPr="004B563A">
        <w:rPr>
          <w:rFonts w:ascii="Calibri" w:hAnsi="Calibri" w:cs="Arial"/>
          <w:lang w:val="fr-FR"/>
        </w:rPr>
        <w:t xml:space="preserve"> </w:t>
      </w:r>
      <w:r w:rsidR="009A7331">
        <w:rPr>
          <w:rFonts w:ascii="Calibri" w:hAnsi="Calibri" w:cs="Arial"/>
          <w:lang w:val="fr-FR"/>
        </w:rPr>
        <w:t>Gouvernement</w:t>
      </w:r>
      <w:r w:rsidR="00B70F83">
        <w:rPr>
          <w:rFonts w:ascii="Calibri" w:hAnsi="Calibri" w:cs="Arial"/>
          <w:lang w:val="fr-FR"/>
        </w:rPr>
        <w:t>s</w:t>
      </w:r>
      <w:r w:rsidR="009A7331">
        <w:rPr>
          <w:rFonts w:ascii="Calibri" w:hAnsi="Calibri" w:cs="Arial"/>
          <w:lang w:val="fr-FR"/>
        </w:rPr>
        <w:t xml:space="preserve"> de la Finlande et de la Norvège</w:t>
      </w:r>
      <w:r w:rsidRPr="004B563A">
        <w:rPr>
          <w:rFonts w:ascii="Calibri" w:hAnsi="Calibri" w:cs="Arial"/>
          <w:lang w:val="fr-FR"/>
        </w:rPr>
        <w:t xml:space="preserve"> pour leur contribution financière généreuse,</w:t>
      </w:r>
      <w:r w:rsidR="009A7331">
        <w:rPr>
          <w:rFonts w:ascii="Calibri" w:hAnsi="Calibri" w:cs="Arial"/>
          <w:lang w:val="fr-FR"/>
        </w:rPr>
        <w:t xml:space="preserve"> en vue de soutenir les travaux du GEST sur </w:t>
      </w:r>
      <w:r w:rsidR="00B70F83">
        <w:rPr>
          <w:rFonts w:ascii="Calibri" w:hAnsi="Calibri" w:cs="Arial"/>
          <w:lang w:val="fr-FR"/>
        </w:rPr>
        <w:t>l’intégration de l’égalité entre les sexes</w:t>
      </w:r>
      <w:r w:rsidR="0025565C">
        <w:rPr>
          <w:rStyle w:val="FootnoteReference"/>
          <w:rFonts w:ascii="Calibri" w:hAnsi="Calibri" w:cs="Arial"/>
          <w:lang w:val="fr-FR"/>
        </w:rPr>
        <w:footnoteReference w:id="1"/>
      </w:r>
      <w:r w:rsidR="00B70F83">
        <w:rPr>
          <w:rFonts w:ascii="Calibri" w:hAnsi="Calibri" w:cs="Arial"/>
          <w:lang w:val="fr-FR"/>
        </w:rPr>
        <w:t xml:space="preserve"> (Tâche 4.1) </w:t>
      </w:r>
      <w:r w:rsidR="003060CD" w:rsidRPr="004B563A">
        <w:rPr>
          <w:rFonts w:ascii="Calibri" w:hAnsi="Calibri" w:cs="Arial"/>
          <w:lang w:val="fr-FR"/>
        </w:rPr>
        <w:t>;</w:t>
      </w:r>
      <w:r w:rsidR="004B563A">
        <w:rPr>
          <w:rFonts w:ascii="Calibri" w:hAnsi="Calibri" w:cs="Arial"/>
          <w:lang w:val="fr-FR"/>
        </w:rPr>
        <w:t xml:space="preserve"> et</w:t>
      </w:r>
    </w:p>
    <w:p w14:paraId="7027A3FA" w14:textId="29BFBA26" w:rsidR="00B70F83" w:rsidRPr="004B563A" w:rsidRDefault="00B70F83" w:rsidP="00061874">
      <w:pPr>
        <w:pStyle w:val="ListParagraph"/>
        <w:numPr>
          <w:ilvl w:val="0"/>
          <w:numId w:val="7"/>
        </w:numPr>
        <w:spacing w:after="0" w:line="240" w:lineRule="auto"/>
        <w:rPr>
          <w:rFonts w:ascii="Calibri" w:hAnsi="Calibri" w:cs="Arial"/>
          <w:lang w:val="fr-FR"/>
        </w:rPr>
      </w:pPr>
      <w:r>
        <w:rPr>
          <w:rFonts w:ascii="Calibri" w:hAnsi="Calibri" w:cs="Arial"/>
          <w:lang w:val="fr-FR"/>
        </w:rPr>
        <w:t>au Gouvernement de l’Australie</w:t>
      </w:r>
      <w:r w:rsidRPr="00B70F83">
        <w:rPr>
          <w:rFonts w:ascii="Calibri" w:hAnsi="Calibri" w:cs="Arial"/>
          <w:lang w:val="fr-FR"/>
        </w:rPr>
        <w:t xml:space="preserve"> </w:t>
      </w:r>
      <w:r>
        <w:rPr>
          <w:rFonts w:ascii="Calibri" w:hAnsi="Calibri" w:cs="Arial"/>
          <w:lang w:val="fr-FR"/>
        </w:rPr>
        <w:t>pour sa généreuse contribution en nature, sous forme d’appui technique à la tâche consultative spéciale relative au critère 6 ;</w:t>
      </w:r>
    </w:p>
    <w:p w14:paraId="5B6A7739" w14:textId="77777777" w:rsidR="00C36BCF" w:rsidRPr="00554AF9" w:rsidRDefault="00C36BCF" w:rsidP="00CE3D94">
      <w:pPr>
        <w:spacing w:after="0" w:line="240" w:lineRule="auto"/>
        <w:ind w:left="425" w:hanging="425"/>
        <w:rPr>
          <w:rFonts w:ascii="Calibri" w:hAnsi="Calibri" w:cs="Arial"/>
          <w:lang w:val="fr-FR"/>
        </w:rPr>
      </w:pPr>
    </w:p>
    <w:p w14:paraId="149C990F" w14:textId="77777777" w:rsidR="00B70F83" w:rsidRDefault="007F694A" w:rsidP="00CE3D94">
      <w:pPr>
        <w:tabs>
          <w:tab w:val="left" w:pos="567"/>
        </w:tabs>
        <w:spacing w:after="0" w:line="240" w:lineRule="auto"/>
        <w:ind w:left="425" w:hanging="425"/>
        <w:rPr>
          <w:lang w:val="fr-FR"/>
        </w:rPr>
      </w:pPr>
      <w:r>
        <w:rPr>
          <w:rFonts w:ascii="Calibri" w:hAnsi="Calibri" w:cs="Arial"/>
          <w:lang w:val="fr-FR"/>
        </w:rPr>
        <w:t>6</w:t>
      </w:r>
      <w:r w:rsidR="00496535" w:rsidRPr="00554AF9">
        <w:rPr>
          <w:rFonts w:ascii="Calibri" w:hAnsi="Calibri" w:cs="Arial"/>
          <w:lang w:val="fr-FR"/>
        </w:rPr>
        <w:t xml:space="preserve">. </w:t>
      </w:r>
      <w:r w:rsidR="007F1B81" w:rsidRPr="00554AF9">
        <w:rPr>
          <w:rFonts w:ascii="Calibri" w:hAnsi="Calibri" w:cs="Arial"/>
          <w:lang w:val="fr-FR"/>
        </w:rPr>
        <w:tab/>
      </w:r>
      <w:r w:rsidR="003060CD" w:rsidRPr="0000127A">
        <w:rPr>
          <w:rFonts w:ascii="Calibri" w:hAnsi="Calibri" w:cs="Arial"/>
          <w:lang w:val="fr-FR"/>
        </w:rPr>
        <w:t>RAPPELANT</w:t>
      </w:r>
      <w:r w:rsidR="003060CD" w:rsidRPr="0000127A">
        <w:rPr>
          <w:lang w:val="fr-FR"/>
        </w:rPr>
        <w:t xml:space="preserve"> </w:t>
      </w:r>
      <w:r w:rsidR="003060CD">
        <w:rPr>
          <w:lang w:val="fr-FR"/>
        </w:rPr>
        <w:t>la Dé</w:t>
      </w:r>
      <w:r w:rsidR="003D151E" w:rsidRPr="00554AF9">
        <w:rPr>
          <w:rFonts w:ascii="Calibri" w:hAnsi="Calibri" w:cs="Arial"/>
          <w:lang w:val="fr-FR"/>
        </w:rPr>
        <w:t>cision</w:t>
      </w:r>
      <w:r w:rsidR="003D151E" w:rsidRPr="00554AF9">
        <w:rPr>
          <w:lang w:val="fr-FR"/>
        </w:rPr>
        <w:t xml:space="preserve"> SC5</w:t>
      </w:r>
      <w:r w:rsidR="00B70F83">
        <w:rPr>
          <w:lang w:val="fr-FR"/>
        </w:rPr>
        <w:t>7</w:t>
      </w:r>
      <w:r w:rsidR="003D151E" w:rsidRPr="00554AF9">
        <w:rPr>
          <w:lang w:val="fr-FR"/>
        </w:rPr>
        <w:t>-</w:t>
      </w:r>
      <w:r w:rsidR="00B70F83">
        <w:rPr>
          <w:lang w:val="fr-FR"/>
        </w:rPr>
        <w:t>30</w:t>
      </w:r>
      <w:r w:rsidR="003D151E" w:rsidRPr="00554AF9">
        <w:rPr>
          <w:lang w:val="fr-FR"/>
        </w:rPr>
        <w:t xml:space="preserve"> </w:t>
      </w:r>
      <w:r w:rsidR="003060CD">
        <w:rPr>
          <w:lang w:val="fr-FR"/>
        </w:rPr>
        <w:t>du</w:t>
      </w:r>
      <w:r w:rsidR="003D151E" w:rsidRPr="00554AF9">
        <w:rPr>
          <w:lang w:val="fr-FR"/>
        </w:rPr>
        <w:t xml:space="preserve"> </w:t>
      </w:r>
      <w:r w:rsidR="003060CD" w:rsidRPr="00554AF9">
        <w:rPr>
          <w:lang w:val="fr-FR"/>
        </w:rPr>
        <w:t>Comité</w:t>
      </w:r>
      <w:r w:rsidR="003D151E" w:rsidRPr="00554AF9">
        <w:rPr>
          <w:lang w:val="fr-FR"/>
        </w:rPr>
        <w:t xml:space="preserve"> </w:t>
      </w:r>
      <w:r w:rsidR="003060CD">
        <w:rPr>
          <w:lang w:val="fr-FR"/>
        </w:rPr>
        <w:t xml:space="preserve">permanent qui approuve le plan de travail du GEST pour la période triennale </w:t>
      </w:r>
      <w:r w:rsidR="003D151E" w:rsidRPr="00554AF9">
        <w:rPr>
          <w:lang w:val="fr-FR"/>
        </w:rPr>
        <w:t>201</w:t>
      </w:r>
      <w:r w:rsidR="00B70F83">
        <w:rPr>
          <w:lang w:val="fr-FR"/>
        </w:rPr>
        <w:t>9</w:t>
      </w:r>
      <w:r w:rsidR="003D151E" w:rsidRPr="00554AF9">
        <w:rPr>
          <w:lang w:val="fr-FR"/>
        </w:rPr>
        <w:t>-20</w:t>
      </w:r>
      <w:r w:rsidR="00B70F83">
        <w:rPr>
          <w:lang w:val="fr-FR"/>
        </w:rPr>
        <w:t xml:space="preserve">21 </w:t>
      </w:r>
      <w:r w:rsidR="003D151E" w:rsidRPr="00554AF9">
        <w:rPr>
          <w:lang w:val="fr-FR"/>
        </w:rPr>
        <w:t>;</w:t>
      </w:r>
      <w:r w:rsidR="00B70F83">
        <w:rPr>
          <w:lang w:val="fr-FR"/>
        </w:rPr>
        <w:t xml:space="preserve"> et</w:t>
      </w:r>
    </w:p>
    <w:p w14:paraId="19D827C1" w14:textId="77777777" w:rsidR="00B70F83" w:rsidRDefault="00B70F83" w:rsidP="00CE3D94">
      <w:pPr>
        <w:tabs>
          <w:tab w:val="left" w:pos="567"/>
        </w:tabs>
        <w:spacing w:after="0" w:line="240" w:lineRule="auto"/>
        <w:ind w:left="425" w:hanging="425"/>
        <w:rPr>
          <w:lang w:val="fr-FR"/>
        </w:rPr>
      </w:pPr>
    </w:p>
    <w:p w14:paraId="1E6CA492" w14:textId="106ACD78" w:rsidR="00C36BCF" w:rsidRPr="00554AF9" w:rsidRDefault="00B70F83" w:rsidP="00CE3D94">
      <w:pPr>
        <w:tabs>
          <w:tab w:val="left" w:pos="567"/>
        </w:tabs>
        <w:spacing w:after="0" w:line="240" w:lineRule="auto"/>
        <w:ind w:left="425" w:hanging="425"/>
        <w:rPr>
          <w:lang w:val="fr-FR"/>
        </w:rPr>
      </w:pPr>
      <w:r>
        <w:rPr>
          <w:lang w:val="fr-FR"/>
        </w:rPr>
        <w:t>7.</w:t>
      </w:r>
      <w:r>
        <w:rPr>
          <w:lang w:val="fr-FR"/>
        </w:rPr>
        <w:tab/>
      </w:r>
      <w:r w:rsidR="003D151E" w:rsidRPr="00554AF9">
        <w:rPr>
          <w:lang w:val="fr-FR"/>
        </w:rPr>
        <w:t xml:space="preserve"> </w:t>
      </w:r>
      <w:r w:rsidRPr="0000127A">
        <w:rPr>
          <w:rFonts w:ascii="Calibri" w:hAnsi="Calibri" w:cs="Arial"/>
          <w:lang w:val="fr-FR"/>
        </w:rPr>
        <w:t>RAPPELANT</w:t>
      </w:r>
      <w:r w:rsidRPr="0000127A">
        <w:rPr>
          <w:lang w:val="fr-FR"/>
        </w:rPr>
        <w:t xml:space="preserve"> </w:t>
      </w:r>
      <w:r>
        <w:rPr>
          <w:lang w:val="fr-FR"/>
        </w:rPr>
        <w:t>AUSSI la Dé</w:t>
      </w:r>
      <w:r w:rsidRPr="00554AF9">
        <w:rPr>
          <w:rFonts w:ascii="Calibri" w:hAnsi="Calibri" w:cs="Arial"/>
          <w:lang w:val="fr-FR"/>
        </w:rPr>
        <w:t>cision</w:t>
      </w:r>
      <w:r w:rsidRPr="00554AF9">
        <w:rPr>
          <w:lang w:val="fr-FR"/>
        </w:rPr>
        <w:t xml:space="preserve"> SC5</w:t>
      </w:r>
      <w:r>
        <w:rPr>
          <w:lang w:val="fr-FR"/>
        </w:rPr>
        <w:t>7-25</w:t>
      </w:r>
      <w:r w:rsidRPr="00B70F83">
        <w:rPr>
          <w:lang w:val="fr-FR"/>
        </w:rPr>
        <w:t xml:space="preserve"> </w:t>
      </w:r>
      <w:r>
        <w:rPr>
          <w:lang w:val="fr-FR"/>
        </w:rPr>
        <w:t>du</w:t>
      </w:r>
      <w:r w:rsidRPr="00554AF9">
        <w:rPr>
          <w:lang w:val="fr-FR"/>
        </w:rPr>
        <w:t xml:space="preserve"> Comité </w:t>
      </w:r>
      <w:r>
        <w:rPr>
          <w:lang w:val="fr-FR"/>
        </w:rPr>
        <w:t xml:space="preserve">permanent qui convient </w:t>
      </w:r>
      <w:r w:rsidR="00BD7930">
        <w:rPr>
          <w:lang w:val="fr-FR"/>
        </w:rPr>
        <w:t xml:space="preserve">qu’un </w:t>
      </w:r>
      <w:r>
        <w:rPr>
          <w:lang w:val="fr-FR"/>
        </w:rPr>
        <w:t xml:space="preserve">membre au moins du GEST </w:t>
      </w:r>
      <w:r w:rsidR="00BD7930">
        <w:rPr>
          <w:lang w:val="fr-FR"/>
        </w:rPr>
        <w:t>peut être invité</w:t>
      </w:r>
      <w:r>
        <w:rPr>
          <w:lang w:val="fr-FR"/>
        </w:rPr>
        <w:t xml:space="preserve"> </w:t>
      </w:r>
      <w:r w:rsidR="00BD7930" w:rsidRPr="00BD7930">
        <w:rPr>
          <w:lang w:val="fr-FR"/>
        </w:rPr>
        <w:t>à participer à des discussions</w:t>
      </w:r>
      <w:r w:rsidR="00BD7930">
        <w:rPr>
          <w:lang w:val="fr-FR"/>
        </w:rPr>
        <w:t>,</w:t>
      </w:r>
      <w:r w:rsidR="00BD7930" w:rsidRPr="00BD7930">
        <w:rPr>
          <w:lang w:val="fr-FR"/>
        </w:rPr>
        <w:t xml:space="preserve"> durant des réunions du Comité permanent</w:t>
      </w:r>
      <w:r w:rsidR="00BD7930">
        <w:rPr>
          <w:lang w:val="fr-FR"/>
        </w:rPr>
        <w:t>,</w:t>
      </w:r>
      <w:r w:rsidR="00BD7930" w:rsidRPr="00BD7930">
        <w:rPr>
          <w:lang w:val="fr-FR"/>
        </w:rPr>
        <w:t xml:space="preserve"> traitant de questions d’actualité importantes ou de sujets sur lesquels de nouvelles informations significatives sont disponibles</w:t>
      </w:r>
      <w:r w:rsidR="00BD7930">
        <w:rPr>
          <w:lang w:val="fr-FR"/>
        </w:rPr>
        <w:t xml:space="preserve"> </w:t>
      </w:r>
      <w:r w:rsidR="00FD417E">
        <w:rPr>
          <w:lang w:val="fr-FR"/>
        </w:rPr>
        <w:t>;</w:t>
      </w:r>
      <w:r>
        <w:rPr>
          <w:lang w:val="fr-FR"/>
        </w:rPr>
        <w:t xml:space="preserve"> </w:t>
      </w:r>
    </w:p>
    <w:p w14:paraId="48F226DE" w14:textId="77777777" w:rsidR="003D151E" w:rsidRPr="00554AF9" w:rsidRDefault="003D151E" w:rsidP="00CE3D94">
      <w:pPr>
        <w:spacing w:after="0" w:line="240" w:lineRule="auto"/>
        <w:ind w:left="425" w:hanging="425"/>
        <w:rPr>
          <w:rFonts w:ascii="Calibri" w:hAnsi="Calibri" w:cs="Arial"/>
          <w:lang w:val="fr-FR"/>
        </w:rPr>
      </w:pPr>
    </w:p>
    <w:p w14:paraId="0CC9E479" w14:textId="77777777" w:rsidR="00C36BCF" w:rsidRPr="00554AF9" w:rsidRDefault="00923191" w:rsidP="00EA6181">
      <w:pPr>
        <w:keepNext/>
        <w:keepLines/>
        <w:spacing w:after="0" w:line="240" w:lineRule="auto"/>
        <w:jc w:val="center"/>
        <w:rPr>
          <w:rFonts w:eastAsia="Times New Roman" w:cs="Times New Roman"/>
          <w:lang w:val="fr-FR"/>
        </w:rPr>
      </w:pPr>
      <w:r>
        <w:rPr>
          <w:rFonts w:eastAsia="Times New Roman" w:cs="Times New Roman"/>
          <w:lang w:val="fr-FR"/>
        </w:rPr>
        <w:t>LA CONFÉRENCE DES PARTIES CONTRACTANTES</w:t>
      </w:r>
    </w:p>
    <w:p w14:paraId="384EB6EC" w14:textId="77777777" w:rsidR="00853CEA" w:rsidRPr="00554AF9" w:rsidRDefault="00853CEA" w:rsidP="00EA6181">
      <w:pPr>
        <w:keepNext/>
        <w:keepLines/>
        <w:spacing w:after="0" w:line="240" w:lineRule="auto"/>
        <w:rPr>
          <w:rFonts w:ascii="Calibri" w:hAnsi="Calibri" w:cs="Arial"/>
          <w:lang w:val="fr-FR"/>
        </w:rPr>
      </w:pPr>
    </w:p>
    <w:p w14:paraId="3ECC41B8" w14:textId="04E333C5" w:rsidR="00853CEA" w:rsidRPr="00554AF9" w:rsidRDefault="00BD7930" w:rsidP="00EA6181">
      <w:pPr>
        <w:keepNext/>
        <w:keepLines/>
        <w:spacing w:after="0" w:line="240" w:lineRule="auto"/>
        <w:ind w:left="425" w:hanging="425"/>
        <w:rPr>
          <w:rFonts w:ascii="Calibri" w:hAnsi="Calibri" w:cs="Arial"/>
          <w:lang w:val="fr-FR"/>
        </w:rPr>
      </w:pPr>
      <w:r>
        <w:rPr>
          <w:rFonts w:ascii="Calibri" w:hAnsi="Calibri" w:cs="Arial"/>
          <w:lang w:val="fr-FR"/>
        </w:rPr>
        <w:t>8</w:t>
      </w:r>
      <w:r w:rsidR="007F1B81" w:rsidRPr="00554AF9">
        <w:rPr>
          <w:rFonts w:ascii="Calibri" w:hAnsi="Calibri" w:cs="Arial"/>
          <w:lang w:val="fr-FR"/>
        </w:rPr>
        <w:t xml:space="preserve">. </w:t>
      </w:r>
      <w:r w:rsidR="007F1B81" w:rsidRPr="00554AF9">
        <w:rPr>
          <w:rFonts w:ascii="Calibri" w:hAnsi="Calibri" w:cs="Arial"/>
          <w:lang w:val="fr-FR"/>
        </w:rPr>
        <w:tab/>
      </w:r>
      <w:r w:rsidR="00923191">
        <w:rPr>
          <w:rFonts w:ascii="Calibri" w:hAnsi="Calibri" w:cs="Arial"/>
          <w:lang w:val="fr-FR"/>
        </w:rPr>
        <w:t xml:space="preserve">SE FÉLICITE des </w:t>
      </w:r>
      <w:r w:rsidR="004B563A">
        <w:rPr>
          <w:rFonts w:ascii="Calibri" w:hAnsi="Calibri" w:cs="Arial"/>
          <w:lang w:val="fr-FR"/>
        </w:rPr>
        <w:t>publications</w:t>
      </w:r>
      <w:r w:rsidR="00923191">
        <w:rPr>
          <w:rFonts w:ascii="Calibri" w:hAnsi="Calibri" w:cs="Arial"/>
          <w:lang w:val="fr-FR"/>
        </w:rPr>
        <w:t xml:space="preserve"> du </w:t>
      </w:r>
      <w:r w:rsidR="007F694A">
        <w:rPr>
          <w:lang w:val="fr-FR"/>
        </w:rPr>
        <w:t>Groupe d’évaluation scientifique et technique (GEST)</w:t>
      </w:r>
      <w:r w:rsidR="00923191">
        <w:rPr>
          <w:rFonts w:ascii="Calibri" w:hAnsi="Calibri" w:cs="Arial"/>
          <w:lang w:val="fr-FR"/>
        </w:rPr>
        <w:t xml:space="preserve"> </w:t>
      </w:r>
      <w:r w:rsidR="0040057B">
        <w:rPr>
          <w:rFonts w:ascii="Calibri" w:hAnsi="Calibri" w:cs="Arial"/>
          <w:lang w:val="fr-FR"/>
        </w:rPr>
        <w:t>au cours de</w:t>
      </w:r>
      <w:r w:rsidR="00923191">
        <w:rPr>
          <w:rFonts w:ascii="Calibri" w:hAnsi="Calibri" w:cs="Arial"/>
          <w:lang w:val="fr-FR"/>
        </w:rPr>
        <w:t xml:space="preserve"> la période triennale</w:t>
      </w:r>
      <w:r w:rsidR="004B563A">
        <w:rPr>
          <w:rFonts w:ascii="Calibri" w:hAnsi="Calibri" w:cs="Arial"/>
          <w:lang w:val="fr-FR"/>
        </w:rPr>
        <w:t xml:space="preserve"> 201</w:t>
      </w:r>
      <w:r>
        <w:rPr>
          <w:rFonts w:ascii="Calibri" w:hAnsi="Calibri" w:cs="Arial"/>
          <w:lang w:val="fr-FR"/>
        </w:rPr>
        <w:t>9</w:t>
      </w:r>
      <w:r w:rsidR="004B563A">
        <w:rPr>
          <w:rFonts w:ascii="Calibri" w:hAnsi="Calibri" w:cs="Arial"/>
          <w:lang w:val="fr-FR"/>
        </w:rPr>
        <w:t>-20</w:t>
      </w:r>
      <w:r>
        <w:rPr>
          <w:rFonts w:ascii="Calibri" w:hAnsi="Calibri" w:cs="Arial"/>
          <w:lang w:val="fr-FR"/>
        </w:rPr>
        <w:t>21</w:t>
      </w:r>
      <w:r w:rsidR="004B563A">
        <w:rPr>
          <w:rFonts w:ascii="Calibri" w:hAnsi="Calibri" w:cs="Arial"/>
          <w:lang w:val="fr-FR"/>
        </w:rPr>
        <w:t xml:space="preserve">, énumérées dans l’Annexe 1 de la présente </w:t>
      </w:r>
      <w:r w:rsidR="00682A04">
        <w:rPr>
          <w:rFonts w:ascii="Calibri" w:hAnsi="Calibri" w:cs="Arial"/>
          <w:lang w:val="fr-FR"/>
        </w:rPr>
        <w:t>R</w:t>
      </w:r>
      <w:r w:rsidR="004B563A">
        <w:rPr>
          <w:rFonts w:ascii="Calibri" w:hAnsi="Calibri" w:cs="Arial"/>
          <w:lang w:val="fr-FR"/>
        </w:rPr>
        <w:t>ésolution.</w:t>
      </w:r>
    </w:p>
    <w:p w14:paraId="3D01FC59" w14:textId="77777777" w:rsidR="00C36BCF" w:rsidRPr="00554AF9" w:rsidRDefault="00C36BCF" w:rsidP="00CE3D94">
      <w:pPr>
        <w:spacing w:after="0" w:line="240" w:lineRule="auto"/>
        <w:ind w:left="425" w:hanging="425"/>
        <w:rPr>
          <w:rFonts w:ascii="Calibri" w:hAnsi="Calibri" w:cs="Arial"/>
          <w:lang w:val="fr-FR"/>
        </w:rPr>
      </w:pPr>
    </w:p>
    <w:p w14:paraId="103AA745" w14:textId="5FDC4109" w:rsidR="007F694A" w:rsidRDefault="00BD7930" w:rsidP="00CE3D94">
      <w:pPr>
        <w:spacing w:after="0" w:line="240" w:lineRule="auto"/>
        <w:ind w:left="425" w:hanging="425"/>
        <w:rPr>
          <w:rFonts w:ascii="Calibri" w:hAnsi="Calibri" w:cs="Arial"/>
          <w:lang w:val="fr-FR"/>
        </w:rPr>
      </w:pPr>
      <w:r>
        <w:rPr>
          <w:rFonts w:ascii="Calibri" w:hAnsi="Calibri" w:cs="Arial"/>
          <w:lang w:val="fr-FR"/>
        </w:rPr>
        <w:t>9</w:t>
      </w:r>
      <w:r w:rsidR="007F1B81" w:rsidRPr="00554AF9">
        <w:rPr>
          <w:rFonts w:ascii="Calibri" w:hAnsi="Calibri" w:cs="Arial"/>
          <w:lang w:val="fr-FR"/>
        </w:rPr>
        <w:t>.</w:t>
      </w:r>
      <w:r w:rsidR="007F1B81" w:rsidRPr="00554AF9">
        <w:rPr>
          <w:rFonts w:ascii="Calibri" w:hAnsi="Calibri" w:cs="Arial"/>
          <w:lang w:val="fr-FR"/>
        </w:rPr>
        <w:tab/>
      </w:r>
      <w:r w:rsidR="00923191">
        <w:rPr>
          <w:rFonts w:ascii="Calibri" w:hAnsi="Calibri" w:cs="Arial"/>
          <w:lang w:val="fr-FR"/>
        </w:rPr>
        <w:t>PRIE INSTAMMENT les Parties contractantes, la communauté Ramsar et d’autres secteurs d</w:t>
      </w:r>
      <w:r w:rsidR="007F694A">
        <w:rPr>
          <w:rFonts w:ascii="Calibri" w:hAnsi="Calibri" w:cs="Arial"/>
          <w:lang w:val="fr-FR"/>
        </w:rPr>
        <w:t>e les utiliser, selon les besoins</w:t>
      </w:r>
      <w:r w:rsidR="00923191">
        <w:rPr>
          <w:rFonts w:ascii="Calibri" w:hAnsi="Calibri" w:cs="Arial"/>
          <w:lang w:val="fr-FR"/>
        </w:rPr>
        <w:t>.</w:t>
      </w:r>
    </w:p>
    <w:p w14:paraId="352FB9BD" w14:textId="77777777" w:rsidR="007F694A" w:rsidRDefault="007F694A" w:rsidP="00CE3D94">
      <w:pPr>
        <w:spacing w:after="0" w:line="240" w:lineRule="auto"/>
        <w:ind w:left="425" w:hanging="425"/>
        <w:rPr>
          <w:rFonts w:ascii="Calibri" w:hAnsi="Calibri" w:cs="Arial"/>
          <w:lang w:val="fr-FR"/>
        </w:rPr>
      </w:pPr>
    </w:p>
    <w:p w14:paraId="02F55FEE" w14:textId="0B5DBE42" w:rsidR="00853CEA" w:rsidRDefault="00BD7930" w:rsidP="00CE3D94">
      <w:pPr>
        <w:spacing w:after="0" w:line="240" w:lineRule="auto"/>
        <w:ind w:left="425" w:hanging="425"/>
        <w:rPr>
          <w:rFonts w:ascii="Calibri" w:hAnsi="Calibri" w:cs="Arial"/>
          <w:lang w:val="fr-FR"/>
        </w:rPr>
      </w:pPr>
      <w:r>
        <w:rPr>
          <w:rFonts w:ascii="Calibri" w:hAnsi="Calibri" w:cs="Arial"/>
          <w:lang w:val="fr-FR"/>
        </w:rPr>
        <w:t>10</w:t>
      </w:r>
      <w:r w:rsidR="007F694A">
        <w:rPr>
          <w:rFonts w:ascii="Calibri" w:hAnsi="Calibri" w:cs="Arial"/>
          <w:lang w:val="fr-FR"/>
        </w:rPr>
        <w:t>.</w:t>
      </w:r>
      <w:r w:rsidR="007F694A">
        <w:rPr>
          <w:rFonts w:ascii="Calibri" w:hAnsi="Calibri" w:cs="Arial"/>
          <w:lang w:val="fr-FR"/>
        </w:rPr>
        <w:tab/>
      </w:r>
      <w:r w:rsidR="00F80508">
        <w:rPr>
          <w:rFonts w:ascii="Calibri" w:hAnsi="Calibri" w:cs="Arial"/>
          <w:lang w:val="fr-FR"/>
        </w:rPr>
        <w:t>INVITE les</w:t>
      </w:r>
      <w:r w:rsidR="00F80508" w:rsidRPr="00F80508">
        <w:rPr>
          <w:rFonts w:ascii="Calibri" w:hAnsi="Calibri" w:cs="Arial"/>
          <w:lang w:val="fr-FR"/>
        </w:rPr>
        <w:t xml:space="preserve"> </w:t>
      </w:r>
      <w:r w:rsidR="00F80508">
        <w:rPr>
          <w:rFonts w:ascii="Calibri" w:hAnsi="Calibri" w:cs="Arial"/>
          <w:lang w:val="fr-FR"/>
        </w:rPr>
        <w:t xml:space="preserve">Parties contractantes à utiliser les outils disponibles de communication, renforcement des capacités, éducation, sensibilisation et participation (CESP), avec l’aide des Correspondants nationaux CESP, entre autres, pour diffuser les </w:t>
      </w:r>
      <w:r w:rsidR="006B232E">
        <w:rPr>
          <w:rFonts w:ascii="Calibri" w:hAnsi="Calibri" w:cs="Arial"/>
          <w:lang w:val="fr-FR"/>
        </w:rPr>
        <w:t xml:space="preserve">produits </w:t>
      </w:r>
      <w:r w:rsidR="00F80508">
        <w:rPr>
          <w:rFonts w:ascii="Calibri" w:hAnsi="Calibri" w:cs="Arial"/>
          <w:lang w:val="fr-FR"/>
        </w:rPr>
        <w:t xml:space="preserve">du GEST.   </w:t>
      </w:r>
      <w:r w:rsidR="00923191">
        <w:rPr>
          <w:rFonts w:ascii="Calibri" w:hAnsi="Calibri" w:cs="Arial"/>
          <w:lang w:val="fr-FR"/>
        </w:rPr>
        <w:t xml:space="preserve"> </w:t>
      </w:r>
      <w:r w:rsidR="00853CEA" w:rsidRPr="00554AF9">
        <w:rPr>
          <w:rFonts w:ascii="Calibri" w:hAnsi="Calibri" w:cs="Arial"/>
          <w:lang w:val="fr-FR"/>
        </w:rPr>
        <w:t xml:space="preserve"> </w:t>
      </w:r>
    </w:p>
    <w:p w14:paraId="1A6DDFE4" w14:textId="77777777" w:rsidR="00D66813" w:rsidRDefault="00D66813" w:rsidP="00CE3D94">
      <w:pPr>
        <w:spacing w:after="0" w:line="240" w:lineRule="auto"/>
        <w:ind w:left="425" w:hanging="425"/>
        <w:rPr>
          <w:rFonts w:ascii="Calibri" w:hAnsi="Calibri" w:cs="Arial"/>
          <w:lang w:val="fr-FR"/>
        </w:rPr>
      </w:pPr>
    </w:p>
    <w:p w14:paraId="0432EAAD" w14:textId="3BB1A067" w:rsidR="00D66813" w:rsidRPr="00554AF9" w:rsidRDefault="00D66813" w:rsidP="00CE3D94">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1</w:t>
      </w:r>
      <w:r>
        <w:rPr>
          <w:rFonts w:ascii="Calibri" w:hAnsi="Calibri" w:cs="Arial"/>
          <w:lang w:val="fr-FR"/>
        </w:rPr>
        <w:t>.</w:t>
      </w:r>
      <w:r>
        <w:rPr>
          <w:rFonts w:ascii="Calibri" w:hAnsi="Calibri" w:cs="Arial"/>
          <w:lang w:val="fr-FR"/>
        </w:rPr>
        <w:tab/>
        <w:t xml:space="preserve">INVITE les Organisations internationales partenaires de la Convention et les autres membres de la communauté Ramsar à largement promouvoir et diffuser les publications du GEST, notamment </w:t>
      </w:r>
      <w:r w:rsidR="00BD7930">
        <w:rPr>
          <w:rFonts w:ascii="Calibri" w:hAnsi="Calibri" w:cs="Arial"/>
          <w:lang w:val="fr-FR"/>
        </w:rPr>
        <w:t>l’</w:t>
      </w:r>
      <w:r w:rsidR="00BD7930" w:rsidRPr="00BD7930">
        <w:rPr>
          <w:rFonts w:ascii="Calibri" w:hAnsi="Calibri" w:cs="Arial"/>
          <w:i/>
          <w:iCs/>
          <w:lang w:val="fr-FR"/>
        </w:rPr>
        <w:t>Édition</w:t>
      </w:r>
      <w:r w:rsidR="00BD7930">
        <w:rPr>
          <w:rFonts w:ascii="Calibri" w:hAnsi="Calibri" w:cs="Arial"/>
          <w:lang w:val="fr-FR"/>
        </w:rPr>
        <w:t xml:space="preserve"> </w:t>
      </w:r>
      <w:r w:rsidR="00BD7930" w:rsidRPr="00BD7930">
        <w:rPr>
          <w:rFonts w:ascii="Calibri" w:hAnsi="Calibri" w:cs="Arial"/>
          <w:i/>
          <w:iCs/>
          <w:lang w:val="fr-FR"/>
        </w:rPr>
        <w:t>spéciale d</w:t>
      </w:r>
      <w:r w:rsidRPr="00BD7930">
        <w:rPr>
          <w:rFonts w:ascii="Calibri" w:hAnsi="Calibri" w:cs="Arial"/>
          <w:i/>
          <w:iCs/>
          <w:lang w:val="fr-FR"/>
        </w:rPr>
        <w:t>es</w:t>
      </w:r>
      <w:r>
        <w:rPr>
          <w:rFonts w:ascii="Calibri" w:hAnsi="Calibri" w:cs="Arial"/>
          <w:lang w:val="fr-FR"/>
        </w:rPr>
        <w:t xml:space="preserve"> </w:t>
      </w:r>
      <w:r w:rsidRPr="00D66813">
        <w:rPr>
          <w:rFonts w:ascii="Calibri" w:hAnsi="Calibri" w:cs="Arial"/>
          <w:i/>
          <w:lang w:val="fr-FR"/>
        </w:rPr>
        <w:t>Perspectives mondiales des zones humides</w:t>
      </w:r>
      <w:r w:rsidR="00BD7930">
        <w:rPr>
          <w:rFonts w:ascii="Calibri" w:hAnsi="Calibri" w:cs="Arial"/>
          <w:i/>
          <w:lang w:val="fr-FR"/>
        </w:rPr>
        <w:t xml:space="preserve"> 2021</w:t>
      </w:r>
      <w:r>
        <w:rPr>
          <w:rFonts w:ascii="Calibri" w:hAnsi="Calibri" w:cs="Arial"/>
          <w:lang w:val="fr-FR"/>
        </w:rPr>
        <w:t>.</w:t>
      </w:r>
    </w:p>
    <w:p w14:paraId="3061A5D9" w14:textId="77777777" w:rsidR="00C36BCF" w:rsidRPr="00554AF9" w:rsidRDefault="00C36BCF" w:rsidP="00CE3D94">
      <w:pPr>
        <w:spacing w:after="0" w:line="240" w:lineRule="auto"/>
        <w:ind w:left="425" w:hanging="425"/>
        <w:rPr>
          <w:rFonts w:ascii="Calibri" w:hAnsi="Calibri" w:cs="Arial"/>
          <w:lang w:val="fr-FR"/>
        </w:rPr>
      </w:pPr>
    </w:p>
    <w:p w14:paraId="2D2435BF" w14:textId="21D949C9" w:rsidR="00853CEA" w:rsidRPr="00554AF9" w:rsidRDefault="00D66813" w:rsidP="00CE3D94">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2</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w:t>
      </w:r>
      <w:r>
        <w:rPr>
          <w:rFonts w:ascii="Calibri" w:hAnsi="Calibri" w:cs="Arial"/>
          <w:lang w:val="fr-FR"/>
        </w:rPr>
        <w:t xml:space="preserve">les domaines de travail thématiques prioritaires du GEST </w:t>
      </w:r>
      <w:r w:rsidR="00923191">
        <w:rPr>
          <w:rFonts w:ascii="Calibri" w:hAnsi="Calibri" w:cs="Arial"/>
          <w:lang w:val="fr-FR"/>
        </w:rPr>
        <w:t xml:space="preserve">pour la période triennale </w:t>
      </w:r>
      <w:r w:rsidR="004B563A">
        <w:rPr>
          <w:rFonts w:ascii="Calibri" w:hAnsi="Calibri" w:cs="Arial"/>
          <w:lang w:val="fr-FR"/>
        </w:rPr>
        <w:t>20</w:t>
      </w:r>
      <w:r w:rsidR="00BD7930">
        <w:rPr>
          <w:rFonts w:ascii="Calibri" w:hAnsi="Calibri" w:cs="Arial"/>
          <w:lang w:val="fr-FR"/>
        </w:rPr>
        <w:t>22</w:t>
      </w:r>
      <w:r w:rsidR="004B563A">
        <w:rPr>
          <w:rFonts w:ascii="Calibri" w:hAnsi="Calibri" w:cs="Arial"/>
          <w:lang w:val="fr-FR"/>
        </w:rPr>
        <w:t>-202</w:t>
      </w:r>
      <w:r w:rsidR="00BD7930">
        <w:rPr>
          <w:rFonts w:ascii="Calibri" w:hAnsi="Calibri" w:cs="Arial"/>
          <w:lang w:val="fr-FR"/>
        </w:rPr>
        <w:t>4</w:t>
      </w:r>
      <w:r w:rsidR="004B563A">
        <w:rPr>
          <w:rFonts w:ascii="Calibri" w:hAnsi="Calibri" w:cs="Arial"/>
          <w:lang w:val="fr-FR"/>
        </w:rPr>
        <w:t xml:space="preserve">, </w:t>
      </w:r>
      <w:r w:rsidR="00923191">
        <w:rPr>
          <w:rFonts w:ascii="Calibri" w:hAnsi="Calibri" w:cs="Arial"/>
          <w:lang w:val="fr-FR"/>
        </w:rPr>
        <w:t xml:space="preserve">énoncés dans l’Annexe 2 de la présente Résolution. </w:t>
      </w:r>
    </w:p>
    <w:p w14:paraId="612EB7E7" w14:textId="77777777" w:rsidR="00FA6393" w:rsidRPr="00554AF9" w:rsidRDefault="00FA6393" w:rsidP="00CE3D94">
      <w:pPr>
        <w:spacing w:after="0" w:line="240" w:lineRule="auto"/>
        <w:ind w:left="425" w:hanging="425"/>
        <w:rPr>
          <w:rFonts w:ascii="Calibri" w:hAnsi="Calibri" w:cs="Arial"/>
          <w:lang w:val="fr-FR"/>
        </w:rPr>
      </w:pPr>
    </w:p>
    <w:p w14:paraId="5851F8C0" w14:textId="1D17EC4E" w:rsidR="00853CEA" w:rsidRPr="00554AF9" w:rsidRDefault="00D66813" w:rsidP="00CE3D94">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3</w:t>
      </w:r>
      <w:r w:rsidR="007F1B81" w:rsidRPr="00554AF9">
        <w:rPr>
          <w:rFonts w:ascii="Calibri" w:hAnsi="Calibri" w:cs="Arial"/>
          <w:lang w:val="fr-FR"/>
        </w:rPr>
        <w:t>.</w:t>
      </w:r>
      <w:r w:rsidR="007F1B81" w:rsidRPr="00554AF9">
        <w:rPr>
          <w:rFonts w:ascii="Calibri" w:hAnsi="Calibri" w:cs="Arial"/>
          <w:lang w:val="fr-FR"/>
        </w:rPr>
        <w:tab/>
      </w:r>
      <w:r w:rsidR="00CE7AB8" w:rsidRPr="00554AF9">
        <w:rPr>
          <w:rFonts w:ascii="Calibri" w:hAnsi="Calibri" w:cs="Arial"/>
          <w:lang w:val="fr-FR"/>
        </w:rPr>
        <w:t>APPRO</w:t>
      </w:r>
      <w:r w:rsidR="00923191">
        <w:rPr>
          <w:rFonts w:ascii="Calibri" w:hAnsi="Calibri" w:cs="Arial"/>
          <w:lang w:val="fr-FR"/>
        </w:rPr>
        <w:t xml:space="preserve">UVE la liste révisée des </w:t>
      </w:r>
      <w:r w:rsidR="00C13D92">
        <w:rPr>
          <w:rFonts w:ascii="Calibri" w:hAnsi="Calibri" w:cs="Arial"/>
          <w:lang w:val="fr-FR"/>
        </w:rPr>
        <w:t xml:space="preserve">organes et </w:t>
      </w:r>
      <w:r w:rsidR="00C13D92" w:rsidRPr="00C13D92">
        <w:rPr>
          <w:rFonts w:ascii="Calibri" w:hAnsi="Calibri" w:cs="Arial"/>
          <w:lang w:val="fr-FR"/>
        </w:rPr>
        <w:t>organi</w:t>
      </w:r>
      <w:r w:rsidR="00C13D92">
        <w:rPr>
          <w:rFonts w:ascii="Calibri" w:hAnsi="Calibri" w:cs="Arial"/>
          <w:lang w:val="fr-FR"/>
        </w:rPr>
        <w:t>s</w:t>
      </w:r>
      <w:r w:rsidR="00C13D92" w:rsidRPr="00C13D92">
        <w:rPr>
          <w:rFonts w:ascii="Calibri" w:hAnsi="Calibri" w:cs="Arial"/>
          <w:lang w:val="fr-FR"/>
        </w:rPr>
        <w:t>ations invit</w:t>
      </w:r>
      <w:r w:rsidR="00C13D92">
        <w:rPr>
          <w:rFonts w:ascii="Calibri" w:hAnsi="Calibri" w:cs="Arial"/>
          <w:lang w:val="fr-FR"/>
        </w:rPr>
        <w:t>és</w:t>
      </w:r>
      <w:r w:rsidR="00C13D92" w:rsidRPr="00C13D92">
        <w:rPr>
          <w:rFonts w:ascii="Calibri" w:hAnsi="Calibri" w:cs="Arial"/>
          <w:lang w:val="fr-FR"/>
        </w:rPr>
        <w:t xml:space="preserve"> </w:t>
      </w:r>
      <w:r w:rsidR="00C13D92">
        <w:rPr>
          <w:rFonts w:ascii="Calibri" w:hAnsi="Calibri" w:cs="Arial"/>
          <w:lang w:val="fr-FR"/>
        </w:rPr>
        <w:t>à</w:t>
      </w:r>
      <w:r w:rsidR="00C13D92" w:rsidRPr="00C13D92">
        <w:rPr>
          <w:rFonts w:ascii="Calibri" w:hAnsi="Calibri" w:cs="Arial"/>
          <w:lang w:val="fr-FR"/>
        </w:rPr>
        <w:t xml:space="preserve"> participe</w:t>
      </w:r>
      <w:r w:rsidR="00C13D92">
        <w:rPr>
          <w:rFonts w:ascii="Calibri" w:hAnsi="Calibri" w:cs="Arial"/>
          <w:lang w:val="fr-FR"/>
        </w:rPr>
        <w:t>r en qualité d’observateurs aux réunions et processus du GEST pour la période triennale</w:t>
      </w:r>
      <w:r w:rsidR="00C13D92" w:rsidRPr="00C13D92">
        <w:rPr>
          <w:rFonts w:ascii="Calibri" w:hAnsi="Calibri" w:cs="Arial"/>
          <w:lang w:val="fr-FR"/>
        </w:rPr>
        <w:t xml:space="preserve"> 20</w:t>
      </w:r>
      <w:r w:rsidR="00BD7930">
        <w:rPr>
          <w:rFonts w:ascii="Calibri" w:hAnsi="Calibri" w:cs="Arial"/>
          <w:lang w:val="fr-FR"/>
        </w:rPr>
        <w:t>22</w:t>
      </w:r>
      <w:r w:rsidR="00C13D92" w:rsidRPr="00C13D92">
        <w:rPr>
          <w:rFonts w:ascii="Calibri" w:hAnsi="Calibri" w:cs="Arial"/>
          <w:lang w:val="fr-FR"/>
        </w:rPr>
        <w:t>-202</w:t>
      </w:r>
      <w:r w:rsidR="00BD7930">
        <w:rPr>
          <w:rFonts w:ascii="Calibri" w:hAnsi="Calibri" w:cs="Arial"/>
          <w:lang w:val="fr-FR"/>
        </w:rPr>
        <w:t>4</w:t>
      </w:r>
      <w:r w:rsidR="00C13D92">
        <w:rPr>
          <w:rFonts w:ascii="Calibri" w:hAnsi="Calibri" w:cs="Arial"/>
          <w:lang w:val="fr-FR"/>
        </w:rPr>
        <w:t>,</w:t>
      </w:r>
      <w:r w:rsidR="00C13D92" w:rsidRPr="00C13D92">
        <w:rPr>
          <w:rFonts w:ascii="Calibri" w:hAnsi="Calibri" w:cs="Arial"/>
          <w:lang w:val="fr-FR"/>
        </w:rPr>
        <w:t xml:space="preserve"> </w:t>
      </w:r>
      <w:r w:rsidR="00923191">
        <w:rPr>
          <w:rFonts w:ascii="Calibri" w:hAnsi="Calibri" w:cs="Arial"/>
          <w:lang w:val="fr-FR"/>
        </w:rPr>
        <w:t>figurant dans l’Annexe 3</w:t>
      </w:r>
      <w:r w:rsidR="004B563A" w:rsidRPr="004B563A">
        <w:rPr>
          <w:rFonts w:ascii="Calibri" w:hAnsi="Calibri" w:cs="Arial"/>
          <w:lang w:val="fr-FR"/>
        </w:rPr>
        <w:t xml:space="preserve"> </w:t>
      </w:r>
      <w:r w:rsidR="004B563A">
        <w:rPr>
          <w:rFonts w:ascii="Calibri" w:hAnsi="Calibri" w:cs="Arial"/>
          <w:lang w:val="fr-FR"/>
        </w:rPr>
        <w:t>de la présente Résolution</w:t>
      </w:r>
      <w:r w:rsidR="00923191">
        <w:rPr>
          <w:rFonts w:ascii="Calibri" w:hAnsi="Calibri" w:cs="Arial"/>
          <w:lang w:val="fr-FR"/>
        </w:rPr>
        <w:t xml:space="preserve">. </w:t>
      </w:r>
    </w:p>
    <w:p w14:paraId="5BC0C3CD" w14:textId="77777777" w:rsidR="002F3B55" w:rsidRPr="00554AF9" w:rsidRDefault="002F3B55" w:rsidP="00CE3D94">
      <w:pPr>
        <w:spacing w:after="0" w:line="240" w:lineRule="auto"/>
        <w:ind w:left="425" w:hanging="425"/>
        <w:rPr>
          <w:rFonts w:ascii="Calibri" w:hAnsi="Calibri" w:cs="Arial"/>
          <w:lang w:val="fr-FR"/>
        </w:rPr>
      </w:pPr>
    </w:p>
    <w:p w14:paraId="2F6ADA9A" w14:textId="0E146CA4" w:rsidR="00971908" w:rsidRDefault="00D66813" w:rsidP="007C1D5C">
      <w:pPr>
        <w:spacing w:after="0" w:line="240" w:lineRule="auto"/>
        <w:ind w:left="425" w:hanging="425"/>
        <w:rPr>
          <w:rFonts w:ascii="Calibri" w:hAnsi="Calibri" w:cs="Arial"/>
          <w:lang w:val="fr-FR"/>
        </w:rPr>
      </w:pPr>
      <w:r>
        <w:rPr>
          <w:rFonts w:ascii="Calibri" w:hAnsi="Calibri" w:cs="Arial"/>
          <w:lang w:val="fr-FR"/>
        </w:rPr>
        <w:t>1</w:t>
      </w:r>
      <w:r w:rsidR="00BD7930">
        <w:rPr>
          <w:rFonts w:ascii="Calibri" w:hAnsi="Calibri" w:cs="Arial"/>
          <w:lang w:val="fr-FR"/>
        </w:rPr>
        <w:t>4</w:t>
      </w:r>
      <w:r w:rsidR="007F1B81" w:rsidRPr="00554AF9">
        <w:rPr>
          <w:rFonts w:ascii="Calibri" w:hAnsi="Calibri" w:cs="Arial"/>
          <w:lang w:val="fr-FR"/>
        </w:rPr>
        <w:t>.</w:t>
      </w:r>
      <w:r w:rsidR="007F1B81" w:rsidRPr="00554AF9">
        <w:rPr>
          <w:rFonts w:ascii="Calibri" w:hAnsi="Calibri" w:cs="Arial"/>
          <w:lang w:val="fr-FR"/>
        </w:rPr>
        <w:tab/>
      </w:r>
      <w:r>
        <w:rPr>
          <w:rFonts w:ascii="Calibri" w:hAnsi="Calibri" w:cs="Arial"/>
          <w:lang w:val="fr-FR"/>
        </w:rPr>
        <w:t>DONNE INSTRUCTION au GEST de préparer son plan de travail pour 20</w:t>
      </w:r>
      <w:r w:rsidR="0025565C">
        <w:rPr>
          <w:rFonts w:ascii="Calibri" w:hAnsi="Calibri" w:cs="Arial"/>
          <w:lang w:val="fr-FR"/>
        </w:rPr>
        <w:t>22</w:t>
      </w:r>
      <w:r>
        <w:rPr>
          <w:rFonts w:ascii="Calibri" w:hAnsi="Calibri" w:cs="Arial"/>
          <w:lang w:val="fr-FR"/>
        </w:rPr>
        <w:t>-202</w:t>
      </w:r>
      <w:r w:rsidR="0025565C">
        <w:rPr>
          <w:rFonts w:ascii="Calibri" w:hAnsi="Calibri" w:cs="Arial"/>
          <w:lang w:val="fr-FR"/>
        </w:rPr>
        <w:t>4</w:t>
      </w:r>
      <w:r>
        <w:rPr>
          <w:rFonts w:ascii="Calibri" w:hAnsi="Calibri" w:cs="Arial"/>
          <w:lang w:val="fr-FR"/>
        </w:rPr>
        <w:t xml:space="preserve">, pour approbation par le Comité permanent à sa </w:t>
      </w:r>
      <w:r w:rsidR="0025565C">
        <w:rPr>
          <w:rFonts w:ascii="Calibri" w:hAnsi="Calibri" w:cs="Arial"/>
          <w:lang w:val="fr-FR"/>
        </w:rPr>
        <w:t>62</w:t>
      </w:r>
      <w:r w:rsidRPr="00D66813">
        <w:rPr>
          <w:rFonts w:ascii="Calibri" w:hAnsi="Calibri" w:cs="Arial"/>
          <w:vertAlign w:val="superscript"/>
          <w:lang w:val="fr-FR"/>
        </w:rPr>
        <w:t>e</w:t>
      </w:r>
      <w:r>
        <w:rPr>
          <w:rFonts w:ascii="Calibri" w:hAnsi="Calibri" w:cs="Arial"/>
          <w:lang w:val="fr-FR"/>
        </w:rPr>
        <w:t> Réunion</w:t>
      </w:r>
      <w:r w:rsidR="007C5185">
        <w:rPr>
          <w:rFonts w:ascii="Calibri" w:hAnsi="Calibri" w:cs="Arial"/>
          <w:lang w:val="fr-FR"/>
        </w:rPr>
        <w:t>;</w:t>
      </w:r>
      <w:r>
        <w:rPr>
          <w:rFonts w:ascii="Calibri" w:hAnsi="Calibri" w:cs="Arial"/>
          <w:lang w:val="fr-FR"/>
        </w:rPr>
        <w:t xml:space="preserve"> l’ENCOURAGE, ce faisant, </w:t>
      </w:r>
      <w:r w:rsidR="00971908">
        <w:rPr>
          <w:rFonts w:ascii="Calibri" w:hAnsi="Calibri" w:cs="Arial"/>
          <w:lang w:val="fr-FR"/>
        </w:rPr>
        <w:t>à veiller à inclure les tâches non terminées, de haute</w:t>
      </w:r>
      <w:r w:rsidR="0025565C">
        <w:rPr>
          <w:rFonts w:ascii="Calibri" w:hAnsi="Calibri" w:cs="Arial"/>
          <w:lang w:val="fr-FR"/>
        </w:rPr>
        <w:t>, de moyenne</w:t>
      </w:r>
      <w:r w:rsidR="00971908">
        <w:rPr>
          <w:rFonts w:ascii="Calibri" w:hAnsi="Calibri" w:cs="Arial"/>
          <w:lang w:val="fr-FR"/>
        </w:rPr>
        <w:t xml:space="preserve"> et de faible priorité, du plan de travail pour 201</w:t>
      </w:r>
      <w:r w:rsidR="0025565C">
        <w:rPr>
          <w:rFonts w:ascii="Calibri" w:hAnsi="Calibri" w:cs="Arial"/>
          <w:lang w:val="fr-FR"/>
        </w:rPr>
        <w:t>9</w:t>
      </w:r>
      <w:r w:rsidR="00971908">
        <w:rPr>
          <w:rFonts w:ascii="Calibri" w:hAnsi="Calibri" w:cs="Arial"/>
          <w:lang w:val="fr-FR"/>
        </w:rPr>
        <w:noBreakHyphen/>
        <w:t>20</w:t>
      </w:r>
      <w:r w:rsidR="0025565C">
        <w:rPr>
          <w:rFonts w:ascii="Calibri" w:hAnsi="Calibri" w:cs="Arial"/>
          <w:lang w:val="fr-FR"/>
        </w:rPr>
        <w:t>21</w:t>
      </w:r>
      <w:r w:rsidR="00971908">
        <w:rPr>
          <w:rFonts w:ascii="Calibri" w:hAnsi="Calibri" w:cs="Arial"/>
          <w:lang w:val="fr-FR"/>
        </w:rPr>
        <w:t xml:space="preserve">, et à inclure </w:t>
      </w:r>
      <w:r w:rsidR="006B232E">
        <w:rPr>
          <w:rFonts w:ascii="Calibri" w:hAnsi="Calibri" w:cs="Arial"/>
          <w:lang w:val="fr-FR"/>
        </w:rPr>
        <w:t>l</w:t>
      </w:r>
      <w:r w:rsidR="00971908">
        <w:rPr>
          <w:rFonts w:ascii="Calibri" w:hAnsi="Calibri" w:cs="Arial"/>
          <w:lang w:val="fr-FR"/>
        </w:rPr>
        <w:t>es éléments du Plan stratégique que</w:t>
      </w:r>
      <w:r w:rsidR="00C13A1A" w:rsidRPr="00C13A1A">
        <w:rPr>
          <w:rFonts w:ascii="Calibri" w:hAnsi="Calibri" w:cs="Arial"/>
          <w:lang w:val="fr-FR"/>
        </w:rPr>
        <w:t xml:space="preserve"> </w:t>
      </w:r>
      <w:r w:rsidR="00C13A1A">
        <w:rPr>
          <w:rFonts w:ascii="Calibri" w:hAnsi="Calibri" w:cs="Arial"/>
          <w:lang w:val="fr-FR"/>
        </w:rPr>
        <w:t>les Parties ont des difficultés à appliquer</w:t>
      </w:r>
      <w:r w:rsidR="0025565C">
        <w:rPr>
          <w:rStyle w:val="FootnoteReference"/>
          <w:rFonts w:ascii="Calibri" w:hAnsi="Calibri" w:cs="Arial"/>
          <w:lang w:val="fr-FR"/>
        </w:rPr>
        <w:footnoteReference w:id="2"/>
      </w:r>
      <w:r w:rsidR="00971908">
        <w:rPr>
          <w:rFonts w:ascii="Calibri" w:hAnsi="Calibri" w:cs="Arial"/>
          <w:lang w:val="fr-FR"/>
        </w:rPr>
        <w:t>, selon le</w:t>
      </w:r>
      <w:r w:rsidR="00C13A1A">
        <w:rPr>
          <w:rFonts w:ascii="Calibri" w:hAnsi="Calibri" w:cs="Arial"/>
          <w:lang w:val="fr-FR"/>
        </w:rPr>
        <w:t>s</w:t>
      </w:r>
      <w:r w:rsidR="00971908">
        <w:rPr>
          <w:rFonts w:ascii="Calibri" w:hAnsi="Calibri" w:cs="Arial"/>
          <w:lang w:val="fr-FR"/>
        </w:rPr>
        <w:t xml:space="preserve"> rapport</w:t>
      </w:r>
      <w:r w:rsidR="00C13A1A">
        <w:rPr>
          <w:rFonts w:ascii="Calibri" w:hAnsi="Calibri" w:cs="Arial"/>
          <w:lang w:val="fr-FR"/>
        </w:rPr>
        <w:t>s</w:t>
      </w:r>
      <w:r w:rsidR="00971908">
        <w:rPr>
          <w:rFonts w:ascii="Calibri" w:hAnsi="Calibri" w:cs="Arial"/>
          <w:lang w:val="fr-FR"/>
        </w:rPr>
        <w:t xml:space="preserve"> </w:t>
      </w:r>
      <w:r w:rsidR="00C13A1A">
        <w:rPr>
          <w:rFonts w:ascii="Calibri" w:hAnsi="Calibri" w:cs="Arial"/>
          <w:lang w:val="fr-FR"/>
        </w:rPr>
        <w:t>d</w:t>
      </w:r>
      <w:r w:rsidR="00971908">
        <w:rPr>
          <w:rFonts w:ascii="Calibri" w:hAnsi="Calibri" w:cs="Arial"/>
          <w:lang w:val="fr-FR"/>
        </w:rPr>
        <w:t>u Secrétariat; et lui DONNE ÉGALEMENT instruction de veiller à ce que le plan élaboré soit simplifié et réalisable en une seule période triennale.</w:t>
      </w:r>
    </w:p>
    <w:p w14:paraId="409877D1" w14:textId="34395528" w:rsidR="0037278D" w:rsidRDefault="0037278D" w:rsidP="007C1D5C">
      <w:pPr>
        <w:spacing w:after="0" w:line="240" w:lineRule="auto"/>
        <w:ind w:left="425" w:hanging="425"/>
        <w:rPr>
          <w:rFonts w:ascii="Calibri" w:hAnsi="Calibri" w:cs="Arial"/>
          <w:lang w:val="fr-FR"/>
        </w:rPr>
      </w:pPr>
    </w:p>
    <w:p w14:paraId="3151131F" w14:textId="5F5B803F" w:rsidR="00971908" w:rsidRDefault="0037278D" w:rsidP="00922A1E">
      <w:pPr>
        <w:spacing w:after="0" w:line="240" w:lineRule="auto"/>
        <w:ind w:left="425" w:hanging="425"/>
        <w:rPr>
          <w:rFonts w:ascii="Calibri" w:hAnsi="Calibri" w:cs="Arial"/>
          <w:lang w:val="fr-FR"/>
        </w:rPr>
      </w:pPr>
      <w:r>
        <w:rPr>
          <w:rFonts w:ascii="Calibri" w:hAnsi="Calibri" w:cs="Arial"/>
          <w:lang w:val="fr-FR"/>
        </w:rPr>
        <w:lastRenderedPageBreak/>
        <w:t>15.</w:t>
      </w:r>
      <w:r>
        <w:rPr>
          <w:rFonts w:ascii="Calibri" w:hAnsi="Calibri" w:cs="Arial"/>
          <w:lang w:val="fr-FR"/>
        </w:rPr>
        <w:tab/>
        <w:t>DEMANDE au GEST d’étudier avec le Secrétariat, selon le cas et dépendant de la situation qui résultera de la pandémie</w:t>
      </w:r>
      <w:r w:rsidR="006C7ACC">
        <w:rPr>
          <w:rFonts w:ascii="Calibri" w:hAnsi="Calibri" w:cs="Arial"/>
          <w:lang w:val="fr-FR"/>
        </w:rPr>
        <w:t xml:space="preserve"> mondiale</w:t>
      </w:r>
      <w:r>
        <w:rPr>
          <w:rFonts w:ascii="Calibri" w:hAnsi="Calibri" w:cs="Arial"/>
          <w:lang w:val="fr-FR"/>
        </w:rPr>
        <w:t>, d’autres moyens virtuels de faire progresser les travaux du GEST.</w:t>
      </w:r>
    </w:p>
    <w:p w14:paraId="0E57698D" w14:textId="16BB7606" w:rsidR="0025565C" w:rsidRPr="00554AF9" w:rsidRDefault="0025565C" w:rsidP="0025565C">
      <w:pPr>
        <w:spacing w:after="0" w:line="240" w:lineRule="auto"/>
        <w:ind w:left="425" w:hanging="425"/>
        <w:rPr>
          <w:rFonts w:ascii="Calibri" w:hAnsi="Calibri" w:cs="Arial"/>
          <w:lang w:val="fr-FR"/>
        </w:rPr>
      </w:pPr>
    </w:p>
    <w:p w14:paraId="768DA7E3" w14:textId="2605401F" w:rsidR="00284F28" w:rsidRPr="00554AF9" w:rsidRDefault="00284F28" w:rsidP="007C1D5C">
      <w:pPr>
        <w:spacing w:after="0" w:line="240" w:lineRule="auto"/>
        <w:ind w:left="425" w:hanging="425"/>
        <w:rPr>
          <w:rFonts w:ascii="Calibri" w:hAnsi="Calibri" w:cs="Arial"/>
          <w:lang w:val="fr-FR"/>
        </w:rPr>
      </w:pPr>
      <w:r w:rsidRPr="00554AF9">
        <w:rPr>
          <w:rFonts w:ascii="Calibri" w:hAnsi="Calibri" w:cs="Arial"/>
          <w:lang w:val="fr-FR"/>
        </w:rPr>
        <w:br w:type="page"/>
      </w:r>
    </w:p>
    <w:p w14:paraId="336EA601" w14:textId="77777777" w:rsidR="004E5C0F" w:rsidRPr="004E5C0F" w:rsidRDefault="007F1B81"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lastRenderedPageBreak/>
        <w:t>Annex</w:t>
      </w:r>
      <w:r w:rsidR="00923191" w:rsidRPr="004E5C0F">
        <w:rPr>
          <w:rFonts w:ascii="Calibri" w:hAnsi="Calibri" w:cs="Arial"/>
          <w:b/>
          <w:sz w:val="24"/>
          <w:szCs w:val="24"/>
          <w:lang w:val="fr-FR"/>
        </w:rPr>
        <w:t>e</w:t>
      </w:r>
      <w:r w:rsidRPr="004E5C0F">
        <w:rPr>
          <w:rFonts w:ascii="Calibri" w:hAnsi="Calibri" w:cs="Arial"/>
          <w:b/>
          <w:sz w:val="24"/>
          <w:szCs w:val="24"/>
          <w:lang w:val="fr-FR"/>
        </w:rPr>
        <w:t xml:space="preserve"> 1</w:t>
      </w:r>
    </w:p>
    <w:p w14:paraId="36E335A0" w14:textId="77777777" w:rsidR="004E5C0F" w:rsidRPr="004E5C0F" w:rsidRDefault="004E5C0F" w:rsidP="007C1D5C">
      <w:pPr>
        <w:spacing w:after="0" w:line="240" w:lineRule="auto"/>
        <w:rPr>
          <w:rFonts w:ascii="Calibri" w:hAnsi="Calibri" w:cs="Arial"/>
          <w:b/>
          <w:sz w:val="24"/>
          <w:szCs w:val="24"/>
          <w:lang w:val="fr-FR"/>
        </w:rPr>
      </w:pPr>
    </w:p>
    <w:p w14:paraId="458D1CFB" w14:textId="3B78ABDD" w:rsidR="007F1B81" w:rsidRPr="004E5C0F" w:rsidRDefault="00467DDA" w:rsidP="007C1D5C">
      <w:pPr>
        <w:spacing w:after="0" w:line="240" w:lineRule="auto"/>
        <w:rPr>
          <w:rFonts w:ascii="Calibri" w:hAnsi="Calibri" w:cs="Arial"/>
          <w:b/>
          <w:sz w:val="24"/>
          <w:szCs w:val="24"/>
          <w:lang w:val="fr-FR"/>
        </w:rPr>
      </w:pPr>
      <w:r w:rsidRPr="004E5C0F">
        <w:rPr>
          <w:rFonts w:ascii="Calibri" w:hAnsi="Calibri" w:cs="Arial"/>
          <w:b/>
          <w:sz w:val="24"/>
          <w:szCs w:val="24"/>
          <w:lang w:val="fr-FR"/>
        </w:rPr>
        <w:t>List</w:t>
      </w:r>
      <w:r w:rsidR="00923191" w:rsidRPr="004E5C0F">
        <w:rPr>
          <w:rFonts w:ascii="Calibri" w:hAnsi="Calibri" w:cs="Arial"/>
          <w:b/>
          <w:sz w:val="24"/>
          <w:szCs w:val="24"/>
          <w:lang w:val="fr-FR"/>
        </w:rPr>
        <w:t xml:space="preserve">e des </w:t>
      </w:r>
      <w:r w:rsidR="004B563A" w:rsidRPr="004E5C0F">
        <w:rPr>
          <w:rFonts w:ascii="Calibri" w:hAnsi="Calibri" w:cs="Arial"/>
          <w:b/>
          <w:sz w:val="24"/>
          <w:szCs w:val="24"/>
          <w:lang w:val="fr-FR"/>
        </w:rPr>
        <w:t>publications</w:t>
      </w:r>
      <w:r w:rsidR="00923191" w:rsidRPr="004E5C0F">
        <w:rPr>
          <w:rFonts w:ascii="Calibri" w:hAnsi="Calibri" w:cs="Arial"/>
          <w:b/>
          <w:sz w:val="24"/>
          <w:szCs w:val="24"/>
          <w:lang w:val="fr-FR"/>
        </w:rPr>
        <w:t xml:space="preserve"> du </w:t>
      </w:r>
      <w:r w:rsidR="000C51C4">
        <w:rPr>
          <w:rFonts w:ascii="Calibri" w:hAnsi="Calibri" w:cs="Arial"/>
          <w:b/>
          <w:sz w:val="24"/>
          <w:szCs w:val="24"/>
          <w:lang w:val="fr-FR"/>
        </w:rPr>
        <w:t>Groupe d’évaluation scientifique et technique</w:t>
      </w:r>
      <w:r w:rsidR="00923191" w:rsidRPr="004E5C0F">
        <w:rPr>
          <w:rFonts w:ascii="Calibri" w:hAnsi="Calibri" w:cs="Arial"/>
          <w:b/>
          <w:sz w:val="24"/>
          <w:szCs w:val="24"/>
          <w:lang w:val="fr-FR"/>
        </w:rPr>
        <w:t xml:space="preserve"> </w:t>
      </w:r>
      <w:r w:rsidR="00FD5D57">
        <w:rPr>
          <w:rFonts w:ascii="Calibri" w:hAnsi="Calibri" w:cs="Arial"/>
          <w:b/>
          <w:sz w:val="24"/>
          <w:szCs w:val="24"/>
          <w:lang w:val="fr-FR"/>
        </w:rPr>
        <w:t xml:space="preserve">parues </w:t>
      </w:r>
      <w:r w:rsidR="00923191" w:rsidRPr="004E5C0F">
        <w:rPr>
          <w:rFonts w:ascii="Calibri" w:hAnsi="Calibri" w:cs="Arial"/>
          <w:b/>
          <w:sz w:val="24"/>
          <w:szCs w:val="24"/>
          <w:lang w:val="fr-FR"/>
        </w:rPr>
        <w:t xml:space="preserve">dans la période </w:t>
      </w:r>
      <w:r w:rsidRPr="004E5C0F">
        <w:rPr>
          <w:rFonts w:ascii="Calibri" w:hAnsi="Calibri" w:cs="Arial"/>
          <w:b/>
          <w:sz w:val="24"/>
          <w:szCs w:val="24"/>
          <w:lang w:val="fr-FR"/>
        </w:rPr>
        <w:t>201</w:t>
      </w:r>
      <w:r w:rsidR="00FD5D57">
        <w:rPr>
          <w:rFonts w:ascii="Calibri" w:hAnsi="Calibri" w:cs="Arial"/>
          <w:b/>
          <w:sz w:val="24"/>
          <w:szCs w:val="24"/>
          <w:lang w:val="fr-FR"/>
        </w:rPr>
        <w:t>9</w:t>
      </w:r>
      <w:r w:rsidRPr="004E5C0F">
        <w:rPr>
          <w:rFonts w:ascii="Calibri" w:hAnsi="Calibri" w:cs="Arial"/>
          <w:b/>
          <w:sz w:val="24"/>
          <w:szCs w:val="24"/>
          <w:lang w:val="fr-FR"/>
        </w:rPr>
        <w:t>-20</w:t>
      </w:r>
      <w:r w:rsidR="00FD5D57">
        <w:rPr>
          <w:rFonts w:ascii="Calibri" w:hAnsi="Calibri" w:cs="Arial"/>
          <w:b/>
          <w:sz w:val="24"/>
          <w:szCs w:val="24"/>
          <w:lang w:val="fr-FR"/>
        </w:rPr>
        <w:t>21</w:t>
      </w:r>
    </w:p>
    <w:p w14:paraId="519DAB90" w14:textId="77777777" w:rsidR="007F1B81" w:rsidRDefault="007F1B81" w:rsidP="004B563A">
      <w:pPr>
        <w:spacing w:after="0" w:line="240" w:lineRule="auto"/>
        <w:rPr>
          <w:rFonts w:ascii="Calibri" w:hAnsi="Calibri" w:cs="Arial"/>
          <w:b/>
          <w:lang w:val="fr-FR"/>
        </w:rPr>
      </w:pPr>
    </w:p>
    <w:p w14:paraId="28CBA01C" w14:textId="6DD0FA63" w:rsidR="004B563A" w:rsidRPr="00791567" w:rsidRDefault="004B563A" w:rsidP="004B563A">
      <w:pPr>
        <w:spacing w:after="0" w:line="240" w:lineRule="auto"/>
        <w:rPr>
          <w:rFonts w:ascii="Calibri" w:hAnsi="Calibri" w:cs="Arial"/>
          <w:lang w:val="fr-FR"/>
        </w:rPr>
      </w:pPr>
      <w:r w:rsidRPr="00791567">
        <w:rPr>
          <w:rFonts w:ascii="Calibri" w:hAnsi="Calibri" w:cs="Arial"/>
          <w:lang w:val="fr-FR"/>
        </w:rPr>
        <w:t xml:space="preserve">Note : Les publications sont énumérées dans l’ordre des tâches énoncées dans le Plan de travail du GEST. </w:t>
      </w:r>
      <w:r w:rsidR="00157229">
        <w:rPr>
          <w:rFonts w:ascii="Calibri" w:hAnsi="Calibri" w:cs="Arial"/>
          <w:lang w:val="fr-FR"/>
        </w:rPr>
        <w:t>[</w:t>
      </w:r>
      <w:r w:rsidR="00157229" w:rsidRPr="00922A1E">
        <w:rPr>
          <w:rFonts w:ascii="Calibri" w:hAnsi="Calibri" w:cs="Arial"/>
          <w:highlight w:val="yellow"/>
          <w:lang w:val="fr-FR"/>
        </w:rPr>
        <w:t>Cette liste contient les résultats attendus et devra être confirmée puis mise à jour après le SC59, au fur et à mesure que les résultats nous parviennent.</w:t>
      </w:r>
      <w:r w:rsidR="00157229" w:rsidRPr="00157229">
        <w:rPr>
          <w:rFonts w:ascii="Calibri" w:hAnsi="Calibri" w:cs="Arial"/>
          <w:lang w:val="fr-FR"/>
        </w:rPr>
        <w:t>]</w:t>
      </w:r>
    </w:p>
    <w:p w14:paraId="26CA221F" w14:textId="77777777" w:rsidR="007F1B81" w:rsidRPr="00554AF9" w:rsidRDefault="007F1B81" w:rsidP="00284F28">
      <w:pPr>
        <w:spacing w:after="0" w:line="240" w:lineRule="auto"/>
        <w:jc w:val="center"/>
        <w:rPr>
          <w:rFonts w:ascii="Calibri" w:hAnsi="Calibri" w:cs="Arial"/>
          <w:b/>
          <w:lang w:val="fr-FR"/>
        </w:rPr>
      </w:pPr>
    </w:p>
    <w:p w14:paraId="338BD1D5" w14:textId="3FB4493E" w:rsidR="007F1B81" w:rsidRPr="00081E74" w:rsidRDefault="00791567" w:rsidP="00081E74">
      <w:pPr>
        <w:pStyle w:val="ListParagraph"/>
        <w:numPr>
          <w:ilvl w:val="0"/>
          <w:numId w:val="20"/>
        </w:numPr>
        <w:spacing w:after="0" w:line="240" w:lineRule="auto"/>
        <w:rPr>
          <w:i/>
          <w:lang w:val="fr-FR"/>
        </w:rPr>
      </w:pPr>
      <w:r w:rsidRPr="00081E74">
        <w:rPr>
          <w:iCs/>
          <w:lang w:val="fr-FR"/>
        </w:rPr>
        <w:t xml:space="preserve">Perspectives mondiales </w:t>
      </w:r>
      <w:r w:rsidR="000C51C4" w:rsidRPr="00081E74">
        <w:rPr>
          <w:iCs/>
          <w:lang w:val="fr-FR"/>
        </w:rPr>
        <w:t>des</w:t>
      </w:r>
      <w:r w:rsidRPr="00081E74">
        <w:rPr>
          <w:iCs/>
          <w:lang w:val="fr-FR"/>
        </w:rPr>
        <w:t xml:space="preserve"> zones humides</w:t>
      </w:r>
      <w:r w:rsidR="00FD5D57" w:rsidRPr="00081E74">
        <w:rPr>
          <w:iCs/>
          <w:lang w:val="fr-FR"/>
        </w:rPr>
        <w:t xml:space="preserve"> – Édition spéciale 2021 (Tâche GWO)</w:t>
      </w:r>
    </w:p>
    <w:p w14:paraId="15FDB8AA" w14:textId="77777777" w:rsidR="00467DDA" w:rsidRPr="00554AF9" w:rsidRDefault="00467DDA" w:rsidP="005A5654">
      <w:pPr>
        <w:spacing w:after="0" w:line="240" w:lineRule="auto"/>
        <w:ind w:left="425" w:hanging="425"/>
        <w:rPr>
          <w:i/>
          <w:lang w:val="fr-FR"/>
        </w:rPr>
      </w:pPr>
    </w:p>
    <w:p w14:paraId="6798F12D" w14:textId="5CB4BC7E" w:rsidR="00081E74" w:rsidRPr="001B2321" w:rsidRDefault="00FD5D57" w:rsidP="00081E74">
      <w:pPr>
        <w:pStyle w:val="ListParagraph"/>
        <w:numPr>
          <w:ilvl w:val="0"/>
          <w:numId w:val="20"/>
        </w:numPr>
        <w:spacing w:after="0" w:line="240" w:lineRule="auto"/>
        <w:rPr>
          <w:i/>
          <w:lang w:val="fr-FR"/>
        </w:rPr>
      </w:pPr>
      <w:r w:rsidRPr="001B2321">
        <w:rPr>
          <w:rStyle w:val="Hyperlink"/>
          <w:bCs/>
          <w:color w:val="auto"/>
          <w:u w:val="none"/>
          <w:lang w:val="fr-FR"/>
        </w:rPr>
        <w:t>Note d’information</w:t>
      </w:r>
      <w:r w:rsidR="0064538A" w:rsidRPr="001B2321">
        <w:rPr>
          <w:rStyle w:val="Hyperlink"/>
          <w:bCs/>
          <w:color w:val="auto"/>
          <w:u w:val="none"/>
          <w:lang w:val="fr-FR"/>
        </w:rPr>
        <w:t xml:space="preserve"> Ramsar </w:t>
      </w:r>
      <w:r w:rsidR="001B2321" w:rsidRPr="006C7ACC">
        <w:rPr>
          <w:rStyle w:val="Hyperlink"/>
          <w:bCs/>
          <w:color w:val="auto"/>
          <w:highlight w:val="yellow"/>
          <w:u w:val="none"/>
          <w:lang w:val="fr-FR"/>
        </w:rPr>
        <w:t>n</w:t>
      </w:r>
      <w:r w:rsidR="0064538A" w:rsidRPr="006C7ACC">
        <w:rPr>
          <w:rStyle w:val="Hyperlink"/>
          <w:bCs/>
          <w:color w:val="auto"/>
          <w:highlight w:val="yellow"/>
          <w:u w:val="none"/>
          <w:lang w:val="fr-FR"/>
        </w:rPr>
        <w:t>° X</w:t>
      </w:r>
      <w:r w:rsidR="0064538A" w:rsidRPr="001B2321">
        <w:rPr>
          <w:rStyle w:val="Hyperlink"/>
          <w:bCs/>
          <w:color w:val="auto"/>
          <w:u w:val="none"/>
          <w:lang w:val="fr-FR"/>
        </w:rPr>
        <w:t xml:space="preserve"> : </w:t>
      </w:r>
      <w:r w:rsidR="00081E74" w:rsidRPr="001B2321">
        <w:rPr>
          <w:i/>
          <w:lang w:val="fr-FR"/>
        </w:rPr>
        <w:t>Wetlands and agriculture: Impacts of farming practices and pathways to sustainability</w:t>
      </w:r>
      <w:r w:rsidR="001B2321" w:rsidRPr="001B2321">
        <w:rPr>
          <w:iCs/>
          <w:lang w:val="fr-FR"/>
        </w:rPr>
        <w:t xml:space="preserve"> (Les zones humides et l’agriculture: </w:t>
      </w:r>
      <w:r w:rsidR="001B2321">
        <w:rPr>
          <w:iCs/>
          <w:lang w:val="fr-FR"/>
        </w:rPr>
        <w:t xml:space="preserve">les </w:t>
      </w:r>
      <w:r w:rsidR="001B2321" w:rsidRPr="001B2321">
        <w:rPr>
          <w:iCs/>
          <w:lang w:val="fr-FR"/>
        </w:rPr>
        <w:t>impacts de</w:t>
      </w:r>
      <w:r w:rsidR="001B2321">
        <w:rPr>
          <w:iCs/>
          <w:lang w:val="fr-FR"/>
        </w:rPr>
        <w:t xml:space="preserve">s pratiques agricoles et les voies </w:t>
      </w:r>
      <w:r w:rsidR="006C7ACC">
        <w:rPr>
          <w:iCs/>
          <w:lang w:val="fr-FR"/>
        </w:rPr>
        <w:t>du développem</w:t>
      </w:r>
      <w:r w:rsidR="00177191">
        <w:rPr>
          <w:iCs/>
          <w:lang w:val="fr-FR"/>
        </w:rPr>
        <w:t>e</w:t>
      </w:r>
      <w:r w:rsidR="006C7ACC">
        <w:rPr>
          <w:iCs/>
          <w:lang w:val="fr-FR"/>
        </w:rPr>
        <w:t>nt durable</w:t>
      </w:r>
      <w:r w:rsidR="001B2321">
        <w:rPr>
          <w:iCs/>
          <w:lang w:val="fr-FR"/>
        </w:rPr>
        <w:t xml:space="preserve">) </w:t>
      </w:r>
      <w:r w:rsidR="00081E74" w:rsidRPr="001B2321">
        <w:rPr>
          <w:i/>
          <w:lang w:val="fr-FR"/>
        </w:rPr>
        <w:t xml:space="preserve"> </w:t>
      </w:r>
      <w:r w:rsidR="00081E74" w:rsidRPr="001B2321">
        <w:rPr>
          <w:lang w:val="fr-FR"/>
        </w:rPr>
        <w:t>(Tâche 1.2)</w:t>
      </w:r>
    </w:p>
    <w:p w14:paraId="71692DCD" w14:textId="77777777" w:rsidR="00081E74" w:rsidRPr="001B2321" w:rsidRDefault="00081E74" w:rsidP="00081E74">
      <w:pPr>
        <w:pStyle w:val="ListParagraph"/>
        <w:spacing w:after="0" w:line="240" w:lineRule="auto"/>
        <w:contextualSpacing w:val="0"/>
        <w:rPr>
          <w:i/>
          <w:lang w:val="fr-FR"/>
        </w:rPr>
      </w:pPr>
    </w:p>
    <w:p w14:paraId="6B0F053C" w14:textId="29E62483" w:rsidR="00081E74" w:rsidRPr="001B2321" w:rsidRDefault="00081E74" w:rsidP="00081E74">
      <w:pPr>
        <w:pStyle w:val="ListParagraph"/>
        <w:numPr>
          <w:ilvl w:val="0"/>
          <w:numId w:val="20"/>
        </w:numPr>
        <w:spacing w:after="0" w:line="240" w:lineRule="auto"/>
        <w:rPr>
          <w:i/>
          <w:lang w:val="fr-FR"/>
        </w:rPr>
      </w:pPr>
      <w:r w:rsidRPr="001B2321">
        <w:rPr>
          <w:bCs/>
          <w:lang w:val="fr-FR"/>
        </w:rPr>
        <w:t xml:space="preserve">Note d’orientation Ramsar </w:t>
      </w:r>
      <w:r w:rsidR="001B2321" w:rsidRPr="001B2321">
        <w:rPr>
          <w:highlight w:val="yellow"/>
          <w:lang w:val="fr-FR"/>
        </w:rPr>
        <w:t>n</w:t>
      </w:r>
      <w:r w:rsidRPr="001B2321">
        <w:rPr>
          <w:highlight w:val="yellow"/>
          <w:lang w:val="fr-FR"/>
        </w:rPr>
        <w:t>° X</w:t>
      </w:r>
      <w:r w:rsidRPr="001B2321">
        <w:rPr>
          <w:lang w:val="fr-FR"/>
        </w:rPr>
        <w:t xml:space="preserve"> : </w:t>
      </w:r>
      <w:r w:rsidRPr="001B2321">
        <w:rPr>
          <w:i/>
          <w:lang w:val="fr-FR"/>
        </w:rPr>
        <w:t>Transforming agriculture to sustain wetlands and people</w:t>
      </w:r>
      <w:r w:rsidR="001B2321" w:rsidRPr="001B2321">
        <w:rPr>
          <w:iCs/>
          <w:lang w:val="fr-FR"/>
        </w:rPr>
        <w:t xml:space="preserve"> (Transformer l’agriculture pour protéger les zones hu</w:t>
      </w:r>
      <w:r w:rsidR="001B2321">
        <w:rPr>
          <w:iCs/>
          <w:lang w:val="fr-FR"/>
        </w:rPr>
        <w:t>mides et les populations)</w:t>
      </w:r>
      <w:r w:rsidRPr="001B2321">
        <w:rPr>
          <w:i/>
          <w:lang w:val="fr-FR"/>
        </w:rPr>
        <w:t xml:space="preserve"> </w:t>
      </w:r>
      <w:r w:rsidRPr="001B2321">
        <w:rPr>
          <w:lang w:val="fr-FR"/>
        </w:rPr>
        <w:t>(Tâche 1.2)</w:t>
      </w:r>
    </w:p>
    <w:p w14:paraId="3A48C110" w14:textId="77777777" w:rsidR="00081E74" w:rsidRPr="001B2321" w:rsidRDefault="00081E74" w:rsidP="00081E74">
      <w:pPr>
        <w:pStyle w:val="ListParagraph"/>
        <w:spacing w:after="0" w:line="240" w:lineRule="auto"/>
        <w:contextualSpacing w:val="0"/>
        <w:rPr>
          <w:i/>
          <w:lang w:val="fr-FR"/>
        </w:rPr>
      </w:pPr>
    </w:p>
    <w:p w14:paraId="14235CCE" w14:textId="632FC034" w:rsidR="00081E74" w:rsidRPr="001B2321" w:rsidRDefault="00081E74" w:rsidP="00081E74">
      <w:pPr>
        <w:pStyle w:val="ListParagraph"/>
        <w:numPr>
          <w:ilvl w:val="0"/>
          <w:numId w:val="20"/>
        </w:numPr>
        <w:spacing w:after="0" w:line="240" w:lineRule="auto"/>
        <w:rPr>
          <w:i/>
          <w:lang w:val="fr-FR"/>
        </w:rPr>
      </w:pPr>
      <w:r w:rsidRPr="001B2321">
        <w:rPr>
          <w:lang w:val="fr-FR"/>
        </w:rPr>
        <w:t xml:space="preserve">Rapport technique Ramsar </w:t>
      </w:r>
      <w:r w:rsidR="001B2321" w:rsidRPr="001B2321">
        <w:rPr>
          <w:lang w:val="fr-FR"/>
        </w:rPr>
        <w:t>n</w:t>
      </w:r>
      <w:r w:rsidRPr="001B2321">
        <w:rPr>
          <w:lang w:val="fr-FR"/>
        </w:rPr>
        <w:t xml:space="preserve">° 11 : </w:t>
      </w:r>
      <w:r w:rsidRPr="001B2321">
        <w:rPr>
          <w:i/>
          <w:lang w:val="fr-FR"/>
        </w:rPr>
        <w:t>Ramsar global guidelines for peatland rewetting and restoration</w:t>
      </w:r>
      <w:r w:rsidRPr="001B2321">
        <w:rPr>
          <w:lang w:val="fr-FR"/>
        </w:rPr>
        <w:t xml:space="preserve"> </w:t>
      </w:r>
      <w:r w:rsidR="001B2321" w:rsidRPr="001B2321">
        <w:rPr>
          <w:lang w:val="fr-FR"/>
        </w:rPr>
        <w:t>(</w:t>
      </w:r>
      <w:r w:rsidR="00B34637">
        <w:rPr>
          <w:lang w:val="fr-FR"/>
        </w:rPr>
        <w:t>R</w:t>
      </w:r>
      <w:r w:rsidR="001B2321" w:rsidRPr="001B2321">
        <w:rPr>
          <w:lang w:val="fr-FR"/>
        </w:rPr>
        <w:t>éhumidifi</w:t>
      </w:r>
      <w:r w:rsidR="00B34637">
        <w:rPr>
          <w:lang w:val="fr-FR"/>
        </w:rPr>
        <w:t>cation</w:t>
      </w:r>
      <w:r w:rsidR="001B2321" w:rsidRPr="001B2321">
        <w:rPr>
          <w:lang w:val="fr-FR"/>
        </w:rPr>
        <w:t xml:space="preserve"> et </w:t>
      </w:r>
      <w:r w:rsidR="00B34637">
        <w:rPr>
          <w:lang w:val="fr-FR"/>
        </w:rPr>
        <w:t>restauration des</w:t>
      </w:r>
      <w:r w:rsidR="001B2321">
        <w:rPr>
          <w:lang w:val="fr-FR"/>
        </w:rPr>
        <w:t xml:space="preserve"> tourbières</w:t>
      </w:r>
      <w:r w:rsidR="00B34637">
        <w:rPr>
          <w:lang w:val="fr-FR"/>
        </w:rPr>
        <w:t> :</w:t>
      </w:r>
      <w:r w:rsidR="00B34637" w:rsidRPr="00B34637">
        <w:rPr>
          <w:lang w:val="fr-FR"/>
        </w:rPr>
        <w:t xml:space="preserve"> </w:t>
      </w:r>
      <w:r w:rsidR="00B34637">
        <w:rPr>
          <w:lang w:val="fr-FR"/>
        </w:rPr>
        <w:t>l</w:t>
      </w:r>
      <w:r w:rsidR="00B34637" w:rsidRPr="001B2321">
        <w:rPr>
          <w:lang w:val="fr-FR"/>
        </w:rPr>
        <w:t xml:space="preserve">ignes directrices mondiales </w:t>
      </w:r>
      <w:r w:rsidR="00B34637">
        <w:rPr>
          <w:lang w:val="fr-FR"/>
        </w:rPr>
        <w:t xml:space="preserve">Ramsar </w:t>
      </w:r>
      <w:r w:rsidR="001B2321">
        <w:rPr>
          <w:lang w:val="fr-FR"/>
        </w:rPr>
        <w:t xml:space="preserve">) </w:t>
      </w:r>
      <w:r w:rsidRPr="001B2321">
        <w:rPr>
          <w:lang w:val="fr-FR"/>
        </w:rPr>
        <w:t>(Tâche 2.2)</w:t>
      </w:r>
    </w:p>
    <w:p w14:paraId="2BAC0415" w14:textId="77777777" w:rsidR="00081E74" w:rsidRPr="001B2321" w:rsidRDefault="00081E74" w:rsidP="00081E74">
      <w:pPr>
        <w:pStyle w:val="ListParagraph"/>
        <w:spacing w:after="0" w:line="240" w:lineRule="auto"/>
        <w:contextualSpacing w:val="0"/>
        <w:rPr>
          <w:i/>
          <w:lang w:val="fr-FR"/>
        </w:rPr>
      </w:pPr>
    </w:p>
    <w:p w14:paraId="01256AC8" w14:textId="44B19D91" w:rsidR="00081E74" w:rsidRPr="001B2321" w:rsidRDefault="00081E74" w:rsidP="00081E74">
      <w:pPr>
        <w:pStyle w:val="ListParagraph"/>
        <w:numPr>
          <w:ilvl w:val="0"/>
          <w:numId w:val="20"/>
        </w:numPr>
        <w:spacing w:after="0" w:line="240" w:lineRule="auto"/>
        <w:rPr>
          <w:i/>
          <w:lang w:val="fr-FR"/>
        </w:rPr>
      </w:pPr>
      <w:r w:rsidRPr="001B2321">
        <w:rPr>
          <w:rStyle w:val="Hyperlink"/>
          <w:bCs/>
          <w:color w:val="auto"/>
          <w:u w:val="none"/>
          <w:lang w:val="fr-FR"/>
        </w:rPr>
        <w:t xml:space="preserve">Note d’information Ramsar </w:t>
      </w:r>
      <w:r w:rsidR="001B2321" w:rsidRPr="001B2321">
        <w:rPr>
          <w:rStyle w:val="Hyperlink"/>
          <w:bCs/>
          <w:color w:val="auto"/>
          <w:u w:val="none"/>
          <w:lang w:val="fr-FR"/>
        </w:rPr>
        <w:t>n</w:t>
      </w:r>
      <w:r w:rsidRPr="001B2321">
        <w:rPr>
          <w:rStyle w:val="Hyperlink"/>
          <w:bCs/>
          <w:color w:val="auto"/>
          <w:u w:val="none"/>
          <w:lang w:val="fr-FR"/>
        </w:rPr>
        <w:t xml:space="preserve">° </w:t>
      </w:r>
      <w:r w:rsidRPr="001B2321">
        <w:rPr>
          <w:highlight w:val="yellow"/>
          <w:lang w:val="fr-FR"/>
        </w:rPr>
        <w:t>X :</w:t>
      </w:r>
      <w:r w:rsidRPr="001B2321">
        <w:rPr>
          <w:lang w:val="fr-FR"/>
        </w:rPr>
        <w:t xml:space="preserve"> </w:t>
      </w:r>
      <w:r w:rsidRPr="001B2321">
        <w:rPr>
          <w:i/>
          <w:lang w:val="fr-FR"/>
        </w:rPr>
        <w:t>Practical peatland restoration</w:t>
      </w:r>
      <w:r w:rsidRPr="001B2321">
        <w:rPr>
          <w:lang w:val="fr-FR"/>
        </w:rPr>
        <w:t xml:space="preserve"> </w:t>
      </w:r>
      <w:r w:rsidR="001B2321" w:rsidRPr="001B2321">
        <w:rPr>
          <w:lang w:val="fr-FR"/>
        </w:rPr>
        <w:t>(Restauration pratique de</w:t>
      </w:r>
      <w:r w:rsidR="001B2321">
        <w:rPr>
          <w:lang w:val="fr-FR"/>
        </w:rPr>
        <w:t xml:space="preserve">s tourbières) </w:t>
      </w:r>
      <w:r w:rsidRPr="001B2321">
        <w:rPr>
          <w:lang w:val="fr-FR"/>
        </w:rPr>
        <w:t>(Tâche 2.2)</w:t>
      </w:r>
    </w:p>
    <w:p w14:paraId="137E2345" w14:textId="77777777" w:rsidR="00081E74" w:rsidRPr="001B2321" w:rsidRDefault="00081E74" w:rsidP="00081E74">
      <w:pPr>
        <w:pStyle w:val="ListParagraph"/>
        <w:spacing w:after="0" w:line="240" w:lineRule="auto"/>
        <w:contextualSpacing w:val="0"/>
        <w:rPr>
          <w:i/>
          <w:lang w:val="fr-FR"/>
        </w:rPr>
      </w:pPr>
    </w:p>
    <w:p w14:paraId="691BD2C6" w14:textId="4EDC05EC" w:rsidR="00081E74" w:rsidRPr="001B2321" w:rsidRDefault="00F106F7" w:rsidP="00081E74">
      <w:pPr>
        <w:pStyle w:val="ListParagraph"/>
        <w:numPr>
          <w:ilvl w:val="0"/>
          <w:numId w:val="20"/>
        </w:numPr>
        <w:spacing w:after="0" w:line="240" w:lineRule="auto"/>
        <w:rPr>
          <w:i/>
          <w:lang w:val="fr-FR"/>
        </w:rPr>
      </w:pPr>
      <w:r w:rsidRPr="001B2321">
        <w:rPr>
          <w:bCs/>
          <w:lang w:val="fr-FR"/>
        </w:rPr>
        <w:t xml:space="preserve">Note d’orientation Ramsar </w:t>
      </w:r>
      <w:r w:rsidR="001B2321" w:rsidRPr="001B2321">
        <w:rPr>
          <w:rStyle w:val="Hyperlink"/>
          <w:bCs/>
          <w:color w:val="auto"/>
          <w:u w:val="none"/>
          <w:lang w:val="fr-FR"/>
        </w:rPr>
        <w:t>n°</w:t>
      </w:r>
      <w:r w:rsidR="00081E74" w:rsidRPr="001B2321">
        <w:rPr>
          <w:highlight w:val="yellow"/>
          <w:lang w:val="fr-FR"/>
        </w:rPr>
        <w:t xml:space="preserve"> X:</w:t>
      </w:r>
      <w:r w:rsidR="00081E74" w:rsidRPr="001B2321">
        <w:rPr>
          <w:lang w:val="fr-FR"/>
        </w:rPr>
        <w:t xml:space="preserve"> </w:t>
      </w:r>
      <w:r w:rsidR="00081E74" w:rsidRPr="001B2321">
        <w:rPr>
          <w:i/>
          <w:lang w:val="fr-FR"/>
        </w:rPr>
        <w:t>Restoration of the majority of the world’s drained peatland area is necessary to achieve Sustainable Development Goals</w:t>
      </w:r>
      <w:r w:rsidR="00081E74" w:rsidRPr="001B2321">
        <w:rPr>
          <w:lang w:val="fr-FR"/>
        </w:rPr>
        <w:t xml:space="preserve"> </w:t>
      </w:r>
      <w:r w:rsidR="001B2321" w:rsidRPr="001B2321">
        <w:rPr>
          <w:lang w:val="fr-FR"/>
        </w:rPr>
        <w:t xml:space="preserve">( Pour atteindre les objectifs du développement durable, il </w:t>
      </w:r>
      <w:r w:rsidR="00B34637">
        <w:rPr>
          <w:lang w:val="fr-FR"/>
        </w:rPr>
        <w:t xml:space="preserve">est impératif de </w:t>
      </w:r>
      <w:r w:rsidR="001B2321">
        <w:rPr>
          <w:lang w:val="fr-FR"/>
        </w:rPr>
        <w:t>r</w:t>
      </w:r>
      <w:r w:rsidR="001B2321" w:rsidRPr="001B2321">
        <w:rPr>
          <w:lang w:val="fr-FR"/>
        </w:rPr>
        <w:t>estau</w:t>
      </w:r>
      <w:r w:rsidR="001B2321">
        <w:rPr>
          <w:lang w:val="fr-FR"/>
        </w:rPr>
        <w:t xml:space="preserve">rer la majorité des tourbières drainées de la planète ) </w:t>
      </w:r>
      <w:r w:rsidR="00081E74" w:rsidRPr="001B2321">
        <w:rPr>
          <w:lang w:val="fr-FR"/>
        </w:rPr>
        <w:t>(Tâche 2.2)</w:t>
      </w:r>
    </w:p>
    <w:p w14:paraId="6B71F0EC" w14:textId="77777777" w:rsidR="00081E74" w:rsidRPr="001B2321" w:rsidRDefault="00081E74" w:rsidP="00081E74">
      <w:pPr>
        <w:pStyle w:val="ListParagraph"/>
        <w:spacing w:after="0" w:line="240" w:lineRule="auto"/>
        <w:contextualSpacing w:val="0"/>
        <w:rPr>
          <w:i/>
          <w:lang w:val="fr-FR"/>
        </w:rPr>
      </w:pPr>
    </w:p>
    <w:p w14:paraId="41A214E5" w14:textId="1F05B815" w:rsidR="00467DDA" w:rsidRPr="001B2321" w:rsidRDefault="00F106F7" w:rsidP="00081E74">
      <w:pPr>
        <w:pStyle w:val="ListParagraph"/>
        <w:numPr>
          <w:ilvl w:val="0"/>
          <w:numId w:val="20"/>
        </w:numPr>
        <w:spacing w:after="0" w:line="240" w:lineRule="auto"/>
        <w:rPr>
          <w:lang w:val="fr-FR"/>
        </w:rPr>
      </w:pPr>
      <w:r w:rsidRPr="001B2321">
        <w:rPr>
          <w:rStyle w:val="Hyperlink"/>
          <w:bCs/>
          <w:color w:val="auto"/>
          <w:u w:val="none"/>
          <w:lang w:val="fr-FR"/>
        </w:rPr>
        <w:t xml:space="preserve">Note d’information Ramsar </w:t>
      </w:r>
      <w:r w:rsidR="001B2321" w:rsidRPr="001B2321">
        <w:rPr>
          <w:rStyle w:val="Hyperlink"/>
          <w:bCs/>
          <w:color w:val="auto"/>
          <w:u w:val="none"/>
          <w:lang w:val="fr-FR"/>
        </w:rPr>
        <w:t>n°</w:t>
      </w:r>
      <w:r w:rsidR="00081E74" w:rsidRPr="001B2321">
        <w:rPr>
          <w:highlight w:val="yellow"/>
          <w:lang w:val="fr-FR"/>
        </w:rPr>
        <w:t xml:space="preserve"> X:</w:t>
      </w:r>
      <w:r w:rsidR="00081E74" w:rsidRPr="001B2321">
        <w:rPr>
          <w:lang w:val="fr-FR"/>
        </w:rPr>
        <w:t xml:space="preserve"> </w:t>
      </w:r>
      <w:r w:rsidR="00081E74" w:rsidRPr="001B2321">
        <w:rPr>
          <w:i/>
          <w:lang w:val="fr-FR"/>
        </w:rPr>
        <w:t xml:space="preserve">The role of Ramsar blue carbon ecosystems in climate mitigation and Nationally Determined Contributions </w:t>
      </w:r>
      <w:r w:rsidR="001B2321" w:rsidRPr="001B2321">
        <w:rPr>
          <w:i/>
          <w:lang w:val="fr-FR"/>
        </w:rPr>
        <w:t>(</w:t>
      </w:r>
      <w:r w:rsidR="001B2321" w:rsidRPr="001B2321">
        <w:rPr>
          <w:iCs/>
          <w:lang w:val="fr-FR"/>
        </w:rPr>
        <w:t>Le rôle des écosystèmes de</w:t>
      </w:r>
      <w:r w:rsidR="001B2321">
        <w:rPr>
          <w:iCs/>
          <w:lang w:val="fr-FR"/>
        </w:rPr>
        <w:t xml:space="preserve"> carbone bleu Ramsar vis-à-vis de l’atténuation des effets </w:t>
      </w:r>
      <w:r w:rsidR="00B34637">
        <w:rPr>
          <w:iCs/>
          <w:lang w:val="fr-FR"/>
        </w:rPr>
        <w:t xml:space="preserve">des changements </w:t>
      </w:r>
      <w:r w:rsidR="001B2321">
        <w:rPr>
          <w:iCs/>
          <w:lang w:val="fr-FR"/>
        </w:rPr>
        <w:t xml:space="preserve">climatiques et des contributions déterminées au niveau national </w:t>
      </w:r>
      <w:r w:rsidR="00081E74" w:rsidRPr="001B2321">
        <w:rPr>
          <w:lang w:val="fr-FR"/>
        </w:rPr>
        <w:t>(Tâche 5.1)</w:t>
      </w:r>
    </w:p>
    <w:p w14:paraId="02086572" w14:textId="77777777" w:rsidR="00467DDA" w:rsidRPr="001B2321" w:rsidRDefault="00467DDA" w:rsidP="005A5654">
      <w:pPr>
        <w:spacing w:after="0" w:line="240" w:lineRule="auto"/>
        <w:ind w:left="425" w:hanging="425"/>
        <w:rPr>
          <w:lang w:val="fr-FR"/>
        </w:rPr>
      </w:pPr>
    </w:p>
    <w:p w14:paraId="68478778" w14:textId="77777777" w:rsidR="00922A1E" w:rsidRDefault="00922A1E" w:rsidP="005A5654">
      <w:pPr>
        <w:spacing w:after="0" w:line="240" w:lineRule="auto"/>
        <w:ind w:left="425" w:hanging="425"/>
        <w:rPr>
          <w:i/>
          <w:lang w:val="fr-FR"/>
        </w:rPr>
        <w:sectPr w:rsidR="00922A1E" w:rsidSect="00770AEA">
          <w:footerReference w:type="default" r:id="rId8"/>
          <w:pgSz w:w="11906" w:h="16838"/>
          <w:pgMar w:top="1440" w:right="1440" w:bottom="1440" w:left="1440" w:header="709" w:footer="709" w:gutter="0"/>
          <w:cols w:space="708"/>
          <w:titlePg/>
          <w:docGrid w:linePitch="360"/>
        </w:sectPr>
      </w:pPr>
    </w:p>
    <w:p w14:paraId="51850A5C" w14:textId="77777777" w:rsidR="0055425C" w:rsidRPr="00922A1E" w:rsidRDefault="007F1B81" w:rsidP="00BB769B">
      <w:pPr>
        <w:spacing w:after="0" w:line="240" w:lineRule="auto"/>
        <w:rPr>
          <w:rFonts w:ascii="Calibri" w:hAnsi="Calibri" w:cs="Arial"/>
          <w:b/>
          <w:sz w:val="24"/>
          <w:szCs w:val="24"/>
          <w:lang w:val="fr-FR"/>
        </w:rPr>
      </w:pPr>
      <w:r w:rsidRPr="00922A1E">
        <w:rPr>
          <w:rFonts w:ascii="Calibri" w:hAnsi="Calibri" w:cs="Arial"/>
          <w:b/>
          <w:sz w:val="24"/>
          <w:szCs w:val="24"/>
          <w:lang w:val="fr-FR"/>
        </w:rPr>
        <w:lastRenderedPageBreak/>
        <w:t>Annex</w:t>
      </w:r>
      <w:r w:rsidR="004D2DFB" w:rsidRPr="00922A1E">
        <w:rPr>
          <w:rFonts w:ascii="Calibri" w:hAnsi="Calibri" w:cs="Arial"/>
          <w:b/>
          <w:sz w:val="24"/>
          <w:szCs w:val="24"/>
          <w:lang w:val="fr-FR"/>
        </w:rPr>
        <w:t>e</w:t>
      </w:r>
      <w:r w:rsidRPr="00922A1E">
        <w:rPr>
          <w:rFonts w:ascii="Calibri" w:hAnsi="Calibri" w:cs="Arial"/>
          <w:b/>
          <w:sz w:val="24"/>
          <w:szCs w:val="24"/>
          <w:lang w:val="fr-FR"/>
        </w:rPr>
        <w:t xml:space="preserve"> 2</w:t>
      </w:r>
    </w:p>
    <w:p w14:paraId="77EB3D2A" w14:textId="4781F28D" w:rsidR="0055425C" w:rsidRPr="00922A1E" w:rsidRDefault="00D01E70" w:rsidP="00BB769B">
      <w:pPr>
        <w:spacing w:after="0" w:line="240" w:lineRule="auto"/>
        <w:rPr>
          <w:rFonts w:cstheme="minorHAnsi"/>
          <w:b/>
          <w:bCs/>
          <w:sz w:val="24"/>
          <w:szCs w:val="24"/>
          <w:lang w:val="fr-FR"/>
        </w:rPr>
      </w:pPr>
      <w:r w:rsidRPr="00922A1E">
        <w:rPr>
          <w:rFonts w:cstheme="minorHAnsi"/>
          <w:b/>
          <w:bCs/>
          <w:sz w:val="24"/>
          <w:szCs w:val="24"/>
          <w:lang w:val="fr-FR"/>
        </w:rPr>
        <w:t xml:space="preserve">Domaines de travail thématiques </w:t>
      </w:r>
      <w:r w:rsidR="00F67788" w:rsidRPr="00922A1E">
        <w:rPr>
          <w:rFonts w:cstheme="minorHAnsi"/>
          <w:b/>
          <w:bCs/>
          <w:sz w:val="24"/>
          <w:szCs w:val="24"/>
          <w:lang w:val="fr-FR"/>
        </w:rPr>
        <w:t>prioritaires</w:t>
      </w:r>
      <w:r w:rsidR="0055425C" w:rsidRPr="00922A1E">
        <w:rPr>
          <w:rFonts w:cstheme="minorHAnsi"/>
          <w:b/>
          <w:bCs/>
          <w:sz w:val="24"/>
          <w:szCs w:val="24"/>
          <w:lang w:val="fr-FR"/>
        </w:rPr>
        <w:t xml:space="preserve"> </w:t>
      </w:r>
      <w:r w:rsidRPr="00922A1E">
        <w:rPr>
          <w:rFonts w:cstheme="minorHAnsi"/>
          <w:b/>
          <w:bCs/>
          <w:sz w:val="24"/>
          <w:szCs w:val="24"/>
          <w:lang w:val="fr-FR"/>
        </w:rPr>
        <w:t>du G</w:t>
      </w:r>
      <w:r w:rsidR="000C51C4" w:rsidRPr="00922A1E">
        <w:rPr>
          <w:rFonts w:cstheme="minorHAnsi"/>
          <w:b/>
          <w:bCs/>
          <w:sz w:val="24"/>
          <w:szCs w:val="24"/>
          <w:lang w:val="fr-FR"/>
        </w:rPr>
        <w:t>roupe d’évaluation scientifique et technique</w:t>
      </w:r>
      <w:r w:rsidRPr="00922A1E">
        <w:rPr>
          <w:rFonts w:cstheme="minorHAnsi"/>
          <w:b/>
          <w:bCs/>
          <w:sz w:val="24"/>
          <w:szCs w:val="24"/>
          <w:lang w:val="fr-FR"/>
        </w:rPr>
        <w:t xml:space="preserve"> pour </w:t>
      </w:r>
      <w:r w:rsidR="00460579" w:rsidRPr="00922A1E">
        <w:rPr>
          <w:rFonts w:cstheme="minorHAnsi"/>
          <w:b/>
          <w:bCs/>
          <w:sz w:val="24"/>
          <w:szCs w:val="24"/>
          <w:lang w:val="fr-FR"/>
        </w:rPr>
        <w:t>20</w:t>
      </w:r>
      <w:r w:rsidR="005027A8" w:rsidRPr="00922A1E">
        <w:rPr>
          <w:rFonts w:cstheme="minorHAnsi"/>
          <w:b/>
          <w:bCs/>
          <w:sz w:val="24"/>
          <w:szCs w:val="24"/>
          <w:lang w:val="fr-FR"/>
        </w:rPr>
        <w:t>22</w:t>
      </w:r>
      <w:r w:rsidR="00460579" w:rsidRPr="00922A1E">
        <w:rPr>
          <w:rFonts w:cstheme="minorHAnsi"/>
          <w:b/>
          <w:bCs/>
          <w:sz w:val="24"/>
          <w:szCs w:val="24"/>
          <w:lang w:val="fr-FR"/>
        </w:rPr>
        <w:t>-202</w:t>
      </w:r>
      <w:r w:rsidR="005027A8" w:rsidRPr="00922A1E">
        <w:rPr>
          <w:rFonts w:cstheme="minorHAnsi"/>
          <w:b/>
          <w:bCs/>
          <w:sz w:val="24"/>
          <w:szCs w:val="24"/>
          <w:lang w:val="fr-FR"/>
        </w:rPr>
        <w:t>4</w:t>
      </w:r>
    </w:p>
    <w:p w14:paraId="16967AFB" w14:textId="77777777" w:rsidR="0053606A" w:rsidRPr="00AC17A0" w:rsidRDefault="0053606A" w:rsidP="00AC17A0">
      <w:pPr>
        <w:spacing w:after="0" w:line="240" w:lineRule="auto"/>
        <w:rPr>
          <w:rFonts w:ascii="Calibri" w:hAnsi="Calibri" w:cs="Arial"/>
          <w:lang w:val="fr-FR"/>
        </w:rPr>
      </w:pP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4249"/>
        <w:gridCol w:w="9699"/>
      </w:tblGrid>
      <w:tr w:rsidR="00460579" w:rsidRPr="00922A1E" w14:paraId="52D7C753" w14:textId="77777777" w:rsidTr="00922A1E">
        <w:trPr>
          <w:tblHeader/>
        </w:trPr>
        <w:tc>
          <w:tcPr>
            <w:tcW w:w="1523" w:type="pct"/>
            <w:shd w:val="clear" w:color="auto" w:fill="D9D9D9" w:themeFill="background1" w:themeFillShade="D9"/>
            <w:vAlign w:val="center"/>
          </w:tcPr>
          <w:p w14:paraId="25F8B970" w14:textId="3493E5E6" w:rsidR="00460579" w:rsidRPr="00922A1E" w:rsidRDefault="00D01E70" w:rsidP="00922A1E">
            <w:pPr>
              <w:ind w:left="0" w:firstLine="0"/>
              <w:jc w:val="center"/>
              <w:rPr>
                <w:rFonts w:eastAsiaTheme="minorEastAsia"/>
                <w:b/>
                <w:sz w:val="20"/>
                <w:szCs w:val="22"/>
                <w:lang w:val="fr-FR"/>
              </w:rPr>
            </w:pPr>
            <w:r w:rsidRPr="00922A1E">
              <w:rPr>
                <w:rFonts w:eastAsiaTheme="minorEastAsia"/>
                <w:b/>
                <w:sz w:val="20"/>
                <w:szCs w:val="22"/>
                <w:lang w:val="fr-FR"/>
              </w:rPr>
              <w:t>Domaines de travail thématiques</w:t>
            </w:r>
            <w:r w:rsidR="000C51C4" w:rsidRPr="00922A1E">
              <w:rPr>
                <w:rFonts w:eastAsiaTheme="minorEastAsia"/>
                <w:b/>
                <w:sz w:val="20"/>
                <w:szCs w:val="22"/>
                <w:lang w:val="fr-FR"/>
              </w:rPr>
              <w:t xml:space="preserve"> prioritaires</w:t>
            </w:r>
            <w:r w:rsidRPr="00922A1E">
              <w:rPr>
                <w:rFonts w:eastAsiaTheme="minorEastAsia"/>
                <w:b/>
                <w:sz w:val="20"/>
                <w:szCs w:val="22"/>
                <w:lang w:val="fr-FR"/>
              </w:rPr>
              <w:t xml:space="preserve"> du GEST, </w:t>
            </w:r>
            <w:r w:rsidR="00460579" w:rsidRPr="00922A1E">
              <w:rPr>
                <w:rFonts w:eastAsiaTheme="minorEastAsia"/>
                <w:b/>
                <w:sz w:val="20"/>
                <w:szCs w:val="22"/>
                <w:lang w:val="fr-FR"/>
              </w:rPr>
              <w:t>20</w:t>
            </w:r>
            <w:r w:rsidR="005027A8" w:rsidRPr="00922A1E">
              <w:rPr>
                <w:rFonts w:eastAsiaTheme="minorEastAsia"/>
                <w:b/>
                <w:sz w:val="20"/>
                <w:szCs w:val="22"/>
                <w:lang w:val="fr-FR"/>
              </w:rPr>
              <w:t>22</w:t>
            </w:r>
            <w:r w:rsidR="00460579" w:rsidRPr="00922A1E">
              <w:rPr>
                <w:rFonts w:eastAsiaTheme="minorEastAsia"/>
                <w:b/>
                <w:sz w:val="20"/>
                <w:szCs w:val="22"/>
                <w:lang w:val="fr-FR"/>
              </w:rPr>
              <w:t xml:space="preserve"> – 2024</w:t>
            </w:r>
          </w:p>
        </w:tc>
        <w:tc>
          <w:tcPr>
            <w:tcW w:w="3477" w:type="pct"/>
            <w:shd w:val="clear" w:color="auto" w:fill="D9D9D9" w:themeFill="background1" w:themeFillShade="D9"/>
            <w:vAlign w:val="center"/>
          </w:tcPr>
          <w:p w14:paraId="51EED7C0" w14:textId="77777777" w:rsidR="00460579" w:rsidRPr="00922A1E" w:rsidRDefault="0055425C" w:rsidP="00922A1E">
            <w:pPr>
              <w:ind w:left="0" w:firstLine="0"/>
              <w:jc w:val="center"/>
              <w:rPr>
                <w:rFonts w:eastAsiaTheme="minorEastAsia"/>
                <w:b/>
                <w:sz w:val="20"/>
                <w:szCs w:val="22"/>
              </w:rPr>
            </w:pPr>
            <w:r w:rsidRPr="00922A1E">
              <w:rPr>
                <w:rFonts w:eastAsiaTheme="minorEastAsia"/>
                <w:b/>
                <w:sz w:val="20"/>
                <w:szCs w:val="22"/>
              </w:rPr>
              <w:t xml:space="preserve">Buts et </w:t>
            </w:r>
            <w:r w:rsidR="00D01E70" w:rsidRPr="00922A1E">
              <w:rPr>
                <w:rFonts w:eastAsiaTheme="minorEastAsia"/>
                <w:b/>
                <w:sz w:val="20"/>
                <w:szCs w:val="22"/>
              </w:rPr>
              <w:t xml:space="preserve">Objectifs du Plan stratégique </w:t>
            </w:r>
            <w:r w:rsidR="00460579" w:rsidRPr="00922A1E">
              <w:rPr>
                <w:rFonts w:eastAsiaTheme="minorEastAsia"/>
                <w:b/>
                <w:sz w:val="20"/>
                <w:szCs w:val="22"/>
              </w:rPr>
              <w:t>Ramsar 2016 – 202</w:t>
            </w:r>
            <w:r w:rsidR="0081038E" w:rsidRPr="00922A1E">
              <w:rPr>
                <w:rFonts w:eastAsiaTheme="minorEastAsia"/>
                <w:b/>
                <w:sz w:val="20"/>
                <w:szCs w:val="22"/>
              </w:rPr>
              <w:t>4</w:t>
            </w:r>
          </w:p>
        </w:tc>
      </w:tr>
      <w:tr w:rsidR="00460579" w:rsidRPr="00157229" w14:paraId="7E3F084B" w14:textId="77777777" w:rsidTr="00922A1E">
        <w:trPr>
          <w:trHeight w:val="3760"/>
        </w:trPr>
        <w:tc>
          <w:tcPr>
            <w:tcW w:w="1523" w:type="pct"/>
          </w:tcPr>
          <w:p w14:paraId="3B06AE8B" w14:textId="77777777" w:rsidR="00460579" w:rsidRPr="00AC17A0" w:rsidRDefault="00D01E70" w:rsidP="00F61FD5">
            <w:pPr>
              <w:ind w:left="0" w:firstLine="0"/>
              <w:rPr>
                <w:rFonts w:cstheme="minorHAnsi"/>
                <w:sz w:val="20"/>
                <w:szCs w:val="20"/>
                <w:lang w:val="fr-FR"/>
              </w:rPr>
            </w:pPr>
            <w:r w:rsidRPr="00AC17A0">
              <w:rPr>
                <w:rFonts w:cstheme="minorHAnsi"/>
                <w:sz w:val="20"/>
                <w:szCs w:val="20"/>
                <w:lang w:val="fr-FR"/>
              </w:rPr>
              <w:t xml:space="preserve">Méthodologies / outils de bonnes pratiques pour </w:t>
            </w:r>
            <w:r w:rsidR="00E27EBB" w:rsidRPr="00AC17A0">
              <w:rPr>
                <w:rFonts w:cstheme="minorHAnsi"/>
                <w:sz w:val="20"/>
                <w:szCs w:val="20"/>
                <w:lang w:val="fr-FR"/>
              </w:rPr>
              <w:t xml:space="preserve">l’identification et </w:t>
            </w:r>
            <w:r w:rsidR="0040057B" w:rsidRPr="00AC17A0">
              <w:rPr>
                <w:rFonts w:cstheme="minorHAnsi"/>
                <w:sz w:val="20"/>
                <w:szCs w:val="20"/>
                <w:lang w:val="fr-FR"/>
              </w:rPr>
              <w:t>le suivi des</w:t>
            </w:r>
            <w:r w:rsidRPr="00AC17A0">
              <w:rPr>
                <w:rFonts w:cstheme="minorHAnsi"/>
                <w:sz w:val="20"/>
                <w:szCs w:val="20"/>
                <w:lang w:val="fr-FR"/>
              </w:rPr>
              <w:t xml:space="preserve"> Sites Ramsar et autres zones humides, notamment les études, la cartographie, les inventaires</w:t>
            </w:r>
            <w:r w:rsidR="00F61FD5" w:rsidRPr="00AC17A0">
              <w:rPr>
                <w:rFonts w:cstheme="minorHAnsi"/>
                <w:sz w:val="20"/>
                <w:szCs w:val="20"/>
                <w:lang w:val="fr-FR"/>
              </w:rPr>
              <w:t xml:space="preserve">, et l’analyse mondiale et régionale des priorités en matière de renforcement du réseau de Sites Ramsar </w:t>
            </w:r>
          </w:p>
        </w:tc>
        <w:tc>
          <w:tcPr>
            <w:tcW w:w="3477" w:type="pct"/>
          </w:tcPr>
          <w:p w14:paraId="0A62D9D9"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2</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Conserver et gérer efficacement le réseau de Sites Ramsar</w:t>
            </w:r>
          </w:p>
          <w:p w14:paraId="0D4C1B06" w14:textId="77777777" w:rsidR="00460579" w:rsidRPr="00AC17A0" w:rsidRDefault="00460579" w:rsidP="003B605F">
            <w:pPr>
              <w:ind w:left="57" w:firstLine="0"/>
              <w:rPr>
                <w:rFonts w:cstheme="minorHAnsi"/>
                <w:sz w:val="20"/>
                <w:szCs w:val="20"/>
                <w:lang w:val="fr-FR"/>
              </w:rPr>
            </w:pPr>
          </w:p>
          <w:p w14:paraId="3BB569B4"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Objectif</w:t>
            </w:r>
            <w:r w:rsidR="00460579" w:rsidRPr="00AC17A0">
              <w:rPr>
                <w:rFonts w:cstheme="minorHAnsi"/>
                <w:b/>
                <w:sz w:val="20"/>
                <w:szCs w:val="20"/>
                <w:lang w:val="fr-FR"/>
              </w:rPr>
              <w:t xml:space="preserve"> 5</w:t>
            </w:r>
          </w:p>
          <w:p w14:paraId="39A504E5" w14:textId="77777777" w:rsidR="00FA608E" w:rsidRPr="00AC17A0" w:rsidRDefault="00FA608E" w:rsidP="003B605F">
            <w:pPr>
              <w:ind w:left="57" w:firstLine="0"/>
              <w:rPr>
                <w:rFonts w:cstheme="minorHAnsi"/>
                <w:sz w:val="20"/>
                <w:szCs w:val="20"/>
                <w:lang w:val="fr-FR"/>
              </w:rPr>
            </w:pPr>
            <w:r w:rsidRPr="00AC17A0">
              <w:rPr>
                <w:rFonts w:cstheme="minorHAnsi"/>
                <w:sz w:val="20"/>
                <w:szCs w:val="20"/>
                <w:lang w:val="fr-FR"/>
              </w:rPr>
              <w:t>Les caractéristiques écologiques des Sites Ramsar sont maintenues ou restaurées par une planification efficace et une gestion intégrée</w:t>
            </w:r>
          </w:p>
          <w:p w14:paraId="0AB98B41" w14:textId="77777777" w:rsidR="00F61FD5" w:rsidRPr="00AC17A0" w:rsidRDefault="00F61FD5" w:rsidP="003B605F">
            <w:pPr>
              <w:ind w:left="57" w:firstLine="0"/>
              <w:rPr>
                <w:rFonts w:cstheme="minorHAnsi"/>
                <w:sz w:val="20"/>
                <w:szCs w:val="20"/>
                <w:lang w:val="fr-FR"/>
              </w:rPr>
            </w:pPr>
          </w:p>
          <w:p w14:paraId="0B1FE9B9" w14:textId="77777777" w:rsidR="00F61FD5" w:rsidRPr="00AC17A0" w:rsidRDefault="00F61FD5" w:rsidP="003B605F">
            <w:pPr>
              <w:ind w:left="57" w:firstLine="0"/>
              <w:rPr>
                <w:rFonts w:cstheme="minorHAnsi"/>
                <w:b/>
                <w:sz w:val="20"/>
                <w:szCs w:val="20"/>
                <w:lang w:val="fr-FR"/>
              </w:rPr>
            </w:pPr>
            <w:r w:rsidRPr="00AC17A0">
              <w:rPr>
                <w:rFonts w:cstheme="minorHAnsi"/>
                <w:b/>
                <w:sz w:val="20"/>
                <w:szCs w:val="20"/>
                <w:lang w:val="fr-FR"/>
              </w:rPr>
              <w:t>Objectif 6</w:t>
            </w:r>
          </w:p>
          <w:p w14:paraId="62561F05" w14:textId="77777777" w:rsidR="00460579" w:rsidRPr="005A5654" w:rsidRDefault="00015146" w:rsidP="003B605F">
            <w:pPr>
              <w:ind w:left="57" w:firstLine="0"/>
              <w:rPr>
                <w:rFonts w:cstheme="minorHAnsi"/>
                <w:spacing w:val="-4"/>
                <w:sz w:val="20"/>
                <w:szCs w:val="20"/>
                <w:lang w:val="fr-FR"/>
              </w:rPr>
            </w:pPr>
            <w:r w:rsidRPr="005A5654">
              <w:rPr>
                <w:rFonts w:cstheme="minorHAnsi"/>
                <w:spacing w:val="-4"/>
                <w:sz w:val="20"/>
                <w:szCs w:val="20"/>
                <w:lang w:val="fr-FR"/>
              </w:rPr>
              <w:t>Le réseau de Sites Ramsar s’accroît considérablement en termes de superficie, de nombre de sites inscrits et de connectivité écologique, en particulier par l’ajout de types de zones humides sous-représentés, y compris dans des écorégions sous-représentées, et de sites transfrontières.</w:t>
            </w:r>
            <w:r w:rsidR="00460579" w:rsidRPr="005A5654">
              <w:rPr>
                <w:rFonts w:cstheme="minorHAnsi"/>
                <w:spacing w:val="-4"/>
                <w:sz w:val="20"/>
                <w:szCs w:val="20"/>
                <w:lang w:val="fr-FR"/>
              </w:rPr>
              <w:t xml:space="preserve"> </w:t>
            </w:r>
          </w:p>
          <w:p w14:paraId="1CF0E13B" w14:textId="77777777" w:rsidR="00015146" w:rsidRPr="00AC17A0" w:rsidRDefault="00015146" w:rsidP="003B605F">
            <w:pPr>
              <w:ind w:left="57" w:firstLine="0"/>
              <w:rPr>
                <w:rFonts w:cstheme="minorHAnsi"/>
                <w:sz w:val="20"/>
                <w:szCs w:val="20"/>
                <w:lang w:val="fr-FR"/>
              </w:rPr>
            </w:pPr>
          </w:p>
          <w:p w14:paraId="5FFD42D0"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7</w:t>
            </w:r>
          </w:p>
          <w:p w14:paraId="11F9101D" w14:textId="77777777" w:rsidR="00460579" w:rsidRPr="00AC17A0" w:rsidRDefault="00FA608E" w:rsidP="003B605F">
            <w:pPr>
              <w:ind w:left="57" w:firstLine="0"/>
              <w:rPr>
                <w:rFonts w:cstheme="minorHAnsi"/>
                <w:b/>
                <w:sz w:val="20"/>
                <w:szCs w:val="20"/>
                <w:lang w:val="fr-FR"/>
              </w:rPr>
            </w:pPr>
            <w:r w:rsidRPr="00AC17A0">
              <w:rPr>
                <w:rFonts w:cstheme="minorHAnsi"/>
                <w:sz w:val="20"/>
                <w:szCs w:val="20"/>
                <w:lang w:val="fr-FR"/>
              </w:rPr>
              <w:t>Les menaces pesant sur les sites dont les caractéristiques écologiques risquent de changer sont traitées</w:t>
            </w:r>
          </w:p>
          <w:p w14:paraId="1AEBE741" w14:textId="77777777" w:rsidR="00460579" w:rsidRPr="00AC17A0" w:rsidRDefault="00460579" w:rsidP="003B605F">
            <w:pPr>
              <w:ind w:left="57" w:firstLine="0"/>
              <w:rPr>
                <w:rFonts w:cstheme="minorHAnsi"/>
                <w:b/>
                <w:sz w:val="20"/>
                <w:szCs w:val="20"/>
                <w:lang w:val="fr-FR"/>
              </w:rPr>
            </w:pPr>
          </w:p>
          <w:p w14:paraId="67135D5C" w14:textId="77777777"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00FA608E" w:rsidRPr="00AC17A0">
              <w:rPr>
                <w:rFonts w:cstheme="minorHAnsi"/>
                <w:b/>
                <w:sz w:val="20"/>
                <w:szCs w:val="20"/>
                <w:lang w:val="fr-FR"/>
              </w:rPr>
              <w:t>Utiliser toutes les zones humides de façon rationnelle</w:t>
            </w:r>
          </w:p>
          <w:p w14:paraId="6CF18DD4" w14:textId="77777777" w:rsidR="00460579" w:rsidRPr="00AC17A0" w:rsidRDefault="00460579" w:rsidP="003B605F">
            <w:pPr>
              <w:ind w:left="57" w:firstLine="0"/>
              <w:rPr>
                <w:rFonts w:cstheme="minorHAnsi"/>
                <w:b/>
                <w:sz w:val="20"/>
                <w:szCs w:val="20"/>
                <w:lang w:val="fr-FR"/>
              </w:rPr>
            </w:pPr>
          </w:p>
          <w:p w14:paraId="09DADE14"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10</w:t>
            </w:r>
          </w:p>
          <w:p w14:paraId="2C8653A6" w14:textId="77777777" w:rsidR="00460579" w:rsidRPr="00AC17A0" w:rsidRDefault="00FA608E" w:rsidP="003B605F">
            <w:pPr>
              <w:ind w:left="57" w:firstLine="0"/>
              <w:rPr>
                <w:rFonts w:cstheme="minorHAnsi"/>
                <w:b/>
                <w:sz w:val="20"/>
                <w:szCs w:val="20"/>
                <w:lang w:val="fr-FR"/>
              </w:rPr>
            </w:pPr>
            <w:r w:rsidRPr="00AC17A0">
              <w:rPr>
                <w:rFonts w:cstheme="minorHAnsi"/>
                <w:sz w:val="20"/>
                <w:szCs w:val="20"/>
                <w:lang w:val="fr-FR"/>
              </w:rPr>
              <w:t>Les connaissances, innovations et pratiques traditionnelles des peuples autochtones et des communautés locales qui présentent un intérêt pour l’utilisation rationnelle des zones humides et leur utilisation coutumière durable des ressources des zones humides, sont documentées, respectées, soumises aux dispositions de la législation nationale et aux obligations internationales en vigueur, et sont pleinement intégrées et prises en compte dans le cadre de l’application de la Convention, avec la participation pleine et effective des peuples autochtones et des communautés locales, à tous les niveaux pertinents</w:t>
            </w:r>
            <w:r w:rsidR="00460579" w:rsidRPr="00AC17A0">
              <w:rPr>
                <w:rFonts w:cstheme="minorHAnsi"/>
                <w:sz w:val="20"/>
                <w:szCs w:val="20"/>
                <w:lang w:val="fr-FR"/>
              </w:rPr>
              <w:t>.</w:t>
            </w:r>
          </w:p>
          <w:p w14:paraId="3843CB7D" w14:textId="77777777" w:rsidR="00460579" w:rsidRPr="00AC17A0" w:rsidRDefault="00460579" w:rsidP="003B605F">
            <w:pPr>
              <w:ind w:left="57" w:firstLine="0"/>
              <w:rPr>
                <w:rFonts w:cstheme="minorHAnsi"/>
                <w:b/>
                <w:sz w:val="20"/>
                <w:szCs w:val="20"/>
                <w:lang w:val="fr-FR"/>
              </w:rPr>
            </w:pPr>
          </w:p>
          <w:p w14:paraId="1BE25F7E" w14:textId="77777777"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D01E70"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p>
          <w:p w14:paraId="56761986" w14:textId="77777777" w:rsidR="00460579" w:rsidRPr="00AC17A0" w:rsidRDefault="00460579" w:rsidP="003B605F">
            <w:pPr>
              <w:ind w:left="57" w:firstLine="0"/>
              <w:rPr>
                <w:rFonts w:cstheme="minorHAnsi"/>
                <w:b/>
                <w:color w:val="262626"/>
                <w:sz w:val="20"/>
                <w:szCs w:val="20"/>
                <w:lang w:val="fr-FR"/>
              </w:rPr>
            </w:pPr>
          </w:p>
          <w:p w14:paraId="0BBDFEBA"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14:paraId="12E1DF45"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157229" w14:paraId="3511AA46" w14:textId="77777777" w:rsidTr="00922A1E">
        <w:tc>
          <w:tcPr>
            <w:tcW w:w="1523" w:type="pct"/>
          </w:tcPr>
          <w:p w14:paraId="532E2838" w14:textId="77777777" w:rsidR="00460579" w:rsidRPr="00AC17A0" w:rsidRDefault="00D01E70" w:rsidP="00015146">
            <w:pPr>
              <w:ind w:left="0" w:firstLine="1"/>
              <w:rPr>
                <w:rFonts w:cstheme="minorHAnsi"/>
                <w:sz w:val="20"/>
                <w:szCs w:val="20"/>
                <w:lang w:val="fr-FR"/>
              </w:rPr>
            </w:pPr>
            <w:r w:rsidRPr="00AC17A0">
              <w:rPr>
                <w:rFonts w:cstheme="minorHAnsi"/>
                <w:sz w:val="20"/>
                <w:szCs w:val="20"/>
                <w:lang w:val="fr-FR"/>
              </w:rPr>
              <w:t xml:space="preserve">Meilleures pratiques pour élaborer et appliquer </w:t>
            </w:r>
            <w:r w:rsidR="00015146" w:rsidRPr="00AC17A0">
              <w:rPr>
                <w:rFonts w:cstheme="minorHAnsi"/>
                <w:sz w:val="20"/>
                <w:szCs w:val="20"/>
                <w:lang w:val="fr-FR"/>
              </w:rPr>
              <w:t xml:space="preserve">des </w:t>
            </w:r>
            <w:r w:rsidRPr="00AC17A0">
              <w:rPr>
                <w:rFonts w:cstheme="minorHAnsi"/>
                <w:sz w:val="20"/>
                <w:szCs w:val="20"/>
                <w:lang w:val="fr-FR"/>
              </w:rPr>
              <w:t>outils pour les Sites Ramsar et autres zones humides, reconnaissant les pratiques traditionnelles des peuples autochtones et des communautés locales</w:t>
            </w:r>
          </w:p>
        </w:tc>
        <w:tc>
          <w:tcPr>
            <w:tcW w:w="3477" w:type="pct"/>
          </w:tcPr>
          <w:p w14:paraId="2CC9D9AA" w14:textId="77777777"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 </w:t>
            </w:r>
            <w:r w:rsidRPr="00AC17A0">
              <w:rPr>
                <w:rFonts w:cstheme="minorHAnsi"/>
                <w:b/>
                <w:sz w:val="20"/>
                <w:szCs w:val="20"/>
                <w:lang w:val="fr-FR"/>
              </w:rPr>
              <w:t>Utiliser toutes les zones humides de façon rationnelle</w:t>
            </w:r>
          </w:p>
          <w:p w14:paraId="56B0291F" w14:textId="77777777" w:rsidR="00460579" w:rsidRPr="00AC17A0" w:rsidRDefault="00460579" w:rsidP="003B605F">
            <w:pPr>
              <w:ind w:left="57" w:firstLine="0"/>
              <w:rPr>
                <w:rFonts w:cstheme="minorHAnsi"/>
                <w:b/>
                <w:sz w:val="20"/>
                <w:szCs w:val="20"/>
                <w:lang w:val="fr-FR"/>
              </w:rPr>
            </w:pPr>
          </w:p>
          <w:p w14:paraId="3F266659"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14:paraId="3F31473D"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14:paraId="6086C002" w14:textId="77777777" w:rsidR="00460579" w:rsidRPr="00AC17A0" w:rsidRDefault="00460579" w:rsidP="003B605F">
            <w:pPr>
              <w:ind w:left="57" w:firstLine="0"/>
              <w:rPr>
                <w:rFonts w:cstheme="minorHAnsi"/>
                <w:sz w:val="20"/>
                <w:szCs w:val="20"/>
                <w:lang w:val="fr-FR"/>
              </w:rPr>
            </w:pPr>
          </w:p>
          <w:p w14:paraId="2C80E631" w14:textId="77777777" w:rsidR="00460579" w:rsidRPr="00AC17A0" w:rsidRDefault="00FA608E" w:rsidP="0053606A">
            <w:pPr>
              <w:keepNext/>
              <w:keepLines/>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9</w:t>
            </w:r>
          </w:p>
          <w:p w14:paraId="680BBAFE" w14:textId="77777777" w:rsidR="003B605F" w:rsidRPr="00AC17A0" w:rsidRDefault="00FE0269" w:rsidP="0053606A">
            <w:pPr>
              <w:keepNext/>
              <w:keepLines/>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14:paraId="25119045"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p>
          <w:p w14:paraId="2DD8736B" w14:textId="77777777" w:rsidR="00460579" w:rsidRPr="00AC17A0" w:rsidRDefault="00FE026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14:paraId="63D0AD3B" w14:textId="77777777" w:rsidR="00460579" w:rsidRPr="00AC17A0" w:rsidRDefault="00460579" w:rsidP="003B605F">
            <w:pPr>
              <w:ind w:left="57" w:firstLine="0"/>
              <w:rPr>
                <w:rFonts w:cstheme="minorHAnsi"/>
                <w:b/>
                <w:sz w:val="20"/>
                <w:szCs w:val="20"/>
                <w:lang w:val="fr-FR"/>
              </w:rPr>
            </w:pPr>
          </w:p>
          <w:p w14:paraId="579296B6"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14:paraId="2DAC9BA3"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14:paraId="51DB75AF" w14:textId="77777777" w:rsidR="00460579" w:rsidRPr="00AC17A0" w:rsidRDefault="00460579" w:rsidP="003B605F">
            <w:pPr>
              <w:ind w:left="57" w:firstLine="0"/>
              <w:rPr>
                <w:rFonts w:cstheme="minorHAnsi"/>
                <w:sz w:val="20"/>
                <w:szCs w:val="20"/>
                <w:lang w:val="fr-FR"/>
              </w:rPr>
            </w:pPr>
          </w:p>
          <w:p w14:paraId="6B3EA0A0" w14:textId="77777777" w:rsidR="00460579" w:rsidRPr="00AC17A0" w:rsidRDefault="00FE0269"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Améliorer la mise en œuvre</w:t>
            </w:r>
          </w:p>
          <w:p w14:paraId="5CA50319" w14:textId="77777777" w:rsidR="00460579" w:rsidRPr="00AC17A0" w:rsidRDefault="00460579" w:rsidP="003B605F">
            <w:pPr>
              <w:ind w:left="57" w:firstLine="0"/>
              <w:rPr>
                <w:rFonts w:cstheme="minorHAnsi"/>
                <w:b/>
                <w:color w:val="262626"/>
                <w:sz w:val="20"/>
                <w:szCs w:val="20"/>
                <w:lang w:val="fr-FR"/>
              </w:rPr>
            </w:pPr>
          </w:p>
          <w:p w14:paraId="4174C25B"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14:paraId="3750E298" w14:textId="77777777" w:rsidR="00460579" w:rsidRPr="00AC17A0" w:rsidRDefault="00FE0269" w:rsidP="003B605F">
            <w:pPr>
              <w:ind w:left="57" w:firstLine="0"/>
              <w:rPr>
                <w:rFonts w:cstheme="minorHAnsi"/>
                <w:color w:val="262626"/>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157229" w14:paraId="0516D0E5" w14:textId="77777777" w:rsidTr="00922A1E">
        <w:tc>
          <w:tcPr>
            <w:tcW w:w="1523" w:type="pct"/>
          </w:tcPr>
          <w:p w14:paraId="01BE1D18" w14:textId="77777777" w:rsidR="00460579" w:rsidRPr="00AC17A0" w:rsidRDefault="0081038E" w:rsidP="005E75CB">
            <w:pPr>
              <w:ind w:left="0" w:firstLine="0"/>
              <w:rPr>
                <w:rFonts w:cstheme="minorHAnsi"/>
                <w:sz w:val="20"/>
                <w:szCs w:val="20"/>
                <w:lang w:val="fr-FR"/>
              </w:rPr>
            </w:pPr>
            <w:r w:rsidRPr="00AC17A0">
              <w:rPr>
                <w:rFonts w:cstheme="minorHAnsi"/>
                <w:sz w:val="20"/>
                <w:szCs w:val="20"/>
                <w:lang w:val="fr-FR"/>
              </w:rPr>
              <w:t>M</w:t>
            </w:r>
            <w:r w:rsidR="0053606A" w:rsidRPr="00AC17A0">
              <w:rPr>
                <w:rFonts w:cstheme="minorHAnsi"/>
                <w:sz w:val="20"/>
                <w:szCs w:val="20"/>
                <w:lang w:val="fr-FR"/>
              </w:rPr>
              <w:t xml:space="preserve">éthodologies pour l’évaluation économique et non économique des valeurs des </w:t>
            </w:r>
            <w:r w:rsidR="00015146" w:rsidRPr="00AC17A0">
              <w:rPr>
                <w:rFonts w:cstheme="minorHAnsi"/>
                <w:sz w:val="20"/>
                <w:szCs w:val="20"/>
                <w:lang w:val="fr-FR"/>
              </w:rPr>
              <w:t xml:space="preserve">fonctions </w:t>
            </w:r>
            <w:r w:rsidR="0053606A" w:rsidRPr="00AC17A0">
              <w:rPr>
                <w:rFonts w:cstheme="minorHAnsi"/>
                <w:sz w:val="20"/>
                <w:szCs w:val="20"/>
                <w:lang w:val="fr-FR"/>
              </w:rPr>
              <w:t>et services des zones humides</w:t>
            </w:r>
            <w:r w:rsidR="00015146" w:rsidRPr="00AC17A0">
              <w:rPr>
                <w:rFonts w:cstheme="minorHAnsi"/>
                <w:sz w:val="20"/>
                <w:szCs w:val="20"/>
                <w:lang w:val="fr-FR"/>
              </w:rPr>
              <w:t xml:space="preserve">, et méthodologies et échange de connaissances améliorés sur les moteurs actuels et futurs de la perte et </w:t>
            </w:r>
            <w:r w:rsidR="005E75CB" w:rsidRPr="00AC17A0">
              <w:rPr>
                <w:rFonts w:cstheme="minorHAnsi"/>
                <w:sz w:val="20"/>
                <w:szCs w:val="20"/>
                <w:lang w:val="fr-FR"/>
              </w:rPr>
              <w:t xml:space="preserve">de </w:t>
            </w:r>
            <w:r w:rsidR="00015146" w:rsidRPr="00AC17A0">
              <w:rPr>
                <w:rFonts w:cstheme="minorHAnsi"/>
                <w:sz w:val="20"/>
                <w:szCs w:val="20"/>
                <w:lang w:val="fr-FR"/>
              </w:rPr>
              <w:t>la dégradation des zones humides</w:t>
            </w:r>
          </w:p>
        </w:tc>
        <w:tc>
          <w:tcPr>
            <w:tcW w:w="3477" w:type="pct"/>
          </w:tcPr>
          <w:p w14:paraId="756ED724" w14:textId="77777777" w:rsidR="00460579" w:rsidRPr="00AC17A0" w:rsidRDefault="00FE0269"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1</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Pr="00AC17A0">
              <w:rPr>
                <w:rFonts w:cstheme="minorHAnsi"/>
                <w:b/>
                <w:sz w:val="20"/>
                <w:szCs w:val="20"/>
                <w:lang w:val="fr-FR"/>
              </w:rPr>
              <w:t>S’attaquer aux moteurs de la perte et de la dégradation des zones humides</w:t>
            </w:r>
            <w:r w:rsidR="00460579" w:rsidRPr="00AC17A0">
              <w:rPr>
                <w:rFonts w:cstheme="minorHAnsi"/>
                <w:b/>
                <w:sz w:val="20"/>
                <w:szCs w:val="20"/>
                <w:lang w:val="fr-FR"/>
              </w:rPr>
              <w:t>.</w:t>
            </w:r>
          </w:p>
          <w:p w14:paraId="38406D7A" w14:textId="77777777" w:rsidR="00460579" w:rsidRPr="00AC17A0" w:rsidRDefault="00460579" w:rsidP="003B605F">
            <w:pPr>
              <w:ind w:left="57" w:firstLine="0"/>
              <w:rPr>
                <w:rFonts w:cstheme="minorHAnsi"/>
                <w:b/>
                <w:sz w:val="20"/>
                <w:szCs w:val="20"/>
                <w:lang w:val="fr-FR"/>
              </w:rPr>
            </w:pPr>
          </w:p>
          <w:p w14:paraId="1AB4B35F"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w:t>
            </w:r>
          </w:p>
          <w:p w14:paraId="2151F305"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AC17A0">
              <w:rPr>
                <w:rFonts w:cstheme="minorHAnsi"/>
                <w:sz w:val="20"/>
                <w:szCs w:val="20"/>
                <w:lang w:val="fr-FR"/>
              </w:rPr>
              <w:t>.</w:t>
            </w:r>
          </w:p>
          <w:p w14:paraId="5FE4C06F" w14:textId="77777777" w:rsidR="00460579" w:rsidRPr="00AC17A0" w:rsidRDefault="00460579" w:rsidP="003B605F">
            <w:pPr>
              <w:ind w:left="57" w:firstLine="0"/>
              <w:rPr>
                <w:rFonts w:cstheme="minorHAnsi"/>
                <w:sz w:val="20"/>
                <w:szCs w:val="20"/>
                <w:lang w:val="fr-FR"/>
              </w:rPr>
            </w:pPr>
          </w:p>
          <w:p w14:paraId="65B75650"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3</w:t>
            </w:r>
          </w:p>
          <w:p w14:paraId="45771BCB"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secteurs public et privé ont redoublé d’efforts pour appliquer des directives et bonnes pratiques d’utilisation rationnelle de l’eau et des zones humides</w:t>
            </w:r>
            <w:r w:rsidR="00460579" w:rsidRPr="00AC17A0">
              <w:rPr>
                <w:rFonts w:cstheme="minorHAnsi"/>
                <w:sz w:val="20"/>
                <w:szCs w:val="20"/>
                <w:lang w:val="fr-FR"/>
              </w:rPr>
              <w:t>.</w:t>
            </w:r>
          </w:p>
          <w:p w14:paraId="057227B2" w14:textId="77777777" w:rsidR="00015146" w:rsidRPr="00AC17A0" w:rsidRDefault="00015146" w:rsidP="003B605F">
            <w:pPr>
              <w:ind w:left="57" w:firstLine="0"/>
              <w:rPr>
                <w:rFonts w:cstheme="minorHAnsi"/>
                <w:sz w:val="20"/>
                <w:szCs w:val="20"/>
                <w:lang w:val="fr-FR"/>
              </w:rPr>
            </w:pPr>
          </w:p>
          <w:p w14:paraId="07698F31" w14:textId="77777777" w:rsidR="00015146" w:rsidRPr="00AC17A0" w:rsidRDefault="00015146" w:rsidP="003B605F">
            <w:pPr>
              <w:ind w:left="57" w:firstLine="0"/>
              <w:rPr>
                <w:rFonts w:cstheme="minorHAnsi"/>
                <w:b/>
                <w:sz w:val="20"/>
                <w:szCs w:val="20"/>
                <w:lang w:val="fr-FR"/>
              </w:rPr>
            </w:pPr>
            <w:r w:rsidRPr="00AC17A0">
              <w:rPr>
                <w:rFonts w:cstheme="minorHAnsi"/>
                <w:b/>
                <w:sz w:val="20"/>
                <w:szCs w:val="20"/>
                <w:lang w:val="fr-FR"/>
              </w:rPr>
              <w:t>Objectif 4</w:t>
            </w:r>
          </w:p>
          <w:p w14:paraId="77A6EEC3" w14:textId="77777777" w:rsidR="00015146" w:rsidRPr="00AC17A0" w:rsidRDefault="00015146" w:rsidP="003B605F">
            <w:pPr>
              <w:ind w:left="57" w:firstLine="0"/>
              <w:rPr>
                <w:rFonts w:cstheme="minorHAnsi"/>
                <w:sz w:val="20"/>
                <w:szCs w:val="20"/>
                <w:lang w:val="fr-FR"/>
              </w:rPr>
            </w:pPr>
            <w:r w:rsidRPr="00AC17A0">
              <w:rPr>
                <w:rFonts w:cstheme="minorHAnsi"/>
                <w:sz w:val="20"/>
                <w:szCs w:val="20"/>
                <w:lang w:val="fr-FR"/>
              </w:rPr>
              <w:t>Les espèces exotiques envahissantes et leurs voies d’introduction et de propagation sont identifiées et hiérarchisées, les espèces exotiques envahissantes prioritaires sont contrôlées et éradiquées et des mesures de gestion sont conçues et mises en œuvre pour empêcher l’introduction et l’établissement de ces espèces.</w:t>
            </w:r>
          </w:p>
          <w:p w14:paraId="5A22B63C" w14:textId="77777777" w:rsidR="00460579" w:rsidRPr="00AC17A0" w:rsidRDefault="00460579" w:rsidP="003B605F">
            <w:pPr>
              <w:ind w:left="57" w:firstLine="0"/>
              <w:rPr>
                <w:rFonts w:cstheme="minorHAnsi"/>
                <w:b/>
                <w:sz w:val="20"/>
                <w:szCs w:val="20"/>
                <w:lang w:val="fr-FR"/>
              </w:rPr>
            </w:pPr>
          </w:p>
          <w:p w14:paraId="00B5FE55"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Utiliser toutes les zones humides de façon rationnelle</w:t>
            </w:r>
          </w:p>
          <w:p w14:paraId="60EAB0E2" w14:textId="77777777" w:rsidR="00460579" w:rsidRPr="00AC17A0" w:rsidRDefault="00460579" w:rsidP="003B605F">
            <w:pPr>
              <w:ind w:left="57" w:firstLine="0"/>
              <w:rPr>
                <w:rFonts w:cstheme="minorHAnsi"/>
                <w:b/>
                <w:sz w:val="20"/>
                <w:szCs w:val="20"/>
                <w:lang w:val="fr-FR"/>
              </w:rPr>
            </w:pPr>
          </w:p>
          <w:p w14:paraId="2690BC2D"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14:paraId="198FC2C5"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14:paraId="3B2FD0CA" w14:textId="77777777" w:rsidR="005A5654" w:rsidRDefault="005A5654" w:rsidP="003B605F">
            <w:pPr>
              <w:ind w:left="57" w:firstLine="0"/>
              <w:rPr>
                <w:rFonts w:cstheme="minorHAnsi"/>
                <w:b/>
                <w:sz w:val="20"/>
                <w:szCs w:val="20"/>
                <w:lang w:val="fr-FR"/>
              </w:rPr>
            </w:pPr>
          </w:p>
          <w:p w14:paraId="3469AB54"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9</w:t>
            </w:r>
          </w:p>
          <w:p w14:paraId="54DE761A"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14:paraId="7565B34F" w14:textId="77777777" w:rsidR="00460579" w:rsidRPr="00AC17A0" w:rsidRDefault="00FA608E" w:rsidP="003B605F">
            <w:pPr>
              <w:keepNext/>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p>
          <w:p w14:paraId="599CE52B" w14:textId="77777777" w:rsidR="00460579" w:rsidRPr="00AC17A0" w:rsidRDefault="00FE026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14:paraId="73108C0B" w14:textId="77777777" w:rsidR="00460579" w:rsidRPr="00AC17A0" w:rsidRDefault="00460579" w:rsidP="003B605F">
            <w:pPr>
              <w:ind w:left="57" w:firstLine="0"/>
              <w:rPr>
                <w:rFonts w:cstheme="minorHAnsi"/>
                <w:sz w:val="20"/>
                <w:szCs w:val="20"/>
                <w:lang w:val="fr-FR"/>
              </w:rPr>
            </w:pPr>
          </w:p>
          <w:p w14:paraId="5CD971A3"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14:paraId="1CE96CEF"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14:paraId="4204C3D2" w14:textId="77777777" w:rsidR="00460579" w:rsidRPr="00AC17A0" w:rsidRDefault="00460579" w:rsidP="003B605F">
            <w:pPr>
              <w:ind w:left="57" w:firstLine="0"/>
              <w:rPr>
                <w:rFonts w:cstheme="minorHAnsi"/>
                <w:sz w:val="20"/>
                <w:szCs w:val="20"/>
                <w:lang w:val="fr-FR"/>
              </w:rPr>
            </w:pPr>
          </w:p>
          <w:p w14:paraId="4BD93591" w14:textId="77777777"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p>
          <w:p w14:paraId="66E8D331" w14:textId="77777777" w:rsidR="00460579" w:rsidRPr="00AC17A0" w:rsidRDefault="00460579" w:rsidP="003B605F">
            <w:pPr>
              <w:ind w:left="57" w:firstLine="0"/>
              <w:rPr>
                <w:rFonts w:cstheme="minorHAnsi"/>
                <w:b/>
                <w:color w:val="262626"/>
                <w:sz w:val="20"/>
                <w:szCs w:val="20"/>
                <w:lang w:val="fr-FR"/>
              </w:rPr>
            </w:pPr>
          </w:p>
          <w:p w14:paraId="0CFADEA3"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14:paraId="0F3BD2E8" w14:textId="77777777" w:rsidR="00AC17A0" w:rsidRPr="00AC17A0" w:rsidRDefault="00FE0269" w:rsidP="005A5654">
            <w:pPr>
              <w:ind w:left="57" w:firstLine="0"/>
              <w:rPr>
                <w:rFonts w:cstheme="minorHAnsi"/>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157229" w14:paraId="667389CE" w14:textId="77777777" w:rsidTr="00922A1E">
        <w:tc>
          <w:tcPr>
            <w:tcW w:w="1523" w:type="pct"/>
          </w:tcPr>
          <w:p w14:paraId="5758A706" w14:textId="77777777" w:rsidR="00460579" w:rsidRPr="00AC17A0" w:rsidRDefault="00311BFD" w:rsidP="00311BFD">
            <w:pPr>
              <w:ind w:left="0" w:firstLine="0"/>
              <w:rPr>
                <w:rFonts w:cstheme="minorHAnsi"/>
                <w:sz w:val="20"/>
                <w:szCs w:val="20"/>
                <w:lang w:val="fr-FR"/>
              </w:rPr>
            </w:pPr>
            <w:r w:rsidRPr="00AC17A0">
              <w:rPr>
                <w:rFonts w:cstheme="minorHAnsi"/>
                <w:sz w:val="20"/>
                <w:szCs w:val="20"/>
                <w:lang w:val="fr-FR"/>
              </w:rPr>
              <w:t xml:space="preserve">Promotion de </w:t>
            </w:r>
            <w:r w:rsidR="0053606A" w:rsidRPr="00AC17A0">
              <w:rPr>
                <w:rFonts w:cstheme="minorHAnsi"/>
                <w:sz w:val="20"/>
                <w:szCs w:val="20"/>
                <w:lang w:val="fr-FR"/>
              </w:rPr>
              <w:t xml:space="preserve">la conservation des zones humides </w:t>
            </w:r>
            <w:r w:rsidRPr="00AC17A0">
              <w:rPr>
                <w:rFonts w:cstheme="minorHAnsi"/>
                <w:sz w:val="20"/>
                <w:szCs w:val="20"/>
                <w:lang w:val="fr-FR"/>
              </w:rPr>
              <w:t xml:space="preserve">au sein de cadres de </w:t>
            </w:r>
            <w:r w:rsidR="0053606A" w:rsidRPr="00AC17A0">
              <w:rPr>
                <w:rFonts w:cstheme="minorHAnsi"/>
                <w:sz w:val="20"/>
                <w:szCs w:val="20"/>
                <w:lang w:val="fr-FR"/>
              </w:rPr>
              <w:t>développement durable</w:t>
            </w:r>
            <w:r w:rsidRPr="00AC17A0">
              <w:rPr>
                <w:rFonts w:cstheme="minorHAnsi"/>
                <w:sz w:val="20"/>
                <w:szCs w:val="20"/>
                <w:lang w:val="fr-FR"/>
              </w:rPr>
              <w:t xml:space="preserve"> et autres initiatives pertinentes de développement</w:t>
            </w:r>
          </w:p>
        </w:tc>
        <w:tc>
          <w:tcPr>
            <w:tcW w:w="3477" w:type="pct"/>
          </w:tcPr>
          <w:p w14:paraId="7F0C761B"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1</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S’attaquer aux moteurs de la perte et de la dégradation des zones humides</w:t>
            </w:r>
            <w:r w:rsidR="00460579" w:rsidRPr="00AC17A0">
              <w:rPr>
                <w:rFonts w:cstheme="minorHAnsi"/>
                <w:b/>
                <w:sz w:val="20"/>
                <w:szCs w:val="20"/>
                <w:lang w:val="fr-FR"/>
              </w:rPr>
              <w:t>.</w:t>
            </w:r>
          </w:p>
          <w:p w14:paraId="1C1BDD5A" w14:textId="77777777" w:rsidR="00460579" w:rsidRPr="00AC17A0" w:rsidRDefault="00460579" w:rsidP="003B605F">
            <w:pPr>
              <w:ind w:left="57" w:firstLine="0"/>
              <w:rPr>
                <w:rFonts w:cstheme="minorHAnsi"/>
                <w:b/>
                <w:bCs/>
                <w:sz w:val="20"/>
                <w:szCs w:val="20"/>
                <w:lang w:val="fr-FR"/>
              </w:rPr>
            </w:pPr>
          </w:p>
          <w:p w14:paraId="74077CC4"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w:t>
            </w:r>
          </w:p>
          <w:p w14:paraId="5E4A5872" w14:textId="77777777" w:rsidR="00460579" w:rsidRPr="00AC17A0" w:rsidRDefault="00FE0269" w:rsidP="003B605F">
            <w:pPr>
              <w:ind w:left="57" w:firstLine="0"/>
              <w:rPr>
                <w:rFonts w:cstheme="minorHAnsi"/>
                <w:sz w:val="20"/>
                <w:szCs w:val="20"/>
                <w:lang w:val="fr-FR"/>
              </w:rPr>
            </w:pPr>
            <w:r w:rsidRPr="00AC17A0">
              <w:rPr>
                <w:rFonts w:cstheme="minorHAnsi"/>
                <w:sz w:val="20"/>
                <w:szCs w:val="20"/>
                <w:lang w:val="fr-FR"/>
              </w:rPr>
              <w:t>Les avantages des zones humides figurent dans les politiques / stratégies et plans relatifs à des secteurs clés tels que l’eau, l’énergie, les mines, l’agriculture, le tourisme, le développement urbain, l’infrastructure, l’industrie, la foresterie, l’aquaculture et la pêche aux niveaux national et local</w:t>
            </w:r>
            <w:r w:rsidR="00460579" w:rsidRPr="00AC17A0">
              <w:rPr>
                <w:rFonts w:cstheme="minorHAnsi"/>
                <w:sz w:val="20"/>
                <w:szCs w:val="20"/>
                <w:lang w:val="fr-FR"/>
              </w:rPr>
              <w:t>.</w:t>
            </w:r>
          </w:p>
          <w:p w14:paraId="65300752" w14:textId="77777777" w:rsidR="00460579" w:rsidRPr="00AC17A0" w:rsidRDefault="00460579" w:rsidP="003B605F">
            <w:pPr>
              <w:ind w:left="57" w:firstLine="0"/>
              <w:rPr>
                <w:rFonts w:cstheme="minorHAnsi"/>
                <w:sz w:val="20"/>
                <w:szCs w:val="20"/>
                <w:lang w:val="fr-FR"/>
              </w:rPr>
            </w:pPr>
          </w:p>
          <w:p w14:paraId="7E95C2EE"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3</w:t>
            </w:r>
          </w:p>
          <w:p w14:paraId="5264251D" w14:textId="77777777" w:rsidR="00460579" w:rsidRPr="00AC17A0" w:rsidRDefault="007E1609" w:rsidP="003B605F">
            <w:pPr>
              <w:ind w:left="57" w:firstLine="0"/>
              <w:rPr>
                <w:rFonts w:cstheme="minorHAnsi"/>
                <w:b/>
                <w:sz w:val="20"/>
                <w:szCs w:val="20"/>
                <w:lang w:val="fr-FR"/>
              </w:rPr>
            </w:pPr>
            <w:r w:rsidRPr="00AC17A0">
              <w:rPr>
                <w:rFonts w:cstheme="minorHAnsi"/>
                <w:sz w:val="20"/>
                <w:szCs w:val="20"/>
                <w:lang w:val="fr-FR"/>
              </w:rPr>
              <w:t>Les secteurs public et privé ont redoublé d’efforts pour appliquer des directives et bonnes pratiques d’utilisation rationnelle de l’eau et des zones humides</w:t>
            </w:r>
            <w:r w:rsidR="00460579" w:rsidRPr="00AC17A0">
              <w:rPr>
                <w:rFonts w:cstheme="minorHAnsi"/>
                <w:sz w:val="20"/>
                <w:szCs w:val="20"/>
                <w:lang w:val="fr-FR"/>
              </w:rPr>
              <w:t>.</w:t>
            </w:r>
          </w:p>
          <w:p w14:paraId="66F09EBA" w14:textId="77777777" w:rsidR="00460579" w:rsidRPr="00AC17A0" w:rsidRDefault="00460579" w:rsidP="003B605F">
            <w:pPr>
              <w:ind w:left="57" w:firstLine="0"/>
              <w:rPr>
                <w:rFonts w:cstheme="minorHAnsi"/>
                <w:sz w:val="20"/>
                <w:szCs w:val="20"/>
                <w:lang w:val="fr-FR"/>
              </w:rPr>
            </w:pPr>
          </w:p>
          <w:p w14:paraId="38063391"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Utiliser toutes les zones humides de façon rationnelle</w:t>
            </w:r>
          </w:p>
          <w:p w14:paraId="60F50E07" w14:textId="77777777" w:rsidR="00460579" w:rsidRPr="00AC17A0" w:rsidRDefault="00460579" w:rsidP="003B605F">
            <w:pPr>
              <w:ind w:left="57" w:firstLine="0"/>
              <w:rPr>
                <w:rFonts w:cstheme="minorHAnsi"/>
                <w:b/>
                <w:bCs/>
                <w:sz w:val="20"/>
                <w:szCs w:val="20"/>
                <w:lang w:val="fr-FR"/>
              </w:rPr>
            </w:pPr>
          </w:p>
          <w:p w14:paraId="3427FFE8"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14:paraId="7D912731" w14:textId="77777777"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14:paraId="449980AE" w14:textId="77777777" w:rsidR="00460579" w:rsidRPr="00AC17A0" w:rsidRDefault="00460579" w:rsidP="003B605F">
            <w:pPr>
              <w:ind w:left="57" w:firstLine="0"/>
              <w:rPr>
                <w:rFonts w:cstheme="minorHAnsi"/>
                <w:b/>
                <w:sz w:val="20"/>
                <w:szCs w:val="20"/>
                <w:lang w:val="fr-FR"/>
              </w:rPr>
            </w:pPr>
          </w:p>
          <w:p w14:paraId="4FEA730B"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9</w:t>
            </w:r>
          </w:p>
          <w:p w14:paraId="704C530C" w14:textId="77777777"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14:paraId="3B1ADC56" w14:textId="77777777" w:rsidR="00460579" w:rsidRPr="00AC17A0" w:rsidRDefault="00460579" w:rsidP="003B605F">
            <w:pPr>
              <w:ind w:left="57" w:firstLine="0"/>
              <w:rPr>
                <w:rFonts w:cstheme="minorHAnsi"/>
                <w:sz w:val="20"/>
                <w:szCs w:val="20"/>
                <w:lang w:val="fr-FR"/>
              </w:rPr>
            </w:pPr>
          </w:p>
          <w:p w14:paraId="10839527"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p>
          <w:p w14:paraId="22FDBEB4" w14:textId="77777777" w:rsidR="00460579" w:rsidRPr="00AC17A0" w:rsidRDefault="007E160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14:paraId="7B89C871" w14:textId="77777777" w:rsidR="00BB769B" w:rsidRPr="00AC17A0" w:rsidRDefault="00BB769B" w:rsidP="003B605F">
            <w:pPr>
              <w:ind w:left="57" w:firstLine="0"/>
              <w:rPr>
                <w:rFonts w:cstheme="minorHAnsi"/>
                <w:b/>
                <w:sz w:val="20"/>
                <w:szCs w:val="20"/>
                <w:lang w:val="fr-FR"/>
              </w:rPr>
            </w:pPr>
          </w:p>
          <w:p w14:paraId="6FDB9B12"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14:paraId="56D903D7" w14:textId="77777777"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14:paraId="5E752426" w14:textId="77777777" w:rsidR="00460579" w:rsidRPr="00AC17A0" w:rsidRDefault="00460579" w:rsidP="003B605F">
            <w:pPr>
              <w:ind w:left="57" w:firstLine="0"/>
              <w:rPr>
                <w:rFonts w:cstheme="minorHAnsi"/>
                <w:sz w:val="20"/>
                <w:szCs w:val="20"/>
                <w:lang w:val="fr-FR"/>
              </w:rPr>
            </w:pPr>
          </w:p>
          <w:p w14:paraId="4EF8A5DD"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13</w:t>
            </w:r>
          </w:p>
          <w:p w14:paraId="33FFE3E1" w14:textId="77777777"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pratiques de secteurs clés, tels que l’eau, l’énergie, les mines, l’agriculture, le tourisme, le développement urbain, l’infrastructure, l’industrie, la foresterie, l’aquaculture et la pêche, touchant aux zones humides, sont plus durables et contribuent à la conservation de la biodiversité et aux moyens d’existence des êtres humains</w:t>
            </w:r>
            <w:r w:rsidR="00460579" w:rsidRPr="00AC17A0">
              <w:rPr>
                <w:rFonts w:cstheme="minorHAnsi"/>
                <w:sz w:val="20"/>
                <w:szCs w:val="20"/>
                <w:lang w:val="fr-FR"/>
              </w:rPr>
              <w:t>.</w:t>
            </w:r>
          </w:p>
          <w:p w14:paraId="7AD60B59" w14:textId="77777777" w:rsidR="00460579" w:rsidRPr="00AC17A0" w:rsidRDefault="00460579" w:rsidP="003B605F">
            <w:pPr>
              <w:ind w:left="57" w:firstLine="0"/>
              <w:rPr>
                <w:rFonts w:cstheme="minorHAnsi"/>
                <w:sz w:val="20"/>
                <w:szCs w:val="20"/>
                <w:lang w:val="fr-FR"/>
              </w:rPr>
            </w:pPr>
          </w:p>
          <w:p w14:paraId="007E42A8" w14:textId="77777777" w:rsidR="00460579" w:rsidRPr="00AC17A0" w:rsidRDefault="00FA608E" w:rsidP="003B605F">
            <w:pPr>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FE0269" w:rsidRPr="00AC17A0">
              <w:rPr>
                <w:rFonts w:cstheme="minorHAnsi"/>
                <w:b/>
                <w:sz w:val="20"/>
                <w:szCs w:val="20"/>
                <w:lang w:val="fr-FR"/>
              </w:rPr>
              <w:t>Améliorer la mise en œuvre</w:t>
            </w:r>
            <w:r w:rsidR="00FE0269" w:rsidRPr="00AC17A0">
              <w:rPr>
                <w:rFonts w:cstheme="minorHAnsi"/>
                <w:b/>
                <w:color w:val="262626"/>
                <w:sz w:val="20"/>
                <w:szCs w:val="20"/>
                <w:lang w:val="fr-FR"/>
              </w:rPr>
              <w:t xml:space="preserve"> </w:t>
            </w:r>
          </w:p>
          <w:p w14:paraId="06CFDB1C" w14:textId="77777777" w:rsidR="00460579" w:rsidRPr="00AC17A0" w:rsidRDefault="00460579" w:rsidP="003B605F">
            <w:pPr>
              <w:ind w:left="57" w:firstLine="0"/>
              <w:rPr>
                <w:rFonts w:cstheme="minorHAnsi"/>
                <w:b/>
                <w:color w:val="262626"/>
                <w:sz w:val="20"/>
                <w:szCs w:val="20"/>
                <w:lang w:val="fr-FR"/>
              </w:rPr>
            </w:pPr>
          </w:p>
          <w:p w14:paraId="6F157DDD"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14:paraId="2833CE06" w14:textId="4A243676" w:rsidR="00AC17A0" w:rsidRPr="00AC17A0" w:rsidRDefault="007E1609" w:rsidP="00922A1E">
            <w:pPr>
              <w:ind w:left="57" w:firstLine="0"/>
              <w:rPr>
                <w:rFonts w:cstheme="minorHAnsi"/>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r w:rsidR="00460579" w:rsidRPr="00157229" w14:paraId="5DCD2EC9" w14:textId="77777777" w:rsidTr="00922A1E">
        <w:tc>
          <w:tcPr>
            <w:tcW w:w="1523" w:type="pct"/>
          </w:tcPr>
          <w:p w14:paraId="797A8491" w14:textId="77777777" w:rsidR="00460579" w:rsidRPr="00AC17A0" w:rsidRDefault="0053606A" w:rsidP="00B4703E">
            <w:pPr>
              <w:ind w:left="0" w:firstLine="0"/>
              <w:rPr>
                <w:rFonts w:cstheme="minorHAnsi"/>
                <w:bCs/>
                <w:sz w:val="20"/>
                <w:szCs w:val="20"/>
                <w:lang w:val="fr-FR"/>
              </w:rPr>
            </w:pPr>
            <w:r w:rsidRPr="00AC17A0">
              <w:rPr>
                <w:rFonts w:cstheme="minorHAnsi"/>
                <w:bCs/>
                <w:sz w:val="20"/>
                <w:szCs w:val="20"/>
                <w:lang w:val="fr-FR"/>
              </w:rPr>
              <w:t>Changements climatiques et zones humides : méthodologies innovantes pour la comptabilité / les évaluations du carbone en rapport avec les zones humides</w:t>
            </w:r>
          </w:p>
        </w:tc>
        <w:tc>
          <w:tcPr>
            <w:tcW w:w="3477" w:type="pct"/>
          </w:tcPr>
          <w:p w14:paraId="6C3C9B9F"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3: </w:t>
            </w:r>
            <w:r w:rsidR="007E1609" w:rsidRPr="00AC17A0">
              <w:rPr>
                <w:rFonts w:cstheme="minorHAnsi"/>
                <w:b/>
                <w:sz w:val="20"/>
                <w:szCs w:val="20"/>
                <w:lang w:val="fr-FR"/>
              </w:rPr>
              <w:t>Utiliser toutes les zones humides de façon rationnelle</w:t>
            </w:r>
          </w:p>
          <w:p w14:paraId="6C2B00CB" w14:textId="77777777" w:rsidR="00460579" w:rsidRPr="00AC17A0" w:rsidRDefault="00460579" w:rsidP="003B605F">
            <w:pPr>
              <w:ind w:left="57" w:firstLine="0"/>
              <w:rPr>
                <w:rFonts w:cstheme="minorHAnsi"/>
                <w:color w:val="262626"/>
                <w:sz w:val="20"/>
                <w:szCs w:val="20"/>
                <w:lang w:val="fr-FR"/>
              </w:rPr>
            </w:pPr>
          </w:p>
          <w:p w14:paraId="48CA6A73"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8</w:t>
            </w:r>
          </w:p>
          <w:p w14:paraId="18629D9D" w14:textId="77777777"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inventaires nationaux des zones humides sont commencés, terminés ou mis à jour et diffusés et utilisés pour promouvoir la conservation et la gestion efficace de toutes les zones humides</w:t>
            </w:r>
            <w:r w:rsidR="00460579" w:rsidRPr="00AC17A0">
              <w:rPr>
                <w:rFonts w:cstheme="minorHAnsi"/>
                <w:sz w:val="20"/>
                <w:szCs w:val="20"/>
                <w:lang w:val="fr-FR"/>
              </w:rPr>
              <w:t>.</w:t>
            </w:r>
          </w:p>
          <w:p w14:paraId="1A454FBA" w14:textId="77777777" w:rsidR="00460579" w:rsidRPr="00AC17A0" w:rsidRDefault="00460579" w:rsidP="003B605F">
            <w:pPr>
              <w:ind w:left="57" w:firstLine="0"/>
              <w:rPr>
                <w:rFonts w:cstheme="minorHAnsi"/>
                <w:b/>
                <w:sz w:val="20"/>
                <w:szCs w:val="20"/>
                <w:lang w:val="fr-FR"/>
              </w:rPr>
            </w:pPr>
          </w:p>
          <w:p w14:paraId="7010552E"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9</w:t>
            </w:r>
          </w:p>
          <w:p w14:paraId="3DA0B1E8" w14:textId="77777777"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L’utilisation rationnelle des zones humides est renforcée par la gestion intégrée des ressources à l’échelle qui convient, notamment celle d’un bassin versant ou le long d’une zone côtière</w:t>
            </w:r>
            <w:r w:rsidR="00460579" w:rsidRPr="00AC17A0">
              <w:rPr>
                <w:rFonts w:cstheme="minorHAnsi"/>
                <w:sz w:val="20"/>
                <w:szCs w:val="20"/>
                <w:lang w:val="fr-FR"/>
              </w:rPr>
              <w:t>.</w:t>
            </w:r>
          </w:p>
          <w:p w14:paraId="58D5F635" w14:textId="77777777" w:rsidR="00460579" w:rsidRPr="00AC17A0" w:rsidRDefault="00460579" w:rsidP="003B605F">
            <w:pPr>
              <w:ind w:left="57" w:firstLine="0"/>
              <w:rPr>
                <w:rFonts w:cstheme="minorHAnsi"/>
                <w:sz w:val="20"/>
                <w:szCs w:val="20"/>
                <w:lang w:val="fr-FR"/>
              </w:rPr>
            </w:pPr>
          </w:p>
          <w:p w14:paraId="235342CC"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11</w:t>
            </w:r>
          </w:p>
          <w:p w14:paraId="4C364308" w14:textId="77777777" w:rsidR="00460579" w:rsidRPr="00AC17A0" w:rsidRDefault="007E1609" w:rsidP="003B605F">
            <w:pPr>
              <w:ind w:left="57" w:firstLine="0"/>
              <w:rPr>
                <w:rFonts w:cstheme="minorHAnsi"/>
                <w:sz w:val="20"/>
                <w:szCs w:val="20"/>
                <w:highlight w:val="yellow"/>
                <w:lang w:val="fr-FR"/>
              </w:rPr>
            </w:pPr>
            <w:r w:rsidRPr="00AC17A0">
              <w:rPr>
                <w:rFonts w:cstheme="minorHAnsi"/>
                <w:sz w:val="20"/>
                <w:szCs w:val="20"/>
                <w:lang w:val="fr-FR"/>
              </w:rPr>
              <w:t>Les fonctions, services et avantages des zones humides sont largement démontrés, documentés et diffusés</w:t>
            </w:r>
            <w:r w:rsidR="00460579" w:rsidRPr="00AC17A0">
              <w:rPr>
                <w:rFonts w:cstheme="minorHAnsi"/>
                <w:sz w:val="20"/>
                <w:szCs w:val="20"/>
                <w:lang w:val="fr-FR"/>
              </w:rPr>
              <w:t>.</w:t>
            </w:r>
            <w:r w:rsidR="00460579" w:rsidRPr="00AC17A0">
              <w:rPr>
                <w:rFonts w:cstheme="minorHAnsi"/>
                <w:sz w:val="20"/>
                <w:szCs w:val="20"/>
                <w:lang w:val="fr-FR"/>
              </w:rPr>
              <w:tab/>
            </w:r>
          </w:p>
          <w:p w14:paraId="58B66937" w14:textId="77777777" w:rsidR="00460579" w:rsidRPr="00AC17A0" w:rsidRDefault="00460579" w:rsidP="003B605F">
            <w:pPr>
              <w:ind w:left="57" w:firstLine="0"/>
              <w:rPr>
                <w:rFonts w:cstheme="minorHAnsi"/>
                <w:sz w:val="20"/>
                <w:szCs w:val="20"/>
                <w:lang w:val="fr-FR"/>
              </w:rPr>
            </w:pPr>
          </w:p>
          <w:p w14:paraId="68EF3E9E"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12</w:t>
            </w:r>
          </w:p>
          <w:p w14:paraId="3D4212DC" w14:textId="77777777" w:rsidR="00460579" w:rsidRPr="00AC17A0" w:rsidRDefault="007E1609" w:rsidP="003B605F">
            <w:pPr>
              <w:ind w:left="57" w:firstLine="0"/>
              <w:rPr>
                <w:rFonts w:cstheme="minorHAnsi"/>
                <w:sz w:val="20"/>
                <w:szCs w:val="20"/>
                <w:lang w:val="fr-FR"/>
              </w:rPr>
            </w:pPr>
            <w:r w:rsidRPr="00AC17A0">
              <w:rPr>
                <w:rFonts w:cstheme="minorHAnsi"/>
                <w:sz w:val="20"/>
                <w:szCs w:val="20"/>
                <w:lang w:val="fr-FR"/>
              </w:rPr>
              <w:t>Les zones humides dégradées sont en cours de restauration, la priorité étant donnée aux zones humides importantes pour la conservation de la biodiversité, la prévention des risques de catastrophes, les moyens d’existence et/ou l’atténuation des changements climatiques et l’adaptation à ces changements</w:t>
            </w:r>
            <w:r w:rsidR="00460579" w:rsidRPr="00AC17A0">
              <w:rPr>
                <w:rFonts w:cstheme="minorHAnsi"/>
                <w:sz w:val="20"/>
                <w:szCs w:val="20"/>
                <w:lang w:val="fr-FR"/>
              </w:rPr>
              <w:t>.</w:t>
            </w:r>
          </w:p>
          <w:p w14:paraId="2ADA4522" w14:textId="77777777" w:rsidR="00460579" w:rsidRPr="00AC17A0" w:rsidRDefault="00460579" w:rsidP="003B605F">
            <w:pPr>
              <w:ind w:left="57" w:firstLine="0"/>
              <w:rPr>
                <w:rFonts w:cstheme="minorHAnsi"/>
                <w:sz w:val="20"/>
                <w:szCs w:val="20"/>
                <w:lang w:val="fr-FR"/>
              </w:rPr>
            </w:pPr>
          </w:p>
          <w:p w14:paraId="129B0092" w14:textId="77777777" w:rsidR="00460579" w:rsidRPr="00AC17A0" w:rsidRDefault="00FA608E" w:rsidP="00AC17A0">
            <w:pPr>
              <w:keepNext/>
              <w:ind w:left="57" w:firstLine="0"/>
              <w:rPr>
                <w:rFonts w:cstheme="minorHAnsi"/>
                <w:b/>
                <w:color w:val="262626"/>
                <w:sz w:val="20"/>
                <w:szCs w:val="20"/>
                <w:lang w:val="fr-FR"/>
              </w:rPr>
            </w:pPr>
            <w:r w:rsidRPr="00AC17A0">
              <w:rPr>
                <w:rFonts w:cstheme="minorHAnsi"/>
                <w:b/>
                <w:sz w:val="20"/>
                <w:szCs w:val="20"/>
                <w:lang w:val="fr-FR"/>
              </w:rPr>
              <w:t>But</w:t>
            </w:r>
            <w:r w:rsidR="00460579" w:rsidRPr="00AC17A0">
              <w:rPr>
                <w:rFonts w:cstheme="minorHAnsi"/>
                <w:b/>
                <w:sz w:val="20"/>
                <w:szCs w:val="20"/>
                <w:lang w:val="fr-FR"/>
              </w:rPr>
              <w:t xml:space="preserve"> 4</w:t>
            </w:r>
            <w:r w:rsidR="0053606A" w:rsidRPr="00AC17A0">
              <w:rPr>
                <w:rFonts w:cstheme="minorHAnsi"/>
                <w:b/>
                <w:sz w:val="20"/>
                <w:szCs w:val="20"/>
                <w:lang w:val="fr-FR"/>
              </w:rPr>
              <w:t xml:space="preserve"> </w:t>
            </w:r>
            <w:r w:rsidR="00460579" w:rsidRPr="00AC17A0">
              <w:rPr>
                <w:rFonts w:cstheme="minorHAnsi"/>
                <w:b/>
                <w:sz w:val="20"/>
                <w:szCs w:val="20"/>
                <w:lang w:val="fr-FR"/>
              </w:rPr>
              <w:t xml:space="preserve">: </w:t>
            </w:r>
            <w:r w:rsidR="007E1609" w:rsidRPr="00AC17A0">
              <w:rPr>
                <w:rFonts w:cstheme="minorHAnsi"/>
                <w:b/>
                <w:sz w:val="20"/>
                <w:szCs w:val="20"/>
                <w:lang w:val="fr-FR"/>
              </w:rPr>
              <w:t>Améliorer la mise en œuvre</w:t>
            </w:r>
          </w:p>
          <w:p w14:paraId="5F71A4FF" w14:textId="77777777" w:rsidR="00460579" w:rsidRPr="00AC17A0" w:rsidRDefault="00460579" w:rsidP="003B605F">
            <w:pPr>
              <w:ind w:left="57" w:firstLine="0"/>
              <w:rPr>
                <w:rFonts w:cstheme="minorHAnsi"/>
                <w:b/>
                <w:color w:val="262626"/>
                <w:sz w:val="20"/>
                <w:szCs w:val="20"/>
                <w:lang w:val="fr-FR"/>
              </w:rPr>
            </w:pPr>
          </w:p>
          <w:p w14:paraId="25D3C12D" w14:textId="77777777" w:rsidR="00460579" w:rsidRPr="00AC17A0" w:rsidRDefault="00FA608E" w:rsidP="003B605F">
            <w:pPr>
              <w:ind w:left="57" w:firstLine="0"/>
              <w:rPr>
                <w:rFonts w:cstheme="minorHAnsi"/>
                <w:b/>
                <w:sz w:val="20"/>
                <w:szCs w:val="20"/>
                <w:lang w:val="fr-FR"/>
              </w:rPr>
            </w:pPr>
            <w:r w:rsidRPr="00AC17A0">
              <w:rPr>
                <w:rFonts w:cstheme="minorHAnsi"/>
                <w:b/>
                <w:sz w:val="20"/>
                <w:szCs w:val="20"/>
                <w:lang w:val="fr-FR"/>
              </w:rPr>
              <w:t xml:space="preserve">Objectif </w:t>
            </w:r>
            <w:r w:rsidR="00460579" w:rsidRPr="00AC17A0">
              <w:rPr>
                <w:rFonts w:cstheme="minorHAnsi"/>
                <w:b/>
                <w:sz w:val="20"/>
                <w:szCs w:val="20"/>
                <w:lang w:val="fr-FR"/>
              </w:rPr>
              <w:t>14</w:t>
            </w:r>
          </w:p>
          <w:p w14:paraId="47A69C76" w14:textId="77777777" w:rsidR="00460579" w:rsidRPr="00AC17A0" w:rsidRDefault="007E1609" w:rsidP="00BB769B">
            <w:pPr>
              <w:ind w:left="57" w:firstLine="0"/>
              <w:rPr>
                <w:rFonts w:cstheme="minorHAnsi"/>
                <w:b/>
                <w:sz w:val="20"/>
                <w:szCs w:val="20"/>
                <w:lang w:val="fr-FR"/>
              </w:rPr>
            </w:pPr>
            <w:r w:rsidRPr="00AC17A0">
              <w:rPr>
                <w:rFonts w:cstheme="minorHAnsi"/>
                <w:sz w:val="20"/>
                <w:szCs w:val="20"/>
                <w:lang w:val="fr-FR"/>
              </w:rPr>
              <w:t>Des orientations scientifiques et des méthodologies techniques, aux niveaux mondial et régional, sont préparées sur différents sujets et mises à la disposition des décideurs et praticiens sous une forme et dans un langage appropriés</w:t>
            </w:r>
            <w:r w:rsidR="00460579" w:rsidRPr="00AC17A0">
              <w:rPr>
                <w:rFonts w:cstheme="minorHAnsi"/>
                <w:sz w:val="20"/>
                <w:szCs w:val="20"/>
                <w:lang w:val="fr-FR"/>
              </w:rPr>
              <w:t>.</w:t>
            </w:r>
          </w:p>
        </w:tc>
      </w:tr>
    </w:tbl>
    <w:p w14:paraId="14FF0059" w14:textId="77777777" w:rsidR="00922A1E" w:rsidRDefault="00922A1E" w:rsidP="00AC17A0">
      <w:pPr>
        <w:rPr>
          <w:rFonts w:ascii="Calibri" w:hAnsi="Calibri" w:cs="Arial"/>
          <w:b/>
          <w:lang w:val="fr-FR"/>
        </w:rPr>
        <w:sectPr w:rsidR="00922A1E" w:rsidSect="00922A1E">
          <w:footerReference w:type="default" r:id="rId9"/>
          <w:pgSz w:w="16838" w:h="11906" w:orient="landscape"/>
          <w:pgMar w:top="1440" w:right="1440" w:bottom="1440" w:left="1440" w:header="709" w:footer="709" w:gutter="0"/>
          <w:cols w:space="708"/>
          <w:docGrid w:linePitch="360"/>
        </w:sectPr>
      </w:pPr>
    </w:p>
    <w:p w14:paraId="2388BFA5" w14:textId="15C08019" w:rsidR="00284F28" w:rsidRPr="004E5C0F" w:rsidRDefault="00AC17A0" w:rsidP="00080232">
      <w:pPr>
        <w:spacing w:after="0" w:line="240" w:lineRule="auto"/>
        <w:rPr>
          <w:rFonts w:ascii="Calibri" w:hAnsi="Calibri" w:cs="Arial"/>
          <w:b/>
          <w:sz w:val="24"/>
          <w:szCs w:val="24"/>
          <w:lang w:val="fr-FR"/>
        </w:rPr>
      </w:pPr>
      <w:r>
        <w:rPr>
          <w:rFonts w:ascii="Calibri" w:hAnsi="Calibri" w:cs="Arial"/>
          <w:b/>
          <w:lang w:val="fr-FR"/>
        </w:rPr>
        <w:t>A</w:t>
      </w:r>
      <w:r w:rsidR="00284F28" w:rsidRPr="004E5C0F">
        <w:rPr>
          <w:rFonts w:ascii="Calibri" w:hAnsi="Calibri" w:cs="Arial"/>
          <w:b/>
          <w:sz w:val="24"/>
          <w:szCs w:val="24"/>
          <w:lang w:val="fr-FR"/>
        </w:rPr>
        <w:t>nnex</w:t>
      </w:r>
      <w:r w:rsidR="004E0B1B" w:rsidRPr="004E5C0F">
        <w:rPr>
          <w:rFonts w:ascii="Calibri" w:hAnsi="Calibri" w:cs="Arial"/>
          <w:b/>
          <w:sz w:val="24"/>
          <w:szCs w:val="24"/>
          <w:lang w:val="fr-FR"/>
        </w:rPr>
        <w:t>e</w:t>
      </w:r>
      <w:r w:rsidR="00284F28" w:rsidRPr="004E5C0F">
        <w:rPr>
          <w:rFonts w:ascii="Calibri" w:hAnsi="Calibri" w:cs="Arial"/>
          <w:b/>
          <w:sz w:val="24"/>
          <w:szCs w:val="24"/>
          <w:lang w:val="fr-FR"/>
        </w:rPr>
        <w:t xml:space="preserve"> 3</w:t>
      </w:r>
    </w:p>
    <w:p w14:paraId="502CE2A0" w14:textId="491CB1F2" w:rsidR="00284F28" w:rsidRPr="004E5C0F" w:rsidRDefault="00B64091" w:rsidP="00080232">
      <w:pPr>
        <w:spacing w:after="0" w:line="240" w:lineRule="auto"/>
        <w:rPr>
          <w:rFonts w:ascii="Calibri" w:hAnsi="Calibri" w:cs="Arial"/>
          <w:b/>
          <w:sz w:val="24"/>
          <w:szCs w:val="24"/>
          <w:lang w:val="fr-FR"/>
        </w:rPr>
      </w:pPr>
      <w:r w:rsidRPr="004E5C0F">
        <w:rPr>
          <w:rFonts w:ascii="Calibri" w:hAnsi="Calibri" w:cs="Arial"/>
          <w:b/>
          <w:sz w:val="24"/>
          <w:szCs w:val="24"/>
          <w:lang w:val="fr-FR"/>
        </w:rPr>
        <w:t>Organes et organisations invités à participer en tant qu’observateurs aux réunions et processus du G</w:t>
      </w:r>
      <w:r w:rsidR="000C51C4">
        <w:rPr>
          <w:rFonts w:ascii="Calibri" w:hAnsi="Calibri" w:cs="Arial"/>
          <w:b/>
          <w:sz w:val="24"/>
          <w:szCs w:val="24"/>
          <w:lang w:val="fr-FR"/>
        </w:rPr>
        <w:t>roupe d’évaluation scientifique et technique</w:t>
      </w:r>
      <w:r w:rsidRPr="004E5C0F">
        <w:rPr>
          <w:rFonts w:ascii="Calibri" w:hAnsi="Calibri" w:cs="Arial"/>
          <w:b/>
          <w:sz w:val="24"/>
          <w:szCs w:val="24"/>
          <w:lang w:val="fr-FR"/>
        </w:rPr>
        <w:t xml:space="preserve"> pour la période triennale </w:t>
      </w:r>
      <w:r w:rsidR="00CE7AB8" w:rsidRPr="004E5C0F">
        <w:rPr>
          <w:rFonts w:ascii="Calibri" w:hAnsi="Calibri" w:cs="Arial"/>
          <w:b/>
          <w:sz w:val="24"/>
          <w:szCs w:val="24"/>
          <w:lang w:val="fr-FR"/>
        </w:rPr>
        <w:t>20</w:t>
      </w:r>
      <w:r w:rsidR="005027A8">
        <w:rPr>
          <w:rFonts w:ascii="Calibri" w:hAnsi="Calibri" w:cs="Arial"/>
          <w:b/>
          <w:sz w:val="24"/>
          <w:szCs w:val="24"/>
          <w:lang w:val="fr-FR"/>
        </w:rPr>
        <w:t>22</w:t>
      </w:r>
      <w:r w:rsidR="00CE7AB8" w:rsidRPr="004E5C0F">
        <w:rPr>
          <w:rFonts w:ascii="Calibri" w:hAnsi="Calibri" w:cs="Arial"/>
          <w:b/>
          <w:sz w:val="24"/>
          <w:szCs w:val="24"/>
          <w:lang w:val="fr-FR"/>
        </w:rPr>
        <w:t>-202</w:t>
      </w:r>
      <w:r w:rsidR="005027A8">
        <w:rPr>
          <w:rFonts w:ascii="Calibri" w:hAnsi="Calibri" w:cs="Arial"/>
          <w:b/>
          <w:sz w:val="24"/>
          <w:szCs w:val="24"/>
          <w:lang w:val="fr-FR"/>
        </w:rPr>
        <w:t>4</w:t>
      </w:r>
      <w:r w:rsidR="00284F28" w:rsidRPr="004E5C0F">
        <w:rPr>
          <w:rFonts w:ascii="Calibri" w:hAnsi="Calibri" w:cs="Arial"/>
          <w:b/>
          <w:sz w:val="24"/>
          <w:szCs w:val="24"/>
          <w:lang w:val="fr-FR"/>
        </w:rPr>
        <w:t xml:space="preserve"> </w:t>
      </w:r>
    </w:p>
    <w:p w14:paraId="64FEEB1D" w14:textId="77777777" w:rsidR="00284F28" w:rsidRPr="00554AF9" w:rsidRDefault="00284F28" w:rsidP="00080232">
      <w:pPr>
        <w:spacing w:after="0" w:line="240" w:lineRule="auto"/>
        <w:rPr>
          <w:rFonts w:ascii="Calibri" w:hAnsi="Calibri" w:cs="Arial"/>
          <w:lang w:val="fr-FR"/>
        </w:rPr>
      </w:pPr>
    </w:p>
    <w:p w14:paraId="228EB352" w14:textId="77777777" w:rsidR="00284F28" w:rsidRPr="00080232" w:rsidRDefault="00B64091" w:rsidP="00284F28">
      <w:pPr>
        <w:spacing w:after="0" w:line="240" w:lineRule="auto"/>
        <w:rPr>
          <w:rFonts w:ascii="Calibri" w:hAnsi="Calibri" w:cs="Arial"/>
          <w:spacing w:val="-2"/>
          <w:lang w:val="fr-FR"/>
        </w:rPr>
      </w:pPr>
      <w:r w:rsidRPr="00080232">
        <w:rPr>
          <w:rFonts w:ascii="Calibri" w:hAnsi="Calibri" w:cs="Arial"/>
          <w:spacing w:val="-2"/>
          <w:lang w:val="fr-FR"/>
        </w:rPr>
        <w:t>Les organisations observatrices sont définies comme des accords multilatéraux sur l’environnement</w:t>
      </w:r>
      <w:r w:rsidR="0040057B" w:rsidRPr="00080232">
        <w:rPr>
          <w:rFonts w:ascii="Calibri" w:hAnsi="Calibri" w:cs="Arial"/>
          <w:spacing w:val="-2"/>
          <w:lang w:val="fr-FR"/>
        </w:rPr>
        <w:t>,</w:t>
      </w:r>
      <w:r w:rsidRPr="00080232">
        <w:rPr>
          <w:rFonts w:ascii="Calibri" w:hAnsi="Calibri" w:cs="Arial"/>
          <w:spacing w:val="-2"/>
          <w:lang w:val="fr-FR"/>
        </w:rPr>
        <w:t xml:space="preserve"> mondiaux et régionaux, des organisations et des processus </w:t>
      </w:r>
      <w:r w:rsidR="0040057B" w:rsidRPr="00080232">
        <w:rPr>
          <w:rFonts w:ascii="Calibri" w:hAnsi="Calibri" w:cs="Arial"/>
          <w:spacing w:val="-2"/>
          <w:lang w:val="fr-FR"/>
        </w:rPr>
        <w:t xml:space="preserve">intergouvernementaux </w:t>
      </w:r>
      <w:r w:rsidRPr="00080232">
        <w:rPr>
          <w:rFonts w:ascii="Calibri" w:hAnsi="Calibri" w:cs="Arial"/>
          <w:spacing w:val="-2"/>
          <w:lang w:val="fr-FR"/>
        </w:rPr>
        <w:t xml:space="preserve">mondiaux, des organisations et des processus intergouvernementaux régionaux, des organisations internationales et autres </w:t>
      </w:r>
      <w:r w:rsidR="006C2F8B" w:rsidRPr="00080232">
        <w:rPr>
          <w:rFonts w:ascii="Calibri" w:hAnsi="Calibri" w:cs="Arial"/>
          <w:spacing w:val="-2"/>
          <w:lang w:val="fr-FR"/>
        </w:rPr>
        <w:t>organisations non gouvernementales</w:t>
      </w:r>
      <w:r w:rsidRPr="00080232">
        <w:rPr>
          <w:rFonts w:ascii="Calibri" w:hAnsi="Calibri" w:cs="Arial"/>
          <w:spacing w:val="-2"/>
          <w:lang w:val="fr-FR"/>
        </w:rPr>
        <w:t xml:space="preserve"> et organisations qui se consacrent aux zones humides. </w:t>
      </w:r>
    </w:p>
    <w:p w14:paraId="578206F6" w14:textId="77777777" w:rsidR="00284F28" w:rsidRPr="00554AF9" w:rsidRDefault="00284F28" w:rsidP="00284F28">
      <w:pPr>
        <w:spacing w:after="0" w:line="240" w:lineRule="auto"/>
        <w:rPr>
          <w:rFonts w:ascii="Calibri" w:hAnsi="Calibri" w:cs="Arial"/>
          <w:lang w:val="fr-FR"/>
        </w:rPr>
      </w:pPr>
    </w:p>
    <w:p w14:paraId="3251F1B8" w14:textId="77777777" w:rsidR="00284F28" w:rsidRPr="00554AF9" w:rsidRDefault="00357A9F" w:rsidP="00284F28">
      <w:pPr>
        <w:spacing w:after="0" w:line="240" w:lineRule="auto"/>
        <w:rPr>
          <w:rFonts w:ascii="Calibri" w:hAnsi="Calibri" w:cs="Arial"/>
          <w:lang w:val="fr-FR"/>
        </w:rPr>
      </w:pPr>
      <w:r>
        <w:rPr>
          <w:rFonts w:ascii="Calibri" w:hAnsi="Calibri" w:cs="Arial"/>
          <w:lang w:val="fr-FR"/>
        </w:rPr>
        <w:t>Elles comprennent, sans toutefois s’y limiter :</w:t>
      </w:r>
    </w:p>
    <w:p w14:paraId="0CB2FE55" w14:textId="77777777" w:rsidR="00EA6181" w:rsidRPr="00301E86" w:rsidRDefault="00EA6181" w:rsidP="00EA6181">
      <w:pPr>
        <w:pStyle w:val="Default"/>
        <w:numPr>
          <w:ilvl w:val="0"/>
          <w:numId w:val="12"/>
        </w:numPr>
        <w:ind w:left="392"/>
        <w:rPr>
          <w:spacing w:val="-2"/>
          <w:sz w:val="22"/>
          <w:szCs w:val="22"/>
          <w:lang w:val="fr-FR"/>
        </w:rPr>
      </w:pPr>
      <w:r w:rsidRPr="00301E86">
        <w:rPr>
          <w:spacing w:val="-2"/>
          <w:sz w:val="22"/>
          <w:szCs w:val="22"/>
          <w:lang w:val="fr-FR"/>
        </w:rPr>
        <w:t>Accords multilatéraux sur l’environnement dont les Secrétariats et/ou les représentants de leurs organes techniques, comme suit : Convention sur la diversité biologique (CDB), Convention sur la conservation des espèces migratrices appartenant à la faune sauvage (CMS) et instruments liés, Convention sur le commerce international des espèces de faune et de flore sauvages menacées d’extinction (CITES), Convention des Nations Unies sur la lutte contre la désertification (CNULD), Convention</w:t>
      </w:r>
      <w:r w:rsidRPr="00301E86">
        <w:rPr>
          <w:spacing w:val="-2"/>
          <w:sz w:val="22"/>
          <w:szCs w:val="22"/>
          <w:lang w:val="fr-FR"/>
        </w:rPr>
        <w:noBreakHyphen/>
        <w:t>cadre des Nations Unies sur les changements climatiques (CCNUCC), Convention concernant la protection du patrimoine mondial, culturel et naturel, Convention sur la protection et l’utilisation des cours d’eau transfrontières et des lacs internationaux</w:t>
      </w:r>
    </w:p>
    <w:p w14:paraId="49D3B83A"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Agence spatiale européenne – ESRIN (ESA-ESRIN)</w:t>
      </w:r>
    </w:p>
    <w:p w14:paraId="5A4F6F7F"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 xml:space="preserve">Centre de recherche de la Tour du Valat pour la conservation des zones humides méditerranéennes </w:t>
      </w:r>
    </w:p>
    <w:p w14:paraId="34754097"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Centre mondial de surveillance continue de la conservation de la nature du Programme des Nations Unies pour l’environnement (PNUE-WCMC)</w:t>
      </w:r>
    </w:p>
    <w:p w14:paraId="113BB873"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Ducks Unlimited (DU)</w:t>
      </w:r>
    </w:p>
    <w:p w14:paraId="3B1FD437"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Flora and Fauna International</w:t>
      </w:r>
    </w:p>
    <w:p w14:paraId="4F1D23E9"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Fondation internationale pour les grues (ICF)</w:t>
      </w:r>
    </w:p>
    <w:p w14:paraId="2BF78AFF"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 xml:space="preserve">Fonds pour l’environnement mondial (Secrétariat et/ou Groupe consultatif scientifique et technique) </w:t>
      </w:r>
    </w:p>
    <w:p w14:paraId="529C1AF3"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Greifswald Mire Center (GMC)</w:t>
      </w:r>
    </w:p>
    <w:p w14:paraId="49C2AC9A"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Group on Earth Observation – Biodiversity Observation Network (GEO-BON)</w:t>
      </w:r>
    </w:p>
    <w:p w14:paraId="4C645EFF"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Group on Earth Observation – Wetlands Initiative (GEO-Wetlands)</w:t>
      </w:r>
    </w:p>
    <w:p w14:paraId="419D2851"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IHE Delft Institute for Water Education</w:t>
      </w:r>
    </w:p>
    <w:p w14:paraId="4520706F"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International Mire Conservation Group (IMCG)</w:t>
      </w:r>
    </w:p>
    <w:p w14:paraId="08863755"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Japan International Cooperation Agency (JICA)</w:t>
      </w:r>
    </w:p>
    <w:p w14:paraId="200565AA" w14:textId="77777777" w:rsidR="00EA6181" w:rsidRPr="00301E86" w:rsidRDefault="00EA6181" w:rsidP="00EA6181">
      <w:pPr>
        <w:pStyle w:val="ListParagraph"/>
        <w:numPr>
          <w:ilvl w:val="0"/>
          <w:numId w:val="12"/>
        </w:numPr>
        <w:spacing w:after="0" w:line="240" w:lineRule="auto"/>
        <w:ind w:left="392"/>
        <w:rPr>
          <w:rFonts w:ascii="Calibri" w:hAnsi="Calibri" w:cs="Arial"/>
        </w:rPr>
      </w:pPr>
      <w:r w:rsidRPr="00301E86">
        <w:rPr>
          <w:rFonts w:ascii="Calibri" w:hAnsi="Calibri" w:cs="Arial"/>
        </w:rPr>
        <w:t>Japanese Aerospace Exploration Agency (JAXA)</w:t>
      </w:r>
    </w:p>
    <w:p w14:paraId="0A19DD90"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Organisation des Nations Unies pour l’alimentation et l’agriculture (FAO)</w:t>
      </w:r>
    </w:p>
    <w:p w14:paraId="1D5596A3" w14:textId="77777777" w:rsidR="00EA6181" w:rsidRPr="00301E86" w:rsidRDefault="00EA6181" w:rsidP="00EA6181">
      <w:pPr>
        <w:pStyle w:val="Default"/>
        <w:numPr>
          <w:ilvl w:val="0"/>
          <w:numId w:val="12"/>
        </w:numPr>
        <w:ind w:left="392"/>
        <w:rPr>
          <w:sz w:val="22"/>
          <w:szCs w:val="22"/>
          <w:lang w:val="fr-FR"/>
        </w:rPr>
      </w:pPr>
      <w:r w:rsidRPr="00301E86">
        <w:rPr>
          <w:sz w:val="22"/>
          <w:szCs w:val="22"/>
          <w:lang w:val="fr-FR"/>
        </w:rPr>
        <w:t>Organisation des Nations Unies pour l’éducation, la science et la culture (UNESCO) – Programme pour l’homme et la biosphère (MAB)</w:t>
      </w:r>
    </w:p>
    <w:p w14:paraId="77809CF7"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Partenariat global pour l’eau (GWP)</w:t>
      </w:r>
    </w:p>
    <w:p w14:paraId="1C12A0F3"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Calibri"/>
          <w:color w:val="000000"/>
          <w:lang w:val="fr-FR"/>
        </w:rPr>
      </w:pPr>
      <w:r w:rsidRPr="00301E86">
        <w:rPr>
          <w:rFonts w:ascii="Calibri" w:hAnsi="Calibri" w:cs="Calibri"/>
          <w:color w:val="000000"/>
          <w:lang w:val="fr-FR"/>
        </w:rPr>
        <w:t xml:space="preserve">Programme des Nations Unies pour l’environnement (PNUE) </w:t>
      </w:r>
    </w:p>
    <w:p w14:paraId="11B54F70" w14:textId="77777777" w:rsidR="00EA6181" w:rsidRPr="00301E86" w:rsidRDefault="00EA6181" w:rsidP="00EA6181">
      <w:pPr>
        <w:pStyle w:val="ListParagraph"/>
        <w:numPr>
          <w:ilvl w:val="0"/>
          <w:numId w:val="12"/>
        </w:numPr>
        <w:autoSpaceDE w:val="0"/>
        <w:autoSpaceDN w:val="0"/>
        <w:adjustRightInd w:val="0"/>
        <w:spacing w:after="0" w:line="240" w:lineRule="auto"/>
        <w:ind w:left="392"/>
        <w:rPr>
          <w:rFonts w:ascii="Calibri" w:hAnsi="Calibri" w:cs="Arial"/>
          <w:b/>
          <w:lang w:val="fr-FR"/>
        </w:rPr>
      </w:pPr>
      <w:r w:rsidRPr="00301E86">
        <w:rPr>
          <w:rFonts w:ascii="Calibri" w:hAnsi="Calibri" w:cs="Calibri"/>
          <w:color w:val="000000"/>
          <w:lang w:val="fr-FR"/>
        </w:rPr>
        <w:t xml:space="preserve">Programme des Nations Unies pour les établissements humains (ONU-HABITAT) </w:t>
      </w:r>
    </w:p>
    <w:p w14:paraId="73B54843" w14:textId="77777777" w:rsidR="00EA6181" w:rsidRPr="00301E86" w:rsidRDefault="00EA6181" w:rsidP="00EA6181">
      <w:pPr>
        <w:pStyle w:val="Default"/>
        <w:numPr>
          <w:ilvl w:val="0"/>
          <w:numId w:val="12"/>
        </w:numPr>
        <w:ind w:left="392"/>
        <w:rPr>
          <w:spacing w:val="-4"/>
          <w:sz w:val="22"/>
          <w:szCs w:val="22"/>
          <w:lang w:val="fr-FR"/>
        </w:rPr>
      </w:pPr>
      <w:r w:rsidRPr="00301E86">
        <w:rPr>
          <w:spacing w:val="-4"/>
          <w:sz w:val="22"/>
          <w:szCs w:val="22"/>
          <w:lang w:val="fr-FR"/>
        </w:rPr>
        <w:t>Réseau scientifique et technique de l’Initiative pour les zones humides méditerranéennes (MedWet)</w:t>
      </w:r>
    </w:p>
    <w:p w14:paraId="0CA2249C"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Secrétariat de la Plateforme intergouvernementale, scientifique et politique, sur la biodiversité et les services écosystémiques (IPBES)</w:t>
      </w:r>
    </w:p>
    <w:p w14:paraId="4363284C" w14:textId="77777777" w:rsidR="00EA6181" w:rsidRPr="00301E86" w:rsidRDefault="00EA6181" w:rsidP="00EA6181">
      <w:pPr>
        <w:pStyle w:val="Default"/>
        <w:numPr>
          <w:ilvl w:val="0"/>
          <w:numId w:val="12"/>
        </w:numPr>
        <w:ind w:left="392"/>
        <w:rPr>
          <w:sz w:val="22"/>
          <w:szCs w:val="22"/>
          <w:lang w:val="fr-FR"/>
        </w:rPr>
      </w:pPr>
      <w:r w:rsidRPr="00301E86">
        <w:rPr>
          <w:sz w:val="22"/>
          <w:szCs w:val="22"/>
          <w:lang w:val="fr-FR"/>
        </w:rPr>
        <w:t xml:space="preserve">Secrétariat du Groupe d’experts intergouvernemental sur l’évolution du climat (GIEC) </w:t>
      </w:r>
    </w:p>
    <w:p w14:paraId="4E0DCB38" w14:textId="77777777" w:rsidR="00EA6181" w:rsidRPr="00301E86" w:rsidRDefault="00EA6181" w:rsidP="00EA6181">
      <w:pPr>
        <w:pStyle w:val="ListParagraph"/>
        <w:numPr>
          <w:ilvl w:val="0"/>
          <w:numId w:val="12"/>
        </w:numPr>
        <w:spacing w:after="0" w:line="240" w:lineRule="auto"/>
        <w:ind w:left="392"/>
        <w:rPr>
          <w:rFonts w:ascii="Calibri" w:hAnsi="Calibri" w:cs="Arial"/>
          <w:lang w:val="fr-FR"/>
        </w:rPr>
      </w:pPr>
      <w:r w:rsidRPr="00301E86">
        <w:rPr>
          <w:rFonts w:ascii="Calibri" w:hAnsi="Calibri" w:cs="Arial"/>
          <w:lang w:val="fr-FR"/>
        </w:rPr>
        <w:t>Société internationale de la tourbe</w:t>
      </w:r>
    </w:p>
    <w:p w14:paraId="0239F47F" w14:textId="77777777" w:rsidR="00EA6181" w:rsidRPr="00301E86" w:rsidRDefault="00EA6181" w:rsidP="00EA6181">
      <w:pPr>
        <w:pStyle w:val="Default"/>
        <w:numPr>
          <w:ilvl w:val="0"/>
          <w:numId w:val="12"/>
        </w:numPr>
        <w:ind w:left="392"/>
        <w:rPr>
          <w:sz w:val="22"/>
          <w:szCs w:val="22"/>
        </w:rPr>
      </w:pPr>
      <w:r w:rsidRPr="00301E86">
        <w:rPr>
          <w:sz w:val="22"/>
          <w:szCs w:val="22"/>
        </w:rPr>
        <w:t xml:space="preserve">Society for Ecological Restoration (SER) </w:t>
      </w:r>
    </w:p>
    <w:p w14:paraId="046554C0" w14:textId="77777777" w:rsidR="00EA6181" w:rsidRDefault="00EA6181" w:rsidP="00EA6181">
      <w:pPr>
        <w:pStyle w:val="Default"/>
        <w:numPr>
          <w:ilvl w:val="0"/>
          <w:numId w:val="12"/>
        </w:numPr>
        <w:ind w:left="392"/>
        <w:rPr>
          <w:sz w:val="22"/>
          <w:szCs w:val="22"/>
        </w:rPr>
      </w:pPr>
      <w:r w:rsidRPr="00301E86">
        <w:rPr>
          <w:sz w:val="22"/>
          <w:szCs w:val="22"/>
        </w:rPr>
        <w:lastRenderedPageBreak/>
        <w:t xml:space="preserve">Society of Wetland Scientists (SWS) </w:t>
      </w:r>
    </w:p>
    <w:p w14:paraId="6E7A708C" w14:textId="49C005C2" w:rsidR="00382E09" w:rsidRPr="00080232" w:rsidRDefault="00301E86" w:rsidP="00B12A20">
      <w:pPr>
        <w:pStyle w:val="ListParagraph"/>
        <w:numPr>
          <w:ilvl w:val="0"/>
          <w:numId w:val="12"/>
        </w:numPr>
        <w:autoSpaceDE w:val="0"/>
        <w:autoSpaceDN w:val="0"/>
        <w:adjustRightInd w:val="0"/>
        <w:spacing w:after="0" w:line="240" w:lineRule="auto"/>
        <w:ind w:left="425"/>
        <w:rPr>
          <w:rFonts w:ascii="Calibri" w:hAnsi="Calibri" w:cs="Arial"/>
          <w:b/>
          <w:lang w:val="fr-FR"/>
        </w:rPr>
      </w:pPr>
      <w:r w:rsidRPr="00080232">
        <w:rPr>
          <w:rFonts w:ascii="Calibri" w:hAnsi="Calibri" w:cs="Arial"/>
          <w:lang w:val="fr-FR"/>
        </w:rPr>
        <w:t>The Nature Conservancy (TNC)</w:t>
      </w:r>
    </w:p>
    <w:sectPr w:rsidR="00382E09" w:rsidRPr="00080232" w:rsidSect="00922A1E">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19902" w14:textId="77777777" w:rsidR="0005265B" w:rsidRDefault="0005265B" w:rsidP="00770AEA">
      <w:pPr>
        <w:spacing w:after="0" w:line="240" w:lineRule="auto"/>
      </w:pPr>
      <w:r>
        <w:separator/>
      </w:r>
    </w:p>
  </w:endnote>
  <w:endnote w:type="continuationSeparator" w:id="0">
    <w:p w14:paraId="4E464483" w14:textId="77777777" w:rsidR="0005265B" w:rsidRDefault="0005265B" w:rsidP="0077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64DA8" w14:textId="045BB092" w:rsidR="00770AEA" w:rsidRPr="00987BE5" w:rsidRDefault="0025565C" w:rsidP="00987BE5">
    <w:pPr>
      <w:pStyle w:val="Footer"/>
      <w:rPr>
        <w:rFonts w:ascii="Calibri" w:hAnsi="Calibri"/>
        <w:sz w:val="20"/>
        <w:szCs w:val="20"/>
      </w:rPr>
    </w:pPr>
    <w:r>
      <w:rPr>
        <w:rFonts w:ascii="Calibri" w:hAnsi="Calibri"/>
        <w:sz w:val="20"/>
        <w:szCs w:val="20"/>
        <w:lang w:val="fr-CA"/>
      </w:rPr>
      <w:t>SC59 Doc.26</w:t>
    </w:r>
    <w:r w:rsidR="00987BE5" w:rsidRPr="00CB5417">
      <w:rPr>
        <w:rFonts w:ascii="Calibri" w:hAnsi="Calibri"/>
        <w:sz w:val="20"/>
        <w:szCs w:val="20"/>
      </w:rPr>
      <w:tab/>
    </w:r>
    <w:r w:rsidR="00987BE5" w:rsidRPr="00CB5417">
      <w:rPr>
        <w:rFonts w:ascii="Calibri" w:hAnsi="Calibri"/>
        <w:sz w:val="20"/>
        <w:szCs w:val="20"/>
      </w:rPr>
      <w:tab/>
    </w:r>
    <w:r w:rsidR="00987BE5" w:rsidRPr="00CB5417">
      <w:rPr>
        <w:rFonts w:ascii="Calibri" w:hAnsi="Calibri"/>
        <w:sz w:val="20"/>
        <w:szCs w:val="20"/>
      </w:rPr>
      <w:fldChar w:fldCharType="begin"/>
    </w:r>
    <w:r w:rsidR="00987BE5" w:rsidRPr="00CB5417">
      <w:rPr>
        <w:rFonts w:ascii="Calibri" w:hAnsi="Calibri"/>
        <w:sz w:val="20"/>
        <w:szCs w:val="20"/>
      </w:rPr>
      <w:instrText xml:space="preserve"> PAGE   \* MERGEFORMAT </w:instrText>
    </w:r>
    <w:r w:rsidR="00987BE5" w:rsidRPr="00CB5417">
      <w:rPr>
        <w:rFonts w:ascii="Calibri" w:hAnsi="Calibri"/>
        <w:sz w:val="20"/>
        <w:szCs w:val="20"/>
      </w:rPr>
      <w:fldChar w:fldCharType="separate"/>
    </w:r>
    <w:r w:rsidR="00080232">
      <w:rPr>
        <w:rFonts w:ascii="Calibri" w:hAnsi="Calibri"/>
        <w:noProof/>
        <w:sz w:val="20"/>
        <w:szCs w:val="20"/>
      </w:rPr>
      <w:t>2</w:t>
    </w:r>
    <w:r w:rsidR="00987BE5" w:rsidRPr="00CB5417">
      <w:rPr>
        <w:rFonts w:ascii="Calibri" w:hAnsi="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7A28" w14:textId="6F41F203" w:rsidR="00922A1E" w:rsidRPr="00987BE5" w:rsidRDefault="00922A1E" w:rsidP="00922A1E">
    <w:pPr>
      <w:pStyle w:val="Footer"/>
      <w:tabs>
        <w:tab w:val="clear" w:pos="9026"/>
        <w:tab w:val="right" w:pos="13892"/>
      </w:tabs>
      <w:rPr>
        <w:rFonts w:ascii="Calibri" w:hAnsi="Calibri"/>
        <w:sz w:val="20"/>
        <w:szCs w:val="20"/>
      </w:rPr>
    </w:pPr>
    <w:r>
      <w:rPr>
        <w:rFonts w:ascii="Calibri" w:hAnsi="Calibri"/>
        <w:sz w:val="20"/>
        <w:szCs w:val="20"/>
        <w:lang w:val="fr-CA"/>
      </w:rPr>
      <w:t>SC59 Doc.26</w:t>
    </w:r>
    <w:r w:rsidRPr="00CB5417">
      <w:rPr>
        <w:rFonts w:ascii="Calibri" w:hAnsi="Calibri"/>
        <w:sz w:val="20"/>
        <w:szCs w:val="20"/>
      </w:rPr>
      <w:tab/>
    </w:r>
    <w:r w:rsidRPr="00CB5417">
      <w:rPr>
        <w:rFonts w:ascii="Calibri" w:hAnsi="Calibri"/>
        <w:sz w:val="20"/>
        <w:szCs w:val="20"/>
      </w:rPr>
      <w:tab/>
    </w:r>
    <w:r w:rsidRPr="00CB5417">
      <w:rPr>
        <w:rFonts w:ascii="Calibri" w:hAnsi="Calibri"/>
        <w:sz w:val="20"/>
        <w:szCs w:val="20"/>
      </w:rPr>
      <w:fldChar w:fldCharType="begin"/>
    </w:r>
    <w:r w:rsidRPr="00CB5417">
      <w:rPr>
        <w:rFonts w:ascii="Calibri" w:hAnsi="Calibri"/>
        <w:sz w:val="20"/>
        <w:szCs w:val="20"/>
      </w:rPr>
      <w:instrText xml:space="preserve"> PAGE   \* MERGEFORMAT </w:instrText>
    </w:r>
    <w:r w:rsidRPr="00CB5417">
      <w:rPr>
        <w:rFonts w:ascii="Calibri" w:hAnsi="Calibri"/>
        <w:sz w:val="20"/>
        <w:szCs w:val="20"/>
      </w:rPr>
      <w:fldChar w:fldCharType="separate"/>
    </w:r>
    <w:r w:rsidR="00080232">
      <w:rPr>
        <w:rFonts w:ascii="Calibri" w:hAnsi="Calibri"/>
        <w:noProof/>
        <w:sz w:val="20"/>
        <w:szCs w:val="20"/>
      </w:rPr>
      <w:t>10</w:t>
    </w:r>
    <w:r w:rsidRPr="00CB5417">
      <w:rPr>
        <w:rFonts w:ascii="Calibri" w:hAnsi="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DFCFC" w14:textId="77777777" w:rsidR="00922A1E" w:rsidRDefault="0092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FAA32" w14:textId="77777777" w:rsidR="0005265B" w:rsidRDefault="0005265B" w:rsidP="00770AEA">
      <w:pPr>
        <w:spacing w:after="0" w:line="240" w:lineRule="auto"/>
      </w:pPr>
      <w:r>
        <w:separator/>
      </w:r>
    </w:p>
  </w:footnote>
  <w:footnote w:type="continuationSeparator" w:id="0">
    <w:p w14:paraId="3DD7067D" w14:textId="77777777" w:rsidR="0005265B" w:rsidRDefault="0005265B" w:rsidP="00770AEA">
      <w:pPr>
        <w:spacing w:after="0" w:line="240" w:lineRule="auto"/>
      </w:pPr>
      <w:r>
        <w:continuationSeparator/>
      </w:r>
    </w:p>
  </w:footnote>
  <w:footnote w:id="1">
    <w:p w14:paraId="1A6D500F" w14:textId="74B0DF12" w:rsidR="0025565C" w:rsidRPr="0025565C" w:rsidRDefault="0025565C">
      <w:pPr>
        <w:pStyle w:val="FootnoteText"/>
        <w:rPr>
          <w:lang w:val="fr-FR"/>
        </w:rPr>
      </w:pPr>
      <w:r>
        <w:rPr>
          <w:rStyle w:val="FootnoteReference"/>
        </w:rPr>
        <w:footnoteRef/>
      </w:r>
      <w:r w:rsidRPr="0025565C">
        <w:rPr>
          <w:lang w:val="fr-FR"/>
        </w:rPr>
        <w:t xml:space="preserve"> </w:t>
      </w:r>
      <w:r>
        <w:rPr>
          <w:lang w:val="fr-FR"/>
        </w:rPr>
        <w:t>Il convient de rappeler que, comme indiqué dans le Rapport du Président du GEST à la 59</w:t>
      </w:r>
      <w:r w:rsidRPr="0025565C">
        <w:rPr>
          <w:vertAlign w:val="superscript"/>
          <w:lang w:val="fr-FR"/>
        </w:rPr>
        <w:t>e</w:t>
      </w:r>
      <w:r>
        <w:rPr>
          <w:lang w:val="fr-FR"/>
        </w:rPr>
        <w:t xml:space="preserve"> Réunion du Comité permanent</w:t>
      </w:r>
      <w:r w:rsidR="0013095A">
        <w:rPr>
          <w:lang w:val="fr-FR"/>
        </w:rPr>
        <w:t xml:space="preserve"> (SC59 Doc.25)</w:t>
      </w:r>
      <w:r>
        <w:rPr>
          <w:lang w:val="fr-FR"/>
        </w:rPr>
        <w:t>, le Groupe de travail sur la gestion a donné instruction au GEST de se concentrer sur les tâches de plus haute priorité. Il a donc demandé au Secrétariat de se charger de cette tâche.</w:t>
      </w:r>
    </w:p>
  </w:footnote>
  <w:footnote w:id="2">
    <w:p w14:paraId="1BAF44BF" w14:textId="346F1022" w:rsidR="0025565C" w:rsidRPr="0025565C" w:rsidRDefault="0025565C">
      <w:pPr>
        <w:pStyle w:val="FootnoteText"/>
        <w:rPr>
          <w:lang w:val="fr-FR"/>
        </w:rPr>
      </w:pPr>
      <w:r>
        <w:rPr>
          <w:rStyle w:val="FootnoteReference"/>
        </w:rPr>
        <w:footnoteRef/>
      </w:r>
      <w:r>
        <w:t xml:space="preserve"> </w:t>
      </w:r>
      <w:r>
        <w:rPr>
          <w:lang w:val="fr-FR"/>
        </w:rPr>
        <w:t>Voir Ramsar COP13 Doc.11.1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E78"/>
    <w:multiLevelType w:val="hybridMultilevel"/>
    <w:tmpl w:val="07EA115C"/>
    <w:lvl w:ilvl="0" w:tplc="040C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DA59E5"/>
    <w:multiLevelType w:val="hybridMultilevel"/>
    <w:tmpl w:val="CB1A5A2C"/>
    <w:lvl w:ilvl="0" w:tplc="AAEE2242">
      <w:start w:val="1"/>
      <w:numFmt w:val="decimal"/>
      <w:lvlText w:val="%1."/>
      <w:lvlJc w:val="left"/>
      <w:pPr>
        <w:ind w:left="720" w:hanging="360"/>
      </w:pPr>
      <w:rPr>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72172E"/>
    <w:multiLevelType w:val="hybridMultilevel"/>
    <w:tmpl w:val="2DCC3B5A"/>
    <w:lvl w:ilvl="0" w:tplc="69E6074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D525DE"/>
    <w:multiLevelType w:val="hybridMultilevel"/>
    <w:tmpl w:val="C8E0E816"/>
    <w:lvl w:ilvl="0" w:tplc="040C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53668"/>
    <w:multiLevelType w:val="hybridMultilevel"/>
    <w:tmpl w:val="BE8808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9794382"/>
    <w:multiLevelType w:val="hybridMultilevel"/>
    <w:tmpl w:val="454A93C2"/>
    <w:lvl w:ilvl="0" w:tplc="78CA80AA">
      <w:start w:val="1"/>
      <w:numFmt w:val="lowerRoman"/>
      <w:lvlText w:val="%1)"/>
      <w:lvlJc w:val="left"/>
      <w:pPr>
        <w:ind w:left="909" w:hanging="360"/>
      </w:pPr>
      <w:rPr>
        <w:rFonts w:hAnsi="Arial Unicode M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6" w15:restartNumberingAfterBreak="0">
    <w:nsid w:val="29A71CF6"/>
    <w:multiLevelType w:val="hybridMultilevel"/>
    <w:tmpl w:val="44BC6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86D5F"/>
    <w:multiLevelType w:val="hybridMultilevel"/>
    <w:tmpl w:val="7B12D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08054F"/>
    <w:multiLevelType w:val="hybridMultilevel"/>
    <w:tmpl w:val="95E03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E0C5C"/>
    <w:multiLevelType w:val="hybridMultilevel"/>
    <w:tmpl w:val="A6EA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F4BAE"/>
    <w:multiLevelType w:val="hybridMultilevel"/>
    <w:tmpl w:val="469E9D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0A500F1"/>
    <w:multiLevelType w:val="hybridMultilevel"/>
    <w:tmpl w:val="CC2AF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BB6E91"/>
    <w:multiLevelType w:val="hybridMultilevel"/>
    <w:tmpl w:val="A4A25A60"/>
    <w:lvl w:ilvl="0" w:tplc="A52CF33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184873"/>
    <w:multiLevelType w:val="hybridMultilevel"/>
    <w:tmpl w:val="B9C2F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411B5C"/>
    <w:multiLevelType w:val="hybridMultilevel"/>
    <w:tmpl w:val="43A0D4A4"/>
    <w:lvl w:ilvl="0" w:tplc="4ABC872C">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AA35B8"/>
    <w:multiLevelType w:val="hybridMultilevel"/>
    <w:tmpl w:val="2F566B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8630E6"/>
    <w:multiLevelType w:val="hybridMultilevel"/>
    <w:tmpl w:val="326601C0"/>
    <w:lvl w:ilvl="0" w:tplc="08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C3D22CF"/>
    <w:multiLevelType w:val="hybridMultilevel"/>
    <w:tmpl w:val="2B944C7A"/>
    <w:lvl w:ilvl="0" w:tplc="040C0001">
      <w:start w:val="1"/>
      <w:numFmt w:val="bullet"/>
      <w:lvlText w:val=""/>
      <w:lvlJc w:val="left"/>
      <w:pPr>
        <w:ind w:left="863" w:hanging="360"/>
      </w:pPr>
      <w:rPr>
        <w:rFonts w:ascii="Symbol" w:hAnsi="Symbol" w:hint="default"/>
      </w:rPr>
    </w:lvl>
    <w:lvl w:ilvl="1" w:tplc="040C0003" w:tentative="1">
      <w:start w:val="1"/>
      <w:numFmt w:val="bullet"/>
      <w:lvlText w:val="o"/>
      <w:lvlJc w:val="left"/>
      <w:pPr>
        <w:ind w:left="1583" w:hanging="360"/>
      </w:pPr>
      <w:rPr>
        <w:rFonts w:ascii="Courier New" w:hAnsi="Courier New" w:cs="Courier New" w:hint="default"/>
      </w:rPr>
    </w:lvl>
    <w:lvl w:ilvl="2" w:tplc="040C0005" w:tentative="1">
      <w:start w:val="1"/>
      <w:numFmt w:val="bullet"/>
      <w:lvlText w:val=""/>
      <w:lvlJc w:val="left"/>
      <w:pPr>
        <w:ind w:left="2303" w:hanging="360"/>
      </w:pPr>
      <w:rPr>
        <w:rFonts w:ascii="Wingdings" w:hAnsi="Wingdings" w:hint="default"/>
      </w:rPr>
    </w:lvl>
    <w:lvl w:ilvl="3" w:tplc="040C0001" w:tentative="1">
      <w:start w:val="1"/>
      <w:numFmt w:val="bullet"/>
      <w:lvlText w:val=""/>
      <w:lvlJc w:val="left"/>
      <w:pPr>
        <w:ind w:left="3023" w:hanging="360"/>
      </w:pPr>
      <w:rPr>
        <w:rFonts w:ascii="Symbol" w:hAnsi="Symbol" w:hint="default"/>
      </w:rPr>
    </w:lvl>
    <w:lvl w:ilvl="4" w:tplc="040C0003" w:tentative="1">
      <w:start w:val="1"/>
      <w:numFmt w:val="bullet"/>
      <w:lvlText w:val="o"/>
      <w:lvlJc w:val="left"/>
      <w:pPr>
        <w:ind w:left="3743" w:hanging="360"/>
      </w:pPr>
      <w:rPr>
        <w:rFonts w:ascii="Courier New" w:hAnsi="Courier New" w:cs="Courier New" w:hint="default"/>
      </w:rPr>
    </w:lvl>
    <w:lvl w:ilvl="5" w:tplc="040C0005" w:tentative="1">
      <w:start w:val="1"/>
      <w:numFmt w:val="bullet"/>
      <w:lvlText w:val=""/>
      <w:lvlJc w:val="left"/>
      <w:pPr>
        <w:ind w:left="4463" w:hanging="360"/>
      </w:pPr>
      <w:rPr>
        <w:rFonts w:ascii="Wingdings" w:hAnsi="Wingdings" w:hint="default"/>
      </w:rPr>
    </w:lvl>
    <w:lvl w:ilvl="6" w:tplc="040C0001" w:tentative="1">
      <w:start w:val="1"/>
      <w:numFmt w:val="bullet"/>
      <w:lvlText w:val=""/>
      <w:lvlJc w:val="left"/>
      <w:pPr>
        <w:ind w:left="5183" w:hanging="360"/>
      </w:pPr>
      <w:rPr>
        <w:rFonts w:ascii="Symbol" w:hAnsi="Symbol" w:hint="default"/>
      </w:rPr>
    </w:lvl>
    <w:lvl w:ilvl="7" w:tplc="040C0003" w:tentative="1">
      <w:start w:val="1"/>
      <w:numFmt w:val="bullet"/>
      <w:lvlText w:val="o"/>
      <w:lvlJc w:val="left"/>
      <w:pPr>
        <w:ind w:left="5903" w:hanging="360"/>
      </w:pPr>
      <w:rPr>
        <w:rFonts w:ascii="Courier New" w:hAnsi="Courier New" w:cs="Courier New" w:hint="default"/>
      </w:rPr>
    </w:lvl>
    <w:lvl w:ilvl="8" w:tplc="040C0005" w:tentative="1">
      <w:start w:val="1"/>
      <w:numFmt w:val="bullet"/>
      <w:lvlText w:val=""/>
      <w:lvlJc w:val="left"/>
      <w:pPr>
        <w:ind w:left="6623" w:hanging="360"/>
      </w:pPr>
      <w:rPr>
        <w:rFonts w:ascii="Wingdings" w:hAnsi="Wingdings" w:hint="default"/>
      </w:rPr>
    </w:lvl>
  </w:abstractNum>
  <w:num w:numId="1">
    <w:abstractNumId w:val="12"/>
  </w:num>
  <w:num w:numId="2">
    <w:abstractNumId w:val="10"/>
  </w:num>
  <w:num w:numId="3">
    <w:abstractNumId w:val="6"/>
  </w:num>
  <w:num w:numId="4">
    <w:abstractNumId w:val="15"/>
  </w:num>
  <w:num w:numId="5">
    <w:abstractNumId w:val="2"/>
  </w:num>
  <w:num w:numId="6">
    <w:abstractNumId w:val="8"/>
  </w:num>
  <w:num w:numId="7">
    <w:abstractNumId w:val="9"/>
  </w:num>
  <w:num w:numId="8">
    <w:abstractNumId w:val="11"/>
  </w:num>
  <w:num w:numId="9">
    <w:abstractNumId w:val="14"/>
  </w:num>
  <w:num w:numId="10">
    <w:abstractNumId w:val="7"/>
  </w:num>
  <w:num w:numId="11">
    <w:abstractNumId w:val="11"/>
  </w:num>
  <w:num w:numId="12">
    <w:abstractNumId w:val="17"/>
  </w:num>
  <w:num w:numId="13">
    <w:abstractNumId w:val="5"/>
  </w:num>
  <w:num w:numId="14">
    <w:abstractNumId w:val="18"/>
  </w:num>
  <w:num w:numId="15">
    <w:abstractNumId w:val="13"/>
  </w:num>
  <w:num w:numId="16">
    <w:abstractNumId w:val="0"/>
  </w:num>
  <w:num w:numId="17">
    <w:abstractNumId w:val="3"/>
  </w:num>
  <w:num w:numId="18">
    <w:abstractNumId w:val="16"/>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TrackFormatting/>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EA"/>
    <w:rsid w:val="0000127A"/>
    <w:rsid w:val="00015146"/>
    <w:rsid w:val="00046EA3"/>
    <w:rsid w:val="0005265B"/>
    <w:rsid w:val="00061874"/>
    <w:rsid w:val="00062C82"/>
    <w:rsid w:val="00080232"/>
    <w:rsid w:val="00081E74"/>
    <w:rsid w:val="000864DC"/>
    <w:rsid w:val="000A7C80"/>
    <w:rsid w:val="000B7FA1"/>
    <w:rsid w:val="000C51C4"/>
    <w:rsid w:val="000F00F7"/>
    <w:rsid w:val="00107DF7"/>
    <w:rsid w:val="00120399"/>
    <w:rsid w:val="0012096C"/>
    <w:rsid w:val="001267A7"/>
    <w:rsid w:val="0013095A"/>
    <w:rsid w:val="00157229"/>
    <w:rsid w:val="00177191"/>
    <w:rsid w:val="001906E4"/>
    <w:rsid w:val="001B2321"/>
    <w:rsid w:val="001C63D0"/>
    <w:rsid w:val="001E1CAB"/>
    <w:rsid w:val="001E418F"/>
    <w:rsid w:val="00240EFE"/>
    <w:rsid w:val="00246751"/>
    <w:rsid w:val="0025565C"/>
    <w:rsid w:val="0026267F"/>
    <w:rsid w:val="00284F28"/>
    <w:rsid w:val="0029327F"/>
    <w:rsid w:val="00295556"/>
    <w:rsid w:val="00297109"/>
    <w:rsid w:val="002A3925"/>
    <w:rsid w:val="002A7796"/>
    <w:rsid w:val="002B75A3"/>
    <w:rsid w:val="002C0E2C"/>
    <w:rsid w:val="002D23D8"/>
    <w:rsid w:val="002F3B55"/>
    <w:rsid w:val="00301E86"/>
    <w:rsid w:val="003060CD"/>
    <w:rsid w:val="00311BFD"/>
    <w:rsid w:val="00334006"/>
    <w:rsid w:val="00357A9F"/>
    <w:rsid w:val="0036045E"/>
    <w:rsid w:val="00370A64"/>
    <w:rsid w:val="0037278D"/>
    <w:rsid w:val="00382A95"/>
    <w:rsid w:val="00382E09"/>
    <w:rsid w:val="003A2CCB"/>
    <w:rsid w:val="003B605F"/>
    <w:rsid w:val="003B6B6E"/>
    <w:rsid w:val="003C4BF9"/>
    <w:rsid w:val="003C5704"/>
    <w:rsid w:val="003D151E"/>
    <w:rsid w:val="003D25B1"/>
    <w:rsid w:val="003E74A8"/>
    <w:rsid w:val="0040057B"/>
    <w:rsid w:val="00402F21"/>
    <w:rsid w:val="00411A4C"/>
    <w:rsid w:val="004142F3"/>
    <w:rsid w:val="0042163E"/>
    <w:rsid w:val="004366AE"/>
    <w:rsid w:val="00460579"/>
    <w:rsid w:val="00467DDA"/>
    <w:rsid w:val="00496535"/>
    <w:rsid w:val="00497B4E"/>
    <w:rsid w:val="004B563A"/>
    <w:rsid w:val="004C6559"/>
    <w:rsid w:val="004D2DFB"/>
    <w:rsid w:val="004D4F5D"/>
    <w:rsid w:val="004E0B1B"/>
    <w:rsid w:val="004E29D7"/>
    <w:rsid w:val="004E5C0F"/>
    <w:rsid w:val="004F257B"/>
    <w:rsid w:val="005024FF"/>
    <w:rsid w:val="005027A8"/>
    <w:rsid w:val="0050303B"/>
    <w:rsid w:val="00506A66"/>
    <w:rsid w:val="00526351"/>
    <w:rsid w:val="00527783"/>
    <w:rsid w:val="0053606A"/>
    <w:rsid w:val="005517B4"/>
    <w:rsid w:val="0055425C"/>
    <w:rsid w:val="00554AF9"/>
    <w:rsid w:val="00567920"/>
    <w:rsid w:val="0058690F"/>
    <w:rsid w:val="005A098C"/>
    <w:rsid w:val="005A5654"/>
    <w:rsid w:val="005B7F71"/>
    <w:rsid w:val="005D359A"/>
    <w:rsid w:val="005E75CB"/>
    <w:rsid w:val="00603165"/>
    <w:rsid w:val="00603C1A"/>
    <w:rsid w:val="00604F36"/>
    <w:rsid w:val="00607A17"/>
    <w:rsid w:val="006128C3"/>
    <w:rsid w:val="006332CB"/>
    <w:rsid w:val="00640FF6"/>
    <w:rsid w:val="00644940"/>
    <w:rsid w:val="0064538A"/>
    <w:rsid w:val="0068120A"/>
    <w:rsid w:val="00682A04"/>
    <w:rsid w:val="006A7C42"/>
    <w:rsid w:val="006B232E"/>
    <w:rsid w:val="006B376D"/>
    <w:rsid w:val="006C22FB"/>
    <w:rsid w:val="006C2F8B"/>
    <w:rsid w:val="006C523D"/>
    <w:rsid w:val="006C7ACC"/>
    <w:rsid w:val="00715411"/>
    <w:rsid w:val="00715A56"/>
    <w:rsid w:val="007323D5"/>
    <w:rsid w:val="00742162"/>
    <w:rsid w:val="007555E2"/>
    <w:rsid w:val="00770AEA"/>
    <w:rsid w:val="0077562B"/>
    <w:rsid w:val="007814B0"/>
    <w:rsid w:val="00791567"/>
    <w:rsid w:val="00793580"/>
    <w:rsid w:val="007A5834"/>
    <w:rsid w:val="007A5BC4"/>
    <w:rsid w:val="007C1D5C"/>
    <w:rsid w:val="007C43EA"/>
    <w:rsid w:val="007C5185"/>
    <w:rsid w:val="007E1609"/>
    <w:rsid w:val="007F1B81"/>
    <w:rsid w:val="007F694A"/>
    <w:rsid w:val="0081038E"/>
    <w:rsid w:val="0083499E"/>
    <w:rsid w:val="00846037"/>
    <w:rsid w:val="00853CEA"/>
    <w:rsid w:val="00865276"/>
    <w:rsid w:val="008861E6"/>
    <w:rsid w:val="00895EE9"/>
    <w:rsid w:val="008B358C"/>
    <w:rsid w:val="0090233F"/>
    <w:rsid w:val="009111D3"/>
    <w:rsid w:val="009150D5"/>
    <w:rsid w:val="00922A1E"/>
    <w:rsid w:val="00923191"/>
    <w:rsid w:val="009237ED"/>
    <w:rsid w:val="00965BFC"/>
    <w:rsid w:val="00971908"/>
    <w:rsid w:val="00987BE5"/>
    <w:rsid w:val="009975ED"/>
    <w:rsid w:val="009A7331"/>
    <w:rsid w:val="009B22AC"/>
    <w:rsid w:val="00A078E0"/>
    <w:rsid w:val="00A26EB1"/>
    <w:rsid w:val="00A723E8"/>
    <w:rsid w:val="00A92D2A"/>
    <w:rsid w:val="00A974A4"/>
    <w:rsid w:val="00A97D38"/>
    <w:rsid w:val="00AC17A0"/>
    <w:rsid w:val="00AD0560"/>
    <w:rsid w:val="00AE458F"/>
    <w:rsid w:val="00B04F34"/>
    <w:rsid w:val="00B14432"/>
    <w:rsid w:val="00B34637"/>
    <w:rsid w:val="00B36613"/>
    <w:rsid w:val="00B40FB0"/>
    <w:rsid w:val="00B4703E"/>
    <w:rsid w:val="00B5198F"/>
    <w:rsid w:val="00B64091"/>
    <w:rsid w:val="00B70F83"/>
    <w:rsid w:val="00B769BC"/>
    <w:rsid w:val="00B96D9F"/>
    <w:rsid w:val="00B97F2C"/>
    <w:rsid w:val="00BA1743"/>
    <w:rsid w:val="00BB769B"/>
    <w:rsid w:val="00BD70AE"/>
    <w:rsid w:val="00BD7930"/>
    <w:rsid w:val="00C04A8A"/>
    <w:rsid w:val="00C101B0"/>
    <w:rsid w:val="00C13A1A"/>
    <w:rsid w:val="00C13D92"/>
    <w:rsid w:val="00C36BCF"/>
    <w:rsid w:val="00C66784"/>
    <w:rsid w:val="00C837D8"/>
    <w:rsid w:val="00C9675E"/>
    <w:rsid w:val="00CD6023"/>
    <w:rsid w:val="00CE2CB0"/>
    <w:rsid w:val="00CE3D94"/>
    <w:rsid w:val="00CE7AB8"/>
    <w:rsid w:val="00CF1850"/>
    <w:rsid w:val="00D01E70"/>
    <w:rsid w:val="00D52399"/>
    <w:rsid w:val="00D66813"/>
    <w:rsid w:val="00D8300A"/>
    <w:rsid w:val="00D915DC"/>
    <w:rsid w:val="00DA7D0A"/>
    <w:rsid w:val="00DE4182"/>
    <w:rsid w:val="00E14AD4"/>
    <w:rsid w:val="00E27EBB"/>
    <w:rsid w:val="00E451FB"/>
    <w:rsid w:val="00E459DA"/>
    <w:rsid w:val="00E77EAB"/>
    <w:rsid w:val="00EA6181"/>
    <w:rsid w:val="00EB7E6A"/>
    <w:rsid w:val="00EF19FA"/>
    <w:rsid w:val="00F06FEB"/>
    <w:rsid w:val="00F106F7"/>
    <w:rsid w:val="00F41578"/>
    <w:rsid w:val="00F44EF9"/>
    <w:rsid w:val="00F45D80"/>
    <w:rsid w:val="00F4631E"/>
    <w:rsid w:val="00F52DBF"/>
    <w:rsid w:val="00F604AC"/>
    <w:rsid w:val="00F61FD5"/>
    <w:rsid w:val="00F62D4F"/>
    <w:rsid w:val="00F67788"/>
    <w:rsid w:val="00F73864"/>
    <w:rsid w:val="00F80508"/>
    <w:rsid w:val="00F93C37"/>
    <w:rsid w:val="00F947B1"/>
    <w:rsid w:val="00FA608E"/>
    <w:rsid w:val="00FA6393"/>
    <w:rsid w:val="00FC1C3E"/>
    <w:rsid w:val="00FC584B"/>
    <w:rsid w:val="00FC6559"/>
    <w:rsid w:val="00FD417E"/>
    <w:rsid w:val="00FD5D57"/>
    <w:rsid w:val="00FE0269"/>
    <w:rsid w:val="00FE4342"/>
    <w:rsid w:val="00FF0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974ED3"/>
  <w15:docId w15:val="{6A946898-987C-49D5-8541-C32BC696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6393"/>
    <w:pPr>
      <w:ind w:left="720"/>
      <w:contextualSpacing/>
    </w:pPr>
  </w:style>
  <w:style w:type="table" w:styleId="TableGrid">
    <w:name w:val="Table Grid"/>
    <w:basedOn w:val="TableNormal"/>
    <w:uiPriority w:val="59"/>
    <w:rsid w:val="00C36BCF"/>
    <w:pPr>
      <w:spacing w:after="0" w:line="240" w:lineRule="auto"/>
      <w:ind w:left="425" w:hanging="425"/>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233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9675E"/>
    <w:rPr>
      <w:color w:val="0000FF" w:themeColor="hyperlink"/>
      <w:u w:val="single"/>
    </w:rPr>
  </w:style>
  <w:style w:type="paragraph" w:styleId="Header">
    <w:name w:val="header"/>
    <w:basedOn w:val="Normal"/>
    <w:link w:val="HeaderChar"/>
    <w:uiPriority w:val="99"/>
    <w:unhideWhenUsed/>
    <w:rsid w:val="00770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AEA"/>
  </w:style>
  <w:style w:type="paragraph" w:styleId="Footer">
    <w:name w:val="footer"/>
    <w:basedOn w:val="Normal"/>
    <w:link w:val="FooterChar"/>
    <w:uiPriority w:val="99"/>
    <w:unhideWhenUsed/>
    <w:rsid w:val="00770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AEA"/>
  </w:style>
  <w:style w:type="paragraph" w:styleId="BalloonText">
    <w:name w:val="Balloon Text"/>
    <w:basedOn w:val="Normal"/>
    <w:link w:val="BalloonTextChar"/>
    <w:uiPriority w:val="99"/>
    <w:semiHidden/>
    <w:unhideWhenUsed/>
    <w:rsid w:val="00640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FF6"/>
    <w:rPr>
      <w:rFonts w:ascii="Tahoma" w:hAnsi="Tahoma" w:cs="Tahoma"/>
      <w:sz w:val="16"/>
      <w:szCs w:val="16"/>
    </w:rPr>
  </w:style>
  <w:style w:type="character" w:styleId="CommentReference">
    <w:name w:val="annotation reference"/>
    <w:basedOn w:val="DefaultParagraphFont"/>
    <w:uiPriority w:val="99"/>
    <w:semiHidden/>
    <w:unhideWhenUsed/>
    <w:rsid w:val="0058690F"/>
    <w:rPr>
      <w:sz w:val="16"/>
      <w:szCs w:val="16"/>
    </w:rPr>
  </w:style>
  <w:style w:type="paragraph" w:styleId="CommentText">
    <w:name w:val="annotation text"/>
    <w:basedOn w:val="Normal"/>
    <w:link w:val="CommentTextChar"/>
    <w:uiPriority w:val="99"/>
    <w:semiHidden/>
    <w:unhideWhenUsed/>
    <w:rsid w:val="0058690F"/>
    <w:pPr>
      <w:spacing w:line="240" w:lineRule="auto"/>
    </w:pPr>
    <w:rPr>
      <w:sz w:val="20"/>
      <w:szCs w:val="20"/>
    </w:rPr>
  </w:style>
  <w:style w:type="character" w:customStyle="1" w:styleId="CommentTextChar">
    <w:name w:val="Comment Text Char"/>
    <w:basedOn w:val="DefaultParagraphFont"/>
    <w:link w:val="CommentText"/>
    <w:uiPriority w:val="99"/>
    <w:semiHidden/>
    <w:rsid w:val="0058690F"/>
    <w:rPr>
      <w:sz w:val="20"/>
      <w:szCs w:val="20"/>
    </w:rPr>
  </w:style>
  <w:style w:type="paragraph" w:styleId="CommentSubject">
    <w:name w:val="annotation subject"/>
    <w:basedOn w:val="CommentText"/>
    <w:next w:val="CommentText"/>
    <w:link w:val="CommentSubjectChar"/>
    <w:uiPriority w:val="99"/>
    <w:semiHidden/>
    <w:unhideWhenUsed/>
    <w:rsid w:val="0058690F"/>
    <w:rPr>
      <w:b/>
      <w:bCs/>
    </w:rPr>
  </w:style>
  <w:style w:type="character" w:customStyle="1" w:styleId="CommentSubjectChar">
    <w:name w:val="Comment Subject Char"/>
    <w:basedOn w:val="CommentTextChar"/>
    <w:link w:val="CommentSubject"/>
    <w:uiPriority w:val="99"/>
    <w:semiHidden/>
    <w:rsid w:val="0058690F"/>
    <w:rPr>
      <w:b/>
      <w:bCs/>
      <w:sz w:val="20"/>
      <w:szCs w:val="20"/>
    </w:rPr>
  </w:style>
  <w:style w:type="character" w:customStyle="1" w:styleId="ListParagraphChar">
    <w:name w:val="List Paragraph Char"/>
    <w:link w:val="ListParagraph"/>
    <w:uiPriority w:val="34"/>
    <w:rsid w:val="00E27EBB"/>
  </w:style>
  <w:style w:type="character" w:styleId="FollowedHyperlink">
    <w:name w:val="FollowedHyperlink"/>
    <w:basedOn w:val="DefaultParagraphFont"/>
    <w:uiPriority w:val="99"/>
    <w:semiHidden/>
    <w:unhideWhenUsed/>
    <w:rsid w:val="004E5C0F"/>
    <w:rPr>
      <w:color w:val="800080" w:themeColor="followedHyperlink"/>
      <w:u w:val="single"/>
    </w:rPr>
  </w:style>
  <w:style w:type="paragraph" w:styleId="FootnoteText">
    <w:name w:val="footnote text"/>
    <w:basedOn w:val="Normal"/>
    <w:link w:val="FootnoteTextChar"/>
    <w:uiPriority w:val="99"/>
    <w:semiHidden/>
    <w:unhideWhenUsed/>
    <w:rsid w:val="009719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908"/>
    <w:rPr>
      <w:sz w:val="20"/>
      <w:szCs w:val="20"/>
    </w:rPr>
  </w:style>
  <w:style w:type="character" w:styleId="FootnoteReference">
    <w:name w:val="footnote reference"/>
    <w:basedOn w:val="DefaultParagraphFont"/>
    <w:uiPriority w:val="99"/>
    <w:semiHidden/>
    <w:unhideWhenUsed/>
    <w:rsid w:val="009719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0383">
      <w:bodyDiv w:val="1"/>
      <w:marLeft w:val="0"/>
      <w:marRight w:val="0"/>
      <w:marTop w:val="0"/>
      <w:marBottom w:val="0"/>
      <w:divBdr>
        <w:top w:val="none" w:sz="0" w:space="0" w:color="auto"/>
        <w:left w:val="none" w:sz="0" w:space="0" w:color="auto"/>
        <w:bottom w:val="none" w:sz="0" w:space="0" w:color="auto"/>
        <w:right w:val="none" w:sz="0" w:space="0" w:color="auto"/>
      </w:divBdr>
    </w:div>
    <w:div w:id="21035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7E6E3-2121-45DC-A474-D8998609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2894</Words>
  <Characters>16501</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Ramsar Secretariat</dc:creator>
  <cp:lastModifiedBy>Secretariat</cp:lastModifiedBy>
  <cp:revision>2</cp:revision>
  <cp:lastPrinted>2018-01-15T15:47:00Z</cp:lastPrinted>
  <dcterms:created xsi:type="dcterms:W3CDTF">2021-05-06T11:59:00Z</dcterms:created>
  <dcterms:modified xsi:type="dcterms:W3CDTF">2021-05-06T11:59:00Z</dcterms:modified>
</cp:coreProperties>
</file>