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55FF" w14:textId="1648FB07" w:rsidR="001F6249" w:rsidRPr="0020764F" w:rsidRDefault="001F6249" w:rsidP="001327E4">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lang w:val="fr-CH"/>
        </w:rPr>
      </w:pPr>
      <w:r w:rsidRPr="0020764F">
        <w:rPr>
          <w:rFonts w:asciiTheme="minorHAnsi" w:hAnsiTheme="minorHAnsi" w:cstheme="minorHAnsi"/>
          <w:bCs/>
          <w:sz w:val="24"/>
          <w:szCs w:val="24"/>
          <w:lang w:val="fr-CH"/>
        </w:rPr>
        <w:t xml:space="preserve">CONVENTION </w:t>
      </w:r>
      <w:r w:rsidR="0020764F">
        <w:rPr>
          <w:rFonts w:asciiTheme="minorHAnsi" w:hAnsiTheme="minorHAnsi" w:cstheme="minorHAnsi"/>
          <w:bCs/>
          <w:sz w:val="24"/>
          <w:szCs w:val="24"/>
          <w:lang w:val="fr-CH"/>
        </w:rPr>
        <w:t>SUR LES ZONES HUMIDES</w:t>
      </w:r>
    </w:p>
    <w:p w14:paraId="40B3F838" w14:textId="40EFAF90" w:rsidR="001F6249" w:rsidRPr="0020764F" w:rsidRDefault="001072C1" w:rsidP="001327E4">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lang w:val="fr-CH"/>
        </w:rPr>
      </w:pPr>
      <w:r w:rsidRPr="0020764F">
        <w:rPr>
          <w:rFonts w:asciiTheme="minorHAnsi" w:hAnsiTheme="minorHAnsi" w:cstheme="minorHAnsi"/>
          <w:bCs/>
          <w:sz w:val="24"/>
          <w:szCs w:val="24"/>
          <w:lang w:val="fr-CH"/>
        </w:rPr>
        <w:t>59</w:t>
      </w:r>
      <w:r w:rsidR="0020764F" w:rsidRPr="0020764F">
        <w:rPr>
          <w:rFonts w:asciiTheme="minorHAnsi" w:hAnsiTheme="minorHAnsi" w:cstheme="minorHAnsi"/>
          <w:bCs/>
          <w:sz w:val="24"/>
          <w:szCs w:val="24"/>
          <w:vertAlign w:val="superscript"/>
          <w:lang w:val="fr-CH"/>
        </w:rPr>
        <w:t>e</w:t>
      </w:r>
      <w:r w:rsidR="0020764F">
        <w:rPr>
          <w:rFonts w:asciiTheme="minorHAnsi" w:hAnsiTheme="minorHAnsi" w:cstheme="minorHAnsi"/>
          <w:bCs/>
          <w:sz w:val="24"/>
          <w:szCs w:val="24"/>
          <w:lang w:val="fr-CH"/>
        </w:rPr>
        <w:t xml:space="preserve"> Réunion du Comité permanent</w:t>
      </w:r>
    </w:p>
    <w:p w14:paraId="4D2B71D2" w14:textId="0E8EBA2B" w:rsidR="001F6249" w:rsidRPr="0020764F" w:rsidRDefault="001327E4" w:rsidP="001327E4">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lang w:val="fr-CH"/>
        </w:rPr>
      </w:pPr>
      <w:r w:rsidRPr="0020764F">
        <w:rPr>
          <w:rFonts w:asciiTheme="minorHAnsi" w:hAnsiTheme="minorHAnsi" w:cstheme="minorHAnsi"/>
          <w:bCs/>
          <w:sz w:val="24"/>
          <w:szCs w:val="24"/>
          <w:lang w:val="fr-CH"/>
        </w:rPr>
        <w:t xml:space="preserve">Gland, </w:t>
      </w:r>
      <w:r w:rsidR="0020764F">
        <w:rPr>
          <w:rFonts w:asciiTheme="minorHAnsi" w:hAnsiTheme="minorHAnsi" w:cstheme="minorHAnsi"/>
          <w:bCs/>
          <w:sz w:val="24"/>
          <w:szCs w:val="24"/>
          <w:lang w:val="fr-CH"/>
        </w:rPr>
        <w:t>Suisse</w:t>
      </w:r>
      <w:r w:rsidRPr="0020764F">
        <w:rPr>
          <w:rFonts w:asciiTheme="minorHAnsi" w:hAnsiTheme="minorHAnsi" w:cstheme="minorHAnsi"/>
          <w:bCs/>
          <w:sz w:val="24"/>
          <w:szCs w:val="24"/>
          <w:lang w:val="fr-CH"/>
        </w:rPr>
        <w:t>, 21</w:t>
      </w:r>
      <w:r w:rsidR="0020764F">
        <w:rPr>
          <w:rFonts w:asciiTheme="minorHAnsi" w:hAnsiTheme="minorHAnsi" w:cstheme="minorHAnsi"/>
          <w:bCs/>
          <w:sz w:val="24"/>
          <w:szCs w:val="24"/>
          <w:lang w:val="fr-CH"/>
        </w:rPr>
        <w:t xml:space="preserve"> au </w:t>
      </w:r>
      <w:r w:rsidRPr="0020764F">
        <w:rPr>
          <w:rFonts w:asciiTheme="minorHAnsi" w:hAnsiTheme="minorHAnsi" w:cstheme="minorHAnsi"/>
          <w:bCs/>
          <w:sz w:val="24"/>
          <w:szCs w:val="24"/>
          <w:lang w:val="fr-CH"/>
        </w:rPr>
        <w:t xml:space="preserve">25 </w:t>
      </w:r>
      <w:r w:rsidR="0020764F">
        <w:rPr>
          <w:rFonts w:asciiTheme="minorHAnsi" w:hAnsiTheme="minorHAnsi" w:cstheme="minorHAnsi"/>
          <w:bCs/>
          <w:sz w:val="24"/>
          <w:szCs w:val="24"/>
          <w:lang w:val="fr-CH"/>
        </w:rPr>
        <w:t>juin</w:t>
      </w:r>
      <w:r w:rsidRPr="0020764F">
        <w:rPr>
          <w:rFonts w:asciiTheme="minorHAnsi" w:hAnsiTheme="minorHAnsi" w:cstheme="minorHAnsi"/>
          <w:bCs/>
          <w:sz w:val="24"/>
          <w:szCs w:val="24"/>
          <w:lang w:val="fr-CH"/>
        </w:rPr>
        <w:t xml:space="preserve"> 2021</w:t>
      </w:r>
    </w:p>
    <w:p w14:paraId="42CAD600" w14:textId="77777777" w:rsidR="0013041F" w:rsidRPr="004A16FA" w:rsidRDefault="0013041F" w:rsidP="0013041F">
      <w:pPr>
        <w:rPr>
          <w:rFonts w:asciiTheme="minorHAnsi" w:hAnsiTheme="minorHAnsi" w:cstheme="minorHAnsi"/>
          <w:b/>
          <w:sz w:val="28"/>
          <w:szCs w:val="28"/>
          <w:lang w:val="fr-FR"/>
        </w:rPr>
      </w:pPr>
    </w:p>
    <w:p w14:paraId="7A808FF8" w14:textId="77777777" w:rsidR="0013041F" w:rsidRPr="0013041F" w:rsidRDefault="0013041F" w:rsidP="0013041F">
      <w:pPr>
        <w:jc w:val="right"/>
        <w:rPr>
          <w:rFonts w:asciiTheme="minorHAnsi" w:hAnsiTheme="minorHAnsi"/>
          <w:b/>
          <w:sz w:val="28"/>
          <w:szCs w:val="28"/>
          <w:lang w:val="fr-FR"/>
        </w:rPr>
      </w:pPr>
      <w:r w:rsidRPr="0013041F">
        <w:rPr>
          <w:rFonts w:asciiTheme="minorHAnsi" w:hAnsiTheme="minorHAnsi"/>
          <w:b/>
          <w:sz w:val="28"/>
          <w:szCs w:val="28"/>
          <w:lang w:val="fr-FR"/>
        </w:rPr>
        <w:t>SC59 Doc.24.6</w:t>
      </w:r>
    </w:p>
    <w:p w14:paraId="3120295C" w14:textId="77777777" w:rsidR="0013041F" w:rsidRPr="0013041F" w:rsidRDefault="0013041F" w:rsidP="0013041F">
      <w:pPr>
        <w:suppressLineNumbers/>
        <w:suppressAutoHyphens/>
        <w:rPr>
          <w:rFonts w:cs="Arial"/>
          <w:b/>
          <w:sz w:val="28"/>
          <w:szCs w:val="28"/>
          <w:lang w:val="fr-FR"/>
        </w:rPr>
      </w:pPr>
    </w:p>
    <w:p w14:paraId="7827A087" w14:textId="1EA23786" w:rsidR="001F6249" w:rsidRPr="0020764F" w:rsidRDefault="0020764F" w:rsidP="00085492">
      <w:pPr>
        <w:ind w:right="16"/>
        <w:jc w:val="center"/>
        <w:rPr>
          <w:rFonts w:asciiTheme="minorHAnsi" w:eastAsia="Times New Roman" w:hAnsiTheme="minorHAnsi"/>
          <w:sz w:val="28"/>
          <w:szCs w:val="28"/>
          <w:lang w:val="fr-CH"/>
        </w:rPr>
      </w:pPr>
      <w:r>
        <w:rPr>
          <w:rFonts w:asciiTheme="minorHAnsi" w:eastAsia="Times New Roman" w:hAnsiTheme="minorHAnsi"/>
          <w:b/>
          <w:bCs/>
          <w:sz w:val="28"/>
          <w:szCs w:val="28"/>
          <w:lang w:val="fr-CH"/>
        </w:rPr>
        <w:t xml:space="preserve">Projet de résolution sur l’éducation aux zones humides dans le secteur </w:t>
      </w:r>
      <w:r w:rsidR="004D4B47">
        <w:rPr>
          <w:rFonts w:asciiTheme="minorHAnsi" w:eastAsia="Times New Roman" w:hAnsiTheme="minorHAnsi"/>
          <w:b/>
          <w:bCs/>
          <w:sz w:val="28"/>
          <w:szCs w:val="28"/>
          <w:lang w:val="fr-CH"/>
        </w:rPr>
        <w:t xml:space="preserve">de l’enseignement </w:t>
      </w:r>
      <w:r>
        <w:rPr>
          <w:rFonts w:asciiTheme="minorHAnsi" w:eastAsia="Times New Roman" w:hAnsiTheme="minorHAnsi"/>
          <w:b/>
          <w:bCs/>
          <w:sz w:val="28"/>
          <w:szCs w:val="28"/>
          <w:lang w:val="fr-CH"/>
        </w:rPr>
        <w:t xml:space="preserve">officiel </w:t>
      </w:r>
    </w:p>
    <w:p w14:paraId="23464B10" w14:textId="34FA1050" w:rsidR="001F6249" w:rsidRPr="0020764F" w:rsidRDefault="001F6249" w:rsidP="0032390A">
      <w:pPr>
        <w:ind w:right="560"/>
        <w:rPr>
          <w:rFonts w:asciiTheme="minorHAnsi" w:eastAsia="Times New Roman" w:hAnsiTheme="minorHAnsi" w:cstheme="minorHAnsi"/>
          <w:b/>
          <w:lang w:val="fr-CH"/>
        </w:rPr>
      </w:pPr>
    </w:p>
    <w:p w14:paraId="3D0A3BD4" w14:textId="67DF203C" w:rsidR="001F6249" w:rsidRDefault="0020764F" w:rsidP="004A16FA">
      <w:pPr>
        <w:tabs>
          <w:tab w:val="left" w:pos="7230"/>
        </w:tabs>
        <w:ind w:right="16"/>
        <w:rPr>
          <w:rFonts w:asciiTheme="minorHAnsi" w:eastAsia="Times New Roman" w:hAnsiTheme="minorHAnsi" w:cstheme="minorHAnsi"/>
          <w:i/>
          <w:lang w:val="fr-CH"/>
        </w:rPr>
      </w:pPr>
      <w:r>
        <w:rPr>
          <w:rFonts w:asciiTheme="minorHAnsi" w:eastAsia="Times New Roman" w:hAnsiTheme="minorHAnsi" w:cstheme="minorHAnsi"/>
          <w:i/>
          <w:lang w:val="fr-CH"/>
        </w:rPr>
        <w:t>Présenté par la République de Corée et la République populaire de Chine</w:t>
      </w:r>
    </w:p>
    <w:p w14:paraId="75E490F5" w14:textId="3B35CE52" w:rsidR="004A16FA" w:rsidRDefault="004A16FA" w:rsidP="004A16FA">
      <w:pPr>
        <w:tabs>
          <w:tab w:val="left" w:pos="7230"/>
        </w:tabs>
        <w:ind w:right="16"/>
        <w:rPr>
          <w:rFonts w:asciiTheme="minorHAnsi" w:eastAsia="Times New Roman" w:hAnsiTheme="minorHAnsi" w:cstheme="minorHAnsi"/>
          <w:i/>
          <w:lang w:val="fr-CH"/>
        </w:rPr>
      </w:pPr>
    </w:p>
    <w:p w14:paraId="1A38EA7F" w14:textId="6FD2B4F5" w:rsidR="004A16FA" w:rsidRDefault="004A16FA" w:rsidP="004A16FA">
      <w:pPr>
        <w:tabs>
          <w:tab w:val="left" w:pos="7230"/>
        </w:tabs>
        <w:ind w:right="16"/>
        <w:rPr>
          <w:rFonts w:asciiTheme="minorHAnsi" w:eastAsia="Times New Roman" w:hAnsiTheme="minorHAnsi" w:cstheme="minorHAnsi"/>
          <w:i/>
          <w:lang w:val="fr-CH"/>
        </w:rPr>
      </w:pPr>
    </w:p>
    <w:p w14:paraId="3DC0DDB3" w14:textId="77777777" w:rsidR="004A16FA" w:rsidRPr="00BE2AC7" w:rsidRDefault="004A16FA" w:rsidP="004A16FA">
      <w:pPr>
        <w:rPr>
          <w:i/>
          <w:lang w:val="fr-CH"/>
        </w:rPr>
      </w:pPr>
      <w:r>
        <w:rPr>
          <w:i/>
          <w:lang w:val="fr-CH"/>
        </w:rPr>
        <w:t>Note de couverture du Secrétariat :</w:t>
      </w:r>
    </w:p>
    <w:p w14:paraId="2B05FA11" w14:textId="77777777" w:rsidR="004A16FA" w:rsidRPr="00BE2AC7" w:rsidRDefault="004A16FA" w:rsidP="004A16FA">
      <w:pPr>
        <w:ind w:left="0" w:firstLine="0"/>
        <w:rPr>
          <w:lang w:val="fr-CH"/>
        </w:rPr>
      </w:pPr>
      <w:r>
        <w:rPr>
          <w:lang w:val="fr-CH"/>
        </w:rPr>
        <w:t xml:space="preserve">Le projet de résolution fait référence à des Résolutions précédemment adoptées par différentes sessions de la COP sur la CESP, notamment les Résolutions </w:t>
      </w:r>
      <w:r w:rsidRPr="00BE2AC7">
        <w:rPr>
          <w:lang w:val="fr-CH"/>
        </w:rPr>
        <w:t xml:space="preserve">VII.9, VIII.31, X.8 </w:t>
      </w:r>
      <w:r>
        <w:rPr>
          <w:lang w:val="fr-CH"/>
        </w:rPr>
        <w:t>et</w:t>
      </w:r>
      <w:r w:rsidRPr="00BE2AC7">
        <w:rPr>
          <w:lang w:val="fr-CH"/>
        </w:rPr>
        <w:t xml:space="preserve"> XII.9. </w:t>
      </w:r>
      <w:r>
        <w:rPr>
          <w:lang w:val="fr-CH"/>
        </w:rPr>
        <w:t>Le projet de résolution ne traite pas de questions de nature scientifique ou technique nécessitant une révision du GEST.</w:t>
      </w:r>
      <w:r w:rsidRPr="00BE2AC7">
        <w:rPr>
          <w:lang w:val="fr-CH"/>
        </w:rPr>
        <w:t xml:space="preserve"> </w:t>
      </w:r>
    </w:p>
    <w:p w14:paraId="0174FD04" w14:textId="77777777" w:rsidR="004A16FA" w:rsidRPr="0020764F" w:rsidRDefault="004A16FA" w:rsidP="004A16FA">
      <w:pPr>
        <w:tabs>
          <w:tab w:val="left" w:pos="7230"/>
        </w:tabs>
        <w:ind w:right="16"/>
        <w:rPr>
          <w:rFonts w:asciiTheme="minorHAnsi" w:eastAsia="Times New Roman" w:hAnsiTheme="minorHAnsi" w:cstheme="minorHAnsi"/>
          <w:i/>
          <w:lang w:val="fr-CH" w:eastAsia="ko-KR"/>
        </w:rPr>
      </w:pPr>
    </w:p>
    <w:p w14:paraId="22EE228E" w14:textId="7AAAD148" w:rsidR="004A16FA" w:rsidRDefault="004A16FA">
      <w:pPr>
        <w:rPr>
          <w:rFonts w:asciiTheme="minorHAnsi" w:eastAsia="Times New Roman" w:hAnsiTheme="minorHAnsi" w:cstheme="minorHAnsi"/>
          <w:iCs/>
          <w:lang w:val="fr-CH"/>
        </w:rPr>
      </w:pPr>
      <w:r>
        <w:rPr>
          <w:rFonts w:asciiTheme="minorHAnsi" w:eastAsia="Times New Roman" w:hAnsiTheme="minorHAnsi" w:cstheme="minorHAnsi"/>
          <w:iCs/>
          <w:lang w:val="fr-CH"/>
        </w:rPr>
        <w:br w:type="page"/>
      </w:r>
    </w:p>
    <w:p w14:paraId="4CF407A5" w14:textId="32676B0C" w:rsidR="004A16FA" w:rsidRPr="004A16FA" w:rsidRDefault="004A16FA" w:rsidP="004A16FA">
      <w:pPr>
        <w:ind w:right="16"/>
        <w:jc w:val="center"/>
        <w:rPr>
          <w:rFonts w:asciiTheme="minorHAnsi" w:eastAsia="Times New Roman" w:hAnsiTheme="minorHAnsi"/>
          <w:sz w:val="24"/>
          <w:szCs w:val="24"/>
          <w:lang w:val="fr-CH"/>
        </w:rPr>
      </w:pPr>
      <w:r w:rsidRPr="004A16FA">
        <w:rPr>
          <w:rFonts w:asciiTheme="minorHAnsi" w:eastAsia="Times New Roman" w:hAnsiTheme="minorHAnsi"/>
          <w:b/>
          <w:bCs/>
          <w:sz w:val="24"/>
          <w:szCs w:val="24"/>
          <w:lang w:val="fr-CH"/>
        </w:rPr>
        <w:lastRenderedPageBreak/>
        <w:t xml:space="preserve">Projet de résolution sur l’éducation aux zones humides dans le secteur </w:t>
      </w:r>
      <w:r>
        <w:rPr>
          <w:rFonts w:asciiTheme="minorHAnsi" w:eastAsia="Times New Roman" w:hAnsiTheme="minorHAnsi"/>
          <w:b/>
          <w:bCs/>
          <w:sz w:val="24"/>
          <w:szCs w:val="24"/>
          <w:lang w:val="fr-CH"/>
        </w:rPr>
        <w:br/>
      </w:r>
      <w:r w:rsidRPr="004A16FA">
        <w:rPr>
          <w:rFonts w:asciiTheme="minorHAnsi" w:eastAsia="Times New Roman" w:hAnsiTheme="minorHAnsi"/>
          <w:b/>
          <w:bCs/>
          <w:sz w:val="24"/>
          <w:szCs w:val="24"/>
          <w:lang w:val="fr-CH"/>
        </w:rPr>
        <w:t xml:space="preserve">de l’enseignement officiel </w:t>
      </w:r>
    </w:p>
    <w:p w14:paraId="062BAAB3" w14:textId="77777777" w:rsidR="004D37C3" w:rsidRPr="0020764F" w:rsidRDefault="004D37C3" w:rsidP="00085492">
      <w:pPr>
        <w:ind w:right="16"/>
        <w:rPr>
          <w:rFonts w:asciiTheme="minorHAnsi" w:eastAsia="Times New Roman" w:hAnsiTheme="minorHAnsi" w:cstheme="minorHAnsi"/>
          <w:iCs/>
          <w:lang w:val="fr-CH"/>
        </w:rPr>
      </w:pPr>
    </w:p>
    <w:tbl>
      <w:tblPr>
        <w:tblStyle w:val="TableGrid"/>
        <w:tblW w:w="50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405"/>
      </w:tblGrid>
      <w:tr w:rsidR="004D37C3" w:rsidRPr="004A16FA" w14:paraId="6DAF791B" w14:textId="77777777" w:rsidTr="00B15215">
        <w:tc>
          <w:tcPr>
            <w:tcW w:w="5000" w:type="pct"/>
          </w:tcPr>
          <w:p w14:paraId="4BBAE160" w14:textId="125DB93D" w:rsidR="00B15215" w:rsidRPr="0020764F" w:rsidRDefault="0020764F" w:rsidP="00085492">
            <w:pPr>
              <w:rPr>
                <w:rFonts w:asciiTheme="minorHAnsi" w:hAnsiTheme="minorHAnsi" w:cstheme="minorHAnsi"/>
                <w:b/>
                <w:lang w:val="fr-CH"/>
              </w:rPr>
            </w:pPr>
            <w:r>
              <w:rPr>
                <w:rFonts w:asciiTheme="minorHAnsi" w:hAnsiTheme="minorHAnsi" w:cstheme="minorHAnsi"/>
                <w:b/>
                <w:lang w:val="fr-CH"/>
              </w:rPr>
              <w:t>Mesure requise </w:t>
            </w:r>
            <w:r w:rsidR="00B15215" w:rsidRPr="0020764F">
              <w:rPr>
                <w:rFonts w:asciiTheme="minorHAnsi" w:hAnsiTheme="minorHAnsi" w:cstheme="minorHAnsi"/>
                <w:b/>
                <w:lang w:val="fr-CH"/>
              </w:rPr>
              <w:t>:</w:t>
            </w:r>
          </w:p>
          <w:p w14:paraId="5B65040E" w14:textId="77777777" w:rsidR="00B15215" w:rsidRPr="0020764F" w:rsidRDefault="00B15215" w:rsidP="00085492">
            <w:pPr>
              <w:rPr>
                <w:rFonts w:asciiTheme="minorHAnsi" w:hAnsiTheme="minorHAnsi" w:cstheme="minorHAnsi"/>
                <w:b/>
                <w:lang w:val="fr-CH"/>
              </w:rPr>
            </w:pPr>
          </w:p>
          <w:p w14:paraId="34C6F935" w14:textId="69695DD2" w:rsidR="00771875" w:rsidRPr="0020764F" w:rsidRDefault="0020764F" w:rsidP="00085492">
            <w:pPr>
              <w:widowControl w:val="0"/>
              <w:numPr>
                <w:ilvl w:val="0"/>
                <w:numId w:val="33"/>
              </w:numPr>
              <w:ind w:left="426" w:hanging="426"/>
              <w:rPr>
                <w:rFonts w:asciiTheme="minorHAnsi" w:eastAsia="Times New Roman" w:hAnsiTheme="minorHAnsi" w:cstheme="minorHAnsi"/>
                <w:iCs/>
                <w:lang w:val="fr-CH"/>
              </w:rPr>
            </w:pPr>
            <w:r>
              <w:rPr>
                <w:rFonts w:asciiTheme="minorHAnsi" w:hAnsiTheme="minorHAnsi" w:cstheme="minorHAnsi"/>
                <w:lang w:val="fr-CH"/>
              </w:rPr>
              <w:t>Le Comité permanent est invité à examiner le projet de résolution ci</w:t>
            </w:r>
            <w:r>
              <w:rPr>
                <w:rFonts w:asciiTheme="minorHAnsi" w:hAnsiTheme="minorHAnsi" w:cstheme="minorHAnsi"/>
                <w:lang w:val="fr-CH"/>
              </w:rPr>
              <w:noBreakHyphen/>
              <w:t xml:space="preserve">joint pour </w:t>
            </w:r>
            <w:r w:rsidR="004D4B47">
              <w:rPr>
                <w:rFonts w:asciiTheme="minorHAnsi" w:hAnsiTheme="minorHAnsi" w:cstheme="minorHAnsi"/>
                <w:lang w:val="fr-CH"/>
              </w:rPr>
              <w:t>considération</w:t>
            </w:r>
            <w:r>
              <w:rPr>
                <w:rFonts w:asciiTheme="minorHAnsi" w:hAnsiTheme="minorHAnsi" w:cstheme="minorHAnsi"/>
                <w:lang w:val="fr-CH"/>
              </w:rPr>
              <w:t xml:space="preserve"> à la 14</w:t>
            </w:r>
            <w:r w:rsidRPr="0020764F">
              <w:rPr>
                <w:rFonts w:asciiTheme="minorHAnsi" w:hAnsiTheme="minorHAnsi" w:cstheme="minorHAnsi"/>
                <w:vertAlign w:val="superscript"/>
                <w:lang w:val="fr-CH"/>
              </w:rPr>
              <w:t>e</w:t>
            </w:r>
            <w:r>
              <w:rPr>
                <w:rFonts w:asciiTheme="minorHAnsi" w:hAnsiTheme="minorHAnsi" w:cstheme="minorHAnsi"/>
                <w:lang w:val="fr-CH"/>
              </w:rPr>
              <w:t> Session de la Conférence des Parties.</w:t>
            </w:r>
          </w:p>
          <w:p w14:paraId="7594EF5B" w14:textId="634DA52F" w:rsidR="00771875" w:rsidRPr="0020764F" w:rsidRDefault="00771875" w:rsidP="00085492">
            <w:pPr>
              <w:widowControl w:val="0"/>
              <w:ind w:left="0" w:firstLine="0"/>
              <w:rPr>
                <w:rFonts w:asciiTheme="minorHAnsi" w:eastAsia="Times New Roman" w:hAnsiTheme="minorHAnsi" w:cstheme="minorHAnsi"/>
                <w:iCs/>
                <w:lang w:val="fr-CH"/>
              </w:rPr>
            </w:pPr>
          </w:p>
        </w:tc>
      </w:tr>
    </w:tbl>
    <w:p w14:paraId="1E3D1BA6" w14:textId="16AF1AD7" w:rsidR="004D37C3" w:rsidRPr="0020764F" w:rsidRDefault="004D37C3" w:rsidP="00085492">
      <w:pPr>
        <w:ind w:right="16"/>
        <w:rPr>
          <w:rFonts w:asciiTheme="minorHAnsi" w:eastAsia="Times New Roman" w:hAnsiTheme="minorHAnsi" w:cstheme="minorHAnsi"/>
          <w:iCs/>
          <w:lang w:val="fr-CH"/>
        </w:rPr>
      </w:pPr>
    </w:p>
    <w:p w14:paraId="527442F1" w14:textId="77777777" w:rsidR="001F6249" w:rsidRPr="0020764F" w:rsidRDefault="001F6249" w:rsidP="00085492">
      <w:pPr>
        <w:rPr>
          <w:rFonts w:asciiTheme="minorHAnsi" w:hAnsiTheme="minorHAnsi" w:cstheme="minorHAnsi"/>
          <w:b/>
          <w:lang w:val="fr-CH"/>
        </w:rPr>
      </w:pPr>
    </w:p>
    <w:p w14:paraId="5138F356" w14:textId="38517356" w:rsidR="001F6249" w:rsidRPr="0020764F" w:rsidRDefault="005E32CE" w:rsidP="00085492">
      <w:pPr>
        <w:rPr>
          <w:rFonts w:asciiTheme="minorHAnsi" w:hAnsiTheme="minorHAnsi" w:cstheme="minorHAnsi"/>
          <w:b/>
          <w:lang w:val="fr-CH"/>
        </w:rPr>
      </w:pPr>
      <w:r w:rsidRPr="0020764F">
        <w:rPr>
          <w:rFonts w:asciiTheme="minorHAnsi" w:hAnsiTheme="minorHAnsi" w:cstheme="minorHAnsi"/>
          <w:b/>
          <w:lang w:val="fr-CH"/>
        </w:rPr>
        <w:t>Introduction</w:t>
      </w:r>
    </w:p>
    <w:p w14:paraId="10DC17A4" w14:textId="27C27B3E" w:rsidR="001F6249" w:rsidRPr="0020764F" w:rsidRDefault="001F6249" w:rsidP="00085492">
      <w:pPr>
        <w:rPr>
          <w:rFonts w:asciiTheme="minorHAnsi" w:hAnsiTheme="minorHAnsi" w:cstheme="minorHAnsi"/>
          <w:lang w:val="fr-CH"/>
        </w:rPr>
      </w:pPr>
    </w:p>
    <w:p w14:paraId="6AFEBA8F" w14:textId="1AAAE579" w:rsidR="005E32CE" w:rsidRPr="0020764F" w:rsidRDefault="005E32CE" w:rsidP="00085492">
      <w:pPr>
        <w:rPr>
          <w:rFonts w:asciiTheme="minorHAnsi" w:hAnsiTheme="minorHAnsi" w:cstheme="minorHAnsi"/>
          <w:i/>
          <w:iCs/>
          <w:lang w:val="fr-CH"/>
        </w:rPr>
      </w:pPr>
      <w:r w:rsidRPr="0020764F">
        <w:rPr>
          <w:rFonts w:asciiTheme="minorHAnsi" w:hAnsiTheme="minorHAnsi" w:cstheme="minorHAnsi"/>
          <w:i/>
          <w:iCs/>
          <w:lang w:val="fr-CH"/>
        </w:rPr>
        <w:t xml:space="preserve">Information </w:t>
      </w:r>
      <w:r w:rsidR="0020764F">
        <w:rPr>
          <w:rFonts w:asciiTheme="minorHAnsi" w:hAnsiTheme="minorHAnsi" w:cstheme="minorHAnsi"/>
          <w:i/>
          <w:iCs/>
          <w:lang w:val="fr-CH"/>
        </w:rPr>
        <w:t>pour le Comité permanent</w:t>
      </w:r>
    </w:p>
    <w:p w14:paraId="68FD1BF1" w14:textId="77777777" w:rsidR="005E32CE" w:rsidRPr="0020764F" w:rsidRDefault="005E32CE" w:rsidP="00085492">
      <w:pPr>
        <w:pStyle w:val="NoSpacing"/>
        <w:ind w:left="0" w:firstLine="0"/>
        <w:jc w:val="both"/>
        <w:rPr>
          <w:rFonts w:asciiTheme="minorHAnsi" w:eastAsia="Times New Roman" w:hAnsiTheme="minorHAnsi" w:cstheme="minorHAnsi"/>
          <w:lang w:val="fr-CH" w:eastAsia="en-GB"/>
        </w:rPr>
      </w:pPr>
    </w:p>
    <w:p w14:paraId="0887BB52" w14:textId="29F5B0E0" w:rsidR="00B9392E" w:rsidRPr="0020764F" w:rsidRDefault="0020764F" w:rsidP="00A16BA0">
      <w:pPr>
        <w:pStyle w:val="NoSpacing"/>
        <w:ind w:left="0" w:firstLine="0"/>
        <w:rPr>
          <w:rFonts w:asciiTheme="minorHAnsi" w:hAnsiTheme="minorHAnsi" w:cstheme="minorHAnsi"/>
          <w:lang w:val="fr-CH"/>
        </w:rPr>
      </w:pPr>
      <w:r>
        <w:rPr>
          <w:rFonts w:asciiTheme="minorHAnsi" w:eastAsia="Times New Roman" w:hAnsiTheme="minorHAnsi" w:cstheme="minorHAnsi"/>
          <w:lang w:val="fr-CH" w:eastAsia="en-GB"/>
        </w:rPr>
        <w:t xml:space="preserve">Le présent projet de résolution vise à fournir d’autres orientations sur le renforcement d’un élément spécifique du Programme de CESP, à savoir l’éducation aux zones humides dans le secteur </w:t>
      </w:r>
      <w:r w:rsidR="004D4B47">
        <w:rPr>
          <w:rFonts w:asciiTheme="minorHAnsi" w:eastAsia="Times New Roman" w:hAnsiTheme="minorHAnsi" w:cstheme="minorHAnsi"/>
          <w:lang w:val="fr-CH" w:eastAsia="en-GB"/>
        </w:rPr>
        <w:t xml:space="preserve">de l’enseignement </w:t>
      </w:r>
      <w:r>
        <w:rPr>
          <w:rFonts w:asciiTheme="minorHAnsi" w:eastAsia="Times New Roman" w:hAnsiTheme="minorHAnsi" w:cstheme="minorHAnsi"/>
          <w:lang w:val="fr-CH" w:eastAsia="en-GB"/>
        </w:rPr>
        <w:t xml:space="preserve">officiel. </w:t>
      </w:r>
      <w:r w:rsidR="004C1F08">
        <w:rPr>
          <w:rFonts w:asciiTheme="minorHAnsi" w:hAnsiTheme="minorHAnsi" w:cstheme="minorHAnsi"/>
          <w:lang w:val="fr-CH"/>
        </w:rPr>
        <w:t xml:space="preserve">Les auteurs ont décidé de préparer </w:t>
      </w:r>
      <w:r w:rsidR="004C1F08">
        <w:rPr>
          <w:rFonts w:asciiTheme="minorHAnsi" w:eastAsia="Times New Roman" w:hAnsiTheme="minorHAnsi" w:cstheme="minorHAnsi"/>
          <w:lang w:val="fr-CH" w:eastAsia="en-GB"/>
        </w:rPr>
        <w:t>ce projet de résolution axé sur l’éducation aux zones humides dans le secteur de l’enseignement officiel, m</w:t>
      </w:r>
      <w:r w:rsidR="004D4B47">
        <w:rPr>
          <w:rFonts w:asciiTheme="minorHAnsi" w:eastAsia="Times New Roman" w:hAnsiTheme="minorHAnsi" w:cstheme="minorHAnsi"/>
          <w:lang w:val="fr-CH" w:eastAsia="en-GB"/>
        </w:rPr>
        <w:t>ême si l’éducation aux zones humides destinée aux écoles figure dans différents programmes successifs de CESP depuis la Résolution </w:t>
      </w:r>
      <w:r w:rsidR="004D4B47">
        <w:rPr>
          <w:rFonts w:asciiTheme="minorHAnsi" w:hAnsiTheme="minorHAnsi" w:cstheme="minorHAnsi"/>
          <w:lang w:val="fr-CH"/>
        </w:rPr>
        <w:t>VII.9 e</w:t>
      </w:r>
      <w:r w:rsidR="004D4B47" w:rsidRPr="0020764F">
        <w:rPr>
          <w:rFonts w:asciiTheme="minorHAnsi" w:hAnsiTheme="minorHAnsi" w:cstheme="minorHAnsi"/>
          <w:lang w:val="fr-CH"/>
        </w:rPr>
        <w:t>n</w:t>
      </w:r>
      <w:r w:rsidR="004D4B47">
        <w:rPr>
          <w:rFonts w:asciiTheme="minorHAnsi" w:hAnsiTheme="minorHAnsi" w:cstheme="minorHAnsi"/>
          <w:lang w:val="fr-CH"/>
        </w:rPr>
        <w:t> </w:t>
      </w:r>
      <w:r w:rsidR="004D4B47" w:rsidRPr="0020764F">
        <w:rPr>
          <w:rFonts w:asciiTheme="minorHAnsi" w:hAnsiTheme="minorHAnsi" w:cstheme="minorHAnsi"/>
          <w:lang w:val="fr-CH"/>
        </w:rPr>
        <w:t>1999,</w:t>
      </w:r>
      <w:r w:rsidR="004D4B47">
        <w:rPr>
          <w:rFonts w:asciiTheme="minorHAnsi" w:hAnsiTheme="minorHAnsi" w:cstheme="minorHAnsi"/>
          <w:lang w:val="fr-CH"/>
        </w:rPr>
        <w:t xml:space="preserve"> </w:t>
      </w:r>
      <w:r w:rsidR="004C1F08">
        <w:rPr>
          <w:rFonts w:asciiTheme="minorHAnsi" w:hAnsiTheme="minorHAnsi" w:cstheme="minorHAnsi"/>
          <w:lang w:val="fr-CH"/>
        </w:rPr>
        <w:t xml:space="preserve">car </w:t>
      </w:r>
      <w:r w:rsidR="004C1F08" w:rsidRPr="004D4B47">
        <w:rPr>
          <w:rFonts w:asciiTheme="minorHAnsi" w:hAnsiTheme="minorHAnsi" w:cstheme="minorHAnsi"/>
          <w:lang w:val="fr-CH"/>
        </w:rPr>
        <w:t xml:space="preserve">les orientations </w:t>
      </w:r>
      <w:r w:rsidR="004C1F08">
        <w:rPr>
          <w:rFonts w:asciiTheme="minorHAnsi" w:hAnsiTheme="minorHAnsi" w:cstheme="minorHAnsi"/>
          <w:lang w:val="fr-CH"/>
        </w:rPr>
        <w:t>à ce sujet</w:t>
      </w:r>
      <w:r w:rsidR="004C1F08" w:rsidRPr="004D4B47">
        <w:rPr>
          <w:rFonts w:asciiTheme="minorHAnsi" w:hAnsiTheme="minorHAnsi" w:cstheme="minorHAnsi"/>
          <w:lang w:val="fr-CH"/>
        </w:rPr>
        <w:t xml:space="preserve"> restent insignifiantes</w:t>
      </w:r>
      <w:r w:rsidRPr="004D4B47">
        <w:rPr>
          <w:rFonts w:asciiTheme="minorHAnsi" w:hAnsiTheme="minorHAnsi" w:cstheme="minorHAnsi"/>
          <w:lang w:val="fr-CH"/>
        </w:rPr>
        <w:t>.</w:t>
      </w:r>
      <w:r>
        <w:rPr>
          <w:rFonts w:asciiTheme="minorHAnsi" w:hAnsiTheme="minorHAnsi" w:cstheme="minorHAnsi"/>
          <w:lang w:val="fr-CH"/>
        </w:rPr>
        <w:t xml:space="preserve"> </w:t>
      </w:r>
      <w:r w:rsidR="004C1F08">
        <w:rPr>
          <w:rFonts w:asciiTheme="minorHAnsi" w:hAnsiTheme="minorHAnsi" w:cstheme="minorHAnsi"/>
          <w:lang w:val="fr-CH"/>
        </w:rPr>
        <w:t>Le but est</w:t>
      </w:r>
      <w:r w:rsidR="005E7F65">
        <w:rPr>
          <w:rFonts w:asciiTheme="minorHAnsi" w:hAnsiTheme="minorHAnsi" w:cstheme="minorHAnsi"/>
          <w:lang w:val="fr-CH"/>
        </w:rPr>
        <w:t xml:space="preserve"> que ce projet de résolution puisse réorienter l’attention vers ce secteur important, </w:t>
      </w:r>
      <w:r w:rsidR="004C1F08">
        <w:rPr>
          <w:rFonts w:asciiTheme="minorHAnsi" w:hAnsiTheme="minorHAnsi" w:cstheme="minorHAnsi"/>
          <w:lang w:val="fr-CH"/>
        </w:rPr>
        <w:t>compte tenu de</w:t>
      </w:r>
      <w:r w:rsidR="005E7F65">
        <w:rPr>
          <w:rFonts w:asciiTheme="minorHAnsi" w:hAnsiTheme="minorHAnsi" w:cstheme="minorHAnsi"/>
          <w:lang w:val="fr-CH"/>
        </w:rPr>
        <w:t xml:space="preserve"> la possibilité de </w:t>
      </w:r>
      <w:r w:rsidR="004C1F08">
        <w:rPr>
          <w:rFonts w:asciiTheme="minorHAnsi" w:hAnsiTheme="minorHAnsi" w:cstheme="minorHAnsi"/>
          <w:lang w:val="fr-CH"/>
        </w:rPr>
        <w:t>sensibiliser</w:t>
      </w:r>
      <w:r w:rsidR="005E7F65">
        <w:rPr>
          <w:rFonts w:asciiTheme="minorHAnsi" w:hAnsiTheme="minorHAnsi" w:cstheme="minorHAnsi"/>
          <w:lang w:val="fr-CH"/>
        </w:rPr>
        <w:t xml:space="preserve"> les jeunes durant leurs années formatives. En conséquence, les auteurs estiment :</w:t>
      </w:r>
    </w:p>
    <w:p w14:paraId="35E906A5" w14:textId="77777777" w:rsidR="00505E69" w:rsidRPr="0020764F" w:rsidRDefault="00505E69" w:rsidP="00A16BA0">
      <w:pPr>
        <w:pStyle w:val="ListParagraph"/>
        <w:ind w:left="0" w:firstLine="0"/>
        <w:rPr>
          <w:rFonts w:asciiTheme="minorHAnsi" w:hAnsiTheme="minorHAnsi" w:cstheme="minorHAnsi"/>
          <w:lang w:val="fr-CH"/>
        </w:rPr>
      </w:pPr>
    </w:p>
    <w:p w14:paraId="106996E0" w14:textId="44EBFB1E" w:rsidR="004B0C97" w:rsidRPr="0020764F" w:rsidRDefault="005E7F65" w:rsidP="00A16BA0">
      <w:pPr>
        <w:pStyle w:val="NoSpacing"/>
        <w:numPr>
          <w:ilvl w:val="0"/>
          <w:numId w:val="45"/>
        </w:numPr>
        <w:ind w:left="426" w:hanging="426"/>
        <w:rPr>
          <w:rFonts w:asciiTheme="minorHAnsi" w:hAnsiTheme="minorHAnsi" w:cstheme="minorHAnsi"/>
          <w:lang w:val="fr-CH"/>
        </w:rPr>
      </w:pPr>
      <w:r>
        <w:rPr>
          <w:rFonts w:asciiTheme="minorHAnsi" w:hAnsiTheme="minorHAnsi" w:cstheme="minorHAnsi"/>
          <w:lang w:val="fr-CH"/>
        </w:rPr>
        <w:t xml:space="preserve">qu’une résolution thématique </w:t>
      </w:r>
      <w:r w:rsidR="00252A54">
        <w:rPr>
          <w:rFonts w:asciiTheme="minorHAnsi" w:hAnsiTheme="minorHAnsi" w:cstheme="minorHAnsi"/>
          <w:lang w:val="fr-CH"/>
        </w:rPr>
        <w:t>encourageant</w:t>
      </w:r>
      <w:r>
        <w:rPr>
          <w:rFonts w:asciiTheme="minorHAnsi" w:hAnsiTheme="minorHAnsi" w:cstheme="minorHAnsi"/>
          <w:lang w:val="fr-CH"/>
        </w:rPr>
        <w:t xml:space="preserve"> l’intégration de l’éducation aux zones humides </w:t>
      </w:r>
      <w:r w:rsidR="00252A54">
        <w:rPr>
          <w:rFonts w:asciiTheme="minorHAnsi" w:eastAsia="Times New Roman" w:hAnsiTheme="minorHAnsi" w:cstheme="minorHAnsi"/>
          <w:lang w:val="fr-CH" w:eastAsia="en-GB"/>
        </w:rPr>
        <w:t>dans le secteur de l’enseignement officiel</w:t>
      </w:r>
      <w:r w:rsidR="00252A54">
        <w:rPr>
          <w:rFonts w:asciiTheme="minorHAnsi" w:hAnsiTheme="minorHAnsi" w:cstheme="minorHAnsi"/>
          <w:lang w:val="fr-CH"/>
        </w:rPr>
        <w:t xml:space="preserve"> </w:t>
      </w:r>
      <w:r>
        <w:rPr>
          <w:rFonts w:asciiTheme="minorHAnsi" w:hAnsiTheme="minorHAnsi" w:cstheme="minorHAnsi"/>
          <w:lang w:val="fr-CH"/>
        </w:rPr>
        <w:t xml:space="preserve">comme élément du Programme de CESP peut renforcer </w:t>
      </w:r>
      <w:r w:rsidR="00252A54">
        <w:rPr>
          <w:rFonts w:asciiTheme="minorHAnsi" w:hAnsiTheme="minorHAnsi" w:cstheme="minorHAnsi"/>
          <w:lang w:val="fr-CH"/>
        </w:rPr>
        <w:t>le rôle important</w:t>
      </w:r>
      <w:r>
        <w:rPr>
          <w:rFonts w:asciiTheme="minorHAnsi" w:hAnsiTheme="minorHAnsi" w:cstheme="minorHAnsi"/>
          <w:lang w:val="fr-CH"/>
        </w:rPr>
        <w:t xml:space="preserve"> de l’éducation en tant que fondation </w:t>
      </w:r>
      <w:r w:rsidR="00252A54">
        <w:rPr>
          <w:rFonts w:asciiTheme="minorHAnsi" w:hAnsiTheme="minorHAnsi" w:cstheme="minorHAnsi"/>
          <w:lang w:val="fr-CH"/>
        </w:rPr>
        <w:t xml:space="preserve">pour </w:t>
      </w:r>
      <w:r>
        <w:rPr>
          <w:rFonts w:asciiTheme="minorHAnsi" w:hAnsiTheme="minorHAnsi" w:cstheme="minorHAnsi"/>
          <w:lang w:val="fr-CH"/>
        </w:rPr>
        <w:t xml:space="preserve">un apprentissage de toute une vie et </w:t>
      </w:r>
      <w:r w:rsidR="00252A54">
        <w:rPr>
          <w:rFonts w:asciiTheme="minorHAnsi" w:hAnsiTheme="minorHAnsi" w:cstheme="minorHAnsi"/>
          <w:lang w:val="fr-CH"/>
        </w:rPr>
        <w:t>occasion</w:t>
      </w:r>
      <w:r>
        <w:rPr>
          <w:rFonts w:asciiTheme="minorHAnsi" w:hAnsiTheme="minorHAnsi" w:cstheme="minorHAnsi"/>
          <w:lang w:val="fr-CH"/>
        </w:rPr>
        <w:t xml:space="preserve"> d’in</w:t>
      </w:r>
      <w:r w:rsidR="00BB65C4">
        <w:rPr>
          <w:rFonts w:asciiTheme="minorHAnsi" w:hAnsiTheme="minorHAnsi" w:cstheme="minorHAnsi"/>
          <w:lang w:val="fr-CH"/>
        </w:rPr>
        <w:t>citer les</w:t>
      </w:r>
      <w:r>
        <w:rPr>
          <w:rFonts w:asciiTheme="minorHAnsi" w:hAnsiTheme="minorHAnsi" w:cstheme="minorHAnsi"/>
          <w:lang w:val="fr-CH"/>
        </w:rPr>
        <w:t xml:space="preserve"> jeunes </w:t>
      </w:r>
      <w:r w:rsidR="00BB65C4">
        <w:rPr>
          <w:rFonts w:asciiTheme="minorHAnsi" w:hAnsiTheme="minorHAnsi" w:cstheme="minorHAnsi"/>
          <w:lang w:val="fr-CH"/>
        </w:rPr>
        <w:t xml:space="preserve">à </w:t>
      </w:r>
      <w:r>
        <w:rPr>
          <w:rFonts w:asciiTheme="minorHAnsi" w:hAnsiTheme="minorHAnsi" w:cstheme="minorHAnsi"/>
          <w:lang w:val="fr-CH"/>
        </w:rPr>
        <w:t xml:space="preserve">mieux </w:t>
      </w:r>
      <w:r w:rsidR="00BB65C4">
        <w:rPr>
          <w:rFonts w:asciiTheme="minorHAnsi" w:hAnsiTheme="minorHAnsi" w:cstheme="minorHAnsi"/>
          <w:lang w:val="fr-CH"/>
        </w:rPr>
        <w:t>connaître</w:t>
      </w:r>
      <w:r>
        <w:rPr>
          <w:rFonts w:asciiTheme="minorHAnsi" w:hAnsiTheme="minorHAnsi" w:cstheme="minorHAnsi"/>
          <w:lang w:val="fr-CH"/>
        </w:rPr>
        <w:t xml:space="preserve"> et apprécier les zones humides ; et </w:t>
      </w:r>
    </w:p>
    <w:p w14:paraId="2142CDD7" w14:textId="5284A3AE" w:rsidR="00D5271D" w:rsidRPr="0020764F" w:rsidRDefault="005E7F65" w:rsidP="00A16BA0">
      <w:pPr>
        <w:pStyle w:val="NoSpacing"/>
        <w:numPr>
          <w:ilvl w:val="0"/>
          <w:numId w:val="45"/>
        </w:numPr>
        <w:ind w:left="426" w:hanging="426"/>
        <w:rPr>
          <w:rFonts w:asciiTheme="minorHAnsi" w:hAnsiTheme="minorHAnsi" w:cstheme="minorHAnsi"/>
          <w:lang w:val="fr-CH"/>
        </w:rPr>
      </w:pPr>
      <w:r>
        <w:rPr>
          <w:rFonts w:asciiTheme="minorHAnsi" w:hAnsiTheme="minorHAnsi" w:cstheme="minorHAnsi"/>
          <w:lang w:val="fr-CH"/>
        </w:rPr>
        <w:t xml:space="preserve">qu’une résolution thématique peut fournir des recommandations plus </w:t>
      </w:r>
      <w:r w:rsidR="00BB65C4">
        <w:rPr>
          <w:rFonts w:asciiTheme="minorHAnsi" w:hAnsiTheme="minorHAnsi" w:cstheme="minorHAnsi"/>
          <w:lang w:val="fr-CH"/>
        </w:rPr>
        <w:t>précises</w:t>
      </w:r>
      <w:r>
        <w:rPr>
          <w:rFonts w:asciiTheme="minorHAnsi" w:hAnsiTheme="minorHAnsi" w:cstheme="minorHAnsi"/>
          <w:lang w:val="fr-CH"/>
        </w:rPr>
        <w:t xml:space="preserve"> sur l’intégration de l’éducation aux zones humides </w:t>
      </w:r>
      <w:r w:rsidR="00F749AE">
        <w:rPr>
          <w:rFonts w:asciiTheme="minorHAnsi" w:hAnsiTheme="minorHAnsi" w:cstheme="minorHAnsi"/>
          <w:lang w:val="fr-CH"/>
        </w:rPr>
        <w:t>en</w:t>
      </w:r>
      <w:r>
        <w:rPr>
          <w:rFonts w:asciiTheme="minorHAnsi" w:hAnsiTheme="minorHAnsi" w:cstheme="minorHAnsi"/>
          <w:lang w:val="fr-CH"/>
        </w:rPr>
        <w:t xml:space="preserve"> </w:t>
      </w:r>
      <w:r w:rsidR="00BB65C4">
        <w:rPr>
          <w:rFonts w:asciiTheme="minorHAnsi" w:hAnsiTheme="minorHAnsi" w:cstheme="minorHAnsi"/>
          <w:lang w:val="fr-CH"/>
        </w:rPr>
        <w:t>milieu scolaire</w:t>
      </w:r>
      <w:r>
        <w:rPr>
          <w:rFonts w:asciiTheme="minorHAnsi" w:hAnsiTheme="minorHAnsi" w:cstheme="minorHAnsi"/>
          <w:lang w:val="fr-CH"/>
        </w:rPr>
        <w:t>.</w:t>
      </w:r>
    </w:p>
    <w:p w14:paraId="5CE49BCD" w14:textId="2C1E51FC" w:rsidR="0014280B" w:rsidRPr="0020764F" w:rsidRDefault="0014280B" w:rsidP="00085492">
      <w:pPr>
        <w:ind w:left="0" w:firstLine="0"/>
        <w:rPr>
          <w:rFonts w:asciiTheme="minorHAnsi" w:hAnsiTheme="minorHAnsi" w:cstheme="minorHAnsi"/>
          <w:lang w:val="fr-CH"/>
        </w:rPr>
      </w:pPr>
    </w:p>
    <w:p w14:paraId="1006B2DA" w14:textId="77777777" w:rsidR="005E32CE" w:rsidRPr="0020764F" w:rsidRDefault="005E32CE" w:rsidP="005E32CE">
      <w:pPr>
        <w:rPr>
          <w:rFonts w:cs="Arial"/>
          <w:lang w:val="fr-CH"/>
        </w:rPr>
      </w:pPr>
    </w:p>
    <w:p w14:paraId="6C07FF14" w14:textId="3A5927B9" w:rsidR="005E32CE" w:rsidRPr="0020764F" w:rsidRDefault="005E7F65" w:rsidP="005E32CE">
      <w:pPr>
        <w:rPr>
          <w:rFonts w:cs="Arial"/>
          <w:i/>
          <w:lang w:val="fr-CH"/>
        </w:rPr>
      </w:pPr>
      <w:r>
        <w:rPr>
          <w:rFonts w:cs="Arial"/>
          <w:i/>
          <w:lang w:val="fr-CH"/>
        </w:rPr>
        <w:t xml:space="preserve">Incidences financières de </w:t>
      </w:r>
      <w:r w:rsidR="00BB65C4">
        <w:rPr>
          <w:rFonts w:cs="Arial"/>
          <w:i/>
          <w:lang w:val="fr-CH"/>
        </w:rPr>
        <w:t>la mise en œuvre</w:t>
      </w:r>
    </w:p>
    <w:p w14:paraId="09D190B7" w14:textId="77777777" w:rsidR="005E32CE" w:rsidRPr="0020764F" w:rsidRDefault="005E32CE" w:rsidP="005E32CE">
      <w:pPr>
        <w:rPr>
          <w:rFonts w:cs="Arial"/>
          <w:lang w:val="fr-CH"/>
        </w:rPr>
      </w:pPr>
    </w:p>
    <w:tbl>
      <w:tblPr>
        <w:tblStyle w:val="TableGrid"/>
        <w:tblW w:w="0" w:type="auto"/>
        <w:tblLook w:val="04A0" w:firstRow="1" w:lastRow="0" w:firstColumn="1" w:lastColumn="0" w:noHBand="0" w:noVBand="1"/>
      </w:tblPr>
      <w:tblGrid>
        <w:gridCol w:w="2425"/>
        <w:gridCol w:w="3960"/>
        <w:gridCol w:w="2631"/>
      </w:tblGrid>
      <w:tr w:rsidR="00110F2D" w:rsidRPr="0020764F" w14:paraId="2B89789F" w14:textId="77777777" w:rsidTr="005E32CE">
        <w:tc>
          <w:tcPr>
            <w:tcW w:w="2425" w:type="dxa"/>
          </w:tcPr>
          <w:p w14:paraId="47A96611" w14:textId="438D7763" w:rsidR="005E32CE" w:rsidRPr="0020764F" w:rsidRDefault="005E32CE" w:rsidP="005E7F65">
            <w:pPr>
              <w:contextualSpacing/>
              <w:rPr>
                <w:rFonts w:cs="Arial"/>
                <w:lang w:val="fr-CH"/>
              </w:rPr>
            </w:pPr>
            <w:r w:rsidRPr="0020764F">
              <w:rPr>
                <w:rFonts w:cs="Arial"/>
                <w:lang w:val="fr-CH"/>
              </w:rPr>
              <w:t>Paragraph</w:t>
            </w:r>
            <w:r w:rsidR="005E7F65">
              <w:rPr>
                <w:rFonts w:cs="Arial"/>
                <w:lang w:val="fr-CH"/>
              </w:rPr>
              <w:t>e</w:t>
            </w:r>
            <w:r w:rsidRPr="0020764F">
              <w:rPr>
                <w:rFonts w:cs="Arial"/>
                <w:lang w:val="fr-CH"/>
              </w:rPr>
              <w:t xml:space="preserve"> (n</w:t>
            </w:r>
            <w:r w:rsidR="005E7F65">
              <w:rPr>
                <w:rFonts w:cs="Arial"/>
                <w:lang w:val="fr-CH"/>
              </w:rPr>
              <w:t>uméro et partie principale du texte</w:t>
            </w:r>
            <w:r w:rsidRPr="0020764F">
              <w:rPr>
                <w:rFonts w:cs="Arial"/>
                <w:lang w:val="fr-CH"/>
              </w:rPr>
              <w:t>)</w:t>
            </w:r>
          </w:p>
        </w:tc>
        <w:tc>
          <w:tcPr>
            <w:tcW w:w="3960" w:type="dxa"/>
          </w:tcPr>
          <w:p w14:paraId="48BD6CBF" w14:textId="7CE6DA28" w:rsidR="005E32CE" w:rsidRPr="0020764F" w:rsidRDefault="005E7F65" w:rsidP="0047684B">
            <w:pPr>
              <w:contextualSpacing/>
              <w:rPr>
                <w:rFonts w:cs="Arial"/>
                <w:lang w:val="fr-CH"/>
              </w:rPr>
            </w:pPr>
            <w:r>
              <w:rPr>
                <w:rFonts w:cs="Arial"/>
                <w:lang w:val="fr-CH"/>
              </w:rPr>
              <w:t>Mesure</w:t>
            </w:r>
            <w:r w:rsidR="005E32CE" w:rsidRPr="0020764F">
              <w:rPr>
                <w:rFonts w:cs="Arial"/>
                <w:lang w:val="fr-CH"/>
              </w:rPr>
              <w:t xml:space="preserve"> </w:t>
            </w:r>
          </w:p>
        </w:tc>
        <w:tc>
          <w:tcPr>
            <w:tcW w:w="2631" w:type="dxa"/>
          </w:tcPr>
          <w:p w14:paraId="2601BBAC" w14:textId="4E9E1E66" w:rsidR="005E32CE" w:rsidRPr="0020764F" w:rsidRDefault="005E7F65" w:rsidP="0047684B">
            <w:pPr>
              <w:contextualSpacing/>
              <w:rPr>
                <w:rFonts w:cs="Arial"/>
                <w:lang w:val="fr-CH"/>
              </w:rPr>
            </w:pPr>
            <w:r>
              <w:rPr>
                <w:rFonts w:cs="Arial"/>
                <w:lang w:val="fr-CH"/>
              </w:rPr>
              <w:t>Coût</w:t>
            </w:r>
            <w:r w:rsidR="005E32CE" w:rsidRPr="0020764F">
              <w:rPr>
                <w:rFonts w:cs="Arial"/>
                <w:lang w:val="fr-CH"/>
              </w:rPr>
              <w:t xml:space="preserve"> (CHF)</w:t>
            </w:r>
          </w:p>
        </w:tc>
      </w:tr>
      <w:tr w:rsidR="005E32CE" w:rsidRPr="0020764F" w14:paraId="07CDCDA8" w14:textId="77777777" w:rsidTr="005E32CE">
        <w:tc>
          <w:tcPr>
            <w:tcW w:w="2425" w:type="dxa"/>
          </w:tcPr>
          <w:p w14:paraId="53E53C02" w14:textId="526FA609" w:rsidR="005E32CE" w:rsidRPr="0020764F" w:rsidRDefault="005E32CE" w:rsidP="005E7F65">
            <w:pPr>
              <w:contextualSpacing/>
              <w:rPr>
                <w:rFonts w:cs="Arial"/>
                <w:lang w:val="fr-CH"/>
              </w:rPr>
            </w:pPr>
            <w:r w:rsidRPr="0020764F">
              <w:rPr>
                <w:rFonts w:cs="Arial"/>
                <w:lang w:val="fr-CH"/>
              </w:rPr>
              <w:t>no</w:t>
            </w:r>
            <w:r w:rsidR="005E7F65">
              <w:rPr>
                <w:rFonts w:cs="Arial"/>
                <w:lang w:val="fr-CH"/>
              </w:rPr>
              <w:t>n</w:t>
            </w:r>
            <w:r w:rsidRPr="0020764F">
              <w:rPr>
                <w:rFonts w:cs="Arial"/>
                <w:lang w:val="fr-CH"/>
              </w:rPr>
              <w:t xml:space="preserve"> applicable</w:t>
            </w:r>
          </w:p>
        </w:tc>
        <w:tc>
          <w:tcPr>
            <w:tcW w:w="3960" w:type="dxa"/>
          </w:tcPr>
          <w:p w14:paraId="1C3C072C" w14:textId="773E34A0" w:rsidR="005E32CE" w:rsidRPr="0020764F" w:rsidRDefault="005E32CE" w:rsidP="0047684B">
            <w:pPr>
              <w:contextualSpacing/>
              <w:rPr>
                <w:rFonts w:cs="Arial"/>
                <w:lang w:val="fr-CH"/>
              </w:rPr>
            </w:pPr>
            <w:r w:rsidRPr="0020764F">
              <w:rPr>
                <w:rFonts w:cs="Arial"/>
                <w:lang w:val="fr-CH"/>
              </w:rPr>
              <w:t>-</w:t>
            </w:r>
          </w:p>
        </w:tc>
        <w:tc>
          <w:tcPr>
            <w:tcW w:w="2631" w:type="dxa"/>
          </w:tcPr>
          <w:p w14:paraId="45EBF2C8" w14:textId="652F501C" w:rsidR="005E32CE" w:rsidRPr="0020764F" w:rsidRDefault="005E7F65" w:rsidP="005E7F65">
            <w:pPr>
              <w:contextualSpacing/>
              <w:rPr>
                <w:rFonts w:cs="Arial"/>
                <w:lang w:val="fr-CH"/>
              </w:rPr>
            </w:pPr>
            <w:r>
              <w:rPr>
                <w:rFonts w:cs="Arial"/>
                <w:lang w:val="fr-CH"/>
              </w:rPr>
              <w:t xml:space="preserve">pas d’incidence financière </w:t>
            </w:r>
          </w:p>
        </w:tc>
      </w:tr>
    </w:tbl>
    <w:p w14:paraId="2F85E4C8" w14:textId="605913FD" w:rsidR="0013041F" w:rsidRDefault="0013041F" w:rsidP="00085492">
      <w:pPr>
        <w:ind w:right="16"/>
        <w:rPr>
          <w:rFonts w:asciiTheme="minorHAnsi" w:eastAsia="Times New Roman" w:hAnsiTheme="minorHAnsi" w:cstheme="minorHAnsi"/>
          <w:b/>
          <w:bCs/>
          <w:lang w:val="fr-CH"/>
        </w:rPr>
      </w:pPr>
    </w:p>
    <w:p w14:paraId="5460CC2B" w14:textId="77777777" w:rsidR="004A16FA" w:rsidRDefault="004A16FA" w:rsidP="00085492">
      <w:pPr>
        <w:ind w:right="16"/>
        <w:rPr>
          <w:rFonts w:asciiTheme="minorHAnsi" w:eastAsia="Times New Roman" w:hAnsiTheme="minorHAnsi" w:cstheme="minorHAnsi"/>
          <w:b/>
          <w:bCs/>
          <w:lang w:val="fr-CH"/>
        </w:rPr>
      </w:pPr>
      <w:bookmarkStart w:id="0" w:name="_GoBack"/>
      <w:bookmarkEnd w:id="0"/>
    </w:p>
    <w:p w14:paraId="11AE4917" w14:textId="6C706955" w:rsidR="001F6249" w:rsidRPr="0020764F" w:rsidRDefault="005E7F65" w:rsidP="00085492">
      <w:pPr>
        <w:ind w:right="16"/>
        <w:rPr>
          <w:rFonts w:asciiTheme="minorHAnsi" w:eastAsia="Times New Roman" w:hAnsiTheme="minorHAnsi" w:cstheme="minorHAnsi"/>
          <w:b/>
          <w:bCs/>
          <w:lang w:val="fr-CH"/>
        </w:rPr>
      </w:pPr>
      <w:r>
        <w:rPr>
          <w:rFonts w:asciiTheme="minorHAnsi" w:eastAsia="Times New Roman" w:hAnsiTheme="minorHAnsi" w:cstheme="minorHAnsi"/>
          <w:b/>
          <w:bCs/>
          <w:lang w:val="fr-CH"/>
        </w:rPr>
        <w:t xml:space="preserve">Projet de résolution </w:t>
      </w:r>
      <w:r w:rsidR="001F6249" w:rsidRPr="0020764F">
        <w:rPr>
          <w:rFonts w:asciiTheme="minorHAnsi" w:eastAsia="Times New Roman" w:hAnsiTheme="minorHAnsi" w:cstheme="minorHAnsi"/>
          <w:b/>
          <w:bCs/>
          <w:lang w:val="fr-CH"/>
        </w:rPr>
        <w:t>XI</w:t>
      </w:r>
      <w:r w:rsidR="00676010" w:rsidRPr="0020764F">
        <w:rPr>
          <w:rFonts w:asciiTheme="minorHAnsi" w:eastAsia="Times New Roman" w:hAnsiTheme="minorHAnsi" w:cstheme="minorHAnsi"/>
          <w:b/>
          <w:bCs/>
          <w:lang w:val="fr-CH"/>
        </w:rPr>
        <w:t>V</w:t>
      </w:r>
      <w:r w:rsidR="001F6249" w:rsidRPr="0020764F">
        <w:rPr>
          <w:rFonts w:asciiTheme="minorHAnsi" w:eastAsia="Times New Roman" w:hAnsiTheme="minorHAnsi" w:cstheme="minorHAnsi"/>
          <w:b/>
          <w:bCs/>
          <w:lang w:val="fr-CH"/>
        </w:rPr>
        <w:t>.xx</w:t>
      </w:r>
    </w:p>
    <w:p w14:paraId="356CB7A7" w14:textId="5ED509C4" w:rsidR="005D43DE" w:rsidRPr="0020764F" w:rsidRDefault="005D43DE" w:rsidP="001327E4">
      <w:pPr>
        <w:ind w:right="16"/>
        <w:rPr>
          <w:rFonts w:asciiTheme="minorHAnsi" w:eastAsia="Times New Roman" w:hAnsiTheme="minorHAnsi" w:cstheme="minorHAnsi"/>
          <w:b/>
          <w:bCs/>
          <w:lang w:val="fr-CH"/>
        </w:rPr>
      </w:pPr>
      <w:r w:rsidRPr="0020764F">
        <w:rPr>
          <w:rFonts w:asciiTheme="minorHAnsi" w:eastAsia="Times New Roman" w:hAnsiTheme="minorHAnsi" w:cstheme="minorHAnsi"/>
          <w:b/>
          <w:bCs/>
          <w:lang w:val="fr-CH"/>
        </w:rPr>
        <w:t>Promo</w:t>
      </w:r>
      <w:r w:rsidR="005E7F65">
        <w:rPr>
          <w:rFonts w:asciiTheme="minorHAnsi" w:eastAsia="Times New Roman" w:hAnsiTheme="minorHAnsi" w:cstheme="minorHAnsi"/>
          <w:b/>
          <w:bCs/>
          <w:lang w:val="fr-CH"/>
        </w:rPr>
        <w:t xml:space="preserve">uvoir les valeurs et l’importance des zones humides dans </w:t>
      </w:r>
      <w:r w:rsidR="00F749AE">
        <w:rPr>
          <w:rFonts w:asciiTheme="minorHAnsi" w:eastAsia="Times New Roman" w:hAnsiTheme="minorHAnsi" w:cstheme="minorHAnsi"/>
          <w:b/>
          <w:bCs/>
          <w:lang w:val="fr-CH"/>
        </w:rPr>
        <w:t>le cadre de l’enseignement</w:t>
      </w:r>
      <w:r w:rsidR="005E7F65">
        <w:rPr>
          <w:rFonts w:asciiTheme="minorHAnsi" w:eastAsia="Times New Roman" w:hAnsiTheme="minorHAnsi" w:cstheme="minorHAnsi"/>
          <w:b/>
          <w:bCs/>
          <w:lang w:val="fr-CH"/>
        </w:rPr>
        <w:t xml:space="preserve"> officiel </w:t>
      </w:r>
    </w:p>
    <w:p w14:paraId="3569528B" w14:textId="4F7E388D" w:rsidR="00DB2020" w:rsidRPr="0020764F" w:rsidRDefault="00545BA3" w:rsidP="005D43DE">
      <w:pPr>
        <w:ind w:right="16"/>
        <w:rPr>
          <w:rFonts w:asciiTheme="minorHAnsi" w:hAnsiTheme="minorHAnsi" w:cstheme="minorHAnsi"/>
          <w:lang w:val="fr-CH"/>
        </w:rPr>
      </w:pPr>
      <w:r w:rsidRPr="0020764F">
        <w:rPr>
          <w:rFonts w:asciiTheme="minorHAnsi" w:eastAsia="Times New Roman" w:hAnsiTheme="minorHAnsi" w:cstheme="minorHAnsi"/>
          <w:b/>
          <w:bCs/>
          <w:lang w:val="fr-CH"/>
        </w:rPr>
        <w:t xml:space="preserve">  </w:t>
      </w:r>
    </w:p>
    <w:p w14:paraId="24905F03" w14:textId="2C0D64FA" w:rsidR="00DB2020" w:rsidRPr="0020764F" w:rsidRDefault="00441F06" w:rsidP="00441F06">
      <w:pPr>
        <w:rPr>
          <w:rFonts w:asciiTheme="minorHAnsi" w:hAnsiTheme="minorHAnsi" w:cstheme="minorHAnsi"/>
          <w:lang w:val="fr-CH"/>
        </w:rPr>
      </w:pPr>
      <w:r w:rsidRPr="0020764F">
        <w:rPr>
          <w:rFonts w:asciiTheme="minorHAnsi" w:hAnsiTheme="minorHAnsi" w:cstheme="minorHAnsi"/>
          <w:lang w:val="fr-CH"/>
        </w:rPr>
        <w:t>1.</w:t>
      </w:r>
      <w:r w:rsidRPr="0020764F">
        <w:rPr>
          <w:rFonts w:asciiTheme="minorHAnsi" w:hAnsiTheme="minorHAnsi" w:cstheme="minorHAnsi"/>
          <w:lang w:val="fr-CH"/>
        </w:rPr>
        <w:tab/>
      </w:r>
      <w:r w:rsidR="00BB65C4">
        <w:rPr>
          <w:rFonts w:asciiTheme="minorHAnsi" w:hAnsiTheme="minorHAnsi" w:cstheme="minorHAnsi"/>
          <w:lang w:val="fr-CH"/>
        </w:rPr>
        <w:t>SACHANT</w:t>
      </w:r>
      <w:r w:rsidR="005E7F65">
        <w:rPr>
          <w:rFonts w:asciiTheme="minorHAnsi" w:hAnsiTheme="minorHAnsi" w:cstheme="minorHAnsi"/>
          <w:lang w:val="fr-CH"/>
        </w:rPr>
        <w:t xml:space="preserve"> que la Convention sur les zones humides </w:t>
      </w:r>
      <w:r w:rsidR="00BB65C4">
        <w:rPr>
          <w:rFonts w:asciiTheme="minorHAnsi" w:hAnsiTheme="minorHAnsi" w:cstheme="minorHAnsi"/>
          <w:lang w:val="fr-CH"/>
        </w:rPr>
        <w:t>reconnaît</w:t>
      </w:r>
      <w:r w:rsidR="005E7F65">
        <w:rPr>
          <w:rFonts w:asciiTheme="minorHAnsi" w:hAnsiTheme="minorHAnsi" w:cstheme="minorHAnsi"/>
          <w:lang w:val="fr-CH"/>
        </w:rPr>
        <w:t xml:space="preserve"> et </w:t>
      </w:r>
      <w:r w:rsidR="00C21F55">
        <w:rPr>
          <w:rFonts w:asciiTheme="minorHAnsi" w:hAnsiTheme="minorHAnsi" w:cstheme="minorHAnsi"/>
          <w:lang w:val="fr-CH"/>
        </w:rPr>
        <w:t>défend</w:t>
      </w:r>
      <w:r w:rsidR="005E7F65">
        <w:rPr>
          <w:rFonts w:asciiTheme="minorHAnsi" w:hAnsiTheme="minorHAnsi" w:cstheme="minorHAnsi"/>
          <w:lang w:val="fr-CH"/>
        </w:rPr>
        <w:t xml:space="preserve"> depuis longtemps </w:t>
      </w:r>
      <w:r w:rsidR="00C21F55">
        <w:rPr>
          <w:rFonts w:asciiTheme="minorHAnsi" w:hAnsiTheme="minorHAnsi" w:cstheme="minorHAnsi"/>
          <w:lang w:val="fr-CH"/>
        </w:rPr>
        <w:t>la place</w:t>
      </w:r>
      <w:r w:rsidR="005E7F65">
        <w:rPr>
          <w:rFonts w:asciiTheme="minorHAnsi" w:hAnsiTheme="minorHAnsi" w:cstheme="minorHAnsi"/>
          <w:lang w:val="fr-CH"/>
        </w:rPr>
        <w:t xml:space="preserve"> de l’éducation dans ses travaux ; et </w:t>
      </w:r>
      <w:r w:rsidR="00BB65C4">
        <w:rPr>
          <w:rFonts w:asciiTheme="minorHAnsi" w:hAnsiTheme="minorHAnsi" w:cstheme="minorHAnsi"/>
          <w:lang w:val="fr-CH"/>
        </w:rPr>
        <w:t>SALUANT</w:t>
      </w:r>
      <w:r w:rsidR="005E7F65">
        <w:rPr>
          <w:rFonts w:asciiTheme="minorHAnsi" w:hAnsiTheme="minorHAnsi" w:cstheme="minorHAnsi"/>
          <w:lang w:val="fr-CH"/>
        </w:rPr>
        <w:t xml:space="preserve"> le rôle du Groupe de surveillance des activités de CESP </w:t>
      </w:r>
      <w:r w:rsidR="00C21F55">
        <w:rPr>
          <w:rFonts w:asciiTheme="minorHAnsi" w:hAnsiTheme="minorHAnsi" w:cstheme="minorHAnsi"/>
          <w:lang w:val="fr-CH"/>
        </w:rPr>
        <w:t xml:space="preserve">en </w:t>
      </w:r>
      <w:r w:rsidR="004F21E5">
        <w:rPr>
          <w:rFonts w:asciiTheme="minorHAnsi" w:hAnsiTheme="minorHAnsi" w:cstheme="minorHAnsi"/>
          <w:lang w:val="fr-CH"/>
        </w:rPr>
        <w:t>matière de</w:t>
      </w:r>
      <w:r w:rsidR="005E7F65">
        <w:rPr>
          <w:rFonts w:asciiTheme="minorHAnsi" w:hAnsiTheme="minorHAnsi" w:cstheme="minorHAnsi"/>
          <w:lang w:val="fr-CH"/>
        </w:rPr>
        <w:t xml:space="preserve"> planification, application et révision des travaux relatifs à la CESP, y compris </w:t>
      </w:r>
      <w:r w:rsidR="004F21E5">
        <w:rPr>
          <w:rFonts w:asciiTheme="minorHAnsi" w:hAnsiTheme="minorHAnsi" w:cstheme="minorHAnsi"/>
          <w:lang w:val="fr-CH"/>
        </w:rPr>
        <w:t>l’enseignement officiel</w:t>
      </w:r>
      <w:r w:rsidR="005E7F65">
        <w:rPr>
          <w:rFonts w:asciiTheme="minorHAnsi" w:hAnsiTheme="minorHAnsi" w:cstheme="minorHAnsi"/>
          <w:lang w:val="fr-CH"/>
        </w:rPr>
        <w:t xml:space="preserve">, dans le cadre des travaux </w:t>
      </w:r>
      <w:r w:rsidR="004F21E5">
        <w:rPr>
          <w:rFonts w:asciiTheme="minorHAnsi" w:hAnsiTheme="minorHAnsi" w:cstheme="minorHAnsi"/>
          <w:lang w:val="fr-CH"/>
        </w:rPr>
        <w:t>permanents</w:t>
      </w:r>
      <w:r w:rsidR="005E7F65">
        <w:rPr>
          <w:rFonts w:asciiTheme="minorHAnsi" w:hAnsiTheme="minorHAnsi" w:cstheme="minorHAnsi"/>
          <w:lang w:val="fr-CH"/>
        </w:rPr>
        <w:t xml:space="preserve"> de la Convention ;</w:t>
      </w:r>
    </w:p>
    <w:p w14:paraId="5199B8A0" w14:textId="77777777" w:rsidR="00DB2020" w:rsidRPr="0020764F" w:rsidRDefault="00DB2020" w:rsidP="00441F06">
      <w:pPr>
        <w:rPr>
          <w:rFonts w:asciiTheme="minorHAnsi" w:hAnsiTheme="minorHAnsi" w:cstheme="minorHAnsi"/>
          <w:lang w:val="fr-CH"/>
        </w:rPr>
      </w:pPr>
    </w:p>
    <w:p w14:paraId="114CB75B" w14:textId="76F7BF6C" w:rsidR="00DB2020" w:rsidRPr="0020764F" w:rsidRDefault="00441F06" w:rsidP="00441F06">
      <w:pPr>
        <w:rPr>
          <w:rFonts w:asciiTheme="minorHAnsi" w:hAnsiTheme="minorHAnsi" w:cstheme="minorHAnsi"/>
          <w:lang w:val="fr-CH"/>
        </w:rPr>
      </w:pPr>
      <w:r w:rsidRPr="0020764F">
        <w:rPr>
          <w:rFonts w:asciiTheme="minorHAnsi" w:hAnsiTheme="minorHAnsi" w:cstheme="minorHAnsi"/>
          <w:lang w:val="fr-CH"/>
        </w:rPr>
        <w:lastRenderedPageBreak/>
        <w:t>2.</w:t>
      </w:r>
      <w:r w:rsidRPr="0020764F">
        <w:rPr>
          <w:rFonts w:asciiTheme="minorHAnsi" w:hAnsiTheme="minorHAnsi" w:cstheme="minorHAnsi"/>
          <w:lang w:val="fr-CH"/>
        </w:rPr>
        <w:tab/>
      </w:r>
      <w:r w:rsidR="00DB2020" w:rsidRPr="0020764F">
        <w:rPr>
          <w:rFonts w:asciiTheme="minorHAnsi" w:hAnsiTheme="minorHAnsi" w:cstheme="minorHAnsi"/>
          <w:lang w:val="fr-CH"/>
        </w:rPr>
        <w:t>R</w:t>
      </w:r>
      <w:r w:rsidR="005E7F65">
        <w:rPr>
          <w:rFonts w:asciiTheme="minorHAnsi" w:hAnsiTheme="minorHAnsi" w:cstheme="minorHAnsi"/>
          <w:lang w:val="fr-CH"/>
        </w:rPr>
        <w:t>APPELANT</w:t>
      </w:r>
      <w:r w:rsidR="00DB2020" w:rsidRPr="0020764F">
        <w:rPr>
          <w:rFonts w:asciiTheme="minorHAnsi" w:hAnsiTheme="minorHAnsi" w:cstheme="minorHAnsi"/>
          <w:lang w:val="fr-CH"/>
        </w:rPr>
        <w:t xml:space="preserve"> </w:t>
      </w:r>
      <w:r w:rsidR="005E7F65">
        <w:rPr>
          <w:rFonts w:asciiTheme="minorHAnsi" w:hAnsiTheme="minorHAnsi" w:cstheme="minorHAnsi"/>
          <w:lang w:val="fr-CH"/>
        </w:rPr>
        <w:t>que le rôle de l’éducation et de la communication en vue de renforcer la sensibilisation du public a été mis en évidence à la COP3, à R</w:t>
      </w:r>
      <w:r w:rsidR="00C2697C">
        <w:rPr>
          <w:rFonts w:asciiTheme="minorHAnsi" w:hAnsiTheme="minorHAnsi" w:cstheme="minorHAnsi"/>
          <w:lang w:val="fr-CH"/>
        </w:rPr>
        <w:t>e</w:t>
      </w:r>
      <w:r w:rsidR="005E7F65">
        <w:rPr>
          <w:rFonts w:asciiTheme="minorHAnsi" w:hAnsiTheme="minorHAnsi" w:cstheme="minorHAnsi"/>
          <w:lang w:val="fr-CH"/>
        </w:rPr>
        <w:t xml:space="preserve">gina, Canada ; et que des mesures ont été prises </w:t>
      </w:r>
      <w:r w:rsidR="00C2697C">
        <w:rPr>
          <w:rFonts w:asciiTheme="minorHAnsi" w:hAnsiTheme="minorHAnsi" w:cstheme="minorHAnsi"/>
          <w:lang w:val="fr-CH"/>
        </w:rPr>
        <w:t xml:space="preserve">progressivement, </w:t>
      </w:r>
      <w:r w:rsidR="005E7F65">
        <w:rPr>
          <w:rFonts w:asciiTheme="minorHAnsi" w:hAnsiTheme="minorHAnsi" w:cstheme="minorHAnsi"/>
          <w:lang w:val="fr-CH"/>
        </w:rPr>
        <w:t>à la COP4 (</w:t>
      </w:r>
      <w:r w:rsidR="00DB2020" w:rsidRPr="0020764F">
        <w:rPr>
          <w:rFonts w:asciiTheme="minorHAnsi" w:hAnsiTheme="minorHAnsi" w:cstheme="minorHAnsi"/>
          <w:lang w:val="fr-CH"/>
        </w:rPr>
        <w:t xml:space="preserve">Montreux), </w:t>
      </w:r>
      <w:r w:rsidR="005E7F65">
        <w:rPr>
          <w:rFonts w:asciiTheme="minorHAnsi" w:hAnsiTheme="minorHAnsi" w:cstheme="minorHAnsi"/>
          <w:lang w:val="fr-CH"/>
        </w:rPr>
        <w:t xml:space="preserve">à la </w:t>
      </w:r>
      <w:r w:rsidR="00DB2020" w:rsidRPr="0020764F">
        <w:rPr>
          <w:rFonts w:asciiTheme="minorHAnsi" w:hAnsiTheme="minorHAnsi" w:cstheme="minorHAnsi"/>
          <w:lang w:val="fr-CH"/>
        </w:rPr>
        <w:t xml:space="preserve">COP5 (Kushiro) </w:t>
      </w:r>
      <w:r w:rsidR="005E7F65">
        <w:rPr>
          <w:rFonts w:asciiTheme="minorHAnsi" w:hAnsiTheme="minorHAnsi" w:cstheme="minorHAnsi"/>
          <w:lang w:val="fr-CH"/>
        </w:rPr>
        <w:t xml:space="preserve">et à la </w:t>
      </w:r>
      <w:r w:rsidR="00DB2020" w:rsidRPr="0020764F">
        <w:rPr>
          <w:rFonts w:asciiTheme="minorHAnsi" w:hAnsiTheme="minorHAnsi" w:cstheme="minorHAnsi"/>
          <w:lang w:val="fr-CH"/>
        </w:rPr>
        <w:t xml:space="preserve">COP6 (Brisbane) </w:t>
      </w:r>
      <w:r w:rsidR="005E7F65">
        <w:rPr>
          <w:rFonts w:asciiTheme="minorHAnsi" w:hAnsiTheme="minorHAnsi" w:cstheme="minorHAnsi"/>
          <w:lang w:val="fr-CH"/>
        </w:rPr>
        <w:t>pour reconnaître plus officiellement le rôle de l’éducation et travailler à l’élaboration d’un programme Ramsar dédié à l’éducation ;</w:t>
      </w:r>
    </w:p>
    <w:p w14:paraId="4722E0BF" w14:textId="77777777" w:rsidR="00DB2020" w:rsidRPr="0020764F" w:rsidRDefault="00DB2020" w:rsidP="00441F06">
      <w:pPr>
        <w:pStyle w:val="ListParagraph"/>
        <w:ind w:left="425"/>
        <w:rPr>
          <w:rFonts w:asciiTheme="minorHAnsi" w:hAnsiTheme="minorHAnsi" w:cstheme="minorHAnsi"/>
          <w:lang w:val="fr-CH"/>
        </w:rPr>
      </w:pPr>
    </w:p>
    <w:p w14:paraId="2014CC31" w14:textId="1876618D" w:rsidR="00DB2020" w:rsidRPr="0020764F" w:rsidRDefault="00441F06" w:rsidP="00441F06">
      <w:pPr>
        <w:rPr>
          <w:rFonts w:asciiTheme="minorHAnsi" w:hAnsiTheme="minorHAnsi" w:cstheme="minorHAnsi"/>
          <w:lang w:val="fr-CH"/>
        </w:rPr>
      </w:pPr>
      <w:r w:rsidRPr="0020764F">
        <w:rPr>
          <w:rFonts w:asciiTheme="minorHAnsi" w:hAnsiTheme="minorHAnsi" w:cstheme="minorHAnsi"/>
          <w:lang w:val="fr-CH"/>
        </w:rPr>
        <w:t>3.</w:t>
      </w:r>
      <w:r w:rsidRPr="0020764F">
        <w:rPr>
          <w:rFonts w:asciiTheme="minorHAnsi" w:hAnsiTheme="minorHAnsi" w:cstheme="minorHAnsi"/>
          <w:lang w:val="fr-CH"/>
        </w:rPr>
        <w:tab/>
      </w:r>
      <w:r w:rsidR="00BB65C4">
        <w:rPr>
          <w:rFonts w:asciiTheme="minorHAnsi" w:hAnsiTheme="minorHAnsi" w:cstheme="minorHAnsi"/>
          <w:lang w:val="fr-CH"/>
        </w:rPr>
        <w:t>SACHANT</w:t>
      </w:r>
      <w:r w:rsidR="00DB2020" w:rsidRPr="0020764F">
        <w:rPr>
          <w:rFonts w:asciiTheme="minorHAnsi" w:hAnsiTheme="minorHAnsi" w:cstheme="minorHAnsi"/>
          <w:lang w:val="fr-CH"/>
        </w:rPr>
        <w:t xml:space="preserve"> </w:t>
      </w:r>
      <w:r w:rsidR="00894717">
        <w:rPr>
          <w:rFonts w:asciiTheme="minorHAnsi" w:hAnsiTheme="minorHAnsi" w:cstheme="minorHAnsi"/>
          <w:lang w:val="fr-CH"/>
        </w:rPr>
        <w:t xml:space="preserve">que </w:t>
      </w:r>
      <w:r w:rsidR="00C2697C">
        <w:rPr>
          <w:rFonts w:asciiTheme="minorHAnsi" w:hAnsiTheme="minorHAnsi" w:cstheme="minorHAnsi"/>
          <w:lang w:val="fr-CH"/>
        </w:rPr>
        <w:t>la Résolution </w:t>
      </w:r>
      <w:r w:rsidR="00C2697C" w:rsidRPr="0020764F">
        <w:rPr>
          <w:rFonts w:asciiTheme="minorHAnsi" w:hAnsiTheme="minorHAnsi" w:cstheme="minorHAnsi"/>
          <w:lang w:val="fr-CH"/>
        </w:rPr>
        <w:t xml:space="preserve">VII.9, </w:t>
      </w:r>
      <w:r w:rsidR="00C2697C" w:rsidRPr="00C2697C">
        <w:rPr>
          <w:rFonts w:asciiTheme="minorHAnsi" w:hAnsiTheme="minorHAnsi" w:cstheme="minorHAnsi"/>
          <w:i/>
          <w:lang w:val="fr-CH"/>
        </w:rPr>
        <w:t>Le Programme d’information de la Convention - 1999-2002</w:t>
      </w:r>
      <w:r w:rsidR="00C2697C" w:rsidRPr="0020764F">
        <w:rPr>
          <w:rFonts w:asciiTheme="minorHAnsi" w:hAnsiTheme="minorHAnsi" w:cstheme="minorHAnsi"/>
          <w:lang w:val="fr-CH"/>
        </w:rPr>
        <w:t xml:space="preserve">, </w:t>
      </w:r>
      <w:r w:rsidR="00C2697C">
        <w:rPr>
          <w:rFonts w:asciiTheme="minorHAnsi" w:hAnsiTheme="minorHAnsi" w:cstheme="minorHAnsi"/>
          <w:lang w:val="fr-CH"/>
        </w:rPr>
        <w:t xml:space="preserve">est </w:t>
      </w:r>
      <w:r w:rsidR="00894717">
        <w:rPr>
          <w:rFonts w:asciiTheme="minorHAnsi" w:hAnsiTheme="minorHAnsi" w:cstheme="minorHAnsi"/>
          <w:lang w:val="fr-CH"/>
        </w:rPr>
        <w:t xml:space="preserve">la première résolution sur la CESP approuvée par la COP </w:t>
      </w:r>
      <w:r w:rsidR="00C2697C">
        <w:rPr>
          <w:rFonts w:asciiTheme="minorHAnsi" w:hAnsiTheme="minorHAnsi" w:cstheme="minorHAnsi"/>
          <w:lang w:val="fr-CH"/>
        </w:rPr>
        <w:t>et</w:t>
      </w:r>
      <w:r w:rsidR="00894717">
        <w:rPr>
          <w:rFonts w:asciiTheme="minorHAnsi" w:hAnsiTheme="minorHAnsi" w:cstheme="minorHAnsi"/>
          <w:lang w:val="fr-CH"/>
        </w:rPr>
        <w:t xml:space="preserve"> </w:t>
      </w:r>
      <w:r w:rsidR="00C2697C">
        <w:rPr>
          <w:rFonts w:asciiTheme="minorHAnsi" w:hAnsiTheme="minorHAnsi" w:cstheme="minorHAnsi"/>
          <w:lang w:val="fr-CH"/>
        </w:rPr>
        <w:t>détermine que</w:t>
      </w:r>
      <w:r w:rsidR="00894717">
        <w:rPr>
          <w:rFonts w:asciiTheme="minorHAnsi" w:hAnsiTheme="minorHAnsi" w:cstheme="minorHAnsi"/>
          <w:lang w:val="fr-CH"/>
        </w:rPr>
        <w:t xml:space="preserve"> le grand public, les écoles, les communautés autochtones et le secteur privé </w:t>
      </w:r>
      <w:r w:rsidR="00C2697C">
        <w:rPr>
          <w:rFonts w:asciiTheme="minorHAnsi" w:hAnsiTheme="minorHAnsi" w:cstheme="minorHAnsi"/>
          <w:lang w:val="fr-CH"/>
        </w:rPr>
        <w:t>sont des groupes</w:t>
      </w:r>
      <w:r w:rsidR="00894717">
        <w:rPr>
          <w:rFonts w:asciiTheme="minorHAnsi" w:hAnsiTheme="minorHAnsi" w:cstheme="minorHAnsi"/>
          <w:lang w:val="fr-CH"/>
        </w:rPr>
        <w:t xml:space="preserve"> différents ayant différents besoins de communication ; </w:t>
      </w:r>
    </w:p>
    <w:p w14:paraId="2AA0DB1D" w14:textId="77777777" w:rsidR="00A13606" w:rsidRPr="0020764F" w:rsidRDefault="00A13606" w:rsidP="00441F06">
      <w:pPr>
        <w:rPr>
          <w:rFonts w:asciiTheme="minorHAnsi" w:hAnsiTheme="minorHAnsi" w:cstheme="minorHAnsi"/>
          <w:lang w:val="fr-CH"/>
        </w:rPr>
      </w:pPr>
    </w:p>
    <w:p w14:paraId="10211C9A" w14:textId="0BAC0933" w:rsidR="000977BC" w:rsidRPr="0020764F" w:rsidRDefault="00441F06" w:rsidP="003C5C01">
      <w:pPr>
        <w:rPr>
          <w:rFonts w:asciiTheme="minorHAnsi" w:hAnsiTheme="minorHAnsi" w:cstheme="minorHAnsi"/>
          <w:lang w:val="fr-CH"/>
        </w:rPr>
      </w:pPr>
      <w:r w:rsidRPr="0020764F">
        <w:rPr>
          <w:rFonts w:asciiTheme="minorHAnsi" w:hAnsiTheme="minorHAnsi" w:cstheme="minorHAnsi"/>
          <w:lang w:val="fr-CH"/>
        </w:rPr>
        <w:t>4.</w:t>
      </w:r>
      <w:r w:rsidRPr="0020764F">
        <w:rPr>
          <w:rFonts w:asciiTheme="minorHAnsi" w:hAnsiTheme="minorHAnsi" w:cstheme="minorHAnsi"/>
          <w:lang w:val="fr-CH"/>
        </w:rPr>
        <w:tab/>
      </w:r>
      <w:r w:rsidR="00894717">
        <w:rPr>
          <w:rFonts w:asciiTheme="minorHAnsi" w:hAnsiTheme="minorHAnsi" w:cstheme="minorHAnsi"/>
          <w:lang w:val="fr-CH"/>
        </w:rPr>
        <w:t>PRÉOCCUPÉE de constater que</w:t>
      </w:r>
      <w:r w:rsidR="00C2697C">
        <w:rPr>
          <w:rFonts w:asciiTheme="minorHAnsi" w:hAnsiTheme="minorHAnsi" w:cstheme="minorHAnsi"/>
          <w:lang w:val="fr-CH"/>
        </w:rPr>
        <w:t xml:space="preserve">, dans les Programmes de CESP successifs, </w:t>
      </w:r>
      <w:r w:rsidR="00894717">
        <w:rPr>
          <w:rFonts w:asciiTheme="minorHAnsi" w:hAnsiTheme="minorHAnsi" w:cstheme="minorHAnsi"/>
          <w:lang w:val="fr-CH"/>
        </w:rPr>
        <w:t>les orientations spécifiques</w:t>
      </w:r>
      <w:r w:rsidR="00C2697C">
        <w:rPr>
          <w:rFonts w:asciiTheme="minorHAnsi" w:hAnsiTheme="minorHAnsi" w:cstheme="minorHAnsi"/>
          <w:lang w:val="fr-CH"/>
        </w:rPr>
        <w:t>,</w:t>
      </w:r>
      <w:r w:rsidR="00894717">
        <w:rPr>
          <w:rFonts w:asciiTheme="minorHAnsi" w:hAnsiTheme="minorHAnsi" w:cstheme="minorHAnsi"/>
          <w:lang w:val="fr-CH"/>
        </w:rPr>
        <w:t xml:space="preserve"> relatives au secteur </w:t>
      </w:r>
      <w:r w:rsidR="00C2697C">
        <w:rPr>
          <w:rFonts w:asciiTheme="minorHAnsi" w:hAnsiTheme="minorHAnsi" w:cstheme="minorHAnsi"/>
          <w:lang w:val="fr-CH"/>
        </w:rPr>
        <w:t xml:space="preserve">de l’enseignement </w:t>
      </w:r>
      <w:r w:rsidR="00894717">
        <w:rPr>
          <w:rFonts w:asciiTheme="minorHAnsi" w:hAnsiTheme="minorHAnsi" w:cstheme="minorHAnsi"/>
          <w:lang w:val="fr-CH"/>
        </w:rPr>
        <w:t>officiel</w:t>
      </w:r>
      <w:r w:rsidR="00C2697C">
        <w:rPr>
          <w:rFonts w:asciiTheme="minorHAnsi" w:hAnsiTheme="minorHAnsi" w:cstheme="minorHAnsi"/>
          <w:lang w:val="fr-CH"/>
        </w:rPr>
        <w:t xml:space="preserve">, </w:t>
      </w:r>
      <w:r w:rsidR="00894717">
        <w:rPr>
          <w:rFonts w:asciiTheme="minorHAnsi" w:hAnsiTheme="minorHAnsi" w:cstheme="minorHAnsi"/>
          <w:lang w:val="fr-CH"/>
        </w:rPr>
        <w:t xml:space="preserve">sont restées insignifiantes et que, même si les écoles et </w:t>
      </w:r>
      <w:r w:rsidR="00C2697C">
        <w:rPr>
          <w:rFonts w:asciiTheme="minorHAnsi" w:hAnsiTheme="minorHAnsi" w:cstheme="minorHAnsi"/>
          <w:lang w:val="fr-CH"/>
        </w:rPr>
        <w:t xml:space="preserve">l’enseignement officiel </w:t>
      </w:r>
      <w:r w:rsidR="00894717">
        <w:rPr>
          <w:rFonts w:asciiTheme="minorHAnsi" w:hAnsiTheme="minorHAnsi" w:cstheme="minorHAnsi"/>
          <w:lang w:val="fr-CH"/>
        </w:rPr>
        <w:t>figurent clairement dans la Résolution </w:t>
      </w:r>
      <w:r w:rsidR="000977BC" w:rsidRPr="0020764F">
        <w:rPr>
          <w:rFonts w:asciiTheme="minorHAnsi" w:hAnsiTheme="minorHAnsi" w:cstheme="minorHAnsi"/>
          <w:lang w:val="fr-CH"/>
        </w:rPr>
        <w:t xml:space="preserve">VII.9 </w:t>
      </w:r>
      <w:r w:rsidR="00894717">
        <w:rPr>
          <w:rFonts w:asciiTheme="minorHAnsi" w:hAnsiTheme="minorHAnsi" w:cstheme="minorHAnsi"/>
          <w:lang w:val="fr-CH"/>
        </w:rPr>
        <w:t xml:space="preserve">avec des recommandations connexes, les Programmes de CESP </w:t>
      </w:r>
      <w:r w:rsidR="00B3149A">
        <w:rPr>
          <w:rFonts w:asciiTheme="minorHAnsi" w:hAnsiTheme="minorHAnsi" w:cstheme="minorHAnsi"/>
          <w:lang w:val="fr-CH"/>
        </w:rPr>
        <w:t xml:space="preserve">ultérieurs </w:t>
      </w:r>
      <w:r w:rsidR="000977BC" w:rsidRPr="0020764F">
        <w:rPr>
          <w:rFonts w:asciiTheme="minorHAnsi" w:hAnsiTheme="minorHAnsi" w:cstheme="minorHAnsi"/>
          <w:lang w:val="fr-CH"/>
        </w:rPr>
        <w:t>(</w:t>
      </w:r>
      <w:r w:rsidR="00894717" w:rsidRPr="0020764F">
        <w:rPr>
          <w:rFonts w:asciiTheme="minorHAnsi" w:hAnsiTheme="minorHAnsi" w:cstheme="minorHAnsi"/>
          <w:lang w:val="fr-CH"/>
        </w:rPr>
        <w:t>Résolutions</w:t>
      </w:r>
      <w:r w:rsidR="00894717">
        <w:rPr>
          <w:rFonts w:asciiTheme="minorHAnsi" w:hAnsiTheme="minorHAnsi" w:cstheme="minorHAnsi"/>
          <w:lang w:val="fr-CH"/>
        </w:rPr>
        <w:t> </w:t>
      </w:r>
      <w:r w:rsidR="000977BC" w:rsidRPr="0020764F">
        <w:rPr>
          <w:rFonts w:asciiTheme="minorHAnsi" w:hAnsiTheme="minorHAnsi" w:cstheme="minorHAnsi"/>
          <w:lang w:val="fr-CH"/>
        </w:rPr>
        <w:t xml:space="preserve">VIII.31 </w:t>
      </w:r>
      <w:r w:rsidR="00894717">
        <w:rPr>
          <w:rFonts w:asciiTheme="minorHAnsi" w:hAnsiTheme="minorHAnsi" w:cstheme="minorHAnsi"/>
          <w:lang w:val="fr-CH"/>
        </w:rPr>
        <w:t>et </w:t>
      </w:r>
      <w:r w:rsidR="000977BC" w:rsidRPr="0020764F">
        <w:rPr>
          <w:rFonts w:asciiTheme="minorHAnsi" w:hAnsiTheme="minorHAnsi" w:cstheme="minorHAnsi"/>
          <w:lang w:val="fr-CH"/>
        </w:rPr>
        <w:t>X.</w:t>
      </w:r>
      <w:r w:rsidR="0027248B">
        <w:rPr>
          <w:rFonts w:asciiTheme="minorHAnsi" w:hAnsiTheme="minorHAnsi" w:cstheme="minorHAnsi"/>
          <w:lang w:val="fr-CH"/>
        </w:rPr>
        <w:t>0</w:t>
      </w:r>
      <w:r w:rsidR="000977BC" w:rsidRPr="0020764F">
        <w:rPr>
          <w:rFonts w:asciiTheme="minorHAnsi" w:hAnsiTheme="minorHAnsi" w:cstheme="minorHAnsi"/>
          <w:lang w:val="fr-CH"/>
        </w:rPr>
        <w:t xml:space="preserve">8) </w:t>
      </w:r>
      <w:r w:rsidR="00894717">
        <w:rPr>
          <w:rFonts w:asciiTheme="minorHAnsi" w:hAnsiTheme="minorHAnsi" w:cstheme="minorHAnsi"/>
          <w:lang w:val="fr-CH"/>
        </w:rPr>
        <w:t>ne mentionnent que « Le secteur de l’éducation » en tant qu’acteur ; NOTANT que dans le Programme de CESP actuel (Résolution </w:t>
      </w:r>
      <w:r w:rsidR="000977BC" w:rsidRPr="0020764F">
        <w:rPr>
          <w:rFonts w:asciiTheme="minorHAnsi" w:hAnsiTheme="minorHAnsi" w:cstheme="minorHAnsi"/>
          <w:lang w:val="fr-CH"/>
        </w:rPr>
        <w:t xml:space="preserve">XII.9), </w:t>
      </w:r>
      <w:r w:rsidR="00894717">
        <w:rPr>
          <w:rFonts w:asciiTheme="minorHAnsi" w:hAnsiTheme="minorHAnsi" w:cstheme="minorHAnsi"/>
          <w:lang w:val="fr-CH"/>
        </w:rPr>
        <w:t>le But </w:t>
      </w:r>
      <w:r w:rsidR="000977BC" w:rsidRPr="00C2697C">
        <w:rPr>
          <w:rFonts w:asciiTheme="minorHAnsi" w:hAnsiTheme="minorHAnsi" w:cstheme="minorHAnsi"/>
          <w:lang w:val="fr-CH"/>
        </w:rPr>
        <w:t xml:space="preserve">8 encourage </w:t>
      </w:r>
      <w:r w:rsidR="003C5C01" w:rsidRPr="00C2697C">
        <w:rPr>
          <w:rFonts w:asciiTheme="minorHAnsi" w:hAnsiTheme="minorHAnsi" w:cstheme="minorHAnsi"/>
          <w:lang w:val="fr-CH"/>
        </w:rPr>
        <w:t>l’élaboration et la distribution de matériel pédagogique en vue d’une « utilisation dans des contextes pédagogiques officiels »</w:t>
      </w:r>
      <w:r w:rsidR="000977BC" w:rsidRPr="00C2697C">
        <w:rPr>
          <w:rFonts w:asciiTheme="minorHAnsi" w:hAnsiTheme="minorHAnsi" w:cstheme="minorHAnsi"/>
          <w:lang w:val="fr-CH"/>
        </w:rPr>
        <w:t>,</w:t>
      </w:r>
      <w:r w:rsidR="000977BC" w:rsidRPr="0020764F">
        <w:rPr>
          <w:rFonts w:asciiTheme="minorHAnsi" w:hAnsiTheme="minorHAnsi" w:cstheme="minorHAnsi"/>
          <w:lang w:val="fr-CH"/>
        </w:rPr>
        <w:t xml:space="preserve"> </w:t>
      </w:r>
      <w:r w:rsidR="00894717">
        <w:rPr>
          <w:rFonts w:asciiTheme="minorHAnsi" w:hAnsiTheme="minorHAnsi" w:cstheme="minorHAnsi"/>
          <w:lang w:val="fr-CH"/>
        </w:rPr>
        <w:t xml:space="preserve">mais </w:t>
      </w:r>
      <w:r w:rsidR="00C2697C">
        <w:rPr>
          <w:rFonts w:asciiTheme="minorHAnsi" w:hAnsiTheme="minorHAnsi" w:cstheme="minorHAnsi"/>
          <w:lang w:val="fr-CH"/>
        </w:rPr>
        <w:t>qu’</w:t>
      </w:r>
      <w:r w:rsidR="00894717">
        <w:rPr>
          <w:rFonts w:asciiTheme="minorHAnsi" w:hAnsiTheme="minorHAnsi" w:cstheme="minorHAnsi"/>
          <w:lang w:val="fr-CH"/>
        </w:rPr>
        <w:t xml:space="preserve">aucune orientation supplémentaire n’est fournie sur les approches suggérées ; </w:t>
      </w:r>
    </w:p>
    <w:p w14:paraId="69E31532" w14:textId="47C0A3CF" w:rsidR="000977BC" w:rsidRPr="0020764F" w:rsidRDefault="000977BC" w:rsidP="00441F06">
      <w:pPr>
        <w:pStyle w:val="ListParagraph"/>
        <w:ind w:left="425"/>
        <w:rPr>
          <w:rFonts w:asciiTheme="minorHAnsi" w:hAnsiTheme="minorHAnsi" w:cstheme="minorHAnsi"/>
          <w:lang w:val="fr-CH"/>
        </w:rPr>
      </w:pPr>
    </w:p>
    <w:p w14:paraId="67AD9AD8" w14:textId="704F79FE" w:rsidR="00DB2020" w:rsidRPr="0020764F" w:rsidRDefault="00441F06" w:rsidP="00441F06">
      <w:pPr>
        <w:rPr>
          <w:rFonts w:asciiTheme="minorHAnsi" w:hAnsiTheme="minorHAnsi" w:cstheme="minorHAnsi"/>
          <w:lang w:val="fr-CH"/>
        </w:rPr>
      </w:pPr>
      <w:r w:rsidRPr="0020764F">
        <w:rPr>
          <w:rFonts w:asciiTheme="minorHAnsi" w:hAnsiTheme="minorHAnsi" w:cstheme="minorHAnsi"/>
          <w:lang w:val="fr-CH" w:eastAsia="ko-KR"/>
        </w:rPr>
        <w:t>5.</w:t>
      </w:r>
      <w:r w:rsidRPr="0020764F">
        <w:rPr>
          <w:rFonts w:asciiTheme="minorHAnsi" w:hAnsiTheme="minorHAnsi" w:cstheme="minorHAnsi"/>
          <w:lang w:val="fr-CH" w:eastAsia="ko-KR"/>
        </w:rPr>
        <w:tab/>
      </w:r>
      <w:r w:rsidR="00DB2020" w:rsidRPr="0020764F">
        <w:rPr>
          <w:rFonts w:asciiTheme="minorHAnsi" w:hAnsiTheme="minorHAnsi" w:cstheme="minorHAnsi"/>
          <w:lang w:val="fr-CH" w:eastAsia="ko-KR"/>
        </w:rPr>
        <w:t>NOT</w:t>
      </w:r>
      <w:r w:rsidR="00894717">
        <w:rPr>
          <w:rFonts w:asciiTheme="minorHAnsi" w:hAnsiTheme="minorHAnsi" w:cstheme="minorHAnsi"/>
          <w:lang w:val="fr-CH" w:eastAsia="ko-KR"/>
        </w:rPr>
        <w:t xml:space="preserve">ANT que l’éducation à l’environnement a évolué </w:t>
      </w:r>
      <w:r w:rsidR="00B3149A">
        <w:rPr>
          <w:rFonts w:asciiTheme="minorHAnsi" w:hAnsiTheme="minorHAnsi" w:cstheme="minorHAnsi"/>
          <w:lang w:val="fr-CH" w:eastAsia="ko-KR"/>
        </w:rPr>
        <w:t xml:space="preserve">depuis la fin des années 1960 </w:t>
      </w:r>
      <w:r w:rsidR="00894717">
        <w:rPr>
          <w:rFonts w:asciiTheme="minorHAnsi" w:hAnsiTheme="minorHAnsi" w:cstheme="minorHAnsi"/>
          <w:lang w:val="fr-CH" w:eastAsia="ko-KR"/>
        </w:rPr>
        <w:t xml:space="preserve">pour devenir un domaine interdisciplinaire </w:t>
      </w:r>
      <w:r w:rsidR="00B3149A">
        <w:rPr>
          <w:rFonts w:asciiTheme="minorHAnsi" w:hAnsiTheme="minorHAnsi" w:cstheme="minorHAnsi"/>
          <w:lang w:val="fr-CH" w:eastAsia="ko-KR"/>
        </w:rPr>
        <w:t>mettant</w:t>
      </w:r>
      <w:r w:rsidR="00894717">
        <w:rPr>
          <w:rFonts w:asciiTheme="minorHAnsi" w:hAnsiTheme="minorHAnsi" w:cstheme="minorHAnsi"/>
          <w:lang w:val="fr-CH" w:eastAsia="ko-KR"/>
        </w:rPr>
        <w:t xml:space="preserve"> l’accent sur </w:t>
      </w:r>
      <w:r w:rsidR="00B3149A">
        <w:rPr>
          <w:rFonts w:asciiTheme="minorHAnsi" w:hAnsiTheme="minorHAnsi" w:cstheme="minorHAnsi"/>
          <w:lang w:val="fr-CH" w:eastAsia="ko-KR"/>
        </w:rPr>
        <w:t>l’initiation à l’</w:t>
      </w:r>
      <w:r w:rsidR="00894717">
        <w:rPr>
          <w:rFonts w:asciiTheme="minorHAnsi" w:hAnsiTheme="minorHAnsi" w:cstheme="minorHAnsi"/>
          <w:lang w:val="fr-CH" w:eastAsia="ko-KR"/>
        </w:rPr>
        <w:t xml:space="preserve">environnement ainsi que sur </w:t>
      </w:r>
      <w:r w:rsidR="00B3149A">
        <w:rPr>
          <w:rFonts w:asciiTheme="minorHAnsi" w:hAnsiTheme="minorHAnsi" w:cstheme="minorHAnsi"/>
          <w:lang w:val="fr-CH" w:eastAsia="ko-KR"/>
        </w:rPr>
        <w:t>la connaissance</w:t>
      </w:r>
      <w:r w:rsidR="00894717">
        <w:rPr>
          <w:rFonts w:asciiTheme="minorHAnsi" w:hAnsiTheme="minorHAnsi" w:cstheme="minorHAnsi"/>
          <w:lang w:val="fr-CH" w:eastAsia="ko-KR"/>
        </w:rPr>
        <w:t xml:space="preserve"> des relations entre </w:t>
      </w:r>
      <w:r w:rsidR="00B3149A">
        <w:rPr>
          <w:rFonts w:asciiTheme="minorHAnsi" w:hAnsiTheme="minorHAnsi" w:cstheme="minorHAnsi"/>
          <w:lang w:val="fr-CH" w:eastAsia="ko-KR"/>
        </w:rPr>
        <w:t>l’</w:t>
      </w:r>
      <w:r w:rsidR="00894717">
        <w:rPr>
          <w:rFonts w:asciiTheme="minorHAnsi" w:hAnsiTheme="minorHAnsi" w:cstheme="minorHAnsi"/>
          <w:lang w:val="fr-CH" w:eastAsia="ko-KR"/>
        </w:rPr>
        <w:t xml:space="preserve">être humain et </w:t>
      </w:r>
      <w:r w:rsidR="00B3149A">
        <w:rPr>
          <w:rFonts w:asciiTheme="minorHAnsi" w:hAnsiTheme="minorHAnsi" w:cstheme="minorHAnsi"/>
          <w:lang w:val="fr-CH" w:eastAsia="ko-KR"/>
        </w:rPr>
        <w:t>son</w:t>
      </w:r>
      <w:r w:rsidR="00894717">
        <w:rPr>
          <w:rFonts w:asciiTheme="minorHAnsi" w:hAnsiTheme="minorHAnsi" w:cstheme="minorHAnsi"/>
          <w:lang w:val="fr-CH" w:eastAsia="ko-KR"/>
        </w:rPr>
        <w:t xml:space="preserve"> environnement, et que ce domaine s’est maintenant élargi pour inclure des </w:t>
      </w:r>
      <w:r w:rsidR="00B3149A">
        <w:rPr>
          <w:rFonts w:asciiTheme="minorHAnsi" w:hAnsiTheme="minorHAnsi" w:cstheme="minorHAnsi"/>
          <w:lang w:val="fr-CH" w:eastAsia="ko-KR"/>
        </w:rPr>
        <w:t>thèmes d’intérêt particulier tels que</w:t>
      </w:r>
      <w:r w:rsidR="00894717">
        <w:rPr>
          <w:rFonts w:asciiTheme="minorHAnsi" w:hAnsiTheme="minorHAnsi" w:cstheme="minorHAnsi"/>
          <w:lang w:val="fr-CH" w:eastAsia="ko-KR"/>
        </w:rPr>
        <w:t xml:space="preserve"> </w:t>
      </w:r>
      <w:r w:rsidR="00B3149A">
        <w:rPr>
          <w:rFonts w:asciiTheme="minorHAnsi" w:hAnsiTheme="minorHAnsi" w:cstheme="minorHAnsi"/>
          <w:lang w:val="fr-CH" w:eastAsia="ko-KR"/>
        </w:rPr>
        <w:t>l’</w:t>
      </w:r>
      <w:r w:rsidR="00894717">
        <w:rPr>
          <w:rFonts w:asciiTheme="minorHAnsi" w:hAnsiTheme="minorHAnsi" w:cstheme="minorHAnsi"/>
          <w:lang w:val="fr-CH" w:eastAsia="ko-KR"/>
        </w:rPr>
        <w:t xml:space="preserve">Éducation pour le développement durable et </w:t>
      </w:r>
      <w:r w:rsidR="00214DD5">
        <w:rPr>
          <w:rFonts w:asciiTheme="minorHAnsi" w:hAnsiTheme="minorHAnsi" w:cstheme="minorHAnsi"/>
          <w:lang w:val="fr-CH" w:eastAsia="ko-KR"/>
        </w:rPr>
        <w:t>l’</w:t>
      </w:r>
      <w:r w:rsidR="00894717">
        <w:rPr>
          <w:rFonts w:asciiTheme="minorHAnsi" w:hAnsiTheme="minorHAnsi" w:cstheme="minorHAnsi"/>
          <w:lang w:val="fr-CH" w:eastAsia="ko-KR"/>
        </w:rPr>
        <w:t>Éducation à la biodiversité ;</w:t>
      </w:r>
    </w:p>
    <w:p w14:paraId="0A1A2DFC" w14:textId="77777777" w:rsidR="00DB2020" w:rsidRPr="0020764F" w:rsidRDefault="00DB2020" w:rsidP="00441F06">
      <w:pPr>
        <w:pStyle w:val="ListParagraph"/>
        <w:ind w:left="425"/>
        <w:rPr>
          <w:rFonts w:asciiTheme="minorHAnsi" w:hAnsiTheme="minorHAnsi" w:cstheme="minorHAnsi"/>
          <w:lang w:val="fr-CH"/>
        </w:rPr>
      </w:pPr>
    </w:p>
    <w:p w14:paraId="2962C409" w14:textId="48FD3B4D" w:rsidR="00DB2020" w:rsidRPr="0020764F" w:rsidRDefault="00441F06" w:rsidP="00D741C0">
      <w:pPr>
        <w:rPr>
          <w:rFonts w:asciiTheme="minorHAnsi" w:hAnsiTheme="minorHAnsi" w:cstheme="minorHAnsi"/>
          <w:lang w:val="fr-CH"/>
        </w:rPr>
      </w:pPr>
      <w:r w:rsidRPr="0020764F">
        <w:rPr>
          <w:rFonts w:asciiTheme="minorHAnsi" w:hAnsiTheme="minorHAnsi" w:cstheme="minorHAnsi"/>
          <w:lang w:val="fr-CH" w:eastAsia="ko-KR"/>
        </w:rPr>
        <w:t>6.</w:t>
      </w:r>
      <w:r w:rsidRPr="0020764F">
        <w:rPr>
          <w:rFonts w:asciiTheme="minorHAnsi" w:hAnsiTheme="minorHAnsi" w:cstheme="minorHAnsi"/>
          <w:lang w:val="fr-CH" w:eastAsia="ko-KR"/>
        </w:rPr>
        <w:tab/>
      </w:r>
      <w:r w:rsidR="00894717">
        <w:rPr>
          <w:rFonts w:asciiTheme="minorHAnsi" w:hAnsiTheme="minorHAnsi" w:cstheme="minorHAnsi"/>
          <w:lang w:val="fr-CH" w:eastAsia="ko-KR"/>
        </w:rPr>
        <w:t>SACHANT que l’</w:t>
      </w:r>
      <w:r w:rsidR="00DB2020" w:rsidRPr="0020764F">
        <w:rPr>
          <w:rFonts w:asciiTheme="minorHAnsi" w:hAnsiTheme="minorHAnsi" w:cstheme="minorHAnsi"/>
          <w:lang w:val="fr-CH" w:eastAsia="ko-KR"/>
        </w:rPr>
        <w:t xml:space="preserve">UNESCO </w:t>
      </w:r>
      <w:r w:rsidR="00894717">
        <w:rPr>
          <w:rFonts w:asciiTheme="minorHAnsi" w:hAnsiTheme="minorHAnsi" w:cstheme="minorHAnsi"/>
          <w:lang w:val="fr-CH" w:eastAsia="ko-KR"/>
        </w:rPr>
        <w:t xml:space="preserve">a publié </w:t>
      </w:r>
      <w:r w:rsidR="0088274F">
        <w:rPr>
          <w:rFonts w:asciiTheme="minorHAnsi" w:hAnsiTheme="minorHAnsi" w:cstheme="minorHAnsi"/>
          <w:lang w:val="fr-CH" w:eastAsia="ko-KR"/>
        </w:rPr>
        <w:t>« </w:t>
      </w:r>
      <w:r w:rsidR="00A34232">
        <w:rPr>
          <w:rFonts w:asciiTheme="minorHAnsi" w:hAnsiTheme="minorHAnsi" w:cstheme="minorHAnsi"/>
          <w:lang w:val="fr-CH" w:eastAsia="ko-KR"/>
        </w:rPr>
        <w:t>L’éducation au développement durable : feuille de route</w:t>
      </w:r>
      <w:r w:rsidR="0088274F">
        <w:rPr>
          <w:rFonts w:asciiTheme="minorHAnsi" w:hAnsiTheme="minorHAnsi" w:cstheme="minorHAnsi"/>
          <w:lang w:val="fr-CH" w:eastAsia="ko-KR"/>
        </w:rPr>
        <w:t> » e</w:t>
      </w:r>
      <w:r w:rsidR="00DB2020" w:rsidRPr="0020764F">
        <w:rPr>
          <w:rFonts w:asciiTheme="minorHAnsi" w:hAnsiTheme="minorHAnsi" w:cstheme="minorHAnsi"/>
          <w:lang w:val="fr-CH" w:eastAsia="ko-KR"/>
        </w:rPr>
        <w:t>n</w:t>
      </w:r>
      <w:r w:rsidR="0088274F">
        <w:rPr>
          <w:rFonts w:asciiTheme="minorHAnsi" w:hAnsiTheme="minorHAnsi" w:cstheme="minorHAnsi"/>
          <w:lang w:val="fr-CH" w:eastAsia="ko-KR"/>
        </w:rPr>
        <w:t> </w:t>
      </w:r>
      <w:r w:rsidR="00DB2020" w:rsidRPr="0020764F">
        <w:rPr>
          <w:rFonts w:asciiTheme="minorHAnsi" w:hAnsiTheme="minorHAnsi" w:cstheme="minorHAnsi"/>
          <w:lang w:val="fr-CH" w:eastAsia="ko-KR"/>
        </w:rPr>
        <w:t xml:space="preserve">2017 </w:t>
      </w:r>
      <w:r w:rsidR="0088274F">
        <w:rPr>
          <w:rFonts w:asciiTheme="minorHAnsi" w:hAnsiTheme="minorHAnsi" w:cstheme="minorHAnsi"/>
          <w:lang w:val="fr-CH" w:eastAsia="ko-KR"/>
        </w:rPr>
        <w:t>p</w:t>
      </w:r>
      <w:r w:rsidR="0027248B">
        <w:rPr>
          <w:rFonts w:asciiTheme="minorHAnsi" w:hAnsiTheme="minorHAnsi" w:cstheme="minorHAnsi"/>
          <w:lang w:val="fr-CH" w:eastAsia="ko-KR"/>
        </w:rPr>
        <w:t>o</w:t>
      </w:r>
      <w:r w:rsidR="0088274F">
        <w:rPr>
          <w:rFonts w:asciiTheme="minorHAnsi" w:hAnsiTheme="minorHAnsi" w:cstheme="minorHAnsi"/>
          <w:lang w:val="fr-CH" w:eastAsia="ko-KR"/>
        </w:rPr>
        <w:t xml:space="preserve">ur soutenir l’application des Objectifs de développement durable (ODD) et que l’Assemblée générale des Nations Unies a approuvé la résolution </w:t>
      </w:r>
      <w:r w:rsidR="00DB2020" w:rsidRPr="00214DD5">
        <w:rPr>
          <w:rFonts w:asciiTheme="minorHAnsi" w:hAnsiTheme="minorHAnsi" w:cstheme="minorHAnsi"/>
          <w:lang w:val="fr-CH" w:eastAsia="ko-KR"/>
        </w:rPr>
        <w:t>A/</w:t>
      </w:r>
      <w:r w:rsidR="00D741C0" w:rsidRPr="00214DD5">
        <w:rPr>
          <w:rFonts w:asciiTheme="minorHAnsi" w:hAnsiTheme="minorHAnsi" w:cstheme="minorHAnsi"/>
          <w:lang w:val="fr-CH" w:eastAsia="ko-KR"/>
        </w:rPr>
        <w:t>RES</w:t>
      </w:r>
      <w:r w:rsidR="00DB2020" w:rsidRPr="00214DD5">
        <w:rPr>
          <w:rFonts w:asciiTheme="minorHAnsi" w:hAnsiTheme="minorHAnsi" w:cstheme="minorHAnsi"/>
          <w:lang w:val="fr-CH" w:eastAsia="ko-KR"/>
        </w:rPr>
        <w:t>/74/</w:t>
      </w:r>
      <w:r w:rsidR="00D741C0" w:rsidRPr="00214DD5">
        <w:rPr>
          <w:rFonts w:asciiTheme="minorHAnsi" w:hAnsiTheme="minorHAnsi" w:cstheme="minorHAnsi"/>
          <w:lang w:val="fr-CH" w:eastAsia="ko-KR"/>
        </w:rPr>
        <w:t>223</w:t>
      </w:r>
      <w:r w:rsidR="00DB2020" w:rsidRPr="0020764F">
        <w:rPr>
          <w:rFonts w:asciiTheme="minorHAnsi" w:hAnsiTheme="minorHAnsi" w:cstheme="minorHAnsi"/>
          <w:lang w:val="fr-CH" w:eastAsia="ko-KR"/>
        </w:rPr>
        <w:t xml:space="preserve"> </w:t>
      </w:r>
      <w:r w:rsidR="00D741C0" w:rsidRPr="00214DD5">
        <w:rPr>
          <w:rFonts w:asciiTheme="minorHAnsi" w:hAnsiTheme="minorHAnsi" w:cstheme="minorHAnsi"/>
          <w:lang w:val="fr-CH" w:eastAsia="ko-KR"/>
        </w:rPr>
        <w:t>« L’éducation au service du développement durable dans le cadre du Programme de développement durable à l’horizon 2030 »</w:t>
      </w:r>
      <w:r w:rsidR="00A34232">
        <w:rPr>
          <w:rFonts w:asciiTheme="minorHAnsi" w:hAnsiTheme="minorHAnsi" w:cstheme="minorHAnsi"/>
          <w:lang w:val="fr-CH" w:eastAsia="ko-KR"/>
        </w:rPr>
        <w:t xml:space="preserve"> </w:t>
      </w:r>
      <w:r w:rsidR="00DB2020" w:rsidRPr="00214DD5">
        <w:rPr>
          <w:rFonts w:asciiTheme="minorHAnsi" w:hAnsiTheme="minorHAnsi" w:cstheme="minorHAnsi"/>
          <w:lang w:val="fr-CH" w:eastAsia="ko-KR"/>
        </w:rPr>
        <w:t>;</w:t>
      </w:r>
    </w:p>
    <w:p w14:paraId="4D075C8B" w14:textId="77777777" w:rsidR="00DB2020" w:rsidRPr="0020764F" w:rsidRDefault="00DB2020" w:rsidP="00441F06">
      <w:pPr>
        <w:pStyle w:val="ListParagraph"/>
        <w:ind w:left="425"/>
        <w:rPr>
          <w:rFonts w:asciiTheme="minorHAnsi" w:hAnsiTheme="minorHAnsi" w:cstheme="minorHAnsi"/>
          <w:lang w:val="fr-CH"/>
        </w:rPr>
      </w:pPr>
    </w:p>
    <w:p w14:paraId="2E762114" w14:textId="292E74B5" w:rsidR="00DB2020" w:rsidRPr="0020764F" w:rsidRDefault="00441F06" w:rsidP="00441F06">
      <w:pPr>
        <w:rPr>
          <w:rFonts w:asciiTheme="minorHAnsi" w:hAnsiTheme="minorHAnsi" w:cstheme="minorHAnsi"/>
          <w:lang w:val="fr-CH"/>
        </w:rPr>
      </w:pPr>
      <w:r w:rsidRPr="0020764F">
        <w:rPr>
          <w:rFonts w:asciiTheme="minorHAnsi" w:hAnsiTheme="minorHAnsi" w:cstheme="minorHAnsi"/>
          <w:lang w:val="fr-CH"/>
        </w:rPr>
        <w:t>7.</w:t>
      </w:r>
      <w:r w:rsidRPr="0020764F">
        <w:rPr>
          <w:rFonts w:asciiTheme="minorHAnsi" w:hAnsiTheme="minorHAnsi" w:cstheme="minorHAnsi"/>
          <w:lang w:val="fr-CH"/>
        </w:rPr>
        <w:tab/>
      </w:r>
      <w:r w:rsidR="0088274F">
        <w:rPr>
          <w:rFonts w:asciiTheme="minorHAnsi" w:hAnsiTheme="minorHAnsi" w:cstheme="minorHAnsi"/>
          <w:lang w:val="fr-CH"/>
        </w:rPr>
        <w:t>SACHANT EN OUTRE que l’</w:t>
      </w:r>
      <w:r w:rsidR="00DB2020" w:rsidRPr="0020764F">
        <w:rPr>
          <w:rFonts w:asciiTheme="minorHAnsi" w:hAnsiTheme="minorHAnsi" w:cstheme="minorHAnsi"/>
          <w:lang w:val="fr-CH"/>
        </w:rPr>
        <w:t xml:space="preserve">UNESCO </w:t>
      </w:r>
      <w:r w:rsidR="00214DD5">
        <w:rPr>
          <w:rFonts w:asciiTheme="minorHAnsi" w:hAnsiTheme="minorHAnsi" w:cstheme="minorHAnsi"/>
          <w:lang w:val="fr-CH"/>
        </w:rPr>
        <w:t>appelle actuellement</w:t>
      </w:r>
      <w:r w:rsidR="0088274F">
        <w:rPr>
          <w:rFonts w:asciiTheme="minorHAnsi" w:hAnsiTheme="minorHAnsi" w:cstheme="minorHAnsi"/>
          <w:lang w:val="fr-CH"/>
        </w:rPr>
        <w:t xml:space="preserve"> ses États Membres et autres acteurs</w:t>
      </w:r>
      <w:r w:rsidR="00214DD5">
        <w:rPr>
          <w:rFonts w:asciiTheme="minorHAnsi" w:hAnsiTheme="minorHAnsi" w:cstheme="minorHAnsi"/>
          <w:lang w:val="fr-CH"/>
        </w:rPr>
        <w:t xml:space="preserve"> à contribuer à la rédaction de</w:t>
      </w:r>
      <w:r w:rsidR="0088274F">
        <w:rPr>
          <w:rFonts w:asciiTheme="minorHAnsi" w:hAnsiTheme="minorHAnsi" w:cstheme="minorHAnsi"/>
          <w:lang w:val="fr-CH"/>
        </w:rPr>
        <w:t xml:space="preserve"> la </w:t>
      </w:r>
      <w:r w:rsidR="0088274F" w:rsidRPr="00A34232">
        <w:rPr>
          <w:rFonts w:asciiTheme="minorHAnsi" w:hAnsiTheme="minorHAnsi" w:cstheme="minorHAnsi"/>
          <w:lang w:val="fr-CH"/>
        </w:rPr>
        <w:t xml:space="preserve">nouvelle </w:t>
      </w:r>
      <w:r w:rsidR="00A95812" w:rsidRPr="00A34232">
        <w:rPr>
          <w:rFonts w:asciiTheme="minorHAnsi" w:hAnsiTheme="minorHAnsi" w:cstheme="minorHAnsi"/>
          <w:lang w:val="fr-CH"/>
        </w:rPr>
        <w:t>f</w:t>
      </w:r>
      <w:r w:rsidR="0088274F" w:rsidRPr="00A34232">
        <w:rPr>
          <w:rFonts w:asciiTheme="minorHAnsi" w:hAnsiTheme="minorHAnsi" w:cstheme="minorHAnsi"/>
          <w:lang w:val="fr-CH"/>
        </w:rPr>
        <w:t>euille de route de l’</w:t>
      </w:r>
      <w:r w:rsidR="00A34232" w:rsidRPr="00A34232">
        <w:rPr>
          <w:rFonts w:asciiTheme="minorHAnsi" w:hAnsiTheme="minorHAnsi" w:cstheme="minorHAnsi"/>
          <w:lang w:val="fr-CH"/>
        </w:rPr>
        <w:t>é</w:t>
      </w:r>
      <w:r w:rsidR="0088274F" w:rsidRPr="00A34232">
        <w:rPr>
          <w:rFonts w:asciiTheme="minorHAnsi" w:hAnsiTheme="minorHAnsi" w:cstheme="minorHAnsi"/>
          <w:lang w:val="fr-CH"/>
        </w:rPr>
        <w:t>ducation</w:t>
      </w:r>
      <w:r w:rsidR="009D015A" w:rsidRPr="00A34232">
        <w:rPr>
          <w:rFonts w:asciiTheme="minorHAnsi" w:hAnsiTheme="minorHAnsi" w:cstheme="minorHAnsi"/>
          <w:lang w:val="fr-CH"/>
        </w:rPr>
        <w:t xml:space="preserve"> </w:t>
      </w:r>
      <w:r w:rsidR="00A34232" w:rsidRPr="00A34232">
        <w:rPr>
          <w:rFonts w:asciiTheme="minorHAnsi" w:hAnsiTheme="minorHAnsi" w:cstheme="minorHAnsi"/>
          <w:lang w:val="fr-CH"/>
        </w:rPr>
        <w:t>au</w:t>
      </w:r>
      <w:r w:rsidR="0088274F" w:rsidRPr="00A34232">
        <w:rPr>
          <w:rFonts w:asciiTheme="minorHAnsi" w:hAnsiTheme="minorHAnsi" w:cstheme="minorHAnsi"/>
          <w:lang w:val="fr-CH"/>
        </w:rPr>
        <w:t xml:space="preserve"> développement durable pour 2030,</w:t>
      </w:r>
      <w:r w:rsidR="0088274F">
        <w:rPr>
          <w:rFonts w:asciiTheme="minorHAnsi" w:hAnsiTheme="minorHAnsi" w:cstheme="minorHAnsi"/>
          <w:lang w:val="fr-CH"/>
        </w:rPr>
        <w:t xml:space="preserve"> </w:t>
      </w:r>
      <w:r w:rsidR="00214DD5">
        <w:rPr>
          <w:rFonts w:asciiTheme="minorHAnsi" w:hAnsiTheme="minorHAnsi" w:cstheme="minorHAnsi"/>
          <w:lang w:val="fr-CH"/>
        </w:rPr>
        <w:t>dans le but de</w:t>
      </w:r>
      <w:r w:rsidR="0088274F">
        <w:rPr>
          <w:rFonts w:asciiTheme="minorHAnsi" w:hAnsiTheme="minorHAnsi" w:cstheme="minorHAnsi"/>
          <w:lang w:val="fr-CH"/>
        </w:rPr>
        <w:t xml:space="preserve"> fournir des </w:t>
      </w:r>
      <w:r w:rsidR="009D015A">
        <w:rPr>
          <w:rFonts w:asciiTheme="minorHAnsi" w:hAnsiTheme="minorHAnsi" w:cstheme="minorHAnsi"/>
          <w:lang w:val="fr-CH"/>
        </w:rPr>
        <w:t>orientation</w:t>
      </w:r>
      <w:r w:rsidR="00DB2020" w:rsidRPr="0020764F">
        <w:rPr>
          <w:rFonts w:asciiTheme="minorHAnsi" w:hAnsiTheme="minorHAnsi" w:cstheme="minorHAnsi"/>
          <w:lang w:val="fr-CH"/>
        </w:rPr>
        <w:t xml:space="preserve">s </w:t>
      </w:r>
      <w:r w:rsidR="009D015A">
        <w:rPr>
          <w:rFonts w:asciiTheme="minorHAnsi" w:hAnsiTheme="minorHAnsi" w:cstheme="minorHAnsi"/>
          <w:lang w:val="fr-CH"/>
        </w:rPr>
        <w:t xml:space="preserve">aux États Membres et autres acteurs en vue de la mise en œuvre du nouveau cadre mondial intitulé </w:t>
      </w:r>
      <w:r w:rsidR="009D015A" w:rsidRPr="00A34232">
        <w:rPr>
          <w:rFonts w:asciiTheme="minorHAnsi" w:hAnsiTheme="minorHAnsi" w:cstheme="minorHAnsi"/>
          <w:lang w:val="fr-CH"/>
        </w:rPr>
        <w:t>« </w:t>
      </w:r>
      <w:r w:rsidR="00A34232" w:rsidRPr="00A34232">
        <w:rPr>
          <w:rFonts w:asciiTheme="minorHAnsi" w:hAnsiTheme="minorHAnsi" w:cstheme="minorHAnsi"/>
          <w:lang w:val="fr-CH"/>
        </w:rPr>
        <w:t>L’éducation en vue du développement durable : vers la réalisation des ODD »</w:t>
      </w:r>
      <w:r w:rsidR="00A34232">
        <w:rPr>
          <w:rFonts w:asciiTheme="minorHAnsi" w:hAnsiTheme="minorHAnsi" w:cstheme="minorHAnsi"/>
          <w:lang w:val="fr-CH"/>
        </w:rPr>
        <w:t xml:space="preserve"> </w:t>
      </w:r>
      <w:r w:rsidR="00DB2020" w:rsidRPr="0020764F">
        <w:rPr>
          <w:rFonts w:asciiTheme="minorHAnsi" w:hAnsiTheme="minorHAnsi" w:cstheme="minorHAnsi"/>
          <w:lang w:val="fr-CH"/>
        </w:rPr>
        <w:t xml:space="preserve">; </w:t>
      </w:r>
    </w:p>
    <w:p w14:paraId="04DFDB47" w14:textId="77777777" w:rsidR="00DB2020" w:rsidRPr="0020764F" w:rsidRDefault="00DB2020" w:rsidP="00441F06">
      <w:pPr>
        <w:pStyle w:val="ListParagraph"/>
        <w:ind w:left="425"/>
        <w:rPr>
          <w:rFonts w:asciiTheme="minorHAnsi" w:hAnsiTheme="minorHAnsi" w:cstheme="minorHAnsi"/>
          <w:lang w:val="fr-CH"/>
        </w:rPr>
      </w:pPr>
    </w:p>
    <w:p w14:paraId="1AEBF28F" w14:textId="1EF26A2A" w:rsidR="00DB2020" w:rsidRPr="0020764F" w:rsidRDefault="00441F06" w:rsidP="00441F06">
      <w:pPr>
        <w:rPr>
          <w:rFonts w:asciiTheme="minorHAnsi" w:hAnsiTheme="minorHAnsi" w:cstheme="minorHAnsi"/>
          <w:lang w:val="fr-CH"/>
        </w:rPr>
      </w:pPr>
      <w:r w:rsidRPr="0020764F">
        <w:rPr>
          <w:rFonts w:asciiTheme="minorHAnsi" w:hAnsiTheme="minorHAnsi" w:cstheme="minorHAnsi"/>
          <w:lang w:val="fr-CH"/>
        </w:rPr>
        <w:t>8.</w:t>
      </w:r>
      <w:r w:rsidRPr="0020764F">
        <w:rPr>
          <w:rFonts w:asciiTheme="minorHAnsi" w:hAnsiTheme="minorHAnsi" w:cstheme="minorHAnsi"/>
          <w:lang w:val="fr-CH"/>
        </w:rPr>
        <w:tab/>
      </w:r>
      <w:r w:rsidR="009D015A">
        <w:rPr>
          <w:rFonts w:asciiTheme="minorHAnsi" w:hAnsiTheme="minorHAnsi" w:cstheme="minorHAnsi"/>
          <w:lang w:val="fr-CH"/>
        </w:rPr>
        <w:t xml:space="preserve">FÉLICITANT les Parties contractantes qui ont réagi aux recommandations des Programmes de CESP passés et qui ont investi dans </w:t>
      </w:r>
      <w:bookmarkStart w:id="1" w:name="_Hlk72054233"/>
      <w:r w:rsidR="00F749AE">
        <w:rPr>
          <w:rFonts w:asciiTheme="minorHAnsi" w:hAnsiTheme="minorHAnsi" w:cstheme="minorHAnsi"/>
          <w:lang w:val="fr-CH"/>
        </w:rPr>
        <w:t>des supports</w:t>
      </w:r>
      <w:r w:rsidR="009D015A">
        <w:rPr>
          <w:rFonts w:asciiTheme="minorHAnsi" w:hAnsiTheme="minorHAnsi" w:cstheme="minorHAnsi"/>
          <w:lang w:val="fr-CH"/>
        </w:rPr>
        <w:t xml:space="preserve"> </w:t>
      </w:r>
      <w:r w:rsidR="00D72181">
        <w:rPr>
          <w:rFonts w:asciiTheme="minorHAnsi" w:hAnsiTheme="minorHAnsi" w:cstheme="minorHAnsi"/>
          <w:lang w:val="fr-CH"/>
        </w:rPr>
        <w:t xml:space="preserve">et des programmes </w:t>
      </w:r>
      <w:r w:rsidR="009D015A">
        <w:rPr>
          <w:rFonts w:asciiTheme="minorHAnsi" w:hAnsiTheme="minorHAnsi" w:cstheme="minorHAnsi"/>
          <w:lang w:val="fr-CH"/>
        </w:rPr>
        <w:t>pédagogique</w:t>
      </w:r>
      <w:r w:rsidR="00CE51C1">
        <w:rPr>
          <w:rFonts w:asciiTheme="minorHAnsi" w:hAnsiTheme="minorHAnsi" w:cstheme="minorHAnsi"/>
          <w:lang w:val="fr-CH"/>
        </w:rPr>
        <w:t>s</w:t>
      </w:r>
      <w:r w:rsidR="009D015A">
        <w:rPr>
          <w:rFonts w:asciiTheme="minorHAnsi" w:hAnsiTheme="minorHAnsi" w:cstheme="minorHAnsi"/>
          <w:lang w:val="fr-CH"/>
        </w:rPr>
        <w:t xml:space="preserve"> sur les zones humides, </w:t>
      </w:r>
      <w:r w:rsidR="00D72181">
        <w:rPr>
          <w:rFonts w:asciiTheme="minorHAnsi" w:hAnsiTheme="minorHAnsi" w:cstheme="minorHAnsi"/>
          <w:lang w:val="fr-CH"/>
        </w:rPr>
        <w:t>ou des programmes d’enseignement officiel</w:t>
      </w:r>
      <w:bookmarkEnd w:id="1"/>
      <w:r w:rsidR="009D015A">
        <w:rPr>
          <w:rFonts w:asciiTheme="minorHAnsi" w:hAnsiTheme="minorHAnsi" w:cstheme="minorHAnsi"/>
          <w:lang w:val="fr-CH"/>
        </w:rPr>
        <w:t xml:space="preserve"> en appui à la mise en œuvre de la Convention de Ramsar ; </w:t>
      </w:r>
    </w:p>
    <w:p w14:paraId="68C52187" w14:textId="77777777" w:rsidR="00DB2020" w:rsidRPr="0020764F" w:rsidRDefault="00DB2020" w:rsidP="00441F06">
      <w:pPr>
        <w:pStyle w:val="ListParagraph"/>
        <w:ind w:left="425"/>
        <w:rPr>
          <w:rFonts w:asciiTheme="minorHAnsi" w:hAnsiTheme="minorHAnsi" w:cstheme="minorHAnsi"/>
          <w:lang w:val="fr-CH"/>
        </w:rPr>
      </w:pPr>
    </w:p>
    <w:p w14:paraId="6B920C6D" w14:textId="4B490A78" w:rsidR="00E27717" w:rsidRPr="0020764F" w:rsidRDefault="00441F06" w:rsidP="00441F06">
      <w:pPr>
        <w:rPr>
          <w:rFonts w:asciiTheme="minorHAnsi" w:hAnsiTheme="minorHAnsi" w:cstheme="minorHAnsi"/>
          <w:lang w:val="fr-CH"/>
        </w:rPr>
      </w:pPr>
      <w:r w:rsidRPr="0020764F">
        <w:rPr>
          <w:rFonts w:asciiTheme="minorHAnsi" w:hAnsiTheme="minorHAnsi" w:cstheme="minorHAnsi"/>
          <w:lang w:val="fr-CH"/>
        </w:rPr>
        <w:t>9.</w:t>
      </w:r>
      <w:r w:rsidRPr="0020764F">
        <w:rPr>
          <w:rFonts w:asciiTheme="minorHAnsi" w:hAnsiTheme="minorHAnsi" w:cstheme="minorHAnsi"/>
          <w:lang w:val="fr-CH"/>
        </w:rPr>
        <w:tab/>
      </w:r>
      <w:r w:rsidR="00DB2020" w:rsidRPr="0020764F">
        <w:rPr>
          <w:rFonts w:asciiTheme="minorHAnsi" w:hAnsiTheme="minorHAnsi" w:cstheme="minorHAnsi"/>
          <w:lang w:val="fr-CH"/>
        </w:rPr>
        <w:t>EXPR</w:t>
      </w:r>
      <w:r w:rsidR="009D015A">
        <w:rPr>
          <w:rFonts w:asciiTheme="minorHAnsi" w:hAnsiTheme="minorHAnsi" w:cstheme="minorHAnsi"/>
          <w:lang w:val="fr-CH"/>
        </w:rPr>
        <w:t>IMANT SA GRATITUDE</w:t>
      </w:r>
      <w:r w:rsidR="00DB2020" w:rsidRPr="0020764F">
        <w:rPr>
          <w:rFonts w:asciiTheme="minorHAnsi" w:hAnsiTheme="minorHAnsi" w:cstheme="minorHAnsi"/>
          <w:lang w:val="fr-CH"/>
        </w:rPr>
        <w:t xml:space="preserve"> </w:t>
      </w:r>
      <w:r w:rsidR="009D015A">
        <w:rPr>
          <w:rFonts w:asciiTheme="minorHAnsi" w:hAnsiTheme="minorHAnsi" w:cstheme="minorHAnsi"/>
          <w:lang w:val="fr-CH"/>
        </w:rPr>
        <w:t xml:space="preserve">aux Parties contractantes et à </w:t>
      </w:r>
      <w:r w:rsidR="004E5A57" w:rsidRPr="0020764F">
        <w:rPr>
          <w:rFonts w:asciiTheme="minorHAnsi" w:hAnsiTheme="minorHAnsi" w:cstheme="minorHAnsi"/>
          <w:lang w:val="fr-CH"/>
        </w:rPr>
        <w:t xml:space="preserve">Wetland Link International (WLI) </w:t>
      </w:r>
      <w:r w:rsidR="009D015A">
        <w:rPr>
          <w:rFonts w:asciiTheme="minorHAnsi" w:hAnsiTheme="minorHAnsi" w:cstheme="minorHAnsi"/>
          <w:lang w:val="fr-CH"/>
        </w:rPr>
        <w:t xml:space="preserve">qui ont soutenu l’expansion mondiale de centres pour les zones humides et de parcs de zones humides qui servent de plateformes pour l’éducation aux zones humides et qui apportent des services précieux au secteur </w:t>
      </w:r>
      <w:r w:rsidR="00D72181">
        <w:rPr>
          <w:rFonts w:asciiTheme="minorHAnsi" w:hAnsiTheme="minorHAnsi" w:cstheme="minorHAnsi"/>
          <w:lang w:val="fr-CH"/>
        </w:rPr>
        <w:t>de l’enseignement officiel</w:t>
      </w:r>
      <w:r w:rsidR="009D015A">
        <w:rPr>
          <w:rFonts w:asciiTheme="minorHAnsi" w:hAnsiTheme="minorHAnsi" w:cstheme="minorHAnsi"/>
          <w:lang w:val="fr-CH"/>
        </w:rPr>
        <w:t>, aussi bien dans les sites de zones humides que dans les écoles ;</w:t>
      </w:r>
    </w:p>
    <w:p w14:paraId="78854F99" w14:textId="77777777" w:rsidR="00E27717" w:rsidRPr="004D4B47" w:rsidRDefault="00E27717" w:rsidP="00441F06">
      <w:pPr>
        <w:pStyle w:val="ListParagraph"/>
        <w:ind w:left="425"/>
        <w:rPr>
          <w:rFonts w:asciiTheme="minorHAnsi" w:hAnsiTheme="minorHAnsi" w:cstheme="minorHAnsi"/>
          <w:lang w:val="fr-FR"/>
        </w:rPr>
      </w:pPr>
    </w:p>
    <w:p w14:paraId="26BB088C" w14:textId="70A19BC5" w:rsidR="00DB2020" w:rsidRPr="009D015A" w:rsidRDefault="00441F06" w:rsidP="00441F06">
      <w:pPr>
        <w:rPr>
          <w:rFonts w:asciiTheme="minorHAnsi" w:hAnsiTheme="minorHAnsi" w:cstheme="minorHAnsi"/>
          <w:lang w:val="fr-CH"/>
        </w:rPr>
      </w:pPr>
      <w:r w:rsidRPr="009D015A">
        <w:rPr>
          <w:rFonts w:asciiTheme="minorHAnsi" w:hAnsiTheme="minorHAnsi" w:cstheme="minorHAnsi"/>
          <w:lang w:val="fr-CH"/>
        </w:rPr>
        <w:lastRenderedPageBreak/>
        <w:t>10.</w:t>
      </w:r>
      <w:r w:rsidRPr="009D015A">
        <w:rPr>
          <w:rFonts w:asciiTheme="minorHAnsi" w:hAnsiTheme="minorHAnsi" w:cstheme="minorHAnsi"/>
          <w:lang w:val="fr-CH"/>
        </w:rPr>
        <w:tab/>
      </w:r>
      <w:r w:rsidR="00100B61" w:rsidRPr="009D015A">
        <w:rPr>
          <w:rFonts w:asciiTheme="minorHAnsi" w:hAnsiTheme="minorHAnsi" w:cstheme="minorHAnsi"/>
          <w:lang w:val="fr-CH"/>
        </w:rPr>
        <w:t>RECO</w:t>
      </w:r>
      <w:r w:rsidR="009D015A" w:rsidRPr="009D015A">
        <w:rPr>
          <w:rFonts w:asciiTheme="minorHAnsi" w:hAnsiTheme="minorHAnsi" w:cstheme="minorHAnsi"/>
          <w:lang w:val="fr-CH"/>
        </w:rPr>
        <w:t>NNAISSANT que</w:t>
      </w:r>
      <w:r w:rsidR="009D015A">
        <w:rPr>
          <w:rFonts w:asciiTheme="minorHAnsi" w:hAnsiTheme="minorHAnsi" w:cstheme="minorHAnsi"/>
          <w:lang w:val="fr-CH"/>
        </w:rPr>
        <w:t>,</w:t>
      </w:r>
      <w:r w:rsidR="009D015A" w:rsidRPr="009D015A">
        <w:rPr>
          <w:rFonts w:asciiTheme="minorHAnsi" w:hAnsiTheme="minorHAnsi" w:cstheme="minorHAnsi"/>
          <w:lang w:val="fr-CH"/>
        </w:rPr>
        <w:t xml:space="preserve"> si de nombreuses Parties </w:t>
      </w:r>
      <w:r w:rsidR="009D015A">
        <w:rPr>
          <w:rFonts w:asciiTheme="minorHAnsi" w:hAnsiTheme="minorHAnsi" w:cstheme="minorHAnsi"/>
          <w:lang w:val="fr-CH"/>
        </w:rPr>
        <w:t xml:space="preserve">contractantes ont des plans d’action et des programmes de CESP tenant compte de l’éducation aux zones humides, il convient d’examiner de plus près </w:t>
      </w:r>
      <w:r w:rsidR="00D72181">
        <w:rPr>
          <w:rFonts w:asciiTheme="minorHAnsi" w:hAnsiTheme="minorHAnsi" w:cstheme="minorHAnsi"/>
          <w:lang w:val="fr-CH"/>
        </w:rPr>
        <w:t>les moyens de promouvoir efficacement les</w:t>
      </w:r>
      <w:r w:rsidR="009D015A">
        <w:rPr>
          <w:rFonts w:asciiTheme="minorHAnsi" w:hAnsiTheme="minorHAnsi" w:cstheme="minorHAnsi"/>
          <w:lang w:val="fr-CH"/>
        </w:rPr>
        <w:t xml:space="preserve"> zones humides dans </w:t>
      </w:r>
      <w:r w:rsidR="00D72181">
        <w:rPr>
          <w:rFonts w:asciiTheme="minorHAnsi" w:hAnsiTheme="minorHAnsi" w:cstheme="minorHAnsi"/>
          <w:lang w:val="fr-CH"/>
        </w:rPr>
        <w:t xml:space="preserve">l’enseignement officiel </w:t>
      </w:r>
      <w:r w:rsidR="009D015A">
        <w:rPr>
          <w:rFonts w:asciiTheme="minorHAnsi" w:hAnsiTheme="minorHAnsi" w:cstheme="minorHAnsi"/>
          <w:lang w:val="fr-CH"/>
        </w:rPr>
        <w:t>;</w:t>
      </w:r>
    </w:p>
    <w:p w14:paraId="20E42388" w14:textId="77777777" w:rsidR="00DB2020" w:rsidRPr="009D015A" w:rsidRDefault="00DB2020" w:rsidP="00441F06">
      <w:pPr>
        <w:rPr>
          <w:rFonts w:asciiTheme="minorHAnsi" w:hAnsiTheme="minorHAnsi" w:cstheme="minorHAnsi"/>
          <w:lang w:val="fr-CH"/>
        </w:rPr>
      </w:pPr>
    </w:p>
    <w:p w14:paraId="6B33E49B" w14:textId="17B8DBAB" w:rsidR="00DB2020"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11.</w:t>
      </w:r>
      <w:r w:rsidRPr="009D015A">
        <w:rPr>
          <w:rFonts w:asciiTheme="minorHAnsi" w:hAnsiTheme="minorHAnsi" w:cstheme="minorHAnsi"/>
          <w:lang w:val="fr-CH"/>
        </w:rPr>
        <w:tab/>
      </w:r>
      <w:r w:rsidR="00DB2020" w:rsidRPr="009D015A">
        <w:rPr>
          <w:rFonts w:asciiTheme="minorHAnsi" w:hAnsiTheme="minorHAnsi" w:cstheme="minorHAnsi"/>
          <w:lang w:val="fr-CH"/>
        </w:rPr>
        <w:t>RECO</w:t>
      </w:r>
      <w:r w:rsidR="009D015A">
        <w:rPr>
          <w:rFonts w:asciiTheme="minorHAnsi" w:hAnsiTheme="minorHAnsi" w:cstheme="minorHAnsi"/>
          <w:lang w:val="fr-CH"/>
        </w:rPr>
        <w:t>NNAISSANT</w:t>
      </w:r>
      <w:r w:rsidR="00DB2020" w:rsidRPr="009D015A">
        <w:rPr>
          <w:rFonts w:asciiTheme="minorHAnsi" w:hAnsiTheme="minorHAnsi" w:cstheme="minorHAnsi"/>
          <w:lang w:val="fr-CH"/>
        </w:rPr>
        <w:t xml:space="preserve"> </w:t>
      </w:r>
      <w:r w:rsidR="009D015A">
        <w:rPr>
          <w:rFonts w:asciiTheme="minorHAnsi" w:hAnsiTheme="minorHAnsi" w:cstheme="minorHAnsi"/>
          <w:lang w:val="fr-CH"/>
        </w:rPr>
        <w:t xml:space="preserve">que la responsabilité </w:t>
      </w:r>
      <w:r w:rsidR="00D72181">
        <w:rPr>
          <w:rFonts w:asciiTheme="minorHAnsi" w:hAnsiTheme="minorHAnsi" w:cstheme="minorHAnsi"/>
          <w:lang w:val="fr-CH"/>
        </w:rPr>
        <w:t>relative à</w:t>
      </w:r>
      <w:r w:rsidR="009D015A">
        <w:rPr>
          <w:rFonts w:asciiTheme="minorHAnsi" w:hAnsiTheme="minorHAnsi" w:cstheme="minorHAnsi"/>
          <w:lang w:val="fr-CH"/>
        </w:rPr>
        <w:t xml:space="preserve"> </w:t>
      </w:r>
      <w:r w:rsidR="00D72181">
        <w:rPr>
          <w:rFonts w:asciiTheme="minorHAnsi" w:hAnsiTheme="minorHAnsi" w:cstheme="minorHAnsi"/>
          <w:lang w:val="fr-CH"/>
        </w:rPr>
        <w:t xml:space="preserve">l’enseignement officiel </w:t>
      </w:r>
      <w:r w:rsidR="009D015A">
        <w:rPr>
          <w:rFonts w:asciiTheme="minorHAnsi" w:hAnsiTheme="minorHAnsi" w:cstheme="minorHAnsi"/>
          <w:lang w:val="fr-CH"/>
        </w:rPr>
        <w:t>n’est pas uniforme à l’échelle des juridictions nationales</w:t>
      </w:r>
      <w:r w:rsidR="00D72181">
        <w:rPr>
          <w:rFonts w:asciiTheme="minorHAnsi" w:hAnsiTheme="minorHAnsi" w:cstheme="minorHAnsi"/>
          <w:lang w:val="fr-CH"/>
        </w:rPr>
        <w:t>,</w:t>
      </w:r>
      <w:r w:rsidR="009D015A">
        <w:rPr>
          <w:rFonts w:asciiTheme="minorHAnsi" w:hAnsiTheme="minorHAnsi" w:cstheme="minorHAnsi"/>
          <w:lang w:val="fr-CH"/>
        </w:rPr>
        <w:t xml:space="preserve"> </w:t>
      </w:r>
      <w:r w:rsidR="00D72181">
        <w:rPr>
          <w:rFonts w:asciiTheme="minorHAnsi" w:hAnsiTheme="minorHAnsi" w:cstheme="minorHAnsi"/>
          <w:lang w:val="fr-CH"/>
        </w:rPr>
        <w:t xml:space="preserve">que l’enseignement scolaire n’est pas dispensé partout de la même </w:t>
      </w:r>
      <w:r w:rsidR="002C2F8D">
        <w:rPr>
          <w:rFonts w:asciiTheme="minorHAnsi" w:hAnsiTheme="minorHAnsi" w:cstheme="minorHAnsi"/>
          <w:lang w:val="fr-CH"/>
        </w:rPr>
        <w:t>façon</w:t>
      </w:r>
      <w:r w:rsidR="00D72181">
        <w:rPr>
          <w:rFonts w:asciiTheme="minorHAnsi" w:hAnsiTheme="minorHAnsi" w:cstheme="minorHAnsi"/>
          <w:lang w:val="fr-CH"/>
        </w:rPr>
        <w:t xml:space="preserve"> </w:t>
      </w:r>
      <w:r w:rsidR="009D015A">
        <w:rPr>
          <w:rFonts w:asciiTheme="minorHAnsi" w:hAnsiTheme="minorHAnsi" w:cstheme="minorHAnsi"/>
          <w:lang w:val="fr-CH"/>
        </w:rPr>
        <w:t xml:space="preserve">et </w:t>
      </w:r>
      <w:r w:rsidR="00D72181">
        <w:rPr>
          <w:rFonts w:asciiTheme="minorHAnsi" w:hAnsiTheme="minorHAnsi" w:cstheme="minorHAnsi"/>
          <w:lang w:val="fr-CH"/>
        </w:rPr>
        <w:t xml:space="preserve">que les Parties contractantes introduisent ou imposent les </w:t>
      </w:r>
      <w:r w:rsidR="009D015A">
        <w:rPr>
          <w:rFonts w:asciiTheme="minorHAnsi" w:hAnsiTheme="minorHAnsi" w:cstheme="minorHAnsi"/>
          <w:lang w:val="fr-CH"/>
        </w:rPr>
        <w:t>programmes</w:t>
      </w:r>
      <w:r w:rsidR="00D72181">
        <w:rPr>
          <w:rFonts w:asciiTheme="minorHAnsi" w:hAnsiTheme="minorHAnsi" w:cstheme="minorHAnsi"/>
          <w:lang w:val="fr-CH"/>
        </w:rPr>
        <w:t xml:space="preserve"> scolaires</w:t>
      </w:r>
      <w:r w:rsidR="002C2F8D">
        <w:rPr>
          <w:rFonts w:asciiTheme="minorHAnsi" w:hAnsiTheme="minorHAnsi" w:cstheme="minorHAnsi"/>
          <w:lang w:val="fr-CH"/>
        </w:rPr>
        <w:t xml:space="preserve"> de différentes manières</w:t>
      </w:r>
      <w:r w:rsidR="009D015A">
        <w:rPr>
          <w:rFonts w:asciiTheme="minorHAnsi" w:hAnsiTheme="minorHAnsi" w:cstheme="minorHAnsi"/>
          <w:lang w:val="fr-CH"/>
        </w:rPr>
        <w:t> ;</w:t>
      </w:r>
    </w:p>
    <w:p w14:paraId="40D60419" w14:textId="77777777" w:rsidR="00DB2020" w:rsidRPr="009D015A" w:rsidRDefault="00DB2020" w:rsidP="00441F06">
      <w:pPr>
        <w:rPr>
          <w:rFonts w:asciiTheme="minorHAnsi" w:hAnsiTheme="minorHAnsi" w:cstheme="minorHAnsi"/>
          <w:lang w:val="fr-CH"/>
        </w:rPr>
      </w:pPr>
    </w:p>
    <w:p w14:paraId="6D67FB3C" w14:textId="6E1F4196" w:rsidR="00DB2020"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12.</w:t>
      </w:r>
      <w:r w:rsidRPr="009D015A">
        <w:rPr>
          <w:rFonts w:asciiTheme="minorHAnsi" w:hAnsiTheme="minorHAnsi" w:cstheme="minorHAnsi"/>
          <w:lang w:val="fr-CH"/>
        </w:rPr>
        <w:tab/>
      </w:r>
      <w:r w:rsidR="00D72181">
        <w:rPr>
          <w:rFonts w:asciiTheme="minorHAnsi" w:hAnsiTheme="minorHAnsi" w:cstheme="minorHAnsi"/>
          <w:lang w:val="fr-CH"/>
        </w:rPr>
        <w:t>SACHANT</w:t>
      </w:r>
      <w:r w:rsidR="009D015A">
        <w:rPr>
          <w:rFonts w:asciiTheme="minorHAnsi" w:hAnsiTheme="minorHAnsi" w:cstheme="minorHAnsi"/>
          <w:lang w:val="fr-CH"/>
        </w:rPr>
        <w:t xml:space="preserve"> que l’éducation axée sur l’environnement dans </w:t>
      </w:r>
      <w:r w:rsidR="00DF5775">
        <w:rPr>
          <w:rFonts w:asciiTheme="minorHAnsi" w:hAnsiTheme="minorHAnsi" w:cstheme="minorHAnsi"/>
          <w:lang w:val="fr-CH"/>
        </w:rPr>
        <w:t>le système scolaire</w:t>
      </w:r>
      <w:r w:rsidR="009D015A">
        <w:rPr>
          <w:rFonts w:asciiTheme="minorHAnsi" w:hAnsiTheme="minorHAnsi" w:cstheme="minorHAnsi"/>
          <w:lang w:val="fr-CH"/>
        </w:rPr>
        <w:t xml:space="preserve"> officiel fournit une fondation pour l’appréciation de la nature, le développement des valeurs de la conservation et un moyen </w:t>
      </w:r>
      <w:r w:rsidR="00DF5775" w:rsidRPr="00DF5775">
        <w:rPr>
          <w:rFonts w:asciiTheme="minorHAnsi" w:hAnsiTheme="minorHAnsi" w:cstheme="minorHAnsi"/>
          <w:lang w:val="fr-CH"/>
        </w:rPr>
        <w:t xml:space="preserve">d’inciter les </w:t>
      </w:r>
      <w:r w:rsidR="00DF5775">
        <w:rPr>
          <w:rFonts w:asciiTheme="minorHAnsi" w:hAnsiTheme="minorHAnsi" w:cstheme="minorHAnsi"/>
          <w:lang w:val="fr-CH"/>
        </w:rPr>
        <w:t>étudiants</w:t>
      </w:r>
      <w:r w:rsidR="00DF5775" w:rsidRPr="00DF5775">
        <w:rPr>
          <w:rFonts w:asciiTheme="minorHAnsi" w:hAnsiTheme="minorHAnsi" w:cstheme="minorHAnsi"/>
          <w:lang w:val="fr-CH"/>
        </w:rPr>
        <w:t xml:space="preserve"> à mieux connaître et </w:t>
      </w:r>
      <w:r w:rsidR="00DF5775">
        <w:rPr>
          <w:rFonts w:asciiTheme="minorHAnsi" w:hAnsiTheme="minorHAnsi" w:cstheme="minorHAnsi"/>
          <w:lang w:val="fr-CH"/>
        </w:rPr>
        <w:t xml:space="preserve">mieux </w:t>
      </w:r>
      <w:r w:rsidR="00DF5775" w:rsidRPr="00DF5775">
        <w:rPr>
          <w:rFonts w:asciiTheme="minorHAnsi" w:hAnsiTheme="minorHAnsi" w:cstheme="minorHAnsi"/>
          <w:lang w:val="fr-CH"/>
        </w:rPr>
        <w:t>apprécier les</w:t>
      </w:r>
      <w:r w:rsidR="009D015A">
        <w:rPr>
          <w:rFonts w:asciiTheme="minorHAnsi" w:hAnsiTheme="minorHAnsi" w:cstheme="minorHAnsi"/>
          <w:lang w:val="fr-CH"/>
        </w:rPr>
        <w:t xml:space="preserve"> écosystèmes en général ;</w:t>
      </w:r>
    </w:p>
    <w:p w14:paraId="491E29ED" w14:textId="77777777" w:rsidR="00DB2020" w:rsidRPr="009D015A" w:rsidRDefault="00DB2020" w:rsidP="00441F06">
      <w:pPr>
        <w:rPr>
          <w:rFonts w:asciiTheme="minorHAnsi" w:hAnsiTheme="minorHAnsi" w:cstheme="minorHAnsi"/>
          <w:lang w:val="fr-CH"/>
        </w:rPr>
      </w:pPr>
    </w:p>
    <w:p w14:paraId="253B5020" w14:textId="351D9480" w:rsidR="00DB2020"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13.</w:t>
      </w:r>
      <w:r w:rsidRPr="009D015A">
        <w:rPr>
          <w:rFonts w:asciiTheme="minorHAnsi" w:hAnsiTheme="minorHAnsi" w:cstheme="minorHAnsi"/>
          <w:lang w:val="fr-CH"/>
        </w:rPr>
        <w:tab/>
      </w:r>
      <w:r w:rsidR="00D72181">
        <w:rPr>
          <w:rFonts w:asciiTheme="minorHAnsi" w:hAnsiTheme="minorHAnsi" w:cstheme="minorHAnsi"/>
          <w:lang w:val="fr-CH"/>
        </w:rPr>
        <w:t>SACHANT EN OUTRE</w:t>
      </w:r>
      <w:r w:rsidR="004F01DE">
        <w:rPr>
          <w:rFonts w:asciiTheme="minorHAnsi" w:hAnsiTheme="minorHAnsi" w:cstheme="minorHAnsi"/>
          <w:lang w:val="fr-CH"/>
        </w:rPr>
        <w:t xml:space="preserve"> qu</w:t>
      </w:r>
      <w:r w:rsidR="00DF5775">
        <w:rPr>
          <w:rFonts w:asciiTheme="minorHAnsi" w:hAnsiTheme="minorHAnsi" w:cstheme="minorHAnsi"/>
          <w:lang w:val="fr-CH"/>
        </w:rPr>
        <w:t>’acquérir des connaissances s</w:t>
      </w:r>
      <w:r w:rsidR="004F01DE">
        <w:rPr>
          <w:rFonts w:asciiTheme="minorHAnsi" w:hAnsiTheme="minorHAnsi" w:cstheme="minorHAnsi"/>
          <w:lang w:val="fr-CH"/>
        </w:rPr>
        <w:t xml:space="preserve">ur l’environnement, aussi bien à l’école que dans la nature, peut </w:t>
      </w:r>
      <w:r w:rsidR="00DF5775">
        <w:rPr>
          <w:rFonts w:asciiTheme="minorHAnsi" w:hAnsiTheme="minorHAnsi" w:cstheme="minorHAnsi"/>
          <w:lang w:val="fr-CH"/>
        </w:rPr>
        <w:t>soutenir l</w:t>
      </w:r>
      <w:r w:rsidR="004F01DE">
        <w:rPr>
          <w:rFonts w:asciiTheme="minorHAnsi" w:hAnsiTheme="minorHAnsi" w:cstheme="minorHAnsi"/>
          <w:lang w:val="fr-CH"/>
        </w:rPr>
        <w:t xml:space="preserve">’apprentissage </w:t>
      </w:r>
      <w:r w:rsidR="00DF5775">
        <w:rPr>
          <w:rFonts w:asciiTheme="minorHAnsi" w:hAnsiTheme="minorHAnsi" w:cstheme="minorHAnsi"/>
          <w:lang w:val="fr-CH"/>
        </w:rPr>
        <w:t>tout au long de la vie</w:t>
      </w:r>
      <w:r w:rsidR="004F01DE">
        <w:rPr>
          <w:rFonts w:asciiTheme="minorHAnsi" w:hAnsiTheme="minorHAnsi" w:cstheme="minorHAnsi"/>
          <w:lang w:val="fr-CH"/>
        </w:rPr>
        <w:t xml:space="preserve">, </w:t>
      </w:r>
      <w:r w:rsidR="00DF5775">
        <w:rPr>
          <w:rFonts w:asciiTheme="minorHAnsi" w:hAnsiTheme="minorHAnsi" w:cstheme="minorHAnsi"/>
          <w:lang w:val="fr-CH"/>
        </w:rPr>
        <w:t>notamment à travers</w:t>
      </w:r>
      <w:r w:rsidR="004F01DE">
        <w:rPr>
          <w:rFonts w:asciiTheme="minorHAnsi" w:hAnsiTheme="minorHAnsi" w:cstheme="minorHAnsi"/>
          <w:lang w:val="fr-CH"/>
        </w:rPr>
        <w:t xml:space="preserve"> </w:t>
      </w:r>
      <w:r w:rsidR="00DF5775">
        <w:rPr>
          <w:rFonts w:asciiTheme="minorHAnsi" w:hAnsiTheme="minorHAnsi" w:cstheme="minorHAnsi"/>
          <w:lang w:val="fr-CH"/>
        </w:rPr>
        <w:t>la découverte</w:t>
      </w:r>
      <w:r w:rsidR="004F01DE">
        <w:rPr>
          <w:rFonts w:asciiTheme="minorHAnsi" w:hAnsiTheme="minorHAnsi" w:cstheme="minorHAnsi"/>
          <w:lang w:val="fr-CH"/>
        </w:rPr>
        <w:t xml:space="preserve"> des zones humides ; </w:t>
      </w:r>
    </w:p>
    <w:p w14:paraId="022DB3E6" w14:textId="77777777" w:rsidR="00E203B2" w:rsidRPr="009D015A" w:rsidRDefault="00E203B2" w:rsidP="00441F06">
      <w:pPr>
        <w:pStyle w:val="ListParagraph"/>
        <w:ind w:left="425"/>
        <w:rPr>
          <w:rFonts w:asciiTheme="minorHAnsi" w:hAnsiTheme="minorHAnsi" w:cstheme="minorHAnsi"/>
          <w:lang w:val="fr-CH"/>
        </w:rPr>
      </w:pPr>
    </w:p>
    <w:p w14:paraId="24618864" w14:textId="7DFB0896" w:rsidR="005858F5"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14.</w:t>
      </w:r>
      <w:r w:rsidRPr="009D015A">
        <w:rPr>
          <w:rFonts w:asciiTheme="minorHAnsi" w:hAnsiTheme="minorHAnsi" w:cstheme="minorHAnsi"/>
          <w:lang w:val="fr-CH"/>
        </w:rPr>
        <w:tab/>
      </w:r>
      <w:r w:rsidR="00D72181">
        <w:rPr>
          <w:rFonts w:asciiTheme="minorHAnsi" w:hAnsiTheme="minorHAnsi" w:cstheme="minorHAnsi"/>
          <w:lang w:val="fr-CH"/>
        </w:rPr>
        <w:t>CONSCIENTE</w:t>
      </w:r>
      <w:r w:rsidR="004F01DE">
        <w:rPr>
          <w:rFonts w:asciiTheme="minorHAnsi" w:hAnsiTheme="minorHAnsi" w:cstheme="minorHAnsi"/>
          <w:lang w:val="fr-CH"/>
        </w:rPr>
        <w:t xml:space="preserve"> que d’autres orientations soutenant l’éducation aux zones humides </w:t>
      </w:r>
      <w:r w:rsidR="00252A54" w:rsidRPr="00252A54">
        <w:rPr>
          <w:rFonts w:asciiTheme="minorHAnsi" w:hAnsiTheme="minorHAnsi" w:cstheme="minorHAnsi"/>
          <w:lang w:val="fr-CH"/>
        </w:rPr>
        <w:t>dans le secteur de l’enseignement officiel</w:t>
      </w:r>
      <w:r w:rsidR="004F01DE">
        <w:rPr>
          <w:rFonts w:asciiTheme="minorHAnsi" w:hAnsiTheme="minorHAnsi" w:cstheme="minorHAnsi"/>
          <w:lang w:val="fr-CH"/>
        </w:rPr>
        <w:t xml:space="preserve"> peuvent </w:t>
      </w:r>
      <w:r w:rsidR="007F0607">
        <w:rPr>
          <w:rFonts w:asciiTheme="minorHAnsi" w:hAnsiTheme="minorHAnsi" w:cstheme="minorHAnsi"/>
          <w:lang w:val="fr-CH"/>
        </w:rPr>
        <w:t>réorienter</w:t>
      </w:r>
      <w:r w:rsidR="004F01DE">
        <w:rPr>
          <w:rFonts w:asciiTheme="minorHAnsi" w:hAnsiTheme="minorHAnsi" w:cstheme="minorHAnsi"/>
          <w:lang w:val="fr-CH"/>
        </w:rPr>
        <w:t xml:space="preserve"> l’attention vers cet élément important du Programme de CESP </w:t>
      </w:r>
      <w:r w:rsidR="007F0607">
        <w:rPr>
          <w:rFonts w:asciiTheme="minorHAnsi" w:hAnsiTheme="minorHAnsi" w:cstheme="minorHAnsi"/>
          <w:lang w:val="fr-CH"/>
        </w:rPr>
        <w:t>compte tenu</w:t>
      </w:r>
      <w:r w:rsidR="004F01DE">
        <w:rPr>
          <w:rFonts w:asciiTheme="minorHAnsi" w:hAnsiTheme="minorHAnsi" w:cstheme="minorHAnsi"/>
          <w:lang w:val="fr-CH"/>
        </w:rPr>
        <w:t xml:space="preserve"> de la possibilité de </w:t>
      </w:r>
      <w:r w:rsidR="007F0607">
        <w:rPr>
          <w:rFonts w:asciiTheme="minorHAnsi" w:hAnsiTheme="minorHAnsi" w:cstheme="minorHAnsi"/>
          <w:lang w:val="fr-CH"/>
        </w:rPr>
        <w:t>sensibiliser</w:t>
      </w:r>
      <w:r w:rsidR="004F01DE">
        <w:rPr>
          <w:rFonts w:asciiTheme="minorHAnsi" w:hAnsiTheme="minorHAnsi" w:cstheme="minorHAnsi"/>
          <w:lang w:val="fr-CH"/>
        </w:rPr>
        <w:t xml:space="preserve"> la jeune génération dans </w:t>
      </w:r>
      <w:r w:rsidR="007F0607">
        <w:rPr>
          <w:rFonts w:asciiTheme="minorHAnsi" w:hAnsiTheme="minorHAnsi" w:cstheme="minorHAnsi"/>
          <w:lang w:val="fr-CH"/>
        </w:rPr>
        <w:t>s</w:t>
      </w:r>
      <w:r w:rsidR="004F01DE">
        <w:rPr>
          <w:rFonts w:asciiTheme="minorHAnsi" w:hAnsiTheme="minorHAnsi" w:cstheme="minorHAnsi"/>
          <w:lang w:val="fr-CH"/>
        </w:rPr>
        <w:t>es années formatrices ;</w:t>
      </w:r>
    </w:p>
    <w:p w14:paraId="4CBA38EC" w14:textId="77777777" w:rsidR="005858F5" w:rsidRPr="009D015A" w:rsidRDefault="005858F5" w:rsidP="00441F06">
      <w:pPr>
        <w:pStyle w:val="ListParagraph"/>
        <w:ind w:left="425"/>
        <w:rPr>
          <w:rFonts w:asciiTheme="minorHAnsi" w:hAnsiTheme="minorHAnsi" w:cstheme="minorHAnsi"/>
          <w:lang w:val="fr-CH"/>
        </w:rPr>
      </w:pPr>
    </w:p>
    <w:p w14:paraId="10575A3E" w14:textId="20AD4179" w:rsidR="00E203B2"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15.</w:t>
      </w:r>
      <w:r w:rsidRPr="009D015A">
        <w:rPr>
          <w:rFonts w:asciiTheme="minorHAnsi" w:hAnsiTheme="minorHAnsi" w:cstheme="minorHAnsi"/>
          <w:lang w:val="fr-CH"/>
        </w:rPr>
        <w:tab/>
      </w:r>
      <w:r w:rsidR="004F01DE">
        <w:rPr>
          <w:rFonts w:asciiTheme="minorHAnsi" w:hAnsiTheme="minorHAnsi" w:cstheme="minorHAnsi"/>
          <w:lang w:val="fr-CH"/>
        </w:rPr>
        <w:t xml:space="preserve">AFFIRMANT que l’éducation est tout aussi importante que d’autres éléments du Programme de CESP et que la synergie entre les éléments peut faciliter une mise en œuvre plus efficace de la Convention </w:t>
      </w:r>
      <w:r w:rsidR="008E18D9">
        <w:rPr>
          <w:rFonts w:asciiTheme="minorHAnsi" w:hAnsiTheme="minorHAnsi" w:cstheme="minorHAnsi"/>
          <w:lang w:val="fr-CH"/>
        </w:rPr>
        <w:t>sur les zones humides</w:t>
      </w:r>
      <w:r w:rsidR="004F01DE">
        <w:rPr>
          <w:rFonts w:asciiTheme="minorHAnsi" w:hAnsiTheme="minorHAnsi" w:cstheme="minorHAnsi"/>
          <w:lang w:val="fr-CH"/>
        </w:rPr>
        <w:t> ;</w:t>
      </w:r>
    </w:p>
    <w:p w14:paraId="6F7DAC18" w14:textId="77777777" w:rsidR="00DB2020" w:rsidRPr="009D015A" w:rsidRDefault="00DB2020" w:rsidP="00085492">
      <w:pPr>
        <w:ind w:left="450" w:hanging="450"/>
        <w:rPr>
          <w:rFonts w:asciiTheme="minorHAnsi" w:hAnsiTheme="minorHAnsi" w:cstheme="minorHAnsi"/>
          <w:lang w:val="fr-CH"/>
        </w:rPr>
      </w:pPr>
    </w:p>
    <w:p w14:paraId="43401811" w14:textId="29D95EC6" w:rsidR="00DB2020" w:rsidRPr="009D015A" w:rsidRDefault="004F01DE" w:rsidP="00085492">
      <w:pPr>
        <w:ind w:left="450" w:hanging="450"/>
        <w:jc w:val="center"/>
        <w:rPr>
          <w:rFonts w:asciiTheme="minorHAnsi" w:hAnsiTheme="minorHAnsi" w:cstheme="minorHAnsi"/>
          <w:lang w:val="fr-CH"/>
        </w:rPr>
      </w:pPr>
      <w:r>
        <w:rPr>
          <w:rFonts w:asciiTheme="minorHAnsi" w:hAnsiTheme="minorHAnsi" w:cstheme="minorHAnsi"/>
          <w:lang w:val="fr-CH"/>
        </w:rPr>
        <w:t>LA CONFÉRENCE DES PARTIES CONTRACTANTES</w:t>
      </w:r>
    </w:p>
    <w:p w14:paraId="0CE82E0E" w14:textId="77777777" w:rsidR="00DB2020" w:rsidRPr="009D015A" w:rsidRDefault="00DB2020" w:rsidP="00085492">
      <w:pPr>
        <w:pStyle w:val="ListParagraph"/>
        <w:ind w:left="450" w:hanging="450"/>
        <w:rPr>
          <w:rFonts w:asciiTheme="minorHAnsi" w:hAnsiTheme="minorHAnsi" w:cstheme="minorHAnsi"/>
          <w:lang w:val="fr-CH"/>
        </w:rPr>
      </w:pPr>
    </w:p>
    <w:p w14:paraId="423B7573" w14:textId="740041A1" w:rsidR="00DB2020"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16.</w:t>
      </w:r>
      <w:r w:rsidRPr="009D015A">
        <w:rPr>
          <w:rFonts w:asciiTheme="minorHAnsi" w:hAnsiTheme="minorHAnsi" w:cstheme="minorHAnsi"/>
          <w:lang w:val="fr-CH"/>
        </w:rPr>
        <w:tab/>
      </w:r>
      <w:r w:rsidR="004F01DE">
        <w:rPr>
          <w:rFonts w:asciiTheme="minorHAnsi" w:hAnsiTheme="minorHAnsi" w:cstheme="minorHAnsi"/>
          <w:lang w:val="fr-CH"/>
        </w:rPr>
        <w:t>PRIE INSTAMMENT</w:t>
      </w:r>
      <w:r w:rsidR="00DB2020" w:rsidRPr="009D015A">
        <w:rPr>
          <w:rFonts w:asciiTheme="minorHAnsi" w:hAnsiTheme="minorHAnsi" w:cstheme="minorHAnsi"/>
          <w:lang w:val="fr-CH"/>
        </w:rPr>
        <w:t xml:space="preserve"> </w:t>
      </w:r>
      <w:r w:rsidR="004F01DE">
        <w:rPr>
          <w:rFonts w:asciiTheme="minorHAnsi" w:hAnsiTheme="minorHAnsi" w:cstheme="minorHAnsi"/>
          <w:lang w:val="fr-CH"/>
        </w:rPr>
        <w:t xml:space="preserve">les Parties contractantes de reconnaître </w:t>
      </w:r>
      <w:r w:rsidR="00F749AE">
        <w:rPr>
          <w:rFonts w:asciiTheme="minorHAnsi" w:hAnsiTheme="minorHAnsi" w:cstheme="minorHAnsi"/>
          <w:lang w:val="fr-CH"/>
        </w:rPr>
        <w:t>que l’introduction</w:t>
      </w:r>
      <w:r w:rsidR="004F01DE">
        <w:rPr>
          <w:rFonts w:asciiTheme="minorHAnsi" w:hAnsiTheme="minorHAnsi" w:cstheme="minorHAnsi"/>
          <w:lang w:val="fr-CH"/>
        </w:rPr>
        <w:t xml:space="preserve"> de thèmes d’éducation aux zones humides dans </w:t>
      </w:r>
      <w:r w:rsidR="008E18D9">
        <w:rPr>
          <w:rFonts w:asciiTheme="minorHAnsi" w:hAnsiTheme="minorHAnsi" w:cstheme="minorHAnsi"/>
          <w:lang w:val="fr-CH"/>
        </w:rPr>
        <w:t>l’enseignement officiel</w:t>
      </w:r>
      <w:r w:rsidR="004F01DE">
        <w:rPr>
          <w:rFonts w:asciiTheme="minorHAnsi" w:hAnsiTheme="minorHAnsi" w:cstheme="minorHAnsi"/>
          <w:lang w:val="fr-CH"/>
        </w:rPr>
        <w:t xml:space="preserve"> </w:t>
      </w:r>
      <w:r w:rsidR="00F749AE">
        <w:rPr>
          <w:rFonts w:asciiTheme="minorHAnsi" w:hAnsiTheme="minorHAnsi" w:cstheme="minorHAnsi"/>
          <w:lang w:val="fr-CH"/>
        </w:rPr>
        <w:t>présente des avantages, notamment celui d’</w:t>
      </w:r>
      <w:r w:rsidR="004F01DE">
        <w:rPr>
          <w:rFonts w:asciiTheme="minorHAnsi" w:hAnsiTheme="minorHAnsi" w:cstheme="minorHAnsi"/>
          <w:lang w:val="fr-CH"/>
        </w:rPr>
        <w:t xml:space="preserve">encourager une meilleure </w:t>
      </w:r>
      <w:r w:rsidR="008E18D9">
        <w:rPr>
          <w:rFonts w:asciiTheme="minorHAnsi" w:hAnsiTheme="minorHAnsi" w:cstheme="minorHAnsi"/>
          <w:lang w:val="fr-CH"/>
        </w:rPr>
        <w:t>connaissance</w:t>
      </w:r>
      <w:r w:rsidR="004F01DE">
        <w:rPr>
          <w:rFonts w:asciiTheme="minorHAnsi" w:hAnsiTheme="minorHAnsi" w:cstheme="minorHAnsi"/>
          <w:lang w:val="fr-CH"/>
        </w:rPr>
        <w:t xml:space="preserve"> des zones humides et de leurs valeurs. </w:t>
      </w:r>
    </w:p>
    <w:p w14:paraId="7E15969D" w14:textId="77777777" w:rsidR="00DB2020" w:rsidRPr="009D015A" w:rsidRDefault="00DB2020" w:rsidP="00441F06">
      <w:pPr>
        <w:rPr>
          <w:rFonts w:asciiTheme="minorHAnsi" w:hAnsiTheme="minorHAnsi" w:cstheme="minorHAnsi"/>
          <w:lang w:val="fr-CH"/>
        </w:rPr>
      </w:pPr>
    </w:p>
    <w:p w14:paraId="1D3FFD13" w14:textId="161B6DBF" w:rsidR="00DB2020" w:rsidRPr="009D015A" w:rsidRDefault="00441F06" w:rsidP="00441F06">
      <w:pPr>
        <w:rPr>
          <w:rFonts w:asciiTheme="minorHAnsi" w:hAnsiTheme="minorHAnsi" w:cstheme="minorHAnsi"/>
          <w:lang w:val="fr-CH"/>
        </w:rPr>
      </w:pPr>
      <w:r w:rsidRPr="009D015A">
        <w:rPr>
          <w:rFonts w:asciiTheme="minorHAnsi" w:hAnsiTheme="minorHAnsi" w:cstheme="minorHAnsi"/>
          <w:lang w:val="fr-CH"/>
        </w:rPr>
        <w:t>17.</w:t>
      </w:r>
      <w:r w:rsidRPr="009D015A">
        <w:rPr>
          <w:rFonts w:asciiTheme="minorHAnsi" w:hAnsiTheme="minorHAnsi" w:cstheme="minorHAnsi"/>
          <w:lang w:val="fr-CH"/>
        </w:rPr>
        <w:tab/>
      </w:r>
      <w:r w:rsidR="00DB2020" w:rsidRPr="009D015A">
        <w:rPr>
          <w:rFonts w:asciiTheme="minorHAnsi" w:hAnsiTheme="minorHAnsi" w:cstheme="minorHAnsi"/>
          <w:lang w:val="fr-CH"/>
        </w:rPr>
        <w:t>ENCOURAGE</w:t>
      </w:r>
      <w:r w:rsidR="004F01DE">
        <w:rPr>
          <w:rFonts w:asciiTheme="minorHAnsi" w:hAnsiTheme="minorHAnsi" w:cstheme="minorHAnsi"/>
          <w:lang w:val="fr-CH"/>
        </w:rPr>
        <w:t xml:space="preserve"> les Parties contractantes à explorer et soutenir les stratégies permettant d’inscrire plus efficacement l’éducation aux zones humides dans </w:t>
      </w:r>
      <w:r w:rsidR="008E18D9">
        <w:rPr>
          <w:rFonts w:asciiTheme="minorHAnsi" w:hAnsiTheme="minorHAnsi" w:cstheme="minorHAnsi"/>
          <w:lang w:val="fr-CH"/>
        </w:rPr>
        <w:t xml:space="preserve">l’enseignement officiel </w:t>
      </w:r>
      <w:r w:rsidR="004F01DE">
        <w:rPr>
          <w:rFonts w:asciiTheme="minorHAnsi" w:hAnsiTheme="minorHAnsi" w:cstheme="minorHAnsi"/>
          <w:lang w:val="fr-CH"/>
        </w:rPr>
        <w:t xml:space="preserve">et </w:t>
      </w:r>
      <w:r w:rsidR="008E18D9">
        <w:rPr>
          <w:rFonts w:asciiTheme="minorHAnsi" w:hAnsiTheme="minorHAnsi" w:cstheme="minorHAnsi"/>
          <w:lang w:val="fr-CH"/>
        </w:rPr>
        <w:t>de renforcer la place de l</w:t>
      </w:r>
      <w:r w:rsidR="004F01DE">
        <w:rPr>
          <w:rFonts w:asciiTheme="minorHAnsi" w:hAnsiTheme="minorHAnsi" w:cstheme="minorHAnsi"/>
          <w:lang w:val="fr-CH"/>
        </w:rPr>
        <w:t xml:space="preserve">’éducation aux zones humides dans leurs écoles et institutions pédagogiques, par exemple : </w:t>
      </w:r>
    </w:p>
    <w:p w14:paraId="3ADC7514" w14:textId="77777777" w:rsidR="00DB2020" w:rsidRPr="009D015A" w:rsidRDefault="00DB2020" w:rsidP="00085492">
      <w:pPr>
        <w:pStyle w:val="ListParagraph"/>
        <w:ind w:left="450" w:hanging="450"/>
        <w:rPr>
          <w:rFonts w:asciiTheme="minorHAnsi" w:hAnsiTheme="minorHAnsi" w:cstheme="minorHAnsi"/>
          <w:lang w:val="fr-CH"/>
        </w:rPr>
      </w:pPr>
    </w:p>
    <w:p w14:paraId="36845C6E" w14:textId="48E2B200" w:rsidR="00DB2020" w:rsidRPr="009D015A" w:rsidRDefault="00C67DDD" w:rsidP="004F01DE">
      <w:pPr>
        <w:pStyle w:val="ListParagraph"/>
        <w:numPr>
          <w:ilvl w:val="0"/>
          <w:numId w:val="47"/>
        </w:numPr>
        <w:ind w:left="840" w:hanging="425"/>
        <w:rPr>
          <w:rFonts w:asciiTheme="minorHAnsi" w:hAnsiTheme="minorHAnsi" w:cstheme="minorHAnsi"/>
          <w:lang w:val="fr-CH"/>
        </w:rPr>
      </w:pPr>
      <w:r>
        <w:rPr>
          <w:rFonts w:asciiTheme="minorHAnsi" w:hAnsiTheme="minorHAnsi" w:cstheme="minorHAnsi"/>
          <w:lang w:val="fr-CH"/>
        </w:rPr>
        <w:t xml:space="preserve">en invitant les autorités gouvernementales responsables de l’éducation à </w:t>
      </w:r>
      <w:r w:rsidR="005259ED">
        <w:rPr>
          <w:rFonts w:asciiTheme="minorHAnsi" w:hAnsiTheme="minorHAnsi" w:cstheme="minorHAnsi"/>
          <w:lang w:val="fr-CH"/>
        </w:rPr>
        <w:t>devenir membre</w:t>
      </w:r>
      <w:r w:rsidR="00F749AE">
        <w:rPr>
          <w:rFonts w:asciiTheme="minorHAnsi" w:hAnsiTheme="minorHAnsi" w:cstheme="minorHAnsi"/>
          <w:lang w:val="fr-CH"/>
        </w:rPr>
        <w:t>s</w:t>
      </w:r>
      <w:r w:rsidR="005259ED">
        <w:rPr>
          <w:rFonts w:asciiTheme="minorHAnsi" w:hAnsiTheme="minorHAnsi" w:cstheme="minorHAnsi"/>
          <w:lang w:val="fr-CH"/>
        </w:rPr>
        <w:t xml:space="preserve"> du</w:t>
      </w:r>
      <w:r>
        <w:rPr>
          <w:rFonts w:asciiTheme="minorHAnsi" w:hAnsiTheme="minorHAnsi" w:cstheme="minorHAnsi"/>
          <w:lang w:val="fr-CH"/>
        </w:rPr>
        <w:t xml:space="preserve"> Comité national Ramsar, </w:t>
      </w:r>
      <w:r w:rsidR="005259ED">
        <w:rPr>
          <w:rFonts w:asciiTheme="minorHAnsi" w:hAnsiTheme="minorHAnsi" w:cstheme="minorHAnsi"/>
          <w:lang w:val="fr-CH"/>
        </w:rPr>
        <w:t>du</w:t>
      </w:r>
      <w:r>
        <w:rPr>
          <w:rFonts w:asciiTheme="minorHAnsi" w:hAnsiTheme="minorHAnsi" w:cstheme="minorHAnsi"/>
          <w:lang w:val="fr-CH"/>
        </w:rPr>
        <w:t xml:space="preserve"> Comité national pour les zones humides ou d’autres mécanismes de ce type, en vue d’explorer </w:t>
      </w:r>
      <w:r w:rsidR="005259ED">
        <w:rPr>
          <w:rFonts w:asciiTheme="minorHAnsi" w:hAnsiTheme="minorHAnsi" w:cstheme="minorHAnsi"/>
          <w:lang w:val="fr-CH"/>
        </w:rPr>
        <w:t>l</w:t>
      </w:r>
      <w:r>
        <w:rPr>
          <w:rFonts w:asciiTheme="minorHAnsi" w:hAnsiTheme="minorHAnsi" w:cstheme="minorHAnsi"/>
          <w:lang w:val="fr-CH"/>
        </w:rPr>
        <w:t xml:space="preserve">es possibilités d’introduire des thèmes et des programmes sur les zones humides dans le programme scolaire existant ; </w:t>
      </w:r>
    </w:p>
    <w:p w14:paraId="0EDAAB7A" w14:textId="77777777" w:rsidR="00DB2020" w:rsidRPr="009D015A" w:rsidRDefault="00DB2020" w:rsidP="004F01DE">
      <w:pPr>
        <w:pStyle w:val="ListParagraph"/>
        <w:ind w:left="840"/>
        <w:rPr>
          <w:rFonts w:asciiTheme="minorHAnsi" w:hAnsiTheme="minorHAnsi" w:cstheme="minorHAnsi"/>
          <w:lang w:val="fr-CH"/>
        </w:rPr>
      </w:pPr>
      <w:r w:rsidRPr="009D015A">
        <w:rPr>
          <w:rFonts w:asciiTheme="minorHAnsi" w:hAnsiTheme="minorHAnsi" w:cstheme="minorHAnsi"/>
          <w:lang w:val="fr-CH"/>
        </w:rPr>
        <w:t xml:space="preserve"> </w:t>
      </w:r>
    </w:p>
    <w:p w14:paraId="75F10DAE" w14:textId="21B37117" w:rsidR="00DB2020" w:rsidRPr="009D015A" w:rsidRDefault="00C67DDD" w:rsidP="004F01DE">
      <w:pPr>
        <w:pStyle w:val="ListParagraph"/>
        <w:numPr>
          <w:ilvl w:val="0"/>
          <w:numId w:val="47"/>
        </w:numPr>
        <w:ind w:left="840" w:hanging="425"/>
        <w:rPr>
          <w:rFonts w:asciiTheme="minorHAnsi" w:hAnsiTheme="minorHAnsi" w:cstheme="minorHAnsi"/>
          <w:lang w:val="fr-CH"/>
        </w:rPr>
      </w:pPr>
      <w:r>
        <w:rPr>
          <w:rFonts w:asciiTheme="minorHAnsi" w:hAnsiTheme="minorHAnsi" w:cstheme="minorHAnsi"/>
          <w:lang w:val="fr-CH"/>
        </w:rPr>
        <w:t>en adoptant une approche au niveau national ou sous</w:t>
      </w:r>
      <w:r>
        <w:rPr>
          <w:rFonts w:asciiTheme="minorHAnsi" w:hAnsiTheme="minorHAnsi" w:cstheme="minorHAnsi"/>
          <w:lang w:val="fr-CH"/>
        </w:rPr>
        <w:noBreakHyphen/>
        <w:t xml:space="preserve">national pour </w:t>
      </w:r>
      <w:r w:rsidR="007646FA">
        <w:rPr>
          <w:rFonts w:asciiTheme="minorHAnsi" w:hAnsiTheme="minorHAnsi" w:cstheme="minorHAnsi"/>
          <w:lang w:val="fr-CH"/>
        </w:rPr>
        <w:t xml:space="preserve">intégrer </w:t>
      </w:r>
      <w:r>
        <w:rPr>
          <w:rFonts w:asciiTheme="minorHAnsi" w:hAnsiTheme="minorHAnsi" w:cstheme="minorHAnsi"/>
          <w:lang w:val="fr-CH"/>
        </w:rPr>
        <w:t xml:space="preserve">des thèmes d’éducation aux zones humides dans les programmes </w:t>
      </w:r>
      <w:r w:rsidR="007646FA">
        <w:rPr>
          <w:rFonts w:asciiTheme="minorHAnsi" w:hAnsiTheme="minorHAnsi" w:cstheme="minorHAnsi"/>
          <w:lang w:val="fr-CH"/>
        </w:rPr>
        <w:t>d’enseignement,</w:t>
      </w:r>
      <w:r>
        <w:rPr>
          <w:rFonts w:asciiTheme="minorHAnsi" w:hAnsiTheme="minorHAnsi" w:cstheme="minorHAnsi"/>
          <w:lang w:val="fr-CH"/>
        </w:rPr>
        <w:t xml:space="preserve"> </w:t>
      </w:r>
      <w:r w:rsidR="007646FA">
        <w:rPr>
          <w:rFonts w:asciiTheme="minorHAnsi" w:hAnsiTheme="minorHAnsi" w:cstheme="minorHAnsi"/>
          <w:lang w:val="fr-CH"/>
        </w:rPr>
        <w:t>généralement</w:t>
      </w:r>
      <w:r>
        <w:rPr>
          <w:rFonts w:asciiTheme="minorHAnsi" w:hAnsiTheme="minorHAnsi" w:cstheme="minorHAnsi"/>
          <w:lang w:val="fr-CH"/>
        </w:rPr>
        <w:t xml:space="preserve"> disponibles et accessibles </w:t>
      </w:r>
      <w:r w:rsidR="007646FA">
        <w:rPr>
          <w:rFonts w:asciiTheme="minorHAnsi" w:hAnsiTheme="minorHAnsi" w:cstheme="minorHAnsi"/>
          <w:lang w:val="fr-CH"/>
        </w:rPr>
        <w:t>aux</w:t>
      </w:r>
      <w:r>
        <w:rPr>
          <w:rFonts w:asciiTheme="minorHAnsi" w:hAnsiTheme="minorHAnsi" w:cstheme="minorHAnsi"/>
          <w:lang w:val="fr-CH"/>
        </w:rPr>
        <w:t xml:space="preserve"> écoles et </w:t>
      </w:r>
      <w:r w:rsidR="007646FA">
        <w:rPr>
          <w:rFonts w:asciiTheme="minorHAnsi" w:hAnsiTheme="minorHAnsi" w:cstheme="minorHAnsi"/>
          <w:lang w:val="fr-CH"/>
        </w:rPr>
        <w:t>aux</w:t>
      </w:r>
      <w:r>
        <w:rPr>
          <w:rFonts w:asciiTheme="minorHAnsi" w:hAnsiTheme="minorHAnsi" w:cstheme="minorHAnsi"/>
          <w:lang w:val="fr-CH"/>
        </w:rPr>
        <w:t xml:space="preserve"> enseignants ;</w:t>
      </w:r>
    </w:p>
    <w:p w14:paraId="3BA6CC6A" w14:textId="77777777" w:rsidR="00DB2020" w:rsidRPr="009D015A" w:rsidRDefault="00DB2020" w:rsidP="004F01DE">
      <w:pPr>
        <w:pStyle w:val="ListParagraph"/>
        <w:ind w:left="840"/>
        <w:rPr>
          <w:rFonts w:asciiTheme="minorHAnsi" w:hAnsiTheme="minorHAnsi" w:cstheme="minorHAnsi"/>
          <w:lang w:val="fr-CH"/>
        </w:rPr>
      </w:pPr>
    </w:p>
    <w:p w14:paraId="08FCD042" w14:textId="3396E245" w:rsidR="00DB2020" w:rsidRPr="009D015A" w:rsidRDefault="00C67DDD" w:rsidP="004F01DE">
      <w:pPr>
        <w:pStyle w:val="ListParagraph"/>
        <w:numPr>
          <w:ilvl w:val="0"/>
          <w:numId w:val="47"/>
        </w:numPr>
        <w:ind w:left="840" w:hanging="425"/>
        <w:rPr>
          <w:rFonts w:asciiTheme="minorHAnsi" w:hAnsiTheme="minorHAnsi" w:cstheme="minorHAnsi"/>
          <w:lang w:val="fr-CH"/>
        </w:rPr>
      </w:pPr>
      <w:r>
        <w:rPr>
          <w:rFonts w:asciiTheme="minorHAnsi" w:hAnsiTheme="minorHAnsi" w:cstheme="minorHAnsi"/>
          <w:lang w:val="fr-CH"/>
        </w:rPr>
        <w:lastRenderedPageBreak/>
        <w:t xml:space="preserve">en </w:t>
      </w:r>
      <w:r w:rsidR="007646FA">
        <w:rPr>
          <w:rFonts w:asciiTheme="minorHAnsi" w:hAnsiTheme="minorHAnsi" w:cstheme="minorHAnsi"/>
          <w:lang w:val="fr-CH"/>
        </w:rPr>
        <w:t>travaillant en</w:t>
      </w:r>
      <w:r>
        <w:rPr>
          <w:rFonts w:asciiTheme="minorHAnsi" w:hAnsiTheme="minorHAnsi" w:cstheme="minorHAnsi"/>
          <w:lang w:val="fr-CH"/>
        </w:rPr>
        <w:t xml:space="preserve"> partenariat avec les centres pour les zones humides et les parcs de zones humides pour renforcer l’élaboration et </w:t>
      </w:r>
      <w:r w:rsidR="007646FA">
        <w:rPr>
          <w:rFonts w:asciiTheme="minorHAnsi" w:hAnsiTheme="minorHAnsi" w:cstheme="minorHAnsi"/>
          <w:lang w:val="fr-CH"/>
        </w:rPr>
        <w:t xml:space="preserve">la mise en œuvre </w:t>
      </w:r>
      <w:r>
        <w:rPr>
          <w:rFonts w:asciiTheme="minorHAnsi" w:hAnsiTheme="minorHAnsi" w:cstheme="minorHAnsi"/>
          <w:lang w:val="fr-CH"/>
        </w:rPr>
        <w:t xml:space="preserve">de l’apprentissage </w:t>
      </w:r>
      <w:r w:rsidR="007646FA">
        <w:rPr>
          <w:rFonts w:asciiTheme="minorHAnsi" w:hAnsiTheme="minorHAnsi" w:cstheme="minorHAnsi"/>
          <w:lang w:val="fr-CH"/>
        </w:rPr>
        <w:t xml:space="preserve">en milieu </w:t>
      </w:r>
      <w:r>
        <w:rPr>
          <w:rFonts w:asciiTheme="minorHAnsi" w:hAnsiTheme="minorHAnsi" w:cstheme="minorHAnsi"/>
          <w:lang w:val="fr-CH"/>
        </w:rPr>
        <w:t>scolaire ;</w:t>
      </w:r>
    </w:p>
    <w:p w14:paraId="65CE2DF8" w14:textId="77777777" w:rsidR="00DB2020" w:rsidRPr="009D015A" w:rsidRDefault="00DB2020" w:rsidP="004F01DE">
      <w:pPr>
        <w:pStyle w:val="ListParagraph"/>
        <w:ind w:left="840"/>
        <w:rPr>
          <w:rFonts w:asciiTheme="minorHAnsi" w:hAnsiTheme="minorHAnsi" w:cstheme="minorHAnsi"/>
          <w:lang w:val="fr-CH"/>
        </w:rPr>
      </w:pPr>
    </w:p>
    <w:p w14:paraId="31C67390" w14:textId="5C191066" w:rsidR="00DB2020" w:rsidRPr="009D015A" w:rsidRDefault="00C67DDD" w:rsidP="004F01DE">
      <w:pPr>
        <w:pStyle w:val="ListParagraph"/>
        <w:numPr>
          <w:ilvl w:val="0"/>
          <w:numId w:val="47"/>
        </w:numPr>
        <w:ind w:left="840" w:hanging="425"/>
        <w:rPr>
          <w:rFonts w:asciiTheme="minorHAnsi" w:hAnsiTheme="minorHAnsi" w:cstheme="minorHAnsi"/>
          <w:lang w:val="fr-CH"/>
        </w:rPr>
      </w:pPr>
      <w:r>
        <w:rPr>
          <w:rFonts w:asciiTheme="minorHAnsi" w:hAnsiTheme="minorHAnsi" w:cstheme="minorHAnsi"/>
          <w:lang w:val="fr-CH"/>
        </w:rPr>
        <w:t xml:space="preserve">en adoptant des modèles </w:t>
      </w:r>
      <w:r w:rsidR="007646FA">
        <w:rPr>
          <w:rFonts w:asciiTheme="minorHAnsi" w:hAnsiTheme="minorHAnsi" w:cstheme="minorHAnsi"/>
          <w:lang w:val="fr-CH"/>
        </w:rPr>
        <w:t>d’écoles-pilotes</w:t>
      </w:r>
      <w:r w:rsidR="007E4DD4">
        <w:rPr>
          <w:rFonts w:asciiTheme="minorHAnsi" w:hAnsiTheme="minorHAnsi" w:cstheme="minorHAnsi"/>
          <w:lang w:val="fr-CH"/>
        </w:rPr>
        <w:t xml:space="preserve"> et des modèles d’école-à-école et </w:t>
      </w:r>
      <w:r w:rsidR="001A7498">
        <w:rPr>
          <w:rFonts w:asciiTheme="minorHAnsi" w:hAnsiTheme="minorHAnsi" w:cstheme="minorHAnsi"/>
          <w:lang w:val="fr-CH"/>
        </w:rPr>
        <w:t xml:space="preserve">de </w:t>
      </w:r>
      <w:r w:rsidR="007E4DD4">
        <w:rPr>
          <w:rFonts w:asciiTheme="minorHAnsi" w:hAnsiTheme="minorHAnsi" w:cstheme="minorHAnsi"/>
          <w:lang w:val="fr-CH"/>
        </w:rPr>
        <w:t>réseau</w:t>
      </w:r>
      <w:r w:rsidR="001A7498">
        <w:rPr>
          <w:rFonts w:asciiTheme="minorHAnsi" w:hAnsiTheme="minorHAnsi" w:cstheme="minorHAnsi"/>
          <w:lang w:val="fr-CH"/>
        </w:rPr>
        <w:t>x</w:t>
      </w:r>
      <w:r w:rsidR="007E4DD4">
        <w:rPr>
          <w:rFonts w:asciiTheme="minorHAnsi" w:hAnsiTheme="minorHAnsi" w:cstheme="minorHAnsi"/>
          <w:lang w:val="fr-CH"/>
        </w:rPr>
        <w:t xml:space="preserve"> d’écoles ;</w:t>
      </w:r>
    </w:p>
    <w:p w14:paraId="254C2771" w14:textId="77777777" w:rsidR="00DB2020" w:rsidRPr="009D015A" w:rsidRDefault="00DB2020" w:rsidP="004F01DE">
      <w:pPr>
        <w:pStyle w:val="ListParagraph"/>
        <w:ind w:left="840"/>
        <w:rPr>
          <w:rFonts w:asciiTheme="minorHAnsi" w:hAnsiTheme="minorHAnsi" w:cstheme="minorHAnsi"/>
          <w:lang w:val="fr-CH"/>
        </w:rPr>
      </w:pPr>
    </w:p>
    <w:p w14:paraId="7591E281" w14:textId="2C88897B" w:rsidR="00DB2020" w:rsidRPr="009D015A" w:rsidRDefault="001A7498" w:rsidP="004F01DE">
      <w:pPr>
        <w:pStyle w:val="ListParagraph"/>
        <w:numPr>
          <w:ilvl w:val="0"/>
          <w:numId w:val="47"/>
        </w:numPr>
        <w:ind w:left="840" w:hanging="425"/>
        <w:rPr>
          <w:rFonts w:asciiTheme="minorHAnsi" w:hAnsiTheme="minorHAnsi" w:cstheme="minorHAnsi"/>
          <w:lang w:val="fr-CH"/>
        </w:rPr>
      </w:pPr>
      <w:r>
        <w:rPr>
          <w:rFonts w:asciiTheme="minorHAnsi" w:hAnsiTheme="minorHAnsi" w:cstheme="minorHAnsi"/>
          <w:lang w:val="fr-CH"/>
        </w:rPr>
        <w:t>en travaillant en partenariat</w:t>
      </w:r>
      <w:r w:rsidR="007E4DD4">
        <w:rPr>
          <w:rFonts w:asciiTheme="minorHAnsi" w:hAnsiTheme="minorHAnsi" w:cstheme="minorHAnsi"/>
          <w:lang w:val="fr-CH"/>
        </w:rPr>
        <w:t>, le cas échéant, avec le secteur privé</w:t>
      </w:r>
      <w:r>
        <w:rPr>
          <w:rFonts w:asciiTheme="minorHAnsi" w:hAnsiTheme="minorHAnsi" w:cstheme="minorHAnsi"/>
          <w:lang w:val="fr-CH"/>
        </w:rPr>
        <w:t>,</w:t>
      </w:r>
      <w:r w:rsidR="007E4DD4">
        <w:rPr>
          <w:rFonts w:asciiTheme="minorHAnsi" w:hAnsiTheme="minorHAnsi" w:cstheme="minorHAnsi"/>
          <w:lang w:val="fr-CH"/>
        </w:rPr>
        <w:t xml:space="preserve"> pour soutenir des </w:t>
      </w:r>
      <w:r>
        <w:rPr>
          <w:rFonts w:asciiTheme="minorHAnsi" w:hAnsiTheme="minorHAnsi" w:cstheme="minorHAnsi"/>
          <w:lang w:val="fr-CH"/>
        </w:rPr>
        <w:t>régimes</w:t>
      </w:r>
      <w:r w:rsidR="007E4DD4">
        <w:rPr>
          <w:rFonts w:asciiTheme="minorHAnsi" w:hAnsiTheme="minorHAnsi" w:cstheme="minorHAnsi"/>
          <w:lang w:val="fr-CH"/>
        </w:rPr>
        <w:t xml:space="preserve"> de subvention</w:t>
      </w:r>
      <w:r>
        <w:rPr>
          <w:rFonts w:asciiTheme="minorHAnsi" w:hAnsiTheme="minorHAnsi" w:cstheme="minorHAnsi"/>
          <w:lang w:val="fr-CH"/>
        </w:rPr>
        <w:t>s spécifiques</w:t>
      </w:r>
      <w:r w:rsidR="007E4DD4">
        <w:rPr>
          <w:rFonts w:asciiTheme="minorHAnsi" w:hAnsiTheme="minorHAnsi" w:cstheme="minorHAnsi"/>
          <w:lang w:val="fr-CH"/>
        </w:rPr>
        <w:t xml:space="preserve"> et différentes activités pratiques ; </w:t>
      </w:r>
    </w:p>
    <w:p w14:paraId="78AB6180" w14:textId="77777777" w:rsidR="00DB2020" w:rsidRPr="009D015A" w:rsidRDefault="00DB2020" w:rsidP="004F01DE">
      <w:pPr>
        <w:pStyle w:val="ListParagraph"/>
        <w:ind w:left="840"/>
        <w:rPr>
          <w:rFonts w:asciiTheme="minorHAnsi" w:hAnsiTheme="minorHAnsi" w:cstheme="minorHAnsi"/>
          <w:lang w:val="fr-CH"/>
        </w:rPr>
      </w:pPr>
    </w:p>
    <w:p w14:paraId="61C86867" w14:textId="5AFD1C69" w:rsidR="00DB2020" w:rsidRPr="009D015A" w:rsidRDefault="007E4DD4" w:rsidP="004F01DE">
      <w:pPr>
        <w:pStyle w:val="ListParagraph"/>
        <w:numPr>
          <w:ilvl w:val="0"/>
          <w:numId w:val="47"/>
        </w:numPr>
        <w:ind w:left="840" w:hanging="425"/>
        <w:rPr>
          <w:rFonts w:asciiTheme="minorHAnsi" w:hAnsiTheme="minorHAnsi" w:cstheme="minorHAnsi"/>
          <w:lang w:val="fr-CH" w:eastAsia="ko-KR"/>
        </w:rPr>
      </w:pPr>
      <w:r>
        <w:rPr>
          <w:rFonts w:asciiTheme="minorHAnsi" w:hAnsiTheme="minorHAnsi" w:cstheme="minorHAnsi"/>
          <w:lang w:val="fr-CH"/>
        </w:rPr>
        <w:t xml:space="preserve">en identifiant des partenariats dans les programmes et initiatives existants tels que le </w:t>
      </w:r>
      <w:r w:rsidR="00C80C96">
        <w:rPr>
          <w:rFonts w:asciiTheme="minorHAnsi" w:hAnsiTheme="minorHAnsi" w:cstheme="minorHAnsi"/>
          <w:lang w:val="fr-CH"/>
        </w:rPr>
        <w:t>l</w:t>
      </w:r>
      <w:r>
        <w:rPr>
          <w:rFonts w:asciiTheme="minorHAnsi" w:hAnsiTheme="minorHAnsi" w:cstheme="minorHAnsi"/>
          <w:lang w:val="fr-CH"/>
        </w:rPr>
        <w:t xml:space="preserve">abel Ville des Zones Humides accréditée </w:t>
      </w:r>
      <w:r w:rsidR="00C80C96">
        <w:rPr>
          <w:rFonts w:asciiTheme="minorHAnsi" w:hAnsiTheme="minorHAnsi" w:cstheme="minorHAnsi"/>
          <w:lang w:val="fr-CH"/>
        </w:rPr>
        <w:t>par</w:t>
      </w:r>
      <w:r>
        <w:rPr>
          <w:rFonts w:asciiTheme="minorHAnsi" w:hAnsiTheme="minorHAnsi" w:cstheme="minorHAnsi"/>
          <w:lang w:val="fr-CH"/>
        </w:rPr>
        <w:t xml:space="preserve"> la Convention de Ramsar et en mobilisant des ressources pour ce type de partenariat ;</w:t>
      </w:r>
    </w:p>
    <w:p w14:paraId="605A2FD3" w14:textId="77777777" w:rsidR="00DB2020" w:rsidRPr="009D015A" w:rsidRDefault="00DB2020" w:rsidP="004F01DE">
      <w:pPr>
        <w:pStyle w:val="ListParagraph"/>
        <w:ind w:left="840"/>
        <w:rPr>
          <w:rFonts w:asciiTheme="minorHAnsi" w:hAnsiTheme="minorHAnsi" w:cstheme="minorHAnsi"/>
          <w:lang w:val="fr-CH" w:eastAsia="ko-KR"/>
        </w:rPr>
      </w:pPr>
    </w:p>
    <w:p w14:paraId="7EE9ADE1" w14:textId="79345AEF" w:rsidR="00DB2020" w:rsidRPr="009D015A" w:rsidRDefault="007E4DD4" w:rsidP="004F01DE">
      <w:pPr>
        <w:pStyle w:val="ListParagraph"/>
        <w:numPr>
          <w:ilvl w:val="0"/>
          <w:numId w:val="47"/>
        </w:numPr>
        <w:ind w:left="840" w:hanging="425"/>
        <w:rPr>
          <w:rFonts w:asciiTheme="minorHAnsi" w:hAnsiTheme="minorHAnsi" w:cstheme="minorHAnsi"/>
          <w:lang w:val="fr-CH" w:eastAsia="ko-KR"/>
        </w:rPr>
      </w:pPr>
      <w:r>
        <w:rPr>
          <w:rFonts w:asciiTheme="minorHAnsi" w:hAnsiTheme="minorHAnsi" w:cstheme="minorHAnsi"/>
          <w:lang w:val="fr-CH" w:eastAsia="ko-KR"/>
        </w:rPr>
        <w:t>en renforçant la communication entre les acteurs sur l’éducation aux zones humides</w:t>
      </w:r>
      <w:r w:rsidR="00C80C96">
        <w:rPr>
          <w:rFonts w:asciiTheme="minorHAnsi" w:hAnsiTheme="minorHAnsi" w:cstheme="minorHAnsi"/>
          <w:lang w:val="fr-CH" w:eastAsia="ko-KR"/>
        </w:rPr>
        <w:t>,</w:t>
      </w:r>
      <w:r>
        <w:rPr>
          <w:rFonts w:asciiTheme="minorHAnsi" w:hAnsiTheme="minorHAnsi" w:cstheme="minorHAnsi"/>
          <w:lang w:val="fr-CH" w:eastAsia="ko-KR"/>
        </w:rPr>
        <w:t xml:space="preserve"> par l’intermédiaire des Correspondants nationaux CESP ;</w:t>
      </w:r>
    </w:p>
    <w:p w14:paraId="65C09715" w14:textId="77777777" w:rsidR="00DB2020" w:rsidRPr="009D015A" w:rsidRDefault="00DB2020" w:rsidP="004F01DE">
      <w:pPr>
        <w:pStyle w:val="ListParagraph"/>
        <w:ind w:left="840"/>
        <w:rPr>
          <w:rFonts w:asciiTheme="minorHAnsi" w:hAnsiTheme="minorHAnsi" w:cstheme="minorHAnsi"/>
          <w:lang w:val="fr-CH" w:eastAsia="ko-KR"/>
        </w:rPr>
      </w:pPr>
    </w:p>
    <w:p w14:paraId="2870F4B2" w14:textId="1AE70280" w:rsidR="00DB2020" w:rsidRPr="009D015A" w:rsidRDefault="007E4DD4" w:rsidP="004F01DE">
      <w:pPr>
        <w:pStyle w:val="ListParagraph"/>
        <w:numPr>
          <w:ilvl w:val="0"/>
          <w:numId w:val="47"/>
        </w:numPr>
        <w:ind w:left="840" w:hanging="425"/>
        <w:rPr>
          <w:rFonts w:asciiTheme="minorHAnsi" w:hAnsiTheme="minorHAnsi" w:cstheme="minorHAnsi"/>
          <w:lang w:val="fr-CH" w:eastAsia="ko-KR"/>
        </w:rPr>
      </w:pPr>
      <w:r>
        <w:rPr>
          <w:rFonts w:asciiTheme="minorHAnsi" w:hAnsiTheme="minorHAnsi" w:cstheme="minorHAnsi"/>
          <w:lang w:val="fr-CH" w:eastAsia="ko-KR"/>
        </w:rPr>
        <w:t xml:space="preserve">en encourageant la </w:t>
      </w:r>
      <w:r w:rsidR="00DB2020" w:rsidRPr="009D015A">
        <w:rPr>
          <w:rFonts w:asciiTheme="minorHAnsi" w:hAnsiTheme="minorHAnsi" w:cstheme="minorHAnsi"/>
          <w:lang w:val="fr-CH" w:eastAsia="ko-KR"/>
        </w:rPr>
        <w:t xml:space="preserve">participation </w:t>
      </w:r>
      <w:r>
        <w:rPr>
          <w:rFonts w:asciiTheme="minorHAnsi" w:hAnsiTheme="minorHAnsi" w:cstheme="minorHAnsi"/>
          <w:lang w:val="fr-CH" w:eastAsia="ko-KR"/>
        </w:rPr>
        <w:t>des écoles à la célébration de la Journée mondiale des zones humides.</w:t>
      </w:r>
    </w:p>
    <w:p w14:paraId="10681201" w14:textId="77777777" w:rsidR="00DB2020" w:rsidRPr="009D015A" w:rsidRDefault="00DB2020" w:rsidP="004F01DE">
      <w:pPr>
        <w:ind w:left="840" w:hanging="450"/>
        <w:rPr>
          <w:rFonts w:asciiTheme="minorHAnsi" w:hAnsiTheme="minorHAnsi" w:cstheme="minorHAnsi"/>
          <w:lang w:val="fr-CH"/>
        </w:rPr>
      </w:pPr>
    </w:p>
    <w:p w14:paraId="038772D4" w14:textId="63007551" w:rsidR="00DB2020"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t>18.</w:t>
      </w:r>
      <w:r w:rsidRPr="009D015A">
        <w:rPr>
          <w:rFonts w:asciiTheme="minorHAnsi" w:hAnsiTheme="minorHAnsi" w:cstheme="minorHAnsi"/>
          <w:lang w:val="fr-CH"/>
        </w:rPr>
        <w:tab/>
      </w:r>
      <w:r w:rsidR="007E4DD4">
        <w:rPr>
          <w:rFonts w:asciiTheme="minorHAnsi" w:hAnsiTheme="minorHAnsi" w:cstheme="minorHAnsi"/>
          <w:lang w:val="fr-CH"/>
        </w:rPr>
        <w:t xml:space="preserve">ENCOURAGE ÉGALEMENT les Parties contractantes </w:t>
      </w:r>
      <w:r w:rsidR="00EB49AC">
        <w:rPr>
          <w:rFonts w:asciiTheme="minorHAnsi" w:hAnsiTheme="minorHAnsi" w:cstheme="minorHAnsi"/>
          <w:lang w:val="fr-CH"/>
        </w:rPr>
        <w:t xml:space="preserve">à reconnaître le rôle vital des enseignants </w:t>
      </w:r>
      <w:r w:rsidR="001C1924">
        <w:rPr>
          <w:rFonts w:asciiTheme="minorHAnsi" w:hAnsiTheme="minorHAnsi" w:cstheme="minorHAnsi"/>
          <w:lang w:val="fr-CH"/>
        </w:rPr>
        <w:t>pour l’</w:t>
      </w:r>
      <w:r w:rsidR="00EB49AC">
        <w:rPr>
          <w:rFonts w:asciiTheme="minorHAnsi" w:hAnsiTheme="minorHAnsi" w:cstheme="minorHAnsi"/>
          <w:lang w:val="fr-CH"/>
        </w:rPr>
        <w:t xml:space="preserve">intégration effective </w:t>
      </w:r>
      <w:r w:rsidR="001C1924">
        <w:rPr>
          <w:rFonts w:asciiTheme="minorHAnsi" w:hAnsiTheme="minorHAnsi" w:cstheme="minorHAnsi"/>
          <w:lang w:val="fr-CH"/>
        </w:rPr>
        <w:t xml:space="preserve">du thème </w:t>
      </w:r>
      <w:r w:rsidR="00EB49AC">
        <w:rPr>
          <w:rFonts w:asciiTheme="minorHAnsi" w:hAnsiTheme="minorHAnsi" w:cstheme="minorHAnsi"/>
          <w:lang w:val="fr-CH"/>
        </w:rPr>
        <w:t xml:space="preserve">des zones humides dans le programme </w:t>
      </w:r>
      <w:r w:rsidR="001C1924">
        <w:rPr>
          <w:rFonts w:asciiTheme="minorHAnsi" w:hAnsiTheme="minorHAnsi" w:cstheme="minorHAnsi"/>
          <w:lang w:val="fr-CH"/>
        </w:rPr>
        <w:t>d’enseignement</w:t>
      </w:r>
      <w:r w:rsidR="00EB49AC">
        <w:rPr>
          <w:rFonts w:asciiTheme="minorHAnsi" w:hAnsiTheme="minorHAnsi" w:cstheme="minorHAnsi"/>
          <w:lang w:val="fr-CH"/>
        </w:rPr>
        <w:t xml:space="preserve"> et </w:t>
      </w:r>
      <w:r w:rsidR="001C1924">
        <w:rPr>
          <w:rFonts w:asciiTheme="minorHAnsi" w:hAnsiTheme="minorHAnsi" w:cstheme="minorHAnsi"/>
          <w:lang w:val="fr-CH"/>
        </w:rPr>
        <w:t>à</w:t>
      </w:r>
      <w:r w:rsidR="00EB49AC">
        <w:rPr>
          <w:rFonts w:asciiTheme="minorHAnsi" w:hAnsiTheme="minorHAnsi" w:cstheme="minorHAnsi"/>
          <w:lang w:val="fr-CH"/>
        </w:rPr>
        <w:t xml:space="preserve"> soutenir le renforcement des capacités des éducateurs </w:t>
      </w:r>
      <w:r w:rsidR="001C1924">
        <w:rPr>
          <w:rFonts w:asciiTheme="minorHAnsi" w:hAnsiTheme="minorHAnsi" w:cstheme="minorHAnsi"/>
          <w:lang w:val="fr-CH"/>
        </w:rPr>
        <w:t>dans le domaine des</w:t>
      </w:r>
      <w:r w:rsidR="00EB49AC">
        <w:rPr>
          <w:rFonts w:asciiTheme="minorHAnsi" w:hAnsiTheme="minorHAnsi" w:cstheme="minorHAnsi"/>
          <w:lang w:val="fr-CH"/>
        </w:rPr>
        <w:t xml:space="preserve"> science</w:t>
      </w:r>
      <w:r w:rsidR="001C1924">
        <w:rPr>
          <w:rFonts w:asciiTheme="minorHAnsi" w:hAnsiTheme="minorHAnsi" w:cstheme="minorHAnsi"/>
          <w:lang w:val="fr-CH"/>
        </w:rPr>
        <w:t>s</w:t>
      </w:r>
      <w:r w:rsidR="00EB49AC">
        <w:rPr>
          <w:rFonts w:asciiTheme="minorHAnsi" w:hAnsiTheme="minorHAnsi" w:cstheme="minorHAnsi"/>
          <w:lang w:val="fr-CH"/>
        </w:rPr>
        <w:t xml:space="preserve"> des zones humides, </w:t>
      </w:r>
      <w:r w:rsidR="001C1924">
        <w:rPr>
          <w:rFonts w:asciiTheme="minorHAnsi" w:hAnsiTheme="minorHAnsi" w:cstheme="minorHAnsi"/>
          <w:lang w:val="fr-CH"/>
        </w:rPr>
        <w:t>notamment les</w:t>
      </w:r>
      <w:r w:rsidR="00EB49AC">
        <w:rPr>
          <w:rFonts w:asciiTheme="minorHAnsi" w:hAnsiTheme="minorHAnsi" w:cstheme="minorHAnsi"/>
          <w:lang w:val="fr-CH"/>
        </w:rPr>
        <w:t xml:space="preserve"> enseignants, </w:t>
      </w:r>
      <w:r w:rsidR="001C1924">
        <w:rPr>
          <w:rFonts w:asciiTheme="minorHAnsi" w:hAnsiTheme="minorHAnsi" w:cstheme="minorHAnsi"/>
          <w:lang w:val="fr-CH"/>
        </w:rPr>
        <w:t>l</w:t>
      </w:r>
      <w:r w:rsidR="00EB49AC">
        <w:rPr>
          <w:rFonts w:asciiTheme="minorHAnsi" w:hAnsiTheme="minorHAnsi" w:cstheme="minorHAnsi"/>
          <w:lang w:val="fr-CH"/>
        </w:rPr>
        <w:t xml:space="preserve">es instructeurs et </w:t>
      </w:r>
      <w:r w:rsidR="001C1924">
        <w:rPr>
          <w:rFonts w:asciiTheme="minorHAnsi" w:hAnsiTheme="minorHAnsi" w:cstheme="minorHAnsi"/>
          <w:lang w:val="fr-CH"/>
        </w:rPr>
        <w:t>l</w:t>
      </w:r>
      <w:r w:rsidR="00EB49AC">
        <w:rPr>
          <w:rFonts w:asciiTheme="minorHAnsi" w:hAnsiTheme="minorHAnsi" w:cstheme="minorHAnsi"/>
          <w:lang w:val="fr-CH"/>
        </w:rPr>
        <w:t>es éco</w:t>
      </w:r>
      <w:r w:rsidR="00EB49AC">
        <w:rPr>
          <w:rFonts w:asciiTheme="minorHAnsi" w:hAnsiTheme="minorHAnsi" w:cstheme="minorHAnsi"/>
          <w:lang w:val="fr-CH"/>
        </w:rPr>
        <w:noBreakHyphen/>
        <w:t>interprètes dans les centres pour les zones humides.</w:t>
      </w:r>
    </w:p>
    <w:p w14:paraId="7E4CE6E9" w14:textId="77777777" w:rsidR="00DB2020" w:rsidRPr="009D015A" w:rsidRDefault="00DB2020" w:rsidP="00441F06">
      <w:pPr>
        <w:pStyle w:val="ListParagraph"/>
        <w:ind w:left="426" w:hanging="426"/>
        <w:rPr>
          <w:rFonts w:asciiTheme="minorHAnsi" w:hAnsiTheme="minorHAnsi" w:cstheme="minorHAnsi"/>
          <w:lang w:val="fr-CH"/>
        </w:rPr>
      </w:pPr>
    </w:p>
    <w:p w14:paraId="674365D0" w14:textId="763201DA" w:rsidR="00DB2020"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t>19.</w:t>
      </w:r>
      <w:r w:rsidRPr="009D015A">
        <w:rPr>
          <w:rFonts w:asciiTheme="minorHAnsi" w:hAnsiTheme="minorHAnsi" w:cstheme="minorHAnsi"/>
          <w:lang w:val="fr-CH"/>
        </w:rPr>
        <w:tab/>
      </w:r>
      <w:r w:rsidR="00EB49AC">
        <w:rPr>
          <w:rFonts w:asciiTheme="minorHAnsi" w:hAnsiTheme="minorHAnsi" w:cstheme="minorHAnsi"/>
          <w:lang w:val="fr-CH"/>
        </w:rPr>
        <w:t xml:space="preserve">APPELLE les Parties contractantes à tenir compte d’autres secteurs </w:t>
      </w:r>
      <w:r w:rsidR="001C1924">
        <w:rPr>
          <w:rFonts w:asciiTheme="minorHAnsi" w:hAnsiTheme="minorHAnsi" w:cstheme="minorHAnsi"/>
          <w:lang w:val="fr-CH"/>
        </w:rPr>
        <w:t>de l</w:t>
      </w:r>
      <w:r w:rsidR="00EB49AC">
        <w:rPr>
          <w:rFonts w:asciiTheme="minorHAnsi" w:hAnsiTheme="minorHAnsi" w:cstheme="minorHAnsi"/>
          <w:lang w:val="fr-CH"/>
        </w:rPr>
        <w:t xml:space="preserve">’éducation, tels que les autorités </w:t>
      </w:r>
      <w:r w:rsidR="001C1924">
        <w:rPr>
          <w:rFonts w:asciiTheme="minorHAnsi" w:hAnsiTheme="minorHAnsi" w:cstheme="minorHAnsi"/>
          <w:lang w:val="fr-CH"/>
        </w:rPr>
        <w:t>chargées de préparer</w:t>
      </w:r>
      <w:r w:rsidR="00EB49AC">
        <w:rPr>
          <w:rFonts w:asciiTheme="minorHAnsi" w:hAnsiTheme="minorHAnsi" w:cstheme="minorHAnsi"/>
          <w:lang w:val="fr-CH"/>
        </w:rPr>
        <w:t xml:space="preserve"> les programmes, les universités et les formateurs </w:t>
      </w:r>
      <w:r w:rsidR="001C1924">
        <w:rPr>
          <w:rFonts w:asciiTheme="minorHAnsi" w:hAnsiTheme="minorHAnsi" w:cstheme="minorHAnsi"/>
          <w:lang w:val="fr-CH"/>
        </w:rPr>
        <w:t>en cours d’emploi</w:t>
      </w:r>
      <w:r w:rsidR="00EB49AC">
        <w:rPr>
          <w:rFonts w:asciiTheme="minorHAnsi" w:hAnsiTheme="minorHAnsi" w:cstheme="minorHAnsi"/>
          <w:lang w:val="fr-CH"/>
        </w:rPr>
        <w:t>, et les associations nationales et internationales d’enseignants</w:t>
      </w:r>
      <w:r w:rsidR="00951401">
        <w:rPr>
          <w:rFonts w:asciiTheme="minorHAnsi" w:hAnsiTheme="minorHAnsi" w:cstheme="minorHAnsi"/>
          <w:lang w:val="fr-CH"/>
        </w:rPr>
        <w:t>,</w:t>
      </w:r>
      <w:r w:rsidR="00EB49AC">
        <w:rPr>
          <w:rFonts w:asciiTheme="minorHAnsi" w:hAnsiTheme="minorHAnsi" w:cstheme="minorHAnsi"/>
          <w:lang w:val="fr-CH"/>
        </w:rPr>
        <w:t xml:space="preserve"> s’il y a lieu, qui peuvent aider à introduire les thèmes relatifs aux zones humides dans le</w:t>
      </w:r>
      <w:r w:rsidR="001C1924">
        <w:rPr>
          <w:rFonts w:asciiTheme="minorHAnsi" w:hAnsiTheme="minorHAnsi" w:cstheme="minorHAnsi"/>
          <w:lang w:val="fr-CH"/>
        </w:rPr>
        <w:t>s</w:t>
      </w:r>
      <w:r w:rsidR="00EB49AC">
        <w:rPr>
          <w:rFonts w:asciiTheme="minorHAnsi" w:hAnsiTheme="minorHAnsi" w:cstheme="minorHAnsi"/>
          <w:lang w:val="fr-CH"/>
        </w:rPr>
        <w:t xml:space="preserve"> programme</w:t>
      </w:r>
      <w:r w:rsidR="001C1924">
        <w:rPr>
          <w:rFonts w:asciiTheme="minorHAnsi" w:hAnsiTheme="minorHAnsi" w:cstheme="minorHAnsi"/>
          <w:lang w:val="fr-CH"/>
        </w:rPr>
        <w:t>s</w:t>
      </w:r>
      <w:r w:rsidR="00EB49AC">
        <w:rPr>
          <w:rFonts w:asciiTheme="minorHAnsi" w:hAnsiTheme="minorHAnsi" w:cstheme="minorHAnsi"/>
          <w:lang w:val="fr-CH"/>
        </w:rPr>
        <w:t xml:space="preserve"> officiel</w:t>
      </w:r>
      <w:r w:rsidR="001C1924">
        <w:rPr>
          <w:rFonts w:asciiTheme="minorHAnsi" w:hAnsiTheme="minorHAnsi" w:cstheme="minorHAnsi"/>
          <w:lang w:val="fr-CH"/>
        </w:rPr>
        <w:t>s</w:t>
      </w:r>
      <w:r w:rsidR="00EB49AC">
        <w:rPr>
          <w:rFonts w:asciiTheme="minorHAnsi" w:hAnsiTheme="minorHAnsi" w:cstheme="minorHAnsi"/>
          <w:lang w:val="fr-CH"/>
        </w:rPr>
        <w:t xml:space="preserve">.  </w:t>
      </w:r>
    </w:p>
    <w:p w14:paraId="1FA5CF6E" w14:textId="77777777" w:rsidR="00DB2020" w:rsidRPr="009D015A" w:rsidRDefault="00DB2020" w:rsidP="00441F06">
      <w:pPr>
        <w:pStyle w:val="ListParagraph"/>
        <w:ind w:left="426" w:hanging="426"/>
        <w:rPr>
          <w:rFonts w:asciiTheme="minorHAnsi" w:hAnsiTheme="minorHAnsi" w:cstheme="minorHAnsi"/>
          <w:lang w:val="fr-CH"/>
        </w:rPr>
      </w:pPr>
    </w:p>
    <w:p w14:paraId="371373E5" w14:textId="77C82814" w:rsidR="00DB2020"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t>20.</w:t>
      </w:r>
      <w:r w:rsidRPr="009D015A">
        <w:rPr>
          <w:rFonts w:asciiTheme="minorHAnsi" w:hAnsiTheme="minorHAnsi" w:cstheme="minorHAnsi"/>
          <w:lang w:val="fr-CH"/>
        </w:rPr>
        <w:tab/>
      </w:r>
      <w:r w:rsidR="00DB2020" w:rsidRPr="009D015A">
        <w:rPr>
          <w:rFonts w:asciiTheme="minorHAnsi" w:hAnsiTheme="minorHAnsi" w:cstheme="minorHAnsi"/>
          <w:lang w:val="fr-CH"/>
        </w:rPr>
        <w:t>ENCOURAGE</w:t>
      </w:r>
      <w:r w:rsidR="00EB49AC">
        <w:rPr>
          <w:rFonts w:asciiTheme="minorHAnsi" w:hAnsiTheme="minorHAnsi" w:cstheme="minorHAnsi"/>
          <w:lang w:val="fr-CH"/>
        </w:rPr>
        <w:t xml:space="preserve"> les Parties contractantes à chercher </w:t>
      </w:r>
      <w:r w:rsidR="001C1924">
        <w:rPr>
          <w:rFonts w:asciiTheme="minorHAnsi" w:hAnsiTheme="minorHAnsi" w:cstheme="minorHAnsi"/>
          <w:lang w:val="fr-CH"/>
        </w:rPr>
        <w:t>à</w:t>
      </w:r>
      <w:r w:rsidR="00EB49AC">
        <w:rPr>
          <w:rFonts w:asciiTheme="minorHAnsi" w:hAnsiTheme="minorHAnsi" w:cstheme="minorHAnsi"/>
          <w:lang w:val="fr-CH"/>
        </w:rPr>
        <w:t xml:space="preserve"> soutenir </w:t>
      </w:r>
      <w:r w:rsidR="001C1924">
        <w:rPr>
          <w:rFonts w:asciiTheme="minorHAnsi" w:hAnsiTheme="minorHAnsi" w:cstheme="minorHAnsi"/>
          <w:lang w:val="fr-CH"/>
        </w:rPr>
        <w:t>d</w:t>
      </w:r>
      <w:r w:rsidR="00EB49AC">
        <w:rPr>
          <w:rFonts w:asciiTheme="minorHAnsi" w:hAnsiTheme="minorHAnsi" w:cstheme="minorHAnsi"/>
          <w:lang w:val="fr-CH"/>
        </w:rPr>
        <w:t xml:space="preserve">es initiatives de science citoyenne </w:t>
      </w:r>
      <w:r w:rsidR="004C04FB">
        <w:rPr>
          <w:rFonts w:asciiTheme="minorHAnsi" w:hAnsiTheme="minorHAnsi" w:cstheme="minorHAnsi"/>
          <w:lang w:val="fr-CH"/>
        </w:rPr>
        <w:t>axées sur</w:t>
      </w:r>
      <w:r w:rsidR="00EB49AC">
        <w:rPr>
          <w:rFonts w:asciiTheme="minorHAnsi" w:hAnsiTheme="minorHAnsi" w:cstheme="minorHAnsi"/>
          <w:lang w:val="fr-CH"/>
        </w:rPr>
        <w:t xml:space="preserve"> les zones humides et </w:t>
      </w:r>
      <w:r w:rsidR="004C04FB">
        <w:rPr>
          <w:rFonts w:asciiTheme="minorHAnsi" w:hAnsiTheme="minorHAnsi" w:cstheme="minorHAnsi"/>
          <w:lang w:val="fr-CH"/>
        </w:rPr>
        <w:t xml:space="preserve">mises en œuvre </w:t>
      </w:r>
      <w:r w:rsidR="00EB49AC">
        <w:rPr>
          <w:rFonts w:asciiTheme="minorHAnsi" w:hAnsiTheme="minorHAnsi" w:cstheme="minorHAnsi"/>
          <w:lang w:val="fr-CH"/>
        </w:rPr>
        <w:t xml:space="preserve">par des organisations </w:t>
      </w:r>
      <w:r w:rsidR="004C04FB">
        <w:rPr>
          <w:rFonts w:asciiTheme="minorHAnsi" w:hAnsiTheme="minorHAnsi" w:cstheme="minorHAnsi"/>
          <w:lang w:val="fr-CH"/>
        </w:rPr>
        <w:t>dédiées</w:t>
      </w:r>
      <w:r w:rsidR="00EB49AC">
        <w:rPr>
          <w:rFonts w:asciiTheme="minorHAnsi" w:hAnsiTheme="minorHAnsi" w:cstheme="minorHAnsi"/>
          <w:lang w:val="fr-CH"/>
        </w:rPr>
        <w:t xml:space="preserve"> aux zones humides. </w:t>
      </w:r>
      <w:r w:rsidR="00DB2020" w:rsidRPr="009D015A">
        <w:rPr>
          <w:rFonts w:asciiTheme="minorHAnsi" w:hAnsiTheme="minorHAnsi" w:cstheme="minorHAnsi"/>
          <w:lang w:val="fr-CH"/>
        </w:rPr>
        <w:t xml:space="preserve"> </w:t>
      </w:r>
    </w:p>
    <w:p w14:paraId="0051F63B" w14:textId="77777777" w:rsidR="00DB2020" w:rsidRPr="009D015A" w:rsidRDefault="00DB2020" w:rsidP="00441F06">
      <w:pPr>
        <w:pStyle w:val="ListParagraph"/>
        <w:ind w:left="426" w:hanging="426"/>
        <w:rPr>
          <w:rFonts w:asciiTheme="minorHAnsi" w:hAnsiTheme="minorHAnsi" w:cstheme="minorHAnsi"/>
          <w:lang w:val="fr-CH"/>
        </w:rPr>
      </w:pPr>
    </w:p>
    <w:p w14:paraId="635FE756" w14:textId="4EA08965" w:rsidR="00DB2020"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t>21.</w:t>
      </w:r>
      <w:r w:rsidRPr="009D015A">
        <w:rPr>
          <w:rFonts w:asciiTheme="minorHAnsi" w:hAnsiTheme="minorHAnsi" w:cstheme="minorHAnsi"/>
          <w:lang w:val="fr-CH"/>
        </w:rPr>
        <w:tab/>
      </w:r>
      <w:r w:rsidR="00EB49AC">
        <w:rPr>
          <w:rFonts w:asciiTheme="minorHAnsi" w:hAnsiTheme="minorHAnsi" w:cstheme="minorHAnsi"/>
          <w:lang w:val="fr-CH"/>
        </w:rPr>
        <w:t xml:space="preserve">ENCOURAGE </w:t>
      </w:r>
      <w:r w:rsidR="007F153D">
        <w:rPr>
          <w:rFonts w:asciiTheme="minorHAnsi" w:hAnsiTheme="minorHAnsi" w:cstheme="minorHAnsi"/>
          <w:lang w:val="fr-CH"/>
        </w:rPr>
        <w:t>AUSSI</w:t>
      </w:r>
      <w:r w:rsidR="00EB49AC">
        <w:rPr>
          <w:rFonts w:asciiTheme="minorHAnsi" w:hAnsiTheme="minorHAnsi" w:cstheme="minorHAnsi"/>
          <w:lang w:val="fr-CH"/>
        </w:rPr>
        <w:t xml:space="preserve"> les Parties contractantes à </w:t>
      </w:r>
      <w:r w:rsidR="007F153D">
        <w:rPr>
          <w:rFonts w:asciiTheme="minorHAnsi" w:hAnsiTheme="minorHAnsi" w:cstheme="minorHAnsi"/>
          <w:lang w:val="fr-CH"/>
        </w:rPr>
        <w:t>recourir aux</w:t>
      </w:r>
      <w:r w:rsidR="00EB49AC">
        <w:rPr>
          <w:rFonts w:asciiTheme="minorHAnsi" w:hAnsiTheme="minorHAnsi" w:cstheme="minorHAnsi"/>
          <w:lang w:val="fr-CH"/>
        </w:rPr>
        <w:t xml:space="preserve"> plateformes pédagogiques en ligne existantes proposées par des organisations internationales et régionales telles que </w:t>
      </w:r>
      <w:r w:rsidR="00DB2020" w:rsidRPr="00655DA2">
        <w:rPr>
          <w:rFonts w:asciiTheme="minorHAnsi" w:hAnsiTheme="minorHAnsi" w:cstheme="minorHAnsi"/>
          <w:i/>
          <w:lang w:val="fr-CH"/>
        </w:rPr>
        <w:t>Learning for Nature</w:t>
      </w:r>
      <w:r w:rsidR="00DB2020" w:rsidRPr="009D015A">
        <w:rPr>
          <w:rFonts w:asciiTheme="minorHAnsi" w:hAnsiTheme="minorHAnsi" w:cstheme="minorHAnsi"/>
          <w:lang w:val="fr-CH"/>
        </w:rPr>
        <w:t xml:space="preserve"> </w:t>
      </w:r>
      <w:r w:rsidR="00EB49AC">
        <w:rPr>
          <w:rFonts w:asciiTheme="minorHAnsi" w:hAnsiTheme="minorHAnsi" w:cstheme="minorHAnsi"/>
          <w:lang w:val="fr-CH"/>
        </w:rPr>
        <w:t>du PNUD et</w:t>
      </w:r>
      <w:r w:rsidR="00DB2020" w:rsidRPr="009D015A">
        <w:rPr>
          <w:rFonts w:asciiTheme="minorHAnsi" w:hAnsiTheme="minorHAnsi" w:cstheme="minorHAnsi"/>
          <w:lang w:val="fr-CH"/>
        </w:rPr>
        <w:t xml:space="preserve"> </w:t>
      </w:r>
      <w:r w:rsidR="00DB2020" w:rsidRPr="00655DA2">
        <w:rPr>
          <w:rFonts w:asciiTheme="minorHAnsi" w:hAnsiTheme="minorHAnsi" w:cstheme="minorHAnsi"/>
          <w:i/>
          <w:lang w:val="fr-CH"/>
        </w:rPr>
        <w:t>Earth School</w:t>
      </w:r>
      <w:r w:rsidR="00DB2020" w:rsidRPr="009D015A">
        <w:rPr>
          <w:rFonts w:asciiTheme="minorHAnsi" w:hAnsiTheme="minorHAnsi" w:cstheme="minorHAnsi"/>
          <w:lang w:val="fr-CH"/>
        </w:rPr>
        <w:t xml:space="preserve"> </w:t>
      </w:r>
      <w:r w:rsidR="00EB49AC">
        <w:rPr>
          <w:rFonts w:asciiTheme="minorHAnsi" w:hAnsiTheme="minorHAnsi" w:cstheme="minorHAnsi"/>
          <w:lang w:val="fr-CH"/>
        </w:rPr>
        <w:t xml:space="preserve">du PNUE et </w:t>
      </w:r>
      <w:r w:rsidR="007F153D">
        <w:rPr>
          <w:rFonts w:asciiTheme="minorHAnsi" w:hAnsiTheme="minorHAnsi" w:cstheme="minorHAnsi"/>
          <w:lang w:val="fr-CH"/>
        </w:rPr>
        <w:t>aux</w:t>
      </w:r>
      <w:r w:rsidR="00EB49AC">
        <w:rPr>
          <w:rFonts w:asciiTheme="minorHAnsi" w:hAnsiTheme="minorHAnsi" w:cstheme="minorHAnsi"/>
          <w:lang w:val="fr-CH"/>
        </w:rPr>
        <w:t xml:space="preserve"> modèles de programmes pédagogiques existants avec </w:t>
      </w:r>
      <w:r w:rsidR="005928A0">
        <w:rPr>
          <w:rFonts w:asciiTheme="minorHAnsi" w:hAnsiTheme="minorHAnsi" w:cstheme="minorHAnsi"/>
          <w:lang w:val="fr-CH"/>
        </w:rPr>
        <w:t>des supports</w:t>
      </w:r>
      <w:r w:rsidR="00EB49AC">
        <w:rPr>
          <w:rFonts w:asciiTheme="minorHAnsi" w:hAnsiTheme="minorHAnsi" w:cstheme="minorHAnsi"/>
          <w:lang w:val="fr-CH"/>
        </w:rPr>
        <w:t xml:space="preserve"> pédagogique</w:t>
      </w:r>
      <w:r w:rsidR="005928A0">
        <w:rPr>
          <w:rFonts w:asciiTheme="minorHAnsi" w:hAnsiTheme="minorHAnsi" w:cstheme="minorHAnsi"/>
          <w:lang w:val="fr-CH"/>
        </w:rPr>
        <w:t>s</w:t>
      </w:r>
      <w:r w:rsidR="00EB49AC">
        <w:rPr>
          <w:rFonts w:asciiTheme="minorHAnsi" w:hAnsiTheme="minorHAnsi" w:cstheme="minorHAnsi"/>
          <w:lang w:val="fr-CH"/>
        </w:rPr>
        <w:t xml:space="preserve"> de qualité</w:t>
      </w:r>
      <w:r w:rsidR="005928A0">
        <w:rPr>
          <w:rFonts w:asciiTheme="minorHAnsi" w:hAnsiTheme="minorHAnsi" w:cstheme="minorHAnsi"/>
          <w:lang w:val="fr-CH"/>
        </w:rPr>
        <w:t>,</w:t>
      </w:r>
      <w:r w:rsidR="00EB49AC">
        <w:rPr>
          <w:rFonts w:asciiTheme="minorHAnsi" w:hAnsiTheme="minorHAnsi" w:cstheme="minorHAnsi"/>
          <w:lang w:val="fr-CH"/>
        </w:rPr>
        <w:t xml:space="preserve"> </w:t>
      </w:r>
      <w:r w:rsidR="007F153D">
        <w:rPr>
          <w:rFonts w:asciiTheme="minorHAnsi" w:hAnsiTheme="minorHAnsi" w:cstheme="minorHAnsi"/>
          <w:lang w:val="fr-CH"/>
        </w:rPr>
        <w:t>adapté</w:t>
      </w:r>
      <w:r w:rsidR="005928A0">
        <w:rPr>
          <w:rFonts w:asciiTheme="minorHAnsi" w:hAnsiTheme="minorHAnsi" w:cstheme="minorHAnsi"/>
          <w:lang w:val="fr-CH"/>
        </w:rPr>
        <w:t>s</w:t>
      </w:r>
      <w:r w:rsidR="007F153D">
        <w:rPr>
          <w:rFonts w:asciiTheme="minorHAnsi" w:hAnsiTheme="minorHAnsi" w:cstheme="minorHAnsi"/>
          <w:lang w:val="fr-CH"/>
        </w:rPr>
        <w:t xml:space="preserve"> pour</w:t>
      </w:r>
      <w:r w:rsidR="00EB49AC">
        <w:rPr>
          <w:rFonts w:asciiTheme="minorHAnsi" w:hAnsiTheme="minorHAnsi" w:cstheme="minorHAnsi"/>
          <w:lang w:val="fr-CH"/>
        </w:rPr>
        <w:t xml:space="preserve"> les écoles et l'accès en ligne.</w:t>
      </w:r>
    </w:p>
    <w:p w14:paraId="713AA708" w14:textId="77777777" w:rsidR="00DB2020" w:rsidRPr="009D015A" w:rsidRDefault="00DB2020" w:rsidP="00441F06">
      <w:pPr>
        <w:ind w:left="426" w:hanging="426"/>
        <w:rPr>
          <w:rFonts w:asciiTheme="minorHAnsi" w:hAnsiTheme="minorHAnsi" w:cstheme="minorHAnsi"/>
          <w:lang w:val="fr-CH"/>
        </w:rPr>
      </w:pPr>
    </w:p>
    <w:p w14:paraId="7226CF7F" w14:textId="5E2B748C" w:rsidR="00DB2020"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t>22.</w:t>
      </w:r>
      <w:r w:rsidRPr="009D015A">
        <w:rPr>
          <w:rFonts w:asciiTheme="minorHAnsi" w:hAnsiTheme="minorHAnsi" w:cstheme="minorHAnsi"/>
          <w:lang w:val="fr-CH"/>
        </w:rPr>
        <w:tab/>
      </w:r>
      <w:r w:rsidR="00DB2020" w:rsidRPr="009D015A">
        <w:rPr>
          <w:rFonts w:asciiTheme="minorHAnsi" w:hAnsiTheme="minorHAnsi" w:cstheme="minorHAnsi"/>
          <w:lang w:val="fr-CH"/>
        </w:rPr>
        <w:t>INVITE</w:t>
      </w:r>
      <w:r w:rsidR="00EB49AC">
        <w:rPr>
          <w:rFonts w:asciiTheme="minorHAnsi" w:hAnsiTheme="minorHAnsi" w:cstheme="minorHAnsi"/>
          <w:lang w:val="fr-CH"/>
        </w:rPr>
        <w:t xml:space="preserve"> les Organisations internationales partenaires (OIP) de la Convention de Ramsar à examiner leurs programmes </w:t>
      </w:r>
      <w:r w:rsidR="007F153D">
        <w:rPr>
          <w:rFonts w:asciiTheme="minorHAnsi" w:hAnsiTheme="minorHAnsi" w:cstheme="minorHAnsi"/>
          <w:lang w:val="fr-CH"/>
        </w:rPr>
        <w:t>pour déterminer les</w:t>
      </w:r>
      <w:r w:rsidR="00EB49AC">
        <w:rPr>
          <w:rFonts w:asciiTheme="minorHAnsi" w:hAnsiTheme="minorHAnsi" w:cstheme="minorHAnsi"/>
          <w:lang w:val="fr-CH"/>
        </w:rPr>
        <w:t xml:space="preserve"> aspects p</w:t>
      </w:r>
      <w:r w:rsidR="007F153D">
        <w:rPr>
          <w:rFonts w:asciiTheme="minorHAnsi" w:hAnsiTheme="minorHAnsi" w:cstheme="minorHAnsi"/>
          <w:lang w:val="fr-CH"/>
        </w:rPr>
        <w:t>o</w:t>
      </w:r>
      <w:r w:rsidR="00EB49AC">
        <w:rPr>
          <w:rFonts w:asciiTheme="minorHAnsi" w:hAnsiTheme="minorHAnsi" w:cstheme="minorHAnsi"/>
          <w:lang w:val="fr-CH"/>
        </w:rPr>
        <w:t>uv</w:t>
      </w:r>
      <w:r w:rsidR="007F153D">
        <w:rPr>
          <w:rFonts w:asciiTheme="minorHAnsi" w:hAnsiTheme="minorHAnsi" w:cstheme="minorHAnsi"/>
          <w:lang w:val="fr-CH"/>
        </w:rPr>
        <w:t>a</w:t>
      </w:r>
      <w:r w:rsidR="00EB49AC">
        <w:rPr>
          <w:rFonts w:asciiTheme="minorHAnsi" w:hAnsiTheme="minorHAnsi" w:cstheme="minorHAnsi"/>
          <w:lang w:val="fr-CH"/>
        </w:rPr>
        <w:t xml:space="preserve">nt être </w:t>
      </w:r>
      <w:r w:rsidR="007F153D">
        <w:rPr>
          <w:rFonts w:asciiTheme="minorHAnsi" w:hAnsiTheme="minorHAnsi" w:cstheme="minorHAnsi"/>
          <w:lang w:val="fr-CH"/>
        </w:rPr>
        <w:t>adaptés</w:t>
      </w:r>
      <w:r w:rsidR="00EB49AC">
        <w:rPr>
          <w:rFonts w:asciiTheme="minorHAnsi" w:hAnsiTheme="minorHAnsi" w:cstheme="minorHAnsi"/>
          <w:lang w:val="fr-CH"/>
        </w:rPr>
        <w:t xml:space="preserve"> et utilisés dans </w:t>
      </w:r>
      <w:r w:rsidR="007F153D">
        <w:rPr>
          <w:rFonts w:asciiTheme="minorHAnsi" w:hAnsiTheme="minorHAnsi" w:cstheme="minorHAnsi"/>
          <w:lang w:val="fr-CH"/>
        </w:rPr>
        <w:t>l’enseignement</w:t>
      </w:r>
      <w:r w:rsidR="00EB49AC">
        <w:rPr>
          <w:rFonts w:asciiTheme="minorHAnsi" w:hAnsiTheme="minorHAnsi" w:cstheme="minorHAnsi"/>
          <w:lang w:val="fr-CH"/>
        </w:rPr>
        <w:t xml:space="preserve"> scolaire. </w:t>
      </w:r>
      <w:r w:rsidR="00DB2020" w:rsidRPr="009D015A">
        <w:rPr>
          <w:rFonts w:asciiTheme="minorHAnsi" w:hAnsiTheme="minorHAnsi" w:cstheme="minorHAnsi"/>
          <w:lang w:val="fr-CH"/>
        </w:rPr>
        <w:t xml:space="preserve"> </w:t>
      </w:r>
    </w:p>
    <w:p w14:paraId="55F32310" w14:textId="77777777" w:rsidR="00DB2020" w:rsidRPr="009D015A" w:rsidRDefault="00DB2020" w:rsidP="00441F06">
      <w:pPr>
        <w:pStyle w:val="ListParagraph"/>
        <w:ind w:left="426" w:hanging="426"/>
        <w:rPr>
          <w:rFonts w:asciiTheme="minorHAnsi" w:hAnsiTheme="minorHAnsi" w:cstheme="minorHAnsi"/>
          <w:lang w:val="fr-CH"/>
        </w:rPr>
      </w:pPr>
    </w:p>
    <w:p w14:paraId="6B94F440" w14:textId="6BF24C1B" w:rsidR="00DB2020" w:rsidRPr="00CE51C1" w:rsidRDefault="00441F06" w:rsidP="00441F06">
      <w:pPr>
        <w:ind w:left="426" w:hanging="426"/>
        <w:rPr>
          <w:rFonts w:asciiTheme="minorHAnsi" w:hAnsiTheme="minorHAnsi" w:cstheme="minorHAnsi"/>
          <w:color w:val="FF0000"/>
          <w:lang w:val="fr-CH"/>
        </w:rPr>
      </w:pPr>
      <w:r w:rsidRPr="009D015A">
        <w:rPr>
          <w:rFonts w:asciiTheme="minorHAnsi" w:hAnsiTheme="minorHAnsi" w:cstheme="minorHAnsi"/>
          <w:lang w:val="fr-CH"/>
        </w:rPr>
        <w:t>23.</w:t>
      </w:r>
      <w:r w:rsidRPr="009D015A">
        <w:rPr>
          <w:rFonts w:asciiTheme="minorHAnsi" w:hAnsiTheme="minorHAnsi" w:cstheme="minorHAnsi"/>
          <w:lang w:val="fr-CH"/>
        </w:rPr>
        <w:tab/>
      </w:r>
      <w:r w:rsidR="00EB49AC">
        <w:rPr>
          <w:rFonts w:asciiTheme="minorHAnsi" w:hAnsiTheme="minorHAnsi" w:cstheme="minorHAnsi"/>
          <w:lang w:val="fr-CH"/>
        </w:rPr>
        <w:t>APPELLE les Parties contractantes à partager des exemples de bon</w:t>
      </w:r>
      <w:r w:rsidR="005928A0">
        <w:rPr>
          <w:rFonts w:asciiTheme="minorHAnsi" w:hAnsiTheme="minorHAnsi" w:cstheme="minorHAnsi"/>
          <w:lang w:val="fr-CH"/>
        </w:rPr>
        <w:t>s supports</w:t>
      </w:r>
      <w:r w:rsidR="00EB49AC">
        <w:rPr>
          <w:rFonts w:asciiTheme="minorHAnsi" w:hAnsiTheme="minorHAnsi" w:cstheme="minorHAnsi"/>
          <w:lang w:val="fr-CH"/>
        </w:rPr>
        <w:t xml:space="preserve"> et programmes </w:t>
      </w:r>
      <w:r w:rsidR="00CE51C1">
        <w:rPr>
          <w:rFonts w:asciiTheme="minorHAnsi" w:hAnsiTheme="minorHAnsi" w:cstheme="minorHAnsi"/>
          <w:lang w:val="fr-CH"/>
        </w:rPr>
        <w:t>pédagogiques sur les</w:t>
      </w:r>
      <w:r w:rsidR="00EB49AC">
        <w:rPr>
          <w:rFonts w:asciiTheme="minorHAnsi" w:hAnsiTheme="minorHAnsi" w:cstheme="minorHAnsi"/>
          <w:lang w:val="fr-CH"/>
        </w:rPr>
        <w:t xml:space="preserve"> zones humides </w:t>
      </w:r>
      <w:r w:rsidR="00A95812">
        <w:rPr>
          <w:rFonts w:asciiTheme="minorHAnsi" w:hAnsiTheme="minorHAnsi" w:cstheme="minorHAnsi"/>
          <w:lang w:val="fr-CH"/>
        </w:rPr>
        <w:t>ou de programmes</w:t>
      </w:r>
      <w:r w:rsidR="00CE51C1">
        <w:rPr>
          <w:rFonts w:asciiTheme="minorHAnsi" w:hAnsiTheme="minorHAnsi" w:cstheme="minorHAnsi"/>
          <w:lang w:val="fr-CH"/>
        </w:rPr>
        <w:t xml:space="preserve"> d’enseignement</w:t>
      </w:r>
      <w:r w:rsidR="00A95812">
        <w:rPr>
          <w:rFonts w:asciiTheme="minorHAnsi" w:hAnsiTheme="minorHAnsi" w:cstheme="minorHAnsi"/>
          <w:lang w:val="fr-CH"/>
        </w:rPr>
        <w:t xml:space="preserve"> scolaire</w:t>
      </w:r>
      <w:r w:rsidR="00CE51C1">
        <w:rPr>
          <w:rFonts w:asciiTheme="minorHAnsi" w:hAnsiTheme="minorHAnsi" w:cstheme="minorHAnsi"/>
          <w:lang w:val="fr-CH"/>
        </w:rPr>
        <w:t>,</w:t>
      </w:r>
      <w:r w:rsidR="00A95812">
        <w:rPr>
          <w:rFonts w:asciiTheme="minorHAnsi" w:hAnsiTheme="minorHAnsi" w:cstheme="minorHAnsi"/>
          <w:lang w:val="fr-CH"/>
        </w:rPr>
        <w:t xml:space="preserve"> sur le site web de Ramsar ou </w:t>
      </w:r>
      <w:r w:rsidR="00CE51C1">
        <w:rPr>
          <w:rFonts w:asciiTheme="minorHAnsi" w:hAnsiTheme="minorHAnsi" w:cstheme="minorHAnsi"/>
          <w:lang w:val="fr-CH"/>
        </w:rPr>
        <w:t xml:space="preserve">par </w:t>
      </w:r>
      <w:r w:rsidR="00A95812">
        <w:rPr>
          <w:rFonts w:asciiTheme="minorHAnsi" w:hAnsiTheme="minorHAnsi" w:cstheme="minorHAnsi"/>
          <w:lang w:val="fr-CH"/>
        </w:rPr>
        <w:t xml:space="preserve">d’autres </w:t>
      </w:r>
      <w:r w:rsidR="00CE51C1">
        <w:rPr>
          <w:rFonts w:asciiTheme="minorHAnsi" w:hAnsiTheme="minorHAnsi" w:cstheme="minorHAnsi"/>
          <w:lang w:val="fr-CH"/>
        </w:rPr>
        <w:t>moyens de communication,</w:t>
      </w:r>
      <w:r w:rsidR="00A95812">
        <w:rPr>
          <w:rFonts w:asciiTheme="minorHAnsi" w:hAnsiTheme="minorHAnsi" w:cstheme="minorHAnsi"/>
          <w:lang w:val="fr-CH"/>
        </w:rPr>
        <w:t xml:space="preserve"> en coopération avec les Initiatives régionales Ramsar, en particulier les Centres régionaux Ramsar, et avec d’autres programmes et réseaux pertinents tels que le WLI, le réseau mondial des centres de zones humides.</w:t>
      </w:r>
      <w:r w:rsidR="00CE51C1" w:rsidRPr="00CE51C1">
        <w:rPr>
          <w:lang w:val="fr-FR"/>
        </w:rPr>
        <w:t xml:space="preserve"> </w:t>
      </w:r>
    </w:p>
    <w:p w14:paraId="4C6B3A7A" w14:textId="77777777" w:rsidR="00DB2020" w:rsidRPr="009D015A" w:rsidRDefault="00DB2020" w:rsidP="00441F06">
      <w:pPr>
        <w:pStyle w:val="ListParagraph"/>
        <w:ind w:left="426" w:hanging="426"/>
        <w:rPr>
          <w:rFonts w:asciiTheme="minorHAnsi" w:hAnsiTheme="minorHAnsi" w:cstheme="minorHAnsi"/>
          <w:lang w:val="fr-CH"/>
        </w:rPr>
      </w:pPr>
    </w:p>
    <w:p w14:paraId="48AF44A5" w14:textId="138B70D3" w:rsidR="00DB2020"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lastRenderedPageBreak/>
        <w:t>24.</w:t>
      </w:r>
      <w:r w:rsidRPr="009D015A">
        <w:rPr>
          <w:rFonts w:asciiTheme="minorHAnsi" w:hAnsiTheme="minorHAnsi" w:cstheme="minorHAnsi"/>
          <w:lang w:val="fr-CH"/>
        </w:rPr>
        <w:tab/>
      </w:r>
      <w:r w:rsidR="00A95812">
        <w:rPr>
          <w:rFonts w:asciiTheme="minorHAnsi" w:hAnsiTheme="minorHAnsi" w:cstheme="minorHAnsi"/>
          <w:lang w:val="fr-CH"/>
        </w:rPr>
        <w:t xml:space="preserve">PRIE INSTAMMENT les Parties contractantes d’utiliser les Rapports nationaux pour fournir des informations spécifiques sur l’éducation aux zones humides </w:t>
      </w:r>
      <w:r w:rsidR="00571F99">
        <w:rPr>
          <w:rFonts w:asciiTheme="minorHAnsi" w:hAnsiTheme="minorHAnsi" w:cstheme="minorHAnsi"/>
          <w:lang w:val="fr-CH"/>
        </w:rPr>
        <w:t>en milieu scolaire</w:t>
      </w:r>
      <w:r w:rsidR="00A95812">
        <w:rPr>
          <w:rFonts w:asciiTheme="minorHAnsi" w:hAnsiTheme="minorHAnsi" w:cstheme="minorHAnsi"/>
          <w:lang w:val="fr-CH"/>
        </w:rPr>
        <w:t xml:space="preserve"> dans leurs pays.</w:t>
      </w:r>
    </w:p>
    <w:p w14:paraId="06E93E1E" w14:textId="77777777" w:rsidR="00DB2020" w:rsidRPr="009D015A" w:rsidRDefault="00DB2020" w:rsidP="00441F06">
      <w:pPr>
        <w:pStyle w:val="ListParagraph"/>
        <w:ind w:left="426" w:hanging="426"/>
        <w:rPr>
          <w:rFonts w:asciiTheme="minorHAnsi" w:hAnsiTheme="minorHAnsi" w:cstheme="minorHAnsi"/>
          <w:lang w:val="fr-CH"/>
        </w:rPr>
      </w:pPr>
    </w:p>
    <w:p w14:paraId="29A65124" w14:textId="603B56C6" w:rsidR="0032390A"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eastAsia="ko-KR"/>
        </w:rPr>
        <w:t>25.</w:t>
      </w:r>
      <w:r w:rsidRPr="009D015A">
        <w:rPr>
          <w:rFonts w:asciiTheme="minorHAnsi" w:hAnsiTheme="minorHAnsi" w:cstheme="minorHAnsi"/>
          <w:lang w:val="fr-CH" w:eastAsia="ko-KR"/>
        </w:rPr>
        <w:tab/>
      </w:r>
      <w:r w:rsidR="00A95812">
        <w:rPr>
          <w:rFonts w:asciiTheme="minorHAnsi" w:hAnsiTheme="minorHAnsi" w:cstheme="minorHAnsi"/>
          <w:lang w:val="fr-CH" w:eastAsia="ko-KR"/>
        </w:rPr>
        <w:t xml:space="preserve">DONNE INSTRUCTION au Secrétariat d’inclure l’éducation aux zones humides comme indicateur dans les </w:t>
      </w:r>
      <w:r w:rsidR="00F749AE">
        <w:rPr>
          <w:rFonts w:asciiTheme="minorHAnsi" w:hAnsiTheme="minorHAnsi" w:cstheme="minorHAnsi"/>
          <w:lang w:val="fr-CH" w:eastAsia="ko-KR"/>
        </w:rPr>
        <w:t>r</w:t>
      </w:r>
      <w:r w:rsidR="00A95812">
        <w:rPr>
          <w:rFonts w:asciiTheme="minorHAnsi" w:hAnsiTheme="minorHAnsi" w:cstheme="minorHAnsi"/>
          <w:lang w:val="fr-CH" w:eastAsia="ko-KR"/>
        </w:rPr>
        <w:t xml:space="preserve">apports nationaux, d’analyser les progrès d’élaboration et d’application des programmes d’éducation aux zones humides </w:t>
      </w:r>
      <w:r w:rsidR="00711D18">
        <w:rPr>
          <w:rFonts w:asciiTheme="minorHAnsi" w:hAnsiTheme="minorHAnsi" w:cstheme="minorHAnsi"/>
          <w:lang w:val="fr-CH" w:eastAsia="ko-KR"/>
        </w:rPr>
        <w:t>d’après</w:t>
      </w:r>
      <w:r w:rsidR="00A95812">
        <w:rPr>
          <w:rFonts w:asciiTheme="minorHAnsi" w:hAnsiTheme="minorHAnsi" w:cstheme="minorHAnsi"/>
          <w:lang w:val="fr-CH" w:eastAsia="ko-KR"/>
        </w:rPr>
        <w:t xml:space="preserve"> les </w:t>
      </w:r>
      <w:r w:rsidR="00F749AE">
        <w:rPr>
          <w:rFonts w:asciiTheme="minorHAnsi" w:hAnsiTheme="minorHAnsi" w:cstheme="minorHAnsi"/>
          <w:lang w:val="fr-CH" w:eastAsia="ko-KR"/>
        </w:rPr>
        <w:t>r</w:t>
      </w:r>
      <w:r w:rsidR="00A95812">
        <w:rPr>
          <w:rFonts w:asciiTheme="minorHAnsi" w:hAnsiTheme="minorHAnsi" w:cstheme="minorHAnsi"/>
          <w:lang w:val="fr-CH" w:eastAsia="ko-KR"/>
        </w:rPr>
        <w:t>apports nationaux, en coopération avec le Groupe de surveillance des activités de CESP, et de faire rapport sur les progrès aux Parties contractantes par l’intermédiaire de la COP, dans le but d’in</w:t>
      </w:r>
      <w:r w:rsidR="00711D18">
        <w:rPr>
          <w:rFonts w:asciiTheme="minorHAnsi" w:hAnsiTheme="minorHAnsi" w:cstheme="minorHAnsi"/>
          <w:lang w:val="fr-CH" w:eastAsia="ko-KR"/>
        </w:rPr>
        <w:t>tégrer</w:t>
      </w:r>
      <w:r w:rsidR="00A95812">
        <w:rPr>
          <w:rFonts w:asciiTheme="minorHAnsi" w:hAnsiTheme="minorHAnsi" w:cstheme="minorHAnsi"/>
          <w:lang w:val="fr-CH" w:eastAsia="ko-KR"/>
        </w:rPr>
        <w:t xml:space="preserve"> l’éducation aux zones humides dans </w:t>
      </w:r>
      <w:r w:rsidR="00711D18">
        <w:rPr>
          <w:rFonts w:asciiTheme="minorHAnsi" w:hAnsiTheme="minorHAnsi" w:cstheme="minorHAnsi"/>
          <w:lang w:val="fr-CH" w:eastAsia="ko-KR"/>
        </w:rPr>
        <w:t>l’enseignement officiel</w:t>
      </w:r>
      <w:r w:rsidR="00A95812">
        <w:rPr>
          <w:rFonts w:asciiTheme="minorHAnsi" w:hAnsiTheme="minorHAnsi" w:cstheme="minorHAnsi"/>
          <w:lang w:val="fr-CH" w:eastAsia="ko-KR"/>
        </w:rPr>
        <w:t xml:space="preserve">. </w:t>
      </w:r>
    </w:p>
    <w:p w14:paraId="6C838F38" w14:textId="77777777" w:rsidR="0032390A" w:rsidRPr="009D015A" w:rsidRDefault="0032390A" w:rsidP="00441F06">
      <w:pPr>
        <w:pStyle w:val="ListParagraph"/>
        <w:ind w:left="426" w:hanging="426"/>
        <w:rPr>
          <w:rFonts w:asciiTheme="minorHAnsi" w:hAnsiTheme="minorHAnsi" w:cstheme="minorHAnsi"/>
          <w:lang w:val="fr-CH"/>
        </w:rPr>
      </w:pPr>
    </w:p>
    <w:p w14:paraId="40A2684F" w14:textId="31266647" w:rsidR="00F642DE" w:rsidRPr="009D015A" w:rsidRDefault="00441F06" w:rsidP="00441F06">
      <w:pPr>
        <w:ind w:left="426" w:hanging="426"/>
        <w:rPr>
          <w:rFonts w:asciiTheme="minorHAnsi" w:hAnsiTheme="minorHAnsi" w:cstheme="minorHAnsi"/>
          <w:lang w:val="fr-CH"/>
        </w:rPr>
      </w:pPr>
      <w:r w:rsidRPr="009D015A">
        <w:rPr>
          <w:rFonts w:asciiTheme="minorHAnsi" w:hAnsiTheme="minorHAnsi" w:cstheme="minorHAnsi"/>
          <w:lang w:val="fr-CH"/>
        </w:rPr>
        <w:t>26.</w:t>
      </w:r>
      <w:r w:rsidRPr="009D015A">
        <w:rPr>
          <w:rFonts w:asciiTheme="minorHAnsi" w:hAnsiTheme="minorHAnsi" w:cstheme="minorHAnsi"/>
          <w:lang w:val="fr-CH"/>
        </w:rPr>
        <w:tab/>
      </w:r>
      <w:r w:rsidR="00A95812">
        <w:rPr>
          <w:rFonts w:asciiTheme="minorHAnsi" w:hAnsiTheme="minorHAnsi" w:cstheme="minorHAnsi"/>
          <w:lang w:val="fr-CH"/>
        </w:rPr>
        <w:t>DEMANDE à la Secrétaire générale de coordonner avec l’U</w:t>
      </w:r>
      <w:r w:rsidR="00DB2020" w:rsidRPr="009D015A">
        <w:rPr>
          <w:rFonts w:asciiTheme="minorHAnsi" w:hAnsiTheme="minorHAnsi" w:cstheme="minorHAnsi"/>
          <w:lang w:val="fr-CH"/>
        </w:rPr>
        <w:t xml:space="preserve">NESCO </w:t>
      </w:r>
      <w:r w:rsidR="00A95812">
        <w:rPr>
          <w:rFonts w:asciiTheme="minorHAnsi" w:hAnsiTheme="minorHAnsi" w:cstheme="minorHAnsi"/>
          <w:lang w:val="fr-CH"/>
        </w:rPr>
        <w:t xml:space="preserve">et d’œuvrer à la synergie entre le but de la Convention de Ramsar visant à inscrire l’éducation aux zones humides dans </w:t>
      </w:r>
      <w:r w:rsidR="00711D18">
        <w:rPr>
          <w:rFonts w:asciiTheme="minorHAnsi" w:hAnsiTheme="minorHAnsi" w:cstheme="minorHAnsi"/>
          <w:lang w:val="fr-CH"/>
        </w:rPr>
        <w:t>l’enseignement officiel et</w:t>
      </w:r>
      <w:r w:rsidR="00A95812">
        <w:rPr>
          <w:rFonts w:asciiTheme="minorHAnsi" w:hAnsiTheme="minorHAnsi" w:cstheme="minorHAnsi"/>
          <w:lang w:val="fr-CH"/>
        </w:rPr>
        <w:t xml:space="preserve"> la feuille de route</w:t>
      </w:r>
      <w:r w:rsidR="00711D18">
        <w:rPr>
          <w:rFonts w:asciiTheme="minorHAnsi" w:hAnsiTheme="minorHAnsi" w:cstheme="minorHAnsi"/>
          <w:lang w:val="fr-CH"/>
        </w:rPr>
        <w:t xml:space="preserve"> </w:t>
      </w:r>
      <w:r w:rsidR="00A34232" w:rsidRPr="00A34232">
        <w:rPr>
          <w:rFonts w:asciiTheme="minorHAnsi" w:hAnsiTheme="minorHAnsi" w:cstheme="minorHAnsi"/>
          <w:i/>
          <w:iCs/>
          <w:lang w:val="fr-CH"/>
        </w:rPr>
        <w:t>EDD pour 2030</w:t>
      </w:r>
      <w:r w:rsidR="00A34232">
        <w:rPr>
          <w:rFonts w:asciiTheme="minorHAnsi" w:hAnsiTheme="minorHAnsi" w:cstheme="minorHAnsi"/>
          <w:i/>
          <w:iCs/>
          <w:lang w:val="fr-CH"/>
        </w:rPr>
        <w:t xml:space="preserve"> </w:t>
      </w:r>
      <w:r w:rsidR="00A34232" w:rsidRPr="00A34232">
        <w:rPr>
          <w:rFonts w:asciiTheme="minorHAnsi" w:hAnsiTheme="minorHAnsi" w:cstheme="minorHAnsi"/>
          <w:lang w:val="fr-CH"/>
        </w:rPr>
        <w:t>de l’UNESCO</w:t>
      </w:r>
      <w:r w:rsidR="00A95812">
        <w:rPr>
          <w:rFonts w:asciiTheme="minorHAnsi" w:hAnsiTheme="minorHAnsi" w:cstheme="minorHAnsi"/>
          <w:lang w:val="fr-CH"/>
        </w:rPr>
        <w:t xml:space="preserve">. </w:t>
      </w:r>
    </w:p>
    <w:p w14:paraId="07B41ECF" w14:textId="77777777" w:rsidR="0032390A" w:rsidRPr="004D4B47" w:rsidRDefault="0032390A" w:rsidP="0032390A">
      <w:pPr>
        <w:pStyle w:val="ListParagraph"/>
        <w:rPr>
          <w:rFonts w:asciiTheme="minorHAnsi" w:hAnsiTheme="minorHAnsi" w:cstheme="minorHAnsi"/>
          <w:lang w:val="fr-FR"/>
        </w:rPr>
      </w:pPr>
    </w:p>
    <w:p w14:paraId="773D5A0A" w14:textId="77777777" w:rsidR="0032390A" w:rsidRPr="004D4B47" w:rsidRDefault="0032390A" w:rsidP="0032390A">
      <w:pPr>
        <w:rPr>
          <w:rFonts w:asciiTheme="minorHAnsi" w:hAnsiTheme="minorHAnsi" w:cstheme="minorHAnsi"/>
          <w:lang w:val="fr-FR"/>
        </w:rPr>
      </w:pPr>
    </w:p>
    <w:sectPr w:rsidR="0032390A" w:rsidRPr="004D4B47" w:rsidSect="0013041F">
      <w:headerReference w:type="default" r:id="rId8"/>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708E8" w14:textId="77777777" w:rsidR="00981162" w:rsidRDefault="00981162" w:rsidP="00DF2386">
      <w:r>
        <w:separator/>
      </w:r>
    </w:p>
  </w:endnote>
  <w:endnote w:type="continuationSeparator" w:id="0">
    <w:p w14:paraId="63CD52A0" w14:textId="77777777" w:rsidR="00981162" w:rsidRDefault="00981162"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969534"/>
      <w:docPartObj>
        <w:docPartGallery w:val="Page Numbers (Top of Page)"/>
        <w:docPartUnique/>
      </w:docPartObj>
    </w:sdtPr>
    <w:sdtEndPr>
      <w:rPr>
        <w:noProof/>
      </w:rPr>
    </w:sdtEndPr>
    <w:sdtContent>
      <w:p w14:paraId="16136E41" w14:textId="673BAB30" w:rsidR="00F73E71" w:rsidRDefault="004A16FA" w:rsidP="0013041F">
        <w:pPr>
          <w:pStyle w:val="Header"/>
          <w:rPr>
            <w:noProof/>
          </w:rPr>
        </w:pPr>
        <w:sdt>
          <w:sdtPr>
            <w:id w:val="750933699"/>
            <w:docPartObj>
              <w:docPartGallery w:val="Page Numbers (Top of Page)"/>
              <w:docPartUnique/>
            </w:docPartObj>
          </w:sdtPr>
          <w:sdtEndPr>
            <w:rPr>
              <w:noProof/>
            </w:rPr>
          </w:sdtEndPr>
          <w:sdtContent>
            <w:r w:rsidR="0013041F">
              <w:rPr>
                <w:sz w:val="20"/>
                <w:szCs w:val="20"/>
              </w:rPr>
              <w:t>SC59 Doc.24.6</w:t>
            </w:r>
            <w:r w:rsidR="0013041F">
              <w:rPr>
                <w:sz w:val="20"/>
                <w:szCs w:val="20"/>
              </w:rPr>
              <w:tab/>
            </w:r>
            <w:r w:rsidR="0013041F">
              <w:rPr>
                <w:sz w:val="20"/>
                <w:szCs w:val="20"/>
              </w:rPr>
              <w:tab/>
            </w:r>
            <w:r w:rsidR="0013041F" w:rsidRPr="006E4AB3">
              <w:rPr>
                <w:sz w:val="20"/>
                <w:szCs w:val="20"/>
              </w:rPr>
              <w:fldChar w:fldCharType="begin"/>
            </w:r>
            <w:r w:rsidR="0013041F" w:rsidRPr="006E4AB3">
              <w:rPr>
                <w:sz w:val="20"/>
                <w:szCs w:val="20"/>
              </w:rPr>
              <w:instrText xml:space="preserve"> PAGE   \* MERGEFORMAT </w:instrText>
            </w:r>
            <w:r w:rsidR="0013041F" w:rsidRPr="006E4AB3">
              <w:rPr>
                <w:sz w:val="20"/>
                <w:szCs w:val="20"/>
              </w:rPr>
              <w:fldChar w:fldCharType="separate"/>
            </w:r>
            <w:r>
              <w:rPr>
                <w:noProof/>
                <w:sz w:val="20"/>
                <w:szCs w:val="20"/>
              </w:rPr>
              <w:t>5</w:t>
            </w:r>
            <w:r w:rsidR="0013041F" w:rsidRPr="006E4AB3">
              <w:rPr>
                <w:noProof/>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212B" w14:textId="77777777" w:rsidR="00981162" w:rsidRDefault="00981162" w:rsidP="00DF2386">
      <w:r>
        <w:separator/>
      </w:r>
    </w:p>
  </w:footnote>
  <w:footnote w:type="continuationSeparator" w:id="0">
    <w:p w14:paraId="3DC09B08" w14:textId="77777777" w:rsidR="00981162" w:rsidRDefault="00981162"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F73E71" w:rsidRDefault="00F73E71">
    <w:pPr>
      <w:pStyle w:val="Header"/>
    </w:pPr>
  </w:p>
  <w:p w14:paraId="1F5852A8"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54A0C"/>
    <w:multiLevelType w:val="hybridMultilevel"/>
    <w:tmpl w:val="2A6CE79E"/>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44276"/>
    <w:multiLevelType w:val="hybridMultilevel"/>
    <w:tmpl w:val="CF3CBADC"/>
    <w:lvl w:ilvl="0" w:tplc="EA6A7DBE">
      <w:start w:val="1"/>
      <w:numFmt w:val="none"/>
      <w:lvlText w:val="i)"/>
      <w:lvlJc w:val="right"/>
      <w:pPr>
        <w:ind w:left="774" w:hanging="491"/>
      </w:pPr>
      <w:rPr>
        <w:rFonts w:asciiTheme="minorHAnsi" w:hAnsiTheme="minorHAnsi" w:hint="default"/>
        <w:sz w:val="22"/>
      </w:rPr>
    </w:lvl>
    <w:lvl w:ilvl="1" w:tplc="4AAAE410">
      <w:start w:val="1"/>
      <w:numFmt w:val="lowerLetter"/>
      <w:lvlText w:val="%2."/>
      <w:lvlJc w:val="left"/>
      <w:pPr>
        <w:ind w:left="1440" w:hanging="360"/>
      </w:pPr>
      <w:rPr>
        <w:rFonts w:hint="default"/>
      </w:rPr>
    </w:lvl>
    <w:lvl w:ilvl="2" w:tplc="E6CE33F8" w:tentative="1">
      <w:start w:val="1"/>
      <w:numFmt w:val="lowerRoman"/>
      <w:lvlText w:val="%3."/>
      <w:lvlJc w:val="right"/>
      <w:pPr>
        <w:ind w:left="2160" w:hanging="180"/>
      </w:pPr>
      <w:rPr>
        <w:rFonts w:hint="default"/>
      </w:rPr>
    </w:lvl>
    <w:lvl w:ilvl="3" w:tplc="3FB6985C" w:tentative="1">
      <w:start w:val="1"/>
      <w:numFmt w:val="decimal"/>
      <w:lvlText w:val="%4."/>
      <w:lvlJc w:val="left"/>
      <w:pPr>
        <w:ind w:left="2880" w:hanging="360"/>
      </w:pPr>
      <w:rPr>
        <w:rFonts w:hint="default"/>
      </w:rPr>
    </w:lvl>
    <w:lvl w:ilvl="4" w:tplc="74EE4BA8" w:tentative="1">
      <w:start w:val="1"/>
      <w:numFmt w:val="lowerLetter"/>
      <w:lvlText w:val="%5."/>
      <w:lvlJc w:val="left"/>
      <w:pPr>
        <w:ind w:left="3600" w:hanging="360"/>
      </w:pPr>
      <w:rPr>
        <w:rFonts w:hint="default"/>
      </w:rPr>
    </w:lvl>
    <w:lvl w:ilvl="5" w:tplc="C3E8518C" w:tentative="1">
      <w:start w:val="1"/>
      <w:numFmt w:val="lowerRoman"/>
      <w:lvlText w:val="%6."/>
      <w:lvlJc w:val="right"/>
      <w:pPr>
        <w:ind w:left="4320" w:hanging="180"/>
      </w:pPr>
      <w:rPr>
        <w:rFonts w:hint="default"/>
      </w:rPr>
    </w:lvl>
    <w:lvl w:ilvl="6" w:tplc="D7A456C2" w:tentative="1">
      <w:start w:val="1"/>
      <w:numFmt w:val="decimal"/>
      <w:lvlText w:val="%7."/>
      <w:lvlJc w:val="left"/>
      <w:pPr>
        <w:ind w:left="5040" w:hanging="360"/>
      </w:pPr>
      <w:rPr>
        <w:rFonts w:hint="default"/>
      </w:rPr>
    </w:lvl>
    <w:lvl w:ilvl="7" w:tplc="E83E2CE8" w:tentative="1">
      <w:start w:val="1"/>
      <w:numFmt w:val="lowerLetter"/>
      <w:lvlText w:val="%8."/>
      <w:lvlJc w:val="left"/>
      <w:pPr>
        <w:ind w:left="5760" w:hanging="360"/>
      </w:pPr>
      <w:rPr>
        <w:rFonts w:hint="default"/>
      </w:rPr>
    </w:lvl>
    <w:lvl w:ilvl="8" w:tplc="2B48AC7E" w:tentative="1">
      <w:start w:val="1"/>
      <w:numFmt w:val="lowerRoman"/>
      <w:lvlText w:val="%9."/>
      <w:lvlJc w:val="right"/>
      <w:pPr>
        <w:ind w:left="6480" w:hanging="180"/>
      </w:pPr>
      <w:rPr>
        <w:rFonts w:hint="default"/>
      </w:rPr>
    </w:lvl>
  </w:abstractNum>
  <w:abstractNum w:abstractNumId="8"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673B81"/>
    <w:multiLevelType w:val="multilevel"/>
    <w:tmpl w:val="C2B0870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AE48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1C6E34"/>
    <w:multiLevelType w:val="multilevel"/>
    <w:tmpl w:val="2A6CE7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BF5F3A"/>
    <w:multiLevelType w:val="hybridMultilevel"/>
    <w:tmpl w:val="0B68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24FCA"/>
    <w:multiLevelType w:val="hybridMultilevel"/>
    <w:tmpl w:val="3A4CDCF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5CD04EAD"/>
    <w:multiLevelType w:val="hybridMultilevel"/>
    <w:tmpl w:val="EC225ED8"/>
    <w:lvl w:ilvl="0" w:tplc="CF3CBADC">
      <w:start w:val="1"/>
      <w:numFmt w:val="none"/>
      <w:lvlText w:val="i)"/>
      <w:lvlJc w:val="right"/>
      <w:pPr>
        <w:ind w:left="774" w:hanging="491"/>
      </w:pPr>
      <w:rPr>
        <w:rFonts w:asciiTheme="minorHAnsi" w:hAnsiTheme="minorHAns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2C609B"/>
    <w:multiLevelType w:val="hybridMultilevel"/>
    <w:tmpl w:val="9300F93C"/>
    <w:lvl w:ilvl="0" w:tplc="78CA80AA">
      <w:start w:val="1"/>
      <w:numFmt w:val="lowerRoman"/>
      <w:lvlText w:val="%1)"/>
      <w:lvlJc w:val="left"/>
      <w:pPr>
        <w:ind w:left="800" w:hanging="400"/>
      </w:pPr>
      <w:rPr>
        <w:rFonts w:hAnsi="Arial Unicode MS" w:hint="default"/>
        <w:caps w:val="0"/>
        <w:smallCaps w:val="0"/>
        <w:strike w:val="0"/>
        <w:dstrike w:val="0"/>
        <w:outline w:val="0"/>
        <w:emboss w:val="0"/>
        <w:imprint w:val="0"/>
        <w:spacing w:val="0"/>
        <w:w w:val="100"/>
        <w:kern w:val="0"/>
        <w:position w:val="0"/>
        <w:vertAlign w:val="baseline"/>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59A0170"/>
    <w:multiLevelType w:val="hybridMultilevel"/>
    <w:tmpl w:val="98660BA4"/>
    <w:lvl w:ilvl="0" w:tplc="34090001">
      <w:start w:val="1"/>
      <w:numFmt w:val="bullet"/>
      <w:lvlText w:val=""/>
      <w:lvlJc w:val="left"/>
      <w:pPr>
        <w:ind w:left="1505" w:hanging="360"/>
      </w:pPr>
      <w:rPr>
        <w:rFonts w:ascii="Symbol" w:hAnsi="Symbol" w:hint="default"/>
      </w:rPr>
    </w:lvl>
    <w:lvl w:ilvl="1" w:tplc="34090003" w:tentative="1">
      <w:start w:val="1"/>
      <w:numFmt w:val="bullet"/>
      <w:lvlText w:val="o"/>
      <w:lvlJc w:val="left"/>
      <w:pPr>
        <w:ind w:left="2225" w:hanging="360"/>
      </w:pPr>
      <w:rPr>
        <w:rFonts w:ascii="Courier New" w:hAnsi="Courier New" w:cs="Courier New" w:hint="default"/>
      </w:rPr>
    </w:lvl>
    <w:lvl w:ilvl="2" w:tplc="34090005" w:tentative="1">
      <w:start w:val="1"/>
      <w:numFmt w:val="bullet"/>
      <w:lvlText w:val=""/>
      <w:lvlJc w:val="left"/>
      <w:pPr>
        <w:ind w:left="2945" w:hanging="360"/>
      </w:pPr>
      <w:rPr>
        <w:rFonts w:ascii="Wingdings" w:hAnsi="Wingdings" w:hint="default"/>
      </w:rPr>
    </w:lvl>
    <w:lvl w:ilvl="3" w:tplc="34090001" w:tentative="1">
      <w:start w:val="1"/>
      <w:numFmt w:val="bullet"/>
      <w:lvlText w:val=""/>
      <w:lvlJc w:val="left"/>
      <w:pPr>
        <w:ind w:left="3665" w:hanging="360"/>
      </w:pPr>
      <w:rPr>
        <w:rFonts w:ascii="Symbol" w:hAnsi="Symbol" w:hint="default"/>
      </w:rPr>
    </w:lvl>
    <w:lvl w:ilvl="4" w:tplc="34090003" w:tentative="1">
      <w:start w:val="1"/>
      <w:numFmt w:val="bullet"/>
      <w:lvlText w:val="o"/>
      <w:lvlJc w:val="left"/>
      <w:pPr>
        <w:ind w:left="4385" w:hanging="360"/>
      </w:pPr>
      <w:rPr>
        <w:rFonts w:ascii="Courier New" w:hAnsi="Courier New" w:cs="Courier New" w:hint="default"/>
      </w:rPr>
    </w:lvl>
    <w:lvl w:ilvl="5" w:tplc="34090005" w:tentative="1">
      <w:start w:val="1"/>
      <w:numFmt w:val="bullet"/>
      <w:lvlText w:val=""/>
      <w:lvlJc w:val="left"/>
      <w:pPr>
        <w:ind w:left="5105" w:hanging="360"/>
      </w:pPr>
      <w:rPr>
        <w:rFonts w:ascii="Wingdings" w:hAnsi="Wingdings" w:hint="default"/>
      </w:rPr>
    </w:lvl>
    <w:lvl w:ilvl="6" w:tplc="34090001" w:tentative="1">
      <w:start w:val="1"/>
      <w:numFmt w:val="bullet"/>
      <w:lvlText w:val=""/>
      <w:lvlJc w:val="left"/>
      <w:pPr>
        <w:ind w:left="5825" w:hanging="360"/>
      </w:pPr>
      <w:rPr>
        <w:rFonts w:ascii="Symbol" w:hAnsi="Symbol" w:hint="default"/>
      </w:rPr>
    </w:lvl>
    <w:lvl w:ilvl="7" w:tplc="34090003" w:tentative="1">
      <w:start w:val="1"/>
      <w:numFmt w:val="bullet"/>
      <w:lvlText w:val="o"/>
      <w:lvlJc w:val="left"/>
      <w:pPr>
        <w:ind w:left="6545" w:hanging="360"/>
      </w:pPr>
      <w:rPr>
        <w:rFonts w:ascii="Courier New" w:hAnsi="Courier New" w:cs="Courier New" w:hint="default"/>
      </w:rPr>
    </w:lvl>
    <w:lvl w:ilvl="8" w:tplc="34090005" w:tentative="1">
      <w:start w:val="1"/>
      <w:numFmt w:val="bullet"/>
      <w:lvlText w:val=""/>
      <w:lvlJc w:val="left"/>
      <w:pPr>
        <w:ind w:left="7265" w:hanging="360"/>
      </w:pPr>
      <w:rPr>
        <w:rFonts w:ascii="Wingdings" w:hAnsi="Wingdings" w:hint="default"/>
      </w:rPr>
    </w:lvl>
  </w:abstractNum>
  <w:abstractNum w:abstractNumId="3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6383B"/>
    <w:multiLevelType w:val="hybridMultilevel"/>
    <w:tmpl w:val="66789D54"/>
    <w:lvl w:ilvl="0" w:tplc="3409000F">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4" w15:restartNumberingAfterBreak="0">
    <w:nsid w:val="7FAC4E4B"/>
    <w:multiLevelType w:val="hybridMultilevel"/>
    <w:tmpl w:val="C55857F8"/>
    <w:lvl w:ilvl="0" w:tplc="ED124F88">
      <w:start w:val="1"/>
      <w:numFmt w:val="lowerRoman"/>
      <w:lvlText w:val="%1."/>
      <w:lvlJc w:val="right"/>
      <w:pPr>
        <w:ind w:left="774"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9"/>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8"/>
  </w:num>
  <w:num w:numId="13">
    <w:abstractNumId w:val="25"/>
  </w:num>
  <w:num w:numId="14">
    <w:abstractNumId w:val="17"/>
  </w:num>
  <w:num w:numId="15">
    <w:abstractNumId w:val="2"/>
  </w:num>
  <w:num w:numId="16">
    <w:abstractNumId w:val="21"/>
  </w:num>
  <w:num w:numId="17">
    <w:abstractNumId w:val="29"/>
  </w:num>
  <w:num w:numId="18">
    <w:abstractNumId w:val="43"/>
  </w:num>
  <w:num w:numId="19">
    <w:abstractNumId w:val="41"/>
  </w:num>
  <w:num w:numId="20">
    <w:abstractNumId w:val="32"/>
  </w:num>
  <w:num w:numId="21">
    <w:abstractNumId w:val="34"/>
  </w:num>
  <w:num w:numId="22">
    <w:abstractNumId w:val="23"/>
  </w:num>
  <w:num w:numId="23">
    <w:abstractNumId w:val="31"/>
  </w:num>
  <w:num w:numId="24">
    <w:abstractNumId w:val="28"/>
  </w:num>
  <w:num w:numId="25">
    <w:abstractNumId w:val="40"/>
  </w:num>
  <w:num w:numId="26">
    <w:abstractNumId w:val="14"/>
  </w:num>
  <w:num w:numId="27">
    <w:abstractNumId w:val="0"/>
  </w:num>
  <w:num w:numId="28">
    <w:abstractNumId w:val="16"/>
  </w:num>
  <w:num w:numId="29">
    <w:abstractNumId w:val="4"/>
  </w:num>
  <w:num w:numId="30">
    <w:abstractNumId w:val="10"/>
  </w:num>
  <w:num w:numId="31">
    <w:abstractNumId w:val="19"/>
  </w:num>
  <w:num w:numId="32">
    <w:abstractNumId w:val="36"/>
  </w:num>
  <w:num w:numId="33">
    <w:abstractNumId w:val="22"/>
  </w:num>
  <w:num w:numId="34">
    <w:abstractNumId w:val="3"/>
  </w:num>
  <w:num w:numId="35">
    <w:abstractNumId w:val="5"/>
  </w:num>
  <w:num w:numId="36">
    <w:abstractNumId w:val="27"/>
  </w:num>
  <w:num w:numId="37">
    <w:abstractNumId w:val="30"/>
  </w:num>
  <w:num w:numId="38">
    <w:abstractNumId w:val="6"/>
  </w:num>
  <w:num w:numId="39">
    <w:abstractNumId w:val="26"/>
  </w:num>
  <w:num w:numId="40">
    <w:abstractNumId w:val="44"/>
  </w:num>
  <w:num w:numId="41">
    <w:abstractNumId w:val="18"/>
  </w:num>
  <w:num w:numId="42">
    <w:abstractNumId w:val="7"/>
  </w:num>
  <w:num w:numId="43">
    <w:abstractNumId w:val="12"/>
  </w:num>
  <w:num w:numId="44">
    <w:abstractNumId w:val="35"/>
  </w:num>
  <w:num w:numId="45">
    <w:abstractNumId w:val="38"/>
  </w:num>
  <w:num w:numId="46">
    <w:abstractNumId w:val="42"/>
  </w:num>
  <w:num w:numId="47">
    <w:abstractNumId w:val="3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46F0"/>
    <w:rsid w:val="00006510"/>
    <w:rsid w:val="00010EC6"/>
    <w:rsid w:val="00014168"/>
    <w:rsid w:val="00017A16"/>
    <w:rsid w:val="000219A4"/>
    <w:rsid w:val="00026E09"/>
    <w:rsid w:val="00037CE0"/>
    <w:rsid w:val="00053929"/>
    <w:rsid w:val="00066E05"/>
    <w:rsid w:val="00074A85"/>
    <w:rsid w:val="00074DE8"/>
    <w:rsid w:val="000834D3"/>
    <w:rsid w:val="00085492"/>
    <w:rsid w:val="00087347"/>
    <w:rsid w:val="00094D4A"/>
    <w:rsid w:val="00095EB9"/>
    <w:rsid w:val="000977BC"/>
    <w:rsid w:val="000A3E3E"/>
    <w:rsid w:val="000A7C72"/>
    <w:rsid w:val="000B47B5"/>
    <w:rsid w:val="000B5DAA"/>
    <w:rsid w:val="000C2489"/>
    <w:rsid w:val="000C2C3B"/>
    <w:rsid w:val="000C66D4"/>
    <w:rsid w:val="000D5C76"/>
    <w:rsid w:val="000E2FA0"/>
    <w:rsid w:val="000E47E9"/>
    <w:rsid w:val="000F3F21"/>
    <w:rsid w:val="000F5108"/>
    <w:rsid w:val="000F76E1"/>
    <w:rsid w:val="00100B61"/>
    <w:rsid w:val="001072C1"/>
    <w:rsid w:val="00110F2D"/>
    <w:rsid w:val="00115781"/>
    <w:rsid w:val="0012096C"/>
    <w:rsid w:val="00122582"/>
    <w:rsid w:val="00127828"/>
    <w:rsid w:val="0013041F"/>
    <w:rsid w:val="001327E4"/>
    <w:rsid w:val="00137224"/>
    <w:rsid w:val="0014280B"/>
    <w:rsid w:val="00143687"/>
    <w:rsid w:val="00160D9C"/>
    <w:rsid w:val="00161BDA"/>
    <w:rsid w:val="00171618"/>
    <w:rsid w:val="001819B1"/>
    <w:rsid w:val="001942B2"/>
    <w:rsid w:val="001A2D10"/>
    <w:rsid w:val="001A7498"/>
    <w:rsid w:val="001B357E"/>
    <w:rsid w:val="001C1924"/>
    <w:rsid w:val="001C52C5"/>
    <w:rsid w:val="001C5E41"/>
    <w:rsid w:val="001C77BC"/>
    <w:rsid w:val="001C79EF"/>
    <w:rsid w:val="001D48BB"/>
    <w:rsid w:val="001E00E3"/>
    <w:rsid w:val="001E46C9"/>
    <w:rsid w:val="001F2349"/>
    <w:rsid w:val="001F2988"/>
    <w:rsid w:val="001F37F5"/>
    <w:rsid w:val="001F6249"/>
    <w:rsid w:val="002005D2"/>
    <w:rsid w:val="0020298B"/>
    <w:rsid w:val="00206111"/>
    <w:rsid w:val="002064AD"/>
    <w:rsid w:val="0020764F"/>
    <w:rsid w:val="002131A4"/>
    <w:rsid w:val="002137E0"/>
    <w:rsid w:val="00214DD5"/>
    <w:rsid w:val="00225C6E"/>
    <w:rsid w:val="002275FA"/>
    <w:rsid w:val="00232D7F"/>
    <w:rsid w:val="00240A7A"/>
    <w:rsid w:val="00241828"/>
    <w:rsid w:val="00252A54"/>
    <w:rsid w:val="00260F4C"/>
    <w:rsid w:val="0027248B"/>
    <w:rsid w:val="002741AC"/>
    <w:rsid w:val="00275F13"/>
    <w:rsid w:val="002819C0"/>
    <w:rsid w:val="002829A1"/>
    <w:rsid w:val="0028419A"/>
    <w:rsid w:val="0029196F"/>
    <w:rsid w:val="0029412F"/>
    <w:rsid w:val="00295556"/>
    <w:rsid w:val="00295BB5"/>
    <w:rsid w:val="00295FBA"/>
    <w:rsid w:val="002A5A4D"/>
    <w:rsid w:val="002A7953"/>
    <w:rsid w:val="002B40C2"/>
    <w:rsid w:val="002B4262"/>
    <w:rsid w:val="002C2F8D"/>
    <w:rsid w:val="002C4AA3"/>
    <w:rsid w:val="002D27A2"/>
    <w:rsid w:val="002D2E4D"/>
    <w:rsid w:val="002D5A4D"/>
    <w:rsid w:val="002E22AF"/>
    <w:rsid w:val="002E79B7"/>
    <w:rsid w:val="002F25E5"/>
    <w:rsid w:val="002F5B48"/>
    <w:rsid w:val="002F6155"/>
    <w:rsid w:val="002F7464"/>
    <w:rsid w:val="0030672B"/>
    <w:rsid w:val="0030773E"/>
    <w:rsid w:val="00321F39"/>
    <w:rsid w:val="0032390A"/>
    <w:rsid w:val="00324398"/>
    <w:rsid w:val="00325A5A"/>
    <w:rsid w:val="00326E60"/>
    <w:rsid w:val="00334C07"/>
    <w:rsid w:val="00336391"/>
    <w:rsid w:val="00341D30"/>
    <w:rsid w:val="00384FC3"/>
    <w:rsid w:val="003870FC"/>
    <w:rsid w:val="00391292"/>
    <w:rsid w:val="003952AA"/>
    <w:rsid w:val="0039671C"/>
    <w:rsid w:val="00397753"/>
    <w:rsid w:val="003A0FBE"/>
    <w:rsid w:val="003A330A"/>
    <w:rsid w:val="003A3804"/>
    <w:rsid w:val="003A52BE"/>
    <w:rsid w:val="003A5866"/>
    <w:rsid w:val="003A6E9F"/>
    <w:rsid w:val="003B02CA"/>
    <w:rsid w:val="003B2254"/>
    <w:rsid w:val="003B619B"/>
    <w:rsid w:val="003B6D56"/>
    <w:rsid w:val="003B79C5"/>
    <w:rsid w:val="003C2D9F"/>
    <w:rsid w:val="003C3ACF"/>
    <w:rsid w:val="003C5C01"/>
    <w:rsid w:val="003D4CD6"/>
    <w:rsid w:val="003E05D4"/>
    <w:rsid w:val="003E35FA"/>
    <w:rsid w:val="003E7B64"/>
    <w:rsid w:val="003F0678"/>
    <w:rsid w:val="003F2A5E"/>
    <w:rsid w:val="003F3CB1"/>
    <w:rsid w:val="00407ACE"/>
    <w:rsid w:val="00410D21"/>
    <w:rsid w:val="0041385E"/>
    <w:rsid w:val="00420205"/>
    <w:rsid w:val="004228C7"/>
    <w:rsid w:val="0042798B"/>
    <w:rsid w:val="00432CD7"/>
    <w:rsid w:val="00434913"/>
    <w:rsid w:val="00441F06"/>
    <w:rsid w:val="004474F8"/>
    <w:rsid w:val="00461085"/>
    <w:rsid w:val="00471AF8"/>
    <w:rsid w:val="004753CF"/>
    <w:rsid w:val="00475B14"/>
    <w:rsid w:val="00477550"/>
    <w:rsid w:val="00480DC6"/>
    <w:rsid w:val="004844A8"/>
    <w:rsid w:val="00496803"/>
    <w:rsid w:val="004A16FA"/>
    <w:rsid w:val="004B0C97"/>
    <w:rsid w:val="004B300D"/>
    <w:rsid w:val="004B5DBD"/>
    <w:rsid w:val="004B6688"/>
    <w:rsid w:val="004C043E"/>
    <w:rsid w:val="004C04FB"/>
    <w:rsid w:val="004C1F08"/>
    <w:rsid w:val="004C228F"/>
    <w:rsid w:val="004D37C3"/>
    <w:rsid w:val="004D3DD0"/>
    <w:rsid w:val="004D4B47"/>
    <w:rsid w:val="004E0DA4"/>
    <w:rsid w:val="004E2DCD"/>
    <w:rsid w:val="004E5A57"/>
    <w:rsid w:val="004E6C21"/>
    <w:rsid w:val="004E7217"/>
    <w:rsid w:val="004F01DE"/>
    <w:rsid w:val="004F21E5"/>
    <w:rsid w:val="004F2A84"/>
    <w:rsid w:val="00501442"/>
    <w:rsid w:val="005014CD"/>
    <w:rsid w:val="00505E69"/>
    <w:rsid w:val="0050687A"/>
    <w:rsid w:val="005173B2"/>
    <w:rsid w:val="00517F4A"/>
    <w:rsid w:val="005221AF"/>
    <w:rsid w:val="005244A4"/>
    <w:rsid w:val="005259ED"/>
    <w:rsid w:val="00527783"/>
    <w:rsid w:val="00533CD5"/>
    <w:rsid w:val="00533D52"/>
    <w:rsid w:val="00534144"/>
    <w:rsid w:val="0054341B"/>
    <w:rsid w:val="00545887"/>
    <w:rsid w:val="00545BA3"/>
    <w:rsid w:val="005556FF"/>
    <w:rsid w:val="00571F99"/>
    <w:rsid w:val="005729B5"/>
    <w:rsid w:val="00574960"/>
    <w:rsid w:val="005814B5"/>
    <w:rsid w:val="005858F5"/>
    <w:rsid w:val="005928A0"/>
    <w:rsid w:val="00596B13"/>
    <w:rsid w:val="005B1117"/>
    <w:rsid w:val="005C2E0E"/>
    <w:rsid w:val="005D0276"/>
    <w:rsid w:val="005D03D1"/>
    <w:rsid w:val="005D3E9D"/>
    <w:rsid w:val="005D43DE"/>
    <w:rsid w:val="005D753D"/>
    <w:rsid w:val="005E32CE"/>
    <w:rsid w:val="005E3C91"/>
    <w:rsid w:val="005E4EE9"/>
    <w:rsid w:val="005E7489"/>
    <w:rsid w:val="005E7F65"/>
    <w:rsid w:val="005F740A"/>
    <w:rsid w:val="005F75AF"/>
    <w:rsid w:val="00617C40"/>
    <w:rsid w:val="006243DF"/>
    <w:rsid w:val="006256D3"/>
    <w:rsid w:val="00626E02"/>
    <w:rsid w:val="00627BB7"/>
    <w:rsid w:val="00630CD8"/>
    <w:rsid w:val="006429D1"/>
    <w:rsid w:val="00644A13"/>
    <w:rsid w:val="0065136E"/>
    <w:rsid w:val="00652AC5"/>
    <w:rsid w:val="00655DA2"/>
    <w:rsid w:val="00656B3A"/>
    <w:rsid w:val="0066171A"/>
    <w:rsid w:val="006620AF"/>
    <w:rsid w:val="00670D71"/>
    <w:rsid w:val="00671D4D"/>
    <w:rsid w:val="00676010"/>
    <w:rsid w:val="00676B3D"/>
    <w:rsid w:val="00687C9B"/>
    <w:rsid w:val="006959B5"/>
    <w:rsid w:val="006D5F1C"/>
    <w:rsid w:val="006E7DCE"/>
    <w:rsid w:val="006F0085"/>
    <w:rsid w:val="006F233B"/>
    <w:rsid w:val="006F6364"/>
    <w:rsid w:val="00701169"/>
    <w:rsid w:val="00704E3E"/>
    <w:rsid w:val="007050FF"/>
    <w:rsid w:val="00711D18"/>
    <w:rsid w:val="00737A15"/>
    <w:rsid w:val="00752764"/>
    <w:rsid w:val="00752CEB"/>
    <w:rsid w:val="007555FD"/>
    <w:rsid w:val="00757369"/>
    <w:rsid w:val="007576E7"/>
    <w:rsid w:val="007646FA"/>
    <w:rsid w:val="00766962"/>
    <w:rsid w:val="00771875"/>
    <w:rsid w:val="00775287"/>
    <w:rsid w:val="00780A3C"/>
    <w:rsid w:val="007846D8"/>
    <w:rsid w:val="007855D7"/>
    <w:rsid w:val="00785C32"/>
    <w:rsid w:val="00797806"/>
    <w:rsid w:val="007A39EE"/>
    <w:rsid w:val="007B0D31"/>
    <w:rsid w:val="007B5E8D"/>
    <w:rsid w:val="007C1611"/>
    <w:rsid w:val="007C2AE1"/>
    <w:rsid w:val="007D2B31"/>
    <w:rsid w:val="007D33F4"/>
    <w:rsid w:val="007D3CA3"/>
    <w:rsid w:val="007D6C78"/>
    <w:rsid w:val="007D7B15"/>
    <w:rsid w:val="007E4DD4"/>
    <w:rsid w:val="007E4FB3"/>
    <w:rsid w:val="007F0607"/>
    <w:rsid w:val="007F153D"/>
    <w:rsid w:val="007F1974"/>
    <w:rsid w:val="007F3ABE"/>
    <w:rsid w:val="007F62C6"/>
    <w:rsid w:val="00801C8C"/>
    <w:rsid w:val="00804E46"/>
    <w:rsid w:val="008240B9"/>
    <w:rsid w:val="008269EB"/>
    <w:rsid w:val="00831817"/>
    <w:rsid w:val="008320A9"/>
    <w:rsid w:val="0083271B"/>
    <w:rsid w:val="008328E9"/>
    <w:rsid w:val="00835BCB"/>
    <w:rsid w:val="00835CDC"/>
    <w:rsid w:val="00846CA6"/>
    <w:rsid w:val="00850B09"/>
    <w:rsid w:val="0085216A"/>
    <w:rsid w:val="00855F57"/>
    <w:rsid w:val="00863B9D"/>
    <w:rsid w:val="00863BE6"/>
    <w:rsid w:val="00866550"/>
    <w:rsid w:val="00871BA3"/>
    <w:rsid w:val="00872AE1"/>
    <w:rsid w:val="008775BC"/>
    <w:rsid w:val="0088122A"/>
    <w:rsid w:val="0088274F"/>
    <w:rsid w:val="0088298F"/>
    <w:rsid w:val="00882F1B"/>
    <w:rsid w:val="00884DE3"/>
    <w:rsid w:val="008853E0"/>
    <w:rsid w:val="008877CA"/>
    <w:rsid w:val="00890D42"/>
    <w:rsid w:val="00894717"/>
    <w:rsid w:val="008A70CE"/>
    <w:rsid w:val="008A776C"/>
    <w:rsid w:val="008B0AF8"/>
    <w:rsid w:val="008B2D28"/>
    <w:rsid w:val="008B585C"/>
    <w:rsid w:val="008C25E4"/>
    <w:rsid w:val="008C2DAE"/>
    <w:rsid w:val="008C7D60"/>
    <w:rsid w:val="008E18D9"/>
    <w:rsid w:val="008E2F62"/>
    <w:rsid w:val="008E7076"/>
    <w:rsid w:val="008F3324"/>
    <w:rsid w:val="009059A9"/>
    <w:rsid w:val="00907030"/>
    <w:rsid w:val="00910546"/>
    <w:rsid w:val="00910C5B"/>
    <w:rsid w:val="00913F95"/>
    <w:rsid w:val="0092515E"/>
    <w:rsid w:val="00931865"/>
    <w:rsid w:val="009357F2"/>
    <w:rsid w:val="0093619F"/>
    <w:rsid w:val="00937F43"/>
    <w:rsid w:val="009422E2"/>
    <w:rsid w:val="00942FBD"/>
    <w:rsid w:val="0094770B"/>
    <w:rsid w:val="00951401"/>
    <w:rsid w:val="009534CE"/>
    <w:rsid w:val="009534E8"/>
    <w:rsid w:val="00963878"/>
    <w:rsid w:val="00964F2E"/>
    <w:rsid w:val="00970E35"/>
    <w:rsid w:val="00973518"/>
    <w:rsid w:val="00977B83"/>
    <w:rsid w:val="00981162"/>
    <w:rsid w:val="0098366B"/>
    <w:rsid w:val="00990514"/>
    <w:rsid w:val="00991617"/>
    <w:rsid w:val="00997108"/>
    <w:rsid w:val="009A25A8"/>
    <w:rsid w:val="009B2267"/>
    <w:rsid w:val="009C5C07"/>
    <w:rsid w:val="009C5D74"/>
    <w:rsid w:val="009D015A"/>
    <w:rsid w:val="009D3FCE"/>
    <w:rsid w:val="009E0AE8"/>
    <w:rsid w:val="009E5374"/>
    <w:rsid w:val="009E6257"/>
    <w:rsid w:val="009F2D4B"/>
    <w:rsid w:val="009F345D"/>
    <w:rsid w:val="00A02675"/>
    <w:rsid w:val="00A06B48"/>
    <w:rsid w:val="00A10D43"/>
    <w:rsid w:val="00A12D4F"/>
    <w:rsid w:val="00A13218"/>
    <w:rsid w:val="00A13606"/>
    <w:rsid w:val="00A14632"/>
    <w:rsid w:val="00A161D4"/>
    <w:rsid w:val="00A16B36"/>
    <w:rsid w:val="00A16BA0"/>
    <w:rsid w:val="00A227A3"/>
    <w:rsid w:val="00A24441"/>
    <w:rsid w:val="00A34232"/>
    <w:rsid w:val="00A43FAF"/>
    <w:rsid w:val="00A60B73"/>
    <w:rsid w:val="00A63CF4"/>
    <w:rsid w:val="00A67A56"/>
    <w:rsid w:val="00A67A6D"/>
    <w:rsid w:val="00A70AEC"/>
    <w:rsid w:val="00A76A03"/>
    <w:rsid w:val="00A80080"/>
    <w:rsid w:val="00A95812"/>
    <w:rsid w:val="00AA6B32"/>
    <w:rsid w:val="00AB0A60"/>
    <w:rsid w:val="00AB4951"/>
    <w:rsid w:val="00AB53C4"/>
    <w:rsid w:val="00AD61FF"/>
    <w:rsid w:val="00AE0329"/>
    <w:rsid w:val="00B11BF4"/>
    <w:rsid w:val="00B1281C"/>
    <w:rsid w:val="00B12B43"/>
    <w:rsid w:val="00B15215"/>
    <w:rsid w:val="00B15BB9"/>
    <w:rsid w:val="00B21B45"/>
    <w:rsid w:val="00B25B10"/>
    <w:rsid w:val="00B266DA"/>
    <w:rsid w:val="00B3149A"/>
    <w:rsid w:val="00B315A0"/>
    <w:rsid w:val="00B316EB"/>
    <w:rsid w:val="00B3301A"/>
    <w:rsid w:val="00B34A18"/>
    <w:rsid w:val="00B42800"/>
    <w:rsid w:val="00B468CE"/>
    <w:rsid w:val="00B52D18"/>
    <w:rsid w:val="00B542A7"/>
    <w:rsid w:val="00B569AA"/>
    <w:rsid w:val="00B579CB"/>
    <w:rsid w:val="00B626CD"/>
    <w:rsid w:val="00B65434"/>
    <w:rsid w:val="00B6743B"/>
    <w:rsid w:val="00B675B5"/>
    <w:rsid w:val="00B70083"/>
    <w:rsid w:val="00B83EF9"/>
    <w:rsid w:val="00B863A5"/>
    <w:rsid w:val="00B8773F"/>
    <w:rsid w:val="00B9392E"/>
    <w:rsid w:val="00BA0534"/>
    <w:rsid w:val="00BB28F6"/>
    <w:rsid w:val="00BB3A58"/>
    <w:rsid w:val="00BB65C4"/>
    <w:rsid w:val="00BB683E"/>
    <w:rsid w:val="00BC2609"/>
    <w:rsid w:val="00BC6BA7"/>
    <w:rsid w:val="00BD1BB1"/>
    <w:rsid w:val="00BE1727"/>
    <w:rsid w:val="00BE5E9D"/>
    <w:rsid w:val="00BF1CF7"/>
    <w:rsid w:val="00BF2C17"/>
    <w:rsid w:val="00BF3C25"/>
    <w:rsid w:val="00C00883"/>
    <w:rsid w:val="00C0528F"/>
    <w:rsid w:val="00C07D75"/>
    <w:rsid w:val="00C13145"/>
    <w:rsid w:val="00C15D60"/>
    <w:rsid w:val="00C21F55"/>
    <w:rsid w:val="00C249BE"/>
    <w:rsid w:val="00C2697C"/>
    <w:rsid w:val="00C33CC2"/>
    <w:rsid w:val="00C41160"/>
    <w:rsid w:val="00C45F6D"/>
    <w:rsid w:val="00C4699C"/>
    <w:rsid w:val="00C521CB"/>
    <w:rsid w:val="00C577DA"/>
    <w:rsid w:val="00C6277F"/>
    <w:rsid w:val="00C66499"/>
    <w:rsid w:val="00C67DDD"/>
    <w:rsid w:val="00C73786"/>
    <w:rsid w:val="00C73A2F"/>
    <w:rsid w:val="00C7776B"/>
    <w:rsid w:val="00C77B82"/>
    <w:rsid w:val="00C80C96"/>
    <w:rsid w:val="00C85023"/>
    <w:rsid w:val="00C87BEE"/>
    <w:rsid w:val="00C93CD6"/>
    <w:rsid w:val="00C94923"/>
    <w:rsid w:val="00C94E07"/>
    <w:rsid w:val="00C9538A"/>
    <w:rsid w:val="00C95830"/>
    <w:rsid w:val="00CB6E56"/>
    <w:rsid w:val="00CD07F7"/>
    <w:rsid w:val="00CE51C1"/>
    <w:rsid w:val="00CE750F"/>
    <w:rsid w:val="00CF17D7"/>
    <w:rsid w:val="00CF3CDC"/>
    <w:rsid w:val="00D02ABF"/>
    <w:rsid w:val="00D118C0"/>
    <w:rsid w:val="00D160CB"/>
    <w:rsid w:val="00D21055"/>
    <w:rsid w:val="00D21993"/>
    <w:rsid w:val="00D245A1"/>
    <w:rsid w:val="00D25D53"/>
    <w:rsid w:val="00D3265C"/>
    <w:rsid w:val="00D407F3"/>
    <w:rsid w:val="00D412CE"/>
    <w:rsid w:val="00D415E2"/>
    <w:rsid w:val="00D42055"/>
    <w:rsid w:val="00D442EA"/>
    <w:rsid w:val="00D44FAA"/>
    <w:rsid w:val="00D5271D"/>
    <w:rsid w:val="00D52D51"/>
    <w:rsid w:val="00D56966"/>
    <w:rsid w:val="00D647C3"/>
    <w:rsid w:val="00D6577A"/>
    <w:rsid w:val="00D72181"/>
    <w:rsid w:val="00D741C0"/>
    <w:rsid w:val="00D80D00"/>
    <w:rsid w:val="00D844D3"/>
    <w:rsid w:val="00D87829"/>
    <w:rsid w:val="00D9633A"/>
    <w:rsid w:val="00DA43F0"/>
    <w:rsid w:val="00DB2020"/>
    <w:rsid w:val="00DB3BF0"/>
    <w:rsid w:val="00DB7963"/>
    <w:rsid w:val="00DC1E55"/>
    <w:rsid w:val="00DD0FF0"/>
    <w:rsid w:val="00DD5651"/>
    <w:rsid w:val="00DD6128"/>
    <w:rsid w:val="00DE5383"/>
    <w:rsid w:val="00DF2386"/>
    <w:rsid w:val="00DF5775"/>
    <w:rsid w:val="00DF7FE7"/>
    <w:rsid w:val="00E01053"/>
    <w:rsid w:val="00E14626"/>
    <w:rsid w:val="00E14D9C"/>
    <w:rsid w:val="00E203B2"/>
    <w:rsid w:val="00E25DFA"/>
    <w:rsid w:val="00E27717"/>
    <w:rsid w:val="00E30FD7"/>
    <w:rsid w:val="00E46367"/>
    <w:rsid w:val="00E508E6"/>
    <w:rsid w:val="00E51BA9"/>
    <w:rsid w:val="00E6394C"/>
    <w:rsid w:val="00E63F0B"/>
    <w:rsid w:val="00E72539"/>
    <w:rsid w:val="00E77F2D"/>
    <w:rsid w:val="00E9076E"/>
    <w:rsid w:val="00E9200D"/>
    <w:rsid w:val="00EA3A7F"/>
    <w:rsid w:val="00EA6BD2"/>
    <w:rsid w:val="00EB3479"/>
    <w:rsid w:val="00EB44AD"/>
    <w:rsid w:val="00EB49AC"/>
    <w:rsid w:val="00EB6477"/>
    <w:rsid w:val="00EB77E1"/>
    <w:rsid w:val="00EC20A1"/>
    <w:rsid w:val="00EC39C2"/>
    <w:rsid w:val="00EC4AD8"/>
    <w:rsid w:val="00EC7D03"/>
    <w:rsid w:val="00EE5590"/>
    <w:rsid w:val="00EF08BB"/>
    <w:rsid w:val="00EF5341"/>
    <w:rsid w:val="00F078F1"/>
    <w:rsid w:val="00F123E0"/>
    <w:rsid w:val="00F1492E"/>
    <w:rsid w:val="00F32D03"/>
    <w:rsid w:val="00F33A3D"/>
    <w:rsid w:val="00F344DE"/>
    <w:rsid w:val="00F3524E"/>
    <w:rsid w:val="00F43473"/>
    <w:rsid w:val="00F501A9"/>
    <w:rsid w:val="00F511F1"/>
    <w:rsid w:val="00F55DEC"/>
    <w:rsid w:val="00F57516"/>
    <w:rsid w:val="00F642DE"/>
    <w:rsid w:val="00F73E71"/>
    <w:rsid w:val="00F749AE"/>
    <w:rsid w:val="00F75AE3"/>
    <w:rsid w:val="00F9085F"/>
    <w:rsid w:val="00F97A0A"/>
    <w:rsid w:val="00FA0203"/>
    <w:rsid w:val="00FB0532"/>
    <w:rsid w:val="00FB3242"/>
    <w:rsid w:val="00FB52AD"/>
    <w:rsid w:val="00FE6D5F"/>
    <w:rsid w:val="00FF01EA"/>
    <w:rsid w:val="00FF1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CE0D98"/>
  <w15:docId w15:val="{0FDC715D-2102-4402-94E2-8C2D703D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D75A-604C-475E-9DDC-0CB1F83E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11087</Characters>
  <Application>Microsoft Office Word</Application>
  <DocSecurity>0</DocSecurity>
  <Lines>92</Lines>
  <Paragraphs>26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Ramsar Secretariat</Company>
  <LinksUpToDate>false</LinksUpToDate>
  <CharactersWithSpaces>13005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JB;Norman Emmanuel C. Ramirez</dc:creator>
  <cp:lastModifiedBy>Ed Jennings</cp:lastModifiedBy>
  <cp:revision>3</cp:revision>
  <cp:lastPrinted>2016-10-06T13:08:00Z</cp:lastPrinted>
  <dcterms:created xsi:type="dcterms:W3CDTF">2021-05-31T18:56:00Z</dcterms:created>
  <dcterms:modified xsi:type="dcterms:W3CDTF">2021-06-17T08:12:00Z</dcterms:modified>
</cp:coreProperties>
</file>