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455FF" w14:textId="280B282D" w:rsidR="001F6249" w:rsidRPr="001327E4" w:rsidRDefault="001F6249" w:rsidP="001327E4">
      <w:pPr>
        <w:pBdr>
          <w:top w:val="single" w:sz="12" w:space="0" w:color="auto" w:shadow="1"/>
          <w:left w:val="single" w:sz="12" w:space="4" w:color="auto" w:shadow="1"/>
          <w:bottom w:val="single" w:sz="12" w:space="1" w:color="auto" w:shadow="1"/>
          <w:right w:val="single" w:sz="12" w:space="0" w:color="auto" w:shadow="1"/>
        </w:pBdr>
        <w:ind w:right="2790"/>
        <w:rPr>
          <w:rFonts w:asciiTheme="minorHAnsi" w:hAnsiTheme="minorHAnsi" w:cstheme="minorHAnsi"/>
          <w:bCs/>
          <w:sz w:val="24"/>
          <w:szCs w:val="24"/>
        </w:rPr>
      </w:pPr>
      <w:r w:rsidRPr="001327E4">
        <w:rPr>
          <w:rFonts w:asciiTheme="minorHAnsi" w:hAnsiTheme="minorHAnsi" w:cstheme="minorHAnsi"/>
          <w:bCs/>
          <w:sz w:val="24"/>
          <w:szCs w:val="24"/>
        </w:rPr>
        <w:t>THE CONVENTION ON WETLANDS</w:t>
      </w:r>
    </w:p>
    <w:p w14:paraId="40B3F838" w14:textId="7727C649" w:rsidR="001F6249" w:rsidRPr="001327E4" w:rsidRDefault="001072C1" w:rsidP="001327E4">
      <w:pPr>
        <w:pBdr>
          <w:top w:val="single" w:sz="12" w:space="0" w:color="auto" w:shadow="1"/>
          <w:left w:val="single" w:sz="12" w:space="4" w:color="auto" w:shadow="1"/>
          <w:bottom w:val="single" w:sz="12" w:space="1" w:color="auto" w:shadow="1"/>
          <w:right w:val="single" w:sz="12" w:space="0" w:color="auto" w:shadow="1"/>
        </w:pBdr>
        <w:ind w:right="2790"/>
        <w:rPr>
          <w:rFonts w:asciiTheme="minorHAnsi" w:hAnsiTheme="minorHAnsi" w:cstheme="minorHAnsi"/>
          <w:bCs/>
          <w:sz w:val="24"/>
          <w:szCs w:val="24"/>
        </w:rPr>
      </w:pPr>
      <w:r w:rsidRPr="001327E4">
        <w:rPr>
          <w:rFonts w:asciiTheme="minorHAnsi" w:hAnsiTheme="minorHAnsi" w:cstheme="minorHAnsi"/>
          <w:bCs/>
          <w:sz w:val="24"/>
          <w:szCs w:val="24"/>
        </w:rPr>
        <w:t>59</w:t>
      </w:r>
      <w:r w:rsidR="001F6249" w:rsidRPr="001327E4">
        <w:rPr>
          <w:rFonts w:asciiTheme="minorHAnsi" w:hAnsiTheme="minorHAnsi" w:cstheme="minorHAnsi"/>
          <w:bCs/>
          <w:sz w:val="24"/>
          <w:szCs w:val="24"/>
        </w:rPr>
        <w:t>th Meeting of the Standing Committee</w:t>
      </w:r>
    </w:p>
    <w:p w14:paraId="4D2B71D2" w14:textId="475CF5D4" w:rsidR="001F6249" w:rsidRPr="001327E4" w:rsidRDefault="001327E4" w:rsidP="001327E4">
      <w:pPr>
        <w:pBdr>
          <w:top w:val="single" w:sz="12" w:space="0" w:color="auto" w:shadow="1"/>
          <w:left w:val="single" w:sz="12" w:space="4" w:color="auto" w:shadow="1"/>
          <w:bottom w:val="single" w:sz="12" w:space="1" w:color="auto" w:shadow="1"/>
          <w:right w:val="single" w:sz="12" w:space="0" w:color="auto" w:shadow="1"/>
        </w:pBdr>
        <w:ind w:right="2790"/>
        <w:rPr>
          <w:rFonts w:asciiTheme="minorHAnsi" w:hAnsiTheme="minorHAnsi" w:cstheme="minorHAnsi"/>
          <w:bCs/>
          <w:sz w:val="24"/>
          <w:szCs w:val="24"/>
        </w:rPr>
      </w:pPr>
      <w:r w:rsidRPr="001327E4">
        <w:rPr>
          <w:rFonts w:asciiTheme="minorHAnsi" w:hAnsiTheme="minorHAnsi" w:cstheme="minorHAnsi"/>
          <w:bCs/>
          <w:sz w:val="24"/>
          <w:szCs w:val="24"/>
        </w:rPr>
        <w:t>Gland, Switzerland, 21-25 June 2021</w:t>
      </w:r>
    </w:p>
    <w:p w14:paraId="0A304083" w14:textId="47BABCE0" w:rsidR="001F6249" w:rsidRDefault="001F6249" w:rsidP="006E4AB3">
      <w:pPr>
        <w:rPr>
          <w:rFonts w:asciiTheme="minorHAnsi" w:hAnsiTheme="minorHAnsi" w:cstheme="minorHAnsi"/>
          <w:b/>
          <w:sz w:val="28"/>
          <w:szCs w:val="28"/>
        </w:rPr>
      </w:pPr>
    </w:p>
    <w:p w14:paraId="215E84B1" w14:textId="0CAC8274" w:rsidR="006E4AB3" w:rsidRPr="006E4AB3" w:rsidRDefault="006E4AB3" w:rsidP="006E4AB3">
      <w:pPr>
        <w:jc w:val="right"/>
        <w:rPr>
          <w:rFonts w:asciiTheme="minorHAnsi" w:hAnsiTheme="minorHAnsi"/>
          <w:b/>
          <w:sz w:val="28"/>
          <w:szCs w:val="28"/>
        </w:rPr>
      </w:pPr>
      <w:r w:rsidRPr="006E4AB3">
        <w:rPr>
          <w:rFonts w:asciiTheme="minorHAnsi" w:hAnsiTheme="minorHAnsi"/>
          <w:b/>
          <w:sz w:val="28"/>
          <w:szCs w:val="28"/>
        </w:rPr>
        <w:t>SC59 Doc.24.</w:t>
      </w:r>
      <w:r>
        <w:rPr>
          <w:rFonts w:asciiTheme="minorHAnsi" w:hAnsiTheme="minorHAnsi"/>
          <w:b/>
          <w:sz w:val="28"/>
          <w:szCs w:val="28"/>
        </w:rPr>
        <w:t>6</w:t>
      </w:r>
    </w:p>
    <w:p w14:paraId="42154142" w14:textId="77777777" w:rsidR="006E4AB3" w:rsidRPr="006E4AB3" w:rsidRDefault="006E4AB3" w:rsidP="006E4AB3">
      <w:pPr>
        <w:suppressLineNumbers/>
        <w:suppressAutoHyphens/>
        <w:rPr>
          <w:rFonts w:cs="Arial"/>
          <w:b/>
          <w:sz w:val="28"/>
          <w:szCs w:val="28"/>
        </w:rPr>
      </w:pPr>
    </w:p>
    <w:p w14:paraId="7827A087" w14:textId="1C4F8E44" w:rsidR="001F6249" w:rsidRPr="00110F2D" w:rsidRDefault="001F6249" w:rsidP="006E4AB3">
      <w:pPr>
        <w:ind w:right="16"/>
        <w:jc w:val="center"/>
        <w:rPr>
          <w:rFonts w:asciiTheme="minorHAnsi" w:eastAsia="Times New Roman" w:hAnsiTheme="minorHAnsi"/>
          <w:sz w:val="28"/>
          <w:szCs w:val="28"/>
        </w:rPr>
      </w:pPr>
      <w:r w:rsidRPr="00110F2D">
        <w:rPr>
          <w:rFonts w:asciiTheme="minorHAnsi" w:eastAsia="Times New Roman" w:hAnsiTheme="minorHAnsi"/>
          <w:b/>
          <w:bCs/>
          <w:sz w:val="28"/>
          <w:szCs w:val="28"/>
        </w:rPr>
        <w:t xml:space="preserve">Draft </w:t>
      </w:r>
      <w:r w:rsidR="00771875" w:rsidRPr="00110F2D">
        <w:rPr>
          <w:rFonts w:asciiTheme="minorHAnsi" w:eastAsia="Times New Roman" w:hAnsiTheme="minorHAnsi"/>
          <w:b/>
          <w:bCs/>
          <w:sz w:val="28"/>
          <w:szCs w:val="28"/>
        </w:rPr>
        <w:t>r</w:t>
      </w:r>
      <w:r w:rsidRPr="00110F2D">
        <w:rPr>
          <w:rFonts w:asciiTheme="minorHAnsi" w:eastAsia="Times New Roman" w:hAnsiTheme="minorHAnsi"/>
          <w:b/>
          <w:bCs/>
          <w:sz w:val="28"/>
          <w:szCs w:val="28"/>
        </w:rPr>
        <w:t xml:space="preserve">esolution on </w:t>
      </w:r>
      <w:r w:rsidR="001327E4">
        <w:rPr>
          <w:rFonts w:asciiTheme="minorHAnsi" w:eastAsia="Times New Roman" w:hAnsiTheme="minorHAnsi"/>
          <w:b/>
          <w:bCs/>
          <w:sz w:val="28"/>
          <w:szCs w:val="28"/>
        </w:rPr>
        <w:t>W</w:t>
      </w:r>
      <w:r w:rsidR="00F511F1" w:rsidRPr="00110F2D">
        <w:rPr>
          <w:rFonts w:asciiTheme="minorHAnsi" w:eastAsia="Times New Roman" w:hAnsiTheme="minorHAnsi"/>
          <w:b/>
          <w:bCs/>
          <w:sz w:val="28"/>
          <w:szCs w:val="28"/>
        </w:rPr>
        <w:t>etland education in the formal education sector</w:t>
      </w:r>
    </w:p>
    <w:p w14:paraId="23464B10" w14:textId="34FA1050" w:rsidR="001F6249" w:rsidRPr="00110F2D" w:rsidRDefault="001F6249" w:rsidP="006E4AB3">
      <w:pPr>
        <w:ind w:right="560"/>
        <w:rPr>
          <w:rFonts w:asciiTheme="minorHAnsi" w:eastAsia="Times New Roman" w:hAnsiTheme="minorHAnsi" w:cstheme="minorHAnsi"/>
          <w:b/>
        </w:rPr>
      </w:pPr>
    </w:p>
    <w:p w14:paraId="3D0A3BD4" w14:textId="546213E6" w:rsidR="001F6249" w:rsidRDefault="001F6249" w:rsidP="006E4AB3">
      <w:pPr>
        <w:ind w:right="16"/>
        <w:rPr>
          <w:rFonts w:asciiTheme="minorHAnsi" w:eastAsia="Times New Roman" w:hAnsiTheme="minorHAnsi" w:cstheme="minorHAnsi"/>
          <w:i/>
        </w:rPr>
      </w:pPr>
      <w:r w:rsidRPr="00110F2D">
        <w:rPr>
          <w:rFonts w:asciiTheme="minorHAnsi" w:eastAsia="Times New Roman" w:hAnsiTheme="minorHAnsi" w:cstheme="minorHAnsi"/>
          <w:i/>
        </w:rPr>
        <w:t xml:space="preserve">Submitted by </w:t>
      </w:r>
      <w:r w:rsidR="005421D4" w:rsidRPr="0085216A">
        <w:rPr>
          <w:rFonts w:asciiTheme="minorHAnsi" w:eastAsia="Malgun Gothic" w:hAnsiTheme="minorHAnsi" w:cstheme="minorHAnsi"/>
          <w:i/>
          <w:lang w:eastAsia="ko-KR"/>
        </w:rPr>
        <w:t>China</w:t>
      </w:r>
      <w:r w:rsidR="005421D4" w:rsidRPr="00110F2D">
        <w:rPr>
          <w:rFonts w:asciiTheme="minorHAnsi" w:eastAsia="Times New Roman" w:hAnsiTheme="minorHAnsi" w:cstheme="minorHAnsi"/>
          <w:i/>
        </w:rPr>
        <w:t xml:space="preserve"> </w:t>
      </w:r>
      <w:r w:rsidR="005421D4">
        <w:rPr>
          <w:rFonts w:asciiTheme="minorHAnsi" w:eastAsia="Times New Roman" w:hAnsiTheme="minorHAnsi" w:cstheme="minorHAnsi"/>
          <w:i/>
        </w:rPr>
        <w:t xml:space="preserve">and </w:t>
      </w:r>
      <w:r w:rsidR="00F511F1" w:rsidRPr="00110F2D">
        <w:rPr>
          <w:rFonts w:asciiTheme="minorHAnsi" w:eastAsia="Times New Roman" w:hAnsiTheme="minorHAnsi" w:cstheme="minorHAnsi"/>
          <w:i/>
        </w:rPr>
        <w:t>Republic of Korea</w:t>
      </w:r>
    </w:p>
    <w:p w14:paraId="51A24CB3" w14:textId="5A654951" w:rsidR="00017C5E" w:rsidRDefault="00017C5E" w:rsidP="006E4AB3">
      <w:pPr>
        <w:ind w:right="16"/>
        <w:rPr>
          <w:rFonts w:asciiTheme="minorHAnsi" w:eastAsia="Times New Roman" w:hAnsiTheme="minorHAnsi" w:cstheme="minorHAnsi"/>
          <w:i/>
        </w:rPr>
      </w:pPr>
    </w:p>
    <w:p w14:paraId="7ABA7D8B" w14:textId="4EFA8DCF" w:rsidR="00017C5E" w:rsidRDefault="00017C5E" w:rsidP="006E4AB3">
      <w:pPr>
        <w:ind w:right="16"/>
        <w:rPr>
          <w:rFonts w:asciiTheme="minorHAnsi" w:eastAsia="Times New Roman" w:hAnsiTheme="minorHAnsi" w:cstheme="minorHAnsi"/>
          <w:i/>
        </w:rPr>
      </w:pPr>
    </w:p>
    <w:p w14:paraId="3C0AE5E8" w14:textId="77777777" w:rsidR="00017C5E" w:rsidRPr="00D6399E" w:rsidRDefault="00017C5E" w:rsidP="00017C5E">
      <w:pPr>
        <w:rPr>
          <w:i/>
        </w:rPr>
      </w:pPr>
      <w:r w:rsidRPr="00D6399E">
        <w:rPr>
          <w:i/>
        </w:rPr>
        <w:t>Secretariat cover note:</w:t>
      </w:r>
    </w:p>
    <w:p w14:paraId="0922CCBA" w14:textId="77777777" w:rsidR="00017C5E" w:rsidRDefault="00017C5E" w:rsidP="00017C5E">
      <w:pPr>
        <w:ind w:left="0" w:firstLine="0"/>
      </w:pPr>
      <w:r>
        <w:t xml:space="preserve">The DR refers to earlier Resolutions adopted by Ramsar COPs on CEPA, notably Resolutions VII.9, VIII.31, X.8 and XII.9. </w:t>
      </w:r>
      <w:r>
        <w:rPr>
          <w:rFonts w:eastAsia="Times New Roman"/>
        </w:rPr>
        <w:t>The DR does not address matters of a scientific or technical nature requiring review by the STRP.</w:t>
      </w:r>
      <w:r>
        <w:t xml:space="preserve"> </w:t>
      </w:r>
    </w:p>
    <w:p w14:paraId="7D1F23F3" w14:textId="77777777" w:rsidR="00017C5E" w:rsidRPr="00110F2D" w:rsidRDefault="00017C5E" w:rsidP="006E4AB3">
      <w:pPr>
        <w:ind w:right="16"/>
        <w:rPr>
          <w:rFonts w:asciiTheme="minorHAnsi" w:eastAsia="Times New Roman" w:hAnsiTheme="minorHAnsi" w:cstheme="minorHAnsi"/>
          <w:i/>
          <w:lang w:eastAsia="ko-KR"/>
        </w:rPr>
      </w:pPr>
    </w:p>
    <w:p w14:paraId="22EE228E" w14:textId="4DC4FADB" w:rsidR="00017C5E" w:rsidRDefault="00017C5E">
      <w:pPr>
        <w:rPr>
          <w:rFonts w:asciiTheme="minorHAnsi" w:eastAsia="Times New Roman" w:hAnsiTheme="minorHAnsi" w:cstheme="minorHAnsi"/>
          <w:iCs/>
        </w:rPr>
      </w:pPr>
      <w:r>
        <w:rPr>
          <w:rFonts w:asciiTheme="minorHAnsi" w:eastAsia="Times New Roman" w:hAnsiTheme="minorHAnsi" w:cstheme="minorHAnsi"/>
          <w:iCs/>
        </w:rPr>
        <w:br w:type="page"/>
      </w:r>
    </w:p>
    <w:p w14:paraId="56E0855F" w14:textId="77777777" w:rsidR="00017C5E" w:rsidRPr="00017C5E" w:rsidRDefault="00017C5E" w:rsidP="00017C5E">
      <w:pPr>
        <w:ind w:right="16"/>
        <w:jc w:val="center"/>
        <w:rPr>
          <w:rFonts w:asciiTheme="minorHAnsi" w:eastAsia="Times New Roman" w:hAnsiTheme="minorHAnsi"/>
          <w:sz w:val="24"/>
          <w:szCs w:val="24"/>
        </w:rPr>
      </w:pPr>
      <w:r w:rsidRPr="00017C5E">
        <w:rPr>
          <w:rFonts w:asciiTheme="minorHAnsi" w:eastAsia="Times New Roman" w:hAnsiTheme="minorHAnsi"/>
          <w:b/>
          <w:bCs/>
          <w:sz w:val="24"/>
          <w:szCs w:val="24"/>
        </w:rPr>
        <w:lastRenderedPageBreak/>
        <w:t>Draft resolution on Wetland education in the formal education sector</w:t>
      </w:r>
    </w:p>
    <w:p w14:paraId="18D88917" w14:textId="77777777" w:rsidR="004D37C3" w:rsidRPr="00110F2D" w:rsidRDefault="004D37C3" w:rsidP="006E4AB3">
      <w:pPr>
        <w:ind w:right="16"/>
        <w:rPr>
          <w:rFonts w:asciiTheme="minorHAnsi" w:eastAsia="Times New Roman" w:hAnsiTheme="minorHAnsi" w:cstheme="minorHAnsi"/>
          <w:iCs/>
        </w:rPr>
      </w:pPr>
    </w:p>
    <w:tbl>
      <w:tblPr>
        <w:tblStyle w:val="TableGrid"/>
        <w:tblW w:w="508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165"/>
      </w:tblGrid>
      <w:tr w:rsidR="004D37C3" w:rsidRPr="00110F2D" w14:paraId="6DAF791B" w14:textId="77777777" w:rsidTr="00B15215">
        <w:tc>
          <w:tcPr>
            <w:tcW w:w="5000" w:type="pct"/>
          </w:tcPr>
          <w:p w14:paraId="4BBAE160" w14:textId="77777777" w:rsidR="00B15215" w:rsidRPr="00110F2D" w:rsidRDefault="00B15215" w:rsidP="006E4AB3">
            <w:pPr>
              <w:rPr>
                <w:rFonts w:asciiTheme="minorHAnsi" w:hAnsiTheme="minorHAnsi" w:cstheme="minorHAnsi"/>
                <w:b/>
              </w:rPr>
            </w:pPr>
            <w:r w:rsidRPr="00110F2D">
              <w:rPr>
                <w:rFonts w:asciiTheme="minorHAnsi" w:hAnsiTheme="minorHAnsi" w:cstheme="minorHAnsi"/>
                <w:b/>
              </w:rPr>
              <w:t>Action requested:</w:t>
            </w:r>
          </w:p>
          <w:p w14:paraId="5B65040E" w14:textId="77777777" w:rsidR="00B15215" w:rsidRPr="00110F2D" w:rsidRDefault="00B15215" w:rsidP="006E4AB3">
            <w:pPr>
              <w:rPr>
                <w:rFonts w:asciiTheme="minorHAnsi" w:hAnsiTheme="minorHAnsi" w:cstheme="minorHAnsi"/>
                <w:b/>
              </w:rPr>
            </w:pPr>
          </w:p>
          <w:p w14:paraId="34C6F935" w14:textId="77777777" w:rsidR="00771875" w:rsidRPr="00110F2D" w:rsidRDefault="00771875" w:rsidP="006E4AB3">
            <w:pPr>
              <w:widowControl w:val="0"/>
              <w:numPr>
                <w:ilvl w:val="0"/>
                <w:numId w:val="33"/>
              </w:numPr>
              <w:ind w:left="426" w:hanging="426"/>
              <w:rPr>
                <w:rFonts w:asciiTheme="minorHAnsi" w:eastAsia="Times New Roman" w:hAnsiTheme="minorHAnsi" w:cstheme="minorHAnsi"/>
                <w:iCs/>
              </w:rPr>
            </w:pPr>
            <w:r w:rsidRPr="00110F2D">
              <w:rPr>
                <w:rFonts w:asciiTheme="minorHAnsi" w:hAnsiTheme="minorHAnsi" w:cstheme="minorHAnsi"/>
              </w:rPr>
              <w:t>The Standing Committee is invited to review the attached draft resolution for consideration at the 14th meeting of the Conference of the Parties.</w:t>
            </w:r>
          </w:p>
          <w:p w14:paraId="7594EF5B" w14:textId="634DA52F" w:rsidR="00771875" w:rsidRPr="00110F2D" w:rsidRDefault="00771875" w:rsidP="006E4AB3">
            <w:pPr>
              <w:widowControl w:val="0"/>
              <w:ind w:left="0" w:firstLine="0"/>
              <w:rPr>
                <w:rFonts w:asciiTheme="minorHAnsi" w:eastAsia="Times New Roman" w:hAnsiTheme="minorHAnsi" w:cstheme="minorHAnsi"/>
                <w:iCs/>
              </w:rPr>
            </w:pPr>
          </w:p>
        </w:tc>
      </w:tr>
    </w:tbl>
    <w:p w14:paraId="1E3D1BA6" w14:textId="16AF1AD7" w:rsidR="004D37C3" w:rsidRPr="00110F2D" w:rsidRDefault="004D37C3" w:rsidP="006E4AB3">
      <w:pPr>
        <w:ind w:right="16"/>
        <w:rPr>
          <w:rFonts w:asciiTheme="minorHAnsi" w:eastAsia="Times New Roman" w:hAnsiTheme="minorHAnsi" w:cstheme="minorHAnsi"/>
          <w:iCs/>
        </w:rPr>
      </w:pPr>
    </w:p>
    <w:p w14:paraId="527442F1" w14:textId="77777777" w:rsidR="001F6249" w:rsidRPr="00110F2D" w:rsidRDefault="001F6249" w:rsidP="006E4AB3">
      <w:pPr>
        <w:rPr>
          <w:rFonts w:asciiTheme="minorHAnsi" w:hAnsiTheme="minorHAnsi" w:cstheme="minorHAnsi"/>
          <w:b/>
        </w:rPr>
      </w:pPr>
    </w:p>
    <w:p w14:paraId="5138F356" w14:textId="38517356" w:rsidR="001F6249" w:rsidRPr="00110F2D" w:rsidRDefault="005E32CE" w:rsidP="006E4AB3">
      <w:pPr>
        <w:rPr>
          <w:rFonts w:asciiTheme="minorHAnsi" w:hAnsiTheme="minorHAnsi" w:cstheme="minorHAnsi"/>
          <w:b/>
        </w:rPr>
      </w:pPr>
      <w:r w:rsidRPr="00110F2D">
        <w:rPr>
          <w:rFonts w:asciiTheme="minorHAnsi" w:hAnsiTheme="minorHAnsi" w:cstheme="minorHAnsi"/>
          <w:b/>
        </w:rPr>
        <w:t>Introduction</w:t>
      </w:r>
    </w:p>
    <w:p w14:paraId="10DC17A4" w14:textId="27C27B3E" w:rsidR="001F6249" w:rsidRPr="00110F2D" w:rsidRDefault="001F6249" w:rsidP="006E4AB3">
      <w:pPr>
        <w:rPr>
          <w:rFonts w:asciiTheme="minorHAnsi" w:hAnsiTheme="minorHAnsi" w:cstheme="minorHAnsi"/>
        </w:rPr>
      </w:pPr>
    </w:p>
    <w:p w14:paraId="6AFEBA8F" w14:textId="0F72BF7A" w:rsidR="005E32CE" w:rsidRPr="00110F2D" w:rsidRDefault="005E32CE" w:rsidP="006E4AB3">
      <w:pPr>
        <w:rPr>
          <w:rFonts w:asciiTheme="minorHAnsi" w:hAnsiTheme="minorHAnsi" w:cstheme="minorHAnsi"/>
          <w:i/>
          <w:iCs/>
        </w:rPr>
      </w:pPr>
      <w:r w:rsidRPr="00110F2D">
        <w:rPr>
          <w:rFonts w:asciiTheme="minorHAnsi" w:hAnsiTheme="minorHAnsi" w:cstheme="minorHAnsi"/>
          <w:i/>
          <w:iCs/>
        </w:rPr>
        <w:t>Information for Standing Committee</w:t>
      </w:r>
    </w:p>
    <w:p w14:paraId="68FD1BF1" w14:textId="77777777" w:rsidR="005E32CE" w:rsidRPr="00110F2D" w:rsidRDefault="005E32CE" w:rsidP="006E4AB3">
      <w:pPr>
        <w:pStyle w:val="NoSpacing"/>
        <w:ind w:left="0" w:firstLine="0"/>
        <w:jc w:val="both"/>
        <w:rPr>
          <w:rFonts w:asciiTheme="minorHAnsi" w:eastAsia="Times New Roman" w:hAnsiTheme="minorHAnsi" w:cstheme="minorHAnsi"/>
          <w:lang w:val="en-AU" w:eastAsia="en-GB"/>
        </w:rPr>
      </w:pPr>
    </w:p>
    <w:p w14:paraId="0887BB52" w14:textId="6198BD52" w:rsidR="00B9392E" w:rsidRPr="00110F2D" w:rsidRDefault="00501442" w:rsidP="006E4AB3">
      <w:pPr>
        <w:pStyle w:val="NoSpacing"/>
        <w:ind w:left="0" w:firstLine="0"/>
        <w:rPr>
          <w:rFonts w:asciiTheme="minorHAnsi" w:hAnsiTheme="minorHAnsi" w:cstheme="minorHAnsi"/>
          <w:lang w:val="en-AU"/>
        </w:rPr>
      </w:pPr>
      <w:r w:rsidRPr="00110F2D">
        <w:rPr>
          <w:rFonts w:asciiTheme="minorHAnsi" w:eastAsia="Times New Roman" w:hAnsiTheme="minorHAnsi" w:cstheme="minorHAnsi"/>
          <w:lang w:val="en-AU" w:eastAsia="en-GB"/>
        </w:rPr>
        <w:t xml:space="preserve">This </w:t>
      </w:r>
      <w:r w:rsidR="00334C07" w:rsidRPr="00110F2D">
        <w:rPr>
          <w:rFonts w:asciiTheme="minorHAnsi" w:eastAsia="Times New Roman" w:hAnsiTheme="minorHAnsi" w:cstheme="minorHAnsi"/>
          <w:lang w:val="en-AU" w:eastAsia="en-GB"/>
        </w:rPr>
        <w:t xml:space="preserve">draft resolution </w:t>
      </w:r>
      <w:r w:rsidR="005014CD" w:rsidRPr="00110F2D">
        <w:rPr>
          <w:rFonts w:asciiTheme="minorHAnsi" w:eastAsia="Times New Roman" w:hAnsiTheme="minorHAnsi" w:cstheme="minorHAnsi"/>
          <w:lang w:val="en-AU" w:eastAsia="en-GB"/>
        </w:rPr>
        <w:t>aims</w:t>
      </w:r>
      <w:r w:rsidRPr="00110F2D">
        <w:rPr>
          <w:rFonts w:asciiTheme="minorHAnsi" w:eastAsia="Times New Roman" w:hAnsiTheme="minorHAnsi" w:cstheme="minorHAnsi"/>
          <w:lang w:val="en-AU" w:eastAsia="en-GB"/>
        </w:rPr>
        <w:t xml:space="preserve"> to provide further guidance </w:t>
      </w:r>
      <w:r w:rsidR="005014CD" w:rsidRPr="00110F2D">
        <w:rPr>
          <w:rFonts w:asciiTheme="minorHAnsi" w:eastAsia="Times New Roman" w:hAnsiTheme="minorHAnsi" w:cstheme="minorHAnsi"/>
          <w:lang w:val="en-AU" w:eastAsia="en-GB"/>
        </w:rPr>
        <w:t xml:space="preserve">to strengthen a </w:t>
      </w:r>
      <w:r w:rsidRPr="00110F2D">
        <w:rPr>
          <w:rFonts w:asciiTheme="minorHAnsi" w:eastAsia="Times New Roman" w:hAnsiTheme="minorHAnsi" w:cstheme="minorHAnsi"/>
          <w:lang w:val="en-AU" w:eastAsia="en-GB"/>
        </w:rPr>
        <w:t xml:space="preserve">specific component of the CEPA Programme, that is wetland education in the formal education sector. </w:t>
      </w:r>
      <w:r w:rsidR="00D5271D" w:rsidRPr="00110F2D">
        <w:rPr>
          <w:rFonts w:asciiTheme="minorHAnsi" w:eastAsia="Times New Roman" w:hAnsiTheme="minorHAnsi" w:cstheme="minorHAnsi"/>
          <w:lang w:val="en-AU" w:eastAsia="en-GB"/>
        </w:rPr>
        <w:t xml:space="preserve">The development of a </w:t>
      </w:r>
      <w:r w:rsidR="00505E69" w:rsidRPr="00110F2D">
        <w:rPr>
          <w:rFonts w:asciiTheme="minorHAnsi" w:eastAsia="Times New Roman" w:hAnsiTheme="minorHAnsi" w:cstheme="minorHAnsi"/>
          <w:lang w:val="en-AU" w:eastAsia="en-GB"/>
        </w:rPr>
        <w:t>resolution</w:t>
      </w:r>
      <w:r w:rsidR="00D5271D" w:rsidRPr="00110F2D">
        <w:rPr>
          <w:rFonts w:asciiTheme="minorHAnsi" w:eastAsia="Times New Roman" w:hAnsiTheme="minorHAnsi" w:cstheme="minorHAnsi"/>
          <w:lang w:val="en-AU" w:eastAsia="en-GB"/>
        </w:rPr>
        <w:t xml:space="preserve"> focused </w:t>
      </w:r>
      <w:r w:rsidR="00D5271D" w:rsidRPr="00110F2D">
        <w:rPr>
          <w:rFonts w:asciiTheme="minorHAnsi" w:hAnsiTheme="minorHAnsi" w:cstheme="minorHAnsi"/>
        </w:rPr>
        <w:t>on wetland education in the formal education</w:t>
      </w:r>
      <w:r w:rsidR="00505E69" w:rsidRPr="00110F2D">
        <w:rPr>
          <w:rFonts w:asciiTheme="minorHAnsi" w:hAnsiTheme="minorHAnsi" w:cstheme="minorHAnsi"/>
        </w:rPr>
        <w:t xml:space="preserve"> </w:t>
      </w:r>
      <w:r w:rsidR="00D5271D" w:rsidRPr="00110F2D">
        <w:rPr>
          <w:rFonts w:asciiTheme="minorHAnsi" w:hAnsiTheme="minorHAnsi" w:cstheme="minorHAnsi"/>
        </w:rPr>
        <w:t>sector stems</w:t>
      </w:r>
      <w:r w:rsidR="00505E69" w:rsidRPr="00110F2D">
        <w:rPr>
          <w:rFonts w:asciiTheme="minorHAnsi" w:hAnsiTheme="minorHAnsi" w:cstheme="minorHAnsi"/>
        </w:rPr>
        <w:t xml:space="preserve"> </w:t>
      </w:r>
      <w:r w:rsidR="00D5271D" w:rsidRPr="00110F2D">
        <w:rPr>
          <w:rFonts w:asciiTheme="minorHAnsi" w:hAnsiTheme="minorHAnsi" w:cstheme="minorHAnsi"/>
        </w:rPr>
        <w:t xml:space="preserve">from </w:t>
      </w:r>
      <w:r w:rsidR="00D5271D" w:rsidRPr="00110F2D">
        <w:rPr>
          <w:rFonts w:asciiTheme="minorHAnsi" w:hAnsiTheme="minorHAnsi" w:cstheme="minorHAnsi"/>
          <w:lang w:val="en-AU"/>
        </w:rPr>
        <w:t>concerns by proponents that</w:t>
      </w:r>
      <w:r w:rsidR="00505E69" w:rsidRPr="00110F2D">
        <w:rPr>
          <w:rFonts w:asciiTheme="minorHAnsi" w:hAnsiTheme="minorHAnsi" w:cstheme="minorHAnsi"/>
          <w:lang w:val="en-AU"/>
        </w:rPr>
        <w:t>,</w:t>
      </w:r>
      <w:r w:rsidR="00D5271D" w:rsidRPr="00110F2D">
        <w:rPr>
          <w:rFonts w:asciiTheme="minorHAnsi" w:hAnsiTheme="minorHAnsi" w:cstheme="minorHAnsi"/>
          <w:lang w:val="en-AU"/>
        </w:rPr>
        <w:t xml:space="preserve"> while wetland education for schools</w:t>
      </w:r>
      <w:r w:rsidR="00505E69" w:rsidRPr="00110F2D">
        <w:rPr>
          <w:rFonts w:asciiTheme="minorHAnsi" w:hAnsiTheme="minorHAnsi" w:cstheme="minorHAnsi"/>
          <w:lang w:val="en-AU"/>
        </w:rPr>
        <w:t xml:space="preserve"> </w:t>
      </w:r>
      <w:r w:rsidR="00D5271D" w:rsidRPr="00110F2D">
        <w:rPr>
          <w:rFonts w:asciiTheme="minorHAnsi" w:hAnsiTheme="minorHAnsi" w:cstheme="minorHAnsi"/>
          <w:lang w:val="en-AU"/>
        </w:rPr>
        <w:t xml:space="preserve">has been a component of successive CEPA Programmes since </w:t>
      </w:r>
      <w:r w:rsidR="004C043E" w:rsidRPr="00110F2D">
        <w:rPr>
          <w:rFonts w:asciiTheme="minorHAnsi" w:hAnsiTheme="minorHAnsi" w:cstheme="minorHAnsi"/>
          <w:lang w:val="en-AU"/>
        </w:rPr>
        <w:t xml:space="preserve">Resolution </w:t>
      </w:r>
      <w:r w:rsidR="00D5271D" w:rsidRPr="00110F2D">
        <w:rPr>
          <w:rFonts w:asciiTheme="minorHAnsi" w:hAnsiTheme="minorHAnsi" w:cstheme="minorHAnsi"/>
          <w:lang w:val="en-AU"/>
        </w:rPr>
        <w:t xml:space="preserve">VII.9 in 1999, </w:t>
      </w:r>
      <w:r w:rsidR="005014CD" w:rsidRPr="00110F2D">
        <w:rPr>
          <w:rFonts w:asciiTheme="minorHAnsi" w:hAnsiTheme="minorHAnsi" w:cstheme="minorHAnsi"/>
          <w:lang w:val="en-AU"/>
        </w:rPr>
        <w:t>guidance for this sector has been minor</w:t>
      </w:r>
      <w:r w:rsidR="004B0C97" w:rsidRPr="00110F2D">
        <w:rPr>
          <w:rFonts w:asciiTheme="minorHAnsi" w:hAnsiTheme="minorHAnsi" w:cstheme="minorHAnsi"/>
          <w:lang w:val="en-AU"/>
        </w:rPr>
        <w:t>.</w:t>
      </w:r>
      <w:r w:rsidR="00C521CB" w:rsidRPr="00110F2D">
        <w:rPr>
          <w:rFonts w:asciiTheme="minorHAnsi" w:hAnsiTheme="minorHAnsi" w:cstheme="minorHAnsi"/>
          <w:lang w:val="en-AU"/>
        </w:rPr>
        <w:t xml:space="preserve"> </w:t>
      </w:r>
      <w:r w:rsidR="003F2A5E" w:rsidRPr="00110F2D">
        <w:rPr>
          <w:rFonts w:asciiTheme="minorHAnsi" w:hAnsiTheme="minorHAnsi" w:cstheme="minorHAnsi"/>
          <w:lang w:val="en-AU"/>
        </w:rPr>
        <w:t>I</w:t>
      </w:r>
      <w:r w:rsidR="005014CD" w:rsidRPr="00110F2D">
        <w:rPr>
          <w:rFonts w:asciiTheme="minorHAnsi" w:hAnsiTheme="minorHAnsi" w:cstheme="minorHAnsi"/>
          <w:lang w:val="en-AU"/>
        </w:rPr>
        <w:t>t</w:t>
      </w:r>
      <w:r w:rsidR="003F2A5E" w:rsidRPr="00110F2D">
        <w:rPr>
          <w:rFonts w:asciiTheme="minorHAnsi" w:hAnsiTheme="minorHAnsi" w:cstheme="minorHAnsi"/>
          <w:lang w:val="en-AU"/>
        </w:rPr>
        <w:t xml:space="preserve"> is hoped that this</w:t>
      </w:r>
      <w:r w:rsidR="00334C07" w:rsidRPr="00110F2D">
        <w:rPr>
          <w:rFonts w:asciiTheme="minorHAnsi" w:hAnsiTheme="minorHAnsi" w:cstheme="minorHAnsi"/>
          <w:lang w:val="en-AU"/>
        </w:rPr>
        <w:t xml:space="preserve"> </w:t>
      </w:r>
      <w:r w:rsidR="00C521CB" w:rsidRPr="00110F2D">
        <w:rPr>
          <w:rFonts w:asciiTheme="minorHAnsi" w:hAnsiTheme="minorHAnsi" w:cstheme="minorHAnsi"/>
          <w:lang w:val="en-AU"/>
        </w:rPr>
        <w:t>resolution may redirect attention to this important sector in recognition of the opportunity to reach young people in the formative years.</w:t>
      </w:r>
      <w:r w:rsidR="00B9392E" w:rsidRPr="00110F2D">
        <w:rPr>
          <w:rFonts w:asciiTheme="minorHAnsi" w:hAnsiTheme="minorHAnsi" w:cstheme="minorHAnsi"/>
          <w:lang w:val="en-AU"/>
        </w:rPr>
        <w:t xml:space="preserve"> Therefore, the proponents deem that:</w:t>
      </w:r>
    </w:p>
    <w:p w14:paraId="35E906A5" w14:textId="77777777" w:rsidR="00505E69" w:rsidRPr="00110F2D" w:rsidRDefault="00505E69" w:rsidP="006E4AB3">
      <w:pPr>
        <w:pStyle w:val="ListParagraph"/>
        <w:ind w:left="0" w:firstLine="0"/>
        <w:rPr>
          <w:rFonts w:asciiTheme="minorHAnsi" w:hAnsiTheme="minorHAnsi" w:cstheme="minorHAnsi"/>
        </w:rPr>
      </w:pPr>
    </w:p>
    <w:p w14:paraId="106996E0" w14:textId="08341BD5" w:rsidR="004B0C97" w:rsidRPr="00110F2D" w:rsidRDefault="00D5271D" w:rsidP="006E4AB3">
      <w:pPr>
        <w:pStyle w:val="NoSpacing"/>
        <w:numPr>
          <w:ilvl w:val="0"/>
          <w:numId w:val="45"/>
        </w:numPr>
        <w:ind w:left="426" w:hanging="426"/>
        <w:rPr>
          <w:rFonts w:asciiTheme="minorHAnsi" w:hAnsiTheme="minorHAnsi" w:cstheme="minorHAnsi"/>
        </w:rPr>
      </w:pPr>
      <w:r w:rsidRPr="00110F2D">
        <w:rPr>
          <w:rFonts w:asciiTheme="minorHAnsi" w:hAnsiTheme="minorHAnsi" w:cstheme="minorHAnsi"/>
        </w:rPr>
        <w:t xml:space="preserve">a </w:t>
      </w:r>
      <w:r w:rsidR="003F2A5E" w:rsidRPr="00110F2D">
        <w:rPr>
          <w:rFonts w:asciiTheme="minorHAnsi" w:hAnsiTheme="minorHAnsi" w:cstheme="minorHAnsi"/>
        </w:rPr>
        <w:t xml:space="preserve">focused </w:t>
      </w:r>
      <w:r w:rsidRPr="00110F2D">
        <w:rPr>
          <w:rFonts w:asciiTheme="minorHAnsi" w:hAnsiTheme="minorHAnsi" w:cstheme="minorHAnsi"/>
        </w:rPr>
        <w:t xml:space="preserve">resolution to promote mainstreaming of wetland education in the formal education sector </w:t>
      </w:r>
      <w:r w:rsidR="003F2A5E" w:rsidRPr="00110F2D">
        <w:rPr>
          <w:rFonts w:asciiTheme="minorHAnsi" w:hAnsiTheme="minorHAnsi" w:cstheme="minorHAnsi"/>
        </w:rPr>
        <w:t xml:space="preserve">as a component of the CEPA Programme </w:t>
      </w:r>
      <w:r w:rsidR="004B0C97" w:rsidRPr="00110F2D">
        <w:rPr>
          <w:rFonts w:asciiTheme="minorHAnsi" w:hAnsiTheme="minorHAnsi" w:cstheme="minorHAnsi"/>
        </w:rPr>
        <w:t>can reinforce</w:t>
      </w:r>
      <w:r w:rsidRPr="00110F2D">
        <w:rPr>
          <w:rFonts w:asciiTheme="minorHAnsi" w:hAnsiTheme="minorHAnsi" w:cstheme="minorHAnsi"/>
        </w:rPr>
        <w:t xml:space="preserve"> the importance of education as </w:t>
      </w:r>
      <w:r w:rsidR="004B0C97" w:rsidRPr="00110F2D">
        <w:rPr>
          <w:rFonts w:asciiTheme="minorHAnsi" w:hAnsiTheme="minorHAnsi" w:cstheme="minorHAnsi"/>
        </w:rPr>
        <w:t xml:space="preserve">a </w:t>
      </w:r>
      <w:r w:rsidRPr="00110F2D">
        <w:rPr>
          <w:rFonts w:asciiTheme="minorHAnsi" w:hAnsiTheme="minorHAnsi" w:cstheme="minorHAnsi"/>
        </w:rPr>
        <w:t>foundation for life-long learning and</w:t>
      </w:r>
      <w:r w:rsidR="00907030" w:rsidRPr="00110F2D">
        <w:rPr>
          <w:rFonts w:asciiTheme="minorHAnsi" w:hAnsiTheme="minorHAnsi" w:cstheme="minorHAnsi"/>
        </w:rPr>
        <w:t xml:space="preserve"> as</w:t>
      </w:r>
      <w:r w:rsidRPr="00110F2D">
        <w:rPr>
          <w:rFonts w:asciiTheme="minorHAnsi" w:hAnsiTheme="minorHAnsi" w:cstheme="minorHAnsi"/>
        </w:rPr>
        <w:t xml:space="preserve"> a</w:t>
      </w:r>
      <w:r w:rsidR="004B0C97" w:rsidRPr="00110F2D">
        <w:rPr>
          <w:rFonts w:asciiTheme="minorHAnsi" w:hAnsiTheme="minorHAnsi" w:cstheme="minorHAnsi"/>
        </w:rPr>
        <w:t xml:space="preserve">n opportunity </w:t>
      </w:r>
      <w:r w:rsidRPr="00110F2D">
        <w:rPr>
          <w:rFonts w:asciiTheme="minorHAnsi" w:hAnsiTheme="minorHAnsi" w:cstheme="minorHAnsi"/>
        </w:rPr>
        <w:t>to influence the mindset of the youth towards better understanding and appreciation of wetlands</w:t>
      </w:r>
      <w:r w:rsidR="004E6C21" w:rsidRPr="00110F2D">
        <w:rPr>
          <w:rFonts w:asciiTheme="minorHAnsi" w:hAnsiTheme="minorHAnsi" w:cstheme="minorHAnsi"/>
        </w:rPr>
        <w:t>, and</w:t>
      </w:r>
    </w:p>
    <w:p w14:paraId="2142CDD7" w14:textId="521C6397" w:rsidR="00D5271D" w:rsidRPr="00110F2D" w:rsidRDefault="00D5271D" w:rsidP="006E4AB3">
      <w:pPr>
        <w:pStyle w:val="NoSpacing"/>
        <w:numPr>
          <w:ilvl w:val="0"/>
          <w:numId w:val="45"/>
        </w:numPr>
        <w:ind w:left="426" w:hanging="426"/>
        <w:rPr>
          <w:rFonts w:asciiTheme="minorHAnsi" w:hAnsiTheme="minorHAnsi" w:cstheme="minorHAnsi"/>
        </w:rPr>
      </w:pPr>
      <w:r w:rsidRPr="00110F2D">
        <w:rPr>
          <w:rFonts w:asciiTheme="minorHAnsi" w:hAnsiTheme="minorHAnsi" w:cstheme="minorHAnsi"/>
        </w:rPr>
        <w:t xml:space="preserve">a </w:t>
      </w:r>
      <w:r w:rsidR="003F2A5E" w:rsidRPr="00110F2D">
        <w:rPr>
          <w:rFonts w:asciiTheme="minorHAnsi" w:hAnsiTheme="minorHAnsi" w:cstheme="minorHAnsi"/>
        </w:rPr>
        <w:t xml:space="preserve">focused </w:t>
      </w:r>
      <w:r w:rsidRPr="00110F2D">
        <w:rPr>
          <w:rFonts w:asciiTheme="minorHAnsi" w:hAnsiTheme="minorHAnsi" w:cstheme="minorHAnsi"/>
        </w:rPr>
        <w:t>resolution may provide more detailed recommendations on mainstreaming</w:t>
      </w:r>
      <w:r w:rsidR="004B0C97" w:rsidRPr="00110F2D">
        <w:rPr>
          <w:rFonts w:asciiTheme="minorHAnsi" w:hAnsiTheme="minorHAnsi" w:cstheme="minorHAnsi"/>
        </w:rPr>
        <w:t xml:space="preserve"> </w:t>
      </w:r>
      <w:r w:rsidRPr="00110F2D">
        <w:rPr>
          <w:rFonts w:asciiTheme="minorHAnsi" w:hAnsiTheme="minorHAnsi" w:cstheme="minorHAnsi"/>
        </w:rPr>
        <w:t>wetland education in school setting</w:t>
      </w:r>
      <w:r w:rsidR="00A12D4F" w:rsidRPr="00110F2D">
        <w:rPr>
          <w:rFonts w:asciiTheme="minorHAnsi" w:hAnsiTheme="minorHAnsi" w:cstheme="minorHAnsi"/>
        </w:rPr>
        <w:t>s</w:t>
      </w:r>
      <w:r w:rsidRPr="00110F2D">
        <w:rPr>
          <w:rFonts w:asciiTheme="minorHAnsi" w:hAnsiTheme="minorHAnsi" w:cstheme="minorHAnsi"/>
        </w:rPr>
        <w:t>.</w:t>
      </w:r>
    </w:p>
    <w:p w14:paraId="5CE49BCD" w14:textId="2C1E51FC" w:rsidR="0014280B" w:rsidRPr="00110F2D" w:rsidRDefault="0014280B" w:rsidP="006E4AB3">
      <w:pPr>
        <w:ind w:left="0" w:firstLine="0"/>
        <w:rPr>
          <w:rFonts w:asciiTheme="minorHAnsi" w:hAnsiTheme="minorHAnsi" w:cstheme="minorHAnsi"/>
        </w:rPr>
      </w:pPr>
    </w:p>
    <w:p w14:paraId="1006B2DA" w14:textId="77777777" w:rsidR="005E32CE" w:rsidRPr="00110F2D" w:rsidRDefault="005E32CE" w:rsidP="006E4AB3">
      <w:pPr>
        <w:rPr>
          <w:rFonts w:cs="Arial"/>
        </w:rPr>
      </w:pPr>
    </w:p>
    <w:p w14:paraId="6C07FF14" w14:textId="77777777" w:rsidR="005E32CE" w:rsidRPr="00110F2D" w:rsidRDefault="005E32CE" w:rsidP="006E4AB3">
      <w:pPr>
        <w:rPr>
          <w:rFonts w:cs="Arial"/>
          <w:i/>
        </w:rPr>
      </w:pPr>
      <w:r w:rsidRPr="00110F2D">
        <w:rPr>
          <w:rFonts w:cs="Arial"/>
          <w:i/>
        </w:rPr>
        <w:t>Financial implications of implementation</w:t>
      </w:r>
    </w:p>
    <w:p w14:paraId="09D190B7" w14:textId="77777777" w:rsidR="005E32CE" w:rsidRPr="00110F2D" w:rsidRDefault="005E32CE" w:rsidP="006E4AB3">
      <w:pPr>
        <w:rPr>
          <w:rFonts w:cs="Arial"/>
        </w:rPr>
      </w:pPr>
    </w:p>
    <w:tbl>
      <w:tblPr>
        <w:tblStyle w:val="TableGrid"/>
        <w:tblW w:w="0" w:type="auto"/>
        <w:tblLook w:val="04A0" w:firstRow="1" w:lastRow="0" w:firstColumn="1" w:lastColumn="0" w:noHBand="0" w:noVBand="1"/>
      </w:tblPr>
      <w:tblGrid>
        <w:gridCol w:w="2425"/>
        <w:gridCol w:w="3960"/>
        <w:gridCol w:w="2631"/>
      </w:tblGrid>
      <w:tr w:rsidR="00110F2D" w:rsidRPr="00110F2D" w14:paraId="2B89789F" w14:textId="77777777" w:rsidTr="005E32CE">
        <w:tc>
          <w:tcPr>
            <w:tcW w:w="2425" w:type="dxa"/>
          </w:tcPr>
          <w:p w14:paraId="47A96611" w14:textId="77777777" w:rsidR="005E32CE" w:rsidRPr="00110F2D" w:rsidRDefault="005E32CE" w:rsidP="006E4AB3">
            <w:pPr>
              <w:contextualSpacing/>
              <w:rPr>
                <w:rFonts w:cs="Arial"/>
              </w:rPr>
            </w:pPr>
            <w:r w:rsidRPr="00110F2D">
              <w:rPr>
                <w:rFonts w:cs="Arial"/>
              </w:rPr>
              <w:t>Paragraph (number and key part of text)</w:t>
            </w:r>
          </w:p>
        </w:tc>
        <w:tc>
          <w:tcPr>
            <w:tcW w:w="3960" w:type="dxa"/>
          </w:tcPr>
          <w:p w14:paraId="48BD6CBF" w14:textId="77777777" w:rsidR="005E32CE" w:rsidRPr="00110F2D" w:rsidRDefault="005E32CE" w:rsidP="006E4AB3">
            <w:pPr>
              <w:contextualSpacing/>
              <w:rPr>
                <w:rFonts w:cs="Arial"/>
              </w:rPr>
            </w:pPr>
            <w:r w:rsidRPr="00110F2D">
              <w:rPr>
                <w:rFonts w:cs="Arial"/>
              </w:rPr>
              <w:t xml:space="preserve">Action </w:t>
            </w:r>
          </w:p>
        </w:tc>
        <w:tc>
          <w:tcPr>
            <w:tcW w:w="2631" w:type="dxa"/>
          </w:tcPr>
          <w:p w14:paraId="2601BBAC" w14:textId="77777777" w:rsidR="005E32CE" w:rsidRPr="00110F2D" w:rsidRDefault="005E32CE" w:rsidP="006E4AB3">
            <w:pPr>
              <w:contextualSpacing/>
              <w:rPr>
                <w:rFonts w:cs="Arial"/>
              </w:rPr>
            </w:pPr>
            <w:r w:rsidRPr="00110F2D">
              <w:rPr>
                <w:rFonts w:cs="Arial"/>
              </w:rPr>
              <w:t>Cost (CHF)</w:t>
            </w:r>
          </w:p>
        </w:tc>
      </w:tr>
      <w:tr w:rsidR="005E32CE" w:rsidRPr="00110F2D" w14:paraId="07CDCDA8" w14:textId="77777777" w:rsidTr="005E32CE">
        <w:tc>
          <w:tcPr>
            <w:tcW w:w="2425" w:type="dxa"/>
          </w:tcPr>
          <w:p w14:paraId="53E53C02" w14:textId="7E26E9F2" w:rsidR="005E32CE" w:rsidRPr="00110F2D" w:rsidRDefault="005E32CE" w:rsidP="006E4AB3">
            <w:pPr>
              <w:contextualSpacing/>
              <w:rPr>
                <w:rFonts w:cs="Arial"/>
              </w:rPr>
            </w:pPr>
            <w:r w:rsidRPr="00110F2D">
              <w:rPr>
                <w:rFonts w:cs="Arial"/>
              </w:rPr>
              <w:t>not applicable</w:t>
            </w:r>
          </w:p>
        </w:tc>
        <w:tc>
          <w:tcPr>
            <w:tcW w:w="3960" w:type="dxa"/>
          </w:tcPr>
          <w:p w14:paraId="1C3C072C" w14:textId="773E34A0" w:rsidR="005E32CE" w:rsidRPr="00110F2D" w:rsidRDefault="005E32CE" w:rsidP="006E4AB3">
            <w:pPr>
              <w:contextualSpacing/>
              <w:rPr>
                <w:rFonts w:cs="Arial"/>
              </w:rPr>
            </w:pPr>
            <w:r w:rsidRPr="00110F2D">
              <w:rPr>
                <w:rFonts w:cs="Arial"/>
              </w:rPr>
              <w:t>-</w:t>
            </w:r>
          </w:p>
        </w:tc>
        <w:tc>
          <w:tcPr>
            <w:tcW w:w="2631" w:type="dxa"/>
          </w:tcPr>
          <w:p w14:paraId="45EBF2C8" w14:textId="470780A1" w:rsidR="005E32CE" w:rsidRPr="00110F2D" w:rsidRDefault="005E32CE" w:rsidP="006E4AB3">
            <w:pPr>
              <w:contextualSpacing/>
              <w:rPr>
                <w:rFonts w:cs="Arial"/>
              </w:rPr>
            </w:pPr>
            <w:r w:rsidRPr="00110F2D">
              <w:rPr>
                <w:rFonts w:cs="Arial"/>
              </w:rPr>
              <w:t>no financial implications</w:t>
            </w:r>
          </w:p>
        </w:tc>
      </w:tr>
    </w:tbl>
    <w:p w14:paraId="0A6E41DC" w14:textId="0A28CFE5" w:rsidR="006E4AB3" w:rsidRDefault="006E4AB3" w:rsidP="006E4AB3">
      <w:pPr>
        <w:ind w:right="16"/>
        <w:rPr>
          <w:rFonts w:asciiTheme="minorHAnsi" w:eastAsia="Times New Roman" w:hAnsiTheme="minorHAnsi" w:cstheme="minorHAnsi"/>
          <w:b/>
          <w:bCs/>
        </w:rPr>
      </w:pPr>
    </w:p>
    <w:p w14:paraId="5ABC2948" w14:textId="77777777" w:rsidR="00017C5E" w:rsidRDefault="00017C5E" w:rsidP="006E4AB3">
      <w:pPr>
        <w:ind w:right="16"/>
        <w:rPr>
          <w:rFonts w:asciiTheme="minorHAnsi" w:eastAsia="Times New Roman" w:hAnsiTheme="minorHAnsi" w:cstheme="minorHAnsi"/>
          <w:b/>
          <w:bCs/>
        </w:rPr>
      </w:pPr>
      <w:bookmarkStart w:id="0" w:name="_GoBack"/>
      <w:bookmarkEnd w:id="0"/>
    </w:p>
    <w:p w14:paraId="11AE4917" w14:textId="190FB3B7" w:rsidR="001F6249" w:rsidRPr="00110F2D" w:rsidRDefault="001F6249" w:rsidP="006E4AB3">
      <w:pPr>
        <w:ind w:right="16"/>
        <w:rPr>
          <w:rFonts w:asciiTheme="minorHAnsi" w:eastAsia="Times New Roman" w:hAnsiTheme="minorHAnsi" w:cstheme="minorHAnsi"/>
          <w:b/>
          <w:bCs/>
        </w:rPr>
      </w:pPr>
      <w:r w:rsidRPr="00110F2D">
        <w:rPr>
          <w:rFonts w:asciiTheme="minorHAnsi" w:eastAsia="Times New Roman" w:hAnsiTheme="minorHAnsi" w:cstheme="minorHAnsi"/>
          <w:b/>
          <w:bCs/>
        </w:rPr>
        <w:t>Draft Resolution XI</w:t>
      </w:r>
      <w:r w:rsidR="00676010" w:rsidRPr="00110F2D">
        <w:rPr>
          <w:rFonts w:asciiTheme="minorHAnsi" w:eastAsia="Times New Roman" w:hAnsiTheme="minorHAnsi" w:cstheme="minorHAnsi"/>
          <w:b/>
          <w:bCs/>
        </w:rPr>
        <w:t>V</w:t>
      </w:r>
      <w:r w:rsidRPr="00110F2D">
        <w:rPr>
          <w:rFonts w:asciiTheme="minorHAnsi" w:eastAsia="Times New Roman" w:hAnsiTheme="minorHAnsi" w:cstheme="minorHAnsi"/>
          <w:b/>
          <w:bCs/>
        </w:rPr>
        <w:t>.xx</w:t>
      </w:r>
    </w:p>
    <w:p w14:paraId="356CB7A7" w14:textId="4F216721" w:rsidR="005D43DE" w:rsidRPr="00110F2D" w:rsidRDefault="005D43DE" w:rsidP="006E4AB3">
      <w:pPr>
        <w:ind w:right="16"/>
        <w:rPr>
          <w:rFonts w:asciiTheme="minorHAnsi" w:eastAsia="Times New Roman" w:hAnsiTheme="minorHAnsi" w:cstheme="minorHAnsi"/>
          <w:b/>
          <w:bCs/>
        </w:rPr>
      </w:pPr>
      <w:r w:rsidRPr="00110F2D">
        <w:rPr>
          <w:rFonts w:asciiTheme="minorHAnsi" w:eastAsia="Times New Roman" w:hAnsiTheme="minorHAnsi" w:cstheme="minorHAnsi"/>
          <w:b/>
          <w:bCs/>
        </w:rPr>
        <w:t>Promoting values and importance of wetlands through formal education</w:t>
      </w:r>
    </w:p>
    <w:p w14:paraId="3569528B" w14:textId="4F7E388D" w:rsidR="00DB2020" w:rsidRPr="00110F2D" w:rsidRDefault="00545BA3" w:rsidP="006E4AB3">
      <w:pPr>
        <w:ind w:right="16"/>
        <w:rPr>
          <w:rFonts w:asciiTheme="minorHAnsi" w:hAnsiTheme="minorHAnsi" w:cstheme="minorHAnsi"/>
        </w:rPr>
      </w:pPr>
      <w:r w:rsidRPr="00110F2D">
        <w:rPr>
          <w:rFonts w:asciiTheme="minorHAnsi" w:eastAsia="Times New Roman" w:hAnsiTheme="minorHAnsi" w:cstheme="minorHAnsi"/>
          <w:b/>
          <w:bCs/>
        </w:rPr>
        <w:t xml:space="preserve">  </w:t>
      </w:r>
    </w:p>
    <w:p w14:paraId="24905F03" w14:textId="26E5E287" w:rsidR="00DB2020" w:rsidRPr="00441F06" w:rsidRDefault="00441F06" w:rsidP="006E4AB3">
      <w:pPr>
        <w:rPr>
          <w:rFonts w:asciiTheme="minorHAnsi" w:hAnsiTheme="minorHAnsi" w:cstheme="minorHAnsi"/>
          <w:lang w:val="en-AU"/>
        </w:rPr>
      </w:pPr>
      <w:r>
        <w:rPr>
          <w:rFonts w:asciiTheme="minorHAnsi" w:hAnsiTheme="minorHAnsi" w:cstheme="minorHAnsi"/>
          <w:lang w:val="en-AU"/>
        </w:rPr>
        <w:t>1.</w:t>
      </w:r>
      <w:r>
        <w:rPr>
          <w:rFonts w:asciiTheme="minorHAnsi" w:hAnsiTheme="minorHAnsi" w:cstheme="minorHAnsi"/>
          <w:lang w:val="en-AU"/>
        </w:rPr>
        <w:tab/>
      </w:r>
      <w:r w:rsidR="00DB2020" w:rsidRPr="00441F06">
        <w:rPr>
          <w:rFonts w:asciiTheme="minorHAnsi" w:hAnsiTheme="minorHAnsi" w:cstheme="minorHAnsi"/>
          <w:lang w:val="en-AU"/>
        </w:rPr>
        <w:t>ACKNOWLEDGING that the Convention on Wetlands has long recognised and promoted a role for education in its work</w:t>
      </w:r>
      <w:r w:rsidR="00866550" w:rsidRPr="00441F06">
        <w:rPr>
          <w:rFonts w:asciiTheme="minorHAnsi" w:hAnsiTheme="minorHAnsi" w:cstheme="minorHAnsi"/>
          <w:lang w:val="en-AU"/>
        </w:rPr>
        <w:t>; and ACKNOWLEDGING also the role of the CEPA Oversight Panel in supporting the planning, implementation and review of CEPA-related work, including formal education, as part of the</w:t>
      </w:r>
      <w:r w:rsidR="006429D1" w:rsidRPr="00441F06">
        <w:rPr>
          <w:rFonts w:asciiTheme="minorHAnsi" w:hAnsiTheme="minorHAnsi" w:cstheme="minorHAnsi"/>
          <w:lang w:val="en-AU"/>
        </w:rPr>
        <w:t xml:space="preserve"> </w:t>
      </w:r>
      <w:r w:rsidR="003B2254" w:rsidRPr="00441F06">
        <w:rPr>
          <w:rFonts w:asciiTheme="minorHAnsi" w:hAnsiTheme="minorHAnsi" w:cstheme="minorHAnsi"/>
          <w:lang w:val="en-AU"/>
        </w:rPr>
        <w:t>Convention’s ongoing work</w:t>
      </w:r>
      <w:r w:rsidR="00DB2020" w:rsidRPr="00441F06">
        <w:rPr>
          <w:rFonts w:asciiTheme="minorHAnsi" w:hAnsiTheme="minorHAnsi" w:cstheme="minorHAnsi"/>
          <w:lang w:val="en-AU"/>
        </w:rPr>
        <w:t>;</w:t>
      </w:r>
    </w:p>
    <w:p w14:paraId="5199B8A0" w14:textId="77777777" w:rsidR="00DB2020" w:rsidRPr="00110F2D" w:rsidRDefault="00DB2020" w:rsidP="006E4AB3">
      <w:pPr>
        <w:rPr>
          <w:rFonts w:asciiTheme="minorHAnsi" w:hAnsiTheme="minorHAnsi" w:cstheme="minorHAnsi"/>
          <w:lang w:val="en-AU"/>
        </w:rPr>
      </w:pPr>
    </w:p>
    <w:p w14:paraId="114CB75B" w14:textId="4C5B3053" w:rsidR="00DB2020" w:rsidRPr="00441F06" w:rsidRDefault="00441F06" w:rsidP="006E4AB3">
      <w:pPr>
        <w:rPr>
          <w:rFonts w:asciiTheme="minorHAnsi" w:hAnsiTheme="minorHAnsi" w:cstheme="minorHAnsi"/>
          <w:lang w:val="en-AU"/>
        </w:rPr>
      </w:pPr>
      <w:r>
        <w:rPr>
          <w:rFonts w:asciiTheme="minorHAnsi" w:hAnsiTheme="minorHAnsi" w:cstheme="minorHAnsi"/>
          <w:lang w:val="en-AU"/>
        </w:rPr>
        <w:t>2.</w:t>
      </w:r>
      <w:r>
        <w:rPr>
          <w:rFonts w:asciiTheme="minorHAnsi" w:hAnsiTheme="minorHAnsi" w:cstheme="minorHAnsi"/>
          <w:lang w:val="en-AU"/>
        </w:rPr>
        <w:tab/>
      </w:r>
      <w:r w:rsidR="00DB2020" w:rsidRPr="00441F06">
        <w:rPr>
          <w:rFonts w:asciiTheme="minorHAnsi" w:hAnsiTheme="minorHAnsi" w:cstheme="minorHAnsi"/>
          <w:lang w:val="en-AU"/>
        </w:rPr>
        <w:t>RECALLING that the role of education and communication to increase public awareness was featured at COP3 in Regina, Canada; with progressive steps taken at COP4 (Montreux), COP5 (Kushiro), and COP6 (Brisbane) to more formally recognise the role of education and to work towards a dedicated Ramsar education programme;</w:t>
      </w:r>
    </w:p>
    <w:p w14:paraId="4722E0BF" w14:textId="77777777" w:rsidR="00DB2020" w:rsidRPr="00110F2D" w:rsidRDefault="00DB2020" w:rsidP="006E4AB3">
      <w:pPr>
        <w:pStyle w:val="ListParagraph"/>
        <w:ind w:left="425"/>
        <w:rPr>
          <w:rFonts w:asciiTheme="minorHAnsi" w:hAnsiTheme="minorHAnsi" w:cstheme="minorHAnsi"/>
          <w:lang w:val="en-AU"/>
        </w:rPr>
      </w:pPr>
    </w:p>
    <w:p w14:paraId="2014CC31" w14:textId="7073520E" w:rsidR="00DB2020" w:rsidRPr="00441F06" w:rsidRDefault="00441F06" w:rsidP="006E4AB3">
      <w:pPr>
        <w:rPr>
          <w:rFonts w:asciiTheme="minorHAnsi" w:hAnsiTheme="minorHAnsi" w:cstheme="minorHAnsi"/>
          <w:lang w:val="en-AU"/>
        </w:rPr>
      </w:pPr>
      <w:r>
        <w:rPr>
          <w:rFonts w:asciiTheme="minorHAnsi" w:hAnsiTheme="minorHAnsi" w:cstheme="minorHAnsi"/>
          <w:lang w:val="en-AU"/>
        </w:rPr>
        <w:lastRenderedPageBreak/>
        <w:t>3.</w:t>
      </w:r>
      <w:r>
        <w:rPr>
          <w:rFonts w:asciiTheme="minorHAnsi" w:hAnsiTheme="minorHAnsi" w:cstheme="minorHAnsi"/>
          <w:lang w:val="en-AU"/>
        </w:rPr>
        <w:tab/>
      </w:r>
      <w:r w:rsidR="00DB2020" w:rsidRPr="00441F06">
        <w:rPr>
          <w:rFonts w:asciiTheme="minorHAnsi" w:hAnsiTheme="minorHAnsi" w:cstheme="minorHAnsi"/>
          <w:lang w:val="en-AU"/>
        </w:rPr>
        <w:t xml:space="preserve">ACKNOWLEDGING that the first COP-approved CEPA resolution was VII.9, </w:t>
      </w:r>
      <w:r w:rsidR="00DB2020" w:rsidRPr="00441F06">
        <w:rPr>
          <w:rFonts w:asciiTheme="minorHAnsi" w:hAnsiTheme="minorHAnsi" w:cstheme="minorHAnsi"/>
          <w:i/>
          <w:lang w:val="en-AU"/>
        </w:rPr>
        <w:t>The Outreach Programme</w:t>
      </w:r>
      <w:r w:rsidR="00DB2020" w:rsidRPr="00441F06">
        <w:rPr>
          <w:rFonts w:asciiTheme="minorHAnsi" w:hAnsiTheme="minorHAnsi" w:cstheme="minorHAnsi"/>
          <w:lang w:val="en-AU"/>
        </w:rPr>
        <w:t>, in 1999, which identified the general public, schools, indigenous communities and the private sector as different groups with different communication needs;</w:t>
      </w:r>
    </w:p>
    <w:p w14:paraId="2AA0DB1D" w14:textId="77777777" w:rsidR="00A13606" w:rsidRPr="00110F2D" w:rsidRDefault="00A13606" w:rsidP="006E4AB3">
      <w:pPr>
        <w:rPr>
          <w:rFonts w:asciiTheme="minorHAnsi" w:hAnsiTheme="minorHAnsi" w:cstheme="minorHAnsi"/>
        </w:rPr>
      </w:pPr>
    </w:p>
    <w:p w14:paraId="10211C9A" w14:textId="675EA2D9" w:rsidR="000977BC" w:rsidRPr="00441F06" w:rsidRDefault="00441F06" w:rsidP="006E4AB3">
      <w:pPr>
        <w:rPr>
          <w:rFonts w:asciiTheme="minorHAnsi" w:hAnsiTheme="minorHAnsi" w:cstheme="minorHAnsi"/>
        </w:rPr>
      </w:pPr>
      <w:r>
        <w:rPr>
          <w:rFonts w:asciiTheme="minorHAnsi" w:hAnsiTheme="minorHAnsi" w:cstheme="minorHAnsi"/>
        </w:rPr>
        <w:t>4.</w:t>
      </w:r>
      <w:r>
        <w:rPr>
          <w:rFonts w:asciiTheme="minorHAnsi" w:hAnsiTheme="minorHAnsi" w:cstheme="minorHAnsi"/>
        </w:rPr>
        <w:tab/>
      </w:r>
      <w:r w:rsidR="000977BC" w:rsidRPr="00441F06">
        <w:rPr>
          <w:rFonts w:asciiTheme="minorHAnsi" w:hAnsiTheme="minorHAnsi" w:cstheme="minorHAnsi"/>
        </w:rPr>
        <w:t xml:space="preserve">CONCERNED that </w:t>
      </w:r>
      <w:r w:rsidR="00DB3BF0" w:rsidRPr="00441F06">
        <w:rPr>
          <w:rFonts w:asciiTheme="minorHAnsi" w:hAnsiTheme="minorHAnsi" w:cstheme="minorHAnsi"/>
        </w:rPr>
        <w:t xml:space="preserve">specific </w:t>
      </w:r>
      <w:r w:rsidR="000977BC" w:rsidRPr="00441F06">
        <w:rPr>
          <w:rFonts w:asciiTheme="minorHAnsi" w:hAnsiTheme="minorHAnsi" w:cstheme="minorHAnsi"/>
        </w:rPr>
        <w:t>guidance regarding the formal education sector in successive CEPA Programmes has been minimal</w:t>
      </w:r>
      <w:r w:rsidR="00AD61FF" w:rsidRPr="00441F06">
        <w:rPr>
          <w:rFonts w:asciiTheme="minorHAnsi" w:hAnsiTheme="minorHAnsi" w:cstheme="minorHAnsi"/>
        </w:rPr>
        <w:t xml:space="preserve"> and </w:t>
      </w:r>
      <w:r w:rsidR="009C5C07" w:rsidRPr="00441F06">
        <w:rPr>
          <w:rFonts w:asciiTheme="minorHAnsi" w:hAnsiTheme="minorHAnsi" w:cstheme="minorHAnsi"/>
        </w:rPr>
        <w:t>that, w</w:t>
      </w:r>
      <w:r w:rsidR="000977BC" w:rsidRPr="00441F06">
        <w:rPr>
          <w:rFonts w:asciiTheme="minorHAnsi" w:hAnsiTheme="minorHAnsi" w:cstheme="minorHAnsi"/>
        </w:rPr>
        <w:t>hile schools and formal education are clearly featured in Resolution VII.9 with related recommendations, subsequent CEPA Programmes (Resolutions VIII.31 and X.08) only mention the “The Education Sector” as a stakeholder</w:t>
      </w:r>
      <w:r w:rsidR="006F233B" w:rsidRPr="00441F06">
        <w:rPr>
          <w:rFonts w:asciiTheme="minorHAnsi" w:hAnsiTheme="minorHAnsi" w:cstheme="minorHAnsi"/>
        </w:rPr>
        <w:t xml:space="preserve">; </w:t>
      </w:r>
      <w:r w:rsidR="00AD61FF" w:rsidRPr="00441F06">
        <w:rPr>
          <w:rFonts w:asciiTheme="minorHAnsi" w:hAnsiTheme="minorHAnsi" w:cstheme="minorHAnsi"/>
        </w:rPr>
        <w:t xml:space="preserve">ALSO NOTING </w:t>
      </w:r>
      <w:r w:rsidR="006F233B" w:rsidRPr="00441F06">
        <w:rPr>
          <w:rFonts w:asciiTheme="minorHAnsi" w:hAnsiTheme="minorHAnsi" w:cstheme="minorHAnsi"/>
        </w:rPr>
        <w:t>that i</w:t>
      </w:r>
      <w:r w:rsidR="000977BC" w:rsidRPr="00441F06">
        <w:rPr>
          <w:rFonts w:asciiTheme="minorHAnsi" w:hAnsiTheme="minorHAnsi" w:cstheme="minorHAnsi"/>
        </w:rPr>
        <w:t>n the current CEPA Programme (Resolution XII.9), Goal 8 encourages the development and distribution of wetland education materials “for use in the formal education sector”, but no additional guidance on suggested approaches</w:t>
      </w:r>
      <w:r w:rsidR="00990514" w:rsidRPr="00441F06">
        <w:rPr>
          <w:rFonts w:asciiTheme="minorHAnsi" w:hAnsiTheme="minorHAnsi" w:cstheme="minorHAnsi"/>
        </w:rPr>
        <w:t xml:space="preserve"> is</w:t>
      </w:r>
      <w:r w:rsidR="000977BC" w:rsidRPr="00441F06">
        <w:rPr>
          <w:rFonts w:asciiTheme="minorHAnsi" w:hAnsiTheme="minorHAnsi" w:cstheme="minorHAnsi"/>
        </w:rPr>
        <w:t xml:space="preserve"> provided</w:t>
      </w:r>
      <w:r w:rsidR="006F233B" w:rsidRPr="00441F06">
        <w:rPr>
          <w:rFonts w:asciiTheme="minorHAnsi" w:hAnsiTheme="minorHAnsi" w:cstheme="minorHAnsi"/>
        </w:rPr>
        <w:t>;</w:t>
      </w:r>
    </w:p>
    <w:p w14:paraId="69E31532" w14:textId="47C0A3CF" w:rsidR="000977BC" w:rsidRPr="00110F2D" w:rsidRDefault="000977BC" w:rsidP="006E4AB3">
      <w:pPr>
        <w:pStyle w:val="ListParagraph"/>
        <w:ind w:left="425"/>
        <w:rPr>
          <w:rFonts w:asciiTheme="minorHAnsi" w:hAnsiTheme="minorHAnsi" w:cstheme="minorHAnsi"/>
        </w:rPr>
      </w:pPr>
    </w:p>
    <w:p w14:paraId="67AD9AD8" w14:textId="292F859E" w:rsidR="00DB2020" w:rsidRPr="00441F06" w:rsidRDefault="00441F06" w:rsidP="006E4AB3">
      <w:pPr>
        <w:rPr>
          <w:rFonts w:asciiTheme="minorHAnsi" w:hAnsiTheme="minorHAnsi" w:cstheme="minorHAnsi"/>
          <w:lang w:val="en-AU"/>
        </w:rPr>
      </w:pPr>
      <w:r>
        <w:rPr>
          <w:rFonts w:asciiTheme="minorHAnsi" w:hAnsiTheme="minorHAnsi" w:cstheme="minorHAnsi"/>
          <w:lang w:val="en-AU" w:eastAsia="ko-KR"/>
        </w:rPr>
        <w:t>5.</w:t>
      </w:r>
      <w:r>
        <w:rPr>
          <w:rFonts w:asciiTheme="minorHAnsi" w:hAnsiTheme="minorHAnsi" w:cstheme="minorHAnsi"/>
          <w:lang w:val="en-AU" w:eastAsia="ko-KR"/>
        </w:rPr>
        <w:tab/>
      </w:r>
      <w:r w:rsidR="00DB2020" w:rsidRPr="00441F06">
        <w:rPr>
          <w:rFonts w:asciiTheme="minorHAnsi" w:hAnsiTheme="minorHAnsi" w:cstheme="minorHAnsi"/>
          <w:lang w:val="en-AU" w:eastAsia="ko-KR"/>
        </w:rPr>
        <w:t xml:space="preserve">NOTING that </w:t>
      </w:r>
      <w:r w:rsidR="00DB2020" w:rsidRPr="00441F06">
        <w:rPr>
          <w:rFonts w:asciiTheme="minorHAnsi" w:hAnsiTheme="minorHAnsi" w:cstheme="minorHAnsi"/>
        </w:rPr>
        <w:t>environmental education has been evolving as an interdisciplinary field since the late 1960s with focus on environmental literacy as well as an understanding of the relationship people have with their environment, and which has also expanded to include specific focus areas using terms as Education for Sustainable Development (ESD) and Biodiversity Education;</w:t>
      </w:r>
    </w:p>
    <w:p w14:paraId="0A1A2DFC" w14:textId="77777777" w:rsidR="00DB2020" w:rsidRPr="00110F2D" w:rsidRDefault="00DB2020" w:rsidP="006E4AB3">
      <w:pPr>
        <w:pStyle w:val="ListParagraph"/>
        <w:ind w:left="425"/>
        <w:rPr>
          <w:rFonts w:asciiTheme="minorHAnsi" w:hAnsiTheme="minorHAnsi" w:cstheme="minorHAnsi"/>
          <w:lang w:val="en-AU"/>
        </w:rPr>
      </w:pPr>
    </w:p>
    <w:p w14:paraId="2962C409" w14:textId="3800FD35" w:rsidR="00DB2020" w:rsidRPr="00441F06" w:rsidRDefault="00441F06" w:rsidP="006E4AB3">
      <w:pPr>
        <w:rPr>
          <w:rFonts w:asciiTheme="minorHAnsi" w:hAnsiTheme="minorHAnsi" w:cstheme="minorHAnsi"/>
          <w:lang w:val="en-AU"/>
        </w:rPr>
      </w:pPr>
      <w:r>
        <w:rPr>
          <w:rFonts w:asciiTheme="minorHAnsi" w:hAnsiTheme="minorHAnsi" w:cstheme="minorHAnsi"/>
          <w:lang w:val="en-AU" w:eastAsia="ko-KR"/>
        </w:rPr>
        <w:t>6.</w:t>
      </w:r>
      <w:r>
        <w:rPr>
          <w:rFonts w:asciiTheme="minorHAnsi" w:hAnsiTheme="minorHAnsi" w:cstheme="minorHAnsi"/>
          <w:lang w:val="en-AU" w:eastAsia="ko-KR"/>
        </w:rPr>
        <w:tab/>
      </w:r>
      <w:r w:rsidR="00DB2020" w:rsidRPr="00441F06">
        <w:rPr>
          <w:rFonts w:asciiTheme="minorHAnsi" w:hAnsiTheme="minorHAnsi" w:cstheme="minorHAnsi"/>
          <w:lang w:val="en-AU" w:eastAsia="ko-KR"/>
        </w:rPr>
        <w:t>ACKNOWLEDGING that UNESCO published “Education for Sustainable Development Goals” in 2017 to support the implementation of the Sustainable Development Goals (SDGs), and that the United Nations General Assembly endorsed Resolution A/C.2/74/L48 “Education for sustainable development in the framework of the 2030 Agenda for Sustainable Development”;</w:t>
      </w:r>
    </w:p>
    <w:p w14:paraId="4D075C8B" w14:textId="77777777" w:rsidR="00DB2020" w:rsidRPr="00110F2D" w:rsidRDefault="00DB2020" w:rsidP="006E4AB3">
      <w:pPr>
        <w:pStyle w:val="ListParagraph"/>
        <w:ind w:left="425"/>
        <w:rPr>
          <w:rFonts w:asciiTheme="minorHAnsi" w:hAnsiTheme="minorHAnsi" w:cstheme="minorHAnsi"/>
          <w:lang w:val="en-AU"/>
        </w:rPr>
      </w:pPr>
    </w:p>
    <w:p w14:paraId="2E762114" w14:textId="0454D329" w:rsidR="00DB2020" w:rsidRPr="00441F06" w:rsidRDefault="00441F06" w:rsidP="006E4AB3">
      <w:pPr>
        <w:rPr>
          <w:rFonts w:asciiTheme="minorHAnsi" w:hAnsiTheme="minorHAnsi" w:cstheme="minorHAnsi"/>
          <w:lang w:val="en-AU"/>
        </w:rPr>
      </w:pPr>
      <w:r>
        <w:rPr>
          <w:rFonts w:asciiTheme="minorHAnsi" w:hAnsiTheme="minorHAnsi" w:cstheme="minorHAnsi"/>
          <w:lang w:val="en-AU"/>
        </w:rPr>
        <w:t>7.</w:t>
      </w:r>
      <w:r>
        <w:rPr>
          <w:rFonts w:asciiTheme="minorHAnsi" w:hAnsiTheme="minorHAnsi" w:cstheme="minorHAnsi"/>
          <w:lang w:val="en-AU"/>
        </w:rPr>
        <w:tab/>
      </w:r>
      <w:r w:rsidR="00DB2020" w:rsidRPr="00441F06">
        <w:rPr>
          <w:rFonts w:asciiTheme="minorHAnsi" w:hAnsiTheme="minorHAnsi" w:cstheme="minorHAnsi"/>
          <w:lang w:val="en-AU"/>
        </w:rPr>
        <w:t xml:space="preserve">FURTHER ACKNOWLEDGING that </w:t>
      </w:r>
      <w:r w:rsidR="00DB2020" w:rsidRPr="00441F06">
        <w:rPr>
          <w:rFonts w:asciiTheme="minorHAnsi" w:hAnsiTheme="minorHAnsi" w:cstheme="minorHAnsi"/>
        </w:rPr>
        <w:t xml:space="preserve">UNESCO is currently inviting inputs from its Member States and stakeholders towards the new ESD for 2030 Roadmap, which aims to provide guidance for Member States and other stakeholders for the implementation of the new global framework “Education for Sustainable Development: Towards achieving the SDGs”; </w:t>
      </w:r>
    </w:p>
    <w:p w14:paraId="04DFDB47" w14:textId="77777777" w:rsidR="00DB2020" w:rsidRPr="00110F2D" w:rsidRDefault="00DB2020" w:rsidP="006E4AB3">
      <w:pPr>
        <w:pStyle w:val="ListParagraph"/>
        <w:ind w:left="425"/>
        <w:rPr>
          <w:rFonts w:asciiTheme="minorHAnsi" w:hAnsiTheme="minorHAnsi" w:cstheme="minorHAnsi"/>
          <w:lang w:val="en-AU"/>
        </w:rPr>
      </w:pPr>
    </w:p>
    <w:p w14:paraId="1AEBF28F" w14:textId="6C26488D" w:rsidR="00DB2020" w:rsidRPr="00441F06" w:rsidRDefault="00441F06" w:rsidP="006E4AB3">
      <w:pPr>
        <w:rPr>
          <w:rFonts w:asciiTheme="minorHAnsi" w:hAnsiTheme="minorHAnsi" w:cstheme="minorHAnsi"/>
          <w:lang w:val="en-AU"/>
        </w:rPr>
      </w:pPr>
      <w:r>
        <w:rPr>
          <w:rFonts w:asciiTheme="minorHAnsi" w:hAnsiTheme="minorHAnsi" w:cstheme="minorHAnsi"/>
          <w:lang w:val="en-AU"/>
        </w:rPr>
        <w:t>8.</w:t>
      </w:r>
      <w:r>
        <w:rPr>
          <w:rFonts w:asciiTheme="minorHAnsi" w:hAnsiTheme="minorHAnsi" w:cstheme="minorHAnsi"/>
          <w:lang w:val="en-AU"/>
        </w:rPr>
        <w:tab/>
      </w:r>
      <w:r w:rsidR="00DB2020" w:rsidRPr="00441F06">
        <w:rPr>
          <w:rFonts w:asciiTheme="minorHAnsi" w:hAnsiTheme="minorHAnsi" w:cstheme="minorHAnsi"/>
          <w:lang w:val="en-AU"/>
        </w:rPr>
        <w:t>COMMENDING Contracting Parties that have responded to recommendations in past CEPA Programmes and invested in wetland education materials, programmes, or curricula for the formal education sector in support of the implementation of the Ramsar Convention;</w:t>
      </w:r>
    </w:p>
    <w:p w14:paraId="68C52187" w14:textId="77777777" w:rsidR="00DB2020" w:rsidRPr="00110F2D" w:rsidRDefault="00DB2020" w:rsidP="006E4AB3">
      <w:pPr>
        <w:pStyle w:val="ListParagraph"/>
        <w:ind w:left="425"/>
        <w:rPr>
          <w:rFonts w:asciiTheme="minorHAnsi" w:hAnsiTheme="minorHAnsi" w:cstheme="minorHAnsi"/>
          <w:lang w:val="en-AU"/>
        </w:rPr>
      </w:pPr>
    </w:p>
    <w:p w14:paraId="6B920C6D" w14:textId="44DB5741" w:rsidR="00E27717" w:rsidRPr="00441F06" w:rsidRDefault="00441F06" w:rsidP="006E4AB3">
      <w:pPr>
        <w:rPr>
          <w:rFonts w:asciiTheme="minorHAnsi" w:hAnsiTheme="minorHAnsi" w:cstheme="minorHAnsi"/>
          <w:lang w:val="en-AU"/>
        </w:rPr>
      </w:pPr>
      <w:r>
        <w:rPr>
          <w:rFonts w:asciiTheme="minorHAnsi" w:hAnsiTheme="minorHAnsi" w:cstheme="minorHAnsi"/>
          <w:lang w:val="en-AU"/>
        </w:rPr>
        <w:t>9.</w:t>
      </w:r>
      <w:r>
        <w:rPr>
          <w:rFonts w:asciiTheme="minorHAnsi" w:hAnsiTheme="minorHAnsi" w:cstheme="minorHAnsi"/>
          <w:lang w:val="en-AU"/>
        </w:rPr>
        <w:tab/>
      </w:r>
      <w:r w:rsidR="00DB2020" w:rsidRPr="00441F06">
        <w:rPr>
          <w:rFonts w:asciiTheme="minorHAnsi" w:hAnsiTheme="minorHAnsi" w:cstheme="minorHAnsi"/>
          <w:lang w:val="en-AU"/>
        </w:rPr>
        <w:t xml:space="preserve">EXPRESSING GRATITUDE to Contracting Parties </w:t>
      </w:r>
      <w:r w:rsidR="004E5A57" w:rsidRPr="00441F06">
        <w:rPr>
          <w:rFonts w:asciiTheme="minorHAnsi" w:hAnsiTheme="minorHAnsi" w:cstheme="minorHAnsi"/>
          <w:lang w:val="en-AU"/>
        </w:rPr>
        <w:t>and the Wetland Link International (WLI) for</w:t>
      </w:r>
      <w:r w:rsidR="00DB2020" w:rsidRPr="00441F06">
        <w:rPr>
          <w:rFonts w:asciiTheme="minorHAnsi" w:hAnsiTheme="minorHAnsi" w:cstheme="minorHAnsi"/>
          <w:lang w:val="en-AU"/>
        </w:rPr>
        <w:t xml:space="preserve"> </w:t>
      </w:r>
      <w:r w:rsidR="004E5A57" w:rsidRPr="00441F06">
        <w:rPr>
          <w:rFonts w:asciiTheme="minorHAnsi" w:hAnsiTheme="minorHAnsi" w:cstheme="minorHAnsi"/>
          <w:lang w:val="en-AU"/>
        </w:rPr>
        <w:t xml:space="preserve">supporting </w:t>
      </w:r>
      <w:r w:rsidR="00DB2020" w:rsidRPr="00441F06">
        <w:rPr>
          <w:rFonts w:asciiTheme="minorHAnsi" w:hAnsiTheme="minorHAnsi" w:cstheme="minorHAnsi"/>
          <w:lang w:val="en-AU"/>
        </w:rPr>
        <w:t>the global expansion of wetland centres</w:t>
      </w:r>
      <w:r w:rsidR="0098366B" w:rsidRPr="00441F06">
        <w:rPr>
          <w:rFonts w:asciiTheme="minorHAnsi" w:hAnsiTheme="minorHAnsi" w:cstheme="minorHAnsi"/>
          <w:lang w:val="en-AU"/>
        </w:rPr>
        <w:t xml:space="preserve"> and wetland parks</w:t>
      </w:r>
      <w:r w:rsidR="00DB2020" w:rsidRPr="00441F06">
        <w:rPr>
          <w:rFonts w:asciiTheme="minorHAnsi" w:hAnsiTheme="minorHAnsi" w:cstheme="minorHAnsi"/>
          <w:lang w:val="en-AU"/>
        </w:rPr>
        <w:t>, which act as hubs for wetland education and contribute valuable services to the formal education sector, both at wetland sites and in the school setting;</w:t>
      </w:r>
    </w:p>
    <w:p w14:paraId="78854F99" w14:textId="77777777" w:rsidR="00E27717" w:rsidRPr="00E27717" w:rsidRDefault="00E27717" w:rsidP="006E4AB3">
      <w:pPr>
        <w:pStyle w:val="ListParagraph"/>
        <w:ind w:left="425"/>
        <w:rPr>
          <w:rFonts w:asciiTheme="minorHAnsi" w:hAnsiTheme="minorHAnsi" w:cstheme="minorHAnsi"/>
          <w:lang w:val="en-AU"/>
        </w:rPr>
      </w:pPr>
    </w:p>
    <w:p w14:paraId="26BB088C" w14:textId="6506E0CC" w:rsidR="00DB2020" w:rsidRPr="00441F06" w:rsidRDefault="00441F06" w:rsidP="006E4AB3">
      <w:pPr>
        <w:rPr>
          <w:rFonts w:asciiTheme="minorHAnsi" w:hAnsiTheme="minorHAnsi" w:cstheme="minorHAnsi"/>
          <w:lang w:val="en-AU"/>
        </w:rPr>
      </w:pPr>
      <w:r>
        <w:rPr>
          <w:rFonts w:asciiTheme="minorHAnsi" w:hAnsiTheme="minorHAnsi" w:cstheme="minorHAnsi"/>
          <w:lang w:val="en-AU"/>
        </w:rPr>
        <w:t>10.</w:t>
      </w:r>
      <w:r>
        <w:rPr>
          <w:rFonts w:asciiTheme="minorHAnsi" w:hAnsiTheme="minorHAnsi" w:cstheme="minorHAnsi"/>
          <w:lang w:val="en-AU"/>
        </w:rPr>
        <w:tab/>
      </w:r>
      <w:r w:rsidR="00100B61" w:rsidRPr="00441F06">
        <w:rPr>
          <w:rFonts w:asciiTheme="minorHAnsi" w:hAnsiTheme="minorHAnsi" w:cstheme="minorHAnsi"/>
          <w:lang w:val="en-AU"/>
        </w:rPr>
        <w:t>RECOGNISING that while many Contracting Parties have CEPA action plans and programmes that include wetland education, further consideration can be made on how to effectively promote wetlands in formal education</w:t>
      </w:r>
      <w:r w:rsidR="00DB2020" w:rsidRPr="00441F06">
        <w:rPr>
          <w:rFonts w:asciiTheme="minorHAnsi" w:hAnsiTheme="minorHAnsi" w:cstheme="minorHAnsi"/>
          <w:lang w:val="en-AU"/>
        </w:rPr>
        <w:t>;</w:t>
      </w:r>
    </w:p>
    <w:p w14:paraId="20E42388" w14:textId="77777777" w:rsidR="00DB2020" w:rsidRPr="00110F2D" w:rsidRDefault="00DB2020" w:rsidP="006E4AB3">
      <w:pPr>
        <w:rPr>
          <w:rFonts w:asciiTheme="minorHAnsi" w:hAnsiTheme="minorHAnsi" w:cstheme="minorHAnsi"/>
          <w:lang w:val="en-AU"/>
        </w:rPr>
      </w:pPr>
    </w:p>
    <w:p w14:paraId="6B33E49B" w14:textId="3EB4E8B4" w:rsidR="00DB2020" w:rsidRPr="00441F06" w:rsidRDefault="00441F06" w:rsidP="006E4AB3">
      <w:pPr>
        <w:rPr>
          <w:rFonts w:asciiTheme="minorHAnsi" w:hAnsiTheme="minorHAnsi" w:cstheme="minorHAnsi"/>
          <w:lang w:val="en-AU"/>
        </w:rPr>
      </w:pPr>
      <w:r>
        <w:rPr>
          <w:rFonts w:asciiTheme="minorHAnsi" w:hAnsiTheme="minorHAnsi" w:cstheme="minorHAnsi"/>
          <w:lang w:val="en-AU"/>
        </w:rPr>
        <w:t>11.</w:t>
      </w:r>
      <w:r>
        <w:rPr>
          <w:rFonts w:asciiTheme="minorHAnsi" w:hAnsiTheme="minorHAnsi" w:cstheme="minorHAnsi"/>
          <w:lang w:val="en-AU"/>
        </w:rPr>
        <w:tab/>
      </w:r>
      <w:r w:rsidR="00DB2020" w:rsidRPr="00441F06">
        <w:rPr>
          <w:rFonts w:asciiTheme="minorHAnsi" w:hAnsiTheme="minorHAnsi" w:cstheme="minorHAnsi"/>
          <w:lang w:val="en-AU"/>
        </w:rPr>
        <w:t>RECOGNISING that responsibility for formal education is not uniform across national jurisdictions, and that there are differences in how school education is delivered or how curricula are introduced or mandated in Contracting Parties;</w:t>
      </w:r>
    </w:p>
    <w:p w14:paraId="40D60419" w14:textId="77777777" w:rsidR="00DB2020" w:rsidRPr="00110F2D" w:rsidRDefault="00DB2020" w:rsidP="006E4AB3">
      <w:pPr>
        <w:rPr>
          <w:rFonts w:asciiTheme="minorHAnsi" w:hAnsiTheme="minorHAnsi" w:cstheme="minorHAnsi"/>
          <w:lang w:val="en-AU"/>
        </w:rPr>
      </w:pPr>
    </w:p>
    <w:p w14:paraId="6D67FB3C" w14:textId="6F8664B3" w:rsidR="00DB2020" w:rsidRPr="00441F06" w:rsidRDefault="00441F06" w:rsidP="006E4AB3">
      <w:pPr>
        <w:rPr>
          <w:rFonts w:asciiTheme="minorHAnsi" w:hAnsiTheme="minorHAnsi" w:cstheme="minorHAnsi"/>
          <w:lang w:val="en-AU"/>
        </w:rPr>
      </w:pPr>
      <w:r>
        <w:rPr>
          <w:rFonts w:asciiTheme="minorHAnsi" w:hAnsiTheme="minorHAnsi" w:cstheme="minorHAnsi"/>
          <w:lang w:val="en-AU"/>
        </w:rPr>
        <w:t>12.</w:t>
      </w:r>
      <w:r>
        <w:rPr>
          <w:rFonts w:asciiTheme="minorHAnsi" w:hAnsiTheme="minorHAnsi" w:cstheme="minorHAnsi"/>
          <w:lang w:val="en-AU"/>
        </w:rPr>
        <w:tab/>
      </w:r>
      <w:r w:rsidR="00DB2020" w:rsidRPr="00441F06">
        <w:rPr>
          <w:rFonts w:asciiTheme="minorHAnsi" w:hAnsiTheme="minorHAnsi" w:cstheme="minorHAnsi"/>
          <w:lang w:val="en-AU"/>
        </w:rPr>
        <w:t>ACKNOWLEDGING that environment-focused education in the formal school setting provides a foundation for appreciation of nature, development of conservation values, and a means to influence the mindset of students towards better understanding and appreciation of ecosystems in general;</w:t>
      </w:r>
    </w:p>
    <w:p w14:paraId="491E29ED" w14:textId="77777777" w:rsidR="00DB2020" w:rsidRPr="00110F2D" w:rsidRDefault="00DB2020" w:rsidP="006E4AB3">
      <w:pPr>
        <w:rPr>
          <w:rFonts w:asciiTheme="minorHAnsi" w:hAnsiTheme="minorHAnsi" w:cstheme="minorHAnsi"/>
          <w:lang w:val="en-AU"/>
        </w:rPr>
      </w:pPr>
    </w:p>
    <w:p w14:paraId="253B5020" w14:textId="53FC1797" w:rsidR="00DB2020" w:rsidRPr="00441F06" w:rsidRDefault="00441F06" w:rsidP="006E4AB3">
      <w:pPr>
        <w:rPr>
          <w:rFonts w:asciiTheme="minorHAnsi" w:hAnsiTheme="minorHAnsi" w:cstheme="minorHAnsi"/>
          <w:lang w:val="en-AU"/>
        </w:rPr>
      </w:pPr>
      <w:r>
        <w:rPr>
          <w:rFonts w:asciiTheme="minorHAnsi" w:hAnsiTheme="minorHAnsi" w:cstheme="minorHAnsi"/>
          <w:lang w:val="en-AU"/>
        </w:rPr>
        <w:t>13.</w:t>
      </w:r>
      <w:r>
        <w:rPr>
          <w:rFonts w:asciiTheme="minorHAnsi" w:hAnsiTheme="minorHAnsi" w:cstheme="minorHAnsi"/>
          <w:lang w:val="en-AU"/>
        </w:rPr>
        <w:tab/>
      </w:r>
      <w:r w:rsidR="00DB2020" w:rsidRPr="00441F06">
        <w:rPr>
          <w:rFonts w:asciiTheme="minorHAnsi" w:hAnsiTheme="minorHAnsi" w:cstheme="minorHAnsi"/>
          <w:lang w:val="en-AU"/>
        </w:rPr>
        <w:t>FURTHER ACKNOWLEDGING that learning about the environment both in the school setting and in nature can support life-long learning outcomes</w:t>
      </w:r>
      <w:r w:rsidR="003B79C5" w:rsidRPr="00441F06">
        <w:rPr>
          <w:rFonts w:asciiTheme="minorHAnsi" w:hAnsiTheme="minorHAnsi" w:cstheme="minorHAnsi"/>
          <w:lang w:val="en-AU"/>
        </w:rPr>
        <w:t>, particularly through experiencing wetlands</w:t>
      </w:r>
      <w:r w:rsidR="00DB2020" w:rsidRPr="00441F06">
        <w:rPr>
          <w:rFonts w:asciiTheme="minorHAnsi" w:hAnsiTheme="minorHAnsi" w:cstheme="minorHAnsi"/>
          <w:lang w:val="en-AU"/>
        </w:rPr>
        <w:t>;</w:t>
      </w:r>
    </w:p>
    <w:p w14:paraId="022DB3E6" w14:textId="77777777" w:rsidR="00E203B2" w:rsidRPr="00110F2D" w:rsidRDefault="00E203B2" w:rsidP="006E4AB3">
      <w:pPr>
        <w:pStyle w:val="ListParagraph"/>
        <w:ind w:left="425"/>
        <w:rPr>
          <w:rFonts w:asciiTheme="minorHAnsi" w:hAnsiTheme="minorHAnsi" w:cstheme="minorHAnsi"/>
          <w:lang w:val="en-AU"/>
        </w:rPr>
      </w:pPr>
    </w:p>
    <w:p w14:paraId="24618864" w14:textId="7345B9BA" w:rsidR="005858F5" w:rsidRPr="00441F06" w:rsidRDefault="00441F06" w:rsidP="006E4AB3">
      <w:pPr>
        <w:rPr>
          <w:rFonts w:asciiTheme="minorHAnsi" w:hAnsiTheme="minorHAnsi" w:cstheme="minorHAnsi"/>
          <w:lang w:val="en-AU"/>
        </w:rPr>
      </w:pPr>
      <w:r>
        <w:rPr>
          <w:rFonts w:asciiTheme="minorHAnsi" w:hAnsiTheme="minorHAnsi" w:cstheme="minorHAnsi"/>
          <w:lang w:val="en-AU"/>
        </w:rPr>
        <w:t>14.</w:t>
      </w:r>
      <w:r>
        <w:rPr>
          <w:rFonts w:asciiTheme="minorHAnsi" w:hAnsiTheme="minorHAnsi" w:cstheme="minorHAnsi"/>
          <w:lang w:val="en-AU"/>
        </w:rPr>
        <w:tab/>
      </w:r>
      <w:r w:rsidR="00E30FD7" w:rsidRPr="00441F06">
        <w:rPr>
          <w:rFonts w:asciiTheme="minorHAnsi" w:hAnsiTheme="minorHAnsi" w:cstheme="minorHAnsi"/>
          <w:lang w:val="en-AU"/>
        </w:rPr>
        <w:t xml:space="preserve">AWARE </w:t>
      </w:r>
      <w:r w:rsidR="005014CD" w:rsidRPr="00441F06">
        <w:rPr>
          <w:rFonts w:asciiTheme="minorHAnsi" w:hAnsiTheme="minorHAnsi" w:cstheme="minorHAnsi"/>
          <w:lang w:val="en-AU"/>
        </w:rPr>
        <w:t xml:space="preserve">that </w:t>
      </w:r>
      <w:r w:rsidR="005014CD" w:rsidRPr="00441F06">
        <w:rPr>
          <w:rFonts w:asciiTheme="minorHAnsi" w:eastAsia="Times New Roman" w:hAnsiTheme="minorHAnsi" w:cstheme="minorHAnsi"/>
          <w:lang w:val="en-AU" w:eastAsia="en-GB"/>
        </w:rPr>
        <w:t xml:space="preserve">further guidance on supporting wetland education in the formal education sector </w:t>
      </w:r>
      <w:r w:rsidR="005014CD" w:rsidRPr="00441F06">
        <w:rPr>
          <w:rFonts w:asciiTheme="minorHAnsi" w:hAnsiTheme="minorHAnsi" w:cstheme="minorHAnsi"/>
          <w:lang w:val="en-AU"/>
        </w:rPr>
        <w:t xml:space="preserve">may redirect attention to this important component of the CEPA Programme in recognition of the opportunity to reach </w:t>
      </w:r>
      <w:r w:rsidR="00F33A3D" w:rsidRPr="00441F06">
        <w:rPr>
          <w:rFonts w:asciiTheme="minorHAnsi" w:hAnsiTheme="minorHAnsi" w:cstheme="minorHAnsi"/>
          <w:lang w:val="en-AU"/>
        </w:rPr>
        <w:t xml:space="preserve">the </w:t>
      </w:r>
      <w:r w:rsidR="005014CD" w:rsidRPr="00441F06">
        <w:rPr>
          <w:rFonts w:asciiTheme="minorHAnsi" w:hAnsiTheme="minorHAnsi" w:cstheme="minorHAnsi"/>
          <w:lang w:val="en-AU"/>
        </w:rPr>
        <w:t>young</w:t>
      </w:r>
      <w:r w:rsidR="00F33A3D" w:rsidRPr="00441F06">
        <w:rPr>
          <w:rFonts w:asciiTheme="minorHAnsi" w:hAnsiTheme="minorHAnsi" w:cstheme="minorHAnsi"/>
          <w:lang w:val="en-AU"/>
        </w:rPr>
        <w:t>er generation</w:t>
      </w:r>
      <w:r w:rsidR="005014CD" w:rsidRPr="00441F06">
        <w:rPr>
          <w:rFonts w:asciiTheme="minorHAnsi" w:hAnsiTheme="minorHAnsi" w:cstheme="minorHAnsi"/>
          <w:lang w:val="en-AU"/>
        </w:rPr>
        <w:t xml:space="preserve"> in the formative years</w:t>
      </w:r>
      <w:r w:rsidR="00334C07" w:rsidRPr="00441F06">
        <w:rPr>
          <w:rFonts w:asciiTheme="minorHAnsi" w:hAnsiTheme="minorHAnsi" w:cstheme="minorHAnsi"/>
          <w:lang w:val="en-AU"/>
        </w:rPr>
        <w:t>;</w:t>
      </w:r>
    </w:p>
    <w:p w14:paraId="4CBA38EC" w14:textId="77777777" w:rsidR="005858F5" w:rsidRPr="00110F2D" w:rsidRDefault="005858F5" w:rsidP="006E4AB3">
      <w:pPr>
        <w:pStyle w:val="ListParagraph"/>
        <w:ind w:left="425"/>
        <w:rPr>
          <w:rFonts w:asciiTheme="minorHAnsi" w:hAnsiTheme="minorHAnsi" w:cstheme="minorHAnsi"/>
          <w:lang w:val="en-AU"/>
        </w:rPr>
      </w:pPr>
    </w:p>
    <w:p w14:paraId="10575A3E" w14:textId="212980EC" w:rsidR="00E203B2" w:rsidRPr="00441F06" w:rsidRDefault="00441F06" w:rsidP="006E4AB3">
      <w:pPr>
        <w:rPr>
          <w:rFonts w:asciiTheme="minorHAnsi" w:hAnsiTheme="minorHAnsi" w:cstheme="minorHAnsi"/>
          <w:lang w:val="en-AU"/>
        </w:rPr>
      </w:pPr>
      <w:r>
        <w:rPr>
          <w:rFonts w:asciiTheme="minorHAnsi" w:hAnsiTheme="minorHAnsi" w:cstheme="minorHAnsi"/>
          <w:lang w:val="en-AU"/>
        </w:rPr>
        <w:t>15.</w:t>
      </w:r>
      <w:r>
        <w:rPr>
          <w:rFonts w:asciiTheme="minorHAnsi" w:hAnsiTheme="minorHAnsi" w:cstheme="minorHAnsi"/>
          <w:lang w:val="en-AU"/>
        </w:rPr>
        <w:tab/>
      </w:r>
      <w:r w:rsidR="00671D4D" w:rsidRPr="00441F06">
        <w:rPr>
          <w:rFonts w:asciiTheme="minorHAnsi" w:hAnsiTheme="minorHAnsi" w:cstheme="minorHAnsi"/>
          <w:lang w:val="en-AU"/>
        </w:rPr>
        <w:t xml:space="preserve">AFFIRMING that </w:t>
      </w:r>
      <w:r w:rsidR="00C9538A" w:rsidRPr="00441F06">
        <w:rPr>
          <w:rFonts w:asciiTheme="minorHAnsi" w:hAnsiTheme="minorHAnsi" w:cstheme="minorHAnsi"/>
          <w:lang w:val="en-AU"/>
        </w:rPr>
        <w:t>education</w:t>
      </w:r>
      <w:r w:rsidR="006D5F1C" w:rsidRPr="00441F06">
        <w:rPr>
          <w:rFonts w:asciiTheme="minorHAnsi" w:hAnsiTheme="minorHAnsi" w:cstheme="minorHAnsi"/>
          <w:lang w:val="en-AU"/>
        </w:rPr>
        <w:t xml:space="preserve"> is equally important as </w:t>
      </w:r>
      <w:r w:rsidR="00C9538A" w:rsidRPr="00441F06">
        <w:rPr>
          <w:rFonts w:asciiTheme="minorHAnsi" w:hAnsiTheme="minorHAnsi" w:cstheme="minorHAnsi"/>
          <w:lang w:val="en-AU"/>
        </w:rPr>
        <w:t>other components of the CEPA Programme</w:t>
      </w:r>
      <w:r w:rsidR="006D5F1C" w:rsidRPr="00441F06">
        <w:rPr>
          <w:rFonts w:asciiTheme="minorHAnsi" w:hAnsiTheme="minorHAnsi" w:cstheme="minorHAnsi"/>
          <w:lang w:val="en-AU"/>
        </w:rPr>
        <w:t xml:space="preserve"> and that synergy among components can </w:t>
      </w:r>
      <w:r w:rsidR="00F55DEC" w:rsidRPr="00441F06">
        <w:rPr>
          <w:rFonts w:asciiTheme="minorHAnsi" w:hAnsiTheme="minorHAnsi" w:cstheme="minorHAnsi"/>
          <w:lang w:val="en-AU"/>
        </w:rPr>
        <w:t xml:space="preserve">facilitate a more effective </w:t>
      </w:r>
      <w:r w:rsidR="006D5F1C" w:rsidRPr="00441F06">
        <w:rPr>
          <w:rFonts w:asciiTheme="minorHAnsi" w:hAnsiTheme="minorHAnsi" w:cstheme="minorHAnsi"/>
          <w:lang w:val="en-AU"/>
        </w:rPr>
        <w:t>implementation of the Ramsar Convention;</w:t>
      </w:r>
    </w:p>
    <w:p w14:paraId="6F7DAC18" w14:textId="77777777" w:rsidR="00DB2020" w:rsidRPr="00110F2D" w:rsidRDefault="00DB2020" w:rsidP="006E4AB3">
      <w:pPr>
        <w:ind w:left="450" w:hanging="450"/>
        <w:rPr>
          <w:rFonts w:asciiTheme="minorHAnsi" w:hAnsiTheme="minorHAnsi" w:cstheme="minorHAnsi"/>
          <w:lang w:val="en-AU"/>
        </w:rPr>
      </w:pPr>
    </w:p>
    <w:p w14:paraId="43401811" w14:textId="77777777" w:rsidR="00DB2020" w:rsidRPr="00110F2D" w:rsidRDefault="00DB2020" w:rsidP="006E4AB3">
      <w:pPr>
        <w:ind w:left="450" w:hanging="450"/>
        <w:jc w:val="center"/>
        <w:rPr>
          <w:rFonts w:asciiTheme="minorHAnsi" w:hAnsiTheme="minorHAnsi" w:cstheme="minorHAnsi"/>
          <w:lang w:val="en-AU"/>
        </w:rPr>
      </w:pPr>
      <w:r w:rsidRPr="00110F2D">
        <w:rPr>
          <w:rFonts w:asciiTheme="minorHAnsi" w:hAnsiTheme="minorHAnsi" w:cstheme="minorHAnsi"/>
          <w:lang w:val="en-AU"/>
        </w:rPr>
        <w:t>THE CONFERENCE OF THE CONTRACTING PARTIES</w:t>
      </w:r>
    </w:p>
    <w:p w14:paraId="0CE82E0E" w14:textId="77777777" w:rsidR="00DB2020" w:rsidRPr="00110F2D" w:rsidRDefault="00DB2020" w:rsidP="006E4AB3">
      <w:pPr>
        <w:pStyle w:val="ListParagraph"/>
        <w:ind w:left="450" w:hanging="450"/>
        <w:rPr>
          <w:rFonts w:asciiTheme="minorHAnsi" w:hAnsiTheme="minorHAnsi" w:cstheme="minorHAnsi"/>
          <w:lang w:val="en-AU"/>
        </w:rPr>
      </w:pPr>
    </w:p>
    <w:p w14:paraId="423B7573" w14:textId="5AFB3B49" w:rsidR="00DB2020" w:rsidRPr="00441F06" w:rsidRDefault="00441F06" w:rsidP="006E4AB3">
      <w:pPr>
        <w:rPr>
          <w:rFonts w:asciiTheme="minorHAnsi" w:hAnsiTheme="minorHAnsi" w:cstheme="minorHAnsi"/>
          <w:lang w:val="en-AU"/>
        </w:rPr>
      </w:pPr>
      <w:r>
        <w:rPr>
          <w:rFonts w:asciiTheme="minorHAnsi" w:hAnsiTheme="minorHAnsi" w:cstheme="minorHAnsi"/>
          <w:lang w:val="en-AU"/>
        </w:rPr>
        <w:t>16.</w:t>
      </w:r>
      <w:r>
        <w:rPr>
          <w:rFonts w:asciiTheme="minorHAnsi" w:hAnsiTheme="minorHAnsi" w:cstheme="minorHAnsi"/>
          <w:lang w:val="en-AU"/>
        </w:rPr>
        <w:tab/>
      </w:r>
      <w:r w:rsidR="00DB2020" w:rsidRPr="00441F06">
        <w:rPr>
          <w:rFonts w:asciiTheme="minorHAnsi" w:hAnsiTheme="minorHAnsi" w:cstheme="minorHAnsi"/>
          <w:lang w:val="en-AU"/>
        </w:rPr>
        <w:t>URGES Contracting Parties to recognise the benefits of promoting wetland education topics in formal education to encourage a greater understanding of wetlands and their values;</w:t>
      </w:r>
    </w:p>
    <w:p w14:paraId="7E15969D" w14:textId="77777777" w:rsidR="00DB2020" w:rsidRPr="00110F2D" w:rsidRDefault="00DB2020" w:rsidP="006E4AB3">
      <w:pPr>
        <w:rPr>
          <w:rFonts w:asciiTheme="minorHAnsi" w:hAnsiTheme="minorHAnsi" w:cstheme="minorHAnsi"/>
          <w:lang w:val="en-AU"/>
        </w:rPr>
      </w:pPr>
    </w:p>
    <w:p w14:paraId="1D3FFD13" w14:textId="20FE2C72" w:rsidR="00DB2020" w:rsidRPr="00441F06" w:rsidRDefault="00441F06" w:rsidP="006E4AB3">
      <w:pPr>
        <w:rPr>
          <w:rFonts w:asciiTheme="minorHAnsi" w:hAnsiTheme="minorHAnsi" w:cstheme="minorHAnsi"/>
          <w:lang w:val="en-AU"/>
        </w:rPr>
      </w:pPr>
      <w:r>
        <w:rPr>
          <w:rFonts w:asciiTheme="minorHAnsi" w:hAnsiTheme="minorHAnsi" w:cstheme="minorHAnsi"/>
          <w:lang w:val="en-AU"/>
        </w:rPr>
        <w:t>17.</w:t>
      </w:r>
      <w:r>
        <w:rPr>
          <w:rFonts w:asciiTheme="minorHAnsi" w:hAnsiTheme="minorHAnsi" w:cstheme="minorHAnsi"/>
          <w:lang w:val="en-AU"/>
        </w:rPr>
        <w:tab/>
      </w:r>
      <w:r w:rsidR="00DB2020" w:rsidRPr="00441F06">
        <w:rPr>
          <w:rFonts w:asciiTheme="minorHAnsi" w:hAnsiTheme="minorHAnsi" w:cstheme="minorHAnsi"/>
          <w:lang w:val="en-AU"/>
        </w:rPr>
        <w:t>ENCOURAGES Contracting Parties to explore and support strategies to further mainstream wetland education in formal education settings and to increase wetland education opportunities in their schools and learning institutions, such as:</w:t>
      </w:r>
    </w:p>
    <w:p w14:paraId="3ADC7514" w14:textId="77777777" w:rsidR="00DB2020" w:rsidRPr="00110F2D" w:rsidRDefault="00DB2020" w:rsidP="006E4AB3">
      <w:pPr>
        <w:pStyle w:val="ListParagraph"/>
        <w:ind w:left="450" w:hanging="450"/>
        <w:rPr>
          <w:rFonts w:asciiTheme="minorHAnsi" w:hAnsiTheme="minorHAnsi" w:cstheme="minorHAnsi"/>
          <w:lang w:val="en-AU"/>
        </w:rPr>
      </w:pPr>
    </w:p>
    <w:p w14:paraId="36845C6E" w14:textId="77777777" w:rsidR="00DB2020" w:rsidRPr="00110F2D" w:rsidRDefault="00DB2020" w:rsidP="006E4AB3">
      <w:pPr>
        <w:pStyle w:val="ListParagraph"/>
        <w:numPr>
          <w:ilvl w:val="0"/>
          <w:numId w:val="47"/>
        </w:numPr>
        <w:ind w:left="851" w:hanging="425"/>
        <w:rPr>
          <w:rFonts w:asciiTheme="minorHAnsi" w:hAnsiTheme="minorHAnsi" w:cstheme="minorHAnsi"/>
          <w:lang w:val="en-AU"/>
        </w:rPr>
      </w:pPr>
      <w:r w:rsidRPr="00110F2D">
        <w:rPr>
          <w:rFonts w:asciiTheme="minorHAnsi" w:hAnsiTheme="minorHAnsi" w:cstheme="minorHAnsi"/>
          <w:lang w:val="en-AU"/>
        </w:rPr>
        <w:t>inviting government authorities responsible for education to join the National Ramsar Committee, National Wetland Committee or other similar mechanisms as member to explore opportunities to introduce wetland topics and programmes into existing curricula;</w:t>
      </w:r>
    </w:p>
    <w:p w14:paraId="0EDAAB7A" w14:textId="77777777" w:rsidR="00DB2020" w:rsidRPr="00110F2D" w:rsidRDefault="00DB2020" w:rsidP="006E4AB3">
      <w:pPr>
        <w:pStyle w:val="ListParagraph"/>
        <w:ind w:left="851"/>
        <w:rPr>
          <w:rFonts w:asciiTheme="minorHAnsi" w:hAnsiTheme="minorHAnsi" w:cstheme="minorHAnsi"/>
          <w:lang w:val="en-AU"/>
        </w:rPr>
      </w:pPr>
      <w:r w:rsidRPr="00110F2D">
        <w:rPr>
          <w:rFonts w:asciiTheme="minorHAnsi" w:hAnsiTheme="minorHAnsi" w:cstheme="minorHAnsi"/>
          <w:lang w:val="en-AU"/>
        </w:rPr>
        <w:t xml:space="preserve"> </w:t>
      </w:r>
    </w:p>
    <w:p w14:paraId="75F10DAE" w14:textId="5CF3AE80" w:rsidR="00DB2020" w:rsidRPr="00110F2D" w:rsidRDefault="00DB2020" w:rsidP="006E4AB3">
      <w:pPr>
        <w:pStyle w:val="ListParagraph"/>
        <w:numPr>
          <w:ilvl w:val="0"/>
          <w:numId w:val="47"/>
        </w:numPr>
        <w:ind w:left="851" w:hanging="425"/>
        <w:rPr>
          <w:rFonts w:asciiTheme="minorHAnsi" w:hAnsiTheme="minorHAnsi" w:cstheme="minorHAnsi"/>
          <w:lang w:val="en-AU"/>
        </w:rPr>
      </w:pPr>
      <w:r w:rsidRPr="00110F2D">
        <w:rPr>
          <w:rFonts w:asciiTheme="minorHAnsi" w:hAnsiTheme="minorHAnsi" w:cstheme="minorHAnsi"/>
          <w:lang w:val="en-AU"/>
        </w:rPr>
        <w:t>adopting a national or sub-national level approach to introducing wetland education topics in school curricula for schooling that are widely available and accessible for schools and teachers;</w:t>
      </w:r>
    </w:p>
    <w:p w14:paraId="3BA6CC6A" w14:textId="77777777" w:rsidR="00DB2020" w:rsidRPr="00110F2D" w:rsidRDefault="00DB2020" w:rsidP="006E4AB3">
      <w:pPr>
        <w:pStyle w:val="ListParagraph"/>
        <w:ind w:left="851"/>
        <w:rPr>
          <w:rFonts w:asciiTheme="minorHAnsi" w:hAnsiTheme="minorHAnsi" w:cstheme="minorHAnsi"/>
          <w:lang w:val="en-AU"/>
        </w:rPr>
      </w:pPr>
    </w:p>
    <w:p w14:paraId="08FCD042" w14:textId="50253AC0" w:rsidR="00DB2020" w:rsidRPr="00110F2D" w:rsidRDefault="00DB2020" w:rsidP="006E4AB3">
      <w:pPr>
        <w:pStyle w:val="ListParagraph"/>
        <w:numPr>
          <w:ilvl w:val="0"/>
          <w:numId w:val="47"/>
        </w:numPr>
        <w:ind w:left="851" w:hanging="425"/>
        <w:rPr>
          <w:rFonts w:asciiTheme="minorHAnsi" w:hAnsiTheme="minorHAnsi" w:cstheme="minorHAnsi"/>
          <w:lang w:val="en-AU"/>
        </w:rPr>
      </w:pPr>
      <w:r w:rsidRPr="00110F2D">
        <w:rPr>
          <w:rFonts w:asciiTheme="minorHAnsi" w:hAnsiTheme="minorHAnsi" w:cstheme="minorHAnsi"/>
          <w:lang w:val="en-AU"/>
        </w:rPr>
        <w:t>establishing partnerships with wetland centres</w:t>
      </w:r>
      <w:r w:rsidR="00F57516">
        <w:rPr>
          <w:rFonts w:asciiTheme="minorHAnsi" w:hAnsiTheme="minorHAnsi" w:cstheme="minorHAnsi"/>
          <w:lang w:val="en-AU"/>
        </w:rPr>
        <w:t xml:space="preserve"> and </w:t>
      </w:r>
      <w:r w:rsidR="0098366B">
        <w:rPr>
          <w:rFonts w:asciiTheme="minorHAnsi" w:hAnsiTheme="minorHAnsi" w:cstheme="minorHAnsi"/>
          <w:lang w:val="en-AU"/>
        </w:rPr>
        <w:t>w</w:t>
      </w:r>
      <w:r w:rsidR="00F57516">
        <w:rPr>
          <w:rFonts w:asciiTheme="minorHAnsi" w:hAnsiTheme="minorHAnsi" w:cstheme="minorHAnsi"/>
          <w:lang w:val="en-AU"/>
        </w:rPr>
        <w:t xml:space="preserve">etland </w:t>
      </w:r>
      <w:r w:rsidR="0098366B">
        <w:rPr>
          <w:rFonts w:asciiTheme="minorHAnsi" w:hAnsiTheme="minorHAnsi" w:cstheme="minorHAnsi"/>
          <w:lang w:val="en-AU"/>
        </w:rPr>
        <w:t>p</w:t>
      </w:r>
      <w:r w:rsidR="00F57516">
        <w:rPr>
          <w:rFonts w:asciiTheme="minorHAnsi" w:hAnsiTheme="minorHAnsi" w:cstheme="minorHAnsi"/>
          <w:lang w:val="en-AU"/>
        </w:rPr>
        <w:t>arks</w:t>
      </w:r>
      <w:r w:rsidRPr="00110F2D">
        <w:rPr>
          <w:rFonts w:asciiTheme="minorHAnsi" w:hAnsiTheme="minorHAnsi" w:cstheme="minorHAnsi"/>
          <w:lang w:val="en-AU"/>
        </w:rPr>
        <w:t xml:space="preserve"> to enhance the development and implementation of school-based learning;</w:t>
      </w:r>
    </w:p>
    <w:p w14:paraId="65CE2DF8" w14:textId="77777777" w:rsidR="00DB2020" w:rsidRPr="00110F2D" w:rsidRDefault="00DB2020" w:rsidP="006E4AB3">
      <w:pPr>
        <w:pStyle w:val="ListParagraph"/>
        <w:ind w:left="851"/>
        <w:rPr>
          <w:rFonts w:asciiTheme="minorHAnsi" w:hAnsiTheme="minorHAnsi" w:cstheme="minorHAnsi"/>
          <w:lang w:val="en-AU"/>
        </w:rPr>
      </w:pPr>
    </w:p>
    <w:p w14:paraId="31C67390" w14:textId="77777777" w:rsidR="00DB2020" w:rsidRPr="00110F2D" w:rsidRDefault="00DB2020" w:rsidP="006E4AB3">
      <w:pPr>
        <w:pStyle w:val="ListParagraph"/>
        <w:numPr>
          <w:ilvl w:val="0"/>
          <w:numId w:val="47"/>
        </w:numPr>
        <w:ind w:left="851" w:hanging="425"/>
        <w:rPr>
          <w:rFonts w:asciiTheme="minorHAnsi" w:hAnsiTheme="minorHAnsi" w:cstheme="minorHAnsi"/>
          <w:lang w:val="en-AU"/>
        </w:rPr>
      </w:pPr>
      <w:r w:rsidRPr="00110F2D">
        <w:rPr>
          <w:rFonts w:asciiTheme="minorHAnsi" w:hAnsiTheme="minorHAnsi" w:cstheme="minorHAnsi"/>
          <w:lang w:val="en-AU"/>
        </w:rPr>
        <w:t>adopting demonstration-school models, and school-to-school and network-of-schools models;</w:t>
      </w:r>
    </w:p>
    <w:p w14:paraId="254C2771" w14:textId="77777777" w:rsidR="00DB2020" w:rsidRPr="00110F2D" w:rsidRDefault="00DB2020" w:rsidP="006E4AB3">
      <w:pPr>
        <w:pStyle w:val="ListParagraph"/>
        <w:ind w:left="851"/>
        <w:rPr>
          <w:rFonts w:asciiTheme="minorHAnsi" w:hAnsiTheme="minorHAnsi" w:cstheme="minorHAnsi"/>
          <w:lang w:val="en-AU"/>
        </w:rPr>
      </w:pPr>
    </w:p>
    <w:p w14:paraId="7591E281" w14:textId="2758B74A" w:rsidR="00DB2020" w:rsidRPr="00110F2D" w:rsidRDefault="00DB2020" w:rsidP="006E4AB3">
      <w:pPr>
        <w:pStyle w:val="ListParagraph"/>
        <w:numPr>
          <w:ilvl w:val="0"/>
          <w:numId w:val="47"/>
        </w:numPr>
        <w:ind w:left="851" w:hanging="425"/>
        <w:rPr>
          <w:rFonts w:asciiTheme="minorHAnsi" w:hAnsiTheme="minorHAnsi" w:cstheme="minorHAnsi"/>
          <w:lang w:val="en-AU"/>
        </w:rPr>
      </w:pPr>
      <w:r w:rsidRPr="00110F2D">
        <w:rPr>
          <w:rFonts w:asciiTheme="minorHAnsi" w:hAnsiTheme="minorHAnsi" w:cstheme="minorHAnsi"/>
          <w:lang w:val="en-AU"/>
        </w:rPr>
        <w:t xml:space="preserve">partnering </w:t>
      </w:r>
      <w:r w:rsidR="00F57516">
        <w:rPr>
          <w:rFonts w:asciiTheme="minorHAnsi" w:hAnsiTheme="minorHAnsi" w:cstheme="minorHAnsi"/>
          <w:lang w:val="en-AU"/>
        </w:rPr>
        <w:t xml:space="preserve">where appropriate </w:t>
      </w:r>
      <w:r w:rsidRPr="00110F2D">
        <w:rPr>
          <w:rFonts w:asciiTheme="minorHAnsi" w:hAnsiTheme="minorHAnsi" w:cstheme="minorHAnsi"/>
          <w:lang w:val="en-AU"/>
        </w:rPr>
        <w:t>with the private sector to support dedicated grant schemes</w:t>
      </w:r>
      <w:r w:rsidR="00F57516">
        <w:rPr>
          <w:rFonts w:asciiTheme="minorHAnsi" w:hAnsiTheme="minorHAnsi" w:cstheme="minorHAnsi"/>
          <w:lang w:val="en-AU"/>
        </w:rPr>
        <w:t xml:space="preserve"> and various practical activities</w:t>
      </w:r>
      <w:r w:rsidRPr="00110F2D">
        <w:rPr>
          <w:rFonts w:asciiTheme="minorHAnsi" w:hAnsiTheme="minorHAnsi" w:cstheme="minorHAnsi"/>
          <w:lang w:val="en-AU"/>
        </w:rPr>
        <w:t>;</w:t>
      </w:r>
    </w:p>
    <w:p w14:paraId="78AB6180" w14:textId="77777777" w:rsidR="00DB2020" w:rsidRPr="00110F2D" w:rsidRDefault="00DB2020" w:rsidP="006E4AB3">
      <w:pPr>
        <w:pStyle w:val="ListParagraph"/>
        <w:ind w:left="851"/>
        <w:rPr>
          <w:rFonts w:asciiTheme="minorHAnsi" w:hAnsiTheme="minorHAnsi" w:cstheme="minorHAnsi"/>
          <w:lang w:val="en-AU"/>
        </w:rPr>
      </w:pPr>
    </w:p>
    <w:p w14:paraId="61C86867" w14:textId="28CF7681" w:rsidR="00DB2020" w:rsidRPr="00110F2D" w:rsidRDefault="00FB3242" w:rsidP="006E4AB3">
      <w:pPr>
        <w:pStyle w:val="ListParagraph"/>
        <w:numPr>
          <w:ilvl w:val="0"/>
          <w:numId w:val="47"/>
        </w:numPr>
        <w:ind w:left="851" w:hanging="425"/>
        <w:rPr>
          <w:rFonts w:asciiTheme="minorHAnsi" w:hAnsiTheme="minorHAnsi" w:cstheme="minorHAnsi"/>
          <w:lang w:val="en-AU" w:eastAsia="ko-KR"/>
        </w:rPr>
      </w:pPr>
      <w:r w:rsidRPr="00110F2D">
        <w:rPr>
          <w:rFonts w:asciiTheme="minorHAnsi" w:hAnsiTheme="minorHAnsi" w:cstheme="minorHAnsi"/>
          <w:lang w:val="en-AU"/>
        </w:rPr>
        <w:t>identifying partnerships from existing programmes and initiatives such as the Wetland City Accreditation of the Ramsar Convention and mobilising resources through such partnerships</w:t>
      </w:r>
      <w:r w:rsidR="00DB2020" w:rsidRPr="00110F2D">
        <w:rPr>
          <w:rFonts w:asciiTheme="minorHAnsi" w:eastAsia="Times New Roman" w:hAnsiTheme="minorHAnsi" w:cstheme="minorHAnsi"/>
          <w:lang w:val="en-AU" w:eastAsia="en-GB"/>
        </w:rPr>
        <w:t>;</w:t>
      </w:r>
    </w:p>
    <w:p w14:paraId="605A2FD3" w14:textId="77777777" w:rsidR="00DB2020" w:rsidRPr="00110F2D" w:rsidRDefault="00DB2020" w:rsidP="006E4AB3">
      <w:pPr>
        <w:pStyle w:val="ListParagraph"/>
        <w:ind w:left="851"/>
        <w:rPr>
          <w:rFonts w:asciiTheme="minorHAnsi" w:hAnsiTheme="minorHAnsi" w:cstheme="minorHAnsi"/>
          <w:lang w:val="en-AU" w:eastAsia="ko-KR"/>
        </w:rPr>
      </w:pPr>
    </w:p>
    <w:p w14:paraId="7EE9ADE1" w14:textId="77777777" w:rsidR="00DB2020" w:rsidRPr="00110F2D" w:rsidRDefault="00DB2020" w:rsidP="006E4AB3">
      <w:pPr>
        <w:pStyle w:val="ListParagraph"/>
        <w:numPr>
          <w:ilvl w:val="0"/>
          <w:numId w:val="47"/>
        </w:numPr>
        <w:ind w:left="851" w:hanging="425"/>
        <w:rPr>
          <w:rFonts w:asciiTheme="minorHAnsi" w:hAnsiTheme="minorHAnsi" w:cstheme="minorHAnsi"/>
          <w:lang w:val="en-AU" w:eastAsia="ko-KR"/>
        </w:rPr>
      </w:pPr>
      <w:r w:rsidRPr="00110F2D">
        <w:rPr>
          <w:rFonts w:asciiTheme="minorHAnsi" w:hAnsiTheme="minorHAnsi" w:cstheme="minorHAnsi"/>
          <w:lang w:val="en-AU" w:eastAsia="ko-KR"/>
        </w:rPr>
        <w:t>enhancing communication among the stakeholders on wetland education through CEPA National Focal Points;</w:t>
      </w:r>
    </w:p>
    <w:p w14:paraId="65C09715" w14:textId="77777777" w:rsidR="00DB2020" w:rsidRPr="00110F2D" w:rsidRDefault="00DB2020" w:rsidP="006E4AB3">
      <w:pPr>
        <w:pStyle w:val="ListParagraph"/>
        <w:ind w:left="851"/>
        <w:rPr>
          <w:rFonts w:asciiTheme="minorHAnsi" w:hAnsiTheme="minorHAnsi" w:cstheme="minorHAnsi"/>
          <w:lang w:val="en-AU" w:eastAsia="ko-KR"/>
        </w:rPr>
      </w:pPr>
    </w:p>
    <w:p w14:paraId="2870F4B2" w14:textId="77777777" w:rsidR="00DB2020" w:rsidRPr="00110F2D" w:rsidRDefault="00DB2020" w:rsidP="006E4AB3">
      <w:pPr>
        <w:pStyle w:val="ListParagraph"/>
        <w:numPr>
          <w:ilvl w:val="0"/>
          <w:numId w:val="47"/>
        </w:numPr>
        <w:ind w:left="851" w:hanging="425"/>
        <w:rPr>
          <w:rFonts w:asciiTheme="minorHAnsi" w:hAnsiTheme="minorHAnsi" w:cstheme="minorHAnsi"/>
          <w:lang w:val="en-AU" w:eastAsia="ko-KR"/>
        </w:rPr>
      </w:pPr>
      <w:r w:rsidRPr="00110F2D">
        <w:rPr>
          <w:rFonts w:asciiTheme="minorHAnsi" w:hAnsiTheme="minorHAnsi" w:cstheme="minorHAnsi"/>
          <w:lang w:val="en-AU" w:eastAsia="ko-KR"/>
        </w:rPr>
        <w:t>encouraging participation of schools in the celebration of World Wetlands Day;</w:t>
      </w:r>
    </w:p>
    <w:p w14:paraId="10681201" w14:textId="77777777" w:rsidR="00DB2020" w:rsidRPr="00110F2D" w:rsidRDefault="00DB2020" w:rsidP="006E4AB3">
      <w:pPr>
        <w:ind w:left="450" w:hanging="450"/>
        <w:rPr>
          <w:rFonts w:asciiTheme="minorHAnsi" w:hAnsiTheme="minorHAnsi" w:cstheme="minorHAnsi"/>
          <w:lang w:val="en-AU"/>
        </w:rPr>
      </w:pPr>
    </w:p>
    <w:p w14:paraId="038772D4" w14:textId="544A6172" w:rsidR="00DB2020" w:rsidRPr="00441F06" w:rsidRDefault="00441F06" w:rsidP="006E4AB3">
      <w:pPr>
        <w:ind w:left="426" w:hanging="426"/>
        <w:rPr>
          <w:rFonts w:asciiTheme="minorHAnsi" w:hAnsiTheme="minorHAnsi" w:cstheme="minorHAnsi"/>
          <w:lang w:val="en-AU"/>
        </w:rPr>
      </w:pPr>
      <w:r>
        <w:rPr>
          <w:rFonts w:asciiTheme="minorHAnsi" w:hAnsiTheme="minorHAnsi" w:cstheme="minorHAnsi"/>
          <w:lang w:val="en-AU"/>
        </w:rPr>
        <w:t>18.</w:t>
      </w:r>
      <w:r>
        <w:rPr>
          <w:rFonts w:asciiTheme="minorHAnsi" w:hAnsiTheme="minorHAnsi" w:cstheme="minorHAnsi"/>
          <w:lang w:val="en-AU"/>
        </w:rPr>
        <w:tab/>
      </w:r>
      <w:r w:rsidR="00DB2020" w:rsidRPr="00441F06">
        <w:rPr>
          <w:rFonts w:asciiTheme="minorHAnsi" w:hAnsiTheme="minorHAnsi" w:cstheme="minorHAnsi"/>
          <w:lang w:val="en-AU"/>
        </w:rPr>
        <w:t>ALSO ENCOURAGES Contracting Parties to recognise the critical role of teachers in improving the effective inclusion of wetlands in school curricula and to support capacity building of educators in wetland science, including school teachers, instructors and eco-interpreters in wetland centres;</w:t>
      </w:r>
    </w:p>
    <w:p w14:paraId="7E4CE6E9" w14:textId="77777777" w:rsidR="00DB2020" w:rsidRPr="00110F2D" w:rsidRDefault="00DB2020" w:rsidP="006E4AB3">
      <w:pPr>
        <w:pStyle w:val="ListParagraph"/>
        <w:ind w:left="426" w:hanging="426"/>
        <w:rPr>
          <w:rFonts w:asciiTheme="minorHAnsi" w:hAnsiTheme="minorHAnsi" w:cstheme="minorHAnsi"/>
          <w:lang w:val="en-AU"/>
        </w:rPr>
      </w:pPr>
    </w:p>
    <w:p w14:paraId="674365D0" w14:textId="144350B3" w:rsidR="00DB2020" w:rsidRPr="00441F06" w:rsidRDefault="00441F06" w:rsidP="006E4AB3">
      <w:pPr>
        <w:ind w:left="426" w:hanging="426"/>
        <w:rPr>
          <w:rFonts w:asciiTheme="minorHAnsi" w:hAnsiTheme="minorHAnsi" w:cstheme="minorHAnsi"/>
          <w:lang w:val="en-AU"/>
        </w:rPr>
      </w:pPr>
      <w:r>
        <w:rPr>
          <w:rFonts w:asciiTheme="minorHAnsi" w:hAnsiTheme="minorHAnsi" w:cstheme="minorHAnsi"/>
          <w:lang w:val="en-AU"/>
        </w:rPr>
        <w:t>19.</w:t>
      </w:r>
      <w:r>
        <w:rPr>
          <w:rFonts w:asciiTheme="minorHAnsi" w:hAnsiTheme="minorHAnsi" w:cstheme="minorHAnsi"/>
          <w:lang w:val="en-AU"/>
        </w:rPr>
        <w:tab/>
      </w:r>
      <w:r w:rsidR="00DB2020" w:rsidRPr="00441F06">
        <w:rPr>
          <w:rFonts w:asciiTheme="minorHAnsi" w:hAnsiTheme="minorHAnsi" w:cstheme="minorHAnsi"/>
          <w:lang w:val="en-AU"/>
        </w:rPr>
        <w:t xml:space="preserve">CALLS UPON Contracting Parties to take into account other sectors in education, such as curriculum development authorities, universities and in-service trainers, and national and </w:t>
      </w:r>
      <w:r w:rsidR="00DB2020" w:rsidRPr="00441F06">
        <w:rPr>
          <w:rFonts w:asciiTheme="minorHAnsi" w:hAnsiTheme="minorHAnsi" w:cstheme="minorHAnsi"/>
          <w:lang w:val="en-AU"/>
        </w:rPr>
        <w:lastRenderedPageBreak/>
        <w:t>international teachers’ associations</w:t>
      </w:r>
      <w:r w:rsidR="0030672B" w:rsidRPr="00441F06">
        <w:rPr>
          <w:rFonts w:asciiTheme="minorHAnsi" w:hAnsiTheme="minorHAnsi" w:cstheme="minorHAnsi"/>
          <w:lang w:val="en-AU"/>
        </w:rPr>
        <w:t xml:space="preserve"> </w:t>
      </w:r>
      <w:r w:rsidR="0098366B" w:rsidRPr="00441F06">
        <w:rPr>
          <w:rFonts w:asciiTheme="minorHAnsi" w:hAnsiTheme="minorHAnsi" w:cstheme="minorHAnsi"/>
          <w:lang w:val="en-AU"/>
        </w:rPr>
        <w:t>where appropriate</w:t>
      </w:r>
      <w:r w:rsidR="00DB2020" w:rsidRPr="00441F06">
        <w:rPr>
          <w:rFonts w:asciiTheme="minorHAnsi" w:hAnsiTheme="minorHAnsi" w:cstheme="minorHAnsi"/>
          <w:lang w:val="en-AU"/>
        </w:rPr>
        <w:t xml:space="preserve">, that may assist in the introduction of wetland topics in formal curricula; </w:t>
      </w:r>
    </w:p>
    <w:p w14:paraId="1FA5CF6E" w14:textId="77777777" w:rsidR="00DB2020" w:rsidRPr="00110F2D" w:rsidRDefault="00DB2020" w:rsidP="006E4AB3">
      <w:pPr>
        <w:pStyle w:val="ListParagraph"/>
        <w:ind w:left="426" w:hanging="426"/>
        <w:rPr>
          <w:rFonts w:asciiTheme="minorHAnsi" w:hAnsiTheme="minorHAnsi" w:cstheme="minorHAnsi"/>
          <w:lang w:val="en-AU"/>
        </w:rPr>
      </w:pPr>
    </w:p>
    <w:p w14:paraId="371373E5" w14:textId="34C89FC9" w:rsidR="00DB2020" w:rsidRPr="00441F06" w:rsidRDefault="00441F06" w:rsidP="006E4AB3">
      <w:pPr>
        <w:ind w:left="426" w:hanging="426"/>
        <w:rPr>
          <w:rFonts w:asciiTheme="minorHAnsi" w:hAnsiTheme="minorHAnsi" w:cstheme="minorHAnsi"/>
          <w:lang w:val="en-AU"/>
        </w:rPr>
      </w:pPr>
      <w:r>
        <w:rPr>
          <w:rFonts w:asciiTheme="minorHAnsi" w:hAnsiTheme="minorHAnsi" w:cstheme="minorHAnsi"/>
          <w:lang w:val="en-AU"/>
        </w:rPr>
        <w:t>20.</w:t>
      </w:r>
      <w:r>
        <w:rPr>
          <w:rFonts w:asciiTheme="minorHAnsi" w:hAnsiTheme="minorHAnsi" w:cstheme="minorHAnsi"/>
          <w:lang w:val="en-AU"/>
        </w:rPr>
        <w:tab/>
      </w:r>
      <w:r w:rsidR="00DB2020" w:rsidRPr="00441F06">
        <w:rPr>
          <w:rFonts w:asciiTheme="minorHAnsi" w:hAnsiTheme="minorHAnsi" w:cstheme="minorHAnsi"/>
          <w:lang w:val="en-AU"/>
        </w:rPr>
        <w:t xml:space="preserve">ENCOURAGES Contracting Parties to seek opportunities to support </w:t>
      </w:r>
      <w:r w:rsidR="00D87829" w:rsidRPr="00441F06">
        <w:rPr>
          <w:rFonts w:asciiTheme="minorHAnsi" w:hAnsiTheme="minorHAnsi" w:cstheme="minorHAnsi"/>
          <w:lang w:val="en-AU"/>
        </w:rPr>
        <w:t>c</w:t>
      </w:r>
      <w:r w:rsidR="00DB2020" w:rsidRPr="00441F06">
        <w:rPr>
          <w:rFonts w:asciiTheme="minorHAnsi" w:hAnsiTheme="minorHAnsi" w:cstheme="minorHAnsi"/>
          <w:lang w:val="en-AU"/>
        </w:rPr>
        <w:t>itizen</w:t>
      </w:r>
      <w:r w:rsidR="00D87829" w:rsidRPr="00441F06">
        <w:rPr>
          <w:rFonts w:asciiTheme="minorHAnsi" w:hAnsiTheme="minorHAnsi" w:cstheme="minorHAnsi"/>
          <w:lang w:val="en-AU"/>
        </w:rPr>
        <w:t xml:space="preserve"> s</w:t>
      </w:r>
      <w:r w:rsidR="00DB2020" w:rsidRPr="00441F06">
        <w:rPr>
          <w:rFonts w:asciiTheme="minorHAnsi" w:hAnsiTheme="minorHAnsi" w:cstheme="minorHAnsi"/>
          <w:lang w:val="en-AU"/>
        </w:rPr>
        <w:t>cience</w:t>
      </w:r>
      <w:r w:rsidR="00D87829" w:rsidRPr="00441F06">
        <w:rPr>
          <w:rFonts w:asciiTheme="minorHAnsi" w:hAnsiTheme="minorHAnsi" w:cstheme="minorHAnsi"/>
          <w:lang w:val="en-AU"/>
        </w:rPr>
        <w:t xml:space="preserve"> </w:t>
      </w:r>
      <w:r w:rsidR="00DB2020" w:rsidRPr="00441F06">
        <w:rPr>
          <w:rFonts w:asciiTheme="minorHAnsi" w:hAnsiTheme="minorHAnsi" w:cstheme="minorHAnsi"/>
          <w:lang w:val="en-AU"/>
        </w:rPr>
        <w:t xml:space="preserve">initiatives that are focused on wetlands and delivered by wetland-focused organisations; </w:t>
      </w:r>
    </w:p>
    <w:p w14:paraId="0051F63B" w14:textId="77777777" w:rsidR="00DB2020" w:rsidRPr="00110F2D" w:rsidRDefault="00DB2020" w:rsidP="006E4AB3">
      <w:pPr>
        <w:pStyle w:val="ListParagraph"/>
        <w:ind w:left="426" w:hanging="426"/>
        <w:rPr>
          <w:rFonts w:asciiTheme="minorHAnsi" w:hAnsiTheme="minorHAnsi" w:cstheme="minorHAnsi"/>
          <w:lang w:val="en-AU"/>
        </w:rPr>
      </w:pPr>
    </w:p>
    <w:p w14:paraId="635FE756" w14:textId="1A4B1876" w:rsidR="00DB2020" w:rsidRPr="00441F06" w:rsidRDefault="00441F06" w:rsidP="006E4AB3">
      <w:pPr>
        <w:ind w:left="426" w:hanging="426"/>
        <w:rPr>
          <w:rFonts w:asciiTheme="minorHAnsi" w:hAnsiTheme="minorHAnsi" w:cstheme="minorHAnsi"/>
          <w:lang w:val="en-AU"/>
        </w:rPr>
      </w:pPr>
      <w:r>
        <w:rPr>
          <w:rFonts w:asciiTheme="minorHAnsi" w:hAnsiTheme="minorHAnsi" w:cstheme="minorHAnsi"/>
          <w:lang w:val="en-AU"/>
        </w:rPr>
        <w:t>21.</w:t>
      </w:r>
      <w:r>
        <w:rPr>
          <w:rFonts w:asciiTheme="minorHAnsi" w:hAnsiTheme="minorHAnsi" w:cstheme="minorHAnsi"/>
          <w:lang w:val="en-AU"/>
        </w:rPr>
        <w:tab/>
      </w:r>
      <w:r w:rsidR="00DB2020" w:rsidRPr="00441F06">
        <w:rPr>
          <w:rFonts w:asciiTheme="minorHAnsi" w:hAnsiTheme="minorHAnsi" w:cstheme="minorHAnsi"/>
          <w:lang w:val="en-AU"/>
        </w:rPr>
        <w:t>FURTHER ENCOURAGES Contracting Parties to utilise existing online education platforms offered by international and regional organisations such as UNDP Learning for Nature and UNEP Earth School and models of existing educational programmes with quality educational materials repackaged for schools and online access;</w:t>
      </w:r>
    </w:p>
    <w:p w14:paraId="713AA708" w14:textId="77777777" w:rsidR="00DB2020" w:rsidRPr="00110F2D" w:rsidRDefault="00DB2020" w:rsidP="006E4AB3">
      <w:pPr>
        <w:ind w:left="426" w:hanging="426"/>
        <w:rPr>
          <w:rFonts w:asciiTheme="minorHAnsi" w:hAnsiTheme="minorHAnsi" w:cstheme="minorHAnsi"/>
        </w:rPr>
      </w:pPr>
    </w:p>
    <w:p w14:paraId="7226CF7F" w14:textId="33AA0321" w:rsidR="00DB2020" w:rsidRPr="00441F06" w:rsidRDefault="00441F06" w:rsidP="006E4AB3">
      <w:pPr>
        <w:ind w:left="426" w:hanging="426"/>
        <w:rPr>
          <w:rFonts w:asciiTheme="minorHAnsi" w:hAnsiTheme="minorHAnsi" w:cstheme="minorHAnsi"/>
          <w:lang w:val="en-AU"/>
        </w:rPr>
      </w:pPr>
      <w:r>
        <w:rPr>
          <w:rFonts w:asciiTheme="minorHAnsi" w:hAnsiTheme="minorHAnsi" w:cstheme="minorHAnsi"/>
          <w:lang w:val="en-AU"/>
        </w:rPr>
        <w:t>22.</w:t>
      </w:r>
      <w:r>
        <w:rPr>
          <w:rFonts w:asciiTheme="minorHAnsi" w:hAnsiTheme="minorHAnsi" w:cstheme="minorHAnsi"/>
          <w:lang w:val="en-AU"/>
        </w:rPr>
        <w:tab/>
      </w:r>
      <w:r w:rsidR="00DB2020" w:rsidRPr="00441F06">
        <w:rPr>
          <w:rFonts w:asciiTheme="minorHAnsi" w:hAnsiTheme="minorHAnsi" w:cstheme="minorHAnsi"/>
          <w:lang w:val="en-AU"/>
        </w:rPr>
        <w:t>INVITES International Organisation Partners (IOPs) of the Ramsar Convention to review their programmes and identify aspects that can be repackaged and used in school education;</w:t>
      </w:r>
    </w:p>
    <w:p w14:paraId="55F32310" w14:textId="77777777" w:rsidR="00DB2020" w:rsidRPr="00110F2D" w:rsidRDefault="00DB2020" w:rsidP="006E4AB3">
      <w:pPr>
        <w:pStyle w:val="ListParagraph"/>
        <w:ind w:left="426" w:hanging="426"/>
        <w:rPr>
          <w:rFonts w:asciiTheme="minorHAnsi" w:hAnsiTheme="minorHAnsi" w:cstheme="minorHAnsi"/>
          <w:lang w:val="en-AU"/>
        </w:rPr>
      </w:pPr>
    </w:p>
    <w:p w14:paraId="6B94F440" w14:textId="4A0D4FBD" w:rsidR="00DB2020" w:rsidRPr="00441F06" w:rsidRDefault="00441F06" w:rsidP="006E4AB3">
      <w:pPr>
        <w:ind w:left="426" w:hanging="426"/>
        <w:rPr>
          <w:rFonts w:asciiTheme="minorHAnsi" w:hAnsiTheme="minorHAnsi" w:cstheme="minorHAnsi"/>
          <w:lang w:val="en-AU"/>
        </w:rPr>
      </w:pPr>
      <w:r>
        <w:rPr>
          <w:rFonts w:asciiTheme="minorHAnsi" w:hAnsiTheme="minorHAnsi" w:cstheme="minorHAnsi"/>
          <w:lang w:val="en-AU"/>
        </w:rPr>
        <w:t>23.</w:t>
      </w:r>
      <w:r>
        <w:rPr>
          <w:rFonts w:asciiTheme="minorHAnsi" w:hAnsiTheme="minorHAnsi" w:cstheme="minorHAnsi"/>
          <w:lang w:val="en-AU"/>
        </w:rPr>
        <w:tab/>
      </w:r>
      <w:r w:rsidR="00DB2020" w:rsidRPr="00441F06">
        <w:rPr>
          <w:rFonts w:asciiTheme="minorHAnsi" w:hAnsiTheme="minorHAnsi" w:cstheme="minorHAnsi"/>
          <w:lang w:val="en-AU"/>
        </w:rPr>
        <w:t>CALLS UPON Contracting Parties to share examples of good wetland education materials, programmes or curricula for the school education sector through the Ramsar website or through other media in cooperation with the Ramsar Regional Initiatives, especially the Ramsar Regional Centres</w:t>
      </w:r>
      <w:r w:rsidR="008B2D28" w:rsidRPr="00441F06">
        <w:rPr>
          <w:rFonts w:asciiTheme="minorHAnsi" w:hAnsiTheme="minorHAnsi" w:cstheme="minorHAnsi"/>
          <w:lang w:val="en-AU"/>
        </w:rPr>
        <w:t>, and with other relevant programmes and networks such as</w:t>
      </w:r>
      <w:r w:rsidR="005D03D1" w:rsidRPr="00441F06">
        <w:rPr>
          <w:rFonts w:asciiTheme="minorHAnsi" w:hAnsiTheme="minorHAnsi" w:cstheme="minorHAnsi"/>
          <w:lang w:val="en-AU"/>
        </w:rPr>
        <w:t xml:space="preserve"> WLI</w:t>
      </w:r>
      <w:r w:rsidR="008B2D28" w:rsidRPr="00441F06">
        <w:rPr>
          <w:rFonts w:asciiTheme="minorHAnsi" w:hAnsiTheme="minorHAnsi" w:cstheme="minorHAnsi"/>
          <w:lang w:val="en-AU"/>
        </w:rPr>
        <w:t>, the global network of wetland centres</w:t>
      </w:r>
      <w:r w:rsidR="00DB2020" w:rsidRPr="00441F06">
        <w:rPr>
          <w:rFonts w:asciiTheme="minorHAnsi" w:hAnsiTheme="minorHAnsi" w:cstheme="minorHAnsi"/>
          <w:lang w:val="en-AU"/>
        </w:rPr>
        <w:t>;</w:t>
      </w:r>
    </w:p>
    <w:p w14:paraId="4C6B3A7A" w14:textId="77777777" w:rsidR="00DB2020" w:rsidRPr="00110F2D" w:rsidRDefault="00DB2020" w:rsidP="006E4AB3">
      <w:pPr>
        <w:pStyle w:val="ListParagraph"/>
        <w:ind w:left="426" w:hanging="426"/>
        <w:rPr>
          <w:rFonts w:asciiTheme="minorHAnsi" w:hAnsiTheme="minorHAnsi" w:cstheme="minorHAnsi"/>
          <w:lang w:val="en-AU"/>
        </w:rPr>
      </w:pPr>
    </w:p>
    <w:p w14:paraId="48AF44A5" w14:textId="038C9AC6" w:rsidR="00DB2020" w:rsidRPr="00441F06" w:rsidRDefault="00441F06" w:rsidP="006E4AB3">
      <w:pPr>
        <w:ind w:left="426" w:hanging="426"/>
        <w:rPr>
          <w:rFonts w:asciiTheme="minorHAnsi" w:hAnsiTheme="minorHAnsi" w:cstheme="minorHAnsi"/>
          <w:lang w:val="en-AU"/>
        </w:rPr>
      </w:pPr>
      <w:r>
        <w:rPr>
          <w:rFonts w:asciiTheme="minorHAnsi" w:hAnsiTheme="minorHAnsi" w:cstheme="minorHAnsi"/>
          <w:lang w:val="en-AU"/>
        </w:rPr>
        <w:t>24.</w:t>
      </w:r>
      <w:r>
        <w:rPr>
          <w:rFonts w:asciiTheme="minorHAnsi" w:hAnsiTheme="minorHAnsi" w:cstheme="minorHAnsi"/>
          <w:lang w:val="en-AU"/>
        </w:rPr>
        <w:tab/>
      </w:r>
      <w:r w:rsidR="00DB2020" w:rsidRPr="00441F06">
        <w:rPr>
          <w:rFonts w:asciiTheme="minorHAnsi" w:hAnsiTheme="minorHAnsi" w:cstheme="minorHAnsi"/>
          <w:lang w:val="en-AU"/>
        </w:rPr>
        <w:t>URGES Contracting Parties to utilise the National Reports to provide specific information on wetland education in schools that are being supported in their countries;</w:t>
      </w:r>
    </w:p>
    <w:p w14:paraId="06E93E1E" w14:textId="77777777" w:rsidR="00DB2020" w:rsidRPr="00110F2D" w:rsidRDefault="00DB2020" w:rsidP="006E4AB3">
      <w:pPr>
        <w:pStyle w:val="ListParagraph"/>
        <w:ind w:left="426" w:hanging="426"/>
        <w:rPr>
          <w:rFonts w:asciiTheme="minorHAnsi" w:hAnsiTheme="minorHAnsi" w:cstheme="minorHAnsi"/>
          <w:lang w:val="en-AU"/>
        </w:rPr>
      </w:pPr>
    </w:p>
    <w:p w14:paraId="29A65124" w14:textId="05F63BE4" w:rsidR="0032390A" w:rsidRPr="00441F06" w:rsidRDefault="00441F06" w:rsidP="006E4AB3">
      <w:pPr>
        <w:ind w:left="426" w:hanging="426"/>
        <w:rPr>
          <w:rFonts w:asciiTheme="minorHAnsi" w:hAnsiTheme="minorHAnsi" w:cstheme="minorHAnsi"/>
          <w:lang w:val="en-AU"/>
        </w:rPr>
      </w:pPr>
      <w:r>
        <w:rPr>
          <w:rFonts w:asciiTheme="minorHAnsi" w:hAnsiTheme="minorHAnsi" w:cstheme="minorHAnsi"/>
          <w:lang w:val="en-AU" w:eastAsia="ko-KR"/>
        </w:rPr>
        <w:t>25.</w:t>
      </w:r>
      <w:r>
        <w:rPr>
          <w:rFonts w:asciiTheme="minorHAnsi" w:hAnsiTheme="minorHAnsi" w:cstheme="minorHAnsi"/>
          <w:lang w:val="en-AU" w:eastAsia="ko-KR"/>
        </w:rPr>
        <w:tab/>
      </w:r>
      <w:r w:rsidR="00DB2020" w:rsidRPr="00441F06">
        <w:rPr>
          <w:rFonts w:asciiTheme="minorHAnsi" w:hAnsiTheme="minorHAnsi" w:cstheme="minorHAnsi"/>
          <w:lang w:val="en-AU" w:eastAsia="ko-KR"/>
        </w:rPr>
        <w:t xml:space="preserve">INSTRUCTS the Secretariat to </w:t>
      </w:r>
      <w:r w:rsidR="005E7489" w:rsidRPr="00441F06">
        <w:rPr>
          <w:rFonts w:asciiTheme="minorHAnsi" w:hAnsiTheme="minorHAnsi" w:cstheme="minorHAnsi"/>
          <w:lang w:val="en-AU" w:eastAsia="ko-KR"/>
        </w:rPr>
        <w:t>include wetland education as an indicator in National Reports,</w:t>
      </w:r>
      <w:r w:rsidR="00656B3A" w:rsidRPr="00441F06">
        <w:rPr>
          <w:rFonts w:asciiTheme="minorHAnsi" w:hAnsiTheme="minorHAnsi" w:cstheme="minorHAnsi"/>
          <w:lang w:val="en-AU" w:eastAsia="ko-KR"/>
        </w:rPr>
        <w:t xml:space="preserve"> </w:t>
      </w:r>
      <w:r w:rsidR="00DB2020" w:rsidRPr="00441F06">
        <w:rPr>
          <w:rFonts w:asciiTheme="minorHAnsi" w:hAnsiTheme="minorHAnsi" w:cstheme="minorHAnsi"/>
          <w:lang w:val="en-AU" w:eastAsia="ko-KR"/>
        </w:rPr>
        <w:t>analyse the progress of development and implementation of wetland education programmes based on National Reports</w:t>
      </w:r>
      <w:r w:rsidR="002064AD" w:rsidRPr="00441F06">
        <w:rPr>
          <w:rFonts w:asciiTheme="minorHAnsi" w:hAnsiTheme="minorHAnsi" w:cstheme="minorHAnsi"/>
          <w:lang w:val="en-AU" w:eastAsia="ko-KR"/>
        </w:rPr>
        <w:t xml:space="preserve"> in cooperation with the CEPA Oversight Panel</w:t>
      </w:r>
      <w:r w:rsidR="00DB2020" w:rsidRPr="00441F06">
        <w:rPr>
          <w:rFonts w:asciiTheme="minorHAnsi" w:hAnsiTheme="minorHAnsi" w:cstheme="minorHAnsi"/>
          <w:lang w:val="en-AU" w:eastAsia="ko-KR"/>
        </w:rPr>
        <w:t>, and report the progress to the Contracting Parties</w:t>
      </w:r>
      <w:r w:rsidR="00EC4AD8" w:rsidRPr="00441F06">
        <w:rPr>
          <w:rFonts w:asciiTheme="minorHAnsi" w:hAnsiTheme="minorHAnsi" w:cstheme="minorHAnsi"/>
          <w:lang w:val="en-AU" w:eastAsia="ko-KR"/>
        </w:rPr>
        <w:t xml:space="preserve"> through the COPs </w:t>
      </w:r>
      <w:r w:rsidR="00DB2020" w:rsidRPr="00441F06">
        <w:rPr>
          <w:rFonts w:asciiTheme="minorHAnsi" w:hAnsiTheme="minorHAnsi" w:cstheme="minorHAnsi"/>
          <w:lang w:val="en-AU" w:eastAsia="ko-KR"/>
        </w:rPr>
        <w:t>towards the goal of mainstreaming wetland education in formal education; and</w:t>
      </w:r>
    </w:p>
    <w:p w14:paraId="6C838F38" w14:textId="77777777" w:rsidR="0032390A" w:rsidRPr="00110F2D" w:rsidRDefault="0032390A" w:rsidP="006E4AB3">
      <w:pPr>
        <w:pStyle w:val="ListParagraph"/>
        <w:ind w:left="426" w:hanging="426"/>
        <w:rPr>
          <w:rFonts w:asciiTheme="minorHAnsi" w:hAnsiTheme="minorHAnsi" w:cstheme="minorHAnsi"/>
          <w:lang w:val="en-AU"/>
        </w:rPr>
      </w:pPr>
    </w:p>
    <w:p w14:paraId="773D5A0A" w14:textId="733FDFEC" w:rsidR="0032390A" w:rsidRPr="00110F2D" w:rsidRDefault="00441F06" w:rsidP="006E4AB3">
      <w:pPr>
        <w:ind w:left="426" w:hanging="426"/>
        <w:rPr>
          <w:rFonts w:asciiTheme="minorHAnsi" w:hAnsiTheme="minorHAnsi" w:cstheme="minorHAnsi"/>
          <w:lang w:val="en-AU"/>
        </w:rPr>
      </w:pPr>
      <w:r>
        <w:rPr>
          <w:rFonts w:asciiTheme="minorHAnsi" w:hAnsiTheme="minorHAnsi" w:cstheme="minorHAnsi"/>
          <w:lang w:val="en-AU"/>
        </w:rPr>
        <w:t>26.</w:t>
      </w:r>
      <w:r>
        <w:rPr>
          <w:rFonts w:asciiTheme="minorHAnsi" w:hAnsiTheme="minorHAnsi" w:cstheme="minorHAnsi"/>
          <w:lang w:val="en-AU"/>
        </w:rPr>
        <w:tab/>
      </w:r>
      <w:r w:rsidR="00DB2020" w:rsidRPr="00441F06">
        <w:rPr>
          <w:rFonts w:asciiTheme="minorHAnsi" w:hAnsiTheme="minorHAnsi" w:cstheme="minorHAnsi"/>
          <w:lang w:val="en-AU"/>
        </w:rPr>
        <w:t>REQUESTS the Secretary General to coordinate with UNESCO and work to synergise Ramsar Convention’s goal of mainstreaming wetland education in formal education with UNESCO’s ESD for 2030 Roadmap.</w:t>
      </w:r>
    </w:p>
    <w:sectPr w:rsidR="0032390A" w:rsidRPr="00110F2D" w:rsidSect="002137E0">
      <w:footerReference w:type="default" r:id="rId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CE2A1" w14:textId="77777777" w:rsidR="00006510" w:rsidRDefault="00006510" w:rsidP="00DF2386">
      <w:r>
        <w:separator/>
      </w:r>
    </w:p>
  </w:endnote>
  <w:endnote w:type="continuationSeparator" w:id="0">
    <w:p w14:paraId="37712136" w14:textId="77777777" w:rsidR="00006510" w:rsidRDefault="00006510"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AC5E3" w14:textId="2122ABB8" w:rsidR="006E4AB3" w:rsidRDefault="00017C5E" w:rsidP="006E4AB3">
    <w:pPr>
      <w:pStyle w:val="Header"/>
      <w:rPr>
        <w:noProof/>
      </w:rPr>
    </w:pPr>
    <w:sdt>
      <w:sdtPr>
        <w:id w:val="750933699"/>
        <w:docPartObj>
          <w:docPartGallery w:val="Page Numbers (Top of Page)"/>
          <w:docPartUnique/>
        </w:docPartObj>
      </w:sdtPr>
      <w:sdtEndPr>
        <w:rPr>
          <w:noProof/>
        </w:rPr>
      </w:sdtEndPr>
      <w:sdtContent>
        <w:r w:rsidR="006E4AB3">
          <w:rPr>
            <w:sz w:val="20"/>
            <w:szCs w:val="20"/>
          </w:rPr>
          <w:t>SC59 Doc.24.6</w:t>
        </w:r>
        <w:r w:rsidR="006E4AB3">
          <w:rPr>
            <w:sz w:val="20"/>
            <w:szCs w:val="20"/>
          </w:rPr>
          <w:tab/>
        </w:r>
        <w:r w:rsidR="006E4AB3">
          <w:rPr>
            <w:sz w:val="20"/>
            <w:szCs w:val="20"/>
          </w:rPr>
          <w:tab/>
        </w:r>
        <w:r w:rsidR="006E4AB3" w:rsidRPr="006E4AB3">
          <w:rPr>
            <w:sz w:val="20"/>
            <w:szCs w:val="20"/>
          </w:rPr>
          <w:fldChar w:fldCharType="begin"/>
        </w:r>
        <w:r w:rsidR="006E4AB3" w:rsidRPr="006E4AB3">
          <w:rPr>
            <w:sz w:val="20"/>
            <w:szCs w:val="20"/>
          </w:rPr>
          <w:instrText xml:space="preserve"> PAGE   \* MERGEFORMAT </w:instrText>
        </w:r>
        <w:r w:rsidR="006E4AB3" w:rsidRPr="006E4AB3">
          <w:rPr>
            <w:sz w:val="20"/>
            <w:szCs w:val="20"/>
          </w:rPr>
          <w:fldChar w:fldCharType="separate"/>
        </w:r>
        <w:r>
          <w:rPr>
            <w:noProof/>
            <w:sz w:val="20"/>
            <w:szCs w:val="20"/>
          </w:rPr>
          <w:t>5</w:t>
        </w:r>
        <w:r w:rsidR="006E4AB3" w:rsidRPr="006E4AB3">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AA960" w14:textId="77777777" w:rsidR="00006510" w:rsidRDefault="00006510" w:rsidP="00DF2386">
      <w:r>
        <w:separator/>
      </w:r>
    </w:p>
  </w:footnote>
  <w:footnote w:type="continuationSeparator" w:id="0">
    <w:p w14:paraId="368E8B73" w14:textId="77777777" w:rsidR="00006510" w:rsidRDefault="00006510" w:rsidP="00DF2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7A58F3"/>
    <w:multiLevelType w:val="hybridMultilevel"/>
    <w:tmpl w:val="479C8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15528F"/>
    <w:multiLevelType w:val="hybridMultilevel"/>
    <w:tmpl w:val="69624B2C"/>
    <w:lvl w:ilvl="0" w:tplc="0ADABD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54A0C"/>
    <w:multiLevelType w:val="hybridMultilevel"/>
    <w:tmpl w:val="2A6CE79E"/>
    <w:lvl w:ilvl="0" w:tplc="0809000F">
      <w:start w:val="1"/>
      <w:numFmt w:val="decimal"/>
      <w:lvlText w:val="%1."/>
      <w:lvlJc w:val="left"/>
      <w:pPr>
        <w:ind w:left="643"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A44276"/>
    <w:multiLevelType w:val="hybridMultilevel"/>
    <w:tmpl w:val="CF3CBADC"/>
    <w:lvl w:ilvl="0" w:tplc="EA6A7DBE">
      <w:start w:val="1"/>
      <w:numFmt w:val="none"/>
      <w:lvlText w:val="i)"/>
      <w:lvlJc w:val="right"/>
      <w:pPr>
        <w:ind w:left="774" w:hanging="491"/>
      </w:pPr>
      <w:rPr>
        <w:rFonts w:asciiTheme="minorHAnsi" w:hAnsiTheme="minorHAnsi" w:hint="default"/>
        <w:sz w:val="22"/>
      </w:rPr>
    </w:lvl>
    <w:lvl w:ilvl="1" w:tplc="4AAAE410">
      <w:start w:val="1"/>
      <w:numFmt w:val="lowerLetter"/>
      <w:lvlText w:val="%2."/>
      <w:lvlJc w:val="left"/>
      <w:pPr>
        <w:ind w:left="1440" w:hanging="360"/>
      </w:pPr>
      <w:rPr>
        <w:rFonts w:hint="default"/>
      </w:rPr>
    </w:lvl>
    <w:lvl w:ilvl="2" w:tplc="E6CE33F8" w:tentative="1">
      <w:start w:val="1"/>
      <w:numFmt w:val="lowerRoman"/>
      <w:lvlText w:val="%3."/>
      <w:lvlJc w:val="right"/>
      <w:pPr>
        <w:ind w:left="2160" w:hanging="180"/>
      </w:pPr>
      <w:rPr>
        <w:rFonts w:hint="default"/>
      </w:rPr>
    </w:lvl>
    <w:lvl w:ilvl="3" w:tplc="3FB6985C" w:tentative="1">
      <w:start w:val="1"/>
      <w:numFmt w:val="decimal"/>
      <w:lvlText w:val="%4."/>
      <w:lvlJc w:val="left"/>
      <w:pPr>
        <w:ind w:left="2880" w:hanging="360"/>
      </w:pPr>
      <w:rPr>
        <w:rFonts w:hint="default"/>
      </w:rPr>
    </w:lvl>
    <w:lvl w:ilvl="4" w:tplc="74EE4BA8" w:tentative="1">
      <w:start w:val="1"/>
      <w:numFmt w:val="lowerLetter"/>
      <w:lvlText w:val="%5."/>
      <w:lvlJc w:val="left"/>
      <w:pPr>
        <w:ind w:left="3600" w:hanging="360"/>
      </w:pPr>
      <w:rPr>
        <w:rFonts w:hint="default"/>
      </w:rPr>
    </w:lvl>
    <w:lvl w:ilvl="5" w:tplc="C3E8518C" w:tentative="1">
      <w:start w:val="1"/>
      <w:numFmt w:val="lowerRoman"/>
      <w:lvlText w:val="%6."/>
      <w:lvlJc w:val="right"/>
      <w:pPr>
        <w:ind w:left="4320" w:hanging="180"/>
      </w:pPr>
      <w:rPr>
        <w:rFonts w:hint="default"/>
      </w:rPr>
    </w:lvl>
    <w:lvl w:ilvl="6" w:tplc="D7A456C2" w:tentative="1">
      <w:start w:val="1"/>
      <w:numFmt w:val="decimal"/>
      <w:lvlText w:val="%7."/>
      <w:lvlJc w:val="left"/>
      <w:pPr>
        <w:ind w:left="5040" w:hanging="360"/>
      </w:pPr>
      <w:rPr>
        <w:rFonts w:hint="default"/>
      </w:rPr>
    </w:lvl>
    <w:lvl w:ilvl="7" w:tplc="E83E2CE8" w:tentative="1">
      <w:start w:val="1"/>
      <w:numFmt w:val="lowerLetter"/>
      <w:lvlText w:val="%8."/>
      <w:lvlJc w:val="left"/>
      <w:pPr>
        <w:ind w:left="5760" w:hanging="360"/>
      </w:pPr>
      <w:rPr>
        <w:rFonts w:hint="default"/>
      </w:rPr>
    </w:lvl>
    <w:lvl w:ilvl="8" w:tplc="2B48AC7E" w:tentative="1">
      <w:start w:val="1"/>
      <w:numFmt w:val="lowerRoman"/>
      <w:lvlText w:val="%9."/>
      <w:lvlJc w:val="right"/>
      <w:pPr>
        <w:ind w:left="6480" w:hanging="180"/>
      </w:pPr>
      <w:rPr>
        <w:rFonts w:hint="default"/>
      </w:rPr>
    </w:lvl>
  </w:abstractNum>
  <w:abstractNum w:abstractNumId="8"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9"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1A8C1BBB"/>
    <w:multiLevelType w:val="hybridMultilevel"/>
    <w:tmpl w:val="3F88C478"/>
    <w:lvl w:ilvl="0" w:tplc="0DAE333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673B81"/>
    <w:multiLevelType w:val="multilevel"/>
    <w:tmpl w:val="C2B08704"/>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6"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7"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8AE48D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BFB7491"/>
    <w:multiLevelType w:val="hybridMultilevel"/>
    <w:tmpl w:val="7278DC7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1C6E34"/>
    <w:multiLevelType w:val="multilevel"/>
    <w:tmpl w:val="2A6CE79E"/>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BF5F3A"/>
    <w:multiLevelType w:val="hybridMultilevel"/>
    <w:tmpl w:val="0B68E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624FCA"/>
    <w:multiLevelType w:val="hybridMultilevel"/>
    <w:tmpl w:val="3A4CDCFC"/>
    <w:lvl w:ilvl="0" w:tplc="0809000F">
      <w:start w:val="1"/>
      <w:numFmt w:val="decimal"/>
      <w:lvlText w:val="%1."/>
      <w:lvlJc w:val="left"/>
      <w:pPr>
        <w:ind w:left="643"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3"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5" w15:restartNumberingAfterBreak="0">
    <w:nsid w:val="5CD04EAD"/>
    <w:multiLevelType w:val="hybridMultilevel"/>
    <w:tmpl w:val="EC225ED8"/>
    <w:lvl w:ilvl="0" w:tplc="CF3CBADC">
      <w:start w:val="1"/>
      <w:numFmt w:val="none"/>
      <w:lvlText w:val="i)"/>
      <w:lvlJc w:val="right"/>
      <w:pPr>
        <w:ind w:left="774" w:hanging="491"/>
      </w:pPr>
      <w:rPr>
        <w:rFonts w:asciiTheme="minorHAnsi" w:hAnsiTheme="minorHAnsi"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2C609B"/>
    <w:multiLevelType w:val="hybridMultilevel"/>
    <w:tmpl w:val="B2CCD958"/>
    <w:lvl w:ilvl="0" w:tplc="0409001B">
      <w:start w:val="1"/>
      <w:numFmt w:val="lowerRoman"/>
      <w:lvlText w:val="%1."/>
      <w:lvlJc w:val="righ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659A0170"/>
    <w:multiLevelType w:val="hybridMultilevel"/>
    <w:tmpl w:val="98660BA4"/>
    <w:lvl w:ilvl="0" w:tplc="34090001">
      <w:start w:val="1"/>
      <w:numFmt w:val="bullet"/>
      <w:lvlText w:val=""/>
      <w:lvlJc w:val="left"/>
      <w:pPr>
        <w:ind w:left="1505" w:hanging="360"/>
      </w:pPr>
      <w:rPr>
        <w:rFonts w:ascii="Symbol" w:hAnsi="Symbol" w:hint="default"/>
      </w:rPr>
    </w:lvl>
    <w:lvl w:ilvl="1" w:tplc="34090003" w:tentative="1">
      <w:start w:val="1"/>
      <w:numFmt w:val="bullet"/>
      <w:lvlText w:val="o"/>
      <w:lvlJc w:val="left"/>
      <w:pPr>
        <w:ind w:left="2225" w:hanging="360"/>
      </w:pPr>
      <w:rPr>
        <w:rFonts w:ascii="Courier New" w:hAnsi="Courier New" w:cs="Courier New" w:hint="default"/>
      </w:rPr>
    </w:lvl>
    <w:lvl w:ilvl="2" w:tplc="34090005" w:tentative="1">
      <w:start w:val="1"/>
      <w:numFmt w:val="bullet"/>
      <w:lvlText w:val=""/>
      <w:lvlJc w:val="left"/>
      <w:pPr>
        <w:ind w:left="2945" w:hanging="360"/>
      </w:pPr>
      <w:rPr>
        <w:rFonts w:ascii="Wingdings" w:hAnsi="Wingdings" w:hint="default"/>
      </w:rPr>
    </w:lvl>
    <w:lvl w:ilvl="3" w:tplc="34090001" w:tentative="1">
      <w:start w:val="1"/>
      <w:numFmt w:val="bullet"/>
      <w:lvlText w:val=""/>
      <w:lvlJc w:val="left"/>
      <w:pPr>
        <w:ind w:left="3665" w:hanging="360"/>
      </w:pPr>
      <w:rPr>
        <w:rFonts w:ascii="Symbol" w:hAnsi="Symbol" w:hint="default"/>
      </w:rPr>
    </w:lvl>
    <w:lvl w:ilvl="4" w:tplc="34090003" w:tentative="1">
      <w:start w:val="1"/>
      <w:numFmt w:val="bullet"/>
      <w:lvlText w:val="o"/>
      <w:lvlJc w:val="left"/>
      <w:pPr>
        <w:ind w:left="4385" w:hanging="360"/>
      </w:pPr>
      <w:rPr>
        <w:rFonts w:ascii="Courier New" w:hAnsi="Courier New" w:cs="Courier New" w:hint="default"/>
      </w:rPr>
    </w:lvl>
    <w:lvl w:ilvl="5" w:tplc="34090005" w:tentative="1">
      <w:start w:val="1"/>
      <w:numFmt w:val="bullet"/>
      <w:lvlText w:val=""/>
      <w:lvlJc w:val="left"/>
      <w:pPr>
        <w:ind w:left="5105" w:hanging="360"/>
      </w:pPr>
      <w:rPr>
        <w:rFonts w:ascii="Wingdings" w:hAnsi="Wingdings" w:hint="default"/>
      </w:rPr>
    </w:lvl>
    <w:lvl w:ilvl="6" w:tplc="34090001" w:tentative="1">
      <w:start w:val="1"/>
      <w:numFmt w:val="bullet"/>
      <w:lvlText w:val=""/>
      <w:lvlJc w:val="left"/>
      <w:pPr>
        <w:ind w:left="5825" w:hanging="360"/>
      </w:pPr>
      <w:rPr>
        <w:rFonts w:ascii="Symbol" w:hAnsi="Symbol" w:hint="default"/>
      </w:rPr>
    </w:lvl>
    <w:lvl w:ilvl="7" w:tplc="34090003" w:tentative="1">
      <w:start w:val="1"/>
      <w:numFmt w:val="bullet"/>
      <w:lvlText w:val="o"/>
      <w:lvlJc w:val="left"/>
      <w:pPr>
        <w:ind w:left="6545" w:hanging="360"/>
      </w:pPr>
      <w:rPr>
        <w:rFonts w:ascii="Courier New" w:hAnsi="Courier New" w:cs="Courier New" w:hint="default"/>
      </w:rPr>
    </w:lvl>
    <w:lvl w:ilvl="8" w:tplc="34090005" w:tentative="1">
      <w:start w:val="1"/>
      <w:numFmt w:val="bullet"/>
      <w:lvlText w:val=""/>
      <w:lvlJc w:val="left"/>
      <w:pPr>
        <w:ind w:left="7265" w:hanging="360"/>
      </w:pPr>
      <w:rPr>
        <w:rFonts w:ascii="Wingdings" w:hAnsi="Wingdings" w:hint="default"/>
      </w:rPr>
    </w:lvl>
  </w:abstractNum>
  <w:abstractNum w:abstractNumId="39"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41"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06383B"/>
    <w:multiLevelType w:val="hybridMultilevel"/>
    <w:tmpl w:val="66789D54"/>
    <w:lvl w:ilvl="0" w:tplc="3409000F">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4" w15:restartNumberingAfterBreak="0">
    <w:nsid w:val="7FAC4E4B"/>
    <w:multiLevelType w:val="hybridMultilevel"/>
    <w:tmpl w:val="C55857F8"/>
    <w:lvl w:ilvl="0" w:tplc="ED124F88">
      <w:start w:val="1"/>
      <w:numFmt w:val="lowerRoman"/>
      <w:lvlText w:val="%1."/>
      <w:lvlJc w:val="right"/>
      <w:pPr>
        <w:ind w:left="774" w:hanging="49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9"/>
  </w:num>
  <w:num w:numId="7">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8"/>
  </w:num>
  <w:num w:numId="13">
    <w:abstractNumId w:val="25"/>
  </w:num>
  <w:num w:numId="14">
    <w:abstractNumId w:val="17"/>
  </w:num>
  <w:num w:numId="15">
    <w:abstractNumId w:val="2"/>
  </w:num>
  <w:num w:numId="16">
    <w:abstractNumId w:val="21"/>
  </w:num>
  <w:num w:numId="17">
    <w:abstractNumId w:val="29"/>
  </w:num>
  <w:num w:numId="18">
    <w:abstractNumId w:val="43"/>
  </w:num>
  <w:num w:numId="19">
    <w:abstractNumId w:val="41"/>
  </w:num>
  <w:num w:numId="20">
    <w:abstractNumId w:val="32"/>
  </w:num>
  <w:num w:numId="21">
    <w:abstractNumId w:val="34"/>
  </w:num>
  <w:num w:numId="22">
    <w:abstractNumId w:val="23"/>
  </w:num>
  <w:num w:numId="23">
    <w:abstractNumId w:val="31"/>
  </w:num>
  <w:num w:numId="24">
    <w:abstractNumId w:val="28"/>
  </w:num>
  <w:num w:numId="25">
    <w:abstractNumId w:val="40"/>
  </w:num>
  <w:num w:numId="26">
    <w:abstractNumId w:val="14"/>
  </w:num>
  <w:num w:numId="27">
    <w:abstractNumId w:val="0"/>
  </w:num>
  <w:num w:numId="28">
    <w:abstractNumId w:val="16"/>
  </w:num>
  <w:num w:numId="29">
    <w:abstractNumId w:val="4"/>
  </w:num>
  <w:num w:numId="30">
    <w:abstractNumId w:val="10"/>
  </w:num>
  <w:num w:numId="31">
    <w:abstractNumId w:val="19"/>
  </w:num>
  <w:num w:numId="32">
    <w:abstractNumId w:val="36"/>
  </w:num>
  <w:num w:numId="33">
    <w:abstractNumId w:val="22"/>
  </w:num>
  <w:num w:numId="34">
    <w:abstractNumId w:val="3"/>
  </w:num>
  <w:num w:numId="35">
    <w:abstractNumId w:val="5"/>
  </w:num>
  <w:num w:numId="36">
    <w:abstractNumId w:val="27"/>
  </w:num>
  <w:num w:numId="37">
    <w:abstractNumId w:val="30"/>
  </w:num>
  <w:num w:numId="38">
    <w:abstractNumId w:val="6"/>
  </w:num>
  <w:num w:numId="39">
    <w:abstractNumId w:val="26"/>
  </w:num>
  <w:num w:numId="40">
    <w:abstractNumId w:val="44"/>
  </w:num>
  <w:num w:numId="41">
    <w:abstractNumId w:val="18"/>
  </w:num>
  <w:num w:numId="42">
    <w:abstractNumId w:val="7"/>
  </w:num>
  <w:num w:numId="43">
    <w:abstractNumId w:val="12"/>
  </w:num>
  <w:num w:numId="44">
    <w:abstractNumId w:val="35"/>
  </w:num>
  <w:num w:numId="45">
    <w:abstractNumId w:val="38"/>
  </w:num>
  <w:num w:numId="46">
    <w:abstractNumId w:val="42"/>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Formatting/>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46F0"/>
    <w:rsid w:val="00006510"/>
    <w:rsid w:val="00010EC6"/>
    <w:rsid w:val="00014168"/>
    <w:rsid w:val="00017A16"/>
    <w:rsid w:val="00017C5E"/>
    <w:rsid w:val="000219A4"/>
    <w:rsid w:val="00026E09"/>
    <w:rsid w:val="00037CE0"/>
    <w:rsid w:val="00053929"/>
    <w:rsid w:val="00066E05"/>
    <w:rsid w:val="00074A85"/>
    <w:rsid w:val="00074DE8"/>
    <w:rsid w:val="000834D3"/>
    <w:rsid w:val="00085492"/>
    <w:rsid w:val="00087347"/>
    <w:rsid w:val="00094D4A"/>
    <w:rsid w:val="00095EB9"/>
    <w:rsid w:val="000977BC"/>
    <w:rsid w:val="000A3E3E"/>
    <w:rsid w:val="000A7C72"/>
    <w:rsid w:val="000B47B5"/>
    <w:rsid w:val="000B5DAA"/>
    <w:rsid w:val="000C2489"/>
    <w:rsid w:val="000C2C3B"/>
    <w:rsid w:val="000C66D4"/>
    <w:rsid w:val="000D5C76"/>
    <w:rsid w:val="000E2FA0"/>
    <w:rsid w:val="000E47E9"/>
    <w:rsid w:val="000F3F21"/>
    <w:rsid w:val="000F5108"/>
    <w:rsid w:val="000F76E1"/>
    <w:rsid w:val="00100B61"/>
    <w:rsid w:val="001072C1"/>
    <w:rsid w:val="00110F2D"/>
    <w:rsid w:val="00115781"/>
    <w:rsid w:val="0012096C"/>
    <w:rsid w:val="00127828"/>
    <w:rsid w:val="001327E4"/>
    <w:rsid w:val="00137224"/>
    <w:rsid w:val="0014280B"/>
    <w:rsid w:val="00143687"/>
    <w:rsid w:val="00160D9C"/>
    <w:rsid w:val="00161BDA"/>
    <w:rsid w:val="00171618"/>
    <w:rsid w:val="001819B1"/>
    <w:rsid w:val="001942B2"/>
    <w:rsid w:val="001A2D10"/>
    <w:rsid w:val="001B357E"/>
    <w:rsid w:val="001C52C5"/>
    <w:rsid w:val="001C5E41"/>
    <w:rsid w:val="001C77BC"/>
    <w:rsid w:val="001C79EF"/>
    <w:rsid w:val="001D48BB"/>
    <w:rsid w:val="001E00E3"/>
    <w:rsid w:val="001E46C9"/>
    <w:rsid w:val="001F2349"/>
    <w:rsid w:val="001F2988"/>
    <w:rsid w:val="001F6249"/>
    <w:rsid w:val="002005D2"/>
    <w:rsid w:val="0020298B"/>
    <w:rsid w:val="00206111"/>
    <w:rsid w:val="002064AD"/>
    <w:rsid w:val="002131A4"/>
    <w:rsid w:val="002137E0"/>
    <w:rsid w:val="00225C6E"/>
    <w:rsid w:val="002275FA"/>
    <w:rsid w:val="00232D7F"/>
    <w:rsid w:val="00241828"/>
    <w:rsid w:val="00260F4C"/>
    <w:rsid w:val="002741AC"/>
    <w:rsid w:val="00275F13"/>
    <w:rsid w:val="002819C0"/>
    <w:rsid w:val="002829A1"/>
    <w:rsid w:val="0028419A"/>
    <w:rsid w:val="0029196F"/>
    <w:rsid w:val="0029412F"/>
    <w:rsid w:val="00295556"/>
    <w:rsid w:val="00295BB5"/>
    <w:rsid w:val="00295FBA"/>
    <w:rsid w:val="002A5A4D"/>
    <w:rsid w:val="002A7953"/>
    <w:rsid w:val="002B40C2"/>
    <w:rsid w:val="002B4262"/>
    <w:rsid w:val="002C4AA3"/>
    <w:rsid w:val="002D27A2"/>
    <w:rsid w:val="002D2E4D"/>
    <w:rsid w:val="002D5A4D"/>
    <w:rsid w:val="002E22AF"/>
    <w:rsid w:val="002E79B7"/>
    <w:rsid w:val="002F25E5"/>
    <w:rsid w:val="002F5B48"/>
    <w:rsid w:val="002F6155"/>
    <w:rsid w:val="002F7464"/>
    <w:rsid w:val="0030672B"/>
    <w:rsid w:val="00321F39"/>
    <w:rsid w:val="0032390A"/>
    <w:rsid w:val="00324398"/>
    <w:rsid w:val="00325A5A"/>
    <w:rsid w:val="00326E60"/>
    <w:rsid w:val="00334C07"/>
    <w:rsid w:val="00336391"/>
    <w:rsid w:val="00341D30"/>
    <w:rsid w:val="00384FC3"/>
    <w:rsid w:val="003870FC"/>
    <w:rsid w:val="00391292"/>
    <w:rsid w:val="003952AA"/>
    <w:rsid w:val="0039671C"/>
    <w:rsid w:val="00397753"/>
    <w:rsid w:val="003A0FBE"/>
    <w:rsid w:val="003A330A"/>
    <w:rsid w:val="003A3804"/>
    <w:rsid w:val="003A52BE"/>
    <w:rsid w:val="003A5866"/>
    <w:rsid w:val="003A6E9F"/>
    <w:rsid w:val="003B02CA"/>
    <w:rsid w:val="003B2254"/>
    <w:rsid w:val="003B619B"/>
    <w:rsid w:val="003B6D56"/>
    <w:rsid w:val="003B79C5"/>
    <w:rsid w:val="003C2D9F"/>
    <w:rsid w:val="003D4CD6"/>
    <w:rsid w:val="003E05D4"/>
    <w:rsid w:val="003E35FA"/>
    <w:rsid w:val="003E7B64"/>
    <w:rsid w:val="003F0678"/>
    <w:rsid w:val="003F2A5E"/>
    <w:rsid w:val="003F3CB1"/>
    <w:rsid w:val="00407ACE"/>
    <w:rsid w:val="00410D21"/>
    <w:rsid w:val="0041385E"/>
    <w:rsid w:val="00420205"/>
    <w:rsid w:val="004228C7"/>
    <w:rsid w:val="0042798B"/>
    <w:rsid w:val="00432CD7"/>
    <w:rsid w:val="00434913"/>
    <w:rsid w:val="00441F06"/>
    <w:rsid w:val="004474F8"/>
    <w:rsid w:val="00461085"/>
    <w:rsid w:val="00471AF8"/>
    <w:rsid w:val="004753CF"/>
    <w:rsid w:val="00475B14"/>
    <w:rsid w:val="00477550"/>
    <w:rsid w:val="00480DC6"/>
    <w:rsid w:val="004844A8"/>
    <w:rsid w:val="00496803"/>
    <w:rsid w:val="004B0C97"/>
    <w:rsid w:val="004B300D"/>
    <w:rsid w:val="004B5DBD"/>
    <w:rsid w:val="004B6688"/>
    <w:rsid w:val="004C043E"/>
    <w:rsid w:val="004C228F"/>
    <w:rsid w:val="004D37C3"/>
    <w:rsid w:val="004D3DD0"/>
    <w:rsid w:val="004E0DA4"/>
    <w:rsid w:val="004E2DCD"/>
    <w:rsid w:val="004E5A57"/>
    <w:rsid w:val="004E6C21"/>
    <w:rsid w:val="004E7217"/>
    <w:rsid w:val="004F2A84"/>
    <w:rsid w:val="00501442"/>
    <w:rsid w:val="005014CD"/>
    <w:rsid w:val="00505E69"/>
    <w:rsid w:val="0050687A"/>
    <w:rsid w:val="005173B2"/>
    <w:rsid w:val="00517F4A"/>
    <w:rsid w:val="005221AF"/>
    <w:rsid w:val="005244A4"/>
    <w:rsid w:val="00527783"/>
    <w:rsid w:val="00533CD5"/>
    <w:rsid w:val="00533D52"/>
    <w:rsid w:val="00534144"/>
    <w:rsid w:val="005421D4"/>
    <w:rsid w:val="0054341B"/>
    <w:rsid w:val="00545887"/>
    <w:rsid w:val="00545BA3"/>
    <w:rsid w:val="005556FF"/>
    <w:rsid w:val="005729B5"/>
    <w:rsid w:val="00574960"/>
    <w:rsid w:val="005814B5"/>
    <w:rsid w:val="005858F5"/>
    <w:rsid w:val="00596B13"/>
    <w:rsid w:val="005B1117"/>
    <w:rsid w:val="005C2E0E"/>
    <w:rsid w:val="005D0276"/>
    <w:rsid w:val="005D03D1"/>
    <w:rsid w:val="005D3E9D"/>
    <w:rsid w:val="005D43DE"/>
    <w:rsid w:val="005D753D"/>
    <w:rsid w:val="005E32CE"/>
    <w:rsid w:val="005E3C91"/>
    <w:rsid w:val="005E7489"/>
    <w:rsid w:val="005F740A"/>
    <w:rsid w:val="005F75AF"/>
    <w:rsid w:val="00617C40"/>
    <w:rsid w:val="006243DF"/>
    <w:rsid w:val="006256D3"/>
    <w:rsid w:val="00626E02"/>
    <w:rsid w:val="00627BB7"/>
    <w:rsid w:val="00630CD8"/>
    <w:rsid w:val="006429D1"/>
    <w:rsid w:val="00644A13"/>
    <w:rsid w:val="0065136E"/>
    <w:rsid w:val="00652AC5"/>
    <w:rsid w:val="00656B3A"/>
    <w:rsid w:val="0066171A"/>
    <w:rsid w:val="006620AF"/>
    <w:rsid w:val="00670D71"/>
    <w:rsid w:val="00671D4D"/>
    <w:rsid w:val="00676010"/>
    <w:rsid w:val="00687C9B"/>
    <w:rsid w:val="006959B5"/>
    <w:rsid w:val="006D5F1C"/>
    <w:rsid w:val="006E4AB3"/>
    <w:rsid w:val="006E7DCE"/>
    <w:rsid w:val="006F0085"/>
    <w:rsid w:val="006F233B"/>
    <w:rsid w:val="006F6364"/>
    <w:rsid w:val="00701169"/>
    <w:rsid w:val="00704E3E"/>
    <w:rsid w:val="007050FF"/>
    <w:rsid w:val="00737A15"/>
    <w:rsid w:val="00752764"/>
    <w:rsid w:val="00752CEB"/>
    <w:rsid w:val="007555FD"/>
    <w:rsid w:val="00757369"/>
    <w:rsid w:val="00766962"/>
    <w:rsid w:val="00771875"/>
    <w:rsid w:val="00775287"/>
    <w:rsid w:val="00780A3C"/>
    <w:rsid w:val="007846D8"/>
    <w:rsid w:val="007855D7"/>
    <w:rsid w:val="00785C32"/>
    <w:rsid w:val="00797806"/>
    <w:rsid w:val="007A39EE"/>
    <w:rsid w:val="007B0D31"/>
    <w:rsid w:val="007B5E8D"/>
    <w:rsid w:val="007C1611"/>
    <w:rsid w:val="007D2B31"/>
    <w:rsid w:val="007D33F4"/>
    <w:rsid w:val="007D3CA3"/>
    <w:rsid w:val="007D6C78"/>
    <w:rsid w:val="007D7B15"/>
    <w:rsid w:val="007E4FB3"/>
    <w:rsid w:val="007F1974"/>
    <w:rsid w:val="007F3ABE"/>
    <w:rsid w:val="007F62C6"/>
    <w:rsid w:val="00801C8C"/>
    <w:rsid w:val="008240B9"/>
    <w:rsid w:val="008269EB"/>
    <w:rsid w:val="00831817"/>
    <w:rsid w:val="008320A9"/>
    <w:rsid w:val="0083271B"/>
    <w:rsid w:val="008328E9"/>
    <w:rsid w:val="00835BCB"/>
    <w:rsid w:val="00835CDC"/>
    <w:rsid w:val="00846CA6"/>
    <w:rsid w:val="00850B09"/>
    <w:rsid w:val="0085216A"/>
    <w:rsid w:val="00855F57"/>
    <w:rsid w:val="00863B9D"/>
    <w:rsid w:val="00863BE6"/>
    <w:rsid w:val="00866550"/>
    <w:rsid w:val="00871BA3"/>
    <w:rsid w:val="00872AE1"/>
    <w:rsid w:val="008775BC"/>
    <w:rsid w:val="0088122A"/>
    <w:rsid w:val="0088298F"/>
    <w:rsid w:val="00882F1B"/>
    <w:rsid w:val="00884DE3"/>
    <w:rsid w:val="008853E0"/>
    <w:rsid w:val="008877CA"/>
    <w:rsid w:val="00890D42"/>
    <w:rsid w:val="008A70CE"/>
    <w:rsid w:val="008A776C"/>
    <w:rsid w:val="008B0AF8"/>
    <w:rsid w:val="008B2D28"/>
    <w:rsid w:val="008B585C"/>
    <w:rsid w:val="008C25E4"/>
    <w:rsid w:val="008C2DAE"/>
    <w:rsid w:val="008C7D60"/>
    <w:rsid w:val="008E2F62"/>
    <w:rsid w:val="008E7076"/>
    <w:rsid w:val="008F3324"/>
    <w:rsid w:val="009059A9"/>
    <w:rsid w:val="00907030"/>
    <w:rsid w:val="00910546"/>
    <w:rsid w:val="00910C5B"/>
    <w:rsid w:val="00913F95"/>
    <w:rsid w:val="0092515E"/>
    <w:rsid w:val="00931865"/>
    <w:rsid w:val="009357F2"/>
    <w:rsid w:val="00937F43"/>
    <w:rsid w:val="009422E2"/>
    <w:rsid w:val="00942FBD"/>
    <w:rsid w:val="0094770B"/>
    <w:rsid w:val="009534CE"/>
    <w:rsid w:val="009534E8"/>
    <w:rsid w:val="00963878"/>
    <w:rsid w:val="00964F2E"/>
    <w:rsid w:val="00970E35"/>
    <w:rsid w:val="00973518"/>
    <w:rsid w:val="00977B83"/>
    <w:rsid w:val="0098366B"/>
    <w:rsid w:val="00990514"/>
    <w:rsid w:val="00991617"/>
    <w:rsid w:val="00997108"/>
    <w:rsid w:val="009A25A8"/>
    <w:rsid w:val="009B2267"/>
    <w:rsid w:val="009C5C07"/>
    <w:rsid w:val="009C5D74"/>
    <w:rsid w:val="009D3FCE"/>
    <w:rsid w:val="009E0AE8"/>
    <w:rsid w:val="009E5374"/>
    <w:rsid w:val="009E6257"/>
    <w:rsid w:val="009F2D4B"/>
    <w:rsid w:val="009F345D"/>
    <w:rsid w:val="00A02675"/>
    <w:rsid w:val="00A10D43"/>
    <w:rsid w:val="00A12D4F"/>
    <w:rsid w:val="00A13218"/>
    <w:rsid w:val="00A13606"/>
    <w:rsid w:val="00A14632"/>
    <w:rsid w:val="00A161D4"/>
    <w:rsid w:val="00A16B36"/>
    <w:rsid w:val="00A16BA0"/>
    <w:rsid w:val="00A227A3"/>
    <w:rsid w:val="00A24441"/>
    <w:rsid w:val="00A43FAF"/>
    <w:rsid w:val="00A60B73"/>
    <w:rsid w:val="00A63CF4"/>
    <w:rsid w:val="00A67A6D"/>
    <w:rsid w:val="00A70AEC"/>
    <w:rsid w:val="00A76A03"/>
    <w:rsid w:val="00A80080"/>
    <w:rsid w:val="00AA6B32"/>
    <w:rsid w:val="00AB0A60"/>
    <w:rsid w:val="00AB4951"/>
    <w:rsid w:val="00AB53C4"/>
    <w:rsid w:val="00AD61FF"/>
    <w:rsid w:val="00AE0329"/>
    <w:rsid w:val="00B11BF4"/>
    <w:rsid w:val="00B1281C"/>
    <w:rsid w:val="00B12B43"/>
    <w:rsid w:val="00B15215"/>
    <w:rsid w:val="00B15BB9"/>
    <w:rsid w:val="00B21B45"/>
    <w:rsid w:val="00B25B10"/>
    <w:rsid w:val="00B266DA"/>
    <w:rsid w:val="00B315A0"/>
    <w:rsid w:val="00B316EB"/>
    <w:rsid w:val="00B3301A"/>
    <w:rsid w:val="00B34A18"/>
    <w:rsid w:val="00B42800"/>
    <w:rsid w:val="00B468CE"/>
    <w:rsid w:val="00B52D18"/>
    <w:rsid w:val="00B542A7"/>
    <w:rsid w:val="00B569AA"/>
    <w:rsid w:val="00B579CB"/>
    <w:rsid w:val="00B626CD"/>
    <w:rsid w:val="00B65434"/>
    <w:rsid w:val="00B6743B"/>
    <w:rsid w:val="00B675B5"/>
    <w:rsid w:val="00B70083"/>
    <w:rsid w:val="00B83EF9"/>
    <w:rsid w:val="00B863A5"/>
    <w:rsid w:val="00B8773F"/>
    <w:rsid w:val="00B9392E"/>
    <w:rsid w:val="00BA0534"/>
    <w:rsid w:val="00BB28F6"/>
    <w:rsid w:val="00BB3A58"/>
    <w:rsid w:val="00BB683E"/>
    <w:rsid w:val="00BC2609"/>
    <w:rsid w:val="00BC6BA7"/>
    <w:rsid w:val="00BD1BB1"/>
    <w:rsid w:val="00BE1727"/>
    <w:rsid w:val="00BE5E9D"/>
    <w:rsid w:val="00BF1CF7"/>
    <w:rsid w:val="00BF2C17"/>
    <w:rsid w:val="00BF3C25"/>
    <w:rsid w:val="00C00883"/>
    <w:rsid w:val="00C0528F"/>
    <w:rsid w:val="00C07D75"/>
    <w:rsid w:val="00C13145"/>
    <w:rsid w:val="00C15D60"/>
    <w:rsid w:val="00C249BE"/>
    <w:rsid w:val="00C33CC2"/>
    <w:rsid w:val="00C41160"/>
    <w:rsid w:val="00C45F6D"/>
    <w:rsid w:val="00C4699C"/>
    <w:rsid w:val="00C521CB"/>
    <w:rsid w:val="00C577DA"/>
    <w:rsid w:val="00C6277F"/>
    <w:rsid w:val="00C66499"/>
    <w:rsid w:val="00C73786"/>
    <w:rsid w:val="00C73A2F"/>
    <w:rsid w:val="00C7776B"/>
    <w:rsid w:val="00C77B82"/>
    <w:rsid w:val="00C85023"/>
    <w:rsid w:val="00C87BEE"/>
    <w:rsid w:val="00C93CD6"/>
    <w:rsid w:val="00C94923"/>
    <w:rsid w:val="00C94E07"/>
    <w:rsid w:val="00C9538A"/>
    <w:rsid w:val="00C95830"/>
    <w:rsid w:val="00CB6E56"/>
    <w:rsid w:val="00CD07F7"/>
    <w:rsid w:val="00CE750F"/>
    <w:rsid w:val="00CF17D7"/>
    <w:rsid w:val="00CF3CDC"/>
    <w:rsid w:val="00D02ABF"/>
    <w:rsid w:val="00D118C0"/>
    <w:rsid w:val="00D160CB"/>
    <w:rsid w:val="00D21055"/>
    <w:rsid w:val="00D21993"/>
    <w:rsid w:val="00D245A1"/>
    <w:rsid w:val="00D25D53"/>
    <w:rsid w:val="00D3265C"/>
    <w:rsid w:val="00D407F3"/>
    <w:rsid w:val="00D412CE"/>
    <w:rsid w:val="00D415E2"/>
    <w:rsid w:val="00D42055"/>
    <w:rsid w:val="00D442EA"/>
    <w:rsid w:val="00D44FAA"/>
    <w:rsid w:val="00D5271D"/>
    <w:rsid w:val="00D52D51"/>
    <w:rsid w:val="00D56966"/>
    <w:rsid w:val="00D647C3"/>
    <w:rsid w:val="00D6577A"/>
    <w:rsid w:val="00D80D00"/>
    <w:rsid w:val="00D844D3"/>
    <w:rsid w:val="00D87829"/>
    <w:rsid w:val="00D9633A"/>
    <w:rsid w:val="00DA43F0"/>
    <w:rsid w:val="00DB2020"/>
    <w:rsid w:val="00DB3BF0"/>
    <w:rsid w:val="00DB7963"/>
    <w:rsid w:val="00DD0FF0"/>
    <w:rsid w:val="00DD5651"/>
    <w:rsid w:val="00DD6128"/>
    <w:rsid w:val="00DE5383"/>
    <w:rsid w:val="00DF2386"/>
    <w:rsid w:val="00DF7FE7"/>
    <w:rsid w:val="00E01053"/>
    <w:rsid w:val="00E14626"/>
    <w:rsid w:val="00E14D9C"/>
    <w:rsid w:val="00E203B2"/>
    <w:rsid w:val="00E25DFA"/>
    <w:rsid w:val="00E27717"/>
    <w:rsid w:val="00E30FD7"/>
    <w:rsid w:val="00E46367"/>
    <w:rsid w:val="00E508E6"/>
    <w:rsid w:val="00E51BA9"/>
    <w:rsid w:val="00E6394C"/>
    <w:rsid w:val="00E63F0B"/>
    <w:rsid w:val="00E72539"/>
    <w:rsid w:val="00E77F2D"/>
    <w:rsid w:val="00E9076E"/>
    <w:rsid w:val="00E9200D"/>
    <w:rsid w:val="00EA3A7F"/>
    <w:rsid w:val="00EA6BD2"/>
    <w:rsid w:val="00EB3479"/>
    <w:rsid w:val="00EB44AD"/>
    <w:rsid w:val="00EB6477"/>
    <w:rsid w:val="00EB77E1"/>
    <w:rsid w:val="00EC20A1"/>
    <w:rsid w:val="00EC39C2"/>
    <w:rsid w:val="00EC4AD8"/>
    <w:rsid w:val="00EC7D03"/>
    <w:rsid w:val="00EE5590"/>
    <w:rsid w:val="00EF08BB"/>
    <w:rsid w:val="00EF5341"/>
    <w:rsid w:val="00F078F1"/>
    <w:rsid w:val="00F123E0"/>
    <w:rsid w:val="00F1492E"/>
    <w:rsid w:val="00F32D03"/>
    <w:rsid w:val="00F33A3D"/>
    <w:rsid w:val="00F344DE"/>
    <w:rsid w:val="00F3524E"/>
    <w:rsid w:val="00F43473"/>
    <w:rsid w:val="00F501A9"/>
    <w:rsid w:val="00F511F1"/>
    <w:rsid w:val="00F55DEC"/>
    <w:rsid w:val="00F57516"/>
    <w:rsid w:val="00F642DE"/>
    <w:rsid w:val="00F73E71"/>
    <w:rsid w:val="00F75AE3"/>
    <w:rsid w:val="00F9085F"/>
    <w:rsid w:val="00F97A0A"/>
    <w:rsid w:val="00FA0203"/>
    <w:rsid w:val="00FB0532"/>
    <w:rsid w:val="00FB3242"/>
    <w:rsid w:val="00FB52AD"/>
    <w:rsid w:val="00FE6D5F"/>
    <w:rsid w:val="00FF01EA"/>
    <w:rsid w:val="00FF14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DCE0D98"/>
  <w15:docId w15:val="{D8149972-07E2-4F31-9665-3190775F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apple-converted-space">
    <w:name w:val="apple-converted-space"/>
    <w:basedOn w:val="DefaultParagraphFont"/>
    <w:rsid w:val="00341D30"/>
  </w:style>
  <w:style w:type="paragraph" w:customStyle="1" w:styleId="ColourfulListAccent11">
    <w:name w:val="Colourful List – Accent 11"/>
    <w:basedOn w:val="Normal"/>
    <w:uiPriority w:val="34"/>
    <w:qFormat/>
    <w:rsid w:val="00461085"/>
    <w:pPr>
      <w:ind w:left="720" w:firstLine="0"/>
      <w:contextualSpacing/>
      <w:jc w:val="both"/>
    </w:pPr>
    <w:rPr>
      <w:rFonts w:ascii="Tahoma" w:hAnsi="Tahoma"/>
    </w:rPr>
  </w:style>
  <w:style w:type="character" w:customStyle="1" w:styleId="UnresolvedMention1">
    <w:name w:val="Unresolved Mention1"/>
    <w:basedOn w:val="DefaultParagraphFont"/>
    <w:uiPriority w:val="99"/>
    <w:semiHidden/>
    <w:unhideWhenUsed/>
    <w:rsid w:val="00574960"/>
    <w:rPr>
      <w:color w:val="605E5C"/>
      <w:shd w:val="clear" w:color="auto" w:fill="E1DFDD"/>
    </w:rPr>
  </w:style>
  <w:style w:type="character" w:styleId="FollowedHyperlink">
    <w:name w:val="FollowedHyperlink"/>
    <w:basedOn w:val="DefaultParagraphFont"/>
    <w:uiPriority w:val="99"/>
    <w:semiHidden/>
    <w:unhideWhenUsed/>
    <w:rsid w:val="009357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548955789">
      <w:bodyDiv w:val="1"/>
      <w:marLeft w:val="0"/>
      <w:marRight w:val="0"/>
      <w:marTop w:val="0"/>
      <w:marBottom w:val="0"/>
      <w:divBdr>
        <w:top w:val="none" w:sz="0" w:space="0" w:color="auto"/>
        <w:left w:val="none" w:sz="0" w:space="0" w:color="auto"/>
        <w:bottom w:val="none" w:sz="0" w:space="0" w:color="auto"/>
        <w:right w:val="none" w:sz="0" w:space="0" w:color="auto"/>
      </w:divBdr>
    </w:div>
    <w:div w:id="1686519856">
      <w:bodyDiv w:val="1"/>
      <w:marLeft w:val="0"/>
      <w:marRight w:val="0"/>
      <w:marTop w:val="0"/>
      <w:marBottom w:val="0"/>
      <w:divBdr>
        <w:top w:val="none" w:sz="0" w:space="0" w:color="auto"/>
        <w:left w:val="none" w:sz="0" w:space="0" w:color="auto"/>
        <w:bottom w:val="none" w:sz="0" w:space="0" w:color="auto"/>
        <w:right w:val="none" w:sz="0" w:space="0" w:color="auto"/>
      </w:divBdr>
    </w:div>
    <w:div w:id="1903327920">
      <w:bodyDiv w:val="1"/>
      <w:marLeft w:val="0"/>
      <w:marRight w:val="0"/>
      <w:marTop w:val="0"/>
      <w:marBottom w:val="0"/>
      <w:divBdr>
        <w:top w:val="none" w:sz="0" w:space="0" w:color="auto"/>
        <w:left w:val="none" w:sz="0" w:space="0" w:color="auto"/>
        <w:bottom w:val="none" w:sz="0" w:space="0" w:color="auto"/>
        <w:right w:val="none" w:sz="0" w:space="0" w:color="auto"/>
      </w:divBdr>
      <w:divsChild>
        <w:div w:id="1131442635">
          <w:marLeft w:val="0"/>
          <w:marRight w:val="0"/>
          <w:marTop w:val="0"/>
          <w:marBottom w:val="0"/>
          <w:divBdr>
            <w:top w:val="none" w:sz="0" w:space="0" w:color="auto"/>
            <w:left w:val="none" w:sz="0" w:space="0" w:color="auto"/>
            <w:bottom w:val="none" w:sz="0" w:space="0" w:color="auto"/>
            <w:right w:val="none" w:sz="0" w:space="0" w:color="auto"/>
          </w:divBdr>
        </w:div>
        <w:div w:id="665403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0132B-0336-4D68-96F2-DF267AFEC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1607</Words>
  <Characters>9160</Characters>
  <Application>Microsoft Office Word</Application>
  <DocSecurity>0</DocSecurity>
  <Lines>76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Ramsar Secretariat</Company>
  <LinksUpToDate>false</LinksUpToDate>
  <CharactersWithSpaces>10746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JB;Norman Emmanuel C. Ramirez</dc:creator>
  <cp:keywords/>
  <dc:description/>
  <cp:lastModifiedBy>Ed Jennings</cp:lastModifiedBy>
  <cp:revision>2</cp:revision>
  <cp:lastPrinted>2016-10-06T13:08:00Z</cp:lastPrinted>
  <dcterms:created xsi:type="dcterms:W3CDTF">2021-06-17T08:11:00Z</dcterms:created>
  <dcterms:modified xsi:type="dcterms:W3CDTF">2021-06-17T08:11:00Z</dcterms:modified>
  <cp:category/>
</cp:coreProperties>
</file>