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20DD6" w14:textId="77777777" w:rsidR="008966C7" w:rsidRPr="008966C7" w:rsidRDefault="008966C7" w:rsidP="008966C7">
      <w:pPr>
        <w:suppressLineNumbers/>
        <w:pBdr>
          <w:top w:val="single" w:sz="12" w:space="0" w:color="auto" w:shadow="1"/>
          <w:left w:val="single" w:sz="12" w:space="4" w:color="auto" w:shadow="1"/>
          <w:bottom w:val="single" w:sz="12" w:space="1" w:color="auto" w:shadow="1"/>
          <w:right w:val="single" w:sz="12" w:space="16" w:color="auto" w:shadow="1"/>
        </w:pBdr>
        <w:tabs>
          <w:tab w:val="left" w:pos="4563"/>
        </w:tabs>
        <w:suppressAutoHyphens/>
        <w:spacing w:after="0" w:line="240" w:lineRule="auto"/>
        <w:ind w:right="2325"/>
        <w:rPr>
          <w:bCs/>
          <w:sz w:val="24"/>
          <w:szCs w:val="24"/>
          <w:lang w:val="en-GB"/>
        </w:rPr>
      </w:pPr>
      <w:r w:rsidRPr="008966C7">
        <w:rPr>
          <w:bCs/>
          <w:sz w:val="24"/>
          <w:szCs w:val="24"/>
          <w:lang w:val="en-GB"/>
        </w:rPr>
        <w:t xml:space="preserve">THE CONVENTION ON WETLANDS </w:t>
      </w:r>
    </w:p>
    <w:p w14:paraId="308987E3" w14:textId="77777777" w:rsidR="008966C7" w:rsidRPr="008966C7" w:rsidRDefault="008966C7" w:rsidP="008966C7">
      <w:pPr>
        <w:suppressLineNumbers/>
        <w:pBdr>
          <w:top w:val="single" w:sz="12" w:space="0" w:color="auto" w:shadow="1"/>
          <w:left w:val="single" w:sz="12" w:space="4" w:color="auto" w:shadow="1"/>
          <w:bottom w:val="single" w:sz="12" w:space="1" w:color="auto" w:shadow="1"/>
          <w:right w:val="single" w:sz="12" w:space="16" w:color="auto" w:shadow="1"/>
        </w:pBdr>
        <w:tabs>
          <w:tab w:val="left" w:pos="4563"/>
        </w:tabs>
        <w:suppressAutoHyphens/>
        <w:spacing w:after="0" w:line="240" w:lineRule="auto"/>
        <w:ind w:right="2325"/>
        <w:rPr>
          <w:bCs/>
          <w:sz w:val="24"/>
          <w:szCs w:val="24"/>
          <w:lang w:val="en-GB"/>
        </w:rPr>
      </w:pPr>
      <w:r w:rsidRPr="008966C7">
        <w:rPr>
          <w:bCs/>
          <w:sz w:val="24"/>
          <w:szCs w:val="24"/>
          <w:lang w:val="en-GB"/>
        </w:rPr>
        <w:t>59th meeting of the Standing Committee</w:t>
      </w:r>
      <w:r w:rsidRPr="008966C7">
        <w:rPr>
          <w:bCs/>
          <w:sz w:val="24"/>
          <w:szCs w:val="24"/>
          <w:lang w:val="en-GB"/>
        </w:rPr>
        <w:tab/>
      </w:r>
    </w:p>
    <w:p w14:paraId="272ECB56" w14:textId="77777777" w:rsidR="008966C7" w:rsidRPr="00077A5F" w:rsidRDefault="008966C7" w:rsidP="008966C7">
      <w:pPr>
        <w:suppressLineNumbers/>
        <w:pBdr>
          <w:top w:val="single" w:sz="12" w:space="0" w:color="auto" w:shadow="1"/>
          <w:left w:val="single" w:sz="12" w:space="4" w:color="auto" w:shadow="1"/>
          <w:bottom w:val="single" w:sz="12" w:space="1" w:color="auto" w:shadow="1"/>
          <w:right w:val="single" w:sz="12" w:space="16" w:color="auto" w:shadow="1"/>
        </w:pBdr>
        <w:tabs>
          <w:tab w:val="left" w:pos="4563"/>
        </w:tabs>
        <w:suppressAutoHyphens/>
        <w:spacing w:after="0" w:line="240" w:lineRule="auto"/>
        <w:ind w:right="2325"/>
        <w:rPr>
          <w:bCs/>
          <w:sz w:val="24"/>
          <w:szCs w:val="24"/>
          <w:lang w:val="en-GB"/>
        </w:rPr>
      </w:pPr>
      <w:r w:rsidRPr="00077A5F">
        <w:rPr>
          <w:bCs/>
          <w:sz w:val="24"/>
          <w:szCs w:val="24"/>
          <w:lang w:val="en-GB"/>
        </w:rPr>
        <w:t>Gland, Switzerland, 21-25 June 2021</w:t>
      </w:r>
    </w:p>
    <w:p w14:paraId="6BD79BEB" w14:textId="77777777" w:rsidR="002F0256" w:rsidRPr="00077A5F" w:rsidRDefault="002F0256" w:rsidP="002F0256">
      <w:pPr>
        <w:spacing w:after="0" w:line="240" w:lineRule="auto"/>
        <w:jc w:val="center"/>
        <w:rPr>
          <w:b/>
          <w:lang w:val="en-GB"/>
        </w:rPr>
      </w:pPr>
    </w:p>
    <w:p w14:paraId="612C462A" w14:textId="7FC7351D" w:rsidR="00077A5F" w:rsidRDefault="00077A5F" w:rsidP="00077A5F">
      <w:pPr>
        <w:suppressLineNumbers/>
        <w:suppressAutoHyphens/>
        <w:spacing w:after="0" w:line="240" w:lineRule="auto"/>
        <w:jc w:val="right"/>
        <w:rPr>
          <w:b/>
          <w:kern w:val="32"/>
          <w:sz w:val="28"/>
          <w:szCs w:val="28"/>
          <w:lang w:val="en-GB" w:eastAsia="zh-CN"/>
        </w:rPr>
      </w:pPr>
      <w:r>
        <w:rPr>
          <w:b/>
          <w:kern w:val="32"/>
          <w:sz w:val="28"/>
          <w:szCs w:val="28"/>
          <w:lang w:val="en-GB" w:eastAsia="zh-CN"/>
        </w:rPr>
        <w:t>SC59 Doc. 24.3</w:t>
      </w:r>
    </w:p>
    <w:p w14:paraId="407966AA" w14:textId="77777777" w:rsidR="00077A5F" w:rsidRDefault="00077A5F" w:rsidP="002F0256">
      <w:pPr>
        <w:suppressLineNumbers/>
        <w:suppressAutoHyphens/>
        <w:spacing w:after="0" w:line="240" w:lineRule="auto"/>
        <w:jc w:val="center"/>
        <w:rPr>
          <w:b/>
          <w:kern w:val="32"/>
          <w:sz w:val="28"/>
          <w:szCs w:val="28"/>
          <w:lang w:val="en-GB" w:eastAsia="zh-CN"/>
        </w:rPr>
      </w:pPr>
    </w:p>
    <w:p w14:paraId="693CE297" w14:textId="6B97FAB2" w:rsidR="0067586A" w:rsidRPr="00F028B4" w:rsidRDefault="008966C7" w:rsidP="002F0256">
      <w:pPr>
        <w:suppressLineNumbers/>
        <w:suppressAutoHyphens/>
        <w:spacing w:after="0" w:line="240" w:lineRule="auto"/>
        <w:jc w:val="center"/>
        <w:rPr>
          <w:rFonts w:cs="Times New Roman"/>
          <w:b/>
          <w:sz w:val="28"/>
          <w:lang w:val="en-GB"/>
        </w:rPr>
      </w:pPr>
      <w:r w:rsidRPr="00F028B4">
        <w:rPr>
          <w:b/>
          <w:kern w:val="32"/>
          <w:sz w:val="28"/>
          <w:szCs w:val="28"/>
          <w:lang w:val="en-GB" w:eastAsia="zh-CN"/>
        </w:rPr>
        <w:t>Draft Resolution on</w:t>
      </w:r>
      <w:r w:rsidR="00F028B4" w:rsidRPr="00F028B4">
        <w:rPr>
          <w:rFonts w:cs="Times New Roman"/>
          <w:b/>
          <w:sz w:val="28"/>
          <w:lang w:val="en-GB"/>
        </w:rPr>
        <w:t xml:space="preserve"> </w:t>
      </w:r>
      <w:r w:rsidR="00F028B4">
        <w:rPr>
          <w:rFonts w:cs="Times New Roman"/>
          <w:b/>
          <w:sz w:val="28"/>
          <w:lang w:val="en-GB"/>
        </w:rPr>
        <w:t>development of</w:t>
      </w:r>
      <w:r w:rsidR="00F028B4" w:rsidRPr="00F028B4">
        <w:rPr>
          <w:rFonts w:cs="Times New Roman"/>
          <w:b/>
          <w:sz w:val="28"/>
          <w:lang w:val="en-GB"/>
        </w:rPr>
        <w:t xml:space="preserve"> legal indicators to measure the effectiveness of the Ramsar Convention</w:t>
      </w:r>
    </w:p>
    <w:p w14:paraId="4AB6AE6D" w14:textId="4A028770" w:rsidR="00C5627A" w:rsidRPr="00F028B4" w:rsidRDefault="00C5627A" w:rsidP="002F0256">
      <w:pPr>
        <w:spacing w:after="0" w:line="240" w:lineRule="auto"/>
        <w:rPr>
          <w:lang w:val="en-GB"/>
        </w:rPr>
      </w:pPr>
    </w:p>
    <w:p w14:paraId="1060C5A5" w14:textId="177A2847" w:rsidR="002F0256" w:rsidRDefault="008966C7" w:rsidP="002F0256">
      <w:pPr>
        <w:autoSpaceDE w:val="0"/>
        <w:autoSpaceDN w:val="0"/>
        <w:adjustRightInd w:val="0"/>
        <w:spacing w:after="0" w:line="240" w:lineRule="auto"/>
        <w:jc w:val="both"/>
        <w:rPr>
          <w:i/>
        </w:rPr>
      </w:pPr>
      <w:r w:rsidRPr="00077A5F">
        <w:rPr>
          <w:i/>
          <w:lang w:val="en-GB"/>
        </w:rPr>
        <w:t xml:space="preserve">Submitted </w:t>
      </w:r>
      <w:r>
        <w:rPr>
          <w:i/>
        </w:rPr>
        <w:t>by</w:t>
      </w:r>
      <w:r w:rsidR="002F0256" w:rsidRPr="002F0256">
        <w:rPr>
          <w:i/>
        </w:rPr>
        <w:t xml:space="preserve"> Burkina Faso</w:t>
      </w:r>
    </w:p>
    <w:p w14:paraId="4467F6DF" w14:textId="4F7165DB" w:rsidR="0030086A" w:rsidRDefault="0030086A" w:rsidP="002F0256">
      <w:pPr>
        <w:autoSpaceDE w:val="0"/>
        <w:autoSpaceDN w:val="0"/>
        <w:adjustRightInd w:val="0"/>
        <w:spacing w:after="0" w:line="240" w:lineRule="auto"/>
        <w:jc w:val="both"/>
        <w:rPr>
          <w:i/>
        </w:rPr>
      </w:pPr>
    </w:p>
    <w:p w14:paraId="4C5D53DB" w14:textId="77777777" w:rsidR="0030086A" w:rsidRDefault="0030086A" w:rsidP="002F0256">
      <w:pPr>
        <w:autoSpaceDE w:val="0"/>
        <w:autoSpaceDN w:val="0"/>
        <w:adjustRightInd w:val="0"/>
        <w:spacing w:after="0" w:line="240" w:lineRule="auto"/>
        <w:jc w:val="both"/>
        <w:rPr>
          <w:i/>
        </w:rPr>
      </w:pPr>
    </w:p>
    <w:p w14:paraId="1AAED768" w14:textId="77777777" w:rsidR="0030086A" w:rsidRPr="00A2441A" w:rsidRDefault="0030086A" w:rsidP="0030086A">
      <w:pPr>
        <w:spacing w:after="0" w:line="240" w:lineRule="auto"/>
        <w:rPr>
          <w:i/>
          <w:lang w:val="en-GB"/>
        </w:rPr>
      </w:pPr>
      <w:r w:rsidRPr="00A2441A">
        <w:rPr>
          <w:i/>
          <w:lang w:val="en-GB"/>
        </w:rPr>
        <w:t>Secretariat cover note:</w:t>
      </w:r>
    </w:p>
    <w:p w14:paraId="408A7A49" w14:textId="77777777" w:rsidR="0030086A" w:rsidRPr="00A2441A" w:rsidRDefault="0030086A" w:rsidP="0030086A">
      <w:pPr>
        <w:spacing w:after="0" w:line="240" w:lineRule="auto"/>
        <w:rPr>
          <w:lang w:val="en-GB"/>
        </w:rPr>
      </w:pPr>
      <w:r w:rsidRPr="00A2441A">
        <w:rPr>
          <w:lang w:val="en-GB"/>
        </w:rPr>
        <w:t xml:space="preserve">The DR refers to Resolutions VII.7, VIII.26, IX.1 Annex D, XII.2 and XIII.19. </w:t>
      </w:r>
      <w:r w:rsidRPr="00A2441A">
        <w:rPr>
          <w:rFonts w:eastAsia="Times New Roman"/>
          <w:lang w:val="en-GB"/>
        </w:rPr>
        <w:t>The DR does not address matters of a scientific or technical nature requiring review by the STRP.</w:t>
      </w:r>
    </w:p>
    <w:p w14:paraId="6EFF5A43" w14:textId="77777777" w:rsidR="0030086A" w:rsidRPr="0030086A" w:rsidRDefault="0030086A" w:rsidP="002F0256">
      <w:pPr>
        <w:autoSpaceDE w:val="0"/>
        <w:autoSpaceDN w:val="0"/>
        <w:adjustRightInd w:val="0"/>
        <w:spacing w:after="0" w:line="240" w:lineRule="auto"/>
        <w:jc w:val="both"/>
        <w:rPr>
          <w:i/>
          <w:lang w:val="en-GB"/>
        </w:rPr>
      </w:pPr>
    </w:p>
    <w:p w14:paraId="5823BCA0" w14:textId="0A3CD625" w:rsidR="0030086A" w:rsidRDefault="0030086A">
      <w:pPr>
        <w:rPr>
          <w:i/>
          <w:lang w:val="en-GB"/>
        </w:rPr>
      </w:pPr>
      <w:r>
        <w:rPr>
          <w:i/>
          <w:lang w:val="en-GB"/>
        </w:rPr>
        <w:br w:type="page"/>
      </w:r>
    </w:p>
    <w:p w14:paraId="373E31D9" w14:textId="438F8249" w:rsidR="0030086A" w:rsidRPr="0030086A" w:rsidRDefault="0030086A" w:rsidP="0030086A">
      <w:pPr>
        <w:suppressLineNumbers/>
        <w:suppressAutoHyphens/>
        <w:spacing w:after="0" w:line="240" w:lineRule="auto"/>
        <w:jc w:val="center"/>
        <w:rPr>
          <w:rFonts w:cs="Times New Roman"/>
          <w:b/>
          <w:sz w:val="24"/>
          <w:szCs w:val="24"/>
          <w:lang w:val="en-GB"/>
        </w:rPr>
      </w:pPr>
      <w:r w:rsidRPr="0030086A">
        <w:rPr>
          <w:b/>
          <w:kern w:val="32"/>
          <w:sz w:val="24"/>
          <w:szCs w:val="24"/>
          <w:lang w:val="en-GB" w:eastAsia="zh-CN"/>
        </w:rPr>
        <w:lastRenderedPageBreak/>
        <w:t>Draft Resolution on</w:t>
      </w:r>
      <w:r w:rsidRPr="0030086A">
        <w:rPr>
          <w:rFonts w:cs="Times New Roman"/>
          <w:b/>
          <w:sz w:val="24"/>
          <w:szCs w:val="24"/>
          <w:lang w:val="en-GB"/>
        </w:rPr>
        <w:t xml:space="preserve"> development of legal indicators to measure the effectiveness </w:t>
      </w:r>
      <w:r>
        <w:rPr>
          <w:rFonts w:cs="Times New Roman"/>
          <w:b/>
          <w:sz w:val="24"/>
          <w:szCs w:val="24"/>
          <w:lang w:val="en-GB"/>
        </w:rPr>
        <w:br/>
      </w:r>
      <w:bookmarkStart w:id="0" w:name="_GoBack"/>
      <w:bookmarkEnd w:id="0"/>
      <w:r w:rsidRPr="0030086A">
        <w:rPr>
          <w:rFonts w:cs="Times New Roman"/>
          <w:b/>
          <w:sz w:val="24"/>
          <w:szCs w:val="24"/>
          <w:lang w:val="en-GB"/>
        </w:rPr>
        <w:t>of the Ramsar Convention</w:t>
      </w:r>
    </w:p>
    <w:p w14:paraId="5AF00B9A" w14:textId="77777777" w:rsidR="00A2441A" w:rsidRPr="0030086A" w:rsidRDefault="00A2441A" w:rsidP="00A2441A">
      <w:pPr>
        <w:autoSpaceDE w:val="0"/>
        <w:autoSpaceDN w:val="0"/>
        <w:adjustRightInd w:val="0"/>
        <w:spacing w:after="0" w:line="240" w:lineRule="auto"/>
        <w:jc w:val="both"/>
        <w:rPr>
          <w:i/>
          <w:lang w:val="en-GB"/>
        </w:rPr>
      </w:pPr>
    </w:p>
    <w:p w14:paraId="603A01E4" w14:textId="48C1885E" w:rsidR="002F0256" w:rsidRDefault="002F0256" w:rsidP="002F0256">
      <w:pPr>
        <w:autoSpaceDE w:val="0"/>
        <w:autoSpaceDN w:val="0"/>
        <w:adjustRightInd w:val="0"/>
        <w:spacing w:after="0" w:line="240" w:lineRule="auto"/>
        <w:jc w:val="both"/>
        <w:rPr>
          <w:i/>
        </w:rPr>
      </w:pPr>
      <w:r>
        <w:rPr>
          <w:noProof/>
          <w:lang w:val="en-GB" w:eastAsia="en-GB"/>
        </w:rPr>
        <mc:AlternateContent>
          <mc:Choice Requires="wps">
            <w:drawing>
              <wp:inline distT="0" distB="0" distL="0" distR="0" wp14:anchorId="43995404" wp14:editId="22BA1938">
                <wp:extent cx="5676840" cy="1099457"/>
                <wp:effectExtent l="0" t="0" r="19685" b="24765"/>
                <wp:docPr id="1" name="Rectangle 1"/>
                <wp:cNvGraphicFramePr/>
                <a:graphic xmlns:a="http://schemas.openxmlformats.org/drawingml/2006/main">
                  <a:graphicData uri="http://schemas.microsoft.com/office/word/2010/wordprocessingShape">
                    <wps:wsp>
                      <wps:cNvSpPr/>
                      <wps:spPr>
                        <a:xfrm>
                          <a:off x="0" y="0"/>
                          <a:ext cx="5676840" cy="1099457"/>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93F20C4" w14:textId="75C23D60" w:rsidR="00B9166C" w:rsidRPr="00B9166C" w:rsidRDefault="0082658F" w:rsidP="00B9166C">
                            <w:pPr>
                              <w:rPr>
                                <w:b/>
                                <w:bCs/>
                                <w:lang w:val="en-GB"/>
                              </w:rPr>
                            </w:pPr>
                            <w:r>
                              <w:rPr>
                                <w:b/>
                                <w:bCs/>
                              </w:rPr>
                              <w:t xml:space="preserve">Action </w:t>
                            </w:r>
                            <w:r w:rsidR="00B9166C" w:rsidRPr="00340E62">
                              <w:rPr>
                                <w:b/>
                                <w:bCs/>
                              </w:rPr>
                              <w:t xml:space="preserve">requested: </w:t>
                            </w:r>
                          </w:p>
                          <w:p w14:paraId="7E5163A9" w14:textId="4BE937C2" w:rsidR="002F0256" w:rsidRPr="00B9166C" w:rsidRDefault="00B9166C" w:rsidP="00B9166C">
                            <w:pPr>
                              <w:pStyle w:val="ColorfulList-Accent11"/>
                              <w:numPr>
                                <w:ilvl w:val="0"/>
                                <w:numId w:val="10"/>
                              </w:numPr>
                              <w:ind w:left="426" w:hanging="426"/>
                              <w:rPr>
                                <w:lang w:val="en-GB"/>
                              </w:rPr>
                            </w:pPr>
                            <w:r w:rsidRPr="00B9166C">
                              <w:rPr>
                                <w:lang w:val="en-GB"/>
                              </w:rPr>
                              <w:t>The Standing Committee is invited to review and approve the attached draft Resolution for consideration by the 14th meeting of the Conference of the Contracting Parties to the Ramsar Convention - Wuhan, China, November 2021</w:t>
                            </w:r>
                          </w:p>
                        </w:txbxContent>
                      </wps:txbx>
                      <wps:bodyPr>
                        <a:noAutofit/>
                      </wps:bodyPr>
                    </wps:wsp>
                  </a:graphicData>
                </a:graphic>
              </wp:inline>
            </w:drawing>
          </mc:Choice>
          <mc:Fallback>
            <w:pict>
              <v:rect w14:anchorId="43995404" id="Rectangle 1" o:spid="_x0000_s1026" style="width:447pt;height:8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" strokeweight=".26mm">
                <v:textbox>
                  <w:txbxContent>
                    <w:p w14:paraId="693F20C4" w14:textId="75C23D60" w:rsidR="00B9166C" w:rsidRPr="00B9166C" w:rsidRDefault="0082658F" w:rsidP="00B9166C">
                      <w:pPr>
                        <w:rPr>
                          <w:b/>
                          <w:bCs/>
                          <w:lang w:val="en-GB"/>
                        </w:rPr>
                      </w:pPr>
                      <w:r>
                        <w:rPr>
                          <w:b/>
                          <w:bCs/>
                        </w:rPr>
                        <w:t xml:space="preserve">Action </w:t>
                      </w:r>
                      <w:bookmarkStart w:id="1" w:name="_GoBack"/>
                      <w:bookmarkEnd w:id="1"/>
                      <w:r w:rsidR="00B9166C" w:rsidRPr="00340E62">
                        <w:rPr>
                          <w:b/>
                          <w:bCs/>
                        </w:rPr>
                        <w:t xml:space="preserve">requested: </w:t>
                      </w:r>
                    </w:p>
                    <w:p w14:paraId="7E5163A9" w14:textId="4BE937C2" w:rsidR="002F0256" w:rsidRPr="00B9166C" w:rsidRDefault="00B9166C" w:rsidP="00B9166C">
                      <w:pPr>
                        <w:pStyle w:val="ColorfulList-Accent11"/>
                        <w:numPr>
                          <w:ilvl w:val="0"/>
                          <w:numId w:val="10"/>
                        </w:numPr>
                        <w:ind w:left="426" w:hanging="426"/>
                        <w:rPr>
                          <w:lang w:val="en-GB"/>
                        </w:rPr>
                      </w:pPr>
                      <w:r w:rsidRPr="00B9166C">
                        <w:rPr>
                          <w:lang w:val="en-GB"/>
                        </w:rPr>
                        <w:t>The Standing Committee is invited to review and approve the attached draft Resolution for consideration by the 14th meeting of the Conference of the Contracting Parties to the Ramsar Convention - Wuhan, China, November 2021</w:t>
                      </w:r>
                    </w:p>
                  </w:txbxContent>
                </v:textbox>
                <w10:anchorlock/>
              </v:rect>
            </w:pict>
          </mc:Fallback>
        </mc:AlternateContent>
      </w:r>
    </w:p>
    <w:p w14:paraId="4568521E" w14:textId="77777777" w:rsidR="00BC0F91" w:rsidRPr="00A2441A" w:rsidRDefault="00BC0F91" w:rsidP="00BC0F91">
      <w:pPr>
        <w:autoSpaceDE w:val="0"/>
        <w:autoSpaceDN w:val="0"/>
        <w:adjustRightInd w:val="0"/>
        <w:spacing w:after="0" w:line="240" w:lineRule="auto"/>
        <w:jc w:val="both"/>
        <w:rPr>
          <w:i/>
          <w:lang w:val="en-GB"/>
        </w:rPr>
      </w:pPr>
    </w:p>
    <w:p w14:paraId="68EFBC0A" w14:textId="77777777" w:rsidR="00027D61" w:rsidRPr="00BC0F91" w:rsidRDefault="00027D61" w:rsidP="002F0256">
      <w:pPr>
        <w:spacing w:after="0" w:line="240" w:lineRule="auto"/>
        <w:rPr>
          <w:lang w:val="en-GB"/>
        </w:rPr>
      </w:pPr>
    </w:p>
    <w:p w14:paraId="41D50B84" w14:textId="605D434D" w:rsidR="009C11E1" w:rsidRPr="00077A5F" w:rsidRDefault="009C11E1" w:rsidP="002F0256">
      <w:pPr>
        <w:pStyle w:val="ListParagraph"/>
        <w:spacing w:after="0" w:line="240" w:lineRule="auto"/>
        <w:ind w:left="0"/>
        <w:contextualSpacing w:val="0"/>
        <w:rPr>
          <w:b/>
          <w:bCs/>
          <w:lang w:val="en-GB"/>
        </w:rPr>
      </w:pPr>
      <w:r w:rsidRPr="00077A5F">
        <w:rPr>
          <w:b/>
          <w:bCs/>
          <w:lang w:val="en-GB"/>
        </w:rPr>
        <w:t>Introduction</w:t>
      </w:r>
    </w:p>
    <w:p w14:paraId="74EBC97F" w14:textId="77777777" w:rsidR="00FE02AF" w:rsidRPr="00077A5F" w:rsidRDefault="00FE02AF" w:rsidP="002F0256">
      <w:pPr>
        <w:pStyle w:val="ListParagraph"/>
        <w:spacing w:after="0" w:line="240" w:lineRule="auto"/>
        <w:ind w:left="0"/>
        <w:contextualSpacing w:val="0"/>
        <w:rPr>
          <w:b/>
          <w:bCs/>
          <w:lang w:val="en-GB"/>
        </w:rPr>
      </w:pPr>
    </w:p>
    <w:p w14:paraId="2A4CD6E5" w14:textId="329FC59E" w:rsidR="0005649A" w:rsidRPr="00F028B4" w:rsidRDefault="00F028B4" w:rsidP="002F0256">
      <w:pPr>
        <w:pStyle w:val="ListParagraph"/>
        <w:spacing w:after="0" w:line="240" w:lineRule="auto"/>
        <w:ind w:left="0"/>
        <w:contextualSpacing w:val="0"/>
        <w:rPr>
          <w:i/>
          <w:iCs/>
          <w:lang w:val="en-GB"/>
        </w:rPr>
      </w:pPr>
      <w:r w:rsidRPr="00F028B4">
        <w:rPr>
          <w:i/>
          <w:iCs/>
          <w:lang w:val="en-GB"/>
        </w:rPr>
        <w:t>Background information</w:t>
      </w:r>
    </w:p>
    <w:p w14:paraId="173684B0" w14:textId="3525AAF1" w:rsidR="003E2FC0" w:rsidRPr="00F028B4" w:rsidRDefault="00B9166C" w:rsidP="002F0256">
      <w:pPr>
        <w:pStyle w:val="ListParagraph"/>
        <w:spacing w:after="0" w:line="240" w:lineRule="auto"/>
        <w:ind w:left="0"/>
        <w:contextualSpacing w:val="0"/>
        <w:rPr>
          <w:lang w:val="en-GB"/>
        </w:rPr>
      </w:pPr>
      <w:r>
        <w:rPr>
          <w:lang w:val="en-GB"/>
        </w:rPr>
        <w:t>The aim of the draft R</w:t>
      </w:r>
      <w:r w:rsidR="00F028B4" w:rsidRPr="00F028B4">
        <w:rPr>
          <w:lang w:val="en-GB"/>
        </w:rPr>
        <w:t xml:space="preserve">esolution is to establish a new tool to scientifically assess the effective implementation of the Ramsar Convention in each </w:t>
      </w:r>
      <w:r w:rsidR="00097D57" w:rsidRPr="00F028B4">
        <w:rPr>
          <w:lang w:val="en-GB"/>
        </w:rPr>
        <w:t xml:space="preserve">Contracting Party </w:t>
      </w:r>
      <w:r w:rsidR="00F028B4" w:rsidRPr="00F028B4">
        <w:rPr>
          <w:lang w:val="en-GB"/>
        </w:rPr>
        <w:t>through appropriate legal instruments. It is an operational response to the repeated demands of States and civil society for greater effectiveness in the protection and management of wetlands.</w:t>
      </w:r>
    </w:p>
    <w:p w14:paraId="64C1DEDC" w14:textId="77777777" w:rsidR="00185497" w:rsidRPr="00F028B4" w:rsidRDefault="00185497" w:rsidP="002F0256">
      <w:pPr>
        <w:pStyle w:val="ListParagraph"/>
        <w:spacing w:after="0" w:line="240" w:lineRule="auto"/>
        <w:ind w:left="0"/>
        <w:contextualSpacing w:val="0"/>
        <w:rPr>
          <w:lang w:val="en-GB"/>
        </w:rPr>
      </w:pPr>
    </w:p>
    <w:p w14:paraId="53202670" w14:textId="7BED891C" w:rsidR="0005649A" w:rsidRDefault="00F028B4" w:rsidP="002F0256">
      <w:pPr>
        <w:pStyle w:val="ListParagraph"/>
        <w:spacing w:after="0" w:line="240" w:lineRule="auto"/>
        <w:ind w:left="0"/>
        <w:contextualSpacing w:val="0"/>
      </w:pPr>
      <w:r w:rsidRPr="00F028B4">
        <w:rPr>
          <w:i/>
          <w:iCs/>
        </w:rPr>
        <w:t>Financial implications of implementation</w:t>
      </w:r>
    </w:p>
    <w:tbl>
      <w:tblPr>
        <w:tblStyle w:val="TableGrid"/>
        <w:tblW w:w="9072" w:type="dxa"/>
        <w:tblInd w:w="108" w:type="dxa"/>
        <w:tblLook w:val="04A0" w:firstRow="1" w:lastRow="0" w:firstColumn="1" w:lastColumn="0" w:noHBand="0" w:noVBand="1"/>
      </w:tblPr>
      <w:tblGrid>
        <w:gridCol w:w="2890"/>
        <w:gridCol w:w="4295"/>
        <w:gridCol w:w="1887"/>
      </w:tblGrid>
      <w:tr w:rsidR="00F37760" w14:paraId="026EBB47" w14:textId="77777777" w:rsidTr="00C27C7B">
        <w:tc>
          <w:tcPr>
            <w:tcW w:w="2890" w:type="dxa"/>
          </w:tcPr>
          <w:p w14:paraId="5AE43F24" w14:textId="206214BD" w:rsidR="00F37760" w:rsidRPr="00F37760" w:rsidRDefault="00F028B4" w:rsidP="004274B2">
            <w:pPr>
              <w:pStyle w:val="ListParagraph"/>
              <w:ind w:left="0"/>
              <w:contextualSpacing w:val="0"/>
              <w:jc w:val="center"/>
              <w:rPr>
                <w:iCs/>
              </w:rPr>
            </w:pPr>
            <w:r>
              <w:rPr>
                <w:iCs/>
              </w:rPr>
              <w:t>Paragraph</w:t>
            </w:r>
          </w:p>
        </w:tc>
        <w:tc>
          <w:tcPr>
            <w:tcW w:w="4295" w:type="dxa"/>
          </w:tcPr>
          <w:p w14:paraId="0157394D" w14:textId="198DDBFE" w:rsidR="00F37760" w:rsidRPr="00F37760" w:rsidRDefault="00F37760" w:rsidP="004274B2">
            <w:pPr>
              <w:pStyle w:val="ListParagraph"/>
              <w:ind w:left="0" w:right="-436"/>
              <w:contextualSpacing w:val="0"/>
              <w:jc w:val="center"/>
              <w:rPr>
                <w:iCs/>
              </w:rPr>
            </w:pPr>
            <w:r w:rsidRPr="00F37760">
              <w:rPr>
                <w:iCs/>
              </w:rPr>
              <w:t>Action</w:t>
            </w:r>
          </w:p>
        </w:tc>
        <w:tc>
          <w:tcPr>
            <w:tcW w:w="1887" w:type="dxa"/>
          </w:tcPr>
          <w:p w14:paraId="0A3DDDB2" w14:textId="607715AE" w:rsidR="00F37760" w:rsidRPr="00F37760" w:rsidRDefault="00F028B4" w:rsidP="004274B2">
            <w:pPr>
              <w:pStyle w:val="ListParagraph"/>
              <w:ind w:left="0"/>
              <w:contextualSpacing w:val="0"/>
              <w:jc w:val="center"/>
              <w:rPr>
                <w:iCs/>
              </w:rPr>
            </w:pPr>
            <w:r>
              <w:rPr>
                <w:iCs/>
              </w:rPr>
              <w:t>Cos</w:t>
            </w:r>
            <w:r w:rsidR="00F37760" w:rsidRPr="00F37760">
              <w:rPr>
                <w:iCs/>
              </w:rPr>
              <w:t>t (CHF)</w:t>
            </w:r>
          </w:p>
        </w:tc>
      </w:tr>
      <w:tr w:rsidR="00F37760" w14:paraId="3AFB77BE" w14:textId="77777777" w:rsidTr="00C27C7B">
        <w:tc>
          <w:tcPr>
            <w:tcW w:w="2890" w:type="dxa"/>
          </w:tcPr>
          <w:p w14:paraId="6D1347F4" w14:textId="54ADCA59" w:rsidR="00F37760" w:rsidRDefault="004274B2" w:rsidP="004274B2">
            <w:pPr>
              <w:pStyle w:val="ListParagraph"/>
              <w:ind w:left="0"/>
              <w:contextualSpacing w:val="0"/>
              <w:rPr>
                <w:i/>
                <w:iCs/>
              </w:rPr>
            </w:pPr>
            <w:r>
              <w:t xml:space="preserve">14. </w:t>
            </w:r>
            <w:r w:rsidR="00F028B4" w:rsidRPr="00F028B4">
              <w:t>Development of legal indicators</w:t>
            </w:r>
          </w:p>
        </w:tc>
        <w:tc>
          <w:tcPr>
            <w:tcW w:w="4295" w:type="dxa"/>
          </w:tcPr>
          <w:p w14:paraId="17BC43D5" w14:textId="1A9F0443" w:rsidR="00F37760" w:rsidRPr="00F028B4" w:rsidRDefault="004274B2" w:rsidP="004274B2">
            <w:pPr>
              <w:rPr>
                <w:lang w:val="en-GB"/>
              </w:rPr>
            </w:pPr>
            <w:r>
              <w:rPr>
                <w:lang w:val="en-GB"/>
              </w:rPr>
              <w:t>Recru</w:t>
            </w:r>
            <w:r w:rsidR="00F028B4" w:rsidRPr="00F028B4">
              <w:rPr>
                <w:lang w:val="en-GB"/>
              </w:rPr>
              <w:t>itment by the Secretariat of a consultant to assist in the formulation of legal indicators</w:t>
            </w:r>
          </w:p>
        </w:tc>
        <w:tc>
          <w:tcPr>
            <w:tcW w:w="1887" w:type="dxa"/>
          </w:tcPr>
          <w:p w14:paraId="2C830FA2" w14:textId="2F7F04BC" w:rsidR="00F37760" w:rsidRPr="00ED6381" w:rsidRDefault="00F028B4" w:rsidP="004274B2">
            <w:pPr>
              <w:pStyle w:val="ListParagraph"/>
              <w:ind w:left="0"/>
              <w:contextualSpacing w:val="0"/>
              <w:rPr>
                <w:iCs/>
              </w:rPr>
            </w:pPr>
            <w:r>
              <w:rPr>
                <w:iCs/>
              </w:rPr>
              <w:t>18,</w:t>
            </w:r>
            <w:r w:rsidR="00ED6381">
              <w:rPr>
                <w:iCs/>
              </w:rPr>
              <w:t>000</w:t>
            </w:r>
          </w:p>
        </w:tc>
      </w:tr>
      <w:tr w:rsidR="00F37760" w14:paraId="130E2C27" w14:textId="77777777" w:rsidTr="00C27C7B">
        <w:tc>
          <w:tcPr>
            <w:tcW w:w="2890" w:type="dxa"/>
          </w:tcPr>
          <w:p w14:paraId="0F082FC5" w14:textId="422FB417" w:rsidR="00F37760" w:rsidRDefault="00F37760" w:rsidP="004274B2">
            <w:pPr>
              <w:pStyle w:val="ListParagraph"/>
              <w:ind w:left="0"/>
              <w:contextualSpacing w:val="0"/>
              <w:rPr>
                <w:i/>
                <w:iCs/>
              </w:rPr>
            </w:pPr>
            <w:r>
              <w:t xml:space="preserve">18. </w:t>
            </w:r>
            <w:r w:rsidR="00F028B4" w:rsidRPr="00F028B4">
              <w:t>Follow-up action</w:t>
            </w:r>
          </w:p>
        </w:tc>
        <w:tc>
          <w:tcPr>
            <w:tcW w:w="4295" w:type="dxa"/>
          </w:tcPr>
          <w:p w14:paraId="481D4AEB" w14:textId="52C111EB" w:rsidR="00F37760" w:rsidRPr="00F028B4" w:rsidRDefault="004274B2" w:rsidP="004274B2">
            <w:pPr>
              <w:rPr>
                <w:lang w:val="en-GB"/>
              </w:rPr>
            </w:pPr>
            <w:r>
              <w:rPr>
                <w:lang w:val="en-GB"/>
              </w:rPr>
              <w:t>Oversight of</w:t>
            </w:r>
            <w:r w:rsidR="00F028B4" w:rsidRPr="00F028B4">
              <w:rPr>
                <w:lang w:val="en-GB"/>
              </w:rPr>
              <w:t xml:space="preserve"> the development of legal indicators by the </w:t>
            </w:r>
            <w:r w:rsidRPr="00F028B4">
              <w:rPr>
                <w:lang w:val="en-GB"/>
              </w:rPr>
              <w:t xml:space="preserve">Effectiveness </w:t>
            </w:r>
            <w:r w:rsidR="00F028B4" w:rsidRPr="00F028B4">
              <w:rPr>
                <w:lang w:val="en-GB"/>
              </w:rPr>
              <w:t>Working Group and the Standing Committee</w:t>
            </w:r>
          </w:p>
        </w:tc>
        <w:tc>
          <w:tcPr>
            <w:tcW w:w="1887" w:type="dxa"/>
          </w:tcPr>
          <w:p w14:paraId="26CFF59C" w14:textId="43DA5C34" w:rsidR="00F37760" w:rsidRPr="00FC0930" w:rsidRDefault="004274B2" w:rsidP="004274B2">
            <w:pPr>
              <w:pStyle w:val="ListParagraph"/>
              <w:ind w:left="0"/>
              <w:contextualSpacing w:val="0"/>
              <w:rPr>
                <w:iCs/>
              </w:rPr>
            </w:pPr>
            <w:r>
              <w:rPr>
                <w:iCs/>
              </w:rPr>
              <w:t>Note for the record</w:t>
            </w:r>
          </w:p>
        </w:tc>
      </w:tr>
    </w:tbl>
    <w:p w14:paraId="770C81A2" w14:textId="75C8A1EC" w:rsidR="00FE02AF" w:rsidRDefault="00FE02AF" w:rsidP="004274B2">
      <w:pPr>
        <w:pStyle w:val="ListParagraph"/>
        <w:spacing w:after="0" w:line="240" w:lineRule="auto"/>
        <w:ind w:left="0"/>
        <w:contextualSpacing w:val="0"/>
      </w:pPr>
    </w:p>
    <w:p w14:paraId="2CF8CB47" w14:textId="77777777" w:rsidR="002F0256" w:rsidRDefault="002F0256" w:rsidP="004274B2">
      <w:pPr>
        <w:pStyle w:val="ListParagraph"/>
        <w:spacing w:after="0" w:line="240" w:lineRule="auto"/>
        <w:ind w:left="0"/>
        <w:contextualSpacing w:val="0"/>
      </w:pPr>
    </w:p>
    <w:p w14:paraId="7A53C9FC" w14:textId="77777777" w:rsidR="008966C7" w:rsidRPr="00A511C8" w:rsidRDefault="008966C7" w:rsidP="004274B2">
      <w:pPr>
        <w:spacing w:after="0" w:line="240" w:lineRule="auto"/>
        <w:rPr>
          <w:rFonts w:eastAsia="仿宋"/>
          <w:b/>
          <w:bCs/>
          <w:lang w:eastAsia="zh-CN"/>
        </w:rPr>
      </w:pPr>
      <w:r w:rsidRPr="00A511C8">
        <w:rPr>
          <w:rFonts w:eastAsia="仿宋"/>
          <w:b/>
          <w:bCs/>
          <w:lang w:eastAsia="zh-CN"/>
        </w:rPr>
        <w:t>Draft Resolution XIV.xx</w:t>
      </w:r>
    </w:p>
    <w:p w14:paraId="01D440FC" w14:textId="599408D1" w:rsidR="00D15DA3" w:rsidRPr="00F028B4" w:rsidRDefault="00F028B4" w:rsidP="004274B2">
      <w:pPr>
        <w:pStyle w:val="ListParagraph"/>
        <w:spacing w:after="0" w:line="240" w:lineRule="auto"/>
        <w:ind w:left="0"/>
        <w:contextualSpacing w:val="0"/>
        <w:rPr>
          <w:lang w:val="en-GB"/>
        </w:rPr>
      </w:pPr>
      <w:r w:rsidRPr="00F028B4">
        <w:rPr>
          <w:b/>
          <w:bCs/>
          <w:lang w:val="en-GB"/>
        </w:rPr>
        <w:t>Development of legal indicators to measure the effectiveness of the Ramsar Convention</w:t>
      </w:r>
    </w:p>
    <w:p w14:paraId="0F57ED74" w14:textId="77777777" w:rsidR="00F028B4" w:rsidRPr="00077A5F" w:rsidRDefault="00F028B4" w:rsidP="004274B2">
      <w:pPr>
        <w:spacing w:after="0" w:line="240" w:lineRule="auto"/>
        <w:ind w:left="425" w:hanging="425"/>
        <w:rPr>
          <w:lang w:val="en-GB"/>
        </w:rPr>
      </w:pPr>
    </w:p>
    <w:p w14:paraId="4D737B10" w14:textId="66534AC7" w:rsidR="00961F33" w:rsidRPr="00F028B4" w:rsidRDefault="00027D61" w:rsidP="004274B2">
      <w:pPr>
        <w:spacing w:after="0" w:line="240" w:lineRule="auto"/>
        <w:ind w:left="425" w:hanging="425"/>
        <w:rPr>
          <w:lang w:val="en-GB"/>
        </w:rPr>
      </w:pPr>
      <w:r w:rsidRPr="00F028B4">
        <w:rPr>
          <w:lang w:val="en-GB"/>
        </w:rPr>
        <w:t>1.</w:t>
      </w:r>
      <w:r w:rsidRPr="00F028B4">
        <w:rPr>
          <w:lang w:val="en-GB"/>
        </w:rPr>
        <w:tab/>
      </w:r>
      <w:r w:rsidR="00F028B4" w:rsidRPr="00F028B4">
        <w:rPr>
          <w:lang w:val="en-GB"/>
        </w:rPr>
        <w:t>RECALLING that</w:t>
      </w:r>
      <w:r w:rsidR="005A1919" w:rsidRPr="00F028B4">
        <w:rPr>
          <w:lang w:val="en-GB"/>
        </w:rPr>
        <w:t>:</w:t>
      </w:r>
    </w:p>
    <w:p w14:paraId="02560A91" w14:textId="77777777" w:rsidR="00027D61" w:rsidRPr="00F028B4" w:rsidRDefault="00027D61" w:rsidP="004274B2">
      <w:pPr>
        <w:spacing w:after="0" w:line="240" w:lineRule="auto"/>
        <w:ind w:left="850" w:hanging="425"/>
        <w:rPr>
          <w:lang w:val="en-GB"/>
        </w:rPr>
      </w:pPr>
    </w:p>
    <w:p w14:paraId="25BF9F94" w14:textId="6D81DBD1" w:rsidR="00421D43" w:rsidRPr="00F028B4" w:rsidRDefault="00027D61" w:rsidP="004274B2">
      <w:pPr>
        <w:spacing w:after="0" w:line="240" w:lineRule="auto"/>
        <w:ind w:left="850" w:hanging="425"/>
        <w:rPr>
          <w:lang w:val="en-GB"/>
        </w:rPr>
      </w:pPr>
      <w:r w:rsidRPr="00F028B4">
        <w:rPr>
          <w:lang w:val="en-GB"/>
        </w:rPr>
        <w:t>i)</w:t>
      </w:r>
      <w:r w:rsidRPr="00F028B4">
        <w:rPr>
          <w:lang w:val="en-GB"/>
        </w:rPr>
        <w:tab/>
      </w:r>
      <w:r w:rsidR="00F028B4" w:rsidRPr="00F028B4">
        <w:rPr>
          <w:lang w:val="en-GB"/>
        </w:rPr>
        <w:t>Resolution VII</w:t>
      </w:r>
      <w:r w:rsidR="004274B2">
        <w:rPr>
          <w:lang w:val="en-GB"/>
        </w:rPr>
        <w:t>.</w:t>
      </w:r>
      <w:r w:rsidR="00F028B4" w:rsidRPr="00F028B4">
        <w:rPr>
          <w:lang w:val="en-GB"/>
        </w:rPr>
        <w:t xml:space="preserve">7, </w:t>
      </w:r>
      <w:r w:rsidR="004274B2">
        <w:rPr>
          <w:lang w:val="en-GB"/>
        </w:rPr>
        <w:t xml:space="preserve">in </w:t>
      </w:r>
      <w:r w:rsidR="00F028B4" w:rsidRPr="00F028B4">
        <w:rPr>
          <w:lang w:val="en-GB"/>
        </w:rPr>
        <w:t>establishing guidelines for reviewing laws and institutions to promote the conservation and wise use of wetlands, calls for the proposed criteria to be used to assess the effectiveness of existing legal and institutional measures collected by the Parties under that Resolution, and for these criteria to be updated and supplemented</w:t>
      </w:r>
      <w:r w:rsidR="00421D43" w:rsidRPr="00F028B4">
        <w:rPr>
          <w:lang w:val="en-GB"/>
        </w:rPr>
        <w:t>;</w:t>
      </w:r>
    </w:p>
    <w:p w14:paraId="79A325D3" w14:textId="77777777" w:rsidR="00027D61" w:rsidRPr="00F028B4" w:rsidRDefault="00027D61" w:rsidP="004274B2">
      <w:pPr>
        <w:spacing w:after="0" w:line="240" w:lineRule="auto"/>
        <w:ind w:left="850" w:hanging="425"/>
        <w:rPr>
          <w:lang w:val="en-GB"/>
        </w:rPr>
      </w:pPr>
    </w:p>
    <w:p w14:paraId="13F9922E" w14:textId="2BAE48BA" w:rsidR="00421D43" w:rsidRPr="00F028B4" w:rsidRDefault="00027D61" w:rsidP="004274B2">
      <w:pPr>
        <w:spacing w:after="0" w:line="240" w:lineRule="auto"/>
        <w:ind w:left="850" w:hanging="425"/>
        <w:rPr>
          <w:lang w:val="en-GB"/>
        </w:rPr>
      </w:pPr>
      <w:r w:rsidRPr="00F028B4">
        <w:rPr>
          <w:lang w:val="en-GB"/>
        </w:rPr>
        <w:t>ii)</w:t>
      </w:r>
      <w:r w:rsidRPr="00F028B4">
        <w:rPr>
          <w:lang w:val="en-GB"/>
        </w:rPr>
        <w:tab/>
      </w:r>
      <w:r w:rsidR="008C22A6">
        <w:rPr>
          <w:lang w:val="en-GB"/>
        </w:rPr>
        <w:t>through</w:t>
      </w:r>
      <w:r w:rsidR="00F028B4" w:rsidRPr="00F028B4">
        <w:rPr>
          <w:lang w:val="en-GB"/>
        </w:rPr>
        <w:t xml:space="preserve"> Resolution VIII</w:t>
      </w:r>
      <w:r w:rsidR="00A40D9C">
        <w:rPr>
          <w:lang w:val="en-GB"/>
        </w:rPr>
        <w:t>.26, paragraph</w:t>
      </w:r>
      <w:r w:rsidR="00F028B4" w:rsidRPr="00F028B4">
        <w:rPr>
          <w:lang w:val="en-GB"/>
        </w:rPr>
        <w:t xml:space="preserve"> 14, Contracting Parties called for specific indicators of the status and progress of implementation of the Ramsar Convention</w:t>
      </w:r>
      <w:r w:rsidR="00421D43" w:rsidRPr="00F028B4">
        <w:rPr>
          <w:lang w:val="en-GB"/>
        </w:rPr>
        <w:t>;</w:t>
      </w:r>
    </w:p>
    <w:p w14:paraId="31D2F78B" w14:textId="77777777" w:rsidR="00027D61" w:rsidRPr="00F028B4" w:rsidRDefault="00027D61" w:rsidP="004274B2">
      <w:pPr>
        <w:spacing w:after="0" w:line="240" w:lineRule="auto"/>
        <w:ind w:left="850" w:hanging="425"/>
        <w:rPr>
          <w:lang w:val="en-GB"/>
        </w:rPr>
      </w:pPr>
    </w:p>
    <w:p w14:paraId="7E881899" w14:textId="4EB47232" w:rsidR="00421D43" w:rsidRPr="00F028B4" w:rsidRDefault="00027D61" w:rsidP="004274B2">
      <w:pPr>
        <w:spacing w:after="0" w:line="240" w:lineRule="auto"/>
        <w:ind w:left="850" w:hanging="425"/>
        <w:rPr>
          <w:lang w:val="en-GB"/>
        </w:rPr>
      </w:pPr>
      <w:r w:rsidRPr="00F028B4">
        <w:rPr>
          <w:lang w:val="en-GB"/>
        </w:rPr>
        <w:t>iii)</w:t>
      </w:r>
      <w:r w:rsidRPr="00F028B4">
        <w:rPr>
          <w:lang w:val="en-GB"/>
        </w:rPr>
        <w:tab/>
      </w:r>
      <w:r w:rsidR="008C22A6" w:rsidRPr="00F028B4">
        <w:rPr>
          <w:lang w:val="en-GB"/>
        </w:rPr>
        <w:t xml:space="preserve">Annex D </w:t>
      </w:r>
      <w:r w:rsidR="008C22A6">
        <w:rPr>
          <w:lang w:val="en-GB"/>
        </w:rPr>
        <w:t xml:space="preserve">of </w:t>
      </w:r>
      <w:r w:rsidR="00F028B4" w:rsidRPr="00F028B4">
        <w:rPr>
          <w:lang w:val="en-GB"/>
        </w:rPr>
        <w:t>Resolution IX</w:t>
      </w:r>
      <w:r w:rsidR="008C22A6">
        <w:rPr>
          <w:lang w:val="en-GB"/>
        </w:rPr>
        <w:t>.</w:t>
      </w:r>
      <w:r w:rsidR="00F028B4" w:rsidRPr="00F028B4">
        <w:rPr>
          <w:lang w:val="en-GB"/>
        </w:rPr>
        <w:t>1</w:t>
      </w:r>
      <w:r w:rsidR="008C22A6">
        <w:rPr>
          <w:lang w:val="en-GB"/>
        </w:rPr>
        <w:t xml:space="preserve"> </w:t>
      </w:r>
      <w:r w:rsidR="00F028B4" w:rsidRPr="00F028B4">
        <w:rPr>
          <w:lang w:val="en-GB"/>
        </w:rPr>
        <w:t>on ecological indicators takes into account the results to assess the effectiveness of the implementation of the Ramsar Convention</w:t>
      </w:r>
      <w:r w:rsidR="00421D43" w:rsidRPr="00F028B4">
        <w:rPr>
          <w:lang w:val="en-GB"/>
        </w:rPr>
        <w:t>;</w:t>
      </w:r>
    </w:p>
    <w:p w14:paraId="15343503" w14:textId="77777777" w:rsidR="00027D61" w:rsidRPr="00F028B4" w:rsidRDefault="00027D61" w:rsidP="004274B2">
      <w:pPr>
        <w:spacing w:after="0" w:line="240" w:lineRule="auto"/>
        <w:ind w:left="850" w:hanging="425"/>
        <w:rPr>
          <w:lang w:val="en-GB"/>
        </w:rPr>
      </w:pPr>
    </w:p>
    <w:p w14:paraId="4624997F" w14:textId="60E5FEFE" w:rsidR="00421D43" w:rsidRPr="00F028B4" w:rsidRDefault="00027D61" w:rsidP="004274B2">
      <w:pPr>
        <w:spacing w:after="0" w:line="240" w:lineRule="auto"/>
        <w:ind w:left="850" w:hanging="425"/>
        <w:rPr>
          <w:lang w:val="en-GB"/>
        </w:rPr>
      </w:pPr>
      <w:r w:rsidRPr="00F028B4">
        <w:rPr>
          <w:lang w:val="en-GB"/>
        </w:rPr>
        <w:t>iv)</w:t>
      </w:r>
      <w:r w:rsidRPr="00F028B4">
        <w:rPr>
          <w:lang w:val="en-GB"/>
        </w:rPr>
        <w:tab/>
      </w:r>
      <w:r w:rsidR="00F028B4" w:rsidRPr="00F028B4">
        <w:rPr>
          <w:lang w:val="en-GB"/>
        </w:rPr>
        <w:t>para</w:t>
      </w:r>
      <w:r w:rsidR="008C22A6">
        <w:rPr>
          <w:lang w:val="en-GB"/>
        </w:rPr>
        <w:t>graph</w:t>
      </w:r>
      <w:r w:rsidR="00F028B4" w:rsidRPr="00F028B4">
        <w:rPr>
          <w:lang w:val="en-GB"/>
        </w:rPr>
        <w:t xml:space="preserve"> 10 of Resolution X</w:t>
      </w:r>
      <w:r w:rsidR="008C22A6">
        <w:rPr>
          <w:lang w:val="en-GB"/>
        </w:rPr>
        <w:t>.</w:t>
      </w:r>
      <w:r w:rsidR="00F028B4" w:rsidRPr="00F028B4">
        <w:rPr>
          <w:lang w:val="en-GB"/>
        </w:rPr>
        <w:t>1 calls upon the Standing Committee to review progress and any difficulties in implementing the Strategic Plan</w:t>
      </w:r>
      <w:r w:rsidR="00421D43" w:rsidRPr="00F028B4">
        <w:rPr>
          <w:lang w:val="en-GB"/>
        </w:rPr>
        <w:t>;</w:t>
      </w:r>
    </w:p>
    <w:p w14:paraId="6A9B04C7" w14:textId="77777777" w:rsidR="00027D61" w:rsidRPr="00F028B4" w:rsidRDefault="00027D61" w:rsidP="004274B2">
      <w:pPr>
        <w:spacing w:after="0" w:line="240" w:lineRule="auto"/>
        <w:ind w:left="850" w:hanging="425"/>
        <w:rPr>
          <w:lang w:val="en-GB"/>
        </w:rPr>
      </w:pPr>
    </w:p>
    <w:p w14:paraId="052176FB" w14:textId="4E7A4C9F" w:rsidR="00421D43" w:rsidRPr="00F028B4" w:rsidRDefault="00027D61" w:rsidP="004274B2">
      <w:pPr>
        <w:spacing w:after="0" w:line="240" w:lineRule="auto"/>
        <w:ind w:left="850" w:hanging="425"/>
        <w:rPr>
          <w:lang w:val="en-GB"/>
        </w:rPr>
      </w:pPr>
      <w:r w:rsidRPr="00F028B4">
        <w:rPr>
          <w:lang w:val="en-GB"/>
        </w:rPr>
        <w:t>v)</w:t>
      </w:r>
      <w:r w:rsidRPr="00F028B4">
        <w:rPr>
          <w:lang w:val="en-GB"/>
        </w:rPr>
        <w:tab/>
      </w:r>
      <w:r w:rsidR="008C22A6">
        <w:rPr>
          <w:lang w:val="en-GB"/>
        </w:rPr>
        <w:t>paragraph 18 of Resolution XII.</w:t>
      </w:r>
      <w:r w:rsidR="00F028B4" w:rsidRPr="00F028B4">
        <w:rPr>
          <w:lang w:val="en-GB"/>
        </w:rPr>
        <w:t>2 on the Fourth Ramsar Strategic Plan 2016-2024 reiterate</w:t>
      </w:r>
      <w:r w:rsidR="008C22A6">
        <w:rPr>
          <w:lang w:val="en-GB"/>
        </w:rPr>
        <w:t xml:space="preserve">s </w:t>
      </w:r>
      <w:r w:rsidR="00F028B4" w:rsidRPr="00F028B4">
        <w:rPr>
          <w:lang w:val="en-GB"/>
        </w:rPr>
        <w:t>this request</w:t>
      </w:r>
      <w:r w:rsidR="00421D43" w:rsidRPr="00F028B4">
        <w:rPr>
          <w:lang w:val="en-GB"/>
        </w:rPr>
        <w:t>;</w:t>
      </w:r>
    </w:p>
    <w:p w14:paraId="52C097E6" w14:textId="77777777" w:rsidR="00027D61" w:rsidRPr="00F028B4" w:rsidRDefault="00027D61" w:rsidP="004274B2">
      <w:pPr>
        <w:spacing w:after="0" w:line="240" w:lineRule="auto"/>
        <w:ind w:left="850" w:hanging="425"/>
        <w:rPr>
          <w:lang w:val="en-GB"/>
        </w:rPr>
      </w:pPr>
    </w:p>
    <w:p w14:paraId="6FDE267D" w14:textId="248E34DF" w:rsidR="00421D43" w:rsidRPr="00F028B4" w:rsidRDefault="00027D61" w:rsidP="004274B2">
      <w:pPr>
        <w:spacing w:after="0" w:line="240" w:lineRule="auto"/>
        <w:ind w:left="850" w:hanging="425"/>
        <w:rPr>
          <w:lang w:val="en-GB"/>
        </w:rPr>
      </w:pPr>
      <w:r w:rsidRPr="00F028B4">
        <w:rPr>
          <w:lang w:val="en-GB"/>
        </w:rPr>
        <w:lastRenderedPageBreak/>
        <w:t>vi)</w:t>
      </w:r>
      <w:r w:rsidRPr="00F028B4">
        <w:rPr>
          <w:lang w:val="en-GB"/>
        </w:rPr>
        <w:tab/>
      </w:r>
      <w:r w:rsidR="008C22A6">
        <w:rPr>
          <w:lang w:val="en-GB"/>
        </w:rPr>
        <w:t>paragraph</w:t>
      </w:r>
      <w:r w:rsidR="00F028B4" w:rsidRPr="00F028B4">
        <w:rPr>
          <w:lang w:val="en-GB"/>
        </w:rPr>
        <w:t xml:space="preserve"> 13 of Resolution XIII</w:t>
      </w:r>
      <w:r w:rsidR="008C22A6">
        <w:rPr>
          <w:lang w:val="en-GB"/>
        </w:rPr>
        <w:t>.</w:t>
      </w:r>
      <w:r w:rsidR="00F028B4" w:rsidRPr="00F028B4">
        <w:rPr>
          <w:lang w:val="en-GB"/>
        </w:rPr>
        <w:t>5 urge</w:t>
      </w:r>
      <w:r w:rsidR="008C22A6">
        <w:rPr>
          <w:lang w:val="en-GB"/>
        </w:rPr>
        <w:t>s</w:t>
      </w:r>
      <w:r w:rsidR="00F028B4" w:rsidRPr="00F028B4">
        <w:rPr>
          <w:lang w:val="en-GB"/>
        </w:rPr>
        <w:t xml:space="preserve"> Parties to keep under review the progress of implementation of the Strategic Plan and to communicate progress and any implementation difficulties in their National Reports</w:t>
      </w:r>
      <w:r w:rsidR="005E0C66">
        <w:rPr>
          <w:lang w:val="en-GB"/>
        </w:rPr>
        <w:t>; and requests</w:t>
      </w:r>
      <w:r w:rsidR="00F028B4" w:rsidRPr="00F028B4">
        <w:rPr>
          <w:lang w:val="en-GB"/>
        </w:rPr>
        <w:t xml:space="preserve"> the Standing Committee to assess progress and any implementation difficulties</w:t>
      </w:r>
      <w:r w:rsidR="00421D43" w:rsidRPr="00F028B4">
        <w:rPr>
          <w:lang w:val="en-GB"/>
        </w:rPr>
        <w:t>;</w:t>
      </w:r>
    </w:p>
    <w:p w14:paraId="060BC430" w14:textId="77777777" w:rsidR="00027D61" w:rsidRPr="00F028B4" w:rsidRDefault="00027D61" w:rsidP="004274B2">
      <w:pPr>
        <w:spacing w:after="0" w:line="240" w:lineRule="auto"/>
        <w:ind w:left="850" w:hanging="425"/>
        <w:rPr>
          <w:lang w:val="en-GB"/>
        </w:rPr>
      </w:pPr>
    </w:p>
    <w:p w14:paraId="3877892A" w14:textId="3B3EE0E0" w:rsidR="00421D43" w:rsidRPr="00F028B4" w:rsidRDefault="00027D61" w:rsidP="004274B2">
      <w:pPr>
        <w:spacing w:after="0" w:line="240" w:lineRule="auto"/>
        <w:ind w:left="850" w:hanging="425"/>
        <w:rPr>
          <w:lang w:val="en-GB"/>
        </w:rPr>
      </w:pPr>
      <w:r w:rsidRPr="00F028B4">
        <w:rPr>
          <w:lang w:val="en-GB"/>
        </w:rPr>
        <w:t>vii)</w:t>
      </w:r>
      <w:r w:rsidRPr="00F028B4">
        <w:rPr>
          <w:lang w:val="en-GB"/>
        </w:rPr>
        <w:tab/>
      </w:r>
      <w:r w:rsidR="005E0C66">
        <w:rPr>
          <w:lang w:val="en-GB"/>
        </w:rPr>
        <w:t>paragraph</w:t>
      </w:r>
      <w:r w:rsidR="00F028B4" w:rsidRPr="00F028B4">
        <w:rPr>
          <w:lang w:val="en-GB"/>
        </w:rPr>
        <w:t xml:space="preserve"> 17 of Resolution XIII</w:t>
      </w:r>
      <w:r w:rsidR="005E0C66">
        <w:rPr>
          <w:lang w:val="en-GB"/>
        </w:rPr>
        <w:t>.</w:t>
      </w:r>
      <w:r w:rsidR="00F028B4" w:rsidRPr="00F028B4">
        <w:rPr>
          <w:lang w:val="en-GB"/>
        </w:rPr>
        <w:t>5 encourages Contracting Parties and their National Focal Points to ensure that the indicators in the Strategic Plan 2016-2024 are taken into account in the Sustainable Development Goals (SDGs) process</w:t>
      </w:r>
      <w:r w:rsidR="00421D43" w:rsidRPr="00F028B4">
        <w:rPr>
          <w:lang w:val="en-GB"/>
        </w:rPr>
        <w:t>;</w:t>
      </w:r>
      <w:r w:rsidR="00845321">
        <w:rPr>
          <w:lang w:val="en-GB"/>
        </w:rPr>
        <w:t xml:space="preserve"> and</w:t>
      </w:r>
    </w:p>
    <w:p w14:paraId="0CCDDC11" w14:textId="77777777" w:rsidR="00027D61" w:rsidRPr="00F028B4" w:rsidRDefault="00027D61" w:rsidP="004274B2">
      <w:pPr>
        <w:spacing w:after="0" w:line="240" w:lineRule="auto"/>
        <w:ind w:left="850" w:hanging="425"/>
        <w:rPr>
          <w:lang w:val="en-GB"/>
        </w:rPr>
      </w:pPr>
    </w:p>
    <w:p w14:paraId="61768CF2" w14:textId="6FD9432B" w:rsidR="0034738A" w:rsidRPr="00845321" w:rsidRDefault="00027D61" w:rsidP="004274B2">
      <w:pPr>
        <w:spacing w:after="0" w:line="240" w:lineRule="auto"/>
        <w:ind w:left="850" w:hanging="425"/>
        <w:rPr>
          <w:lang w:val="en-GB"/>
        </w:rPr>
      </w:pPr>
      <w:r w:rsidRPr="00845321">
        <w:rPr>
          <w:lang w:val="en-GB"/>
        </w:rPr>
        <w:t>viii)</w:t>
      </w:r>
      <w:r w:rsidRPr="00845321">
        <w:rPr>
          <w:lang w:val="en-GB"/>
        </w:rPr>
        <w:tab/>
      </w:r>
      <w:r w:rsidR="00845321" w:rsidRPr="00845321">
        <w:rPr>
          <w:lang w:val="en-GB"/>
        </w:rPr>
        <w:t>para</w:t>
      </w:r>
      <w:r w:rsidR="005E0C66">
        <w:rPr>
          <w:lang w:val="en-GB"/>
        </w:rPr>
        <w:t>graph</w:t>
      </w:r>
      <w:r w:rsidR="00845321" w:rsidRPr="00845321">
        <w:rPr>
          <w:lang w:val="en-GB"/>
        </w:rPr>
        <w:t xml:space="preserve"> 27 of Resolution XIII</w:t>
      </w:r>
      <w:r w:rsidR="005E0C66">
        <w:rPr>
          <w:lang w:val="en-GB"/>
        </w:rPr>
        <w:t>.</w:t>
      </w:r>
      <w:r w:rsidR="00845321" w:rsidRPr="00845321">
        <w:rPr>
          <w:lang w:val="en-GB"/>
        </w:rPr>
        <w:t>19 encourages Parties, in their National Reports, to assess the effectiveness and comprehensiveness of their legislative and regulatory frameworks and policies for the protection of wetlands, in order to ensure that wetlands in areas of intensive agricultural production receive sufficient and appropriate protection</w:t>
      </w:r>
      <w:r w:rsidR="00421D43" w:rsidRPr="00845321">
        <w:rPr>
          <w:lang w:val="en-GB"/>
        </w:rPr>
        <w:t>;</w:t>
      </w:r>
    </w:p>
    <w:p w14:paraId="1D288806" w14:textId="77777777" w:rsidR="00F02706" w:rsidRPr="00845321" w:rsidRDefault="00F02706" w:rsidP="004274B2">
      <w:pPr>
        <w:pStyle w:val="ListParagraph"/>
        <w:spacing w:after="0" w:line="240" w:lineRule="auto"/>
        <w:ind w:left="0"/>
        <w:contextualSpacing w:val="0"/>
        <w:rPr>
          <w:lang w:val="en-GB"/>
        </w:rPr>
      </w:pPr>
    </w:p>
    <w:p w14:paraId="262D99BE" w14:textId="157DE20C" w:rsidR="00EE57FB" w:rsidRPr="00845321" w:rsidRDefault="00027D61" w:rsidP="004274B2">
      <w:pPr>
        <w:spacing w:after="0" w:line="240" w:lineRule="auto"/>
        <w:ind w:left="425" w:hanging="425"/>
        <w:rPr>
          <w:lang w:val="en-GB"/>
        </w:rPr>
      </w:pPr>
      <w:r w:rsidRPr="00845321">
        <w:rPr>
          <w:lang w:val="en-GB"/>
        </w:rPr>
        <w:t>2.</w:t>
      </w:r>
      <w:r w:rsidRPr="00845321">
        <w:rPr>
          <w:lang w:val="en-GB"/>
        </w:rPr>
        <w:tab/>
      </w:r>
      <w:r w:rsidR="00845321" w:rsidRPr="00845321">
        <w:rPr>
          <w:lang w:val="en-GB"/>
        </w:rPr>
        <w:t>NOTING that each Contracting Party to the Ramsar Convention provides regular National Reports and REAFFIRM</w:t>
      </w:r>
      <w:r w:rsidR="005E0C66">
        <w:rPr>
          <w:lang w:val="en-GB"/>
        </w:rPr>
        <w:t>ING the important role of these R</w:t>
      </w:r>
      <w:r w:rsidR="00845321" w:rsidRPr="00845321">
        <w:rPr>
          <w:lang w:val="en-GB"/>
        </w:rPr>
        <w:t>eports in providing knowledge of how the Convention is being effectively implemented</w:t>
      </w:r>
      <w:r w:rsidR="00F02706" w:rsidRPr="00845321">
        <w:rPr>
          <w:lang w:val="en-GB"/>
        </w:rPr>
        <w:t>;</w:t>
      </w:r>
    </w:p>
    <w:p w14:paraId="5607B9EB" w14:textId="77777777" w:rsidR="00F02706" w:rsidRPr="00845321" w:rsidRDefault="00F02706" w:rsidP="004274B2">
      <w:pPr>
        <w:spacing w:after="0" w:line="240" w:lineRule="auto"/>
        <w:ind w:left="425" w:hanging="425"/>
        <w:rPr>
          <w:lang w:val="en-GB"/>
        </w:rPr>
      </w:pPr>
    </w:p>
    <w:p w14:paraId="5B104894" w14:textId="1DB6E694" w:rsidR="006B7E64" w:rsidRPr="00845321" w:rsidRDefault="00027D61" w:rsidP="004274B2">
      <w:pPr>
        <w:spacing w:after="0" w:line="240" w:lineRule="auto"/>
        <w:ind w:left="425" w:hanging="425"/>
        <w:rPr>
          <w:lang w:val="en-GB"/>
        </w:rPr>
      </w:pPr>
      <w:r w:rsidRPr="00845321">
        <w:rPr>
          <w:lang w:val="en-GB"/>
        </w:rPr>
        <w:t>3.</w:t>
      </w:r>
      <w:r w:rsidRPr="00845321">
        <w:rPr>
          <w:lang w:val="en-GB"/>
        </w:rPr>
        <w:tab/>
      </w:r>
      <w:r w:rsidR="00845321" w:rsidRPr="00845321">
        <w:rPr>
          <w:lang w:val="en-GB"/>
        </w:rPr>
        <w:t>DESIRING to strengthen the effective implementation of the Ramsar Convention for the conservation and wise use of wetlands</w:t>
      </w:r>
      <w:r w:rsidR="00F02706" w:rsidRPr="00845321">
        <w:rPr>
          <w:lang w:val="en-GB"/>
        </w:rPr>
        <w:t>;</w:t>
      </w:r>
    </w:p>
    <w:p w14:paraId="4AB84D74" w14:textId="77777777" w:rsidR="00F02706" w:rsidRPr="00845321" w:rsidRDefault="00F02706" w:rsidP="004274B2">
      <w:pPr>
        <w:spacing w:after="0" w:line="240" w:lineRule="auto"/>
        <w:ind w:left="425" w:hanging="425"/>
        <w:rPr>
          <w:lang w:val="en-GB"/>
        </w:rPr>
      </w:pPr>
    </w:p>
    <w:p w14:paraId="1ABD47F5" w14:textId="423D4252" w:rsidR="006B7E64" w:rsidRPr="00845321" w:rsidRDefault="00027D61" w:rsidP="004274B2">
      <w:pPr>
        <w:spacing w:after="0" w:line="240" w:lineRule="auto"/>
        <w:ind w:left="425" w:hanging="425"/>
        <w:rPr>
          <w:lang w:val="en-GB"/>
        </w:rPr>
      </w:pPr>
      <w:r w:rsidRPr="00845321">
        <w:rPr>
          <w:lang w:val="en-GB"/>
        </w:rPr>
        <w:t>4.</w:t>
      </w:r>
      <w:r w:rsidRPr="00845321">
        <w:rPr>
          <w:lang w:val="en-GB"/>
        </w:rPr>
        <w:tab/>
      </w:r>
      <w:r w:rsidR="00845321" w:rsidRPr="00845321">
        <w:rPr>
          <w:lang w:val="en-GB"/>
        </w:rPr>
        <w:t>RECOGNIZING the efforts of Contracting Parties to implement the Convention and to comply with the National Reporting Format</w:t>
      </w:r>
      <w:r w:rsidR="00F02706" w:rsidRPr="00845321">
        <w:rPr>
          <w:lang w:val="en-GB"/>
        </w:rPr>
        <w:t>;</w:t>
      </w:r>
    </w:p>
    <w:p w14:paraId="5B40A45F" w14:textId="77777777" w:rsidR="00F02706" w:rsidRPr="00845321" w:rsidRDefault="00F02706" w:rsidP="004274B2">
      <w:pPr>
        <w:spacing w:after="0" w:line="240" w:lineRule="auto"/>
        <w:ind w:left="425" w:hanging="425"/>
        <w:rPr>
          <w:lang w:val="en-GB"/>
        </w:rPr>
      </w:pPr>
    </w:p>
    <w:p w14:paraId="6A7E54F2" w14:textId="7CE31F0B" w:rsidR="00575D38" w:rsidRPr="00845321" w:rsidRDefault="00027D61" w:rsidP="004274B2">
      <w:pPr>
        <w:spacing w:after="0" w:line="240" w:lineRule="auto"/>
        <w:ind w:left="425" w:hanging="425"/>
        <w:rPr>
          <w:lang w:val="en-GB"/>
        </w:rPr>
      </w:pPr>
      <w:r w:rsidRPr="00845321">
        <w:rPr>
          <w:lang w:val="en-GB"/>
        </w:rPr>
        <w:t>5.</w:t>
      </w:r>
      <w:r w:rsidRPr="00845321">
        <w:rPr>
          <w:lang w:val="en-GB"/>
        </w:rPr>
        <w:tab/>
      </w:r>
      <w:r w:rsidR="00845321" w:rsidRPr="00845321">
        <w:rPr>
          <w:lang w:val="en-GB"/>
        </w:rPr>
        <w:t xml:space="preserve">DESIRING to make it easier for each Contracting Party to assess its successes as well as obstacles encountered and possible </w:t>
      </w:r>
      <w:r w:rsidR="005E0C66">
        <w:rPr>
          <w:lang w:val="en-GB"/>
        </w:rPr>
        <w:t>setbacks</w:t>
      </w:r>
      <w:r w:rsidR="00845321" w:rsidRPr="00845321">
        <w:rPr>
          <w:lang w:val="en-GB"/>
        </w:rPr>
        <w:t xml:space="preserve"> by having an appropriate methodology for analysing the conditions of implementation of the Convention</w:t>
      </w:r>
      <w:r w:rsidR="0081477F" w:rsidRPr="00845321">
        <w:rPr>
          <w:lang w:val="en-GB"/>
        </w:rPr>
        <w:t>;</w:t>
      </w:r>
    </w:p>
    <w:p w14:paraId="4CEE60BD" w14:textId="77777777" w:rsidR="0081477F" w:rsidRPr="00845321" w:rsidRDefault="0081477F" w:rsidP="004274B2">
      <w:pPr>
        <w:spacing w:after="0" w:line="240" w:lineRule="auto"/>
        <w:ind w:left="425" w:hanging="425"/>
        <w:rPr>
          <w:lang w:val="en-GB"/>
        </w:rPr>
      </w:pPr>
    </w:p>
    <w:p w14:paraId="4600F42A" w14:textId="2740999F" w:rsidR="002E13B8" w:rsidRPr="00845321" w:rsidRDefault="00027D61" w:rsidP="004274B2">
      <w:pPr>
        <w:spacing w:after="0" w:line="240" w:lineRule="auto"/>
        <w:ind w:left="425" w:hanging="425"/>
        <w:rPr>
          <w:lang w:val="en-GB"/>
        </w:rPr>
      </w:pPr>
      <w:r w:rsidRPr="00845321">
        <w:rPr>
          <w:lang w:val="en-GB"/>
        </w:rPr>
        <w:t>6.</w:t>
      </w:r>
      <w:r w:rsidRPr="00845321">
        <w:rPr>
          <w:lang w:val="en-GB"/>
        </w:rPr>
        <w:tab/>
      </w:r>
      <w:r w:rsidR="00845321" w:rsidRPr="00845321">
        <w:rPr>
          <w:lang w:val="en-GB"/>
        </w:rPr>
        <w:t>CONSIDERING that the effective implementation of the Strategic Plan 2016-2024 and the SDGs for which the Convention Secretariat has been mandated as co-</w:t>
      </w:r>
      <w:r w:rsidR="005E0C66">
        <w:rPr>
          <w:lang w:val="en-GB"/>
        </w:rPr>
        <w:t>custodian</w:t>
      </w:r>
      <w:r w:rsidR="00845321" w:rsidRPr="00845321">
        <w:rPr>
          <w:lang w:val="en-GB"/>
        </w:rPr>
        <w:t xml:space="preserve"> is closely linked to the legal and institutional arrangements for the effective implementation of the Ramsar Convention</w:t>
      </w:r>
      <w:r w:rsidR="001974AF" w:rsidRPr="00845321">
        <w:rPr>
          <w:lang w:val="en-GB"/>
        </w:rPr>
        <w:t>;</w:t>
      </w:r>
    </w:p>
    <w:p w14:paraId="721741AA" w14:textId="77777777" w:rsidR="001974AF" w:rsidRPr="00845321" w:rsidRDefault="001974AF" w:rsidP="004274B2">
      <w:pPr>
        <w:spacing w:after="0" w:line="240" w:lineRule="auto"/>
        <w:ind w:left="425" w:hanging="425"/>
        <w:rPr>
          <w:lang w:val="en-GB"/>
        </w:rPr>
      </w:pPr>
    </w:p>
    <w:p w14:paraId="2DA3CC18" w14:textId="1A347F31" w:rsidR="00DB2533" w:rsidRPr="00845321" w:rsidRDefault="00027D61" w:rsidP="004274B2">
      <w:pPr>
        <w:spacing w:after="0" w:line="240" w:lineRule="auto"/>
        <w:ind w:left="425" w:hanging="425"/>
        <w:rPr>
          <w:lang w:val="en-GB"/>
        </w:rPr>
      </w:pPr>
      <w:r w:rsidRPr="00845321">
        <w:rPr>
          <w:lang w:val="en-GB"/>
        </w:rPr>
        <w:t>7.</w:t>
      </w:r>
      <w:r w:rsidRPr="00845321">
        <w:rPr>
          <w:lang w:val="en-GB"/>
        </w:rPr>
        <w:tab/>
      </w:r>
      <w:r w:rsidR="00845321" w:rsidRPr="00845321">
        <w:rPr>
          <w:lang w:val="en-GB"/>
        </w:rPr>
        <w:t>RECALLING that the Strategic Goals and the Operational Goal in the Strategic Plan constitute the priority areas of the Ramsar Convention for 2016-2024, as well as the table in Appendix 1 which specifies the tools, key actors, benchmarks and indicators for these Goals</w:t>
      </w:r>
      <w:r w:rsidR="001974AF" w:rsidRPr="00845321">
        <w:rPr>
          <w:lang w:val="en-GB"/>
        </w:rPr>
        <w:t>;</w:t>
      </w:r>
    </w:p>
    <w:p w14:paraId="2AA9E074" w14:textId="77777777" w:rsidR="001974AF" w:rsidRPr="00845321" w:rsidRDefault="001974AF" w:rsidP="004274B2">
      <w:pPr>
        <w:spacing w:after="0" w:line="240" w:lineRule="auto"/>
        <w:ind w:left="425" w:hanging="425"/>
        <w:rPr>
          <w:lang w:val="en-GB"/>
        </w:rPr>
      </w:pPr>
    </w:p>
    <w:p w14:paraId="717AD226" w14:textId="4C773241" w:rsidR="004B5B64" w:rsidRPr="00845321" w:rsidRDefault="00027D61" w:rsidP="004274B2">
      <w:pPr>
        <w:spacing w:after="0" w:line="240" w:lineRule="auto"/>
        <w:ind w:left="425" w:hanging="425"/>
        <w:rPr>
          <w:lang w:val="en-GB"/>
        </w:rPr>
      </w:pPr>
      <w:r w:rsidRPr="00845321">
        <w:rPr>
          <w:lang w:val="en-GB"/>
        </w:rPr>
        <w:t>8.</w:t>
      </w:r>
      <w:r w:rsidRPr="00845321">
        <w:rPr>
          <w:lang w:val="en-GB"/>
        </w:rPr>
        <w:tab/>
      </w:r>
      <w:r w:rsidR="00B13FB3">
        <w:rPr>
          <w:lang w:val="en-GB"/>
        </w:rPr>
        <w:t>FURTHER RECALLING that paragraphs</w:t>
      </w:r>
      <w:r w:rsidR="00845321" w:rsidRPr="00845321">
        <w:rPr>
          <w:lang w:val="en-GB"/>
        </w:rPr>
        <w:t xml:space="preserve"> 1, 2 and </w:t>
      </w:r>
      <w:r w:rsidR="002E03AF">
        <w:rPr>
          <w:lang w:val="en-GB"/>
        </w:rPr>
        <w:t>4 of the Strategic Plan’</w:t>
      </w:r>
      <w:r w:rsidR="00845321" w:rsidRPr="00845321">
        <w:rPr>
          <w:lang w:val="en-GB"/>
        </w:rPr>
        <w:t xml:space="preserve">s </w:t>
      </w:r>
      <w:r w:rsidR="00C7405A">
        <w:rPr>
          <w:lang w:val="en-GB"/>
        </w:rPr>
        <w:t>“</w:t>
      </w:r>
      <w:r w:rsidR="002E03AF">
        <w:rPr>
          <w:lang w:val="en-GB"/>
        </w:rPr>
        <w:t>Monitoring and Evaluation</w:t>
      </w:r>
      <w:r w:rsidR="00C7405A">
        <w:rPr>
          <w:lang w:val="en-GB"/>
        </w:rPr>
        <w:t>”</w:t>
      </w:r>
      <w:r w:rsidR="00845321" w:rsidRPr="00845321">
        <w:rPr>
          <w:lang w:val="en-GB"/>
        </w:rPr>
        <w:t xml:space="preserve"> Goal have provided for the establishment of specific indicators for each of the identified Goals to be monitored by the Parties as appropriate, and for their implementation to be monitored by the Standing Committee, as well as for the development of global indicators, taking into </w:t>
      </w:r>
      <w:r w:rsidR="002E03AF" w:rsidRPr="00845321">
        <w:rPr>
          <w:lang w:val="en-GB"/>
        </w:rPr>
        <w:t xml:space="preserve">particular </w:t>
      </w:r>
      <w:r w:rsidR="00845321" w:rsidRPr="00845321">
        <w:rPr>
          <w:lang w:val="en-GB"/>
        </w:rPr>
        <w:t xml:space="preserve">account the need for </w:t>
      </w:r>
      <w:r w:rsidR="002E03AF">
        <w:rPr>
          <w:lang w:val="en-GB"/>
        </w:rPr>
        <w:t xml:space="preserve">these </w:t>
      </w:r>
      <w:r w:rsidR="00845321" w:rsidRPr="00845321">
        <w:rPr>
          <w:lang w:val="en-GB"/>
        </w:rPr>
        <w:t xml:space="preserve">indicators to address outcomes and effectiveness and to be </w:t>
      </w:r>
      <w:r w:rsidR="00C7405A">
        <w:rPr>
          <w:lang w:val="en-GB"/>
        </w:rPr>
        <w:t>applicable</w:t>
      </w:r>
      <w:r w:rsidR="00845321" w:rsidRPr="00845321">
        <w:rPr>
          <w:lang w:val="en-GB"/>
        </w:rPr>
        <w:t xml:space="preserve"> in practice</w:t>
      </w:r>
      <w:r w:rsidR="001974AF" w:rsidRPr="00845321">
        <w:rPr>
          <w:lang w:val="en-GB"/>
        </w:rPr>
        <w:t>;</w:t>
      </w:r>
    </w:p>
    <w:p w14:paraId="6E5D80AF" w14:textId="77777777" w:rsidR="004120FB" w:rsidRPr="00845321" w:rsidRDefault="004120FB" w:rsidP="004274B2">
      <w:pPr>
        <w:spacing w:after="0" w:line="240" w:lineRule="auto"/>
        <w:ind w:left="425" w:hanging="425"/>
        <w:rPr>
          <w:lang w:val="en-GB"/>
        </w:rPr>
      </w:pPr>
    </w:p>
    <w:p w14:paraId="11CC70F1" w14:textId="26AFF49F" w:rsidR="00E62674" w:rsidRPr="00845321" w:rsidRDefault="00027D61" w:rsidP="004274B2">
      <w:pPr>
        <w:spacing w:after="0" w:line="240" w:lineRule="auto"/>
        <w:ind w:left="425" w:hanging="425"/>
        <w:rPr>
          <w:lang w:val="en-GB"/>
        </w:rPr>
      </w:pPr>
      <w:r w:rsidRPr="00845321">
        <w:rPr>
          <w:lang w:val="en-GB"/>
        </w:rPr>
        <w:t>9.</w:t>
      </w:r>
      <w:r w:rsidRPr="00845321">
        <w:rPr>
          <w:lang w:val="en-GB"/>
        </w:rPr>
        <w:tab/>
      </w:r>
      <w:r w:rsidR="00845321" w:rsidRPr="00845321">
        <w:rPr>
          <w:lang w:val="en-GB"/>
        </w:rPr>
        <w:t xml:space="preserve">CONSIDERING the importance of complementing the monitoring and evaluation indicators that underpin the implementation of the Strategic Plan and the Convention, as set out in Goal 4 of the Strategic Plan 2016-2024 and in the table in Appendix 1 </w:t>
      </w:r>
      <w:r w:rsidR="00C7405A">
        <w:rPr>
          <w:lang w:val="en-GB"/>
        </w:rPr>
        <w:t>“</w:t>
      </w:r>
      <w:r w:rsidR="00C7405A" w:rsidRPr="00C7405A">
        <w:rPr>
          <w:lang w:val="en-GB"/>
        </w:rPr>
        <w:t>Ramsar Goals and Targets with Relevant Tools, Actors, Baselines and Indicators</w:t>
      </w:r>
      <w:r w:rsidR="00C7405A">
        <w:rPr>
          <w:lang w:val="en-GB"/>
        </w:rPr>
        <w:t>”</w:t>
      </w:r>
      <w:r w:rsidR="00845321" w:rsidRPr="00845321">
        <w:rPr>
          <w:lang w:val="en-GB"/>
        </w:rPr>
        <w:t>, with legal indicators that measure the effectiveness of the Ramsar Convention</w:t>
      </w:r>
      <w:r w:rsidR="004120FB" w:rsidRPr="00845321">
        <w:rPr>
          <w:lang w:val="en-GB"/>
        </w:rPr>
        <w:t>;</w:t>
      </w:r>
    </w:p>
    <w:p w14:paraId="6203538A" w14:textId="77777777" w:rsidR="004120FB" w:rsidRPr="00845321" w:rsidRDefault="004120FB" w:rsidP="004274B2">
      <w:pPr>
        <w:spacing w:after="0" w:line="240" w:lineRule="auto"/>
        <w:ind w:left="425" w:hanging="425"/>
        <w:rPr>
          <w:lang w:val="en-GB"/>
        </w:rPr>
      </w:pPr>
    </w:p>
    <w:p w14:paraId="77FC3C1D" w14:textId="24282159" w:rsidR="006F161E" w:rsidRPr="00845321" w:rsidRDefault="00027D61" w:rsidP="004274B2">
      <w:pPr>
        <w:spacing w:after="0" w:line="240" w:lineRule="auto"/>
        <w:ind w:left="425" w:hanging="425"/>
        <w:rPr>
          <w:lang w:val="en-GB"/>
        </w:rPr>
      </w:pPr>
      <w:r w:rsidRPr="00845321">
        <w:rPr>
          <w:lang w:val="en-GB"/>
        </w:rPr>
        <w:lastRenderedPageBreak/>
        <w:t>10.</w:t>
      </w:r>
      <w:r w:rsidRPr="00845321">
        <w:rPr>
          <w:lang w:val="en-GB"/>
        </w:rPr>
        <w:tab/>
      </w:r>
      <w:r w:rsidR="00845321" w:rsidRPr="00845321">
        <w:rPr>
          <w:lang w:val="en-GB"/>
        </w:rPr>
        <w:t>DESIRING to have reliable and more systematic legal and institutional data to be able to assess, both in their National Reports and in their national implementation of the Convention, the effective legal implementation of the Convention, from the adoption of national legislation necessary to comply with the Convention's obligations to the effective enforcement of court decisions affecting wetlands</w:t>
      </w:r>
      <w:r w:rsidR="00961F33" w:rsidRPr="00845321">
        <w:rPr>
          <w:lang w:val="en-GB"/>
        </w:rPr>
        <w:t>;</w:t>
      </w:r>
    </w:p>
    <w:p w14:paraId="66DB3F8B" w14:textId="77777777" w:rsidR="004120FB" w:rsidRPr="00845321" w:rsidRDefault="004120FB" w:rsidP="004274B2">
      <w:pPr>
        <w:spacing w:after="0" w:line="240" w:lineRule="auto"/>
        <w:ind w:left="425" w:hanging="425"/>
        <w:rPr>
          <w:lang w:val="en-GB"/>
        </w:rPr>
      </w:pPr>
    </w:p>
    <w:p w14:paraId="59B911BD" w14:textId="18EFFA1C" w:rsidR="001B6821" w:rsidRPr="005603F4" w:rsidRDefault="00027D61" w:rsidP="004274B2">
      <w:pPr>
        <w:spacing w:after="0" w:line="240" w:lineRule="auto"/>
        <w:ind w:left="425" w:hanging="425"/>
        <w:rPr>
          <w:lang w:val="en-GB"/>
        </w:rPr>
      </w:pPr>
      <w:r w:rsidRPr="005603F4">
        <w:rPr>
          <w:lang w:val="en-GB"/>
        </w:rPr>
        <w:t>11.</w:t>
      </w:r>
      <w:r w:rsidRPr="005603F4">
        <w:rPr>
          <w:lang w:val="en-GB"/>
        </w:rPr>
        <w:tab/>
      </w:r>
      <w:r w:rsidR="005603F4" w:rsidRPr="005603F4">
        <w:rPr>
          <w:lang w:val="en-GB"/>
        </w:rPr>
        <w:t xml:space="preserve">WISHING, on the occasion of the 50th anniversary of the Ramsar Convention, to be able to better assess the progress </w:t>
      </w:r>
      <w:r w:rsidR="00C7405A">
        <w:rPr>
          <w:lang w:val="en-GB"/>
        </w:rPr>
        <w:t xml:space="preserve">needing </w:t>
      </w:r>
      <w:r w:rsidR="005603F4" w:rsidRPr="005603F4">
        <w:rPr>
          <w:lang w:val="en-GB"/>
        </w:rPr>
        <w:t xml:space="preserve">to be made </w:t>
      </w:r>
      <w:r w:rsidR="00C7405A">
        <w:rPr>
          <w:lang w:val="en-GB"/>
        </w:rPr>
        <w:t>for</w:t>
      </w:r>
      <w:r w:rsidR="005603F4" w:rsidRPr="005603F4">
        <w:rPr>
          <w:lang w:val="en-GB"/>
        </w:rPr>
        <w:t xml:space="preserve"> the satisfactory implementation of the Ramsar Convention through a modern and relevant assessment tool</w:t>
      </w:r>
      <w:r w:rsidR="00961F33" w:rsidRPr="005603F4">
        <w:rPr>
          <w:lang w:val="en-GB"/>
        </w:rPr>
        <w:t>;</w:t>
      </w:r>
    </w:p>
    <w:p w14:paraId="1EA5B3E7" w14:textId="77777777" w:rsidR="004120FB" w:rsidRPr="005603F4" w:rsidRDefault="004120FB" w:rsidP="004274B2">
      <w:pPr>
        <w:spacing w:after="0" w:line="240" w:lineRule="auto"/>
        <w:ind w:left="425" w:hanging="425"/>
        <w:rPr>
          <w:lang w:val="en-GB"/>
        </w:rPr>
      </w:pPr>
    </w:p>
    <w:p w14:paraId="37BC835B" w14:textId="06942DBE" w:rsidR="004C2852" w:rsidRPr="00B9166C" w:rsidRDefault="00027D61" w:rsidP="004274B2">
      <w:pPr>
        <w:spacing w:after="0" w:line="240" w:lineRule="auto"/>
        <w:ind w:left="425" w:hanging="425"/>
        <w:rPr>
          <w:lang w:val="en-GB"/>
        </w:rPr>
      </w:pPr>
      <w:r w:rsidRPr="00B9166C">
        <w:rPr>
          <w:lang w:val="en-GB"/>
        </w:rPr>
        <w:t>12.</w:t>
      </w:r>
      <w:r w:rsidRPr="00B9166C">
        <w:rPr>
          <w:lang w:val="en-GB"/>
        </w:rPr>
        <w:tab/>
      </w:r>
      <w:r w:rsidR="00B9166C" w:rsidRPr="00B9166C">
        <w:rPr>
          <w:lang w:val="en-GB"/>
        </w:rPr>
        <w:t>CONSIDERING that, in complement</w:t>
      </w:r>
      <w:r w:rsidR="00D42681">
        <w:rPr>
          <w:lang w:val="en-GB"/>
        </w:rPr>
        <w:t>ing</w:t>
      </w:r>
      <w:r w:rsidR="00B9166C" w:rsidRPr="00B9166C">
        <w:rPr>
          <w:lang w:val="en-GB"/>
        </w:rPr>
        <w:t xml:space="preserve"> existing indicators, legal indicators can help to strengthen the framework for a dynamic and ongoing process, </w:t>
      </w:r>
      <w:r w:rsidR="00D42681">
        <w:rPr>
          <w:lang w:val="en-GB"/>
        </w:rPr>
        <w:t xml:space="preserve">which is </w:t>
      </w:r>
      <w:r w:rsidR="00B9166C" w:rsidRPr="00B9166C">
        <w:rPr>
          <w:lang w:val="en-GB"/>
        </w:rPr>
        <w:t>constantly revised and adjusted to take account of the results of monitoring processes, changing priorities and emerging issues in wetland planning and management, including in small wetlands and urban and peri-urban wetlands</w:t>
      </w:r>
      <w:r w:rsidR="004120FB" w:rsidRPr="00B9166C">
        <w:rPr>
          <w:lang w:val="en-GB"/>
        </w:rPr>
        <w:t>;</w:t>
      </w:r>
      <w:r w:rsidR="00D42681">
        <w:rPr>
          <w:lang w:val="en-GB"/>
        </w:rPr>
        <w:t xml:space="preserve"> and</w:t>
      </w:r>
    </w:p>
    <w:p w14:paraId="112CD641" w14:textId="77777777" w:rsidR="004A7FED" w:rsidRPr="00B9166C" w:rsidRDefault="004A7FED" w:rsidP="004274B2">
      <w:pPr>
        <w:spacing w:after="0" w:line="240" w:lineRule="auto"/>
        <w:ind w:left="425" w:hanging="425"/>
        <w:rPr>
          <w:lang w:val="en-GB"/>
        </w:rPr>
      </w:pPr>
    </w:p>
    <w:p w14:paraId="6B32E27C" w14:textId="2B56B926" w:rsidR="004A7FED" w:rsidRPr="00B9166C" w:rsidRDefault="00027D61" w:rsidP="004274B2">
      <w:pPr>
        <w:spacing w:after="0" w:line="240" w:lineRule="auto"/>
        <w:ind w:left="425" w:hanging="425"/>
        <w:rPr>
          <w:lang w:val="en-GB"/>
        </w:rPr>
      </w:pPr>
      <w:r w:rsidRPr="00B9166C">
        <w:rPr>
          <w:lang w:val="en-GB"/>
        </w:rPr>
        <w:t>13.</w:t>
      </w:r>
      <w:r w:rsidRPr="00B9166C">
        <w:rPr>
          <w:lang w:val="en-GB"/>
        </w:rPr>
        <w:tab/>
      </w:r>
      <w:r w:rsidR="00B9166C" w:rsidRPr="00B9166C">
        <w:rPr>
          <w:lang w:val="en-GB"/>
        </w:rPr>
        <w:t xml:space="preserve">TAKING INTO ACCOUNT the request of the IUCN World Conservation Congress 2021 to Parties to </w:t>
      </w:r>
      <w:r w:rsidR="00B86CE5">
        <w:rPr>
          <w:lang w:val="en-GB"/>
        </w:rPr>
        <w:t>global environmental C</w:t>
      </w:r>
      <w:r w:rsidR="00B9166C" w:rsidRPr="00B9166C">
        <w:rPr>
          <w:lang w:val="en-GB"/>
        </w:rPr>
        <w:t xml:space="preserve">onventions to introduce legal indicators to facilitate the evaluation of State reports, resulting from the adoption of Motion 060 </w:t>
      </w:r>
      <w:r w:rsidR="00C7405A">
        <w:rPr>
          <w:lang w:val="en-GB"/>
        </w:rPr>
        <w:t>“</w:t>
      </w:r>
      <w:r w:rsidR="00B9166C" w:rsidRPr="00B9166C">
        <w:rPr>
          <w:lang w:val="en-GB"/>
        </w:rPr>
        <w:t xml:space="preserve">Measuring the effectiveness of environmental law </w:t>
      </w:r>
      <w:r w:rsidR="00B86CE5">
        <w:rPr>
          <w:lang w:val="en-GB"/>
        </w:rPr>
        <w:t>using</w:t>
      </w:r>
      <w:r w:rsidR="00B9166C" w:rsidRPr="00B9166C">
        <w:rPr>
          <w:lang w:val="en-GB"/>
        </w:rPr>
        <w:t xml:space="preserve"> legal indicators</w:t>
      </w:r>
      <w:r w:rsidR="00C7405A">
        <w:rPr>
          <w:lang w:val="en-GB"/>
        </w:rPr>
        <w:t>”</w:t>
      </w:r>
      <w:r w:rsidR="004A7FED" w:rsidRPr="00B9166C">
        <w:rPr>
          <w:lang w:val="en-GB"/>
        </w:rPr>
        <w:t>;</w:t>
      </w:r>
    </w:p>
    <w:p w14:paraId="58BD5211" w14:textId="77777777" w:rsidR="00BF0379" w:rsidRPr="00B9166C" w:rsidRDefault="00BF0379" w:rsidP="004274B2">
      <w:pPr>
        <w:pStyle w:val="ListParagraph"/>
        <w:spacing w:after="0" w:line="240" w:lineRule="auto"/>
        <w:ind w:left="0"/>
        <w:contextualSpacing w:val="0"/>
        <w:rPr>
          <w:lang w:val="en-GB"/>
        </w:rPr>
      </w:pPr>
    </w:p>
    <w:p w14:paraId="5B547FF7" w14:textId="7CAB414A" w:rsidR="00BF0379" w:rsidRDefault="00B9166C" w:rsidP="004274B2">
      <w:pPr>
        <w:pStyle w:val="ListParagraph"/>
        <w:spacing w:after="0" w:line="240" w:lineRule="auto"/>
        <w:ind w:left="0"/>
        <w:contextualSpacing w:val="0"/>
        <w:jc w:val="center"/>
        <w:rPr>
          <w:lang w:val="en-GB"/>
        </w:rPr>
      </w:pPr>
      <w:r w:rsidRPr="00B9166C">
        <w:rPr>
          <w:lang w:val="en-GB"/>
        </w:rPr>
        <w:t>THE CONFERENCE OF THE CONTRACTING PARTIES</w:t>
      </w:r>
    </w:p>
    <w:p w14:paraId="50F49C7B" w14:textId="77777777" w:rsidR="00B9166C" w:rsidRPr="00B9166C" w:rsidRDefault="00B9166C" w:rsidP="004274B2">
      <w:pPr>
        <w:pStyle w:val="ListParagraph"/>
        <w:spacing w:after="0" w:line="240" w:lineRule="auto"/>
        <w:ind w:left="0"/>
        <w:contextualSpacing w:val="0"/>
        <w:rPr>
          <w:lang w:val="en-GB"/>
        </w:rPr>
      </w:pPr>
    </w:p>
    <w:p w14:paraId="67DFC973" w14:textId="172B41A1" w:rsidR="00D15DA3" w:rsidRPr="00B9166C" w:rsidRDefault="00027D61" w:rsidP="004274B2">
      <w:pPr>
        <w:spacing w:after="0" w:line="240" w:lineRule="auto"/>
        <w:ind w:left="425" w:hanging="425"/>
        <w:rPr>
          <w:lang w:val="en-GB"/>
        </w:rPr>
      </w:pPr>
      <w:r w:rsidRPr="00B9166C">
        <w:rPr>
          <w:lang w:val="en-GB"/>
        </w:rPr>
        <w:t>14.</w:t>
      </w:r>
      <w:r w:rsidRPr="00B9166C">
        <w:rPr>
          <w:lang w:val="en-GB"/>
        </w:rPr>
        <w:tab/>
      </w:r>
      <w:r w:rsidR="00B86CE5">
        <w:rPr>
          <w:lang w:val="en-GB"/>
        </w:rPr>
        <w:t>INSTRUCTS</w:t>
      </w:r>
      <w:r w:rsidR="00B9166C" w:rsidRPr="00B9166C">
        <w:rPr>
          <w:lang w:val="en-GB"/>
        </w:rPr>
        <w:t xml:space="preserve"> the Secretariat to undertake as soon as possible, with the assistance of an independent consultant, the necessary work to formulate legal indicators of the effectiveness of national implementation of the Ramsar Convention</w:t>
      </w:r>
      <w:r w:rsidR="00B86CE5">
        <w:rPr>
          <w:lang w:val="en-GB"/>
        </w:rPr>
        <w:t>,</w:t>
      </w:r>
      <w:r w:rsidR="00B9166C" w:rsidRPr="00B9166C">
        <w:rPr>
          <w:lang w:val="en-GB"/>
        </w:rPr>
        <w:t xml:space="preserve"> in order to have an appropriate method of measuring such effectiveness available to each Contracting Party</w:t>
      </w:r>
      <w:r w:rsidR="004120FB" w:rsidRPr="00B9166C">
        <w:rPr>
          <w:lang w:val="en-GB"/>
        </w:rPr>
        <w:t>;</w:t>
      </w:r>
    </w:p>
    <w:p w14:paraId="0A897E98" w14:textId="77777777" w:rsidR="004120FB" w:rsidRPr="00B9166C" w:rsidRDefault="004120FB" w:rsidP="004274B2">
      <w:pPr>
        <w:spacing w:after="0" w:line="240" w:lineRule="auto"/>
        <w:ind w:left="425" w:hanging="425"/>
        <w:rPr>
          <w:lang w:val="en-GB"/>
        </w:rPr>
      </w:pPr>
    </w:p>
    <w:p w14:paraId="19CB3397" w14:textId="52B1899D" w:rsidR="00255892" w:rsidRPr="00B9166C" w:rsidRDefault="00027D61" w:rsidP="004274B2">
      <w:pPr>
        <w:spacing w:after="0" w:line="240" w:lineRule="auto"/>
        <w:ind w:left="425" w:hanging="425"/>
        <w:rPr>
          <w:lang w:val="en-GB"/>
        </w:rPr>
      </w:pPr>
      <w:r w:rsidRPr="00B9166C">
        <w:rPr>
          <w:lang w:val="en-GB"/>
        </w:rPr>
        <w:t>15.</w:t>
      </w:r>
      <w:r w:rsidRPr="00B9166C">
        <w:rPr>
          <w:lang w:val="en-GB"/>
        </w:rPr>
        <w:tab/>
      </w:r>
      <w:r w:rsidR="00B9166C" w:rsidRPr="00B9166C">
        <w:rPr>
          <w:lang w:val="en-GB"/>
        </w:rPr>
        <w:t xml:space="preserve">REQUESTS that the following be taken into account in the development of these legal indicators of effectiveness: issues raised by national reports and analysed by the </w:t>
      </w:r>
      <w:r w:rsidR="00CC1E18">
        <w:rPr>
          <w:lang w:val="en-GB"/>
        </w:rPr>
        <w:t>S</w:t>
      </w:r>
      <w:r w:rsidR="00B9166C" w:rsidRPr="00B9166C">
        <w:rPr>
          <w:lang w:val="en-GB"/>
        </w:rPr>
        <w:t>ecretariat leading to statistical reports on the implementation of the Convention, as well as data produced by the Regional Ramsar Initiatives</w:t>
      </w:r>
      <w:r w:rsidR="004120FB" w:rsidRPr="00B9166C">
        <w:rPr>
          <w:lang w:val="en-GB"/>
        </w:rPr>
        <w:t>;</w:t>
      </w:r>
    </w:p>
    <w:p w14:paraId="2D0AC75C" w14:textId="77777777" w:rsidR="004120FB" w:rsidRPr="00B9166C" w:rsidRDefault="004120FB" w:rsidP="004274B2">
      <w:pPr>
        <w:spacing w:after="0" w:line="240" w:lineRule="auto"/>
        <w:ind w:left="425" w:hanging="425"/>
        <w:rPr>
          <w:lang w:val="en-GB"/>
        </w:rPr>
      </w:pPr>
    </w:p>
    <w:p w14:paraId="7C342025" w14:textId="07B9E9FB" w:rsidR="00BB4127" w:rsidRPr="00B9166C" w:rsidRDefault="00027D61" w:rsidP="004274B2">
      <w:pPr>
        <w:spacing w:after="0" w:line="240" w:lineRule="auto"/>
        <w:ind w:left="425" w:hanging="425"/>
        <w:rPr>
          <w:lang w:val="en-GB"/>
        </w:rPr>
      </w:pPr>
      <w:r w:rsidRPr="00B9166C">
        <w:rPr>
          <w:lang w:val="en-GB"/>
        </w:rPr>
        <w:t>16.</w:t>
      </w:r>
      <w:r w:rsidRPr="00B9166C">
        <w:rPr>
          <w:lang w:val="en-GB"/>
        </w:rPr>
        <w:tab/>
      </w:r>
      <w:r w:rsidR="00B9166C" w:rsidRPr="00B9166C">
        <w:rPr>
          <w:lang w:val="en-GB"/>
        </w:rPr>
        <w:t>ALSO REQUESTS that the legal indicators take into account both the implementation of the Convention and its Resolutions, the Fourth Strategic Plan, and the Ramsar Regional Initiatives</w:t>
      </w:r>
      <w:r w:rsidR="004120FB" w:rsidRPr="00B9166C">
        <w:rPr>
          <w:lang w:val="en-GB"/>
        </w:rPr>
        <w:t>;</w:t>
      </w:r>
    </w:p>
    <w:p w14:paraId="373A240B" w14:textId="77777777" w:rsidR="004120FB" w:rsidRPr="00B9166C" w:rsidRDefault="004120FB" w:rsidP="004274B2">
      <w:pPr>
        <w:spacing w:after="0" w:line="240" w:lineRule="auto"/>
        <w:ind w:left="425" w:hanging="425"/>
        <w:rPr>
          <w:lang w:val="en-GB"/>
        </w:rPr>
      </w:pPr>
    </w:p>
    <w:p w14:paraId="63444A3D" w14:textId="00AA7BBF" w:rsidR="00445A35" w:rsidRPr="00B9166C" w:rsidRDefault="00027D61" w:rsidP="004274B2">
      <w:pPr>
        <w:spacing w:after="0" w:line="240" w:lineRule="auto"/>
        <w:ind w:left="425" w:hanging="425"/>
        <w:rPr>
          <w:lang w:val="en-GB"/>
        </w:rPr>
      </w:pPr>
      <w:r w:rsidRPr="00B9166C">
        <w:rPr>
          <w:lang w:val="en-GB"/>
        </w:rPr>
        <w:t>17.</w:t>
      </w:r>
      <w:r w:rsidRPr="00B9166C">
        <w:rPr>
          <w:lang w:val="en-GB"/>
        </w:rPr>
        <w:tab/>
      </w:r>
      <w:r w:rsidR="00B9166C" w:rsidRPr="00B9166C">
        <w:rPr>
          <w:lang w:val="en-GB"/>
        </w:rPr>
        <w:t>URGES Contracting Parties and their National Focal Points to collaborate in the development of appropriate legal indicators</w:t>
      </w:r>
      <w:r w:rsidR="004120FB" w:rsidRPr="00B9166C">
        <w:rPr>
          <w:lang w:val="en-GB"/>
        </w:rPr>
        <w:t>;</w:t>
      </w:r>
      <w:r w:rsidR="00B9166C">
        <w:rPr>
          <w:lang w:val="en-GB"/>
        </w:rPr>
        <w:t xml:space="preserve"> and</w:t>
      </w:r>
    </w:p>
    <w:p w14:paraId="1A5A6931" w14:textId="77777777" w:rsidR="004120FB" w:rsidRPr="00B9166C" w:rsidRDefault="004120FB" w:rsidP="004274B2">
      <w:pPr>
        <w:spacing w:after="0" w:line="240" w:lineRule="auto"/>
        <w:ind w:left="425" w:hanging="425"/>
        <w:rPr>
          <w:lang w:val="en-GB"/>
        </w:rPr>
      </w:pPr>
    </w:p>
    <w:p w14:paraId="026422CE" w14:textId="5D5124A3" w:rsidR="00445A35" w:rsidRPr="00B9166C" w:rsidRDefault="00027D61" w:rsidP="004274B2">
      <w:pPr>
        <w:spacing w:after="0" w:line="240" w:lineRule="auto"/>
        <w:ind w:left="425" w:hanging="425"/>
        <w:rPr>
          <w:lang w:val="en-GB"/>
        </w:rPr>
      </w:pPr>
      <w:r w:rsidRPr="00B9166C">
        <w:rPr>
          <w:lang w:val="en-GB"/>
        </w:rPr>
        <w:t>18.</w:t>
      </w:r>
      <w:r w:rsidRPr="00B9166C">
        <w:rPr>
          <w:lang w:val="en-GB"/>
        </w:rPr>
        <w:tab/>
      </w:r>
      <w:r w:rsidR="00B9166C" w:rsidRPr="00B9166C">
        <w:rPr>
          <w:lang w:val="en-GB"/>
        </w:rPr>
        <w:t xml:space="preserve">REQUESTS </w:t>
      </w:r>
      <w:r w:rsidR="00CC1E18">
        <w:rPr>
          <w:lang w:val="en-GB"/>
        </w:rPr>
        <w:t xml:space="preserve">that </w:t>
      </w:r>
      <w:r w:rsidR="00B9166C" w:rsidRPr="00B9166C">
        <w:rPr>
          <w:lang w:val="en-GB"/>
        </w:rPr>
        <w:t>the Effectiveness Working Group and the Standing Committee monitor and evaluate the work on the development of legal indicators</w:t>
      </w:r>
      <w:r w:rsidR="005A1919" w:rsidRPr="00B9166C">
        <w:rPr>
          <w:lang w:val="en-GB"/>
        </w:rPr>
        <w:t>.</w:t>
      </w:r>
    </w:p>
    <w:p w14:paraId="6FCC25B9" w14:textId="77777777" w:rsidR="00A22178" w:rsidRPr="00B9166C" w:rsidRDefault="00A22178" w:rsidP="004274B2">
      <w:pPr>
        <w:spacing w:after="0" w:line="240" w:lineRule="auto"/>
        <w:rPr>
          <w:b/>
          <w:lang w:val="en-GB"/>
        </w:rPr>
      </w:pPr>
    </w:p>
    <w:sectPr w:rsidR="00A22178" w:rsidRPr="00B9166C" w:rsidSect="00027D61">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43F18" w14:textId="77777777" w:rsidR="00853158" w:rsidRDefault="00853158" w:rsidP="000B4C6C">
      <w:pPr>
        <w:spacing w:after="0" w:line="240" w:lineRule="auto"/>
      </w:pPr>
      <w:r>
        <w:separator/>
      </w:r>
    </w:p>
  </w:endnote>
  <w:endnote w:type="continuationSeparator" w:id="0">
    <w:p w14:paraId="4B737CDF" w14:textId="77777777" w:rsidR="00853158" w:rsidRDefault="00853158" w:rsidP="000B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仿宋">
    <w:altName w:val="Microsoft YaHei Light"/>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FAB8C" w14:textId="5D8D5462" w:rsidR="006F34C3" w:rsidRPr="00027D61" w:rsidRDefault="00077A5F" w:rsidP="002F0256">
    <w:pPr>
      <w:pStyle w:val="Footer"/>
      <w:tabs>
        <w:tab w:val="clear" w:pos="4536"/>
      </w:tabs>
      <w:jc w:val="center"/>
      <w:rPr>
        <w:sz w:val="20"/>
        <w:szCs w:val="20"/>
      </w:rPr>
    </w:pPr>
    <w:r>
      <w:rPr>
        <w:sz w:val="20"/>
        <w:szCs w:val="20"/>
      </w:rPr>
      <w:t>SC59 Doc.24.3</w:t>
    </w:r>
    <w:r w:rsidR="002F0256" w:rsidRPr="00027D61">
      <w:rPr>
        <w:sz w:val="20"/>
        <w:szCs w:val="20"/>
      </w:rPr>
      <w:tab/>
    </w:r>
    <w:r w:rsidR="002F0256" w:rsidRPr="00027D61">
      <w:rPr>
        <w:sz w:val="20"/>
        <w:szCs w:val="20"/>
      </w:rPr>
      <w:fldChar w:fldCharType="begin"/>
    </w:r>
    <w:r w:rsidR="002F0256" w:rsidRPr="00027D61">
      <w:rPr>
        <w:sz w:val="20"/>
        <w:szCs w:val="20"/>
      </w:rPr>
      <w:instrText xml:space="preserve"> PAGE   \* MERGEFORMAT </w:instrText>
    </w:r>
    <w:r w:rsidR="002F0256" w:rsidRPr="00027D61">
      <w:rPr>
        <w:sz w:val="20"/>
        <w:szCs w:val="20"/>
      </w:rPr>
      <w:fldChar w:fldCharType="separate"/>
    </w:r>
    <w:r w:rsidR="0030086A">
      <w:rPr>
        <w:noProof/>
        <w:sz w:val="20"/>
        <w:szCs w:val="20"/>
      </w:rPr>
      <w:t>4</w:t>
    </w:r>
    <w:r w:rsidR="002F0256" w:rsidRPr="00027D6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85B45" w14:textId="77777777" w:rsidR="00853158" w:rsidRDefault="00853158" w:rsidP="000B4C6C">
      <w:pPr>
        <w:spacing w:after="0" w:line="240" w:lineRule="auto"/>
      </w:pPr>
      <w:r>
        <w:separator/>
      </w:r>
    </w:p>
  </w:footnote>
  <w:footnote w:type="continuationSeparator" w:id="0">
    <w:p w14:paraId="31548974" w14:textId="77777777" w:rsidR="00853158" w:rsidRDefault="00853158" w:rsidP="000B4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1DE3"/>
    <w:multiLevelType w:val="hybridMultilevel"/>
    <w:tmpl w:val="1A7EB0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6787233"/>
    <w:multiLevelType w:val="hybridMultilevel"/>
    <w:tmpl w:val="DBB8AB5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91E15"/>
    <w:multiLevelType w:val="hybridMultilevel"/>
    <w:tmpl w:val="7DC441AA"/>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3" w15:restartNumberingAfterBreak="0">
    <w:nsid w:val="3F170706"/>
    <w:multiLevelType w:val="hybridMultilevel"/>
    <w:tmpl w:val="2AA8E078"/>
    <w:lvl w:ilvl="0" w:tplc="42C271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5B23B8"/>
    <w:multiLevelType w:val="hybridMultilevel"/>
    <w:tmpl w:val="1038AF24"/>
    <w:lvl w:ilvl="0" w:tplc="78B403F2">
      <w:start w:val="1"/>
      <w:numFmt w:val="lowerRoman"/>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4FFF1E70"/>
    <w:multiLevelType w:val="hybridMultilevel"/>
    <w:tmpl w:val="A8AC514A"/>
    <w:lvl w:ilvl="0" w:tplc="40989B6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A57450"/>
    <w:multiLevelType w:val="multilevel"/>
    <w:tmpl w:val="CF5A32FE"/>
    <w:lvl w:ilvl="0">
      <w:start w:val="1"/>
      <w:numFmt w:val="bullet"/>
      <w:lvlText w:val=""/>
      <w:lvlJc w:val="left"/>
      <w:pPr>
        <w:ind w:left="294" w:hanging="360"/>
      </w:pPr>
      <w:rPr>
        <w:rFonts w:ascii="Symbol" w:hAnsi="Symbol" w:cs="Symbol" w:hint="default"/>
      </w:rPr>
    </w:lvl>
    <w:lvl w:ilvl="1">
      <w:start w:val="1"/>
      <w:numFmt w:val="bullet"/>
      <w:lvlText w:val="o"/>
      <w:lvlJc w:val="left"/>
      <w:pPr>
        <w:ind w:left="1014" w:hanging="360"/>
      </w:pPr>
      <w:rPr>
        <w:rFonts w:ascii="Courier New" w:hAnsi="Courier New" w:cs="Courier New" w:hint="default"/>
      </w:rPr>
    </w:lvl>
    <w:lvl w:ilvl="2">
      <w:start w:val="1"/>
      <w:numFmt w:val="bullet"/>
      <w:lvlText w:val=""/>
      <w:lvlJc w:val="left"/>
      <w:pPr>
        <w:ind w:left="1734" w:hanging="360"/>
      </w:pPr>
      <w:rPr>
        <w:rFonts w:ascii="Wingdings" w:hAnsi="Wingdings" w:cs="Wingdings" w:hint="default"/>
      </w:rPr>
    </w:lvl>
    <w:lvl w:ilvl="3">
      <w:start w:val="1"/>
      <w:numFmt w:val="bullet"/>
      <w:lvlText w:val=""/>
      <w:lvlJc w:val="left"/>
      <w:pPr>
        <w:ind w:left="2454" w:hanging="360"/>
      </w:pPr>
      <w:rPr>
        <w:rFonts w:ascii="Symbol" w:hAnsi="Symbol" w:cs="Symbol" w:hint="default"/>
      </w:rPr>
    </w:lvl>
    <w:lvl w:ilvl="4">
      <w:start w:val="1"/>
      <w:numFmt w:val="bullet"/>
      <w:lvlText w:val="o"/>
      <w:lvlJc w:val="left"/>
      <w:pPr>
        <w:ind w:left="3174" w:hanging="360"/>
      </w:pPr>
      <w:rPr>
        <w:rFonts w:ascii="Courier New" w:hAnsi="Courier New" w:cs="Courier New" w:hint="default"/>
      </w:rPr>
    </w:lvl>
    <w:lvl w:ilvl="5">
      <w:start w:val="1"/>
      <w:numFmt w:val="bullet"/>
      <w:lvlText w:val=""/>
      <w:lvlJc w:val="left"/>
      <w:pPr>
        <w:ind w:left="3894" w:hanging="360"/>
      </w:pPr>
      <w:rPr>
        <w:rFonts w:ascii="Wingdings" w:hAnsi="Wingdings" w:cs="Wingdings" w:hint="default"/>
      </w:rPr>
    </w:lvl>
    <w:lvl w:ilvl="6">
      <w:start w:val="1"/>
      <w:numFmt w:val="bullet"/>
      <w:lvlText w:val=""/>
      <w:lvlJc w:val="left"/>
      <w:pPr>
        <w:ind w:left="4614" w:hanging="360"/>
      </w:pPr>
      <w:rPr>
        <w:rFonts w:ascii="Symbol" w:hAnsi="Symbol" w:cs="Symbol" w:hint="default"/>
      </w:rPr>
    </w:lvl>
    <w:lvl w:ilvl="7">
      <w:start w:val="1"/>
      <w:numFmt w:val="bullet"/>
      <w:lvlText w:val="o"/>
      <w:lvlJc w:val="left"/>
      <w:pPr>
        <w:ind w:left="5334" w:hanging="360"/>
      </w:pPr>
      <w:rPr>
        <w:rFonts w:ascii="Courier New" w:hAnsi="Courier New" w:cs="Courier New" w:hint="default"/>
      </w:rPr>
    </w:lvl>
    <w:lvl w:ilvl="8">
      <w:start w:val="1"/>
      <w:numFmt w:val="bullet"/>
      <w:lvlText w:val=""/>
      <w:lvlJc w:val="left"/>
      <w:pPr>
        <w:ind w:left="6054" w:hanging="360"/>
      </w:pPr>
      <w:rPr>
        <w:rFonts w:ascii="Wingdings" w:hAnsi="Wingdings" w:cs="Wingdings" w:hint="default"/>
      </w:rPr>
    </w:lvl>
  </w:abstractNum>
  <w:abstractNum w:abstractNumId="7" w15:restartNumberingAfterBreak="0">
    <w:nsid w:val="5A72208D"/>
    <w:multiLevelType w:val="hybridMultilevel"/>
    <w:tmpl w:val="46CA228E"/>
    <w:lvl w:ilvl="0" w:tplc="A3D6E78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B171E4"/>
    <w:multiLevelType w:val="hybridMultilevel"/>
    <w:tmpl w:val="D8BA1970"/>
    <w:lvl w:ilvl="0" w:tplc="5BD21C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BD40D4"/>
    <w:multiLevelType w:val="hybridMultilevel"/>
    <w:tmpl w:val="A51CB00A"/>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8"/>
  </w:num>
  <w:num w:numId="6">
    <w:abstractNumId w:val="4"/>
  </w:num>
  <w:num w:numId="7">
    <w:abstractNumId w:val="6"/>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1NzczMzOwMDc0NjFQ0lEKTi0uzszPAykwrAUAVkkCsiwAAAA="/>
  </w:docVars>
  <w:rsids>
    <w:rsidRoot w:val="006B7E64"/>
    <w:rsid w:val="00011B5B"/>
    <w:rsid w:val="0002319E"/>
    <w:rsid w:val="00026F35"/>
    <w:rsid w:val="00027D61"/>
    <w:rsid w:val="00033950"/>
    <w:rsid w:val="00055951"/>
    <w:rsid w:val="0005649A"/>
    <w:rsid w:val="00077A5F"/>
    <w:rsid w:val="00097D57"/>
    <w:rsid w:val="000A52AA"/>
    <w:rsid w:val="000B4C6C"/>
    <w:rsid w:val="000B741A"/>
    <w:rsid w:val="000C2596"/>
    <w:rsid w:val="00104DA1"/>
    <w:rsid w:val="00153C64"/>
    <w:rsid w:val="001549DE"/>
    <w:rsid w:val="00185497"/>
    <w:rsid w:val="001974AF"/>
    <w:rsid w:val="001A4AC1"/>
    <w:rsid w:val="001A7682"/>
    <w:rsid w:val="001B6821"/>
    <w:rsid w:val="001C4B9D"/>
    <w:rsid w:val="001C6B0D"/>
    <w:rsid w:val="001D12EB"/>
    <w:rsid w:val="001D2601"/>
    <w:rsid w:val="001D78D8"/>
    <w:rsid w:val="00204BA8"/>
    <w:rsid w:val="00255892"/>
    <w:rsid w:val="002A43A5"/>
    <w:rsid w:val="002A744F"/>
    <w:rsid w:val="002E03AF"/>
    <w:rsid w:val="002E13B8"/>
    <w:rsid w:val="002F0256"/>
    <w:rsid w:val="002F23AD"/>
    <w:rsid w:val="002F2464"/>
    <w:rsid w:val="002F562B"/>
    <w:rsid w:val="0030086A"/>
    <w:rsid w:val="00302AF8"/>
    <w:rsid w:val="0034738A"/>
    <w:rsid w:val="003D1689"/>
    <w:rsid w:val="003E1858"/>
    <w:rsid w:val="003E2FC0"/>
    <w:rsid w:val="003E4A29"/>
    <w:rsid w:val="003F482B"/>
    <w:rsid w:val="004120FB"/>
    <w:rsid w:val="00416BF7"/>
    <w:rsid w:val="00421D43"/>
    <w:rsid w:val="004274B2"/>
    <w:rsid w:val="00440F7A"/>
    <w:rsid w:val="00445A35"/>
    <w:rsid w:val="00465244"/>
    <w:rsid w:val="00480D08"/>
    <w:rsid w:val="004851C1"/>
    <w:rsid w:val="004A7FED"/>
    <w:rsid w:val="004B5B64"/>
    <w:rsid w:val="004B627B"/>
    <w:rsid w:val="004C2852"/>
    <w:rsid w:val="005345B7"/>
    <w:rsid w:val="005603F4"/>
    <w:rsid w:val="00575D38"/>
    <w:rsid w:val="005944D5"/>
    <w:rsid w:val="005A1919"/>
    <w:rsid w:val="005D503B"/>
    <w:rsid w:val="005E0120"/>
    <w:rsid w:val="005E0C66"/>
    <w:rsid w:val="005F68A0"/>
    <w:rsid w:val="00603EE3"/>
    <w:rsid w:val="00615129"/>
    <w:rsid w:val="006175B3"/>
    <w:rsid w:val="0067586A"/>
    <w:rsid w:val="00676815"/>
    <w:rsid w:val="00694DB0"/>
    <w:rsid w:val="006B4032"/>
    <w:rsid w:val="006B7E64"/>
    <w:rsid w:val="006D2ED1"/>
    <w:rsid w:val="006E3BC6"/>
    <w:rsid w:val="006F07D4"/>
    <w:rsid w:val="006F161E"/>
    <w:rsid w:val="006F34C3"/>
    <w:rsid w:val="0070540F"/>
    <w:rsid w:val="00711C88"/>
    <w:rsid w:val="00740654"/>
    <w:rsid w:val="00752121"/>
    <w:rsid w:val="0075719E"/>
    <w:rsid w:val="00783A6D"/>
    <w:rsid w:val="00784822"/>
    <w:rsid w:val="007A3240"/>
    <w:rsid w:val="007B47FD"/>
    <w:rsid w:val="007F0E76"/>
    <w:rsid w:val="008054D8"/>
    <w:rsid w:val="0081477F"/>
    <w:rsid w:val="0082658F"/>
    <w:rsid w:val="008347D7"/>
    <w:rsid w:val="00845321"/>
    <w:rsid w:val="00853158"/>
    <w:rsid w:val="00866650"/>
    <w:rsid w:val="00867B65"/>
    <w:rsid w:val="00887B98"/>
    <w:rsid w:val="00896132"/>
    <w:rsid w:val="008966C7"/>
    <w:rsid w:val="008A059D"/>
    <w:rsid w:val="008A4B17"/>
    <w:rsid w:val="008C06F2"/>
    <w:rsid w:val="008C22A6"/>
    <w:rsid w:val="008C44BE"/>
    <w:rsid w:val="008F5393"/>
    <w:rsid w:val="009042F6"/>
    <w:rsid w:val="00961F33"/>
    <w:rsid w:val="00981DB3"/>
    <w:rsid w:val="009C11E1"/>
    <w:rsid w:val="009C7C4A"/>
    <w:rsid w:val="009F1E1A"/>
    <w:rsid w:val="00A015A8"/>
    <w:rsid w:val="00A22178"/>
    <w:rsid w:val="00A2441A"/>
    <w:rsid w:val="00A40D9C"/>
    <w:rsid w:val="00A40EF2"/>
    <w:rsid w:val="00A5193C"/>
    <w:rsid w:val="00A67F87"/>
    <w:rsid w:val="00A84A9A"/>
    <w:rsid w:val="00A8774F"/>
    <w:rsid w:val="00AC48DB"/>
    <w:rsid w:val="00AF379C"/>
    <w:rsid w:val="00B0314A"/>
    <w:rsid w:val="00B03FDD"/>
    <w:rsid w:val="00B13FB3"/>
    <w:rsid w:val="00B52EBF"/>
    <w:rsid w:val="00B81EC5"/>
    <w:rsid w:val="00B83141"/>
    <w:rsid w:val="00B86CE5"/>
    <w:rsid w:val="00B86D85"/>
    <w:rsid w:val="00B9166C"/>
    <w:rsid w:val="00B96D85"/>
    <w:rsid w:val="00BB060C"/>
    <w:rsid w:val="00BB4127"/>
    <w:rsid w:val="00BB4378"/>
    <w:rsid w:val="00BC0F91"/>
    <w:rsid w:val="00BF0379"/>
    <w:rsid w:val="00C27C7B"/>
    <w:rsid w:val="00C411E5"/>
    <w:rsid w:val="00C5627A"/>
    <w:rsid w:val="00C7405A"/>
    <w:rsid w:val="00C85E02"/>
    <w:rsid w:val="00C92523"/>
    <w:rsid w:val="00CC1E18"/>
    <w:rsid w:val="00CC7C83"/>
    <w:rsid w:val="00CE39CD"/>
    <w:rsid w:val="00CF6C80"/>
    <w:rsid w:val="00D03EDD"/>
    <w:rsid w:val="00D0608F"/>
    <w:rsid w:val="00D12DE8"/>
    <w:rsid w:val="00D15DA3"/>
    <w:rsid w:val="00D42681"/>
    <w:rsid w:val="00D436FB"/>
    <w:rsid w:val="00D72EAA"/>
    <w:rsid w:val="00DB2533"/>
    <w:rsid w:val="00DE70E2"/>
    <w:rsid w:val="00DF16D3"/>
    <w:rsid w:val="00E25B44"/>
    <w:rsid w:val="00E46ED5"/>
    <w:rsid w:val="00E53B81"/>
    <w:rsid w:val="00E62674"/>
    <w:rsid w:val="00EA7999"/>
    <w:rsid w:val="00EC447F"/>
    <w:rsid w:val="00EC76DD"/>
    <w:rsid w:val="00ED6381"/>
    <w:rsid w:val="00EE2312"/>
    <w:rsid w:val="00EE44E2"/>
    <w:rsid w:val="00EE57FB"/>
    <w:rsid w:val="00F02706"/>
    <w:rsid w:val="00F028B4"/>
    <w:rsid w:val="00F25127"/>
    <w:rsid w:val="00F37760"/>
    <w:rsid w:val="00F3779D"/>
    <w:rsid w:val="00F40561"/>
    <w:rsid w:val="00F862D8"/>
    <w:rsid w:val="00F87090"/>
    <w:rsid w:val="00FC0930"/>
    <w:rsid w:val="00FE02AF"/>
    <w:rsid w:val="00FE5E8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7DA68"/>
  <w15:docId w15:val="{27ECE6C7-F0A2-4AFA-B012-3CD7B50D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E64"/>
    <w:pPr>
      <w:ind w:left="720"/>
      <w:contextualSpacing/>
    </w:pPr>
  </w:style>
  <w:style w:type="paragraph" w:styleId="Header">
    <w:name w:val="header"/>
    <w:basedOn w:val="Normal"/>
    <w:link w:val="HeaderChar"/>
    <w:uiPriority w:val="99"/>
    <w:unhideWhenUsed/>
    <w:rsid w:val="000B4C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4C6C"/>
  </w:style>
  <w:style w:type="paragraph" w:styleId="Footer">
    <w:name w:val="footer"/>
    <w:basedOn w:val="Normal"/>
    <w:link w:val="FooterChar"/>
    <w:uiPriority w:val="99"/>
    <w:unhideWhenUsed/>
    <w:rsid w:val="000B4C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4C6C"/>
  </w:style>
  <w:style w:type="paragraph" w:styleId="BalloonText">
    <w:name w:val="Balloon Text"/>
    <w:basedOn w:val="Normal"/>
    <w:link w:val="BalloonTextChar"/>
    <w:uiPriority w:val="99"/>
    <w:semiHidden/>
    <w:unhideWhenUsed/>
    <w:rsid w:val="00F3776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37760"/>
    <w:rPr>
      <w:rFonts w:ascii="Lucida Grande" w:hAnsi="Lucida Grande"/>
      <w:sz w:val="18"/>
      <w:szCs w:val="18"/>
    </w:rPr>
  </w:style>
  <w:style w:type="table" w:styleId="TableGrid">
    <w:name w:val="Table Grid"/>
    <w:basedOn w:val="TableNormal"/>
    <w:uiPriority w:val="59"/>
    <w:rsid w:val="00F37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2F0256"/>
    <w:pPr>
      <w:spacing w:after="0" w:line="240" w:lineRule="auto"/>
      <w:ind w:left="720" w:hanging="432"/>
      <w:contextualSpacing/>
    </w:pPr>
    <w:rPr>
      <w:rFonts w:cs="Times New Roman"/>
    </w:rPr>
  </w:style>
  <w:style w:type="paragraph" w:customStyle="1" w:styleId="FrameContents">
    <w:name w:val="Frame Contents"/>
    <w:basedOn w:val="Normal"/>
    <w:qFormat/>
    <w:rsid w:val="002F0256"/>
    <w:pPr>
      <w:spacing w:after="0" w:line="240" w:lineRule="auto"/>
      <w:ind w:left="432" w:hanging="432"/>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6861</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Prieur</dc:creator>
  <cp:lastModifiedBy>Ed Jennings</cp:lastModifiedBy>
  <cp:revision>4</cp:revision>
  <dcterms:created xsi:type="dcterms:W3CDTF">2021-06-14T10:25:00Z</dcterms:created>
  <dcterms:modified xsi:type="dcterms:W3CDTF">2021-06-17T07:53:00Z</dcterms:modified>
</cp:coreProperties>
</file>