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6499B" w14:textId="77777777" w:rsidR="00275F13" w:rsidRPr="00AE5631" w:rsidRDefault="004F6363" w:rsidP="00014168">
      <w:pPr>
        <w:pBdr>
          <w:top w:val="single" w:sz="12" w:space="0" w:color="auto" w:shadow="1"/>
          <w:left w:val="single" w:sz="12" w:space="4" w:color="auto" w:shadow="1"/>
          <w:bottom w:val="single" w:sz="12" w:space="1" w:color="auto" w:shadow="1"/>
          <w:right w:val="single" w:sz="12" w:space="7" w:color="auto" w:shadow="1"/>
        </w:pBdr>
        <w:ind w:right="2790"/>
        <w:rPr>
          <w:bCs/>
          <w:lang w:val="fr-FR"/>
        </w:rPr>
      </w:pPr>
      <w:r w:rsidRPr="00AE5631">
        <w:rPr>
          <w:bCs/>
          <w:lang w:val="fr-FR"/>
        </w:rPr>
        <w:t xml:space="preserve">CONVENTION SUR LES ZONES HUMIDES </w:t>
      </w:r>
    </w:p>
    <w:p w14:paraId="7502B265" w14:textId="74FAAED7" w:rsidR="00DF2386" w:rsidRPr="00AE5631" w:rsidRDefault="004F6363" w:rsidP="00014168">
      <w:pPr>
        <w:pBdr>
          <w:top w:val="single" w:sz="12" w:space="0" w:color="auto" w:shadow="1"/>
          <w:left w:val="single" w:sz="12" w:space="4" w:color="auto" w:shadow="1"/>
          <w:bottom w:val="single" w:sz="12" w:space="1" w:color="auto" w:shadow="1"/>
          <w:right w:val="single" w:sz="12" w:space="7" w:color="auto" w:shadow="1"/>
        </w:pBdr>
        <w:ind w:right="2790"/>
        <w:rPr>
          <w:bCs/>
          <w:lang w:val="fr-FR"/>
        </w:rPr>
      </w:pPr>
      <w:r w:rsidRPr="00AE5631">
        <w:rPr>
          <w:bCs/>
          <w:lang w:val="fr-FR"/>
        </w:rPr>
        <w:t>5</w:t>
      </w:r>
      <w:r w:rsidR="00C22FC5">
        <w:rPr>
          <w:bCs/>
          <w:lang w:val="fr-FR"/>
        </w:rPr>
        <w:t>9</w:t>
      </w:r>
      <w:r w:rsidRPr="00AE5631">
        <w:rPr>
          <w:bCs/>
          <w:vertAlign w:val="superscript"/>
          <w:lang w:val="fr-FR"/>
        </w:rPr>
        <w:t>e</w:t>
      </w:r>
      <w:r w:rsidRPr="00AE5631">
        <w:rPr>
          <w:bCs/>
          <w:lang w:val="fr-FR"/>
        </w:rPr>
        <w:t> Réunion du Comité permanent</w:t>
      </w:r>
    </w:p>
    <w:p w14:paraId="0382CCE6" w14:textId="6813EA63" w:rsidR="00DF2386" w:rsidRPr="00AE5631" w:rsidRDefault="004F6363" w:rsidP="00014168">
      <w:pPr>
        <w:pBdr>
          <w:top w:val="single" w:sz="12" w:space="0" w:color="auto" w:shadow="1"/>
          <w:left w:val="single" w:sz="12" w:space="4" w:color="auto" w:shadow="1"/>
          <w:bottom w:val="single" w:sz="12" w:space="1" w:color="auto" w:shadow="1"/>
          <w:right w:val="single" w:sz="12" w:space="7" w:color="auto" w:shadow="1"/>
        </w:pBdr>
        <w:ind w:right="2790"/>
        <w:rPr>
          <w:bCs/>
          <w:lang w:val="fr-FR"/>
        </w:rPr>
      </w:pPr>
      <w:r w:rsidRPr="00AE5631">
        <w:rPr>
          <w:bCs/>
          <w:lang w:val="fr-FR"/>
        </w:rPr>
        <w:t xml:space="preserve">Gland, Suisse, </w:t>
      </w:r>
      <w:r w:rsidR="00AE5631" w:rsidRPr="00AE5631">
        <w:rPr>
          <w:bCs/>
          <w:lang w:val="fr-CH"/>
        </w:rPr>
        <w:t>2</w:t>
      </w:r>
      <w:r w:rsidR="00C22FC5">
        <w:rPr>
          <w:bCs/>
          <w:lang w:val="fr-CH"/>
        </w:rPr>
        <w:t>1</w:t>
      </w:r>
      <w:r w:rsidR="00AE5631" w:rsidRPr="00AE5631">
        <w:rPr>
          <w:bCs/>
          <w:lang w:val="fr-CH"/>
        </w:rPr>
        <w:t xml:space="preserve"> au </w:t>
      </w:r>
      <w:r w:rsidR="00C22FC5">
        <w:rPr>
          <w:bCs/>
          <w:lang w:val="fr-CH"/>
        </w:rPr>
        <w:t>25</w:t>
      </w:r>
      <w:r w:rsidR="00AE5631" w:rsidRPr="00AE5631">
        <w:rPr>
          <w:bCs/>
          <w:lang w:val="fr-CH"/>
        </w:rPr>
        <w:t xml:space="preserve"> </w:t>
      </w:r>
      <w:r w:rsidR="00C22FC5">
        <w:rPr>
          <w:bCs/>
          <w:lang w:val="fr-CH"/>
        </w:rPr>
        <w:t>juin</w:t>
      </w:r>
      <w:r w:rsidR="00AE5631" w:rsidRPr="00AE5631">
        <w:rPr>
          <w:bCs/>
          <w:lang w:val="fr-CH"/>
        </w:rPr>
        <w:t xml:space="preserve"> </w:t>
      </w:r>
      <w:r w:rsidRPr="00AE5631">
        <w:rPr>
          <w:bCs/>
          <w:lang w:val="fr-FR"/>
        </w:rPr>
        <w:t>202</w:t>
      </w:r>
      <w:r w:rsidR="00C22FC5">
        <w:rPr>
          <w:bCs/>
          <w:lang w:val="fr-FR"/>
        </w:rPr>
        <w:t>1</w:t>
      </w:r>
    </w:p>
    <w:p w14:paraId="4BFB3EF0" w14:textId="77777777" w:rsidR="00DF2386" w:rsidRPr="00760B39" w:rsidRDefault="00DF2386" w:rsidP="00014168">
      <w:pPr>
        <w:outlineLvl w:val="0"/>
        <w:rPr>
          <w:b/>
          <w:sz w:val="28"/>
          <w:szCs w:val="28"/>
          <w:lang w:val="fr-FR"/>
        </w:rPr>
      </w:pPr>
    </w:p>
    <w:p w14:paraId="00AA5D8D" w14:textId="3618FB51" w:rsidR="00DF2386" w:rsidRPr="00760B39" w:rsidRDefault="004F6363" w:rsidP="00014168">
      <w:pPr>
        <w:jc w:val="right"/>
        <w:rPr>
          <w:rFonts w:cs="Arial"/>
          <w:sz w:val="28"/>
          <w:szCs w:val="28"/>
          <w:lang w:val="fr-FR"/>
        </w:rPr>
      </w:pPr>
      <w:r w:rsidRPr="00760B39">
        <w:rPr>
          <w:rFonts w:cs="Arial"/>
          <w:b/>
          <w:bCs/>
          <w:sz w:val="28"/>
          <w:szCs w:val="28"/>
          <w:lang w:val="fr-FR"/>
        </w:rPr>
        <w:t>SC5</w:t>
      </w:r>
      <w:r w:rsidR="00C22FC5">
        <w:rPr>
          <w:rFonts w:cs="Arial"/>
          <w:b/>
          <w:bCs/>
          <w:sz w:val="28"/>
          <w:szCs w:val="28"/>
          <w:lang w:val="fr-FR"/>
        </w:rPr>
        <w:t>9</w:t>
      </w:r>
      <w:r w:rsidRPr="00760B39">
        <w:rPr>
          <w:rFonts w:cs="Arial"/>
          <w:b/>
          <w:bCs/>
          <w:sz w:val="28"/>
          <w:szCs w:val="28"/>
          <w:lang w:val="fr-FR"/>
        </w:rPr>
        <w:t xml:space="preserve"> Doc.2</w:t>
      </w:r>
      <w:r w:rsidR="00C22FC5">
        <w:rPr>
          <w:rFonts w:cs="Arial"/>
          <w:b/>
          <w:bCs/>
          <w:sz w:val="28"/>
          <w:szCs w:val="28"/>
          <w:lang w:val="fr-FR"/>
        </w:rPr>
        <w:t>1</w:t>
      </w:r>
      <w:r w:rsidRPr="00760B39">
        <w:rPr>
          <w:rFonts w:cs="Arial"/>
          <w:b/>
          <w:bCs/>
          <w:sz w:val="28"/>
          <w:szCs w:val="28"/>
          <w:lang w:val="fr-FR"/>
        </w:rPr>
        <w:t xml:space="preserve">.2 </w:t>
      </w:r>
    </w:p>
    <w:p w14:paraId="22D38DF7" w14:textId="77777777" w:rsidR="00DF2386" w:rsidRPr="001801F7" w:rsidRDefault="00DF2386" w:rsidP="00014168">
      <w:pPr>
        <w:rPr>
          <w:rFonts w:cs="Arial"/>
          <w:b/>
          <w:bCs/>
          <w:sz w:val="28"/>
          <w:szCs w:val="28"/>
          <w:lang w:val="fr-FR"/>
        </w:rPr>
      </w:pPr>
    </w:p>
    <w:p w14:paraId="28FA08DC" w14:textId="2018C8D7" w:rsidR="00DF19EA" w:rsidRDefault="001801F7" w:rsidP="00014168">
      <w:pPr>
        <w:jc w:val="center"/>
        <w:rPr>
          <w:rFonts w:cs="Arial"/>
          <w:b/>
          <w:bCs/>
          <w:sz w:val="28"/>
          <w:szCs w:val="28"/>
          <w:lang w:val="fr-FR"/>
        </w:rPr>
      </w:pPr>
      <w:r w:rsidRPr="001801F7">
        <w:rPr>
          <w:rFonts w:cs="Arial"/>
          <w:b/>
          <w:bCs/>
          <w:sz w:val="28"/>
          <w:szCs w:val="28"/>
          <w:lang w:val="fr-FR"/>
        </w:rPr>
        <w:t xml:space="preserve">Rapport du Secrétariat sur les </w:t>
      </w:r>
      <w:r w:rsidR="004F6363" w:rsidRPr="00760B39">
        <w:rPr>
          <w:rFonts w:cs="Arial"/>
          <w:b/>
          <w:bCs/>
          <w:sz w:val="28"/>
          <w:szCs w:val="28"/>
          <w:lang w:val="fr-FR"/>
        </w:rPr>
        <w:t xml:space="preserve">Initiatives régionales Ramsar </w:t>
      </w:r>
    </w:p>
    <w:p w14:paraId="6484F85E" w14:textId="77777777" w:rsidR="001801F7" w:rsidRPr="00760B39" w:rsidRDefault="001801F7" w:rsidP="00014168">
      <w:pPr>
        <w:jc w:val="center"/>
        <w:rPr>
          <w:rFonts w:cs="Arial"/>
          <w:b/>
          <w:bCs/>
          <w:sz w:val="28"/>
          <w:szCs w:val="28"/>
          <w:lang w:val="fr-FR"/>
        </w:rPr>
      </w:pPr>
    </w:p>
    <w:p w14:paraId="3AB2E590" w14:textId="77777777" w:rsidR="000C2489" w:rsidRPr="00760B39" w:rsidRDefault="004F6363" w:rsidP="00014168">
      <w:pPr>
        <w:autoSpaceDE w:val="0"/>
        <w:autoSpaceDN w:val="0"/>
        <w:adjustRightInd w:val="0"/>
        <w:rPr>
          <w:rFonts w:asciiTheme="minorHAnsi" w:eastAsiaTheme="minorHAnsi" w:hAnsiTheme="minorHAnsi" w:cs="Calibri-Bold"/>
          <w:b/>
          <w:bCs/>
          <w:lang w:val="fr-FR"/>
        </w:rPr>
      </w:pPr>
      <w:r w:rsidRPr="00760B39">
        <w:rPr>
          <w:noProof/>
          <w:lang w:eastAsia="en-GB"/>
        </w:rPr>
        <mc:AlternateContent>
          <mc:Choice Requires="wps">
            <w:drawing>
              <wp:inline distT="0" distB="0" distL="0" distR="0" wp14:anchorId="4A789B91" wp14:editId="2740098C">
                <wp:extent cx="5776913" cy="6519333"/>
                <wp:effectExtent l="0" t="0" r="14605"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913" cy="6519333"/>
                        </a:xfrm>
                        <a:prstGeom prst="rect">
                          <a:avLst/>
                        </a:prstGeom>
                        <a:solidFill>
                          <a:srgbClr val="FFFFFF"/>
                        </a:solidFill>
                        <a:ln w="9525">
                          <a:solidFill>
                            <a:srgbClr val="000000"/>
                          </a:solidFill>
                          <a:miter lim="800000"/>
                          <a:headEnd/>
                          <a:tailEnd/>
                        </a:ln>
                      </wps:spPr>
                      <wps:txbx>
                        <w:txbxContent>
                          <w:p w14:paraId="068E9A5A" w14:textId="77777777" w:rsidR="00F35D80" w:rsidRPr="004F6363" w:rsidRDefault="00F35D80" w:rsidP="000C2489">
                            <w:pPr>
                              <w:rPr>
                                <w:b/>
                                <w:bCs/>
                                <w:lang w:val="fr-FR"/>
                              </w:rPr>
                            </w:pPr>
                            <w:r>
                              <w:rPr>
                                <w:b/>
                                <w:bCs/>
                                <w:lang w:val="fr-FR"/>
                              </w:rPr>
                              <w:t>Mesures requises :</w:t>
                            </w:r>
                          </w:p>
                          <w:p w14:paraId="27C42D1D" w14:textId="77777777" w:rsidR="00F35D80" w:rsidRPr="004F6363" w:rsidRDefault="00F35D80" w:rsidP="000C2489">
                            <w:pPr>
                              <w:pStyle w:val="ColorfulList-Accent11"/>
                              <w:ind w:left="0"/>
                              <w:rPr>
                                <w:lang w:val="fr-FR"/>
                              </w:rPr>
                            </w:pPr>
                          </w:p>
                          <w:p w14:paraId="2C0370C7" w14:textId="77777777" w:rsidR="00F35D80" w:rsidRPr="004F6363" w:rsidRDefault="00F35D80" w:rsidP="00275F13">
                            <w:pPr>
                              <w:pStyle w:val="ColorfulList-Accent11"/>
                              <w:ind w:left="0" w:firstLine="0"/>
                              <w:rPr>
                                <w:rFonts w:cs="Calibri"/>
                                <w:lang w:val="fr-FR"/>
                              </w:rPr>
                            </w:pPr>
                            <w:r>
                              <w:rPr>
                                <w:lang w:val="fr-FR"/>
                              </w:rPr>
                              <w:t xml:space="preserve">Le Comité permanent est </w:t>
                            </w:r>
                            <w:r>
                              <w:rPr>
                                <w:rFonts w:cs="Calibri"/>
                                <w:lang w:val="fr-FR"/>
                              </w:rPr>
                              <w:t>invité à :</w:t>
                            </w:r>
                          </w:p>
                          <w:p w14:paraId="1B0A4176" w14:textId="77777777" w:rsidR="00F35D80" w:rsidRPr="004F6363" w:rsidRDefault="00F35D80" w:rsidP="000C2489">
                            <w:pPr>
                              <w:pStyle w:val="ColorfulList-Accent11"/>
                              <w:ind w:left="0"/>
                              <w:rPr>
                                <w:rFonts w:cs="Calibri"/>
                                <w:lang w:val="fr-FR"/>
                              </w:rPr>
                            </w:pPr>
                          </w:p>
                          <w:p w14:paraId="737E0410" w14:textId="492FF45A" w:rsidR="00F35D80" w:rsidRPr="00B86363" w:rsidRDefault="00F35D80" w:rsidP="00825EAE">
                            <w:pPr>
                              <w:pStyle w:val="ColorfulList-Accent11"/>
                              <w:numPr>
                                <w:ilvl w:val="0"/>
                                <w:numId w:val="2"/>
                              </w:numPr>
                              <w:ind w:left="851" w:hanging="425"/>
                              <w:rPr>
                                <w:lang w:val="fr-FR"/>
                              </w:rPr>
                            </w:pPr>
                            <w:r w:rsidRPr="00B86363">
                              <w:rPr>
                                <w:rFonts w:cs="Calibri"/>
                                <w:lang w:val="fr-FR"/>
                              </w:rPr>
                              <w:t xml:space="preserve">prendre note des rapports annuels soumis par les Initiatives régionales Ramsar pour 2020 conformément à la Résolution XIII.9, </w:t>
                            </w:r>
                            <w:r w:rsidRPr="00B86363">
                              <w:rPr>
                                <w:rFonts w:cs="Calibri"/>
                                <w:i/>
                                <w:lang w:val="fr-FR"/>
                              </w:rPr>
                              <w:t>Les</w:t>
                            </w:r>
                            <w:r w:rsidRPr="00B86363">
                              <w:rPr>
                                <w:rFonts w:cs="Calibri"/>
                                <w:lang w:val="fr-FR"/>
                              </w:rPr>
                              <w:t xml:space="preserve"> </w:t>
                            </w:r>
                            <w:r w:rsidRPr="00B86363">
                              <w:rPr>
                                <w:rFonts w:cs="Calibri"/>
                                <w:i/>
                                <w:iCs/>
                                <w:lang w:val="fr-FR"/>
                              </w:rPr>
                              <w:t>Initiatives régionales Ramsar 2019-2021 </w:t>
                            </w:r>
                            <w:r w:rsidRPr="00B86363">
                              <w:rPr>
                                <w:rFonts w:cs="Calibri"/>
                                <w:lang w:val="fr-FR"/>
                              </w:rPr>
                              <w:t>;</w:t>
                            </w:r>
                          </w:p>
                          <w:p w14:paraId="446EBC7E" w14:textId="77777777" w:rsidR="00F35D80" w:rsidRPr="00B86363" w:rsidRDefault="00F35D80" w:rsidP="00825EAE">
                            <w:pPr>
                              <w:pStyle w:val="ColorfulList-Accent11"/>
                              <w:ind w:left="851"/>
                              <w:rPr>
                                <w:highlight w:val="yellow"/>
                                <w:lang w:val="fr-FR"/>
                              </w:rPr>
                            </w:pPr>
                          </w:p>
                          <w:p w14:paraId="67421027" w14:textId="71445884" w:rsidR="00F35D80" w:rsidRPr="00B86363" w:rsidRDefault="00F35D80" w:rsidP="00825EAE">
                            <w:pPr>
                              <w:pStyle w:val="ColorfulList-Accent11"/>
                              <w:numPr>
                                <w:ilvl w:val="0"/>
                                <w:numId w:val="2"/>
                              </w:numPr>
                              <w:ind w:left="851" w:hanging="425"/>
                              <w:rPr>
                                <w:lang w:val="fr-FR"/>
                              </w:rPr>
                            </w:pPr>
                            <w:r w:rsidRPr="00B86363">
                              <w:rPr>
                                <w:lang w:val="fr-FR"/>
                              </w:rPr>
                              <w:t>allouer des fonds de la ligne budgétaire D « Appui aux Initiatives régionales » (Résolution XIII.2) du budget administratif Ramsar 2021 afin de fournir un appui financier de départ aux nouvelles initiatives pour leurs activités en 2021, comme suit :</w:t>
                            </w:r>
                          </w:p>
                          <w:p w14:paraId="6C7294F6" w14:textId="77777777" w:rsidR="00F35D80" w:rsidRPr="00B86363" w:rsidRDefault="00F35D80" w:rsidP="00825EAE">
                            <w:pPr>
                              <w:pStyle w:val="ColorfulList-Accent11"/>
                              <w:ind w:left="426" w:firstLine="0"/>
                              <w:rPr>
                                <w:highlight w:val="yellow"/>
                                <w:lang w:val="fr-FR"/>
                              </w:rPr>
                            </w:pPr>
                          </w:p>
                          <w:p w14:paraId="02C997AF" w14:textId="77777777" w:rsidR="00F35D80" w:rsidRPr="00B86363" w:rsidRDefault="00F35D80" w:rsidP="00825EAE">
                            <w:pPr>
                              <w:pStyle w:val="ColorfulList-Accent11"/>
                              <w:ind w:left="851" w:firstLine="0"/>
                              <w:rPr>
                                <w:lang w:val="fr-FR"/>
                              </w:rPr>
                            </w:pPr>
                            <w:r w:rsidRPr="00B86363">
                              <w:rPr>
                                <w:lang w:val="fr-FR"/>
                              </w:rPr>
                              <w:t xml:space="preserve">- 25 000 CHF à l’Initiative régionale Ramsar pour le bassin du fleuve Sénégal ; </w:t>
                            </w:r>
                          </w:p>
                          <w:p w14:paraId="0ACCC0DC" w14:textId="77777777" w:rsidR="00F35D80" w:rsidRPr="00B86363" w:rsidRDefault="00F35D80" w:rsidP="00825EAE">
                            <w:pPr>
                              <w:pStyle w:val="ColorfulList-Accent11"/>
                              <w:ind w:left="851" w:firstLine="0"/>
                              <w:rPr>
                                <w:lang w:val="fr-FR"/>
                              </w:rPr>
                            </w:pPr>
                            <w:r w:rsidRPr="00B86363">
                              <w:rPr>
                                <w:lang w:val="fr-FR"/>
                              </w:rPr>
                              <w:t>- 25 000 CHF à l’Initiative régionale Ramsar pour le bassin de l’Amazone ;</w:t>
                            </w:r>
                          </w:p>
                          <w:p w14:paraId="6C0F78CF" w14:textId="77777777" w:rsidR="00F35D80" w:rsidRPr="00B86363" w:rsidRDefault="00F35D80" w:rsidP="00825EAE">
                            <w:pPr>
                              <w:pStyle w:val="ColorfulList-Accent11"/>
                              <w:ind w:left="851" w:firstLine="0"/>
                              <w:rPr>
                                <w:lang w:val="fr-FR"/>
                              </w:rPr>
                            </w:pPr>
                            <w:r w:rsidRPr="00B86363">
                              <w:rPr>
                                <w:lang w:val="fr-FR"/>
                              </w:rPr>
                              <w:t xml:space="preserve">- 25 000 CHF à l’Initiative régionale Ramsar pour l’Asie centrale ; et </w:t>
                            </w:r>
                          </w:p>
                          <w:p w14:paraId="289A9993" w14:textId="77777777" w:rsidR="00F35D80" w:rsidRPr="00B86363" w:rsidRDefault="00F35D80" w:rsidP="00825EAE">
                            <w:pPr>
                              <w:pStyle w:val="ColorfulList-Accent11"/>
                              <w:ind w:left="851" w:firstLine="0"/>
                              <w:rPr>
                                <w:lang w:val="fr-FR"/>
                              </w:rPr>
                            </w:pPr>
                            <w:r w:rsidRPr="00B86363">
                              <w:rPr>
                                <w:lang w:val="fr-FR"/>
                              </w:rPr>
                              <w:t>- 25 000 CHF à l’Initiative régionale Ramsar indo-birmane ;</w:t>
                            </w:r>
                          </w:p>
                          <w:p w14:paraId="4E0254D3" w14:textId="77777777" w:rsidR="00F35D80" w:rsidRPr="00B86363" w:rsidRDefault="00F35D80" w:rsidP="00825EAE">
                            <w:pPr>
                              <w:pStyle w:val="ColorfulList-Accent11"/>
                              <w:ind w:left="426" w:firstLine="0"/>
                              <w:rPr>
                                <w:highlight w:val="yellow"/>
                                <w:lang w:val="fr-FR"/>
                              </w:rPr>
                            </w:pPr>
                          </w:p>
                          <w:p w14:paraId="4A7CF3E0" w14:textId="5BAEF9EB" w:rsidR="00F35D80" w:rsidRPr="00B86363" w:rsidRDefault="00F35D80" w:rsidP="00825EAE">
                            <w:pPr>
                              <w:pStyle w:val="ColorfulList-Accent11"/>
                              <w:numPr>
                                <w:ilvl w:val="0"/>
                                <w:numId w:val="2"/>
                              </w:numPr>
                              <w:ind w:left="851" w:hanging="425"/>
                              <w:rPr>
                                <w:rFonts w:cs="Calibri"/>
                                <w:lang w:val="fr-FR"/>
                              </w:rPr>
                            </w:pPr>
                            <w:r w:rsidRPr="00B86363">
                              <w:rPr>
                                <w:rFonts w:cs="Calibri"/>
                                <w:lang w:val="fr-FR"/>
                              </w:rPr>
                              <w:t>charger le Secrétariat de finaliser les accords de financement contractuels avec les Initiatives régionales Ramsar désignées, afin de permettre le bon déroulement de la mise en œuvre de leurs plans de travail pour 2021 ;</w:t>
                            </w:r>
                          </w:p>
                          <w:p w14:paraId="36A4AE52" w14:textId="77777777" w:rsidR="00F35D80" w:rsidRPr="00B86363" w:rsidRDefault="00F35D80" w:rsidP="00825EAE">
                            <w:pPr>
                              <w:pStyle w:val="ColorfulList-Accent11"/>
                              <w:ind w:left="426" w:firstLine="0"/>
                              <w:rPr>
                                <w:rFonts w:cs="Calibri"/>
                                <w:lang w:val="fr-FR"/>
                              </w:rPr>
                            </w:pPr>
                          </w:p>
                          <w:p w14:paraId="66C04060" w14:textId="3E0918F0" w:rsidR="00F35D80" w:rsidRPr="004F6363" w:rsidRDefault="00F35D80" w:rsidP="00825EAE">
                            <w:pPr>
                              <w:pStyle w:val="ColorfulList-Accent11"/>
                              <w:numPr>
                                <w:ilvl w:val="0"/>
                                <w:numId w:val="2"/>
                              </w:numPr>
                              <w:ind w:left="851" w:hanging="425"/>
                              <w:rPr>
                                <w:rFonts w:cs="Calibri"/>
                                <w:lang w:val="fr-FR"/>
                              </w:rPr>
                            </w:pPr>
                            <w:r w:rsidRPr="00B86363">
                              <w:rPr>
                                <w:rFonts w:cs="Calibri"/>
                                <w:lang w:val="fr-FR"/>
                              </w:rPr>
                              <w:t xml:space="preserve">examiner et approuver la proposition de nouveau modèle pour le rapport des Initiatives régionales Ramsar, contenue dans l’Annexe 2 du document SC58 Doc.22.2 et </w:t>
                            </w:r>
                            <w:r>
                              <w:rPr>
                                <w:rFonts w:cs="Calibri"/>
                                <w:lang w:val="fr-FR"/>
                              </w:rPr>
                              <w:t xml:space="preserve">préparée par le Secrétariat en réponse à la Décision SC57-11 en suivant les principes énoncés au paragraphe 8 de la Résolution XIII.9 et en s’appuyant sur les contributions du Groupe de travail sur les Initiatives régionales Ramsar ; </w:t>
                            </w:r>
                          </w:p>
                          <w:p w14:paraId="787292BD" w14:textId="77777777" w:rsidR="00F35D80" w:rsidRPr="004F6363" w:rsidRDefault="00F35D80" w:rsidP="00825EAE">
                            <w:pPr>
                              <w:pStyle w:val="ColorfulList-Accent11"/>
                              <w:ind w:left="426" w:firstLine="0"/>
                              <w:rPr>
                                <w:rFonts w:cs="Calibri"/>
                                <w:lang w:val="fr-FR"/>
                              </w:rPr>
                            </w:pPr>
                          </w:p>
                          <w:p w14:paraId="379A678B" w14:textId="6A56E523" w:rsidR="00F35D80" w:rsidRPr="00B86363" w:rsidRDefault="00F35D80" w:rsidP="00483FB6">
                            <w:pPr>
                              <w:pStyle w:val="ListParagraph"/>
                              <w:ind w:left="854"/>
                              <w:rPr>
                                <w:lang w:val="fr-FR"/>
                              </w:rPr>
                            </w:pPr>
                            <w:r w:rsidRPr="00B86363">
                              <w:rPr>
                                <w:lang w:val="fr-FR"/>
                              </w:rPr>
                              <w:t>v)</w:t>
                            </w:r>
                            <w:r w:rsidRPr="00B86363">
                              <w:rPr>
                                <w:lang w:val="fr-FR"/>
                              </w:rPr>
                              <w:tab/>
                              <w:t>examiner la proposition de nouvelle Initiative régionale Ramsar dans la région de la Communauté de développement de l’Afrique australe, dans le cadre de la Convention, conformément au paragraphe 12 de la Résolution XIII.9 ;</w:t>
                            </w:r>
                          </w:p>
                          <w:p w14:paraId="39831DC2" w14:textId="77777777" w:rsidR="00F35D80" w:rsidRPr="00B420C9" w:rsidRDefault="00F35D80" w:rsidP="00483FB6">
                            <w:pPr>
                              <w:pStyle w:val="ListParagraph"/>
                              <w:ind w:left="854"/>
                              <w:rPr>
                                <w:color w:val="FF0000"/>
                                <w:lang w:val="fr-FR"/>
                              </w:rPr>
                            </w:pPr>
                          </w:p>
                          <w:p w14:paraId="76196DBF" w14:textId="151542C8" w:rsidR="00F35D80" w:rsidRPr="00B86363" w:rsidRDefault="00F35D80" w:rsidP="00483FB6">
                            <w:pPr>
                              <w:pStyle w:val="ListParagraph"/>
                              <w:ind w:left="854"/>
                              <w:rPr>
                                <w:lang w:val="fr-CH"/>
                              </w:rPr>
                            </w:pPr>
                            <w:r w:rsidRPr="00B86363">
                              <w:rPr>
                                <w:lang w:val="fr-CH"/>
                              </w:rPr>
                              <w:t>vi)</w:t>
                            </w:r>
                            <w:r w:rsidRPr="00B86363">
                              <w:rPr>
                                <w:lang w:val="fr-CH"/>
                              </w:rPr>
                              <w:tab/>
                            </w:r>
                            <w:r>
                              <w:rPr>
                                <w:lang w:val="fr-CH"/>
                              </w:rPr>
                              <w:t>noter</w:t>
                            </w:r>
                            <w:r w:rsidRPr="00B86363">
                              <w:rPr>
                                <w:lang w:val="fr-CH"/>
                              </w:rPr>
                              <w:t xml:space="preserve"> et approuver l’examen des résolutions et décisions existantes concernant les Initiatives régionales, réalisé par la Conseillère juridique du Secrétariat conformément au paragraphe 30 de la Résolution XIII. 9 et contenu dans le document SC58 Doc.22.4 ; </w:t>
                            </w:r>
                          </w:p>
                          <w:p w14:paraId="48942329" w14:textId="77777777" w:rsidR="00F35D80" w:rsidRPr="00483FB6" w:rsidRDefault="00F35D80" w:rsidP="00483FB6">
                            <w:pPr>
                              <w:pStyle w:val="ListParagraph"/>
                              <w:ind w:left="854"/>
                              <w:rPr>
                                <w:highlight w:val="yellow"/>
                                <w:lang w:val="fr-CH"/>
                              </w:rPr>
                            </w:pPr>
                          </w:p>
                          <w:p w14:paraId="32322F6A" w14:textId="45E99F78" w:rsidR="00F35D80" w:rsidRPr="00483FB6" w:rsidRDefault="00F35D80" w:rsidP="00483FB6">
                            <w:pPr>
                              <w:pStyle w:val="ListParagraph"/>
                              <w:ind w:left="854"/>
                              <w:rPr>
                                <w:lang w:val="fr-CH"/>
                              </w:rPr>
                            </w:pPr>
                            <w:r w:rsidRPr="00B86363">
                              <w:rPr>
                                <w:lang w:val="fr-CH"/>
                              </w:rPr>
                              <w:t xml:space="preserve">vii) </w:t>
                            </w:r>
                            <w:r w:rsidRPr="00B86363">
                              <w:rPr>
                                <w:lang w:val="fr-CH"/>
                              </w:rPr>
                              <w:tab/>
                              <w:t>examiner l’évaluation des activités et réalisations des Initiatives régionales Ramsar actives en 2019-2021, résumée dans l’Annexe 3 et préparée par le Secrétariat pour soumission à la COP14, conformément au paragraphe 28 de la Résolution XIII.9.</w:t>
                            </w:r>
                          </w:p>
                          <w:p w14:paraId="4A51BECA" w14:textId="77777777" w:rsidR="00F35D80" w:rsidRPr="00483FB6" w:rsidRDefault="00F35D80" w:rsidP="00073B21">
                            <w:pPr>
                              <w:pStyle w:val="ColorfulList-Accent11"/>
                              <w:rPr>
                                <w:lang w:val="fr-CH"/>
                              </w:rPr>
                            </w:pPr>
                          </w:p>
                          <w:p w14:paraId="3D111796" w14:textId="77777777" w:rsidR="00F35D80" w:rsidRPr="00FC60AD" w:rsidRDefault="00F35D80" w:rsidP="002C261A">
                            <w:pPr>
                              <w:pStyle w:val="ColorfulList-Accent11"/>
                              <w:rPr>
                                <w:lang w:val="fr-FR"/>
                              </w:rPr>
                            </w:pPr>
                          </w:p>
                        </w:txbxContent>
                      </wps:txbx>
                      <wps:bodyPr rot="0" vert="horz" wrap="square" anchor="t" anchorCtr="0" upright="1"/>
                    </wps:wsp>
                  </a:graphicData>
                </a:graphic>
              </wp:inline>
            </w:drawing>
          </mc:Choice>
          <mc:Fallback>
            <w:pict>
              <v:shapetype w14:anchorId="4A789B91" id="_x0000_t202" coordsize="21600,21600" o:spt="202" path="m,l,21600r21600,l21600,xe">
                <v:stroke joinstyle="miter"/>
                <v:path gradientshapeok="t" o:connecttype="rect"/>
              </v:shapetype>
              <v:shape id="Text Box 1" o:spid="_x0000_s1026" type="#_x0000_t202" style="width:454.9pt;height:5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">
                <v:textbox>
                  <w:txbxContent>
                    <w:p w14:paraId="068E9A5A" w14:textId="77777777" w:rsidR="00F35D80" w:rsidRPr="004F6363" w:rsidRDefault="00F35D80" w:rsidP="000C2489">
                      <w:pPr>
                        <w:rPr>
                          <w:b/>
                          <w:bCs/>
                          <w:lang w:val="fr-FR"/>
                        </w:rPr>
                      </w:pPr>
                      <w:r>
                        <w:rPr>
                          <w:b/>
                          <w:bCs/>
                          <w:lang w:val="fr-FR"/>
                        </w:rPr>
                        <w:t>Mesures requises :</w:t>
                      </w:r>
                    </w:p>
                    <w:p w14:paraId="27C42D1D" w14:textId="77777777" w:rsidR="00F35D80" w:rsidRPr="004F6363" w:rsidRDefault="00F35D80" w:rsidP="000C2489">
                      <w:pPr>
                        <w:pStyle w:val="ColorfulList-Accent11"/>
                        <w:ind w:left="0"/>
                        <w:rPr>
                          <w:lang w:val="fr-FR"/>
                        </w:rPr>
                      </w:pPr>
                    </w:p>
                    <w:p w14:paraId="2C0370C7" w14:textId="77777777" w:rsidR="00F35D80" w:rsidRPr="004F6363" w:rsidRDefault="00F35D80" w:rsidP="00275F13">
                      <w:pPr>
                        <w:pStyle w:val="ColorfulList-Accent11"/>
                        <w:ind w:left="0" w:firstLine="0"/>
                        <w:rPr>
                          <w:rFonts w:cs="Calibri"/>
                          <w:lang w:val="fr-FR"/>
                        </w:rPr>
                      </w:pPr>
                      <w:r>
                        <w:rPr>
                          <w:lang w:val="fr-FR"/>
                        </w:rPr>
                        <w:t xml:space="preserve">Le Comité permanent est </w:t>
                      </w:r>
                      <w:r>
                        <w:rPr>
                          <w:rFonts w:cs="Calibri"/>
                          <w:lang w:val="fr-FR"/>
                        </w:rPr>
                        <w:t>invité à :</w:t>
                      </w:r>
                    </w:p>
                    <w:p w14:paraId="1B0A4176" w14:textId="77777777" w:rsidR="00F35D80" w:rsidRPr="004F6363" w:rsidRDefault="00F35D80" w:rsidP="000C2489">
                      <w:pPr>
                        <w:pStyle w:val="ColorfulList-Accent11"/>
                        <w:ind w:left="0"/>
                        <w:rPr>
                          <w:rFonts w:cs="Calibri"/>
                          <w:lang w:val="fr-FR"/>
                        </w:rPr>
                      </w:pPr>
                    </w:p>
                    <w:p w14:paraId="737E0410" w14:textId="492FF45A" w:rsidR="00F35D80" w:rsidRPr="00B86363" w:rsidRDefault="00F35D80" w:rsidP="00825EAE">
                      <w:pPr>
                        <w:pStyle w:val="ColorfulList-Accent11"/>
                        <w:numPr>
                          <w:ilvl w:val="0"/>
                          <w:numId w:val="2"/>
                        </w:numPr>
                        <w:ind w:left="851" w:hanging="425"/>
                        <w:rPr>
                          <w:lang w:val="fr-FR"/>
                        </w:rPr>
                      </w:pPr>
                      <w:r w:rsidRPr="00B86363">
                        <w:rPr>
                          <w:rFonts w:cs="Calibri"/>
                          <w:lang w:val="fr-FR"/>
                        </w:rPr>
                        <w:t xml:space="preserve">prendre note des rapports annuels soumis par les Initiatives régionales Ramsar pour 2020 conformément à la Résolution XIII.9, </w:t>
                      </w:r>
                      <w:r w:rsidRPr="00B86363">
                        <w:rPr>
                          <w:rFonts w:cs="Calibri"/>
                          <w:i/>
                          <w:lang w:val="fr-FR"/>
                        </w:rPr>
                        <w:t>Les</w:t>
                      </w:r>
                      <w:r w:rsidRPr="00B86363">
                        <w:rPr>
                          <w:rFonts w:cs="Calibri"/>
                          <w:lang w:val="fr-FR"/>
                        </w:rPr>
                        <w:t xml:space="preserve"> </w:t>
                      </w:r>
                      <w:r w:rsidRPr="00B86363">
                        <w:rPr>
                          <w:rFonts w:cs="Calibri"/>
                          <w:i/>
                          <w:iCs/>
                          <w:lang w:val="fr-FR"/>
                        </w:rPr>
                        <w:t>Initiatives régionales Ramsar 2019-2021 </w:t>
                      </w:r>
                      <w:r w:rsidRPr="00B86363">
                        <w:rPr>
                          <w:rFonts w:cs="Calibri"/>
                          <w:lang w:val="fr-FR"/>
                        </w:rPr>
                        <w:t>;</w:t>
                      </w:r>
                    </w:p>
                    <w:p w14:paraId="446EBC7E" w14:textId="77777777" w:rsidR="00F35D80" w:rsidRPr="00B86363" w:rsidRDefault="00F35D80" w:rsidP="00825EAE">
                      <w:pPr>
                        <w:pStyle w:val="ColorfulList-Accent11"/>
                        <w:ind w:left="851"/>
                        <w:rPr>
                          <w:highlight w:val="yellow"/>
                          <w:lang w:val="fr-FR"/>
                        </w:rPr>
                      </w:pPr>
                    </w:p>
                    <w:p w14:paraId="67421027" w14:textId="71445884" w:rsidR="00F35D80" w:rsidRPr="00B86363" w:rsidRDefault="00F35D80" w:rsidP="00825EAE">
                      <w:pPr>
                        <w:pStyle w:val="ColorfulList-Accent11"/>
                        <w:numPr>
                          <w:ilvl w:val="0"/>
                          <w:numId w:val="2"/>
                        </w:numPr>
                        <w:ind w:left="851" w:hanging="425"/>
                        <w:rPr>
                          <w:lang w:val="fr-FR"/>
                        </w:rPr>
                      </w:pPr>
                      <w:r w:rsidRPr="00B86363">
                        <w:rPr>
                          <w:lang w:val="fr-FR"/>
                        </w:rPr>
                        <w:t>allouer des fonds de la ligne budgétaire D « Appui aux Initiatives régionales » (Résolution XIII.2) du budget administratif Ramsar 2021 afin de fournir un appui financier de départ aux nouvelles initiatives pour leurs activités en 2021, comme suit :</w:t>
                      </w:r>
                    </w:p>
                    <w:p w14:paraId="6C7294F6" w14:textId="77777777" w:rsidR="00F35D80" w:rsidRPr="00B86363" w:rsidRDefault="00F35D80" w:rsidP="00825EAE">
                      <w:pPr>
                        <w:pStyle w:val="ColorfulList-Accent11"/>
                        <w:ind w:left="426" w:firstLine="0"/>
                        <w:rPr>
                          <w:highlight w:val="yellow"/>
                          <w:lang w:val="fr-FR"/>
                        </w:rPr>
                      </w:pPr>
                    </w:p>
                    <w:p w14:paraId="02C997AF" w14:textId="77777777" w:rsidR="00F35D80" w:rsidRPr="00B86363" w:rsidRDefault="00F35D80" w:rsidP="00825EAE">
                      <w:pPr>
                        <w:pStyle w:val="ColorfulList-Accent11"/>
                        <w:ind w:left="851" w:firstLine="0"/>
                        <w:rPr>
                          <w:lang w:val="fr-FR"/>
                        </w:rPr>
                      </w:pPr>
                      <w:r w:rsidRPr="00B86363">
                        <w:rPr>
                          <w:lang w:val="fr-FR"/>
                        </w:rPr>
                        <w:t xml:space="preserve">- 25 000 CHF à l’Initiative régionale Ramsar pour le bassin du fleuve Sénégal ; </w:t>
                      </w:r>
                    </w:p>
                    <w:p w14:paraId="0ACCC0DC" w14:textId="77777777" w:rsidR="00F35D80" w:rsidRPr="00B86363" w:rsidRDefault="00F35D80" w:rsidP="00825EAE">
                      <w:pPr>
                        <w:pStyle w:val="ColorfulList-Accent11"/>
                        <w:ind w:left="851" w:firstLine="0"/>
                        <w:rPr>
                          <w:lang w:val="fr-FR"/>
                        </w:rPr>
                      </w:pPr>
                      <w:r w:rsidRPr="00B86363">
                        <w:rPr>
                          <w:lang w:val="fr-FR"/>
                        </w:rPr>
                        <w:t>- 25 000 CHF à l’Initiative régionale Ramsar pour le bassin de l’Amazone ;</w:t>
                      </w:r>
                    </w:p>
                    <w:p w14:paraId="6C0F78CF" w14:textId="77777777" w:rsidR="00F35D80" w:rsidRPr="00B86363" w:rsidRDefault="00F35D80" w:rsidP="00825EAE">
                      <w:pPr>
                        <w:pStyle w:val="ColorfulList-Accent11"/>
                        <w:ind w:left="851" w:firstLine="0"/>
                        <w:rPr>
                          <w:lang w:val="fr-FR"/>
                        </w:rPr>
                      </w:pPr>
                      <w:r w:rsidRPr="00B86363">
                        <w:rPr>
                          <w:lang w:val="fr-FR"/>
                        </w:rPr>
                        <w:t xml:space="preserve">- 25 000 CHF à l’Initiative régionale Ramsar pour l’Asie centrale ; et </w:t>
                      </w:r>
                    </w:p>
                    <w:p w14:paraId="289A9993" w14:textId="77777777" w:rsidR="00F35D80" w:rsidRPr="00B86363" w:rsidRDefault="00F35D80" w:rsidP="00825EAE">
                      <w:pPr>
                        <w:pStyle w:val="ColorfulList-Accent11"/>
                        <w:ind w:left="851" w:firstLine="0"/>
                        <w:rPr>
                          <w:lang w:val="fr-FR"/>
                        </w:rPr>
                      </w:pPr>
                      <w:r w:rsidRPr="00B86363">
                        <w:rPr>
                          <w:lang w:val="fr-FR"/>
                        </w:rPr>
                        <w:t>- 25 000 CHF à l’Initiative régionale Ramsar indo-birmane ;</w:t>
                      </w:r>
                    </w:p>
                    <w:p w14:paraId="4E0254D3" w14:textId="77777777" w:rsidR="00F35D80" w:rsidRPr="00B86363" w:rsidRDefault="00F35D80" w:rsidP="00825EAE">
                      <w:pPr>
                        <w:pStyle w:val="ColorfulList-Accent11"/>
                        <w:ind w:left="426" w:firstLine="0"/>
                        <w:rPr>
                          <w:highlight w:val="yellow"/>
                          <w:lang w:val="fr-FR"/>
                        </w:rPr>
                      </w:pPr>
                    </w:p>
                    <w:p w14:paraId="4A7CF3E0" w14:textId="5BAEF9EB" w:rsidR="00F35D80" w:rsidRPr="00B86363" w:rsidRDefault="00F35D80" w:rsidP="00825EAE">
                      <w:pPr>
                        <w:pStyle w:val="ColorfulList-Accent11"/>
                        <w:numPr>
                          <w:ilvl w:val="0"/>
                          <w:numId w:val="2"/>
                        </w:numPr>
                        <w:ind w:left="851" w:hanging="425"/>
                        <w:rPr>
                          <w:rFonts w:cs="Calibri"/>
                          <w:lang w:val="fr-FR"/>
                        </w:rPr>
                      </w:pPr>
                      <w:r w:rsidRPr="00B86363">
                        <w:rPr>
                          <w:rFonts w:cs="Calibri"/>
                          <w:lang w:val="fr-FR"/>
                        </w:rPr>
                        <w:t>charger le Secrétariat de finaliser les accords de financement contractuels avec les Initiatives régionales Ramsar désignées, afin de permettre le bon déroulement de la mise en œuvre de leurs plans de travail pour 2021 ;</w:t>
                      </w:r>
                    </w:p>
                    <w:p w14:paraId="36A4AE52" w14:textId="77777777" w:rsidR="00F35D80" w:rsidRPr="00B86363" w:rsidRDefault="00F35D80" w:rsidP="00825EAE">
                      <w:pPr>
                        <w:pStyle w:val="ColorfulList-Accent11"/>
                        <w:ind w:left="426" w:firstLine="0"/>
                        <w:rPr>
                          <w:rFonts w:cs="Calibri"/>
                          <w:lang w:val="fr-FR"/>
                        </w:rPr>
                      </w:pPr>
                    </w:p>
                    <w:p w14:paraId="66C04060" w14:textId="3E0918F0" w:rsidR="00F35D80" w:rsidRPr="004F6363" w:rsidRDefault="00F35D80" w:rsidP="00825EAE">
                      <w:pPr>
                        <w:pStyle w:val="ColorfulList-Accent11"/>
                        <w:numPr>
                          <w:ilvl w:val="0"/>
                          <w:numId w:val="2"/>
                        </w:numPr>
                        <w:ind w:left="851" w:hanging="425"/>
                        <w:rPr>
                          <w:rFonts w:cs="Calibri"/>
                          <w:lang w:val="fr-FR"/>
                        </w:rPr>
                      </w:pPr>
                      <w:r w:rsidRPr="00B86363">
                        <w:rPr>
                          <w:rFonts w:cs="Calibri"/>
                          <w:lang w:val="fr-FR"/>
                        </w:rPr>
                        <w:t xml:space="preserve">examiner et approuver la proposition de nouveau modèle pour le rapport des Initiatives régionales Ramsar, contenue dans l’Annexe 2 du document SC58 Doc.22.2 et </w:t>
                      </w:r>
                      <w:r>
                        <w:rPr>
                          <w:rFonts w:cs="Calibri"/>
                          <w:lang w:val="fr-FR"/>
                        </w:rPr>
                        <w:t xml:space="preserve">préparée par le Secrétariat en réponse à la Décision SC57-11 en suivant les principes énoncés au paragraphe 8 de la Résolution XIII.9 et en s’appuyant sur les contributions du Groupe de travail sur les Initiatives régionales Ramsar ; </w:t>
                      </w:r>
                    </w:p>
                    <w:p w14:paraId="787292BD" w14:textId="77777777" w:rsidR="00F35D80" w:rsidRPr="004F6363" w:rsidRDefault="00F35D80" w:rsidP="00825EAE">
                      <w:pPr>
                        <w:pStyle w:val="ColorfulList-Accent11"/>
                        <w:ind w:left="426" w:firstLine="0"/>
                        <w:rPr>
                          <w:rFonts w:cs="Calibri"/>
                          <w:lang w:val="fr-FR"/>
                        </w:rPr>
                      </w:pPr>
                    </w:p>
                    <w:p w14:paraId="379A678B" w14:textId="6A56E523" w:rsidR="00F35D80" w:rsidRPr="00B86363" w:rsidRDefault="00F35D80" w:rsidP="00483FB6">
                      <w:pPr>
                        <w:pStyle w:val="ListParagraph"/>
                        <w:ind w:left="854"/>
                        <w:rPr>
                          <w:lang w:val="fr-FR"/>
                        </w:rPr>
                      </w:pPr>
                      <w:r w:rsidRPr="00B86363">
                        <w:rPr>
                          <w:lang w:val="fr-FR"/>
                        </w:rPr>
                        <w:t>v)</w:t>
                      </w:r>
                      <w:r w:rsidRPr="00B86363">
                        <w:rPr>
                          <w:lang w:val="fr-FR"/>
                        </w:rPr>
                        <w:tab/>
                        <w:t>examiner la proposition de nouvelle Initiative régionale Ramsar dans la région de la Communauté de développement de l’Afrique australe, dans le cadre de la Convention, conformément au paragraphe 12 de la Résolution XIII.9 ;</w:t>
                      </w:r>
                    </w:p>
                    <w:p w14:paraId="39831DC2" w14:textId="77777777" w:rsidR="00F35D80" w:rsidRPr="00B420C9" w:rsidRDefault="00F35D80" w:rsidP="00483FB6">
                      <w:pPr>
                        <w:pStyle w:val="ListParagraph"/>
                        <w:ind w:left="854"/>
                        <w:rPr>
                          <w:color w:val="FF0000"/>
                          <w:lang w:val="fr-FR"/>
                        </w:rPr>
                      </w:pPr>
                    </w:p>
                    <w:p w14:paraId="76196DBF" w14:textId="151542C8" w:rsidR="00F35D80" w:rsidRPr="00B86363" w:rsidRDefault="00F35D80" w:rsidP="00483FB6">
                      <w:pPr>
                        <w:pStyle w:val="ListParagraph"/>
                        <w:ind w:left="854"/>
                        <w:rPr>
                          <w:lang w:val="fr-CH"/>
                        </w:rPr>
                      </w:pPr>
                      <w:r w:rsidRPr="00B86363">
                        <w:rPr>
                          <w:lang w:val="fr-CH"/>
                        </w:rPr>
                        <w:t>vi)</w:t>
                      </w:r>
                      <w:r w:rsidRPr="00B86363">
                        <w:rPr>
                          <w:lang w:val="fr-CH"/>
                        </w:rPr>
                        <w:tab/>
                      </w:r>
                      <w:r>
                        <w:rPr>
                          <w:lang w:val="fr-CH"/>
                        </w:rPr>
                        <w:t>noter</w:t>
                      </w:r>
                      <w:r w:rsidRPr="00B86363">
                        <w:rPr>
                          <w:lang w:val="fr-CH"/>
                        </w:rPr>
                        <w:t xml:space="preserve"> et approuver l’examen des résolutions et décisions existantes concernant les Initiatives régionales, réalisé par la Conseillère juridique du Secrétariat conformément au paragraphe 30 de la Résolution XIII. 9 et contenu dans le document SC58 Doc.22.4 ; </w:t>
                      </w:r>
                    </w:p>
                    <w:p w14:paraId="48942329" w14:textId="77777777" w:rsidR="00F35D80" w:rsidRPr="00483FB6" w:rsidRDefault="00F35D80" w:rsidP="00483FB6">
                      <w:pPr>
                        <w:pStyle w:val="ListParagraph"/>
                        <w:ind w:left="854"/>
                        <w:rPr>
                          <w:highlight w:val="yellow"/>
                          <w:lang w:val="fr-CH"/>
                        </w:rPr>
                      </w:pPr>
                    </w:p>
                    <w:p w14:paraId="32322F6A" w14:textId="45E99F78" w:rsidR="00F35D80" w:rsidRPr="00483FB6" w:rsidRDefault="00F35D80" w:rsidP="00483FB6">
                      <w:pPr>
                        <w:pStyle w:val="ListParagraph"/>
                        <w:ind w:left="854"/>
                        <w:rPr>
                          <w:lang w:val="fr-CH"/>
                        </w:rPr>
                      </w:pPr>
                      <w:r w:rsidRPr="00B86363">
                        <w:rPr>
                          <w:lang w:val="fr-CH"/>
                        </w:rPr>
                        <w:t xml:space="preserve">vii) </w:t>
                      </w:r>
                      <w:r w:rsidRPr="00B86363">
                        <w:rPr>
                          <w:lang w:val="fr-CH"/>
                        </w:rPr>
                        <w:tab/>
                        <w:t>examiner l’évaluation des activités et réalisations des Initiatives régionales Ramsar actives en 2019-2021, résumée dans l’Annexe 3 et préparée par le Secrétariat pour soumission à la COP14, conformément au paragraphe 28 de la Résolution XIII.9.</w:t>
                      </w:r>
                    </w:p>
                    <w:p w14:paraId="4A51BECA" w14:textId="77777777" w:rsidR="00F35D80" w:rsidRPr="00483FB6" w:rsidRDefault="00F35D80" w:rsidP="00073B21">
                      <w:pPr>
                        <w:pStyle w:val="ColorfulList-Accent11"/>
                        <w:rPr>
                          <w:lang w:val="fr-CH"/>
                        </w:rPr>
                      </w:pPr>
                    </w:p>
                    <w:p w14:paraId="3D111796" w14:textId="77777777" w:rsidR="00F35D80" w:rsidRPr="00FC60AD" w:rsidRDefault="00F35D80" w:rsidP="002C261A">
                      <w:pPr>
                        <w:pStyle w:val="ColorfulList-Accent11"/>
                        <w:rPr>
                          <w:lang w:val="fr-FR"/>
                        </w:rPr>
                      </w:pPr>
                    </w:p>
                  </w:txbxContent>
                </v:textbox>
                <w10:anchorlock/>
              </v:shape>
            </w:pict>
          </mc:Fallback>
        </mc:AlternateContent>
      </w:r>
    </w:p>
    <w:p w14:paraId="7C1D9C7E" w14:textId="77777777" w:rsidR="009E0AE8" w:rsidRPr="00760B39" w:rsidRDefault="009E0AE8" w:rsidP="00014168">
      <w:pPr>
        <w:rPr>
          <w:rFonts w:cs="Arial"/>
          <w:b/>
          <w:lang w:val="fr-FR"/>
        </w:rPr>
      </w:pPr>
    </w:p>
    <w:p w14:paraId="17097866" w14:textId="77777777" w:rsidR="00091847" w:rsidRPr="00760B39" w:rsidRDefault="00091847" w:rsidP="00073B21">
      <w:pPr>
        <w:ind w:left="0" w:firstLine="0"/>
        <w:rPr>
          <w:rFonts w:cs="Arial"/>
          <w:b/>
          <w:lang w:val="fr-FR"/>
        </w:rPr>
      </w:pPr>
    </w:p>
    <w:p w14:paraId="615CA6D0" w14:textId="77777777" w:rsidR="000C2489" w:rsidRPr="00760B39" w:rsidRDefault="004F6363" w:rsidP="00483FB6">
      <w:pPr>
        <w:keepNext/>
        <w:keepLines/>
        <w:rPr>
          <w:rFonts w:cs="Arial"/>
          <w:b/>
          <w:lang w:val="fr-FR"/>
        </w:rPr>
      </w:pPr>
      <w:r w:rsidRPr="00760B39">
        <w:rPr>
          <w:rFonts w:cs="Arial"/>
          <w:b/>
          <w:bCs/>
          <w:lang w:val="fr-FR"/>
        </w:rPr>
        <w:lastRenderedPageBreak/>
        <w:t>Contexte</w:t>
      </w:r>
    </w:p>
    <w:p w14:paraId="3A785786" w14:textId="77777777" w:rsidR="00697189" w:rsidRPr="00760B39" w:rsidRDefault="00697189" w:rsidP="00483FB6">
      <w:pPr>
        <w:keepNext/>
        <w:keepLines/>
        <w:rPr>
          <w:rFonts w:asciiTheme="minorHAnsi" w:hAnsiTheme="minorHAnsi" w:cstheme="minorHAnsi"/>
          <w:lang w:val="fr-FR"/>
        </w:rPr>
      </w:pPr>
    </w:p>
    <w:p w14:paraId="35C280FA" w14:textId="37BF4AD2" w:rsidR="00D66E77" w:rsidRPr="00760B39" w:rsidRDefault="004F6363" w:rsidP="00483FB6">
      <w:pPr>
        <w:keepNext/>
        <w:keepLines/>
        <w:rPr>
          <w:rFonts w:asciiTheme="minorHAnsi" w:hAnsiTheme="minorHAnsi" w:cstheme="minorHAnsi"/>
          <w:lang w:val="fr-FR"/>
        </w:rPr>
      </w:pPr>
      <w:r w:rsidRPr="00760B39">
        <w:rPr>
          <w:rFonts w:cs="Calibri"/>
          <w:lang w:val="fr-FR"/>
        </w:rPr>
        <w:t>1.</w:t>
      </w:r>
      <w:r w:rsidRPr="00760B39">
        <w:rPr>
          <w:rFonts w:cs="Calibri"/>
          <w:lang w:val="fr-FR"/>
        </w:rPr>
        <w:tab/>
        <w:t xml:space="preserve">À sa </w:t>
      </w:r>
      <w:r w:rsidR="007B23D5" w:rsidRPr="00760B39">
        <w:rPr>
          <w:rFonts w:cs="Calibri"/>
          <w:lang w:val="fr-FR"/>
        </w:rPr>
        <w:t>7</w:t>
      </w:r>
      <w:r w:rsidR="007B23D5" w:rsidRPr="00760B39">
        <w:rPr>
          <w:rFonts w:cs="Calibri"/>
          <w:vertAlign w:val="superscript"/>
          <w:lang w:val="fr-FR"/>
        </w:rPr>
        <w:t>e</w:t>
      </w:r>
      <w:r w:rsidR="007B23D5" w:rsidRPr="00760B39">
        <w:rPr>
          <w:rFonts w:cs="Calibri"/>
          <w:lang w:val="fr-FR"/>
        </w:rPr>
        <w:t> </w:t>
      </w:r>
      <w:r w:rsidRPr="00760B39">
        <w:rPr>
          <w:rFonts w:cs="Calibri"/>
          <w:lang w:val="fr-FR"/>
        </w:rPr>
        <w:t xml:space="preserve">session (COP7, San Jose, 1999), la Conférence des Parties contractantes a reconnu dans la Résolution VII.19, </w:t>
      </w:r>
      <w:r w:rsidRPr="00760B39">
        <w:rPr>
          <w:rFonts w:cs="Calibri"/>
          <w:i/>
          <w:iCs/>
          <w:lang w:val="fr-FR"/>
        </w:rPr>
        <w:t>Lignes directrices pour la coopération internationale dans le cadre de la Convention de Ramsar</w:t>
      </w:r>
      <w:r w:rsidRPr="00760B39">
        <w:rPr>
          <w:rFonts w:cs="Calibri"/>
          <w:lang w:val="fr-FR"/>
        </w:rPr>
        <w:t>, que la coopération régionale est un moyen efficace de prom</w:t>
      </w:r>
      <w:r w:rsidR="00FC60AD">
        <w:rPr>
          <w:rFonts w:cs="Calibri"/>
          <w:lang w:val="fr-FR"/>
        </w:rPr>
        <w:t>ouvoir l</w:t>
      </w:r>
      <w:r w:rsidRPr="00760B39">
        <w:rPr>
          <w:rFonts w:cs="Calibri"/>
          <w:lang w:val="fr-FR"/>
        </w:rPr>
        <w:t>es objectifs de la Convention et d’amélior</w:t>
      </w:r>
      <w:r w:rsidR="00FC60AD">
        <w:rPr>
          <w:rFonts w:cs="Calibri"/>
          <w:lang w:val="fr-FR"/>
        </w:rPr>
        <w:t>er</w:t>
      </w:r>
      <w:r w:rsidRPr="00760B39">
        <w:rPr>
          <w:rFonts w:cs="Calibri"/>
          <w:lang w:val="fr-FR"/>
        </w:rPr>
        <w:t xml:space="preserve"> leur mise en œuvre. C</w:t>
      </w:r>
      <w:r w:rsidR="00FC60AD">
        <w:rPr>
          <w:rFonts w:cs="Calibri"/>
          <w:lang w:val="fr-FR"/>
        </w:rPr>
        <w:t>’est ainsi qu’ont été</w:t>
      </w:r>
      <w:r w:rsidRPr="00760B39">
        <w:rPr>
          <w:rFonts w:cs="Calibri"/>
          <w:lang w:val="fr-FR"/>
        </w:rPr>
        <w:t xml:space="preserve"> </w:t>
      </w:r>
      <w:r w:rsidR="00AA4B08" w:rsidRPr="00760B39">
        <w:rPr>
          <w:rFonts w:cs="Calibri"/>
          <w:lang w:val="fr-FR"/>
        </w:rPr>
        <w:t>amorcé</w:t>
      </w:r>
      <w:r w:rsidR="00FC60AD">
        <w:rPr>
          <w:rFonts w:cs="Calibri"/>
          <w:lang w:val="fr-FR"/>
        </w:rPr>
        <w:t>es</w:t>
      </w:r>
      <w:r w:rsidR="00FE05BB" w:rsidRPr="00760B39">
        <w:rPr>
          <w:rFonts w:cs="Calibri"/>
          <w:lang w:val="fr-FR"/>
        </w:rPr>
        <w:t xml:space="preserve"> </w:t>
      </w:r>
      <w:r w:rsidRPr="00760B39">
        <w:rPr>
          <w:rFonts w:cs="Calibri"/>
          <w:lang w:val="fr-FR"/>
        </w:rPr>
        <w:t xml:space="preserve">la mise en place et l’élaboration d’un mécanisme de coopération régionale officiellement établi, désormais appelé Initiative régionale Ramsar (IRR). </w:t>
      </w:r>
    </w:p>
    <w:p w14:paraId="01DAD3BC" w14:textId="77777777" w:rsidR="00EE3DCD" w:rsidRPr="00760B39" w:rsidRDefault="00EE3DCD" w:rsidP="00AC5DC7">
      <w:pPr>
        <w:pStyle w:val="ListParagraph"/>
        <w:ind w:left="425"/>
        <w:rPr>
          <w:rFonts w:asciiTheme="minorHAnsi" w:hAnsiTheme="minorHAnsi" w:cstheme="minorHAnsi"/>
          <w:highlight w:val="yellow"/>
          <w:lang w:val="fr-FR"/>
        </w:rPr>
      </w:pPr>
    </w:p>
    <w:p w14:paraId="42F98FC4" w14:textId="77777777" w:rsidR="00EE3DCD" w:rsidRPr="00760B39" w:rsidRDefault="004F6363" w:rsidP="00AC5DC7">
      <w:pPr>
        <w:rPr>
          <w:rFonts w:asciiTheme="minorHAnsi" w:hAnsiTheme="minorHAnsi" w:cstheme="minorHAnsi"/>
          <w:lang w:val="fr-FR"/>
        </w:rPr>
      </w:pPr>
      <w:r w:rsidRPr="00760B39">
        <w:rPr>
          <w:rFonts w:cs="Calibri"/>
          <w:lang w:val="fr-FR"/>
        </w:rPr>
        <w:t>2.</w:t>
      </w:r>
      <w:r w:rsidRPr="00760B39">
        <w:rPr>
          <w:rFonts w:cs="Calibri"/>
          <w:lang w:val="fr-FR"/>
        </w:rPr>
        <w:tab/>
        <w:t>À la COP13 (Dubaï</w:t>
      </w:r>
      <w:r w:rsidR="003F2DEF" w:rsidRPr="00760B39">
        <w:rPr>
          <w:rFonts w:cs="Calibri"/>
          <w:lang w:val="fr-FR"/>
        </w:rPr>
        <w:t>, 2018), au paragraphe 1 de la R</w:t>
      </w:r>
      <w:r w:rsidRPr="00760B39">
        <w:rPr>
          <w:rFonts w:cs="Calibri"/>
          <w:lang w:val="fr-FR"/>
        </w:rPr>
        <w:t xml:space="preserve">ésolution XIII.9, </w:t>
      </w:r>
      <w:r w:rsidRPr="00760B39">
        <w:rPr>
          <w:rFonts w:cs="Calibri"/>
          <w:i/>
          <w:iCs/>
          <w:lang w:val="fr-FR"/>
        </w:rPr>
        <w:t>Les Initiatives régionales Ramsar 2019-2021</w:t>
      </w:r>
      <w:r w:rsidRPr="00760B39">
        <w:rPr>
          <w:rFonts w:cs="Calibri"/>
          <w:lang w:val="fr-FR"/>
        </w:rPr>
        <w:t xml:space="preserve">, la Conférence a rappelé que les IRR « qui comprennent des centres régionaux pour la formation et le renforcement des capacités et des réseaux régionaux facilitant la coopération, sont conçues comme des moyens opérationnels de fournir un appui efficace pour une mise en œuvre améliorée de la Convention dans des régions géographiques données, dans le cadre de la coopération internationale volontaire aux questions relatives aux zones humides qui sont d’intérêt commun ». </w:t>
      </w:r>
    </w:p>
    <w:p w14:paraId="7B0D1C15" w14:textId="77777777" w:rsidR="00EE3DCD" w:rsidRPr="00760B39" w:rsidRDefault="00EE3DCD" w:rsidP="00AC5DC7">
      <w:pPr>
        <w:pStyle w:val="ListParagraph"/>
        <w:ind w:left="425"/>
        <w:rPr>
          <w:rFonts w:asciiTheme="minorHAnsi" w:hAnsiTheme="minorHAnsi" w:cstheme="minorHAnsi"/>
          <w:highlight w:val="yellow"/>
          <w:lang w:val="fr-FR"/>
        </w:rPr>
      </w:pPr>
    </w:p>
    <w:p w14:paraId="40FB4638" w14:textId="58ADCFE7" w:rsidR="00EE3DCD" w:rsidRPr="00760B39" w:rsidRDefault="004F6363" w:rsidP="00AC5DC7">
      <w:pPr>
        <w:rPr>
          <w:rFonts w:asciiTheme="minorHAnsi" w:hAnsiTheme="minorHAnsi" w:cstheme="minorHAnsi"/>
          <w:lang w:val="fr-FR"/>
        </w:rPr>
      </w:pPr>
      <w:r w:rsidRPr="00760B39">
        <w:rPr>
          <w:rFonts w:cs="Calibri"/>
          <w:lang w:val="fr-FR"/>
        </w:rPr>
        <w:t>3.</w:t>
      </w:r>
      <w:r w:rsidRPr="00760B39">
        <w:rPr>
          <w:rFonts w:cs="Calibri"/>
          <w:lang w:val="fr-FR"/>
        </w:rPr>
        <w:tab/>
        <w:t>Dans le paragraphe 11 de la Résolution XIII.9, les Parties contractantes ont approuvé les 19 </w:t>
      </w:r>
      <w:r w:rsidR="007B23D5" w:rsidRPr="00760B39">
        <w:rPr>
          <w:rFonts w:cs="Calibri"/>
          <w:lang w:val="fr-FR"/>
        </w:rPr>
        <w:t>IRR</w:t>
      </w:r>
      <w:r w:rsidRPr="00760B39">
        <w:rPr>
          <w:rFonts w:cs="Calibri"/>
          <w:lang w:val="fr-FR"/>
        </w:rPr>
        <w:t xml:space="preserve"> suivantes </w:t>
      </w:r>
      <w:r w:rsidR="00FC60AD">
        <w:rPr>
          <w:rFonts w:cs="Calibri"/>
          <w:lang w:val="fr-FR"/>
        </w:rPr>
        <w:t>actives</w:t>
      </w:r>
      <w:r w:rsidRPr="00760B39">
        <w:rPr>
          <w:rFonts w:cs="Calibri"/>
          <w:lang w:val="fr-FR"/>
        </w:rPr>
        <w:t xml:space="preserve"> dans le cadre de la Convention jusqu’à la COP14 (2021) : </w:t>
      </w:r>
    </w:p>
    <w:p w14:paraId="02C19E1A"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Centre Ramsar pour l’Afrique de l’Est (RAMCEA) ;</w:t>
      </w:r>
    </w:p>
    <w:p w14:paraId="58DAF10F" w14:textId="7AF41895"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 xml:space="preserve">Centre régional Ramsar pour la formation et la recherche </w:t>
      </w:r>
      <w:r w:rsidR="00B210E9">
        <w:rPr>
          <w:rFonts w:cs="Calibri"/>
          <w:lang w:val="fr-FR"/>
        </w:rPr>
        <w:t>dans</w:t>
      </w:r>
      <w:r w:rsidRPr="00760B39">
        <w:rPr>
          <w:rFonts w:cs="Calibri"/>
          <w:lang w:val="fr-FR"/>
        </w:rPr>
        <w:t xml:space="preserve"> l’hémisphère occidental (CREHO) ;</w:t>
      </w:r>
    </w:p>
    <w:p w14:paraId="625EAD55"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Centre régional Ramsar – Asie centrale et de l’Ouest (RRC-CWA) ;</w:t>
      </w:r>
    </w:p>
    <w:p w14:paraId="652C8166"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Centre régional Ramsar – Asie de l’Est (RCC-EA) ;</w:t>
      </w:r>
    </w:p>
    <w:p w14:paraId="776D18FE"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Initiative régionale Ramsar pour les zones humides côtières d’Afrique de l’Ouest (WaCoWet) ;</w:t>
      </w:r>
    </w:p>
    <w:p w14:paraId="2F64BA8A"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Initiative régionale Ramsar pour le bassin du fleuve Niger (NigerWet) ;</w:t>
      </w:r>
    </w:p>
    <w:p w14:paraId="46551A1F" w14:textId="7CEEB8E2"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Initiative régionale Ramsar pour le bassin du fleuve Sénégal</w:t>
      </w:r>
      <w:r w:rsidR="007B23D5" w:rsidRPr="00760B39">
        <w:rPr>
          <w:rFonts w:cs="Calibri"/>
          <w:lang w:val="fr-FR"/>
        </w:rPr>
        <w:t xml:space="preserve"> </w:t>
      </w:r>
      <w:r w:rsidR="007B23D5" w:rsidRPr="00760B39">
        <w:rPr>
          <w:lang w:val="fr-FR"/>
        </w:rPr>
        <w:t>(SenegalWet) </w:t>
      </w:r>
      <w:r w:rsidRPr="00760B39">
        <w:rPr>
          <w:rFonts w:cs="Calibri"/>
          <w:lang w:val="fr-FR"/>
        </w:rPr>
        <w:t>;</w:t>
      </w:r>
    </w:p>
    <w:p w14:paraId="49D7F6DF"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bookmarkStart w:id="0" w:name="_Hlk73699098"/>
      <w:r w:rsidRPr="00760B39">
        <w:rPr>
          <w:rFonts w:cs="Calibri"/>
          <w:lang w:val="fr-FR"/>
        </w:rPr>
        <w:t xml:space="preserve">Initiative régionale Ramsar pour la conservation et l’utilisation rationnelle des zones humides des Hautes Andes </w:t>
      </w:r>
      <w:bookmarkEnd w:id="0"/>
      <w:r w:rsidRPr="00760B39">
        <w:rPr>
          <w:rFonts w:cs="Calibri"/>
          <w:lang w:val="fr-FR"/>
        </w:rPr>
        <w:t>(HAW) ;</w:t>
      </w:r>
    </w:p>
    <w:p w14:paraId="7D269A28"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 xml:space="preserve">Initiative régionale Ramsar pour la conservation et l’utilisation rationnelle du bassin du Río de la Plata ; </w:t>
      </w:r>
    </w:p>
    <w:p w14:paraId="4CF4E5DE"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Initiative régionale Ramsar pour les zones humides des Caraïbes (CariWet) ;</w:t>
      </w:r>
    </w:p>
    <w:p w14:paraId="6A2360DE"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Initiative régionale Ramsar pour la conservation et l’utilisation rationnelle des mangroves et des récifs coralliens ;</w:t>
      </w:r>
    </w:p>
    <w:p w14:paraId="6A482213"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Initiative régionale Ramsar pour la conservation et l’utilisation durable des zones humides du bassin de l’Amazone ;</w:t>
      </w:r>
    </w:p>
    <w:p w14:paraId="6C5035A6"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Partenariat pour la voie de migration Asie de l’Est-Australasie (EAAFP) ;</w:t>
      </w:r>
    </w:p>
    <w:p w14:paraId="5C272015"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Initiative régionale Ramsar pour l’Asie centrale (RRI-CA) ;</w:t>
      </w:r>
    </w:p>
    <w:p w14:paraId="6406AC5B"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Initiative régionale Ramsar indo-birmane (IBRRI) ;</w:t>
      </w:r>
    </w:p>
    <w:p w14:paraId="6F0EFA05"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Initiative régionale Ramsar pour les zones humides méditerranéennes (MedWet) ;</w:t>
      </w:r>
    </w:p>
    <w:p w14:paraId="2C9A7F4A"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Initiative régionale Ramsar pour les zones humides des Carpates (CWI) ;</w:t>
      </w:r>
    </w:p>
    <w:p w14:paraId="3E11FBE5" w14:textId="77777777" w:rsidR="00733AFD"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Initiative régionale Ramsar pour les zones humides nordiques-baltiques (NorBalWet) ;</w:t>
      </w:r>
      <w:r w:rsidR="007B23D5" w:rsidRPr="00760B39">
        <w:rPr>
          <w:rFonts w:cs="Calibri"/>
          <w:lang w:val="fr-FR"/>
        </w:rPr>
        <w:t xml:space="preserve"> et</w:t>
      </w:r>
    </w:p>
    <w:p w14:paraId="52F95B01" w14:textId="77777777" w:rsidR="00626884" w:rsidRPr="00760B39" w:rsidRDefault="004F6363" w:rsidP="00D90353">
      <w:pPr>
        <w:pStyle w:val="BodyText"/>
        <w:numPr>
          <w:ilvl w:val="0"/>
          <w:numId w:val="3"/>
        </w:numPr>
        <w:ind w:left="851" w:hanging="425"/>
        <w:rPr>
          <w:rFonts w:asciiTheme="minorHAnsi" w:hAnsiTheme="minorHAnsi" w:cstheme="minorHAnsi"/>
          <w:lang w:val="fr-FR"/>
        </w:rPr>
      </w:pPr>
      <w:r w:rsidRPr="00760B39">
        <w:rPr>
          <w:rFonts w:cs="Calibri"/>
          <w:lang w:val="fr-FR"/>
        </w:rPr>
        <w:t>Initiative régionale Ramsar pour les zones humides côtières de la mer Noire et de la mer d’Azov (BlackSeaWet).</w:t>
      </w:r>
    </w:p>
    <w:p w14:paraId="432514E6" w14:textId="77777777" w:rsidR="00626884" w:rsidRPr="00760B39" w:rsidRDefault="00626884" w:rsidP="00626884">
      <w:pPr>
        <w:pStyle w:val="ListParagraph"/>
        <w:ind w:left="284" w:firstLine="0"/>
        <w:rPr>
          <w:rFonts w:asciiTheme="minorHAnsi" w:hAnsiTheme="minorHAnsi" w:cstheme="minorHAnsi"/>
          <w:highlight w:val="yellow"/>
          <w:lang w:val="fr-FR"/>
        </w:rPr>
      </w:pPr>
    </w:p>
    <w:p w14:paraId="009F85BD" w14:textId="48847959" w:rsidR="00626884" w:rsidRPr="00760B39" w:rsidRDefault="004F6363" w:rsidP="00626884">
      <w:pPr>
        <w:pStyle w:val="ListParagraph"/>
        <w:ind w:left="0" w:firstLine="0"/>
        <w:rPr>
          <w:rFonts w:asciiTheme="minorHAnsi" w:hAnsiTheme="minorHAnsi" w:cstheme="minorHAnsi"/>
          <w:b/>
          <w:lang w:val="fr-FR"/>
        </w:rPr>
      </w:pPr>
      <w:r w:rsidRPr="00760B39">
        <w:rPr>
          <w:rFonts w:cs="Calibri"/>
          <w:b/>
          <w:bCs/>
          <w:lang w:val="fr-FR"/>
        </w:rPr>
        <w:t>Progrès des travaux des 19 Initiatives régionales Ramsar en 20</w:t>
      </w:r>
      <w:r w:rsidR="00AE22CD" w:rsidRPr="00590835">
        <w:rPr>
          <w:rFonts w:cs="Calibri"/>
          <w:b/>
          <w:bCs/>
          <w:lang w:val="fr-FR"/>
        </w:rPr>
        <w:t>20</w:t>
      </w:r>
    </w:p>
    <w:p w14:paraId="02DA5065" w14:textId="77777777" w:rsidR="00626884" w:rsidRPr="00760B39" w:rsidRDefault="00626884" w:rsidP="00626884">
      <w:pPr>
        <w:pStyle w:val="ListParagraph"/>
        <w:ind w:left="0" w:firstLine="0"/>
        <w:rPr>
          <w:rFonts w:asciiTheme="minorHAnsi" w:hAnsiTheme="minorHAnsi" w:cstheme="minorHAnsi"/>
          <w:highlight w:val="yellow"/>
          <w:lang w:val="fr-FR"/>
        </w:rPr>
      </w:pPr>
    </w:p>
    <w:p w14:paraId="0C4AF708" w14:textId="33DE4442" w:rsidR="004A409E" w:rsidRPr="00760B39" w:rsidRDefault="004F6363" w:rsidP="00AC5DC7">
      <w:pPr>
        <w:rPr>
          <w:rFonts w:asciiTheme="minorHAnsi" w:hAnsiTheme="minorHAnsi" w:cstheme="minorHAnsi"/>
          <w:lang w:val="fr-FR"/>
        </w:rPr>
      </w:pPr>
      <w:r w:rsidRPr="00760B39">
        <w:rPr>
          <w:rFonts w:cs="Calibri"/>
          <w:lang w:val="fr-FR"/>
        </w:rPr>
        <w:t>4.</w:t>
      </w:r>
      <w:r w:rsidRPr="00760B39">
        <w:rPr>
          <w:rFonts w:cs="Calibri"/>
          <w:lang w:val="fr-FR"/>
        </w:rPr>
        <w:tab/>
        <w:t>À la COP12 (Punta del Est</w:t>
      </w:r>
      <w:r w:rsidR="00936CF6">
        <w:rPr>
          <w:rFonts w:cs="Calibri"/>
          <w:lang w:val="fr-FR"/>
        </w:rPr>
        <w:t>e</w:t>
      </w:r>
      <w:r w:rsidRPr="00760B39">
        <w:rPr>
          <w:rFonts w:cs="Calibri"/>
          <w:lang w:val="fr-FR"/>
        </w:rPr>
        <w:t xml:space="preserve">, 2015), au paragraphe 12 de la Résolution XII.8, </w:t>
      </w:r>
      <w:r w:rsidRPr="00760B39">
        <w:rPr>
          <w:rFonts w:cs="Calibri"/>
          <w:i/>
          <w:iCs/>
          <w:lang w:val="fr-FR"/>
        </w:rPr>
        <w:t>Initiatives régionales 2016-2018 fonctionnant dans le cadre de la Convention de Ramsar</w:t>
      </w:r>
      <w:r w:rsidRPr="00760B39">
        <w:rPr>
          <w:rFonts w:cs="Calibri"/>
          <w:lang w:val="fr-FR"/>
        </w:rPr>
        <w:t xml:space="preserve">, les Parties contractantes ont demandé « au Comité permanent de continuer d’évaluer chaque année, </w:t>
      </w:r>
      <w:r w:rsidRPr="00760B39">
        <w:rPr>
          <w:rFonts w:cs="Calibri"/>
          <w:lang w:val="fr-FR"/>
        </w:rPr>
        <w:lastRenderedPageBreak/>
        <w:t xml:space="preserve">d’après les rapports soumis, conformément à la présentation adoptée dans la Décision SC41-21 du Comité permanent, le fonctionnement des Initiatives régionales Ramsar par rapport aux Directives opérationnelles, l’application de la Convention et le Plan stratégique Ramsar 2016-2024, avec l’appui du Groupe de surveillance des activités de CESP si nécessaire ». </w:t>
      </w:r>
    </w:p>
    <w:p w14:paraId="32F39FB2" w14:textId="77777777" w:rsidR="004A409E" w:rsidRPr="00760B39" w:rsidRDefault="004A409E" w:rsidP="00AC5DC7">
      <w:pPr>
        <w:pStyle w:val="ListParagraph"/>
        <w:ind w:left="425"/>
        <w:rPr>
          <w:rFonts w:asciiTheme="minorHAnsi" w:hAnsiTheme="minorHAnsi" w:cstheme="minorHAnsi"/>
          <w:highlight w:val="yellow"/>
          <w:lang w:val="fr-FR"/>
        </w:rPr>
      </w:pPr>
    </w:p>
    <w:p w14:paraId="47423A31" w14:textId="15654FBB" w:rsidR="00CC5C99" w:rsidRPr="00760B39" w:rsidRDefault="004F6363" w:rsidP="00AC5DC7">
      <w:pPr>
        <w:rPr>
          <w:rFonts w:asciiTheme="minorHAnsi" w:hAnsiTheme="minorHAnsi" w:cstheme="minorHAnsi"/>
          <w:lang w:val="fr-FR"/>
        </w:rPr>
      </w:pPr>
      <w:r w:rsidRPr="00760B39">
        <w:rPr>
          <w:rFonts w:cs="Calibri"/>
          <w:lang w:val="fr-FR"/>
        </w:rPr>
        <w:t>5.</w:t>
      </w:r>
      <w:r w:rsidRPr="00760B39">
        <w:rPr>
          <w:rFonts w:cs="Calibri"/>
          <w:lang w:val="fr-FR"/>
        </w:rPr>
        <w:tab/>
        <w:t>À la COP13 (Dubaï, 2018), au paragraphe 8 de la Résolution XIII.9, les Parties contractantes ont décidé que les IRR, pour rester officiellement reconnues en tant que telles, doivent respecter les principes suivants :</w:t>
      </w:r>
    </w:p>
    <w:p w14:paraId="52BF31F5" w14:textId="70F6B172" w:rsidR="0051775F" w:rsidRPr="00760B39" w:rsidRDefault="004F6363" w:rsidP="005C49AB">
      <w:pPr>
        <w:ind w:left="850"/>
        <w:rPr>
          <w:lang w:val="fr-FR"/>
        </w:rPr>
      </w:pPr>
      <w:r w:rsidRPr="00760B39">
        <w:rPr>
          <w:lang w:val="fr-FR"/>
        </w:rPr>
        <w:t>a</w:t>
      </w:r>
      <w:r w:rsidR="00741120">
        <w:rPr>
          <w:lang w:val="fr-FR"/>
        </w:rPr>
        <w:t>)</w:t>
      </w:r>
      <w:r w:rsidRPr="00760B39">
        <w:rPr>
          <w:lang w:val="fr-FR"/>
        </w:rPr>
        <w:tab/>
        <w:t>les IRR sont approuvées par la Conférence des Parties contractantes ou, dans la période intersession, si elles sont nouvelles, par le Comité permanent ;</w:t>
      </w:r>
    </w:p>
    <w:p w14:paraId="0BEC5AC6" w14:textId="4E4610DE" w:rsidR="0051775F" w:rsidRPr="00760B39" w:rsidRDefault="004F6363" w:rsidP="005C49AB">
      <w:pPr>
        <w:ind w:left="850"/>
        <w:rPr>
          <w:lang w:val="fr-FR"/>
        </w:rPr>
      </w:pPr>
      <w:r w:rsidRPr="00760B39">
        <w:rPr>
          <w:lang w:val="fr-FR"/>
        </w:rPr>
        <w:t>b</w:t>
      </w:r>
      <w:r w:rsidR="00741120">
        <w:rPr>
          <w:lang w:val="fr-FR"/>
        </w:rPr>
        <w:t>)</w:t>
      </w:r>
      <w:r w:rsidRPr="00760B39">
        <w:rPr>
          <w:lang w:val="fr-FR"/>
        </w:rPr>
        <w:tab/>
        <w:t>les IRR font l’objet d’un examen par les Parties contractantes, à chaque session de la Conférence des Parties ;</w:t>
      </w:r>
    </w:p>
    <w:p w14:paraId="05631E72" w14:textId="73D90F8D" w:rsidR="0051775F" w:rsidRPr="00760B39" w:rsidRDefault="004F6363" w:rsidP="005C49AB">
      <w:pPr>
        <w:ind w:left="850"/>
        <w:rPr>
          <w:lang w:val="fr-FR"/>
        </w:rPr>
      </w:pPr>
      <w:r w:rsidRPr="00760B39">
        <w:rPr>
          <w:lang w:val="fr-FR"/>
        </w:rPr>
        <w:t>c</w:t>
      </w:r>
      <w:r w:rsidR="00741120">
        <w:rPr>
          <w:lang w:val="fr-FR"/>
        </w:rPr>
        <w:t>)</w:t>
      </w:r>
      <w:r w:rsidRPr="00760B39">
        <w:rPr>
          <w:lang w:val="fr-FR"/>
        </w:rPr>
        <w:tab/>
        <w:t>les IRR rédigent leur cahier des charges qui contient leur propre règlement intérieur, la description de leur structure, de leur gouvernance et de leur composition, y compris le statut de la participation du Secrétariat de la Convention à l’IRR et qui doit se conformer aux Résolutions et Recommandations de la Conférence des Parties ;</w:t>
      </w:r>
    </w:p>
    <w:p w14:paraId="4693BDF3" w14:textId="6C95BA9A" w:rsidR="0051775F" w:rsidRPr="00760B39" w:rsidRDefault="004F6363" w:rsidP="005C49AB">
      <w:pPr>
        <w:ind w:left="850"/>
        <w:rPr>
          <w:lang w:val="fr-FR"/>
        </w:rPr>
      </w:pPr>
      <w:r w:rsidRPr="00760B39">
        <w:rPr>
          <w:lang w:val="fr-FR"/>
        </w:rPr>
        <w:t>d</w:t>
      </w:r>
      <w:r w:rsidR="00741120">
        <w:rPr>
          <w:lang w:val="fr-FR"/>
        </w:rPr>
        <w:t>)</w:t>
      </w:r>
      <w:r w:rsidRPr="00760B39">
        <w:rPr>
          <w:lang w:val="fr-FR"/>
        </w:rPr>
        <w:tab/>
        <w:t>les IRR sont financièrement responsables ;</w:t>
      </w:r>
    </w:p>
    <w:p w14:paraId="2CEAF882" w14:textId="6323BBB1" w:rsidR="0051775F" w:rsidRPr="00760B39" w:rsidRDefault="004F6363" w:rsidP="005C49AB">
      <w:pPr>
        <w:ind w:left="850"/>
        <w:rPr>
          <w:lang w:val="fr-FR"/>
        </w:rPr>
      </w:pPr>
      <w:r w:rsidRPr="00760B39">
        <w:rPr>
          <w:lang w:val="fr-FR"/>
        </w:rPr>
        <w:t>e</w:t>
      </w:r>
      <w:r w:rsidR="00741120">
        <w:rPr>
          <w:lang w:val="fr-FR"/>
        </w:rPr>
        <w:t>)</w:t>
      </w:r>
      <w:r w:rsidRPr="00760B39">
        <w:rPr>
          <w:lang w:val="fr-FR"/>
        </w:rPr>
        <w:tab/>
        <w:t>les IRR doivent entreprendre des tâches qui s’inscrivent dans le cadre de l’application de la Convention dans leur région et ne peuvent s’exprimer qu’en leur propre nom, en utilisant seulement leur propre logo ;</w:t>
      </w:r>
    </w:p>
    <w:p w14:paraId="4D4C55EA" w14:textId="10776A54" w:rsidR="0051775F" w:rsidRPr="00760B39" w:rsidRDefault="004F6363" w:rsidP="005C49AB">
      <w:pPr>
        <w:ind w:left="850"/>
        <w:rPr>
          <w:lang w:val="fr-FR"/>
        </w:rPr>
      </w:pPr>
      <w:r w:rsidRPr="00760B39">
        <w:rPr>
          <w:lang w:val="fr-FR"/>
        </w:rPr>
        <w:t>f</w:t>
      </w:r>
      <w:r w:rsidR="00741120">
        <w:rPr>
          <w:lang w:val="fr-FR"/>
        </w:rPr>
        <w:t>)</w:t>
      </w:r>
      <w:r w:rsidRPr="00760B39">
        <w:rPr>
          <w:lang w:val="fr-FR"/>
        </w:rPr>
        <w:tab/>
        <w:t>les IRR doivent soumettre au Secrétariat, à la fin de chaque année, dans la présentation approuvée par le Comité permanent, un rapport annuel de situation sur leurs travaux et un résumé financier, accompagnés d’un plan de travail et d’un budget pour l’année suivante ; et</w:t>
      </w:r>
    </w:p>
    <w:p w14:paraId="0488BED0" w14:textId="6095E872" w:rsidR="00CC5C99" w:rsidRPr="00760B39" w:rsidRDefault="004F6363" w:rsidP="005C49AB">
      <w:pPr>
        <w:ind w:left="850"/>
        <w:rPr>
          <w:lang w:val="fr-FR"/>
        </w:rPr>
      </w:pPr>
      <w:r w:rsidRPr="00760B39">
        <w:rPr>
          <w:lang w:val="fr-FR"/>
        </w:rPr>
        <w:t>g</w:t>
      </w:r>
      <w:r w:rsidR="00741120">
        <w:rPr>
          <w:lang w:val="fr-FR"/>
        </w:rPr>
        <w:t>)</w:t>
      </w:r>
      <w:r w:rsidRPr="00760B39">
        <w:rPr>
          <w:lang w:val="fr-FR"/>
        </w:rPr>
        <w:tab/>
        <w:t xml:space="preserve">les IRR établies depuis moins de six ans qui souhaitent faire une demande d’appui financier de départ au budget administratif de la Convention de Ramsar doivent en faire la demande dans le budget qu’elles soumettent pour l’année suivante. </w:t>
      </w:r>
    </w:p>
    <w:p w14:paraId="0D0CEC03" w14:textId="77777777" w:rsidR="007F32C0" w:rsidRPr="00760B39" w:rsidRDefault="007F32C0" w:rsidP="00CB35D9">
      <w:pPr>
        <w:pStyle w:val="ListParagraph"/>
        <w:ind w:left="284" w:firstLine="0"/>
        <w:rPr>
          <w:rFonts w:asciiTheme="minorHAnsi" w:hAnsiTheme="minorHAnsi" w:cstheme="minorHAnsi"/>
          <w:highlight w:val="yellow"/>
          <w:lang w:val="fr-FR"/>
        </w:rPr>
      </w:pPr>
    </w:p>
    <w:p w14:paraId="43C6D647" w14:textId="7FF3CFF2" w:rsidR="007F32C0" w:rsidRPr="00760B39" w:rsidRDefault="004F6363" w:rsidP="00AC5DC7">
      <w:pPr>
        <w:rPr>
          <w:rFonts w:asciiTheme="minorHAnsi" w:hAnsiTheme="minorHAnsi" w:cstheme="minorHAnsi"/>
          <w:lang w:val="fr-FR"/>
        </w:rPr>
      </w:pPr>
      <w:r w:rsidRPr="00760B39">
        <w:rPr>
          <w:rFonts w:cs="Calibri"/>
          <w:lang w:val="fr-FR"/>
        </w:rPr>
        <w:t>6.</w:t>
      </w:r>
      <w:r w:rsidRPr="00760B39">
        <w:rPr>
          <w:rFonts w:cs="Calibri"/>
          <w:lang w:val="fr-FR"/>
        </w:rPr>
        <w:tab/>
        <w:t xml:space="preserve">Le Secrétariat </w:t>
      </w:r>
      <w:r w:rsidR="00590835">
        <w:rPr>
          <w:rFonts w:cs="Calibri"/>
          <w:lang w:val="fr-FR"/>
        </w:rPr>
        <w:t>a</w:t>
      </w:r>
      <w:r w:rsidRPr="00760B39">
        <w:rPr>
          <w:rFonts w:cs="Calibri"/>
          <w:lang w:val="fr-FR"/>
        </w:rPr>
        <w:t xml:space="preserve"> des contacts réguliers avec les IRR pour s’assurer que leurs objectifs et programmes de travail sont conformes au Plan stratégique de la </w:t>
      </w:r>
      <w:r w:rsidRPr="00590835">
        <w:rPr>
          <w:rFonts w:cs="Calibri"/>
          <w:lang w:val="fr-FR"/>
        </w:rPr>
        <w:t xml:space="preserve">Convention et </w:t>
      </w:r>
      <w:r w:rsidR="00B23274" w:rsidRPr="00590835">
        <w:rPr>
          <w:rFonts w:cs="Calibri"/>
          <w:lang w:val="fr-FR"/>
        </w:rPr>
        <w:t>aux</w:t>
      </w:r>
      <w:r w:rsidRPr="00590835">
        <w:rPr>
          <w:rFonts w:cs="Calibri"/>
          <w:lang w:val="fr-FR"/>
        </w:rPr>
        <w:t xml:space="preserve"> </w:t>
      </w:r>
      <w:r w:rsidRPr="00760B39">
        <w:rPr>
          <w:rFonts w:cs="Calibri"/>
          <w:lang w:val="fr-FR"/>
        </w:rPr>
        <w:t xml:space="preserve">Directives opérationnelles pour les IRR. </w:t>
      </w:r>
    </w:p>
    <w:p w14:paraId="3E173B8F" w14:textId="77777777" w:rsidR="007F32C0" w:rsidRPr="00760B39" w:rsidRDefault="007F32C0" w:rsidP="00A77F8A">
      <w:pPr>
        <w:pStyle w:val="ListParagraph"/>
        <w:ind w:left="425"/>
        <w:rPr>
          <w:rFonts w:asciiTheme="minorHAnsi" w:hAnsiTheme="minorHAnsi" w:cstheme="minorHAnsi"/>
          <w:highlight w:val="yellow"/>
          <w:lang w:val="fr-FR"/>
        </w:rPr>
      </w:pPr>
    </w:p>
    <w:p w14:paraId="1C54A7A8" w14:textId="5CDFE129" w:rsidR="00C1660A" w:rsidRPr="00760B39" w:rsidRDefault="004F6363" w:rsidP="00A77F8A">
      <w:pPr>
        <w:rPr>
          <w:color w:val="0000FF"/>
          <w:spacing w:val="-2"/>
          <w:lang w:val="fr-FR"/>
        </w:rPr>
      </w:pPr>
      <w:r w:rsidRPr="00760B39">
        <w:rPr>
          <w:rFonts w:cs="Calibri"/>
          <w:spacing w:val="-2"/>
          <w:lang w:val="fr-FR"/>
        </w:rPr>
        <w:t>7.</w:t>
      </w:r>
      <w:r w:rsidRPr="00760B39">
        <w:rPr>
          <w:rFonts w:cs="Calibri"/>
          <w:spacing w:val="-2"/>
          <w:lang w:val="fr-FR"/>
        </w:rPr>
        <w:tab/>
        <w:t>Les coord</w:t>
      </w:r>
      <w:r w:rsidR="00741120">
        <w:rPr>
          <w:rFonts w:cs="Calibri"/>
          <w:spacing w:val="-2"/>
          <w:lang w:val="fr-FR"/>
        </w:rPr>
        <w:t>on</w:t>
      </w:r>
      <w:r w:rsidRPr="00760B39">
        <w:rPr>
          <w:rFonts w:cs="Calibri"/>
          <w:spacing w:val="-2"/>
          <w:lang w:val="fr-FR"/>
        </w:rPr>
        <w:t xml:space="preserve">nateurs des IRR ont été </w:t>
      </w:r>
      <w:r w:rsidR="007B23D5" w:rsidRPr="00760B39">
        <w:rPr>
          <w:rFonts w:cs="Calibri"/>
          <w:spacing w:val="-2"/>
          <w:lang w:val="fr-FR"/>
        </w:rPr>
        <w:t>priés d’</w:t>
      </w:r>
      <w:r w:rsidRPr="00760B39">
        <w:rPr>
          <w:rFonts w:cs="Calibri"/>
          <w:spacing w:val="-2"/>
          <w:lang w:val="fr-FR"/>
        </w:rPr>
        <w:t xml:space="preserve">utiliser </w:t>
      </w:r>
      <w:r w:rsidR="0048574C">
        <w:rPr>
          <w:rFonts w:cs="Calibri"/>
          <w:spacing w:val="-2"/>
          <w:lang w:val="fr-FR"/>
        </w:rPr>
        <w:t>le modèle de</w:t>
      </w:r>
      <w:r w:rsidRPr="00760B39">
        <w:rPr>
          <w:rFonts w:cs="Calibri"/>
          <w:spacing w:val="-2"/>
          <w:lang w:val="fr-FR"/>
        </w:rPr>
        <w:t xml:space="preserve"> rapport annuel (document SC41-13, </w:t>
      </w:r>
      <w:r w:rsidR="00AE22CD">
        <w:rPr>
          <w:rFonts w:cs="Calibri"/>
          <w:spacing w:val="-2"/>
          <w:lang w:val="fr-FR"/>
        </w:rPr>
        <w:t>A</w:t>
      </w:r>
      <w:r w:rsidRPr="00760B39">
        <w:rPr>
          <w:rFonts w:cs="Calibri"/>
          <w:spacing w:val="-2"/>
          <w:lang w:val="fr-FR"/>
        </w:rPr>
        <w:t xml:space="preserve">nnexe I, disponible sur </w:t>
      </w:r>
      <w:hyperlink r:id="rId8" w:history="1">
        <w:r w:rsidRPr="00760B39">
          <w:rPr>
            <w:color w:val="0000FF"/>
            <w:spacing w:val="-2"/>
            <w:u w:val="single"/>
            <w:lang w:val="fr-FR"/>
          </w:rPr>
          <w:t>https://www.ramsar.org/fr/activite/initiatives-regionales-ramsar</w:t>
        </w:r>
      </w:hyperlink>
      <w:r w:rsidR="007B23D5" w:rsidRPr="00760B39">
        <w:rPr>
          <w:spacing w:val="-2"/>
          <w:lang w:val="fr-FR"/>
        </w:rPr>
        <w:t>) et d’</w:t>
      </w:r>
      <w:r w:rsidRPr="00760B39">
        <w:rPr>
          <w:spacing w:val="-2"/>
          <w:lang w:val="fr-FR"/>
        </w:rPr>
        <w:t>envoyer au Secrétariat</w:t>
      </w:r>
      <w:r w:rsidR="0048574C">
        <w:rPr>
          <w:spacing w:val="-2"/>
          <w:lang w:val="fr-FR"/>
        </w:rPr>
        <w:t>,</w:t>
      </w:r>
      <w:r w:rsidRPr="00760B39">
        <w:rPr>
          <w:spacing w:val="-2"/>
          <w:lang w:val="fr-FR"/>
        </w:rPr>
        <w:t xml:space="preserve"> au plus tard le </w:t>
      </w:r>
      <w:r w:rsidR="00AE22CD" w:rsidRPr="00590835">
        <w:rPr>
          <w:spacing w:val="-2"/>
          <w:lang w:val="fr-FR"/>
        </w:rPr>
        <w:t>31</w:t>
      </w:r>
      <w:r w:rsidRPr="00590835">
        <w:rPr>
          <w:spacing w:val="-2"/>
          <w:lang w:val="fr-FR"/>
        </w:rPr>
        <w:t> janvier 20</w:t>
      </w:r>
      <w:r w:rsidR="00AE22CD" w:rsidRPr="00590835">
        <w:rPr>
          <w:spacing w:val="-2"/>
          <w:lang w:val="fr-FR"/>
        </w:rPr>
        <w:t>21</w:t>
      </w:r>
      <w:r w:rsidR="0048574C" w:rsidRPr="00590835">
        <w:rPr>
          <w:spacing w:val="-2"/>
          <w:lang w:val="fr-FR"/>
        </w:rPr>
        <w:t>,</w:t>
      </w:r>
      <w:r w:rsidRPr="00590835">
        <w:rPr>
          <w:spacing w:val="-2"/>
          <w:lang w:val="fr-FR"/>
        </w:rPr>
        <w:t xml:space="preserve"> leur rapport sur les activités entreprises en 20</w:t>
      </w:r>
      <w:r w:rsidR="00AE22CD" w:rsidRPr="00590835">
        <w:rPr>
          <w:spacing w:val="-2"/>
          <w:lang w:val="fr-FR"/>
        </w:rPr>
        <w:t>20</w:t>
      </w:r>
      <w:r w:rsidRPr="00590835">
        <w:rPr>
          <w:spacing w:val="-2"/>
          <w:lang w:val="fr-FR"/>
        </w:rPr>
        <w:t xml:space="preserve"> et celles prévues pour 20</w:t>
      </w:r>
      <w:r w:rsidR="00AE22CD" w:rsidRPr="00590835">
        <w:rPr>
          <w:spacing w:val="-2"/>
          <w:lang w:val="fr-FR"/>
        </w:rPr>
        <w:t>21</w:t>
      </w:r>
      <w:r w:rsidRPr="00590835">
        <w:rPr>
          <w:spacing w:val="-2"/>
          <w:lang w:val="fr-FR"/>
        </w:rPr>
        <w:t>, incl</w:t>
      </w:r>
      <w:r w:rsidRPr="00760B39">
        <w:rPr>
          <w:spacing w:val="-2"/>
          <w:lang w:val="fr-FR"/>
        </w:rPr>
        <w:t xml:space="preserve">uant </w:t>
      </w:r>
      <w:r w:rsidR="007B23D5" w:rsidRPr="00760B39">
        <w:rPr>
          <w:spacing w:val="-2"/>
          <w:lang w:val="fr-FR"/>
        </w:rPr>
        <w:t>un aperçu</w:t>
      </w:r>
      <w:r w:rsidRPr="00760B39">
        <w:rPr>
          <w:spacing w:val="-2"/>
          <w:lang w:val="fr-FR"/>
        </w:rPr>
        <w:t xml:space="preserve"> financi</w:t>
      </w:r>
      <w:r w:rsidR="007B23D5" w:rsidRPr="00760B39">
        <w:rPr>
          <w:spacing w:val="-2"/>
          <w:lang w:val="fr-FR"/>
        </w:rPr>
        <w:t>er</w:t>
      </w:r>
      <w:r w:rsidRPr="00760B39">
        <w:rPr>
          <w:spacing w:val="-2"/>
          <w:lang w:val="fr-FR"/>
        </w:rPr>
        <w:t xml:space="preserve">. Ces rapports sont disponibles </w:t>
      </w:r>
      <w:hyperlink r:id="rId9" w:history="1">
        <w:r w:rsidR="00F35D80" w:rsidRPr="00D51064">
          <w:rPr>
            <w:rStyle w:val="Hyperlink"/>
            <w:spacing w:val="-2"/>
            <w:lang w:val="fr-FR"/>
          </w:rPr>
          <w:t>https://www.ramsar.org/fr/search?sort=field_sort_date&amp;order=desc&amp;f%5B0%5D=field_tag_body_event%3A593&amp;f%5B1%5D=field_sort_date%3A2021&amp;search_api_views_fulltext</w:t>
        </w:r>
      </w:hyperlink>
      <w:r w:rsidR="00F35D80" w:rsidRPr="00F35D80">
        <w:rPr>
          <w:spacing w:val="-2"/>
          <w:lang w:val="fr-FR"/>
        </w:rPr>
        <w:t>=</w:t>
      </w:r>
      <w:r w:rsidR="00F35D80">
        <w:rPr>
          <w:spacing w:val="-2"/>
          <w:lang w:val="fr-FR"/>
        </w:rPr>
        <w:t xml:space="preserve">. </w:t>
      </w:r>
    </w:p>
    <w:p w14:paraId="76B08F2D" w14:textId="77777777" w:rsidR="0051775F" w:rsidRPr="00760B39" w:rsidRDefault="0051775F" w:rsidP="00A77F8A">
      <w:pPr>
        <w:pStyle w:val="ListParagraph"/>
        <w:ind w:left="425"/>
        <w:rPr>
          <w:rFonts w:asciiTheme="minorHAnsi" w:hAnsiTheme="minorHAnsi" w:cstheme="minorHAnsi"/>
          <w:lang w:val="fr-FR"/>
        </w:rPr>
      </w:pPr>
    </w:p>
    <w:p w14:paraId="6E71A58F" w14:textId="77F92F05" w:rsidR="00B72913" w:rsidRPr="002656ED" w:rsidRDefault="004F6363" w:rsidP="00A77F8A">
      <w:pPr>
        <w:rPr>
          <w:rFonts w:asciiTheme="minorHAnsi" w:hAnsiTheme="minorHAnsi" w:cstheme="minorHAnsi"/>
          <w:color w:val="FF0000"/>
          <w:lang w:val="fr-FR"/>
        </w:rPr>
      </w:pPr>
      <w:r w:rsidRPr="00760B39">
        <w:rPr>
          <w:rFonts w:cs="Calibri"/>
          <w:lang w:val="fr-FR"/>
        </w:rPr>
        <w:t>8.</w:t>
      </w:r>
      <w:r w:rsidRPr="00760B39">
        <w:rPr>
          <w:rFonts w:cs="Calibri"/>
          <w:lang w:val="fr-FR"/>
        </w:rPr>
        <w:tab/>
      </w:r>
      <w:r w:rsidR="002656ED" w:rsidRPr="00590835">
        <w:rPr>
          <w:rFonts w:cs="Calibri"/>
          <w:lang w:val="fr-FR"/>
        </w:rPr>
        <w:t>Le Secrétariat a envoyé des rappels aux Coordonnateurs des IRR, leur demandant de soumettre</w:t>
      </w:r>
      <w:r w:rsidRPr="00590835">
        <w:rPr>
          <w:rFonts w:cs="Calibri"/>
          <w:lang w:val="fr-FR"/>
        </w:rPr>
        <w:t xml:space="preserve"> des rapports annuels, et a </w:t>
      </w:r>
      <w:r w:rsidR="002656ED" w:rsidRPr="00590835">
        <w:rPr>
          <w:rFonts w:cs="Calibri"/>
          <w:lang w:val="fr-FR"/>
        </w:rPr>
        <w:t>fait</w:t>
      </w:r>
      <w:r w:rsidRPr="00590835">
        <w:rPr>
          <w:rFonts w:cs="Calibri"/>
          <w:lang w:val="fr-FR"/>
        </w:rPr>
        <w:t xml:space="preserve"> un suivi </w:t>
      </w:r>
      <w:r w:rsidR="002656ED" w:rsidRPr="00590835">
        <w:rPr>
          <w:rFonts w:cs="Calibri"/>
          <w:lang w:val="fr-FR"/>
        </w:rPr>
        <w:t>bilatéral avec chacun d’eux. Dix-huit IRR ont communiqué leur rapport annuel avant le 12 mars 2021</w:t>
      </w:r>
      <w:r w:rsidRPr="00590835">
        <w:rPr>
          <w:rFonts w:cs="Calibri"/>
          <w:lang w:val="fr-FR"/>
        </w:rPr>
        <w:t xml:space="preserve">. </w:t>
      </w:r>
      <w:r w:rsidR="002656ED" w:rsidRPr="00590835">
        <w:rPr>
          <w:rFonts w:cs="Calibri"/>
          <w:lang w:val="fr-FR"/>
        </w:rPr>
        <w:t>L’Initiative régionale Ramsar pour la conservation et l’utilisation rationnelle des zones humides des Hautes Andes n’a pas soumis son rapport annuel</w:t>
      </w:r>
      <w:r w:rsidRPr="00590835">
        <w:rPr>
          <w:rFonts w:cs="Calibri"/>
          <w:lang w:val="fr-FR"/>
        </w:rPr>
        <w:t>.</w:t>
      </w:r>
    </w:p>
    <w:p w14:paraId="18E954AA" w14:textId="77777777" w:rsidR="00125014" w:rsidRPr="00760B39" w:rsidRDefault="00125014" w:rsidP="00A77F8A">
      <w:pPr>
        <w:pStyle w:val="BodyText"/>
        <w:ind w:left="425" w:hanging="425"/>
        <w:rPr>
          <w:rFonts w:asciiTheme="minorHAnsi" w:hAnsiTheme="minorHAnsi" w:cstheme="minorHAnsi"/>
          <w:lang w:val="fr-FR"/>
        </w:rPr>
      </w:pPr>
    </w:p>
    <w:p w14:paraId="4A61BF05" w14:textId="477D76BE" w:rsidR="00F97BD7" w:rsidRPr="00760B39" w:rsidRDefault="004F6363" w:rsidP="00A77F8A">
      <w:pPr>
        <w:rPr>
          <w:rFonts w:ascii="Arial" w:hAnsi="Arial" w:cs="Arial"/>
          <w:highlight w:val="yellow"/>
          <w:lang w:val="fr-FR"/>
        </w:rPr>
      </w:pPr>
      <w:r w:rsidRPr="00760B39">
        <w:rPr>
          <w:rFonts w:cs="Calibri"/>
          <w:lang w:val="fr-FR"/>
        </w:rPr>
        <w:t>9.</w:t>
      </w:r>
      <w:r w:rsidRPr="00760B39">
        <w:rPr>
          <w:rFonts w:cs="Calibri"/>
          <w:lang w:val="fr-FR"/>
        </w:rPr>
        <w:tab/>
      </w:r>
      <w:r w:rsidRPr="00590835">
        <w:rPr>
          <w:rFonts w:cs="Calibri"/>
          <w:lang w:val="fr-FR"/>
        </w:rPr>
        <w:t xml:space="preserve">Le Secrétariat a examiné les rapports </w:t>
      </w:r>
      <w:r w:rsidR="002656ED" w:rsidRPr="00590835">
        <w:rPr>
          <w:rFonts w:cs="Calibri"/>
          <w:lang w:val="fr-FR"/>
        </w:rPr>
        <w:t xml:space="preserve">annuels </w:t>
      </w:r>
      <w:r w:rsidRPr="00590835">
        <w:rPr>
          <w:rFonts w:cs="Calibri"/>
          <w:lang w:val="fr-FR"/>
        </w:rPr>
        <w:t xml:space="preserve">soumis </w:t>
      </w:r>
      <w:r w:rsidR="002656ED" w:rsidRPr="00590835">
        <w:rPr>
          <w:rFonts w:cs="Calibri"/>
          <w:lang w:val="fr-FR"/>
        </w:rPr>
        <w:t xml:space="preserve">par 18 IRR </w:t>
      </w:r>
      <w:r w:rsidRPr="00590835">
        <w:rPr>
          <w:rFonts w:cs="Calibri"/>
          <w:lang w:val="fr-FR"/>
        </w:rPr>
        <w:t xml:space="preserve">et a préparé un résumé </w:t>
      </w:r>
      <w:r w:rsidR="002656ED" w:rsidRPr="00590835">
        <w:rPr>
          <w:rFonts w:cs="Calibri"/>
          <w:lang w:val="fr-FR"/>
        </w:rPr>
        <w:t>fondé sur</w:t>
      </w:r>
      <w:r w:rsidRPr="00590835">
        <w:rPr>
          <w:rFonts w:cs="Calibri"/>
          <w:lang w:val="fr-FR"/>
        </w:rPr>
        <w:t xml:space="preserve"> leurs activités en cours</w:t>
      </w:r>
      <w:r w:rsidR="002656ED" w:rsidRPr="00590835">
        <w:rPr>
          <w:rFonts w:cs="Calibri"/>
          <w:lang w:val="fr-FR"/>
        </w:rPr>
        <w:t xml:space="preserve"> et les</w:t>
      </w:r>
      <w:r w:rsidRPr="00590835">
        <w:rPr>
          <w:rFonts w:cs="Calibri"/>
          <w:lang w:val="fr-FR"/>
        </w:rPr>
        <w:t xml:space="preserve"> principes définis au paragraphe 8 de la Résolution XIII.9. </w:t>
      </w:r>
      <w:r w:rsidR="00234EDF" w:rsidRPr="00590835">
        <w:rPr>
          <w:rFonts w:cs="Calibri"/>
          <w:lang w:val="fr-FR"/>
        </w:rPr>
        <w:t>L’A</w:t>
      </w:r>
      <w:r w:rsidRPr="00590835">
        <w:rPr>
          <w:rFonts w:cs="Calibri"/>
          <w:lang w:val="fr-FR"/>
        </w:rPr>
        <w:t>nnexe 1 du présent document</w:t>
      </w:r>
      <w:r w:rsidR="00234EDF" w:rsidRPr="00590835">
        <w:rPr>
          <w:rFonts w:cs="Calibri"/>
          <w:lang w:val="fr-FR"/>
        </w:rPr>
        <w:t xml:space="preserve"> contient une vue d’ensemble des rapports soumis</w:t>
      </w:r>
      <w:r w:rsidRPr="00590835">
        <w:rPr>
          <w:rFonts w:cs="Calibri"/>
          <w:lang w:val="fr-FR"/>
        </w:rPr>
        <w:t>. Selon les rapports, les principales activités menées en 20</w:t>
      </w:r>
      <w:r w:rsidR="00234EDF" w:rsidRPr="00590835">
        <w:rPr>
          <w:rFonts w:cs="Calibri"/>
          <w:lang w:val="fr-FR"/>
        </w:rPr>
        <w:t>20</w:t>
      </w:r>
      <w:r w:rsidRPr="00590835">
        <w:rPr>
          <w:rFonts w:cs="Calibri"/>
          <w:lang w:val="fr-FR"/>
        </w:rPr>
        <w:t xml:space="preserve"> étaient les suivantes : </w:t>
      </w:r>
      <w:r w:rsidR="00234EDF" w:rsidRPr="00590835">
        <w:rPr>
          <w:rFonts w:cs="Calibri"/>
          <w:lang w:val="fr-FR"/>
        </w:rPr>
        <w:t xml:space="preserve">célébrations de la JMZ, renforcement des capacités, activités de CESP, par exemple, création ou mise à jour de sites web, production de matériel ou </w:t>
      </w:r>
      <w:r w:rsidRPr="00590835">
        <w:rPr>
          <w:rFonts w:cs="Calibri"/>
          <w:lang w:val="fr-FR"/>
        </w:rPr>
        <w:t xml:space="preserve">organisation d’événements </w:t>
      </w:r>
      <w:r w:rsidR="00234EDF" w:rsidRPr="00590835">
        <w:rPr>
          <w:rFonts w:cs="Calibri"/>
          <w:lang w:val="fr-FR"/>
        </w:rPr>
        <w:t>de sensibilisation, activités de</w:t>
      </w:r>
      <w:r w:rsidRPr="00590835">
        <w:rPr>
          <w:rFonts w:cs="Calibri"/>
          <w:lang w:val="fr-FR"/>
        </w:rPr>
        <w:t xml:space="preserve"> </w:t>
      </w:r>
      <w:r w:rsidRPr="00590835">
        <w:rPr>
          <w:rFonts w:cs="Calibri"/>
          <w:lang w:val="fr-FR"/>
        </w:rPr>
        <w:lastRenderedPageBreak/>
        <w:t>gestion des zones humides,</w:t>
      </w:r>
      <w:r w:rsidR="00234EDF" w:rsidRPr="00590835">
        <w:rPr>
          <w:rFonts w:cs="Calibri"/>
          <w:lang w:val="fr-FR"/>
        </w:rPr>
        <w:t xml:space="preserve"> activités de gestion de Sites Ramsar, par exemple élaboration de plans,</w:t>
      </w:r>
      <w:r w:rsidRPr="00590835">
        <w:rPr>
          <w:rFonts w:cs="Calibri"/>
          <w:lang w:val="fr-FR"/>
        </w:rPr>
        <w:t xml:space="preserve"> évaluation</w:t>
      </w:r>
      <w:r w:rsidR="00590835" w:rsidRPr="00590835">
        <w:rPr>
          <w:rFonts w:cs="Calibri"/>
          <w:lang w:val="fr-FR"/>
        </w:rPr>
        <w:t>s</w:t>
      </w:r>
      <w:r w:rsidR="00234EDF" w:rsidRPr="00590835">
        <w:rPr>
          <w:rFonts w:cs="Calibri"/>
          <w:lang w:val="fr-FR"/>
        </w:rPr>
        <w:t xml:space="preserve"> de sites, inscription de Sites Ramsar ou protocoles de surveillance continue et appels de fonds, par exemple rédaction de propositions de financement ou mise en place de plateformes de financement durable.</w:t>
      </w:r>
      <w:r w:rsidRPr="00590835">
        <w:rPr>
          <w:rFonts w:cs="Calibri"/>
          <w:lang w:val="fr-FR"/>
        </w:rPr>
        <w:t xml:space="preserve"> </w:t>
      </w:r>
    </w:p>
    <w:p w14:paraId="22EA04AD" w14:textId="77777777" w:rsidR="00F97BD7" w:rsidRPr="00760B39" w:rsidRDefault="00F97BD7" w:rsidP="00A77F8A">
      <w:pPr>
        <w:pStyle w:val="ListParagraph"/>
        <w:ind w:left="425"/>
        <w:rPr>
          <w:rFonts w:ascii="Arial" w:hAnsi="Arial" w:cs="Arial"/>
          <w:highlight w:val="yellow"/>
          <w:lang w:val="fr-FR"/>
        </w:rPr>
      </w:pPr>
    </w:p>
    <w:p w14:paraId="06C21CDE" w14:textId="1152AA5F" w:rsidR="00F97BD7" w:rsidRPr="00590835" w:rsidRDefault="004F6363" w:rsidP="00A77F8A">
      <w:pPr>
        <w:tabs>
          <w:tab w:val="left" w:pos="426"/>
        </w:tabs>
        <w:rPr>
          <w:rFonts w:ascii="Arial" w:hAnsi="Arial" w:cs="Arial"/>
          <w:spacing w:val="-2"/>
          <w:lang w:val="fr-FR"/>
        </w:rPr>
      </w:pPr>
      <w:r w:rsidRPr="00760B39">
        <w:rPr>
          <w:rFonts w:cs="Calibri"/>
          <w:spacing w:val="-2"/>
          <w:lang w:val="fr-FR"/>
        </w:rPr>
        <w:t>10.</w:t>
      </w:r>
      <w:r w:rsidRPr="00760B39">
        <w:rPr>
          <w:rFonts w:cs="Calibri"/>
          <w:spacing w:val="-2"/>
          <w:lang w:val="fr-FR"/>
        </w:rPr>
        <w:tab/>
      </w:r>
      <w:r w:rsidR="0048574C" w:rsidRPr="00590835">
        <w:rPr>
          <w:rFonts w:cs="Calibri"/>
          <w:spacing w:val="-2"/>
          <w:lang w:val="fr-FR"/>
        </w:rPr>
        <w:t>Dans le</w:t>
      </w:r>
      <w:r w:rsidRPr="00590835">
        <w:rPr>
          <w:rFonts w:cs="Calibri"/>
          <w:spacing w:val="-2"/>
          <w:lang w:val="fr-FR"/>
        </w:rPr>
        <w:t xml:space="preserve"> paragraphe 8.d) de la Résolution XIII.9 </w:t>
      </w:r>
      <w:r w:rsidR="0048574C" w:rsidRPr="00590835">
        <w:rPr>
          <w:rFonts w:cs="Calibri"/>
          <w:spacing w:val="-2"/>
          <w:lang w:val="fr-FR"/>
        </w:rPr>
        <w:t>il est indiqué</w:t>
      </w:r>
      <w:r w:rsidRPr="00590835">
        <w:rPr>
          <w:rFonts w:cs="Calibri"/>
          <w:spacing w:val="-2"/>
          <w:lang w:val="fr-FR"/>
        </w:rPr>
        <w:t xml:space="preserve"> que les IRR doivent être financièrement responsables. </w:t>
      </w:r>
      <w:r w:rsidR="0048574C" w:rsidRPr="00590835">
        <w:rPr>
          <w:rFonts w:cs="Calibri"/>
          <w:spacing w:val="-2"/>
          <w:lang w:val="fr-FR"/>
        </w:rPr>
        <w:t>C</w:t>
      </w:r>
      <w:r w:rsidR="00234EDF" w:rsidRPr="00590835">
        <w:rPr>
          <w:rFonts w:cs="Calibri"/>
          <w:spacing w:val="-2"/>
          <w:lang w:val="fr-FR"/>
        </w:rPr>
        <w:t>ertaines IRR n’ont pas présenté d’informations financières</w:t>
      </w:r>
      <w:r w:rsidR="0048574C" w:rsidRPr="00590835">
        <w:rPr>
          <w:rFonts w:cs="Calibri"/>
          <w:spacing w:val="-2"/>
          <w:lang w:val="fr-FR"/>
        </w:rPr>
        <w:t xml:space="preserve"> dans leurs rapports et</w:t>
      </w:r>
      <w:r w:rsidRPr="00590835">
        <w:rPr>
          <w:rFonts w:cs="Calibri"/>
          <w:spacing w:val="-2"/>
          <w:lang w:val="fr-FR"/>
        </w:rPr>
        <w:t xml:space="preserve"> </w:t>
      </w:r>
      <w:r w:rsidR="0048574C" w:rsidRPr="00590835">
        <w:rPr>
          <w:rFonts w:cs="Calibri"/>
          <w:spacing w:val="-2"/>
          <w:lang w:val="fr-FR"/>
        </w:rPr>
        <w:t>l</w:t>
      </w:r>
      <w:r w:rsidRPr="00590835">
        <w:rPr>
          <w:rFonts w:cs="Calibri"/>
          <w:spacing w:val="-2"/>
          <w:lang w:val="fr-FR"/>
        </w:rPr>
        <w:t xml:space="preserve">es informations financières fournies dans </w:t>
      </w:r>
      <w:r w:rsidR="00224254" w:rsidRPr="00590835">
        <w:rPr>
          <w:rFonts w:cs="Calibri"/>
          <w:spacing w:val="-2"/>
          <w:lang w:val="fr-FR"/>
        </w:rPr>
        <w:t xml:space="preserve">les </w:t>
      </w:r>
      <w:r w:rsidRPr="00590835">
        <w:rPr>
          <w:rFonts w:cs="Calibri"/>
          <w:spacing w:val="-2"/>
          <w:lang w:val="fr-FR"/>
        </w:rPr>
        <w:t xml:space="preserve">rapports ne permettent qu’une compréhension limitée de l’efficacité </w:t>
      </w:r>
      <w:r w:rsidR="00A7352D" w:rsidRPr="00590835">
        <w:rPr>
          <w:rFonts w:cs="Calibri"/>
          <w:spacing w:val="-2"/>
          <w:lang w:val="fr-FR"/>
        </w:rPr>
        <w:t>du fonctionnement des</w:t>
      </w:r>
      <w:r w:rsidRPr="00590835">
        <w:rPr>
          <w:rFonts w:cs="Calibri"/>
          <w:spacing w:val="-2"/>
          <w:lang w:val="fr-FR"/>
        </w:rPr>
        <w:t xml:space="preserve"> IRR</w:t>
      </w:r>
      <w:r w:rsidR="0048574C" w:rsidRPr="00590835">
        <w:rPr>
          <w:rFonts w:cs="Calibri"/>
          <w:spacing w:val="-2"/>
          <w:lang w:val="fr-FR"/>
        </w:rPr>
        <w:t>. P</w:t>
      </w:r>
      <w:r w:rsidR="00A7352D" w:rsidRPr="00590835">
        <w:rPr>
          <w:rFonts w:cs="Calibri"/>
          <w:spacing w:val="-2"/>
          <w:lang w:val="fr-FR"/>
        </w:rPr>
        <w:t xml:space="preserve">our huit IRR, on ne peut dire clairement comment les fonds </w:t>
      </w:r>
      <w:r w:rsidRPr="00590835">
        <w:rPr>
          <w:rFonts w:cs="Calibri"/>
          <w:spacing w:val="-2"/>
          <w:lang w:val="fr-FR"/>
        </w:rPr>
        <w:t xml:space="preserve">sont dépensés pour les activités administratives et </w:t>
      </w:r>
      <w:r w:rsidR="00A7352D" w:rsidRPr="00590835">
        <w:rPr>
          <w:rFonts w:cs="Calibri"/>
          <w:spacing w:val="-2"/>
          <w:lang w:val="fr-FR"/>
        </w:rPr>
        <w:t>programmatiques</w:t>
      </w:r>
      <w:r w:rsidRPr="00590835">
        <w:rPr>
          <w:rFonts w:cs="Calibri"/>
          <w:spacing w:val="-2"/>
          <w:lang w:val="fr-FR"/>
        </w:rPr>
        <w:t xml:space="preserve">. </w:t>
      </w:r>
    </w:p>
    <w:p w14:paraId="5FDA3714" w14:textId="77777777" w:rsidR="001F1506" w:rsidRPr="00590835" w:rsidRDefault="001F1506" w:rsidP="00A77F8A">
      <w:pPr>
        <w:rPr>
          <w:rFonts w:asciiTheme="minorHAnsi" w:hAnsiTheme="minorHAnsi" w:cstheme="minorHAnsi"/>
          <w:lang w:val="fr-FR"/>
        </w:rPr>
      </w:pPr>
    </w:p>
    <w:p w14:paraId="517FF094" w14:textId="36A4BCE0" w:rsidR="00FD3599" w:rsidRPr="00590835" w:rsidRDefault="004F6363" w:rsidP="00A77F8A">
      <w:pPr>
        <w:rPr>
          <w:lang w:val="fr-FR"/>
        </w:rPr>
      </w:pPr>
      <w:r w:rsidRPr="00590835">
        <w:rPr>
          <w:rFonts w:cs="Calibri"/>
          <w:lang w:val="fr-FR"/>
        </w:rPr>
        <w:t>11.</w:t>
      </w:r>
      <w:r w:rsidRPr="00590835">
        <w:rPr>
          <w:rFonts w:cs="Calibri"/>
          <w:lang w:val="fr-FR"/>
        </w:rPr>
        <w:tab/>
        <w:t xml:space="preserve">Les </w:t>
      </w:r>
      <w:r w:rsidR="00790A65" w:rsidRPr="00590835">
        <w:rPr>
          <w:rFonts w:cs="Calibri"/>
          <w:lang w:val="fr-FR"/>
        </w:rPr>
        <w:t xml:space="preserve">rapports identifient communément des </w:t>
      </w:r>
      <w:r w:rsidRPr="00590835">
        <w:rPr>
          <w:rFonts w:cs="Calibri"/>
          <w:lang w:val="fr-FR"/>
        </w:rPr>
        <w:t xml:space="preserve">problèmes </w:t>
      </w:r>
      <w:r w:rsidR="00790A65" w:rsidRPr="00590835">
        <w:rPr>
          <w:rFonts w:cs="Calibri"/>
          <w:lang w:val="fr-FR"/>
        </w:rPr>
        <w:t>tels que</w:t>
      </w:r>
      <w:r w:rsidRPr="00590835">
        <w:rPr>
          <w:rFonts w:cs="Calibri"/>
          <w:lang w:val="fr-FR"/>
        </w:rPr>
        <w:t xml:space="preserve"> </w:t>
      </w:r>
      <w:r w:rsidR="00790A65" w:rsidRPr="00590835">
        <w:rPr>
          <w:rFonts w:cs="Calibri"/>
          <w:lang w:val="fr-FR"/>
        </w:rPr>
        <w:t>le manque de</w:t>
      </w:r>
      <w:r w:rsidRPr="00590835">
        <w:rPr>
          <w:rFonts w:cs="Calibri"/>
          <w:lang w:val="fr-FR"/>
        </w:rPr>
        <w:t xml:space="preserve"> ressources financières et les </w:t>
      </w:r>
      <w:r w:rsidR="00A7352D" w:rsidRPr="00590835">
        <w:rPr>
          <w:rFonts w:cs="Calibri"/>
          <w:lang w:val="fr-FR"/>
        </w:rPr>
        <w:t>restrictions imposées par la pandémie de COVID-19 qui</w:t>
      </w:r>
      <w:r w:rsidR="00790A65" w:rsidRPr="00590835">
        <w:rPr>
          <w:rFonts w:cs="Calibri"/>
          <w:lang w:val="fr-FR"/>
        </w:rPr>
        <w:t>, en 2020,</w:t>
      </w:r>
      <w:r w:rsidRPr="00590835">
        <w:rPr>
          <w:rFonts w:cs="Calibri"/>
          <w:lang w:val="fr-FR"/>
        </w:rPr>
        <w:t xml:space="preserve"> ont entraîné des retards </w:t>
      </w:r>
      <w:r w:rsidR="00A7352D" w:rsidRPr="00590835">
        <w:rPr>
          <w:rFonts w:cs="Calibri"/>
          <w:lang w:val="fr-FR"/>
        </w:rPr>
        <w:t xml:space="preserve">ou des reports </w:t>
      </w:r>
      <w:r w:rsidR="00790A65" w:rsidRPr="00590835">
        <w:rPr>
          <w:rFonts w:cs="Calibri"/>
          <w:lang w:val="fr-FR"/>
        </w:rPr>
        <w:t>dans la</w:t>
      </w:r>
      <w:r w:rsidRPr="00590835">
        <w:rPr>
          <w:rFonts w:cs="Calibri"/>
          <w:lang w:val="fr-FR"/>
        </w:rPr>
        <w:t xml:space="preserve"> mise en œuvre des activités</w:t>
      </w:r>
      <w:r w:rsidR="00790A65" w:rsidRPr="00590835">
        <w:rPr>
          <w:rFonts w:cs="Calibri"/>
          <w:lang w:val="fr-FR"/>
        </w:rPr>
        <w:t>, ainsi que</w:t>
      </w:r>
      <w:r w:rsidRPr="00590835">
        <w:rPr>
          <w:rFonts w:cs="Calibri"/>
          <w:lang w:val="fr-FR"/>
        </w:rPr>
        <w:t xml:space="preserve"> des modifications des plans de travail. </w:t>
      </w:r>
      <w:r w:rsidR="00A7352D" w:rsidRPr="00590835">
        <w:rPr>
          <w:rFonts w:cs="Calibri"/>
          <w:lang w:val="fr-FR"/>
        </w:rPr>
        <w:t>L</w:t>
      </w:r>
      <w:r w:rsidRPr="00590835">
        <w:rPr>
          <w:rFonts w:cs="Calibri"/>
          <w:lang w:val="fr-FR"/>
        </w:rPr>
        <w:t xml:space="preserve">e paragraphe 25 de la Résolution XIII.9 encourage </w:t>
      </w:r>
      <w:r w:rsidRPr="00590835">
        <w:rPr>
          <w:lang w:val="fr-FR"/>
        </w:rPr>
        <w:t xml:space="preserve">les Parties contractantes </w:t>
      </w:r>
      <w:r w:rsidR="00A7352D" w:rsidRPr="00590835">
        <w:rPr>
          <w:lang w:val="fr-FR"/>
        </w:rPr>
        <w:t xml:space="preserve">dont les ressources financières sont limitées </w:t>
      </w:r>
      <w:r w:rsidRPr="00590835">
        <w:rPr>
          <w:lang w:val="fr-FR"/>
        </w:rPr>
        <w:t xml:space="preserve">à prendre les mesures nécessaires pour </w:t>
      </w:r>
      <w:r w:rsidR="00A7352D" w:rsidRPr="00590835">
        <w:rPr>
          <w:lang w:val="fr-FR"/>
        </w:rPr>
        <w:t>acquérir</w:t>
      </w:r>
      <w:r w:rsidRPr="00590835">
        <w:rPr>
          <w:lang w:val="fr-FR"/>
        </w:rPr>
        <w:t xml:space="preserve"> une viabilité financière, de préférence par un appui financier provenant d’une diversité de sources, </w:t>
      </w:r>
      <w:r w:rsidR="00A7352D" w:rsidRPr="00590835">
        <w:rPr>
          <w:lang w:val="fr-FR"/>
        </w:rPr>
        <w:t>à</w:t>
      </w:r>
      <w:r w:rsidRPr="00590835">
        <w:rPr>
          <w:lang w:val="fr-FR"/>
        </w:rPr>
        <w:t xml:space="preserve"> établir des mécanismes et procédures garantissant leur pérennité au-delà de périodes de projets spécifiques et </w:t>
      </w:r>
      <w:r w:rsidR="00A7352D" w:rsidRPr="00590835">
        <w:rPr>
          <w:lang w:val="fr-FR"/>
        </w:rPr>
        <w:t>à</w:t>
      </w:r>
      <w:r w:rsidRPr="00590835">
        <w:rPr>
          <w:lang w:val="fr-FR"/>
        </w:rPr>
        <w:t xml:space="preserve"> éviter </w:t>
      </w:r>
      <w:r w:rsidR="00A7352D" w:rsidRPr="00590835">
        <w:rPr>
          <w:lang w:val="fr-FR"/>
        </w:rPr>
        <w:t>de devenir</w:t>
      </w:r>
      <w:r w:rsidRPr="00590835">
        <w:rPr>
          <w:lang w:val="fr-FR"/>
        </w:rPr>
        <w:t xml:space="preserve"> tributaires d’un seul grand donateur</w:t>
      </w:r>
      <w:r w:rsidR="00224254" w:rsidRPr="00590835">
        <w:rPr>
          <w:lang w:val="fr-FR"/>
        </w:rPr>
        <w:t>.</w:t>
      </w:r>
      <w:r w:rsidR="008E025F" w:rsidRPr="00590835">
        <w:rPr>
          <w:lang w:val="fr-FR"/>
        </w:rPr>
        <w:t xml:space="preserve"> </w:t>
      </w:r>
      <w:r w:rsidR="00790A65" w:rsidRPr="00590835">
        <w:rPr>
          <w:lang w:val="fr-FR"/>
        </w:rPr>
        <w:t xml:space="preserve">Appliquant </w:t>
      </w:r>
      <w:r w:rsidR="008E025F" w:rsidRPr="00590835">
        <w:rPr>
          <w:lang w:val="fr-FR"/>
        </w:rPr>
        <w:t>les orientations de la Résolution XIII.9, quatre IRR ont élaboré et soumis des propositions de financement à de multiples donateurs.</w:t>
      </w:r>
    </w:p>
    <w:p w14:paraId="343D3056" w14:textId="77777777" w:rsidR="00FD3599" w:rsidRPr="00590835" w:rsidRDefault="00FD3599" w:rsidP="00A77F8A">
      <w:pPr>
        <w:rPr>
          <w:rFonts w:asciiTheme="minorHAnsi" w:hAnsiTheme="minorHAnsi" w:cstheme="minorHAnsi"/>
          <w:lang w:val="fr-FR"/>
        </w:rPr>
      </w:pPr>
    </w:p>
    <w:p w14:paraId="2A743387" w14:textId="3EFA5E3C" w:rsidR="00E9551D" w:rsidRPr="00590835" w:rsidRDefault="00224254" w:rsidP="004B6B9E">
      <w:pPr>
        <w:keepNext/>
        <w:ind w:left="0" w:firstLine="0"/>
        <w:rPr>
          <w:rFonts w:asciiTheme="minorHAnsi" w:hAnsiTheme="minorHAnsi" w:cstheme="minorHAnsi"/>
          <w:b/>
          <w:lang w:val="fr-FR"/>
        </w:rPr>
      </w:pPr>
      <w:r w:rsidRPr="00590835">
        <w:rPr>
          <w:rFonts w:cs="Calibri"/>
          <w:b/>
          <w:bCs/>
          <w:lang w:val="fr-FR"/>
        </w:rPr>
        <w:t>Attribution</w:t>
      </w:r>
      <w:r w:rsidR="004F6363" w:rsidRPr="00590835">
        <w:rPr>
          <w:rFonts w:cs="Calibri"/>
          <w:b/>
          <w:bCs/>
          <w:lang w:val="fr-FR"/>
        </w:rPr>
        <w:t xml:space="preserve"> de</w:t>
      </w:r>
      <w:r w:rsidR="00EA1C19" w:rsidRPr="00590835">
        <w:rPr>
          <w:rFonts w:cs="Calibri"/>
          <w:b/>
          <w:bCs/>
          <w:lang w:val="fr-FR"/>
        </w:rPr>
        <w:t>s</w:t>
      </w:r>
      <w:r w:rsidR="004F6363" w:rsidRPr="00590835">
        <w:rPr>
          <w:rFonts w:cs="Calibri"/>
          <w:b/>
          <w:bCs/>
          <w:lang w:val="fr-FR"/>
        </w:rPr>
        <w:t xml:space="preserve"> fonds du budget administratif </w:t>
      </w:r>
      <w:r w:rsidR="005870CC" w:rsidRPr="00590835">
        <w:rPr>
          <w:rFonts w:cs="Calibri"/>
          <w:b/>
          <w:bCs/>
          <w:lang w:val="fr-FR"/>
        </w:rPr>
        <w:t>de la Convention</w:t>
      </w:r>
      <w:r w:rsidR="004F6363" w:rsidRPr="00590835">
        <w:rPr>
          <w:rFonts w:cs="Calibri"/>
          <w:b/>
          <w:bCs/>
          <w:lang w:val="fr-FR"/>
        </w:rPr>
        <w:t xml:space="preserve"> </w:t>
      </w:r>
      <w:r w:rsidRPr="00590835">
        <w:rPr>
          <w:rFonts w:cs="Calibri"/>
          <w:b/>
          <w:bCs/>
          <w:lang w:val="fr-FR"/>
        </w:rPr>
        <w:t>aux</w:t>
      </w:r>
      <w:r w:rsidR="004F6363" w:rsidRPr="00590835">
        <w:rPr>
          <w:rFonts w:cs="Calibri"/>
          <w:b/>
          <w:bCs/>
          <w:lang w:val="fr-FR"/>
        </w:rPr>
        <w:t xml:space="preserve"> activités de nouvelles IRR en 202</w:t>
      </w:r>
      <w:r w:rsidR="005870CC" w:rsidRPr="00590835">
        <w:rPr>
          <w:rFonts w:cs="Calibri"/>
          <w:b/>
          <w:bCs/>
          <w:lang w:val="fr-FR"/>
        </w:rPr>
        <w:t>1</w:t>
      </w:r>
    </w:p>
    <w:p w14:paraId="46E9852E" w14:textId="77777777" w:rsidR="00E9551D" w:rsidRPr="00590835" w:rsidRDefault="00E9551D" w:rsidP="004B6B9E">
      <w:pPr>
        <w:pStyle w:val="ListParagraph"/>
        <w:keepNext/>
        <w:ind w:left="0" w:firstLine="0"/>
        <w:contextualSpacing w:val="0"/>
        <w:rPr>
          <w:rFonts w:asciiTheme="minorHAnsi" w:hAnsiTheme="minorHAnsi" w:cstheme="minorHAnsi"/>
          <w:lang w:val="fr-FR"/>
        </w:rPr>
      </w:pPr>
    </w:p>
    <w:p w14:paraId="07A705F7" w14:textId="109BF21C" w:rsidR="001D0F3E" w:rsidRPr="00760B39" w:rsidRDefault="00215DAF" w:rsidP="008155A5">
      <w:pPr>
        <w:rPr>
          <w:rFonts w:asciiTheme="minorHAnsi" w:hAnsiTheme="minorHAnsi" w:cstheme="minorHAnsi"/>
          <w:b/>
          <w:lang w:val="fr-FR"/>
        </w:rPr>
      </w:pPr>
      <w:r>
        <w:rPr>
          <w:rFonts w:cs="Calibri"/>
          <w:lang w:val="fr-FR"/>
        </w:rPr>
        <w:t>12</w:t>
      </w:r>
      <w:r w:rsidR="004F6363" w:rsidRPr="00760B39">
        <w:rPr>
          <w:rFonts w:cs="Calibri"/>
          <w:lang w:val="fr-FR"/>
        </w:rPr>
        <w:t>.</w:t>
      </w:r>
      <w:r w:rsidR="004F6363" w:rsidRPr="00760B39">
        <w:rPr>
          <w:rFonts w:cs="Calibri"/>
          <w:lang w:val="fr-FR"/>
        </w:rPr>
        <w:tab/>
        <w:t xml:space="preserve">Au paragraphe 14 de la Résolution XIII.9, la Conférence des Parties note que « la Résolution XIII.2, </w:t>
      </w:r>
      <w:r w:rsidR="004F6363" w:rsidRPr="00760B39">
        <w:rPr>
          <w:rFonts w:cs="Calibri"/>
          <w:i/>
          <w:iCs/>
          <w:lang w:val="fr-FR"/>
        </w:rPr>
        <w:t>Questions financières et budgétaires</w:t>
      </w:r>
      <w:r w:rsidR="004F6363" w:rsidRPr="00760B39">
        <w:rPr>
          <w:rFonts w:cs="Calibri"/>
          <w:lang w:val="fr-FR"/>
        </w:rPr>
        <w:t xml:space="preserve">, inscrit au budget administratif de la Convention pour 2019-2021 une ligne budgétaire intitulée </w:t>
      </w:r>
      <w:r w:rsidR="00790A65">
        <w:rPr>
          <w:rFonts w:cs="Calibri"/>
          <w:lang w:val="fr-FR"/>
        </w:rPr>
        <w:t>‘</w:t>
      </w:r>
      <w:r w:rsidR="004F6363" w:rsidRPr="00760B39">
        <w:rPr>
          <w:rFonts w:cs="Calibri"/>
          <w:lang w:val="fr-FR"/>
        </w:rPr>
        <w:t>Appui aux Initiatives régionales Ramsar</w:t>
      </w:r>
      <w:r w:rsidR="00790A65">
        <w:rPr>
          <w:rFonts w:cs="Calibri"/>
          <w:lang w:val="fr-FR"/>
        </w:rPr>
        <w:t>’</w:t>
      </w:r>
      <w:r w:rsidR="004F6363" w:rsidRPr="00760B39">
        <w:rPr>
          <w:rFonts w:cs="Calibri"/>
          <w:lang w:val="fr-FR"/>
        </w:rPr>
        <w:t>, pour accorder un appui de départ pour les coûts de fonctionnement des IRR établies depuis moins de six ans ».</w:t>
      </w:r>
    </w:p>
    <w:p w14:paraId="2D9C7673" w14:textId="77777777" w:rsidR="00EE0A55" w:rsidRPr="00760B39" w:rsidRDefault="00EE0A55" w:rsidP="008155A5">
      <w:pPr>
        <w:rPr>
          <w:rFonts w:asciiTheme="minorHAnsi" w:hAnsiTheme="minorHAnsi" w:cstheme="minorHAnsi"/>
          <w:b/>
          <w:highlight w:val="yellow"/>
          <w:lang w:val="fr-FR"/>
        </w:rPr>
      </w:pPr>
    </w:p>
    <w:p w14:paraId="6678E993" w14:textId="56ABF004" w:rsidR="00EE0A55" w:rsidRPr="00760B39" w:rsidRDefault="00215DAF" w:rsidP="008155A5">
      <w:pPr>
        <w:rPr>
          <w:rFonts w:asciiTheme="minorHAnsi" w:hAnsiTheme="minorHAnsi" w:cstheme="minorHAnsi"/>
          <w:b/>
          <w:lang w:val="fr-FR"/>
        </w:rPr>
      </w:pPr>
      <w:r>
        <w:rPr>
          <w:rFonts w:cs="Calibri"/>
          <w:lang w:val="fr-FR"/>
        </w:rPr>
        <w:t>13</w:t>
      </w:r>
      <w:r w:rsidR="004F6363" w:rsidRPr="00760B39">
        <w:rPr>
          <w:rFonts w:cs="Calibri"/>
          <w:lang w:val="fr-FR"/>
        </w:rPr>
        <w:t>.</w:t>
      </w:r>
      <w:r w:rsidR="004F6363" w:rsidRPr="00760B39">
        <w:rPr>
          <w:rFonts w:cs="Calibri"/>
          <w:lang w:val="fr-FR"/>
        </w:rPr>
        <w:tab/>
        <w:t xml:space="preserve">Dans le paragraphe 15 de la Résolution XIII.9, les Parties contractantes ont décidé que « le niveau d’appui financier du budget administratif de la Convention aux IRR éligibles pour les années 2019, 2020 et 2021 sera déterminé chaque année par le Comité permanent, d’après les rapports annuels les plus récents et les plans de travail actualisés qui seront soumis conformément à la présentation et au calendrier requis en application des recommandations spécifiques du Sous-groupe sur les finances du Comité permanent ». </w:t>
      </w:r>
    </w:p>
    <w:p w14:paraId="47A59766" w14:textId="77777777" w:rsidR="00B03B7F" w:rsidRPr="00760B39" w:rsidRDefault="00B03B7F" w:rsidP="008155A5">
      <w:pPr>
        <w:pStyle w:val="ListParagraph"/>
        <w:ind w:left="425"/>
        <w:rPr>
          <w:rFonts w:asciiTheme="minorHAnsi" w:hAnsiTheme="minorHAnsi" w:cstheme="minorHAnsi"/>
          <w:b/>
          <w:lang w:val="fr-FR"/>
        </w:rPr>
      </w:pPr>
    </w:p>
    <w:p w14:paraId="36AE0C95" w14:textId="664FE7B7" w:rsidR="00861060" w:rsidRPr="00590835" w:rsidRDefault="00215DAF" w:rsidP="008155A5">
      <w:pPr>
        <w:rPr>
          <w:rFonts w:asciiTheme="minorHAnsi" w:hAnsiTheme="minorHAnsi" w:cstheme="minorHAnsi"/>
          <w:lang w:val="fr-FR"/>
        </w:rPr>
      </w:pPr>
      <w:r w:rsidRPr="005870CC">
        <w:rPr>
          <w:rFonts w:cs="Calibri"/>
          <w:lang w:val="fr-FR"/>
        </w:rPr>
        <w:t>14</w:t>
      </w:r>
      <w:r w:rsidR="00AA4B08" w:rsidRPr="005870CC">
        <w:rPr>
          <w:rFonts w:cs="Calibri"/>
          <w:lang w:val="fr-FR"/>
        </w:rPr>
        <w:t>.</w:t>
      </w:r>
      <w:r w:rsidR="00AA4B08" w:rsidRPr="005870CC">
        <w:rPr>
          <w:rFonts w:cs="Calibri"/>
          <w:lang w:val="fr-FR"/>
        </w:rPr>
        <w:tab/>
      </w:r>
      <w:r w:rsidR="005870CC" w:rsidRPr="00590835">
        <w:rPr>
          <w:rFonts w:cs="Calibri"/>
          <w:lang w:val="fr-FR"/>
        </w:rPr>
        <w:t>Lors des séances virtuelles de sa 58</w:t>
      </w:r>
      <w:r w:rsidR="005870CC" w:rsidRPr="00590835">
        <w:rPr>
          <w:rFonts w:cs="Calibri"/>
          <w:vertAlign w:val="superscript"/>
          <w:lang w:val="fr-FR"/>
        </w:rPr>
        <w:t>e</w:t>
      </w:r>
      <w:r w:rsidR="005870CC" w:rsidRPr="00590835">
        <w:rPr>
          <w:rFonts w:cs="Calibri"/>
          <w:lang w:val="fr-FR"/>
        </w:rPr>
        <w:t xml:space="preserve"> Réunion, le Comité permanent a </w:t>
      </w:r>
      <w:r w:rsidR="005870CC" w:rsidRPr="00590835">
        <w:rPr>
          <w:rFonts w:asciiTheme="minorHAnsi" w:hAnsiTheme="minorHAnsi" w:cstheme="minorHAnsi"/>
          <w:lang w:val="fr-FR"/>
        </w:rPr>
        <w:t>approuvé l’attribution de 15 000 CHF</w:t>
      </w:r>
      <w:r w:rsidR="00790A65" w:rsidRPr="00590835">
        <w:rPr>
          <w:rFonts w:asciiTheme="minorHAnsi" w:hAnsiTheme="minorHAnsi" w:cstheme="minorHAnsi"/>
          <w:lang w:val="fr-FR"/>
        </w:rPr>
        <w:t>,</w:t>
      </w:r>
      <w:r w:rsidR="005870CC" w:rsidRPr="00590835">
        <w:rPr>
          <w:rFonts w:asciiTheme="minorHAnsi" w:hAnsiTheme="minorHAnsi" w:cstheme="minorHAnsi"/>
          <w:lang w:val="fr-FR"/>
        </w:rPr>
        <w:t xml:space="preserve"> sur une </w:t>
      </w:r>
      <w:r w:rsidR="00790A65" w:rsidRPr="00590835">
        <w:rPr>
          <w:rFonts w:asciiTheme="minorHAnsi" w:hAnsiTheme="minorHAnsi" w:cstheme="minorHAnsi"/>
          <w:lang w:val="fr-FR"/>
        </w:rPr>
        <w:t>proposition</w:t>
      </w:r>
      <w:r w:rsidR="005870CC" w:rsidRPr="00590835">
        <w:rPr>
          <w:rFonts w:asciiTheme="minorHAnsi" w:hAnsiTheme="minorHAnsi" w:cstheme="minorHAnsi"/>
          <w:lang w:val="fr-FR"/>
        </w:rPr>
        <w:t xml:space="preserve"> d’origine de 25 000 CHF</w:t>
      </w:r>
      <w:r w:rsidR="00790A65" w:rsidRPr="00590835">
        <w:rPr>
          <w:rFonts w:asciiTheme="minorHAnsi" w:hAnsiTheme="minorHAnsi" w:cstheme="minorHAnsi"/>
          <w:lang w:val="fr-FR"/>
        </w:rPr>
        <w:t>,</w:t>
      </w:r>
      <w:r w:rsidR="005870CC" w:rsidRPr="00590835">
        <w:rPr>
          <w:rFonts w:asciiTheme="minorHAnsi" w:hAnsiTheme="minorHAnsi" w:cstheme="minorHAnsi"/>
          <w:lang w:val="fr-FR"/>
        </w:rPr>
        <w:t xml:space="preserve"> </w:t>
      </w:r>
      <w:r w:rsidR="00790A65" w:rsidRPr="00590835">
        <w:rPr>
          <w:rFonts w:asciiTheme="minorHAnsi" w:hAnsiTheme="minorHAnsi" w:cstheme="minorHAnsi"/>
          <w:lang w:val="fr-FR"/>
        </w:rPr>
        <w:t>à</w:t>
      </w:r>
      <w:r w:rsidR="005870CC" w:rsidRPr="00590835">
        <w:rPr>
          <w:rFonts w:asciiTheme="minorHAnsi" w:hAnsiTheme="minorHAnsi" w:cstheme="minorHAnsi"/>
          <w:lang w:val="fr-FR"/>
        </w:rPr>
        <w:t xml:space="preserve"> chacune des quatre Initiatives régionales Ramsar éligibles, pour leurs activités en 2020, prélevés dans la ligne </w:t>
      </w:r>
      <w:r w:rsidR="00085A29" w:rsidRPr="00590835">
        <w:rPr>
          <w:rFonts w:asciiTheme="minorHAnsi" w:hAnsiTheme="minorHAnsi" w:cstheme="minorHAnsi"/>
          <w:lang w:val="fr-FR"/>
        </w:rPr>
        <w:t>D</w:t>
      </w:r>
      <w:r w:rsidR="005870CC" w:rsidRPr="00590835">
        <w:rPr>
          <w:rFonts w:asciiTheme="minorHAnsi" w:hAnsiTheme="minorHAnsi" w:cstheme="minorHAnsi"/>
          <w:lang w:val="fr-FR"/>
        </w:rPr>
        <w:t xml:space="preserve"> « Appui aux Initiatives régionales »</w:t>
      </w:r>
      <w:r w:rsidR="0067067A" w:rsidRPr="00590835">
        <w:rPr>
          <w:lang w:val="fr-FR"/>
        </w:rPr>
        <w:t xml:space="preserve"> </w:t>
      </w:r>
      <w:r w:rsidR="0067067A" w:rsidRPr="00590835">
        <w:rPr>
          <w:rFonts w:asciiTheme="minorHAnsi" w:hAnsiTheme="minorHAnsi" w:cstheme="minorHAnsi"/>
          <w:lang w:val="fr-FR"/>
        </w:rPr>
        <w:t>du budget administratif</w:t>
      </w:r>
      <w:r w:rsidR="005870CC" w:rsidRPr="00590835">
        <w:rPr>
          <w:rFonts w:asciiTheme="minorHAnsi" w:hAnsiTheme="minorHAnsi" w:cstheme="minorHAnsi"/>
          <w:lang w:val="fr-FR"/>
        </w:rPr>
        <w:t xml:space="preserve">, </w:t>
      </w:r>
      <w:r w:rsidR="006F33CC" w:rsidRPr="00590835">
        <w:rPr>
          <w:rFonts w:asciiTheme="minorHAnsi" w:hAnsiTheme="minorHAnsi" w:cstheme="minorHAnsi"/>
          <w:lang w:val="fr-FR"/>
        </w:rPr>
        <w:t>en tenant compte des reports de 2019 et de la situation de la pandémie</w:t>
      </w:r>
      <w:r w:rsidR="005870CC" w:rsidRPr="00590835">
        <w:rPr>
          <w:rFonts w:asciiTheme="minorHAnsi" w:hAnsiTheme="minorHAnsi" w:cstheme="minorHAnsi"/>
          <w:lang w:val="fr-FR"/>
        </w:rPr>
        <w:t xml:space="preserve"> </w:t>
      </w:r>
      <w:r w:rsidR="006F33CC" w:rsidRPr="00590835">
        <w:rPr>
          <w:rFonts w:asciiTheme="minorHAnsi" w:hAnsiTheme="minorHAnsi" w:cstheme="minorHAnsi"/>
          <w:lang w:val="fr-FR"/>
        </w:rPr>
        <w:t>qui conduirait probablement à une limitation des activités pour le reste de l’année 2020</w:t>
      </w:r>
      <w:r w:rsidR="005870CC" w:rsidRPr="00590835">
        <w:rPr>
          <w:rFonts w:asciiTheme="minorHAnsi" w:hAnsiTheme="minorHAnsi" w:cstheme="minorHAnsi"/>
          <w:lang w:val="fr-FR"/>
        </w:rPr>
        <w:t xml:space="preserve"> (D</w:t>
      </w:r>
      <w:r w:rsidR="006F33CC" w:rsidRPr="00590835">
        <w:rPr>
          <w:rFonts w:asciiTheme="minorHAnsi" w:hAnsiTheme="minorHAnsi" w:cstheme="minorHAnsi"/>
          <w:lang w:val="fr-FR"/>
        </w:rPr>
        <w:t>é</w:t>
      </w:r>
      <w:r w:rsidR="005870CC" w:rsidRPr="00590835">
        <w:rPr>
          <w:rFonts w:asciiTheme="minorHAnsi" w:hAnsiTheme="minorHAnsi" w:cstheme="minorHAnsi"/>
          <w:lang w:val="fr-FR"/>
        </w:rPr>
        <w:t xml:space="preserve">cision SC58-28). </w:t>
      </w:r>
      <w:r w:rsidR="002967BE" w:rsidRPr="00590835">
        <w:rPr>
          <w:rFonts w:asciiTheme="minorHAnsi" w:hAnsiTheme="minorHAnsi" w:cstheme="minorHAnsi"/>
          <w:lang w:val="fr-FR"/>
        </w:rPr>
        <w:t>Ultérieurement</w:t>
      </w:r>
      <w:r w:rsidR="005870CC" w:rsidRPr="00590835">
        <w:rPr>
          <w:rFonts w:asciiTheme="minorHAnsi" w:hAnsiTheme="minorHAnsi" w:cstheme="minorHAnsi"/>
          <w:lang w:val="fr-FR"/>
        </w:rPr>
        <w:t xml:space="preserve">, </w:t>
      </w:r>
      <w:r w:rsidR="002967BE" w:rsidRPr="00590835">
        <w:rPr>
          <w:rFonts w:asciiTheme="minorHAnsi" w:hAnsiTheme="minorHAnsi" w:cstheme="minorHAnsi"/>
          <w:lang w:val="fr-FR"/>
        </w:rPr>
        <w:t>sur</w:t>
      </w:r>
      <w:r w:rsidR="005870CC" w:rsidRPr="00590835">
        <w:rPr>
          <w:rFonts w:asciiTheme="minorHAnsi" w:hAnsiTheme="minorHAnsi" w:cstheme="minorHAnsi"/>
          <w:lang w:val="fr-FR"/>
        </w:rPr>
        <w:t xml:space="preserve"> recomm</w:t>
      </w:r>
      <w:r w:rsidR="002967BE" w:rsidRPr="00590835">
        <w:rPr>
          <w:rFonts w:asciiTheme="minorHAnsi" w:hAnsiTheme="minorHAnsi" w:cstheme="minorHAnsi"/>
          <w:lang w:val="fr-FR"/>
        </w:rPr>
        <w:t>a</w:t>
      </w:r>
      <w:r w:rsidR="005870CC" w:rsidRPr="00590835">
        <w:rPr>
          <w:rFonts w:asciiTheme="minorHAnsi" w:hAnsiTheme="minorHAnsi" w:cstheme="minorHAnsi"/>
          <w:lang w:val="fr-FR"/>
        </w:rPr>
        <w:t xml:space="preserve">ndation </w:t>
      </w:r>
      <w:r w:rsidR="002967BE" w:rsidRPr="00590835">
        <w:rPr>
          <w:rFonts w:asciiTheme="minorHAnsi" w:hAnsiTheme="minorHAnsi" w:cstheme="minorHAnsi"/>
          <w:lang w:val="fr-FR"/>
        </w:rPr>
        <w:t>du Sous-groupe sur les finances</w:t>
      </w:r>
      <w:r w:rsidR="005870CC" w:rsidRPr="00590835">
        <w:rPr>
          <w:rFonts w:asciiTheme="minorHAnsi" w:hAnsiTheme="minorHAnsi" w:cstheme="minorHAnsi"/>
          <w:lang w:val="fr-FR"/>
        </w:rPr>
        <w:t xml:space="preserve">, </w:t>
      </w:r>
      <w:r w:rsidR="002967BE" w:rsidRPr="00590835">
        <w:rPr>
          <w:rFonts w:asciiTheme="minorHAnsi" w:hAnsiTheme="minorHAnsi" w:cstheme="minorHAnsi"/>
          <w:lang w:val="fr-FR"/>
        </w:rPr>
        <w:t>le</w:t>
      </w:r>
      <w:r w:rsidR="005870CC" w:rsidRPr="00590835">
        <w:rPr>
          <w:rFonts w:asciiTheme="minorHAnsi" w:hAnsiTheme="minorHAnsi" w:cstheme="minorHAnsi"/>
          <w:lang w:val="fr-FR"/>
        </w:rPr>
        <w:t xml:space="preserve"> </w:t>
      </w:r>
      <w:r w:rsidR="002967BE" w:rsidRPr="00590835">
        <w:rPr>
          <w:rFonts w:cs="Calibri"/>
          <w:lang w:val="fr-FR"/>
        </w:rPr>
        <w:t xml:space="preserve">Comité permanent a approuvé un montant supplémentaire de </w:t>
      </w:r>
      <w:r w:rsidR="005870CC" w:rsidRPr="00590835">
        <w:rPr>
          <w:rFonts w:asciiTheme="minorHAnsi" w:hAnsiTheme="minorHAnsi" w:cstheme="minorHAnsi"/>
          <w:lang w:val="fr-FR"/>
        </w:rPr>
        <w:t>10</w:t>
      </w:r>
      <w:r w:rsidR="002967BE" w:rsidRPr="00590835">
        <w:rPr>
          <w:rFonts w:asciiTheme="minorHAnsi" w:hAnsiTheme="minorHAnsi" w:cstheme="minorHAnsi"/>
          <w:lang w:val="fr-FR"/>
        </w:rPr>
        <w:t> </w:t>
      </w:r>
      <w:r w:rsidR="005870CC" w:rsidRPr="00590835">
        <w:rPr>
          <w:rFonts w:asciiTheme="minorHAnsi" w:hAnsiTheme="minorHAnsi" w:cstheme="minorHAnsi"/>
          <w:lang w:val="fr-FR"/>
        </w:rPr>
        <w:t>000</w:t>
      </w:r>
      <w:r w:rsidR="002967BE" w:rsidRPr="00590835">
        <w:rPr>
          <w:rFonts w:asciiTheme="minorHAnsi" w:hAnsiTheme="minorHAnsi" w:cstheme="minorHAnsi"/>
          <w:lang w:val="fr-FR"/>
        </w:rPr>
        <w:t xml:space="preserve"> CHF, dans la Décision intersessions de la 58</w:t>
      </w:r>
      <w:r w:rsidR="002967BE" w:rsidRPr="00590835">
        <w:rPr>
          <w:rFonts w:asciiTheme="minorHAnsi" w:hAnsiTheme="minorHAnsi" w:cstheme="minorHAnsi"/>
          <w:vertAlign w:val="superscript"/>
          <w:lang w:val="fr-FR"/>
        </w:rPr>
        <w:t>e</w:t>
      </w:r>
      <w:r w:rsidR="002967BE" w:rsidRPr="00590835">
        <w:rPr>
          <w:rFonts w:asciiTheme="minorHAnsi" w:hAnsiTheme="minorHAnsi" w:cstheme="minorHAnsi"/>
          <w:lang w:val="fr-FR"/>
        </w:rPr>
        <w:t xml:space="preserve"> Réunion du </w:t>
      </w:r>
      <w:r w:rsidR="002967BE" w:rsidRPr="00590835">
        <w:rPr>
          <w:rFonts w:cs="Calibri"/>
          <w:lang w:val="fr-FR"/>
        </w:rPr>
        <w:t>Comité permanent</w:t>
      </w:r>
      <w:r w:rsidR="005870CC" w:rsidRPr="00590835">
        <w:rPr>
          <w:rFonts w:asciiTheme="minorHAnsi" w:hAnsiTheme="minorHAnsi" w:cstheme="minorHAnsi"/>
          <w:lang w:val="fr-FR"/>
        </w:rPr>
        <w:t xml:space="preserve">. </w:t>
      </w:r>
      <w:r w:rsidR="002967BE" w:rsidRPr="00590835">
        <w:rPr>
          <w:rFonts w:asciiTheme="minorHAnsi" w:hAnsiTheme="minorHAnsi" w:cstheme="minorHAnsi"/>
          <w:lang w:val="fr-FR"/>
        </w:rPr>
        <w:t>Cependant</w:t>
      </w:r>
      <w:r w:rsidR="005870CC" w:rsidRPr="00590835">
        <w:rPr>
          <w:rFonts w:asciiTheme="minorHAnsi" w:hAnsiTheme="minorHAnsi" w:cstheme="minorHAnsi"/>
          <w:lang w:val="fr-FR"/>
        </w:rPr>
        <w:t xml:space="preserve">, </w:t>
      </w:r>
      <w:r w:rsidR="002967BE" w:rsidRPr="00590835">
        <w:rPr>
          <w:rFonts w:asciiTheme="minorHAnsi" w:hAnsiTheme="minorHAnsi" w:cstheme="minorHAnsi"/>
          <w:lang w:val="fr-FR"/>
        </w:rPr>
        <w:t>les Initiatives pour le bassin de l’</w:t>
      </w:r>
      <w:r w:rsidR="005870CC" w:rsidRPr="00590835">
        <w:rPr>
          <w:rFonts w:asciiTheme="minorHAnsi" w:hAnsiTheme="minorHAnsi" w:cstheme="minorHAnsi"/>
          <w:lang w:val="fr-FR"/>
        </w:rPr>
        <w:t>Amazon</w:t>
      </w:r>
      <w:r w:rsidR="002967BE" w:rsidRPr="00590835">
        <w:rPr>
          <w:rFonts w:asciiTheme="minorHAnsi" w:hAnsiTheme="minorHAnsi" w:cstheme="minorHAnsi"/>
          <w:lang w:val="fr-FR"/>
        </w:rPr>
        <w:t>e et</w:t>
      </w:r>
      <w:r w:rsidR="005870CC" w:rsidRPr="00590835">
        <w:rPr>
          <w:rFonts w:asciiTheme="minorHAnsi" w:hAnsiTheme="minorHAnsi" w:cstheme="minorHAnsi"/>
          <w:lang w:val="fr-FR"/>
        </w:rPr>
        <w:t xml:space="preserve"> SenegalWet</w:t>
      </w:r>
      <w:r w:rsidR="002967BE" w:rsidRPr="00590835">
        <w:rPr>
          <w:rFonts w:asciiTheme="minorHAnsi" w:hAnsiTheme="minorHAnsi" w:cstheme="minorHAnsi"/>
          <w:lang w:val="fr-FR"/>
        </w:rPr>
        <w:t xml:space="preserve"> ont demandé 10 000 CHF supplémentaires, dans leurs rapports pour 2020, comme on le voit dans la colonne « Contribution 2021 demandée » </w:t>
      </w:r>
      <w:r w:rsidR="00790A65" w:rsidRPr="00590835">
        <w:rPr>
          <w:rFonts w:asciiTheme="minorHAnsi" w:hAnsiTheme="minorHAnsi" w:cstheme="minorHAnsi"/>
          <w:lang w:val="fr-FR"/>
        </w:rPr>
        <w:t>du</w:t>
      </w:r>
      <w:r w:rsidR="002967BE" w:rsidRPr="00590835">
        <w:rPr>
          <w:rFonts w:asciiTheme="minorHAnsi" w:hAnsiTheme="minorHAnsi" w:cstheme="minorHAnsi"/>
          <w:lang w:val="fr-FR"/>
        </w:rPr>
        <w:t xml:space="preserve"> tableau 1, ci-dessous.</w:t>
      </w:r>
      <w:r w:rsidR="005870CC" w:rsidRPr="00590835">
        <w:rPr>
          <w:rFonts w:cs="Calibri"/>
          <w:lang w:val="fr-FR"/>
        </w:rPr>
        <w:t xml:space="preserve"> </w:t>
      </w:r>
    </w:p>
    <w:p w14:paraId="4E257284" w14:textId="77777777" w:rsidR="00243419" w:rsidRPr="002967BE" w:rsidRDefault="00243419" w:rsidP="008155A5">
      <w:pPr>
        <w:rPr>
          <w:rFonts w:asciiTheme="minorHAnsi" w:hAnsiTheme="minorHAnsi" w:cstheme="minorHAnsi"/>
          <w:highlight w:val="yellow"/>
          <w:lang w:val="fr-FR"/>
        </w:rPr>
      </w:pPr>
    </w:p>
    <w:p w14:paraId="5C1A80D0" w14:textId="3435B47D" w:rsidR="00AF4D20" w:rsidRDefault="00215DAF" w:rsidP="002967BE">
      <w:pPr>
        <w:rPr>
          <w:rFonts w:cs="Calibri"/>
          <w:lang w:val="fr-FR"/>
        </w:rPr>
      </w:pPr>
      <w:r>
        <w:rPr>
          <w:rFonts w:cs="Calibri"/>
          <w:lang w:val="fr-FR"/>
        </w:rPr>
        <w:lastRenderedPageBreak/>
        <w:t>15</w:t>
      </w:r>
      <w:r w:rsidR="004F6363" w:rsidRPr="00760B39">
        <w:rPr>
          <w:rFonts w:cs="Calibri"/>
          <w:lang w:val="fr-FR"/>
        </w:rPr>
        <w:t>.</w:t>
      </w:r>
      <w:r w:rsidR="004F6363" w:rsidRPr="00760B39">
        <w:rPr>
          <w:rFonts w:cs="Calibri"/>
          <w:lang w:val="fr-FR"/>
        </w:rPr>
        <w:tab/>
      </w:r>
      <w:r w:rsidR="004F6363" w:rsidRPr="00590835">
        <w:rPr>
          <w:rFonts w:cs="Calibri"/>
          <w:lang w:val="fr-FR"/>
        </w:rPr>
        <w:t>Pour 202</w:t>
      </w:r>
      <w:r w:rsidR="005870CC" w:rsidRPr="00590835">
        <w:rPr>
          <w:rFonts w:cs="Calibri"/>
          <w:lang w:val="fr-FR"/>
        </w:rPr>
        <w:t>1</w:t>
      </w:r>
      <w:r w:rsidR="004F6363" w:rsidRPr="00590835">
        <w:rPr>
          <w:rFonts w:cs="Calibri"/>
          <w:lang w:val="fr-FR"/>
        </w:rPr>
        <w:t xml:space="preserve">, les </w:t>
      </w:r>
      <w:r w:rsidR="004F6363" w:rsidRPr="00760B39">
        <w:rPr>
          <w:rFonts w:cs="Calibri"/>
          <w:lang w:val="fr-FR"/>
        </w:rPr>
        <w:t xml:space="preserve">quatre IRR éligibles à un soutien du Secrétariat ont soumis, dans leurs rapports financiers et plans de travail pour 2020, de nouvelles demandes d’appui du budget administratif Ramsar, comme indiqué dans le tableau 1 ci-dessous. </w:t>
      </w:r>
    </w:p>
    <w:p w14:paraId="288DF525" w14:textId="77777777" w:rsidR="007C15CE" w:rsidRPr="00760B39" w:rsidRDefault="007C15CE" w:rsidP="002967BE">
      <w:pPr>
        <w:rPr>
          <w:rFonts w:asciiTheme="minorHAnsi" w:hAnsiTheme="minorHAnsi" w:cstheme="minorHAnsi"/>
          <w:lang w:val="fr-FR"/>
        </w:rPr>
      </w:pPr>
    </w:p>
    <w:p w14:paraId="67D567AB" w14:textId="08D5A861" w:rsidR="00185D0F" w:rsidRPr="00590835" w:rsidRDefault="004F6363" w:rsidP="008155A5">
      <w:pPr>
        <w:ind w:left="0" w:firstLine="0"/>
        <w:rPr>
          <w:rFonts w:asciiTheme="minorHAnsi" w:hAnsiTheme="minorHAnsi" w:cstheme="minorHAnsi"/>
          <w:i/>
          <w:lang w:val="fr-FR"/>
        </w:rPr>
      </w:pPr>
      <w:r w:rsidRPr="00590835">
        <w:rPr>
          <w:rFonts w:cs="Calibri"/>
          <w:i/>
          <w:iCs/>
          <w:lang w:val="fr-FR"/>
        </w:rPr>
        <w:t>Tableau 1 : Résumé des dépenses en 20</w:t>
      </w:r>
      <w:r w:rsidR="0067067A" w:rsidRPr="00590835">
        <w:rPr>
          <w:rFonts w:cs="Calibri"/>
          <w:i/>
          <w:iCs/>
          <w:lang w:val="fr-FR"/>
        </w:rPr>
        <w:t>20</w:t>
      </w:r>
      <w:r w:rsidRPr="00590835">
        <w:rPr>
          <w:rFonts w:cs="Calibri"/>
          <w:i/>
          <w:iCs/>
          <w:lang w:val="fr-FR"/>
        </w:rPr>
        <w:t xml:space="preserve"> et financement des nouvelles Initiatives régionales Ramsar pour 20</w:t>
      </w:r>
      <w:r w:rsidR="0067067A" w:rsidRPr="00590835">
        <w:rPr>
          <w:rFonts w:cs="Calibri"/>
          <w:i/>
          <w:iCs/>
          <w:lang w:val="fr-FR"/>
        </w:rPr>
        <w:t>21</w:t>
      </w:r>
      <w:r w:rsidRPr="00590835">
        <w:rPr>
          <w:rFonts w:cs="Calibri"/>
          <w:i/>
          <w:iCs/>
          <w:lang w:val="fr-FR"/>
        </w:rPr>
        <w:t xml:space="preserve"> </w:t>
      </w:r>
    </w:p>
    <w:tbl>
      <w:tblPr>
        <w:tblStyle w:val="TableGrid"/>
        <w:tblW w:w="9072" w:type="dxa"/>
        <w:tblInd w:w="-5" w:type="dxa"/>
        <w:tblLayout w:type="fixed"/>
        <w:tblCellMar>
          <w:left w:w="57" w:type="dxa"/>
          <w:right w:w="57" w:type="dxa"/>
        </w:tblCellMar>
        <w:tblLook w:val="04A0" w:firstRow="1" w:lastRow="0" w:firstColumn="1" w:lastColumn="0" w:noHBand="0" w:noVBand="1"/>
      </w:tblPr>
      <w:tblGrid>
        <w:gridCol w:w="1582"/>
        <w:gridCol w:w="1248"/>
        <w:gridCol w:w="1248"/>
        <w:gridCol w:w="1249"/>
        <w:gridCol w:w="1248"/>
        <w:gridCol w:w="1248"/>
        <w:gridCol w:w="1249"/>
      </w:tblGrid>
      <w:tr w:rsidR="00E74827" w:rsidRPr="00590835" w14:paraId="7C4B7E94" w14:textId="77777777" w:rsidTr="00883288">
        <w:tc>
          <w:tcPr>
            <w:tcW w:w="1582" w:type="dxa"/>
            <w:shd w:val="clear" w:color="auto" w:fill="DBE5F1" w:themeFill="accent1" w:themeFillTint="33"/>
          </w:tcPr>
          <w:p w14:paraId="00F70209" w14:textId="77777777" w:rsidR="00185D0F" w:rsidRPr="00590835" w:rsidRDefault="00185D0F" w:rsidP="0097776B">
            <w:pPr>
              <w:ind w:left="0" w:firstLine="0"/>
              <w:rPr>
                <w:rFonts w:asciiTheme="minorHAnsi" w:hAnsiTheme="minorHAnsi" w:cstheme="minorHAnsi"/>
                <w:sz w:val="20"/>
                <w:lang w:val="fr-FR"/>
              </w:rPr>
            </w:pPr>
          </w:p>
        </w:tc>
        <w:tc>
          <w:tcPr>
            <w:tcW w:w="3745" w:type="dxa"/>
            <w:gridSpan w:val="3"/>
            <w:shd w:val="clear" w:color="auto" w:fill="DBE5F1" w:themeFill="accent1" w:themeFillTint="33"/>
          </w:tcPr>
          <w:p w14:paraId="1F15D0DD" w14:textId="1300FE5D" w:rsidR="00185D0F" w:rsidRPr="00590835" w:rsidRDefault="004F6363" w:rsidP="0097776B">
            <w:pPr>
              <w:ind w:left="0" w:firstLine="0"/>
              <w:jc w:val="center"/>
              <w:rPr>
                <w:rFonts w:asciiTheme="minorHAnsi" w:hAnsiTheme="minorHAnsi" w:cstheme="minorHAnsi"/>
                <w:b/>
                <w:sz w:val="20"/>
                <w:lang w:val="fr-FR"/>
              </w:rPr>
            </w:pPr>
            <w:r w:rsidRPr="00590835">
              <w:rPr>
                <w:rFonts w:cs="Calibri"/>
                <w:b/>
                <w:bCs/>
                <w:sz w:val="20"/>
                <w:lang w:val="fr-FR"/>
              </w:rPr>
              <w:t>Dépenses 20</w:t>
            </w:r>
            <w:r w:rsidR="0067067A" w:rsidRPr="00590835">
              <w:rPr>
                <w:rFonts w:cs="Calibri"/>
                <w:b/>
                <w:bCs/>
                <w:sz w:val="20"/>
                <w:lang w:val="fr-FR"/>
              </w:rPr>
              <w:t>20</w:t>
            </w:r>
            <w:r w:rsidRPr="00590835">
              <w:rPr>
                <w:rFonts w:cs="Calibri"/>
                <w:b/>
                <w:bCs/>
                <w:sz w:val="20"/>
                <w:lang w:val="fr-FR"/>
              </w:rPr>
              <w:t xml:space="preserve"> (CHF)</w:t>
            </w:r>
          </w:p>
        </w:tc>
        <w:tc>
          <w:tcPr>
            <w:tcW w:w="3745" w:type="dxa"/>
            <w:gridSpan w:val="3"/>
            <w:shd w:val="clear" w:color="auto" w:fill="DBE5F1" w:themeFill="accent1" w:themeFillTint="33"/>
          </w:tcPr>
          <w:p w14:paraId="22FA6D9A" w14:textId="22BB6609" w:rsidR="00185D0F" w:rsidRPr="00590835" w:rsidRDefault="004F6363" w:rsidP="0097776B">
            <w:pPr>
              <w:ind w:left="0" w:firstLine="0"/>
              <w:jc w:val="center"/>
              <w:rPr>
                <w:rFonts w:asciiTheme="minorHAnsi" w:hAnsiTheme="minorHAnsi" w:cstheme="minorHAnsi"/>
                <w:b/>
                <w:sz w:val="20"/>
                <w:lang w:val="fr-FR"/>
              </w:rPr>
            </w:pPr>
            <w:r w:rsidRPr="00590835">
              <w:rPr>
                <w:rFonts w:cs="Calibri"/>
                <w:b/>
                <w:bCs/>
                <w:sz w:val="20"/>
                <w:lang w:val="fr-FR"/>
              </w:rPr>
              <w:t>Financement 202</w:t>
            </w:r>
            <w:r w:rsidR="0067067A" w:rsidRPr="00590835">
              <w:rPr>
                <w:rFonts w:cs="Calibri"/>
                <w:b/>
                <w:bCs/>
                <w:sz w:val="20"/>
                <w:lang w:val="fr-FR"/>
              </w:rPr>
              <w:t>1</w:t>
            </w:r>
            <w:r w:rsidRPr="00590835">
              <w:rPr>
                <w:rFonts w:cs="Calibri"/>
                <w:b/>
                <w:bCs/>
                <w:sz w:val="20"/>
                <w:lang w:val="fr-FR"/>
              </w:rPr>
              <w:t xml:space="preserve"> (CHF)</w:t>
            </w:r>
          </w:p>
        </w:tc>
      </w:tr>
      <w:tr w:rsidR="00E74827" w:rsidRPr="00590835" w14:paraId="0CD3852F" w14:textId="77777777" w:rsidTr="00883288">
        <w:tc>
          <w:tcPr>
            <w:tcW w:w="1582" w:type="dxa"/>
            <w:shd w:val="clear" w:color="auto" w:fill="DBE5F1" w:themeFill="accent1" w:themeFillTint="33"/>
            <w:vAlign w:val="center"/>
          </w:tcPr>
          <w:p w14:paraId="7743DCD9" w14:textId="77777777" w:rsidR="00185D0F" w:rsidRPr="00590835" w:rsidRDefault="004F6363" w:rsidP="00883288">
            <w:pPr>
              <w:ind w:left="0" w:firstLine="0"/>
              <w:jc w:val="center"/>
              <w:rPr>
                <w:rFonts w:asciiTheme="minorHAnsi" w:hAnsiTheme="minorHAnsi" w:cstheme="minorHAnsi"/>
                <w:sz w:val="20"/>
                <w:lang w:val="fr-FR"/>
              </w:rPr>
            </w:pPr>
            <w:r w:rsidRPr="00590835">
              <w:rPr>
                <w:rFonts w:cs="Calibri"/>
                <w:sz w:val="20"/>
                <w:lang w:val="fr-FR"/>
              </w:rPr>
              <w:t>Initiative régionale Ramsar</w:t>
            </w:r>
          </w:p>
        </w:tc>
        <w:tc>
          <w:tcPr>
            <w:tcW w:w="1248" w:type="dxa"/>
            <w:shd w:val="clear" w:color="auto" w:fill="DBE5F1" w:themeFill="accent1" w:themeFillTint="33"/>
            <w:vAlign w:val="center"/>
          </w:tcPr>
          <w:p w14:paraId="34BA8F5A" w14:textId="77777777" w:rsidR="00185D0F" w:rsidRPr="00590835" w:rsidRDefault="00224254" w:rsidP="00883288">
            <w:pPr>
              <w:ind w:left="0" w:firstLine="0"/>
              <w:jc w:val="center"/>
              <w:rPr>
                <w:rFonts w:cs="Calibri"/>
                <w:sz w:val="20"/>
                <w:lang w:val="fr-FR"/>
              </w:rPr>
            </w:pPr>
            <w:r w:rsidRPr="00590835">
              <w:rPr>
                <w:rFonts w:cs="Calibri"/>
                <w:sz w:val="20"/>
                <w:lang w:val="fr-FR"/>
              </w:rPr>
              <w:t>Attribution</w:t>
            </w:r>
            <w:r w:rsidR="0067067A" w:rsidRPr="00590835">
              <w:rPr>
                <w:rFonts w:cs="Calibri"/>
                <w:sz w:val="20"/>
                <w:lang w:val="fr-FR"/>
              </w:rPr>
              <w:t xml:space="preserve"> Ramsar</w:t>
            </w:r>
            <w:r w:rsidR="004F6363" w:rsidRPr="00590835">
              <w:rPr>
                <w:rFonts w:cs="Calibri"/>
                <w:sz w:val="20"/>
                <w:lang w:val="fr-FR"/>
              </w:rPr>
              <w:t xml:space="preserve"> approuvée pour 20</w:t>
            </w:r>
            <w:r w:rsidR="0067067A" w:rsidRPr="00590835">
              <w:rPr>
                <w:rFonts w:cs="Calibri"/>
                <w:sz w:val="20"/>
                <w:lang w:val="fr-FR"/>
              </w:rPr>
              <w:t>20</w:t>
            </w:r>
          </w:p>
          <w:p w14:paraId="017C7AC7" w14:textId="59FA49E1" w:rsidR="0067067A" w:rsidRPr="00590835" w:rsidRDefault="0067067A" w:rsidP="00883288">
            <w:pPr>
              <w:ind w:left="0" w:firstLine="0"/>
              <w:jc w:val="center"/>
              <w:rPr>
                <w:rFonts w:asciiTheme="minorHAnsi" w:hAnsiTheme="minorHAnsi" w:cstheme="minorHAnsi"/>
                <w:sz w:val="20"/>
                <w:lang w:val="fr-FR"/>
              </w:rPr>
            </w:pPr>
            <w:r w:rsidRPr="00590835">
              <w:rPr>
                <w:rFonts w:cs="Calibri"/>
                <w:sz w:val="20"/>
                <w:lang w:val="fr-FR"/>
              </w:rPr>
              <w:t>(CHF)</w:t>
            </w:r>
          </w:p>
        </w:tc>
        <w:tc>
          <w:tcPr>
            <w:tcW w:w="1248" w:type="dxa"/>
            <w:shd w:val="clear" w:color="auto" w:fill="DBE5F1" w:themeFill="accent1" w:themeFillTint="33"/>
            <w:vAlign w:val="center"/>
          </w:tcPr>
          <w:p w14:paraId="1432C7BA" w14:textId="20A76D97" w:rsidR="00185D0F" w:rsidRPr="00590835" w:rsidRDefault="004F6363" w:rsidP="00883288">
            <w:pPr>
              <w:ind w:left="0" w:firstLine="0"/>
              <w:jc w:val="center"/>
              <w:rPr>
                <w:rFonts w:cs="Calibri"/>
                <w:sz w:val="20"/>
                <w:vertAlign w:val="superscript"/>
                <w:lang w:val="fr-FR"/>
              </w:rPr>
            </w:pPr>
            <w:r w:rsidRPr="00590835">
              <w:rPr>
                <w:rFonts w:cs="Calibri"/>
                <w:sz w:val="20"/>
                <w:lang w:val="fr-FR"/>
              </w:rPr>
              <w:t>Dépenses déclarées en 20</w:t>
            </w:r>
            <w:r w:rsidR="0067067A" w:rsidRPr="00590835">
              <w:rPr>
                <w:rFonts w:cs="Calibri"/>
                <w:sz w:val="20"/>
                <w:lang w:val="fr-FR"/>
              </w:rPr>
              <w:t>20</w:t>
            </w:r>
            <w:r w:rsidR="00E542A8" w:rsidRPr="00590835">
              <w:rPr>
                <w:rFonts w:cs="Calibri"/>
                <w:sz w:val="20"/>
                <w:vertAlign w:val="superscript"/>
                <w:lang w:val="fr-FR"/>
              </w:rPr>
              <w:t>1</w:t>
            </w:r>
          </w:p>
          <w:p w14:paraId="1F7EE735" w14:textId="487792D5" w:rsidR="00E542A8" w:rsidRPr="00590835" w:rsidRDefault="00E542A8" w:rsidP="00883288">
            <w:pPr>
              <w:ind w:left="0" w:firstLine="0"/>
              <w:jc w:val="center"/>
              <w:rPr>
                <w:rFonts w:asciiTheme="minorHAnsi" w:hAnsiTheme="minorHAnsi" w:cstheme="minorHAnsi"/>
                <w:sz w:val="20"/>
                <w:lang w:val="fr-FR"/>
              </w:rPr>
            </w:pPr>
            <w:r w:rsidRPr="00590835">
              <w:rPr>
                <w:rFonts w:cs="Calibri"/>
                <w:sz w:val="20"/>
                <w:lang w:val="fr-FR"/>
              </w:rPr>
              <w:t>(CHF)</w:t>
            </w:r>
          </w:p>
        </w:tc>
        <w:tc>
          <w:tcPr>
            <w:tcW w:w="1249" w:type="dxa"/>
            <w:shd w:val="clear" w:color="auto" w:fill="DBE5F1" w:themeFill="accent1" w:themeFillTint="33"/>
            <w:vAlign w:val="center"/>
          </w:tcPr>
          <w:p w14:paraId="2A2FC6C0" w14:textId="77777777" w:rsidR="00185D0F" w:rsidRPr="00590835" w:rsidRDefault="004F6363" w:rsidP="00883288">
            <w:pPr>
              <w:ind w:left="0" w:firstLine="0"/>
              <w:jc w:val="center"/>
              <w:rPr>
                <w:rFonts w:cs="Calibri"/>
                <w:sz w:val="20"/>
                <w:vertAlign w:val="superscript"/>
                <w:lang w:val="fr-FR"/>
              </w:rPr>
            </w:pPr>
            <w:r w:rsidRPr="00590835">
              <w:rPr>
                <w:rFonts w:cs="Calibri"/>
                <w:sz w:val="20"/>
                <w:lang w:val="fr-FR"/>
              </w:rPr>
              <w:t>Solde reporté de 20</w:t>
            </w:r>
            <w:r w:rsidR="00E542A8" w:rsidRPr="00590835">
              <w:rPr>
                <w:rFonts w:cs="Calibri"/>
                <w:sz w:val="20"/>
                <w:lang w:val="fr-FR"/>
              </w:rPr>
              <w:t>20</w:t>
            </w:r>
            <w:r w:rsidR="00E542A8" w:rsidRPr="00590835">
              <w:rPr>
                <w:rFonts w:cs="Calibri"/>
                <w:sz w:val="20"/>
                <w:vertAlign w:val="superscript"/>
                <w:lang w:val="fr-FR"/>
              </w:rPr>
              <w:t>1</w:t>
            </w:r>
          </w:p>
          <w:p w14:paraId="62789799" w14:textId="38D3CEE1" w:rsidR="00E542A8" w:rsidRPr="00590835" w:rsidRDefault="00E542A8" w:rsidP="00883288">
            <w:pPr>
              <w:ind w:left="0" w:firstLine="0"/>
              <w:jc w:val="center"/>
              <w:rPr>
                <w:rFonts w:asciiTheme="minorHAnsi" w:hAnsiTheme="minorHAnsi" w:cstheme="minorHAnsi"/>
                <w:sz w:val="20"/>
                <w:lang w:val="fr-FR"/>
              </w:rPr>
            </w:pPr>
            <w:r w:rsidRPr="00590835">
              <w:rPr>
                <w:rFonts w:cs="Calibri"/>
                <w:sz w:val="20"/>
                <w:lang w:val="fr-FR"/>
              </w:rPr>
              <w:t>(CHF)</w:t>
            </w:r>
          </w:p>
        </w:tc>
        <w:tc>
          <w:tcPr>
            <w:tcW w:w="1248" w:type="dxa"/>
            <w:shd w:val="clear" w:color="auto" w:fill="DBE5F1" w:themeFill="accent1" w:themeFillTint="33"/>
            <w:vAlign w:val="center"/>
          </w:tcPr>
          <w:p w14:paraId="475CA887" w14:textId="3B9879A0" w:rsidR="00185D0F" w:rsidRPr="00590835" w:rsidRDefault="004F6363" w:rsidP="007A6A48">
            <w:pPr>
              <w:ind w:left="0" w:firstLine="0"/>
              <w:jc w:val="center"/>
              <w:rPr>
                <w:rFonts w:asciiTheme="minorHAnsi" w:hAnsiTheme="minorHAnsi" w:cstheme="minorHAnsi"/>
                <w:sz w:val="20"/>
                <w:lang w:val="fr-FR"/>
              </w:rPr>
            </w:pPr>
            <w:r w:rsidRPr="00590835">
              <w:rPr>
                <w:rFonts w:cs="Calibri"/>
                <w:sz w:val="20"/>
                <w:lang w:val="fr-FR"/>
              </w:rPr>
              <w:br/>
              <w:t>Dépenses prévues/</w:t>
            </w:r>
            <w:r w:rsidR="007A6A48" w:rsidRPr="00590835">
              <w:rPr>
                <w:rFonts w:cs="Calibri"/>
                <w:sz w:val="20"/>
                <w:lang w:val="fr-FR"/>
              </w:rPr>
              <w:t xml:space="preserve"> inscrite</w:t>
            </w:r>
            <w:r w:rsidR="000255D9" w:rsidRPr="00590835">
              <w:rPr>
                <w:rFonts w:cs="Calibri"/>
                <w:sz w:val="20"/>
                <w:lang w:val="fr-FR"/>
              </w:rPr>
              <w:t>s</w:t>
            </w:r>
            <w:r w:rsidR="007A6A48" w:rsidRPr="00590835">
              <w:rPr>
                <w:rFonts w:cs="Calibri"/>
                <w:sz w:val="20"/>
                <w:lang w:val="fr-FR"/>
              </w:rPr>
              <w:t xml:space="preserve"> au budget pour l</w:t>
            </w:r>
            <w:r w:rsidRPr="00590835">
              <w:rPr>
                <w:rFonts w:cs="Calibri"/>
                <w:sz w:val="20"/>
                <w:lang w:val="fr-FR"/>
              </w:rPr>
              <w:t xml:space="preserve">es activités </w:t>
            </w:r>
            <w:r w:rsidR="007A6A48" w:rsidRPr="00590835">
              <w:rPr>
                <w:rFonts w:cs="Calibri"/>
                <w:sz w:val="20"/>
                <w:lang w:val="fr-FR"/>
              </w:rPr>
              <w:t>de</w:t>
            </w:r>
            <w:r w:rsidRPr="00590835">
              <w:rPr>
                <w:rFonts w:cs="Calibri"/>
                <w:sz w:val="20"/>
                <w:lang w:val="fr-FR"/>
              </w:rPr>
              <w:t xml:space="preserve"> 202</w:t>
            </w:r>
            <w:r w:rsidR="00E542A8" w:rsidRPr="00590835">
              <w:rPr>
                <w:rFonts w:cs="Calibri"/>
                <w:sz w:val="20"/>
                <w:lang w:val="fr-FR"/>
              </w:rPr>
              <w:t>1</w:t>
            </w:r>
          </w:p>
        </w:tc>
        <w:tc>
          <w:tcPr>
            <w:tcW w:w="1248" w:type="dxa"/>
            <w:shd w:val="clear" w:color="auto" w:fill="DBE5F1" w:themeFill="accent1" w:themeFillTint="33"/>
            <w:vAlign w:val="center"/>
          </w:tcPr>
          <w:p w14:paraId="0BCF684F" w14:textId="77777777" w:rsidR="00185D0F" w:rsidRPr="00590835" w:rsidRDefault="004F6363" w:rsidP="00D4236E">
            <w:pPr>
              <w:ind w:left="0" w:firstLine="0"/>
              <w:jc w:val="center"/>
              <w:rPr>
                <w:rFonts w:cs="Calibri"/>
                <w:sz w:val="20"/>
                <w:lang w:val="fr-FR"/>
              </w:rPr>
            </w:pPr>
            <w:bookmarkStart w:id="1" w:name="_Hlk73701533"/>
            <w:r w:rsidRPr="00590835">
              <w:rPr>
                <w:rFonts w:cs="Calibri"/>
                <w:sz w:val="20"/>
                <w:lang w:val="fr-FR"/>
              </w:rPr>
              <w:t>Contribution 202</w:t>
            </w:r>
            <w:r w:rsidR="0067067A" w:rsidRPr="00590835">
              <w:rPr>
                <w:rFonts w:cs="Calibri"/>
                <w:sz w:val="20"/>
                <w:lang w:val="fr-FR"/>
              </w:rPr>
              <w:t>1</w:t>
            </w:r>
            <w:r w:rsidRPr="00590835">
              <w:rPr>
                <w:rFonts w:cs="Calibri"/>
                <w:sz w:val="20"/>
                <w:lang w:val="fr-FR"/>
              </w:rPr>
              <w:t xml:space="preserve"> demandée</w:t>
            </w:r>
            <w:bookmarkEnd w:id="1"/>
          </w:p>
          <w:p w14:paraId="48BA2067" w14:textId="14792FFE" w:rsidR="0067067A" w:rsidRPr="00590835" w:rsidRDefault="0067067A" w:rsidP="00D4236E">
            <w:pPr>
              <w:ind w:left="0" w:firstLine="0"/>
              <w:jc w:val="center"/>
              <w:rPr>
                <w:rFonts w:asciiTheme="minorHAnsi" w:hAnsiTheme="minorHAnsi" w:cstheme="minorHAnsi"/>
                <w:sz w:val="20"/>
                <w:lang w:val="fr-FR"/>
              </w:rPr>
            </w:pPr>
            <w:r w:rsidRPr="00590835">
              <w:rPr>
                <w:rFonts w:cs="Calibri"/>
                <w:sz w:val="20"/>
                <w:lang w:val="fr-FR"/>
              </w:rPr>
              <w:t>(CHF)</w:t>
            </w:r>
          </w:p>
        </w:tc>
        <w:tc>
          <w:tcPr>
            <w:tcW w:w="1249" w:type="dxa"/>
            <w:shd w:val="clear" w:color="auto" w:fill="DBE5F1" w:themeFill="accent1" w:themeFillTint="33"/>
            <w:vAlign w:val="center"/>
          </w:tcPr>
          <w:p w14:paraId="5591D187" w14:textId="77777777" w:rsidR="00185D0F" w:rsidRPr="00590835" w:rsidRDefault="00224254" w:rsidP="000255D9">
            <w:pPr>
              <w:ind w:left="0" w:firstLine="0"/>
              <w:jc w:val="center"/>
              <w:rPr>
                <w:rFonts w:cs="Calibri"/>
                <w:sz w:val="20"/>
                <w:lang w:val="fr-FR"/>
              </w:rPr>
            </w:pPr>
            <w:r w:rsidRPr="00590835">
              <w:rPr>
                <w:rFonts w:cs="Calibri"/>
                <w:sz w:val="20"/>
                <w:lang w:val="fr-FR"/>
              </w:rPr>
              <w:t xml:space="preserve">Attribution </w:t>
            </w:r>
            <w:r w:rsidR="007A6A48" w:rsidRPr="00590835">
              <w:rPr>
                <w:rFonts w:cs="Calibri"/>
                <w:sz w:val="20"/>
                <w:lang w:val="fr-FR"/>
              </w:rPr>
              <w:t xml:space="preserve">du budget </w:t>
            </w:r>
            <w:r w:rsidR="004F6363" w:rsidRPr="00590835">
              <w:rPr>
                <w:rFonts w:cs="Calibri"/>
                <w:sz w:val="20"/>
                <w:lang w:val="fr-FR"/>
              </w:rPr>
              <w:t>proposée par le Secrétariat pour 20</w:t>
            </w:r>
            <w:r w:rsidR="0067067A" w:rsidRPr="00590835">
              <w:rPr>
                <w:rFonts w:cs="Calibri"/>
                <w:sz w:val="20"/>
                <w:lang w:val="fr-FR"/>
              </w:rPr>
              <w:t>21</w:t>
            </w:r>
          </w:p>
          <w:p w14:paraId="2779F5B2" w14:textId="079450CD" w:rsidR="0067067A" w:rsidRPr="00590835" w:rsidRDefault="0067067A" w:rsidP="000255D9">
            <w:pPr>
              <w:ind w:left="0" w:firstLine="0"/>
              <w:jc w:val="center"/>
              <w:rPr>
                <w:rFonts w:asciiTheme="minorHAnsi" w:hAnsiTheme="minorHAnsi" w:cstheme="minorHAnsi"/>
                <w:sz w:val="20"/>
                <w:lang w:val="fr-FR"/>
              </w:rPr>
            </w:pPr>
            <w:r w:rsidRPr="00590835">
              <w:rPr>
                <w:rFonts w:cs="Calibri"/>
                <w:sz w:val="20"/>
                <w:lang w:val="fr-FR"/>
              </w:rPr>
              <w:t>(CHF)</w:t>
            </w:r>
          </w:p>
        </w:tc>
      </w:tr>
      <w:tr w:rsidR="00E74827" w:rsidRPr="00590835" w14:paraId="410100D2" w14:textId="77777777" w:rsidTr="00883288">
        <w:tc>
          <w:tcPr>
            <w:tcW w:w="1582" w:type="dxa"/>
          </w:tcPr>
          <w:p w14:paraId="29A9158C" w14:textId="77777777" w:rsidR="00185D0F" w:rsidRPr="00590835" w:rsidRDefault="004F6363" w:rsidP="0097776B">
            <w:pPr>
              <w:ind w:left="0" w:firstLine="0"/>
              <w:rPr>
                <w:rFonts w:asciiTheme="minorHAnsi" w:hAnsiTheme="minorHAnsi" w:cstheme="minorHAnsi"/>
                <w:sz w:val="20"/>
                <w:lang w:val="fr-FR"/>
              </w:rPr>
            </w:pPr>
            <w:r w:rsidRPr="00590835">
              <w:rPr>
                <w:rFonts w:cs="Calibri"/>
                <w:sz w:val="20"/>
                <w:lang w:val="fr-FR"/>
              </w:rPr>
              <w:t>Bassin du fleuve Sénégal</w:t>
            </w:r>
          </w:p>
        </w:tc>
        <w:tc>
          <w:tcPr>
            <w:tcW w:w="1248" w:type="dxa"/>
          </w:tcPr>
          <w:p w14:paraId="56AC5B8C" w14:textId="36B2B880"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15 000</w:t>
            </w:r>
          </w:p>
        </w:tc>
        <w:tc>
          <w:tcPr>
            <w:tcW w:w="1248" w:type="dxa"/>
          </w:tcPr>
          <w:p w14:paraId="2D40F2D6" w14:textId="619BCC59"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23 051</w:t>
            </w:r>
          </w:p>
        </w:tc>
        <w:tc>
          <w:tcPr>
            <w:tcW w:w="1249" w:type="dxa"/>
          </w:tcPr>
          <w:p w14:paraId="2FB0C194" w14:textId="7C54FB25" w:rsidR="00185D0F" w:rsidRPr="00590835" w:rsidRDefault="007C15CE" w:rsidP="007C15CE">
            <w:pPr>
              <w:ind w:left="0" w:firstLine="0"/>
              <w:jc w:val="right"/>
              <w:rPr>
                <w:rFonts w:asciiTheme="minorHAnsi" w:hAnsiTheme="minorHAnsi" w:cstheme="minorHAnsi"/>
                <w:sz w:val="20"/>
                <w:lang w:val="fr-FR"/>
              </w:rPr>
            </w:pPr>
            <w:r w:rsidRPr="00590835">
              <w:rPr>
                <w:rFonts w:cs="Calibri"/>
                <w:sz w:val="20"/>
                <w:lang w:val="fr-FR"/>
              </w:rPr>
              <w:t>205</w:t>
            </w:r>
          </w:p>
        </w:tc>
        <w:tc>
          <w:tcPr>
            <w:tcW w:w="1248" w:type="dxa"/>
          </w:tcPr>
          <w:p w14:paraId="2AFF0955" w14:textId="53B9F008"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50</w:t>
            </w:r>
            <w:r w:rsidR="004F6363" w:rsidRPr="00590835">
              <w:rPr>
                <w:rFonts w:cs="Calibri"/>
                <w:sz w:val="20"/>
                <w:lang w:val="fr-FR"/>
              </w:rPr>
              <w:t> 000</w:t>
            </w:r>
          </w:p>
        </w:tc>
        <w:tc>
          <w:tcPr>
            <w:tcW w:w="1248" w:type="dxa"/>
          </w:tcPr>
          <w:p w14:paraId="1515CF0F" w14:textId="44C06826" w:rsidR="00185D0F" w:rsidRPr="00590835" w:rsidRDefault="007C15CE" w:rsidP="0097776B">
            <w:pPr>
              <w:ind w:left="0" w:firstLine="0"/>
              <w:jc w:val="right"/>
              <w:rPr>
                <w:rFonts w:asciiTheme="minorHAnsi" w:hAnsiTheme="minorHAnsi" w:cstheme="minorHAnsi"/>
                <w:sz w:val="20"/>
                <w:vertAlign w:val="superscript"/>
                <w:lang w:val="fr-FR"/>
              </w:rPr>
            </w:pPr>
            <w:r w:rsidRPr="00590835">
              <w:rPr>
                <w:rFonts w:cs="Calibri"/>
                <w:sz w:val="20"/>
                <w:lang w:val="fr-FR"/>
              </w:rPr>
              <w:t>35 000</w:t>
            </w:r>
            <w:r w:rsidRPr="00590835">
              <w:rPr>
                <w:rFonts w:cs="Calibri"/>
                <w:sz w:val="20"/>
                <w:vertAlign w:val="superscript"/>
                <w:lang w:val="fr-FR"/>
              </w:rPr>
              <w:t>3</w:t>
            </w:r>
          </w:p>
        </w:tc>
        <w:tc>
          <w:tcPr>
            <w:tcW w:w="1249" w:type="dxa"/>
          </w:tcPr>
          <w:p w14:paraId="00B52960" w14:textId="77777777" w:rsidR="00185D0F" w:rsidRPr="00590835" w:rsidRDefault="004F6363" w:rsidP="0097776B">
            <w:pPr>
              <w:ind w:left="0" w:firstLine="0"/>
              <w:jc w:val="right"/>
              <w:rPr>
                <w:rFonts w:asciiTheme="minorHAnsi" w:hAnsiTheme="minorHAnsi" w:cstheme="minorHAnsi"/>
                <w:sz w:val="20"/>
                <w:lang w:val="fr-FR"/>
              </w:rPr>
            </w:pPr>
            <w:r w:rsidRPr="00590835">
              <w:rPr>
                <w:rFonts w:cs="Calibri"/>
                <w:sz w:val="20"/>
                <w:lang w:val="fr-FR"/>
              </w:rPr>
              <w:t>25 000</w:t>
            </w:r>
          </w:p>
        </w:tc>
      </w:tr>
      <w:tr w:rsidR="00E74827" w:rsidRPr="00590835" w14:paraId="6DEB26E6" w14:textId="77777777" w:rsidTr="00883288">
        <w:tc>
          <w:tcPr>
            <w:tcW w:w="1582" w:type="dxa"/>
          </w:tcPr>
          <w:p w14:paraId="5E8953ED" w14:textId="77777777" w:rsidR="00185D0F" w:rsidRPr="00590835" w:rsidRDefault="004F6363" w:rsidP="0097776B">
            <w:pPr>
              <w:ind w:left="0" w:firstLine="0"/>
              <w:rPr>
                <w:rFonts w:asciiTheme="minorHAnsi" w:hAnsiTheme="minorHAnsi" w:cstheme="minorHAnsi"/>
                <w:sz w:val="20"/>
                <w:lang w:val="fr-FR"/>
              </w:rPr>
            </w:pPr>
            <w:r w:rsidRPr="00590835">
              <w:rPr>
                <w:rFonts w:cs="Calibri"/>
                <w:sz w:val="20"/>
                <w:lang w:val="fr-FR"/>
              </w:rPr>
              <w:t>Bassin de l’Amazone</w:t>
            </w:r>
          </w:p>
        </w:tc>
        <w:tc>
          <w:tcPr>
            <w:tcW w:w="1248" w:type="dxa"/>
          </w:tcPr>
          <w:p w14:paraId="55659605" w14:textId="52C22293"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15 000</w:t>
            </w:r>
          </w:p>
        </w:tc>
        <w:tc>
          <w:tcPr>
            <w:tcW w:w="1248" w:type="dxa"/>
          </w:tcPr>
          <w:p w14:paraId="35391F60" w14:textId="77777777" w:rsidR="00185D0F" w:rsidRPr="00590835" w:rsidRDefault="004F6363" w:rsidP="0097776B">
            <w:pPr>
              <w:ind w:left="0" w:firstLine="0"/>
              <w:jc w:val="right"/>
              <w:rPr>
                <w:rFonts w:asciiTheme="minorHAnsi" w:hAnsiTheme="minorHAnsi" w:cstheme="minorHAnsi"/>
                <w:sz w:val="20"/>
                <w:lang w:val="fr-FR"/>
              </w:rPr>
            </w:pPr>
            <w:r w:rsidRPr="00590835">
              <w:rPr>
                <w:rFonts w:cs="Calibri"/>
                <w:sz w:val="20"/>
                <w:lang w:val="fr-FR"/>
              </w:rPr>
              <w:t>0</w:t>
            </w:r>
          </w:p>
        </w:tc>
        <w:tc>
          <w:tcPr>
            <w:tcW w:w="1249" w:type="dxa"/>
          </w:tcPr>
          <w:p w14:paraId="6B756C61" w14:textId="48304D29" w:rsidR="00185D0F" w:rsidRPr="00590835" w:rsidRDefault="007C15CE" w:rsidP="0097776B">
            <w:pPr>
              <w:ind w:left="0" w:firstLine="0"/>
              <w:jc w:val="right"/>
              <w:rPr>
                <w:rFonts w:asciiTheme="minorHAnsi" w:hAnsiTheme="minorHAnsi" w:cstheme="minorHAnsi"/>
                <w:sz w:val="20"/>
                <w:vertAlign w:val="superscript"/>
                <w:lang w:val="fr-FR"/>
              </w:rPr>
            </w:pPr>
            <w:r w:rsidRPr="00590835">
              <w:rPr>
                <w:rFonts w:cs="Calibri"/>
                <w:sz w:val="20"/>
                <w:lang w:val="fr-FR"/>
              </w:rPr>
              <w:t>76 000</w:t>
            </w:r>
            <w:r w:rsidRPr="00590835">
              <w:rPr>
                <w:rFonts w:cs="Calibri"/>
                <w:sz w:val="20"/>
                <w:vertAlign w:val="superscript"/>
                <w:lang w:val="fr-FR"/>
              </w:rPr>
              <w:t>2</w:t>
            </w:r>
          </w:p>
        </w:tc>
        <w:tc>
          <w:tcPr>
            <w:tcW w:w="1248" w:type="dxa"/>
          </w:tcPr>
          <w:p w14:paraId="12CBC285" w14:textId="0CBF5684"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35 000</w:t>
            </w:r>
          </w:p>
        </w:tc>
        <w:tc>
          <w:tcPr>
            <w:tcW w:w="1248" w:type="dxa"/>
          </w:tcPr>
          <w:p w14:paraId="2DF236C5" w14:textId="58130FA4" w:rsidR="00185D0F" w:rsidRPr="00590835" w:rsidRDefault="007C15CE" w:rsidP="0097776B">
            <w:pPr>
              <w:ind w:left="0" w:firstLine="0"/>
              <w:jc w:val="right"/>
              <w:rPr>
                <w:rFonts w:asciiTheme="minorHAnsi" w:hAnsiTheme="minorHAnsi" w:cstheme="minorHAnsi"/>
                <w:sz w:val="20"/>
                <w:vertAlign w:val="superscript"/>
                <w:lang w:val="fr-FR"/>
              </w:rPr>
            </w:pPr>
            <w:r w:rsidRPr="00590835">
              <w:rPr>
                <w:rFonts w:cs="Calibri"/>
                <w:sz w:val="20"/>
                <w:lang w:val="fr-FR"/>
              </w:rPr>
              <w:t>3</w:t>
            </w:r>
            <w:r w:rsidR="004F6363" w:rsidRPr="00590835">
              <w:rPr>
                <w:rFonts w:cs="Calibri"/>
                <w:sz w:val="20"/>
                <w:lang w:val="fr-FR"/>
              </w:rPr>
              <w:t>5 000</w:t>
            </w:r>
            <w:r w:rsidRPr="00590835">
              <w:rPr>
                <w:rFonts w:cs="Calibri"/>
                <w:sz w:val="20"/>
                <w:vertAlign w:val="superscript"/>
                <w:lang w:val="fr-FR"/>
              </w:rPr>
              <w:t>3</w:t>
            </w:r>
          </w:p>
        </w:tc>
        <w:tc>
          <w:tcPr>
            <w:tcW w:w="1249" w:type="dxa"/>
          </w:tcPr>
          <w:p w14:paraId="402BDDDC" w14:textId="77777777" w:rsidR="00185D0F" w:rsidRPr="00590835" w:rsidRDefault="004F6363" w:rsidP="0097776B">
            <w:pPr>
              <w:ind w:left="0" w:firstLine="0"/>
              <w:jc w:val="right"/>
              <w:rPr>
                <w:rFonts w:asciiTheme="minorHAnsi" w:hAnsiTheme="minorHAnsi" w:cstheme="minorHAnsi"/>
                <w:sz w:val="20"/>
                <w:lang w:val="fr-FR"/>
              </w:rPr>
            </w:pPr>
            <w:r w:rsidRPr="00590835">
              <w:rPr>
                <w:rFonts w:cs="Calibri"/>
                <w:sz w:val="20"/>
                <w:lang w:val="fr-FR"/>
              </w:rPr>
              <w:t>25 000</w:t>
            </w:r>
          </w:p>
        </w:tc>
      </w:tr>
      <w:tr w:rsidR="00E74827" w:rsidRPr="00590835" w14:paraId="120E6FA0" w14:textId="77777777" w:rsidTr="00883288">
        <w:tc>
          <w:tcPr>
            <w:tcW w:w="1582" w:type="dxa"/>
          </w:tcPr>
          <w:p w14:paraId="7140278F" w14:textId="77777777" w:rsidR="00185D0F" w:rsidRPr="00590835" w:rsidRDefault="004F6363" w:rsidP="0097776B">
            <w:pPr>
              <w:ind w:left="0" w:firstLine="0"/>
              <w:rPr>
                <w:rFonts w:asciiTheme="minorHAnsi" w:hAnsiTheme="minorHAnsi" w:cstheme="minorHAnsi"/>
                <w:sz w:val="20"/>
                <w:lang w:val="fr-FR"/>
              </w:rPr>
            </w:pPr>
            <w:r w:rsidRPr="00590835">
              <w:rPr>
                <w:rFonts w:cs="Calibri"/>
                <w:sz w:val="20"/>
                <w:lang w:val="fr-FR"/>
              </w:rPr>
              <w:t>Asie centrale</w:t>
            </w:r>
          </w:p>
        </w:tc>
        <w:tc>
          <w:tcPr>
            <w:tcW w:w="1248" w:type="dxa"/>
          </w:tcPr>
          <w:p w14:paraId="453A8944" w14:textId="723D5FE6"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25 000</w:t>
            </w:r>
          </w:p>
        </w:tc>
        <w:tc>
          <w:tcPr>
            <w:tcW w:w="1248" w:type="dxa"/>
          </w:tcPr>
          <w:p w14:paraId="71B0DA54" w14:textId="6895BF88"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25 929</w:t>
            </w:r>
          </w:p>
        </w:tc>
        <w:tc>
          <w:tcPr>
            <w:tcW w:w="1249" w:type="dxa"/>
          </w:tcPr>
          <w:p w14:paraId="28B4C68C" w14:textId="16B38CAF"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0</w:t>
            </w:r>
          </w:p>
        </w:tc>
        <w:tc>
          <w:tcPr>
            <w:tcW w:w="1248" w:type="dxa"/>
          </w:tcPr>
          <w:p w14:paraId="3A31B06B" w14:textId="7259D72F" w:rsidR="00185D0F" w:rsidRPr="00590835" w:rsidRDefault="004F6363" w:rsidP="007C15CE">
            <w:pPr>
              <w:ind w:left="0" w:firstLine="0"/>
              <w:jc w:val="right"/>
              <w:rPr>
                <w:rFonts w:asciiTheme="minorHAnsi" w:hAnsiTheme="minorHAnsi" w:cstheme="minorHAnsi"/>
                <w:sz w:val="20"/>
                <w:lang w:val="fr-FR"/>
              </w:rPr>
            </w:pPr>
            <w:r w:rsidRPr="00590835">
              <w:rPr>
                <w:rFonts w:cs="Calibri"/>
                <w:sz w:val="20"/>
                <w:lang w:val="fr-FR"/>
              </w:rPr>
              <w:t>4</w:t>
            </w:r>
            <w:r w:rsidR="007C15CE" w:rsidRPr="00590835">
              <w:rPr>
                <w:rFonts w:cs="Calibri"/>
                <w:sz w:val="20"/>
                <w:lang w:val="fr-FR"/>
              </w:rPr>
              <w:t>3 886</w:t>
            </w:r>
          </w:p>
        </w:tc>
        <w:tc>
          <w:tcPr>
            <w:tcW w:w="1248" w:type="dxa"/>
          </w:tcPr>
          <w:p w14:paraId="1F49BE42" w14:textId="5E908DF3" w:rsidR="00185D0F" w:rsidRPr="00590835" w:rsidRDefault="004F6363" w:rsidP="007C15CE">
            <w:pPr>
              <w:ind w:left="0" w:firstLine="0"/>
              <w:jc w:val="right"/>
              <w:rPr>
                <w:rFonts w:asciiTheme="minorHAnsi" w:hAnsiTheme="minorHAnsi" w:cstheme="minorHAnsi"/>
                <w:sz w:val="20"/>
                <w:lang w:val="fr-FR"/>
              </w:rPr>
            </w:pPr>
            <w:r w:rsidRPr="00590835">
              <w:rPr>
                <w:rFonts w:cs="Calibri"/>
                <w:sz w:val="20"/>
                <w:lang w:val="fr-FR"/>
              </w:rPr>
              <w:t>3</w:t>
            </w:r>
            <w:r w:rsidR="007C15CE" w:rsidRPr="00590835">
              <w:rPr>
                <w:rFonts w:cs="Calibri"/>
                <w:sz w:val="20"/>
                <w:lang w:val="fr-FR"/>
              </w:rPr>
              <w:t>3</w:t>
            </w:r>
            <w:r w:rsidRPr="00590835">
              <w:rPr>
                <w:rFonts w:cs="Calibri"/>
                <w:sz w:val="20"/>
                <w:lang w:val="fr-FR"/>
              </w:rPr>
              <w:t> </w:t>
            </w:r>
            <w:r w:rsidR="007C15CE" w:rsidRPr="00590835">
              <w:rPr>
                <w:rFonts w:cs="Calibri"/>
                <w:sz w:val="20"/>
                <w:lang w:val="fr-FR"/>
              </w:rPr>
              <w:t>887</w:t>
            </w:r>
          </w:p>
        </w:tc>
        <w:tc>
          <w:tcPr>
            <w:tcW w:w="1249" w:type="dxa"/>
          </w:tcPr>
          <w:p w14:paraId="6B14A518" w14:textId="77777777" w:rsidR="00185D0F" w:rsidRPr="00590835" w:rsidRDefault="004F6363" w:rsidP="0097776B">
            <w:pPr>
              <w:ind w:left="0" w:firstLine="0"/>
              <w:jc w:val="right"/>
              <w:rPr>
                <w:rFonts w:asciiTheme="minorHAnsi" w:hAnsiTheme="minorHAnsi" w:cstheme="minorHAnsi"/>
                <w:sz w:val="20"/>
                <w:lang w:val="fr-FR"/>
              </w:rPr>
            </w:pPr>
            <w:r w:rsidRPr="00590835">
              <w:rPr>
                <w:rFonts w:cs="Calibri"/>
                <w:sz w:val="20"/>
                <w:lang w:val="fr-FR"/>
              </w:rPr>
              <w:t>25 000</w:t>
            </w:r>
          </w:p>
        </w:tc>
      </w:tr>
      <w:tr w:rsidR="00E74827" w:rsidRPr="00590835" w14:paraId="1B81F8B4" w14:textId="77777777" w:rsidTr="00883288">
        <w:tc>
          <w:tcPr>
            <w:tcW w:w="1582" w:type="dxa"/>
          </w:tcPr>
          <w:p w14:paraId="4EDD01CD" w14:textId="77777777" w:rsidR="00185D0F" w:rsidRPr="00590835" w:rsidRDefault="004F6363" w:rsidP="0097776B">
            <w:pPr>
              <w:ind w:left="0" w:firstLine="0"/>
              <w:rPr>
                <w:rFonts w:asciiTheme="minorHAnsi" w:hAnsiTheme="minorHAnsi" w:cstheme="minorHAnsi"/>
                <w:sz w:val="20"/>
                <w:lang w:val="fr-FR"/>
              </w:rPr>
            </w:pPr>
            <w:r w:rsidRPr="00590835">
              <w:rPr>
                <w:rFonts w:cs="Calibri"/>
                <w:sz w:val="20"/>
                <w:lang w:val="fr-FR"/>
              </w:rPr>
              <w:t>Région indo-birmane</w:t>
            </w:r>
          </w:p>
        </w:tc>
        <w:tc>
          <w:tcPr>
            <w:tcW w:w="1248" w:type="dxa"/>
          </w:tcPr>
          <w:p w14:paraId="0F9AE38D" w14:textId="7A0232E6"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25 000</w:t>
            </w:r>
          </w:p>
        </w:tc>
        <w:tc>
          <w:tcPr>
            <w:tcW w:w="1248" w:type="dxa"/>
          </w:tcPr>
          <w:p w14:paraId="4418560A" w14:textId="3EF4C9D0" w:rsidR="00185D0F" w:rsidRPr="00590835" w:rsidRDefault="007C15CE" w:rsidP="0097776B">
            <w:pPr>
              <w:ind w:left="0" w:firstLine="0"/>
              <w:jc w:val="right"/>
              <w:rPr>
                <w:rFonts w:asciiTheme="minorHAnsi" w:hAnsiTheme="minorHAnsi" w:cstheme="minorHAnsi"/>
                <w:sz w:val="20"/>
                <w:lang w:val="fr-FR"/>
              </w:rPr>
            </w:pPr>
            <w:r w:rsidRPr="00590835">
              <w:rPr>
                <w:sz w:val="20"/>
                <w:lang w:val="fr-FR"/>
              </w:rPr>
              <w:t>130 847</w:t>
            </w:r>
          </w:p>
        </w:tc>
        <w:tc>
          <w:tcPr>
            <w:tcW w:w="1249" w:type="dxa"/>
          </w:tcPr>
          <w:p w14:paraId="74A991D9" w14:textId="217FF6CE"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0</w:t>
            </w:r>
          </w:p>
        </w:tc>
        <w:tc>
          <w:tcPr>
            <w:tcW w:w="1248" w:type="dxa"/>
          </w:tcPr>
          <w:p w14:paraId="284D3855" w14:textId="462FAAE0"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466 000</w:t>
            </w:r>
          </w:p>
        </w:tc>
        <w:tc>
          <w:tcPr>
            <w:tcW w:w="1248" w:type="dxa"/>
          </w:tcPr>
          <w:p w14:paraId="3576CA27" w14:textId="00410E7A"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25</w:t>
            </w:r>
            <w:r w:rsidR="004F6363" w:rsidRPr="00590835">
              <w:rPr>
                <w:rFonts w:cs="Calibri"/>
                <w:sz w:val="20"/>
                <w:lang w:val="fr-FR"/>
              </w:rPr>
              <w:t> 000</w:t>
            </w:r>
          </w:p>
        </w:tc>
        <w:tc>
          <w:tcPr>
            <w:tcW w:w="1249" w:type="dxa"/>
          </w:tcPr>
          <w:p w14:paraId="293619A1" w14:textId="77777777" w:rsidR="00185D0F" w:rsidRPr="00590835" w:rsidRDefault="004F6363" w:rsidP="0097776B">
            <w:pPr>
              <w:ind w:left="0" w:firstLine="0"/>
              <w:jc w:val="right"/>
              <w:rPr>
                <w:rFonts w:asciiTheme="minorHAnsi" w:hAnsiTheme="minorHAnsi" w:cstheme="minorHAnsi"/>
                <w:sz w:val="20"/>
                <w:lang w:val="fr-FR"/>
              </w:rPr>
            </w:pPr>
            <w:r w:rsidRPr="00590835">
              <w:rPr>
                <w:rFonts w:cs="Calibri"/>
                <w:sz w:val="20"/>
                <w:lang w:val="fr-FR"/>
              </w:rPr>
              <w:t>25 000</w:t>
            </w:r>
          </w:p>
        </w:tc>
      </w:tr>
      <w:tr w:rsidR="00E74827" w:rsidRPr="00590835" w14:paraId="47A3E00C" w14:textId="77777777" w:rsidTr="00883288">
        <w:tc>
          <w:tcPr>
            <w:tcW w:w="1582" w:type="dxa"/>
          </w:tcPr>
          <w:p w14:paraId="642EC23E" w14:textId="77777777" w:rsidR="00185D0F" w:rsidRPr="00590835" w:rsidRDefault="004F6363" w:rsidP="0097776B">
            <w:pPr>
              <w:ind w:left="0" w:firstLine="0"/>
              <w:rPr>
                <w:rFonts w:asciiTheme="minorHAnsi" w:hAnsiTheme="minorHAnsi" w:cstheme="minorHAnsi"/>
                <w:b/>
                <w:sz w:val="20"/>
                <w:lang w:val="fr-FR"/>
              </w:rPr>
            </w:pPr>
            <w:r w:rsidRPr="00590835">
              <w:rPr>
                <w:rFonts w:cs="Calibri"/>
                <w:b/>
                <w:bCs/>
                <w:sz w:val="20"/>
                <w:lang w:val="fr-FR"/>
              </w:rPr>
              <w:t>Total</w:t>
            </w:r>
          </w:p>
        </w:tc>
        <w:tc>
          <w:tcPr>
            <w:tcW w:w="1248" w:type="dxa"/>
          </w:tcPr>
          <w:p w14:paraId="70DEAED8" w14:textId="3A12FC8D"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8</w:t>
            </w:r>
            <w:r w:rsidR="004F6363" w:rsidRPr="00590835">
              <w:rPr>
                <w:rFonts w:cs="Calibri"/>
                <w:sz w:val="20"/>
                <w:lang w:val="fr-FR"/>
              </w:rPr>
              <w:t>0 000</w:t>
            </w:r>
          </w:p>
        </w:tc>
        <w:tc>
          <w:tcPr>
            <w:tcW w:w="1248" w:type="dxa"/>
          </w:tcPr>
          <w:p w14:paraId="29E68B02" w14:textId="2369594E" w:rsidR="00185D0F" w:rsidRPr="00590835" w:rsidRDefault="007C15CE" w:rsidP="0097776B">
            <w:pPr>
              <w:ind w:left="0" w:firstLine="0"/>
              <w:jc w:val="right"/>
              <w:rPr>
                <w:rFonts w:asciiTheme="minorHAnsi" w:hAnsiTheme="minorHAnsi" w:cstheme="minorHAnsi"/>
                <w:sz w:val="20"/>
                <w:lang w:val="fr-FR"/>
              </w:rPr>
            </w:pPr>
            <w:r w:rsidRPr="00590835">
              <w:rPr>
                <w:rFonts w:cs="Calibri"/>
                <w:sz w:val="20"/>
                <w:lang w:val="fr-FR"/>
              </w:rPr>
              <w:t>179 827</w:t>
            </w:r>
          </w:p>
        </w:tc>
        <w:tc>
          <w:tcPr>
            <w:tcW w:w="1249" w:type="dxa"/>
          </w:tcPr>
          <w:p w14:paraId="0C6F8CFE" w14:textId="35BF4FDF" w:rsidR="00185D0F" w:rsidRPr="00590835" w:rsidRDefault="00A867E5" w:rsidP="0097776B">
            <w:pPr>
              <w:ind w:left="0" w:firstLine="0"/>
              <w:jc w:val="right"/>
              <w:rPr>
                <w:rFonts w:asciiTheme="minorHAnsi" w:hAnsiTheme="minorHAnsi" w:cstheme="minorHAnsi"/>
                <w:sz w:val="20"/>
                <w:lang w:val="fr-FR"/>
              </w:rPr>
            </w:pPr>
            <w:r w:rsidRPr="00590835">
              <w:rPr>
                <w:rFonts w:cs="Calibri"/>
                <w:sz w:val="20"/>
                <w:lang w:val="fr-FR"/>
              </w:rPr>
              <w:t>76 205</w:t>
            </w:r>
          </w:p>
        </w:tc>
        <w:tc>
          <w:tcPr>
            <w:tcW w:w="1248" w:type="dxa"/>
          </w:tcPr>
          <w:p w14:paraId="2E80A7C5" w14:textId="4FC14714" w:rsidR="00185D0F" w:rsidRPr="00590835" w:rsidRDefault="002D0A6F" w:rsidP="0097776B">
            <w:pPr>
              <w:ind w:left="0" w:firstLine="0"/>
              <w:jc w:val="right"/>
              <w:rPr>
                <w:rFonts w:asciiTheme="minorHAnsi" w:hAnsiTheme="minorHAnsi" w:cstheme="minorHAnsi"/>
                <w:sz w:val="20"/>
                <w:lang w:val="fr-FR"/>
              </w:rPr>
            </w:pPr>
            <w:r w:rsidRPr="00590835">
              <w:rPr>
                <w:rFonts w:cs="Calibri"/>
                <w:sz w:val="20"/>
                <w:lang w:val="fr-FR"/>
              </w:rPr>
              <w:t>594 886</w:t>
            </w:r>
          </w:p>
        </w:tc>
        <w:tc>
          <w:tcPr>
            <w:tcW w:w="1248" w:type="dxa"/>
          </w:tcPr>
          <w:p w14:paraId="18B0EC96" w14:textId="161A101E" w:rsidR="00185D0F" w:rsidRPr="00590835" w:rsidRDefault="002D0A6F" w:rsidP="0097776B">
            <w:pPr>
              <w:ind w:left="0" w:firstLine="0"/>
              <w:jc w:val="right"/>
              <w:rPr>
                <w:rFonts w:asciiTheme="minorHAnsi" w:hAnsiTheme="minorHAnsi" w:cstheme="minorHAnsi"/>
                <w:sz w:val="20"/>
                <w:lang w:val="fr-FR"/>
              </w:rPr>
            </w:pPr>
            <w:r w:rsidRPr="00590835">
              <w:rPr>
                <w:rFonts w:cs="Calibri"/>
                <w:sz w:val="20"/>
                <w:lang w:val="fr-FR"/>
              </w:rPr>
              <w:t>128 887</w:t>
            </w:r>
          </w:p>
        </w:tc>
        <w:tc>
          <w:tcPr>
            <w:tcW w:w="1249" w:type="dxa"/>
          </w:tcPr>
          <w:p w14:paraId="5670FCEC" w14:textId="77777777" w:rsidR="00185D0F" w:rsidRPr="00590835" w:rsidRDefault="004F6363" w:rsidP="0097776B">
            <w:pPr>
              <w:ind w:left="0" w:firstLine="0"/>
              <w:jc w:val="right"/>
              <w:rPr>
                <w:rFonts w:asciiTheme="minorHAnsi" w:hAnsiTheme="minorHAnsi" w:cstheme="minorHAnsi"/>
                <w:sz w:val="20"/>
                <w:lang w:val="fr-FR"/>
              </w:rPr>
            </w:pPr>
            <w:r w:rsidRPr="00590835">
              <w:rPr>
                <w:rFonts w:cs="Calibri"/>
                <w:sz w:val="20"/>
                <w:lang w:val="fr-FR"/>
              </w:rPr>
              <w:t>100 000</w:t>
            </w:r>
          </w:p>
        </w:tc>
      </w:tr>
    </w:tbl>
    <w:p w14:paraId="74D6FEED" w14:textId="522402C3" w:rsidR="00ED53FA" w:rsidRPr="00590835" w:rsidRDefault="00E542A8" w:rsidP="000255D9">
      <w:pPr>
        <w:pStyle w:val="ListParagraph"/>
        <w:ind w:left="0" w:firstLine="0"/>
        <w:rPr>
          <w:rFonts w:asciiTheme="minorHAnsi" w:hAnsiTheme="minorHAnsi" w:cstheme="minorHAnsi"/>
          <w:lang w:val="fr-FR"/>
        </w:rPr>
      </w:pPr>
      <w:r w:rsidRPr="00590835">
        <w:rPr>
          <w:rFonts w:cs="Calibri"/>
          <w:vertAlign w:val="superscript"/>
          <w:lang w:val="fr-FR"/>
        </w:rPr>
        <w:t>1</w:t>
      </w:r>
      <w:r w:rsidR="004F6363" w:rsidRPr="00590835">
        <w:rPr>
          <w:rFonts w:cs="Calibri"/>
          <w:lang w:val="fr-FR"/>
        </w:rPr>
        <w:t xml:space="preserve"> </w:t>
      </w:r>
      <w:r w:rsidR="007A6A48" w:rsidRPr="00590835">
        <w:rPr>
          <w:rFonts w:cs="Calibri"/>
          <w:lang w:val="fr-FR"/>
        </w:rPr>
        <w:t>Incluant d’autres ressources (p</w:t>
      </w:r>
      <w:r w:rsidRPr="00590835">
        <w:rPr>
          <w:rFonts w:cs="Calibri"/>
          <w:lang w:val="fr-FR"/>
        </w:rPr>
        <w:t>ar</w:t>
      </w:r>
      <w:r w:rsidR="007A6A48" w:rsidRPr="00590835">
        <w:rPr>
          <w:rFonts w:cs="Calibri"/>
          <w:lang w:val="fr-FR"/>
        </w:rPr>
        <w:t xml:space="preserve"> ex</w:t>
      </w:r>
      <w:r w:rsidRPr="00590835">
        <w:rPr>
          <w:rFonts w:cs="Calibri"/>
          <w:lang w:val="fr-FR"/>
        </w:rPr>
        <w:t>emple,</w:t>
      </w:r>
      <w:r w:rsidR="004F6363" w:rsidRPr="00590835">
        <w:rPr>
          <w:rFonts w:cs="Calibri"/>
          <w:lang w:val="fr-FR"/>
        </w:rPr>
        <w:t xml:space="preserve"> reliquats des années précédentes et/ou financement de projets)</w:t>
      </w:r>
      <w:r w:rsidR="000255D9" w:rsidRPr="00590835">
        <w:rPr>
          <w:rFonts w:asciiTheme="minorHAnsi" w:hAnsiTheme="minorHAnsi" w:cstheme="minorHAnsi"/>
          <w:lang w:val="fr-FR"/>
        </w:rPr>
        <w:t xml:space="preserve"> </w:t>
      </w:r>
    </w:p>
    <w:p w14:paraId="076AF051" w14:textId="2CC03EBB" w:rsidR="00C96A9B" w:rsidRPr="00590835" w:rsidRDefault="00C96A9B" w:rsidP="000255D9">
      <w:pPr>
        <w:pStyle w:val="ListParagraph"/>
        <w:ind w:left="0" w:firstLine="0"/>
        <w:rPr>
          <w:rFonts w:asciiTheme="minorHAnsi" w:hAnsiTheme="minorHAnsi" w:cstheme="minorHAnsi"/>
          <w:lang w:val="fr-FR"/>
        </w:rPr>
      </w:pPr>
      <w:r w:rsidRPr="00590835">
        <w:rPr>
          <w:rFonts w:asciiTheme="minorHAnsi" w:hAnsiTheme="minorHAnsi" w:cstheme="minorHAnsi"/>
          <w:vertAlign w:val="superscript"/>
          <w:lang w:val="fr-FR"/>
        </w:rPr>
        <w:t xml:space="preserve">2 </w:t>
      </w:r>
      <w:r w:rsidR="00790A65" w:rsidRPr="00590835">
        <w:rPr>
          <w:rFonts w:asciiTheme="minorHAnsi" w:hAnsiTheme="minorHAnsi" w:cstheme="minorHAnsi"/>
          <w:lang w:val="fr-FR"/>
        </w:rPr>
        <w:t>F</w:t>
      </w:r>
      <w:r w:rsidR="00F03F01" w:rsidRPr="00590835">
        <w:rPr>
          <w:rFonts w:asciiTheme="minorHAnsi" w:hAnsiTheme="minorHAnsi" w:cstheme="minorHAnsi"/>
          <w:lang w:val="fr-FR"/>
        </w:rPr>
        <w:t>on</w:t>
      </w:r>
      <w:r w:rsidR="00790A65" w:rsidRPr="00590835">
        <w:rPr>
          <w:rFonts w:asciiTheme="minorHAnsi" w:hAnsiTheme="minorHAnsi" w:cstheme="minorHAnsi"/>
          <w:lang w:val="fr-FR"/>
        </w:rPr>
        <w:t>ds</w:t>
      </w:r>
      <w:r w:rsidR="00F03F01" w:rsidRPr="00590835">
        <w:rPr>
          <w:rFonts w:asciiTheme="minorHAnsi" w:hAnsiTheme="minorHAnsi" w:cstheme="minorHAnsi"/>
          <w:lang w:val="fr-FR"/>
        </w:rPr>
        <w:t xml:space="preserve"> engagés à la fin de 2020</w:t>
      </w:r>
    </w:p>
    <w:p w14:paraId="20904C3A" w14:textId="5B62E23B" w:rsidR="00F03F01" w:rsidRPr="00590835" w:rsidRDefault="00F03F01" w:rsidP="000255D9">
      <w:pPr>
        <w:pStyle w:val="ListParagraph"/>
        <w:ind w:left="0" w:firstLine="0"/>
        <w:rPr>
          <w:rFonts w:asciiTheme="minorHAnsi" w:hAnsiTheme="minorHAnsi" w:cstheme="minorHAnsi"/>
          <w:lang w:val="fr-FR"/>
        </w:rPr>
      </w:pPr>
      <w:r w:rsidRPr="00590835">
        <w:rPr>
          <w:rFonts w:asciiTheme="minorHAnsi" w:hAnsiTheme="minorHAnsi" w:cstheme="minorHAnsi"/>
          <w:vertAlign w:val="superscript"/>
          <w:lang w:val="fr-FR"/>
        </w:rPr>
        <w:t>3</w:t>
      </w:r>
      <w:r w:rsidRPr="00590835">
        <w:rPr>
          <w:rFonts w:asciiTheme="minorHAnsi" w:hAnsiTheme="minorHAnsi" w:cstheme="minorHAnsi"/>
          <w:lang w:val="fr-FR"/>
        </w:rPr>
        <w:t xml:space="preserve"> Comprend la demande de </w:t>
      </w:r>
      <w:r w:rsidR="00790A65" w:rsidRPr="00590835">
        <w:rPr>
          <w:rFonts w:asciiTheme="minorHAnsi" w:hAnsiTheme="minorHAnsi" w:cstheme="minorHAnsi"/>
          <w:lang w:val="fr-FR"/>
        </w:rPr>
        <w:t>10</w:t>
      </w:r>
      <w:r w:rsidRPr="00590835">
        <w:rPr>
          <w:rFonts w:asciiTheme="minorHAnsi" w:hAnsiTheme="minorHAnsi" w:cstheme="minorHAnsi"/>
          <w:lang w:val="fr-FR"/>
        </w:rPr>
        <w:t xml:space="preserve"> 000 CHF additionnels en 2020. </w:t>
      </w:r>
    </w:p>
    <w:p w14:paraId="76FED0BE" w14:textId="73090C61" w:rsidR="00850501" w:rsidRDefault="00850501" w:rsidP="002F56EB">
      <w:pPr>
        <w:pStyle w:val="ListParagraph"/>
        <w:ind w:left="-142" w:firstLine="0"/>
        <w:rPr>
          <w:rFonts w:asciiTheme="minorHAnsi" w:hAnsiTheme="minorHAnsi" w:cstheme="minorHAnsi"/>
          <w:lang w:val="fr-FR"/>
        </w:rPr>
      </w:pPr>
    </w:p>
    <w:p w14:paraId="3D2CEB6F" w14:textId="77777777" w:rsidR="00F35D80" w:rsidRPr="00590835" w:rsidRDefault="00F35D80" w:rsidP="002F56EB">
      <w:pPr>
        <w:pStyle w:val="ListParagraph"/>
        <w:ind w:left="-142" w:firstLine="0"/>
        <w:rPr>
          <w:rFonts w:asciiTheme="minorHAnsi" w:hAnsiTheme="minorHAnsi" w:cstheme="minorHAnsi"/>
          <w:lang w:val="fr-FR"/>
        </w:rPr>
      </w:pPr>
    </w:p>
    <w:p w14:paraId="289AF299" w14:textId="7EC5DF74" w:rsidR="008D27A5" w:rsidRPr="00F35D80" w:rsidRDefault="00215DAF" w:rsidP="00215DAF">
      <w:pPr>
        <w:rPr>
          <w:rFonts w:asciiTheme="minorHAnsi" w:hAnsiTheme="minorHAnsi" w:cstheme="minorHAnsi"/>
          <w:lang w:val="fr-FR"/>
        </w:rPr>
      </w:pPr>
      <w:r>
        <w:rPr>
          <w:rFonts w:cs="Calibri"/>
          <w:lang w:val="fr-FR"/>
        </w:rPr>
        <w:t>16.</w:t>
      </w:r>
      <w:r>
        <w:rPr>
          <w:rFonts w:cs="Calibri"/>
          <w:lang w:val="fr-FR"/>
        </w:rPr>
        <w:tab/>
      </w:r>
      <w:r w:rsidR="004F6363" w:rsidRPr="00215DAF">
        <w:rPr>
          <w:rFonts w:cs="Calibri"/>
          <w:lang w:val="fr-FR"/>
        </w:rPr>
        <w:t xml:space="preserve">Le Comité permanent est invité à décider </w:t>
      </w:r>
      <w:r w:rsidR="00E542A8">
        <w:rPr>
          <w:rFonts w:cs="Calibri"/>
          <w:lang w:val="fr-FR"/>
        </w:rPr>
        <w:t>de la répartition du</w:t>
      </w:r>
      <w:r w:rsidR="004F6363" w:rsidRPr="00215DAF">
        <w:rPr>
          <w:rFonts w:cs="Calibri"/>
          <w:lang w:val="fr-FR"/>
        </w:rPr>
        <w:t xml:space="preserve"> montant disponible (100 000 CHF) </w:t>
      </w:r>
      <w:r w:rsidR="00790A65">
        <w:rPr>
          <w:rFonts w:cs="Calibri"/>
          <w:lang w:val="fr-FR"/>
        </w:rPr>
        <w:t>à</w:t>
      </w:r>
      <w:r w:rsidR="004F6363" w:rsidRPr="00215DAF">
        <w:rPr>
          <w:rFonts w:cs="Calibri"/>
          <w:lang w:val="fr-FR"/>
        </w:rPr>
        <w:t xml:space="preserve"> la ligne D « Appui aux initiatives régionales » </w:t>
      </w:r>
      <w:bookmarkStart w:id="2" w:name="_Hlk73701925"/>
      <w:r w:rsidR="004F6363" w:rsidRPr="00215DAF">
        <w:rPr>
          <w:rFonts w:cs="Calibri"/>
          <w:lang w:val="fr-FR"/>
        </w:rPr>
        <w:t xml:space="preserve">du budget </w:t>
      </w:r>
      <w:r w:rsidR="004F6363" w:rsidRPr="00F35D80">
        <w:rPr>
          <w:rFonts w:cs="Calibri"/>
          <w:lang w:val="fr-FR"/>
        </w:rPr>
        <w:t xml:space="preserve">administratif </w:t>
      </w:r>
      <w:bookmarkEnd w:id="2"/>
      <w:r w:rsidR="00E542A8" w:rsidRPr="00F35D80">
        <w:rPr>
          <w:rFonts w:cs="Calibri"/>
          <w:lang w:val="fr-FR"/>
        </w:rPr>
        <w:t>de la Convention</w:t>
      </w:r>
      <w:r w:rsidR="004F6363" w:rsidRPr="00F35D80">
        <w:rPr>
          <w:rFonts w:cs="Calibri"/>
          <w:lang w:val="fr-FR"/>
        </w:rPr>
        <w:t xml:space="preserve">. Le tableau 1 </w:t>
      </w:r>
      <w:r w:rsidR="00E542A8" w:rsidRPr="00F35D80">
        <w:rPr>
          <w:rFonts w:cs="Calibri"/>
          <w:lang w:val="fr-FR"/>
        </w:rPr>
        <w:t xml:space="preserve">ci-dessus propose </w:t>
      </w:r>
      <w:r w:rsidR="004F6363" w:rsidRPr="00F35D80">
        <w:rPr>
          <w:rFonts w:cs="Calibri"/>
          <w:lang w:val="fr-FR"/>
        </w:rPr>
        <w:t xml:space="preserve">une </w:t>
      </w:r>
      <w:r w:rsidR="000255D9" w:rsidRPr="00F35D80">
        <w:rPr>
          <w:rFonts w:cs="Calibri"/>
          <w:lang w:val="fr-FR"/>
        </w:rPr>
        <w:t>attribution</w:t>
      </w:r>
      <w:r w:rsidR="004F6363" w:rsidRPr="00F35D80">
        <w:rPr>
          <w:rFonts w:cs="Calibri"/>
          <w:lang w:val="fr-FR"/>
        </w:rPr>
        <w:t xml:space="preserve"> de 25 000 CHF à chacune des quatre IRR éligibles</w:t>
      </w:r>
      <w:r w:rsidR="00790A65" w:rsidRPr="00F35D80">
        <w:rPr>
          <w:rFonts w:cs="Calibri"/>
          <w:lang w:val="fr-FR"/>
        </w:rPr>
        <w:t>,</w:t>
      </w:r>
      <w:r w:rsidR="004F6363" w:rsidRPr="00F35D80">
        <w:rPr>
          <w:rFonts w:cs="Calibri"/>
          <w:lang w:val="fr-FR"/>
        </w:rPr>
        <w:t xml:space="preserve"> pour leurs activités </w:t>
      </w:r>
      <w:r w:rsidR="007A6A48" w:rsidRPr="00F35D80">
        <w:rPr>
          <w:rFonts w:cs="Calibri"/>
          <w:lang w:val="fr-FR"/>
        </w:rPr>
        <w:t>de</w:t>
      </w:r>
      <w:r w:rsidR="004F6363" w:rsidRPr="00F35D80">
        <w:rPr>
          <w:rFonts w:cs="Calibri"/>
          <w:lang w:val="fr-FR"/>
        </w:rPr>
        <w:t xml:space="preserve"> 202</w:t>
      </w:r>
      <w:r w:rsidR="00E542A8" w:rsidRPr="00F35D80">
        <w:rPr>
          <w:rFonts w:cs="Calibri"/>
          <w:lang w:val="fr-FR"/>
        </w:rPr>
        <w:t>1, pour examen par le Comité permanent</w:t>
      </w:r>
      <w:r w:rsidR="004F6363" w:rsidRPr="00F35D80">
        <w:rPr>
          <w:rFonts w:cs="Calibri"/>
          <w:lang w:val="fr-FR"/>
        </w:rPr>
        <w:t xml:space="preserve">. </w:t>
      </w:r>
    </w:p>
    <w:p w14:paraId="5B59AEDF" w14:textId="77777777" w:rsidR="008D27A5" w:rsidRPr="00760B39" w:rsidRDefault="008D27A5" w:rsidP="004E33E2">
      <w:pPr>
        <w:ind w:left="0" w:firstLine="0"/>
        <w:rPr>
          <w:rFonts w:asciiTheme="minorHAnsi" w:hAnsiTheme="minorHAnsi" w:cstheme="minorHAnsi"/>
          <w:highlight w:val="yellow"/>
          <w:lang w:val="fr-FR"/>
        </w:rPr>
      </w:pPr>
    </w:p>
    <w:p w14:paraId="1A96924E" w14:textId="4392FA47" w:rsidR="009F6A97" w:rsidRPr="00760B39" w:rsidRDefault="004F6363" w:rsidP="00217015">
      <w:pPr>
        <w:keepNext/>
        <w:ind w:left="0" w:firstLine="0"/>
        <w:rPr>
          <w:rFonts w:asciiTheme="minorHAnsi" w:hAnsiTheme="minorHAnsi" w:cstheme="minorHAnsi"/>
          <w:b/>
          <w:lang w:val="fr-FR"/>
        </w:rPr>
      </w:pPr>
      <w:r w:rsidRPr="00760B39">
        <w:rPr>
          <w:rFonts w:cs="Calibri"/>
          <w:b/>
          <w:bCs/>
          <w:lang w:val="fr-FR"/>
        </w:rPr>
        <w:t>Nouve</w:t>
      </w:r>
      <w:r w:rsidR="006153F8">
        <w:rPr>
          <w:rFonts w:cs="Calibri"/>
          <w:b/>
          <w:bCs/>
          <w:lang w:val="fr-FR"/>
        </w:rPr>
        <w:t xml:space="preserve">lle présentation du </w:t>
      </w:r>
      <w:r w:rsidRPr="00760B39">
        <w:rPr>
          <w:rFonts w:cs="Calibri"/>
          <w:b/>
          <w:bCs/>
          <w:lang w:val="fr-FR"/>
        </w:rPr>
        <w:t>rapport et orientations</w:t>
      </w:r>
    </w:p>
    <w:p w14:paraId="1D778664" w14:textId="77777777" w:rsidR="002C219F" w:rsidRPr="00760B39" w:rsidRDefault="002C219F" w:rsidP="00217015">
      <w:pPr>
        <w:keepNext/>
        <w:ind w:left="0" w:firstLine="0"/>
        <w:rPr>
          <w:rFonts w:asciiTheme="minorHAnsi" w:hAnsiTheme="minorHAnsi" w:cstheme="minorHAnsi"/>
          <w:b/>
          <w:highlight w:val="yellow"/>
          <w:lang w:val="fr-FR"/>
        </w:rPr>
      </w:pPr>
    </w:p>
    <w:p w14:paraId="0D6B6BD2" w14:textId="5905520C" w:rsidR="009F6A97" w:rsidRPr="00590835" w:rsidRDefault="00215DAF" w:rsidP="00215DAF">
      <w:pPr>
        <w:rPr>
          <w:rFonts w:asciiTheme="minorHAnsi" w:hAnsiTheme="minorHAnsi" w:cstheme="minorHAnsi"/>
          <w:b/>
          <w:lang w:val="fr-FR"/>
        </w:rPr>
      </w:pPr>
      <w:r>
        <w:rPr>
          <w:rFonts w:cs="Calibri"/>
          <w:lang w:val="fr-FR"/>
        </w:rPr>
        <w:t>17.</w:t>
      </w:r>
      <w:r>
        <w:rPr>
          <w:rFonts w:cs="Calibri"/>
          <w:lang w:val="fr-FR"/>
        </w:rPr>
        <w:tab/>
      </w:r>
      <w:r w:rsidR="004F6363" w:rsidRPr="00590835">
        <w:rPr>
          <w:rFonts w:cs="Calibri"/>
          <w:lang w:val="fr-FR"/>
        </w:rPr>
        <w:t xml:space="preserve">Suite à la </w:t>
      </w:r>
      <w:r w:rsidR="00100997" w:rsidRPr="00590835">
        <w:rPr>
          <w:rFonts w:cs="Calibri"/>
          <w:lang w:val="fr-FR"/>
        </w:rPr>
        <w:t>D</w:t>
      </w:r>
      <w:r w:rsidR="004F6363" w:rsidRPr="00590835">
        <w:rPr>
          <w:rFonts w:cs="Calibri"/>
          <w:lang w:val="fr-FR"/>
        </w:rPr>
        <w:t>écision SC57-11, par laquelle le Comité permanent « charge le Secrétariat d’examiner le modèle de rapport et le processus afin de préparer la brève évaluation demandée au paragraphe 28 de la Résolution XIII.9 », un</w:t>
      </w:r>
      <w:r w:rsidR="001E60A5" w:rsidRPr="00590835">
        <w:rPr>
          <w:rFonts w:cs="Calibri"/>
          <w:lang w:val="fr-FR"/>
        </w:rPr>
        <w:t>e nouvelle présentation du</w:t>
      </w:r>
      <w:r w:rsidR="004F6363" w:rsidRPr="00590835">
        <w:rPr>
          <w:rFonts w:cs="Calibri"/>
          <w:lang w:val="fr-FR"/>
        </w:rPr>
        <w:t xml:space="preserve"> rapport a été préparé</w:t>
      </w:r>
      <w:r w:rsidR="001E60A5" w:rsidRPr="00590835">
        <w:rPr>
          <w:rFonts w:cs="Calibri"/>
          <w:lang w:val="fr-FR"/>
        </w:rPr>
        <w:t>e</w:t>
      </w:r>
      <w:r w:rsidR="004F6363" w:rsidRPr="00590835">
        <w:rPr>
          <w:rFonts w:cs="Calibri"/>
          <w:lang w:val="fr-FR"/>
        </w:rPr>
        <w:t xml:space="preserve"> par le Secrétariat en intégrant les commentaires du Groupe de travail sur les IRR (reçus de cinq Parties contractantes et de trois </w:t>
      </w:r>
      <w:r w:rsidR="007B23D5" w:rsidRPr="00590835">
        <w:rPr>
          <w:rFonts w:cs="Calibri"/>
          <w:lang w:val="fr-FR"/>
        </w:rPr>
        <w:t>IRR</w:t>
      </w:r>
      <w:r w:rsidR="004F6363" w:rsidRPr="00590835">
        <w:rPr>
          <w:rFonts w:cs="Calibri"/>
          <w:lang w:val="fr-FR"/>
        </w:rPr>
        <w:t>)</w:t>
      </w:r>
      <w:r w:rsidR="000255D9" w:rsidRPr="00590835">
        <w:rPr>
          <w:rFonts w:cs="Calibri"/>
          <w:lang w:val="fr-FR"/>
        </w:rPr>
        <w:t xml:space="preserve">. </w:t>
      </w:r>
      <w:r w:rsidR="001E60A5" w:rsidRPr="00590835">
        <w:rPr>
          <w:rFonts w:cs="Calibri"/>
          <w:lang w:val="fr-FR"/>
        </w:rPr>
        <w:t>Elle</w:t>
      </w:r>
      <w:r w:rsidR="004F6363" w:rsidRPr="00590835">
        <w:rPr>
          <w:rFonts w:cs="Calibri"/>
          <w:lang w:val="fr-FR"/>
        </w:rPr>
        <w:t xml:space="preserve"> </w:t>
      </w:r>
      <w:r w:rsidR="000255D9" w:rsidRPr="00590835">
        <w:rPr>
          <w:rFonts w:cs="Calibri"/>
          <w:lang w:val="fr-FR"/>
        </w:rPr>
        <w:t>figure</w:t>
      </w:r>
      <w:r w:rsidR="004F6363" w:rsidRPr="00590835">
        <w:rPr>
          <w:rFonts w:cs="Calibri"/>
          <w:lang w:val="fr-FR"/>
        </w:rPr>
        <w:t xml:space="preserve"> dans le document</w:t>
      </w:r>
      <w:r w:rsidR="00D26183">
        <w:rPr>
          <w:rFonts w:cs="Calibri"/>
          <w:lang w:val="fr-FR"/>
        </w:rPr>
        <w:t xml:space="preserve"> SC58 Doc.</w:t>
      </w:r>
      <w:r w:rsidR="006153F8" w:rsidRPr="00590835">
        <w:rPr>
          <w:rFonts w:cs="Calibri"/>
          <w:lang w:val="fr-FR"/>
        </w:rPr>
        <w:t>22</w:t>
      </w:r>
      <w:r w:rsidR="00D26183">
        <w:rPr>
          <w:rFonts w:cs="Calibri"/>
          <w:lang w:val="fr-FR"/>
        </w:rPr>
        <w:t>.2</w:t>
      </w:r>
      <w:r w:rsidR="00D26183">
        <w:rPr>
          <w:rStyle w:val="FootnoteReference"/>
          <w:rFonts w:cs="Calibri"/>
          <w:lang w:val="fr-FR"/>
        </w:rPr>
        <w:footnoteReference w:id="1"/>
      </w:r>
      <w:r w:rsidR="004F6363" w:rsidRPr="00590835">
        <w:rPr>
          <w:rFonts w:cs="Calibri"/>
          <w:lang w:val="fr-FR"/>
        </w:rPr>
        <w:t xml:space="preserve"> en </w:t>
      </w:r>
      <w:r w:rsidR="006153F8" w:rsidRPr="00590835">
        <w:rPr>
          <w:rFonts w:cs="Calibri"/>
          <w:lang w:val="fr-FR"/>
        </w:rPr>
        <w:t>A</w:t>
      </w:r>
      <w:r w:rsidR="004F6363" w:rsidRPr="00590835">
        <w:rPr>
          <w:rFonts w:cs="Calibri"/>
          <w:lang w:val="fr-FR"/>
        </w:rPr>
        <w:t xml:space="preserve">nnexe 2. </w:t>
      </w:r>
      <w:r w:rsidR="006153F8" w:rsidRPr="00590835">
        <w:rPr>
          <w:rFonts w:cs="Calibri"/>
          <w:lang w:val="fr-FR"/>
        </w:rPr>
        <w:t>La présentation n’a pas été discutée par le Comité permanent à sa 58</w:t>
      </w:r>
      <w:r w:rsidR="006153F8" w:rsidRPr="00590835">
        <w:rPr>
          <w:rFonts w:cs="Calibri"/>
          <w:vertAlign w:val="superscript"/>
          <w:lang w:val="fr-FR"/>
        </w:rPr>
        <w:t>e</w:t>
      </w:r>
      <w:r w:rsidR="006153F8" w:rsidRPr="00590835">
        <w:rPr>
          <w:rFonts w:cs="Calibri"/>
          <w:lang w:val="fr-FR"/>
        </w:rPr>
        <w:t xml:space="preserve"> Réunion et elle est transmise à la 59</w:t>
      </w:r>
      <w:r w:rsidR="006153F8" w:rsidRPr="00590835">
        <w:rPr>
          <w:rFonts w:cs="Calibri"/>
          <w:vertAlign w:val="superscript"/>
          <w:lang w:val="fr-FR"/>
        </w:rPr>
        <w:t>e</w:t>
      </w:r>
      <w:r w:rsidR="006153F8" w:rsidRPr="00590835">
        <w:rPr>
          <w:rFonts w:cs="Calibri"/>
          <w:lang w:val="fr-FR"/>
        </w:rPr>
        <w:t xml:space="preserve"> Réunion pour examen. La présentation </w:t>
      </w:r>
      <w:r w:rsidR="004F6363" w:rsidRPr="00590835">
        <w:rPr>
          <w:rFonts w:cs="Calibri"/>
          <w:lang w:val="fr-FR"/>
        </w:rPr>
        <w:t>proposé</w:t>
      </w:r>
      <w:r w:rsidR="006153F8" w:rsidRPr="00590835">
        <w:rPr>
          <w:rFonts w:cs="Calibri"/>
          <w:lang w:val="fr-FR"/>
        </w:rPr>
        <w:t>e</w:t>
      </w:r>
      <w:r w:rsidR="004F6363" w:rsidRPr="00590835">
        <w:rPr>
          <w:rFonts w:cs="Calibri"/>
          <w:lang w:val="fr-FR"/>
        </w:rPr>
        <w:t xml:space="preserve"> </w:t>
      </w:r>
      <w:r w:rsidR="006153F8" w:rsidRPr="00590835">
        <w:rPr>
          <w:rFonts w:cs="Calibri"/>
          <w:lang w:val="fr-FR"/>
        </w:rPr>
        <w:t>fournit</w:t>
      </w:r>
      <w:r w:rsidR="004F6363" w:rsidRPr="00590835">
        <w:rPr>
          <w:rFonts w:cs="Calibri"/>
          <w:lang w:val="fr-FR"/>
        </w:rPr>
        <w:t xml:space="preserve"> des orientations sur la manière de rédiger le rapport </w:t>
      </w:r>
      <w:r w:rsidR="00D44CFA" w:rsidRPr="00590835">
        <w:rPr>
          <w:rFonts w:cs="Calibri"/>
          <w:lang w:val="fr-FR"/>
        </w:rPr>
        <w:t xml:space="preserve">pour </w:t>
      </w:r>
      <w:r w:rsidR="004F6363" w:rsidRPr="00590835">
        <w:rPr>
          <w:rFonts w:cs="Calibri"/>
          <w:lang w:val="fr-FR"/>
        </w:rPr>
        <w:t>assurer une plus grande cohérence entre les IRR et veiller à ce que les travaux de chaque IRR soient conformes aux principes énoncés au paragraphe 8 de la Résolution XIII.9. Ce</w:t>
      </w:r>
      <w:r w:rsidR="006153F8" w:rsidRPr="00590835">
        <w:rPr>
          <w:rFonts w:cs="Calibri"/>
          <w:lang w:val="fr-FR"/>
        </w:rPr>
        <w:t>tte présentation du</w:t>
      </w:r>
      <w:r w:rsidR="004F6363" w:rsidRPr="00590835">
        <w:rPr>
          <w:rFonts w:cs="Calibri"/>
          <w:lang w:val="fr-FR"/>
        </w:rPr>
        <w:t xml:space="preserve"> rapport permettra au Secrétariat d’examiner et de préparer plus efficacement une brève évaluation du fonctionnement et des réalisations des IRR actives </w:t>
      </w:r>
      <w:r w:rsidR="006153F8" w:rsidRPr="00590835">
        <w:rPr>
          <w:rFonts w:cs="Calibri"/>
          <w:lang w:val="fr-FR"/>
        </w:rPr>
        <w:t>dans le cadre de la Convention.</w:t>
      </w:r>
      <w:r w:rsidR="004F6363" w:rsidRPr="00590835">
        <w:rPr>
          <w:rFonts w:cs="Calibri"/>
          <w:lang w:val="fr-FR"/>
        </w:rPr>
        <w:t xml:space="preserve"> </w:t>
      </w:r>
    </w:p>
    <w:p w14:paraId="6D140152" w14:textId="77777777" w:rsidR="006012AC" w:rsidRPr="00590835" w:rsidRDefault="006012AC" w:rsidP="00724161">
      <w:pPr>
        <w:pStyle w:val="ListParagraph"/>
        <w:ind w:left="284" w:firstLine="0"/>
        <w:rPr>
          <w:rFonts w:asciiTheme="minorHAnsi" w:hAnsiTheme="minorHAnsi" w:cstheme="minorHAnsi"/>
          <w:b/>
          <w:lang w:val="fr-FR"/>
        </w:rPr>
      </w:pPr>
    </w:p>
    <w:p w14:paraId="3383A32C" w14:textId="07AB8C02" w:rsidR="00626884" w:rsidRPr="00590835" w:rsidRDefault="003A71CC" w:rsidP="00626884">
      <w:pPr>
        <w:ind w:left="0" w:firstLine="0"/>
        <w:rPr>
          <w:rFonts w:asciiTheme="minorHAnsi" w:hAnsiTheme="minorHAnsi" w:cstheme="minorHAnsi"/>
          <w:b/>
          <w:lang w:val="fr-FR"/>
        </w:rPr>
      </w:pPr>
      <w:r w:rsidRPr="00590835">
        <w:rPr>
          <w:rFonts w:cs="Calibri"/>
          <w:b/>
          <w:bCs/>
          <w:lang w:val="fr-FR"/>
        </w:rPr>
        <w:t>P</w:t>
      </w:r>
      <w:r w:rsidR="004F6363" w:rsidRPr="00590835">
        <w:rPr>
          <w:rFonts w:cs="Calibri"/>
          <w:b/>
          <w:bCs/>
          <w:lang w:val="fr-FR"/>
        </w:rPr>
        <w:t>ropositions de nouvelles IRR</w:t>
      </w:r>
    </w:p>
    <w:p w14:paraId="5C17968A" w14:textId="77777777" w:rsidR="008F79B0" w:rsidRPr="00590835" w:rsidRDefault="008F79B0" w:rsidP="00626884">
      <w:pPr>
        <w:ind w:left="0" w:firstLine="0"/>
        <w:rPr>
          <w:rFonts w:asciiTheme="minorHAnsi" w:hAnsiTheme="minorHAnsi" w:cstheme="minorHAnsi"/>
          <w:b/>
          <w:lang w:val="fr-FR"/>
        </w:rPr>
      </w:pPr>
    </w:p>
    <w:p w14:paraId="44F0496D" w14:textId="1A1F1A5A" w:rsidR="00F1023D" w:rsidRPr="00590835" w:rsidRDefault="00215DAF" w:rsidP="00215DAF">
      <w:pPr>
        <w:rPr>
          <w:lang w:val="fr-FR" w:eastAsia="ja-JP"/>
        </w:rPr>
      </w:pPr>
      <w:r w:rsidRPr="00590835">
        <w:rPr>
          <w:rFonts w:cs="Calibri"/>
          <w:lang w:val="fr-FR" w:eastAsia="ja-JP"/>
        </w:rPr>
        <w:lastRenderedPageBreak/>
        <w:t>18.</w:t>
      </w:r>
      <w:r w:rsidRPr="00590835">
        <w:rPr>
          <w:rFonts w:cs="Calibri"/>
          <w:lang w:val="fr-FR" w:eastAsia="ja-JP"/>
        </w:rPr>
        <w:tab/>
      </w:r>
      <w:r w:rsidR="004F6363" w:rsidRPr="00590835">
        <w:rPr>
          <w:rFonts w:cs="Calibri"/>
          <w:lang w:val="fr-FR" w:eastAsia="ja-JP"/>
        </w:rPr>
        <w:t xml:space="preserve">Le paragraphe 13 de la Résolution XIII.9 donne instruction au Secrétariat d’ouvrir l’appel à propositions pour de nouvelles IRR </w:t>
      </w:r>
      <w:r w:rsidR="004F6363" w:rsidRPr="00590835">
        <w:rPr>
          <w:lang w:val="fr-FR" w:eastAsia="ja-JP"/>
        </w:rPr>
        <w:t xml:space="preserve">qui seront approuvées par la Conférence des Parties à </w:t>
      </w:r>
      <w:r w:rsidR="00100997" w:rsidRPr="00590835">
        <w:rPr>
          <w:lang w:val="fr-FR" w:eastAsia="ja-JP"/>
        </w:rPr>
        <w:t>sa 14</w:t>
      </w:r>
      <w:r w:rsidR="00100997" w:rsidRPr="00590835">
        <w:rPr>
          <w:vertAlign w:val="superscript"/>
          <w:lang w:val="fr-FR" w:eastAsia="ja-JP"/>
        </w:rPr>
        <w:t>e</w:t>
      </w:r>
      <w:r w:rsidR="00100997" w:rsidRPr="00590835">
        <w:rPr>
          <w:lang w:val="fr-FR" w:eastAsia="ja-JP"/>
        </w:rPr>
        <w:t xml:space="preserve"> Session</w:t>
      </w:r>
      <w:r w:rsidR="004F6363" w:rsidRPr="00590835">
        <w:rPr>
          <w:lang w:val="fr-FR" w:eastAsia="ja-JP"/>
        </w:rPr>
        <w:t xml:space="preserve"> ou par le Comité permanent lors de ses réunions précédant la COP14.</w:t>
      </w:r>
    </w:p>
    <w:p w14:paraId="4565B3B3" w14:textId="77777777" w:rsidR="00F1023D" w:rsidRPr="00590835" w:rsidRDefault="00F1023D" w:rsidP="00215DAF">
      <w:pPr>
        <w:rPr>
          <w:lang w:val="fr-FR" w:eastAsia="ja-JP"/>
        </w:rPr>
      </w:pPr>
    </w:p>
    <w:p w14:paraId="4EB93EF4" w14:textId="3EB1C151" w:rsidR="00F1023D" w:rsidRPr="00590835" w:rsidRDefault="00F1023D" w:rsidP="00F1023D">
      <w:pPr>
        <w:ind w:left="426" w:hanging="426"/>
        <w:rPr>
          <w:rFonts w:asciiTheme="minorHAnsi" w:hAnsiTheme="minorHAnsi" w:cstheme="minorHAnsi"/>
          <w:lang w:val="fr-CH"/>
        </w:rPr>
      </w:pPr>
      <w:r w:rsidRPr="00590835">
        <w:rPr>
          <w:rFonts w:asciiTheme="minorHAnsi" w:hAnsiTheme="minorHAnsi" w:cstheme="minorHAnsi"/>
          <w:lang w:val="fr-CH"/>
        </w:rPr>
        <w:t>19.</w:t>
      </w:r>
      <w:r w:rsidRPr="00590835">
        <w:rPr>
          <w:rFonts w:asciiTheme="minorHAnsi" w:hAnsiTheme="minorHAnsi" w:cstheme="minorHAnsi"/>
          <w:lang w:val="fr-CH"/>
        </w:rPr>
        <w:tab/>
      </w:r>
      <w:r w:rsidR="00F03F01" w:rsidRPr="00590835">
        <w:rPr>
          <w:rFonts w:asciiTheme="minorHAnsi" w:hAnsiTheme="minorHAnsi" w:cstheme="minorHAnsi"/>
          <w:lang w:val="fr-CH"/>
        </w:rPr>
        <w:t>La Décision</w:t>
      </w:r>
      <w:r w:rsidRPr="00590835">
        <w:rPr>
          <w:rFonts w:asciiTheme="minorHAnsi" w:hAnsiTheme="minorHAnsi" w:cstheme="minorHAnsi"/>
          <w:lang w:val="fr-CH"/>
        </w:rPr>
        <w:t xml:space="preserve"> SC58-23 </w:t>
      </w:r>
      <w:r w:rsidR="00F03F01" w:rsidRPr="00590835">
        <w:rPr>
          <w:rFonts w:asciiTheme="minorHAnsi" w:hAnsiTheme="minorHAnsi" w:cstheme="minorHAnsi"/>
          <w:lang w:val="fr-CH"/>
        </w:rPr>
        <w:t>de la 58</w:t>
      </w:r>
      <w:r w:rsidR="00F03F01" w:rsidRPr="00590835">
        <w:rPr>
          <w:rFonts w:asciiTheme="minorHAnsi" w:hAnsiTheme="minorHAnsi" w:cstheme="minorHAnsi"/>
          <w:vertAlign w:val="superscript"/>
          <w:lang w:val="fr-CH"/>
        </w:rPr>
        <w:t>e</w:t>
      </w:r>
      <w:r w:rsidR="00F03F01" w:rsidRPr="00590835">
        <w:rPr>
          <w:rFonts w:asciiTheme="minorHAnsi" w:hAnsiTheme="minorHAnsi" w:cstheme="minorHAnsi"/>
          <w:lang w:val="fr-CH"/>
        </w:rPr>
        <w:t> Réunion du Comité permanent donnait instruction au Secrétariat de lancer un appel à propositions pour de nouvelles Initiatives régionales Ramsar, pas plus tard que le 31 juillet 2020, conformément au paragraphe 13 de la Résolution </w:t>
      </w:r>
      <w:r w:rsidRPr="00590835">
        <w:rPr>
          <w:rFonts w:asciiTheme="minorHAnsi" w:hAnsiTheme="minorHAnsi" w:cstheme="minorHAnsi"/>
          <w:lang w:val="fr-CH"/>
        </w:rPr>
        <w:t>XIII.9</w:t>
      </w:r>
      <w:r w:rsidR="00F03F01" w:rsidRPr="00590835">
        <w:rPr>
          <w:rFonts w:asciiTheme="minorHAnsi" w:hAnsiTheme="minorHAnsi" w:cstheme="minorHAnsi"/>
          <w:lang w:val="fr-CH"/>
        </w:rPr>
        <w:t xml:space="preserve"> et demandait au Secrétariat de choisir une date butoir.</w:t>
      </w:r>
      <w:r w:rsidRPr="00590835">
        <w:rPr>
          <w:rFonts w:asciiTheme="minorHAnsi" w:hAnsiTheme="minorHAnsi" w:cstheme="minorHAnsi"/>
          <w:lang w:val="fr-CH"/>
        </w:rPr>
        <w:t xml:space="preserve"> </w:t>
      </w:r>
    </w:p>
    <w:p w14:paraId="33B101F0" w14:textId="77777777" w:rsidR="00F1023D" w:rsidRPr="00590835" w:rsidRDefault="00F1023D" w:rsidP="00F1023D">
      <w:pPr>
        <w:ind w:left="426" w:hanging="426"/>
        <w:rPr>
          <w:rFonts w:asciiTheme="minorHAnsi" w:hAnsiTheme="minorHAnsi" w:cstheme="minorHAnsi"/>
          <w:lang w:val="fr-CH"/>
        </w:rPr>
      </w:pPr>
    </w:p>
    <w:p w14:paraId="28A43239" w14:textId="3642A744" w:rsidR="00F1023D" w:rsidRPr="00590835" w:rsidRDefault="00F1023D" w:rsidP="00F1023D">
      <w:pPr>
        <w:ind w:left="426" w:hanging="426"/>
        <w:contextualSpacing/>
        <w:rPr>
          <w:rFonts w:asciiTheme="minorHAnsi" w:hAnsiTheme="minorHAnsi" w:cstheme="minorHAnsi"/>
          <w:lang w:val="fr-CH"/>
        </w:rPr>
      </w:pPr>
      <w:r w:rsidRPr="00590835">
        <w:rPr>
          <w:rFonts w:asciiTheme="minorHAnsi" w:hAnsiTheme="minorHAnsi" w:cstheme="minorHAnsi"/>
          <w:lang w:val="fr-CH"/>
        </w:rPr>
        <w:t>20.</w:t>
      </w:r>
      <w:r w:rsidRPr="00590835">
        <w:rPr>
          <w:rFonts w:asciiTheme="minorHAnsi" w:hAnsiTheme="minorHAnsi" w:cstheme="minorHAnsi"/>
          <w:lang w:val="fr-CH"/>
        </w:rPr>
        <w:tab/>
      </w:r>
      <w:r w:rsidR="00F03F01" w:rsidRPr="00590835">
        <w:rPr>
          <w:rFonts w:asciiTheme="minorHAnsi" w:hAnsiTheme="minorHAnsi" w:cstheme="minorHAnsi"/>
          <w:lang w:val="fr-CH"/>
        </w:rPr>
        <w:t xml:space="preserve">Le Secrétariat a envoyé une note diplomatique </w:t>
      </w:r>
      <w:r w:rsidRPr="00590835">
        <w:rPr>
          <w:rFonts w:asciiTheme="minorHAnsi" w:hAnsiTheme="minorHAnsi" w:cstheme="minorHAnsi"/>
          <w:lang w:val="fr-CH"/>
        </w:rPr>
        <w:t xml:space="preserve">(2020/8) </w:t>
      </w:r>
      <w:r w:rsidR="00F03F01" w:rsidRPr="00590835">
        <w:rPr>
          <w:rFonts w:asciiTheme="minorHAnsi" w:hAnsiTheme="minorHAnsi" w:cstheme="minorHAnsi"/>
          <w:lang w:val="fr-CH"/>
        </w:rPr>
        <w:t>invitant la soumission de propositions pour de nouvelles Initiatives régionales Ramsar 2021-2024, le 30 juillet 2020. Au délai fixé</w:t>
      </w:r>
      <w:r w:rsidR="00100997" w:rsidRPr="00590835">
        <w:rPr>
          <w:rFonts w:asciiTheme="minorHAnsi" w:hAnsiTheme="minorHAnsi" w:cstheme="minorHAnsi"/>
          <w:lang w:val="fr-CH"/>
        </w:rPr>
        <w:t>,</w:t>
      </w:r>
      <w:r w:rsidR="00F03F01" w:rsidRPr="00590835">
        <w:rPr>
          <w:rFonts w:asciiTheme="minorHAnsi" w:hAnsiTheme="minorHAnsi" w:cstheme="minorHAnsi"/>
          <w:lang w:val="fr-CH"/>
        </w:rPr>
        <w:t xml:space="preserve"> le 31 décembre 2020, le Secrétariat avait reçu deux propositions : 1) Initiative régionale Ramsar pour l’Afrique australe </w:t>
      </w:r>
      <w:r w:rsidRPr="00590835">
        <w:rPr>
          <w:rFonts w:asciiTheme="minorHAnsi" w:hAnsiTheme="minorHAnsi" w:cstheme="minorHAnsi"/>
          <w:lang w:val="fr-CH"/>
        </w:rPr>
        <w:t xml:space="preserve">(SARRI) </w:t>
      </w:r>
      <w:r w:rsidR="00F03F01" w:rsidRPr="00590835">
        <w:rPr>
          <w:rFonts w:asciiTheme="minorHAnsi" w:hAnsiTheme="minorHAnsi" w:cstheme="minorHAnsi"/>
          <w:lang w:val="fr-CH"/>
        </w:rPr>
        <w:t xml:space="preserve">et 2) Initiative pour la Guinée équatoriale. </w:t>
      </w:r>
    </w:p>
    <w:p w14:paraId="3E278CF9" w14:textId="77777777" w:rsidR="00F1023D" w:rsidRPr="00590835" w:rsidRDefault="00F1023D" w:rsidP="00F1023D">
      <w:pPr>
        <w:pStyle w:val="ListParagraph"/>
        <w:ind w:left="426" w:hanging="426"/>
        <w:rPr>
          <w:rFonts w:asciiTheme="minorHAnsi" w:eastAsiaTheme="minorHAnsi" w:hAnsiTheme="minorHAnsi" w:cstheme="minorHAnsi"/>
          <w:lang w:val="fr-CH"/>
        </w:rPr>
      </w:pPr>
    </w:p>
    <w:p w14:paraId="0E580540" w14:textId="303092DC" w:rsidR="00F1023D" w:rsidRPr="00590835" w:rsidRDefault="00F1023D" w:rsidP="00F1023D">
      <w:pPr>
        <w:ind w:left="426" w:hanging="426"/>
        <w:contextualSpacing/>
        <w:rPr>
          <w:rFonts w:asciiTheme="minorHAnsi" w:hAnsiTheme="minorHAnsi" w:cstheme="minorHAnsi"/>
          <w:lang w:val="fr-CH"/>
        </w:rPr>
      </w:pPr>
      <w:r w:rsidRPr="00590835">
        <w:rPr>
          <w:rFonts w:asciiTheme="minorHAnsi" w:hAnsiTheme="minorHAnsi" w:cstheme="minorHAnsi"/>
          <w:lang w:val="fr-CH"/>
        </w:rPr>
        <w:t>21.</w:t>
      </w:r>
      <w:r w:rsidRPr="00590835">
        <w:rPr>
          <w:rFonts w:asciiTheme="minorHAnsi" w:hAnsiTheme="minorHAnsi" w:cstheme="minorHAnsi"/>
          <w:lang w:val="fr-CH"/>
        </w:rPr>
        <w:tab/>
      </w:r>
      <w:r w:rsidR="00F03F01" w:rsidRPr="00590835">
        <w:rPr>
          <w:rFonts w:asciiTheme="minorHAnsi" w:eastAsiaTheme="minorHAnsi" w:hAnsiTheme="minorHAnsi" w:cstheme="minorHAnsi"/>
          <w:lang w:val="fr-CH"/>
        </w:rPr>
        <w:t xml:space="preserve">Les deux propositions ont été évaluées par le Secrétariat avec les critères figurant dans les Directives opérationnelles pour les Initiatives régionales Ramsar </w:t>
      </w:r>
      <w:r w:rsidRPr="00590835">
        <w:rPr>
          <w:rFonts w:asciiTheme="minorHAnsi" w:hAnsiTheme="minorHAnsi" w:cstheme="minorHAnsi"/>
          <w:lang w:val="fr-CH"/>
        </w:rPr>
        <w:t xml:space="preserve">2013-2015 </w:t>
      </w:r>
      <w:r w:rsidR="00F03F01" w:rsidRPr="00590835">
        <w:rPr>
          <w:rFonts w:asciiTheme="minorHAnsi" w:hAnsiTheme="minorHAnsi" w:cstheme="minorHAnsi"/>
          <w:lang w:val="fr-CH"/>
        </w:rPr>
        <w:t>et la</w:t>
      </w:r>
      <w:r w:rsidRPr="00590835">
        <w:rPr>
          <w:rFonts w:asciiTheme="minorHAnsi" w:hAnsiTheme="minorHAnsi" w:cstheme="minorHAnsi"/>
          <w:lang w:val="fr-CH"/>
        </w:rPr>
        <w:t xml:space="preserve"> </w:t>
      </w:r>
      <w:hyperlink r:id="rId10" w:history="1">
        <w:r w:rsidRPr="004E0A84">
          <w:rPr>
            <w:rFonts w:asciiTheme="minorHAnsi" w:hAnsiTheme="minorHAnsi" w:cstheme="minorHAnsi"/>
            <w:color w:val="0000FF" w:themeColor="hyperlink"/>
            <w:u w:val="single"/>
            <w:lang w:val="fr-CH"/>
          </w:rPr>
          <w:t>R</w:t>
        </w:r>
        <w:r w:rsidR="00F03F01" w:rsidRPr="004E0A84">
          <w:rPr>
            <w:rFonts w:asciiTheme="minorHAnsi" w:hAnsiTheme="minorHAnsi" w:cstheme="minorHAnsi"/>
            <w:color w:val="0000FF" w:themeColor="hyperlink"/>
            <w:u w:val="single"/>
            <w:lang w:val="fr-CH"/>
          </w:rPr>
          <w:t>é</w:t>
        </w:r>
        <w:r w:rsidRPr="004E0A84">
          <w:rPr>
            <w:rFonts w:asciiTheme="minorHAnsi" w:hAnsiTheme="minorHAnsi" w:cstheme="minorHAnsi"/>
            <w:color w:val="0000FF" w:themeColor="hyperlink"/>
            <w:u w:val="single"/>
            <w:lang w:val="fr-CH"/>
          </w:rPr>
          <w:t>solution</w:t>
        </w:r>
        <w:r w:rsidR="00F03F01" w:rsidRPr="004E0A84">
          <w:rPr>
            <w:rFonts w:asciiTheme="minorHAnsi" w:hAnsiTheme="minorHAnsi" w:cstheme="minorHAnsi"/>
            <w:color w:val="0000FF" w:themeColor="hyperlink"/>
            <w:u w:val="single"/>
            <w:lang w:val="fr-CH"/>
          </w:rPr>
          <w:t> </w:t>
        </w:r>
        <w:r w:rsidRPr="004E0A84">
          <w:rPr>
            <w:rFonts w:asciiTheme="minorHAnsi" w:hAnsiTheme="minorHAnsi" w:cstheme="minorHAnsi"/>
            <w:color w:val="0000FF" w:themeColor="hyperlink"/>
            <w:u w:val="single"/>
            <w:lang w:val="fr-CH"/>
          </w:rPr>
          <w:t>XIII.9</w:t>
        </w:r>
      </w:hyperlink>
      <w:r w:rsidR="00F03F01" w:rsidRPr="004E0A84">
        <w:rPr>
          <w:rFonts w:asciiTheme="minorHAnsi" w:hAnsiTheme="minorHAnsi" w:cstheme="minorHAnsi"/>
          <w:lang w:val="fr-CH"/>
        </w:rPr>
        <w:t xml:space="preserve">. </w:t>
      </w:r>
      <w:r w:rsidR="00F03F01" w:rsidRPr="00590835">
        <w:rPr>
          <w:rFonts w:asciiTheme="minorHAnsi" w:hAnsiTheme="minorHAnsi" w:cstheme="minorHAnsi"/>
          <w:lang w:val="fr-CH"/>
        </w:rPr>
        <w:t xml:space="preserve">D’après l’évaluation, seule l’Initiative régionale Ramsar pour l’Afrique australe satisfait aux obligations décrites dans les Directives opérationnelles pour les Initiatives régionales Ramsar </w:t>
      </w:r>
      <w:r w:rsidRPr="00590835">
        <w:rPr>
          <w:rFonts w:asciiTheme="minorHAnsi" w:eastAsiaTheme="minorHAnsi" w:hAnsiTheme="minorHAnsi" w:cstheme="minorHAnsi"/>
          <w:lang w:val="fr-CH"/>
        </w:rPr>
        <w:t xml:space="preserve">2013-2015 </w:t>
      </w:r>
      <w:r w:rsidR="00F03F01" w:rsidRPr="00590835">
        <w:rPr>
          <w:rFonts w:asciiTheme="minorHAnsi" w:eastAsiaTheme="minorHAnsi" w:hAnsiTheme="minorHAnsi" w:cstheme="minorHAnsi"/>
          <w:lang w:val="fr-CH"/>
        </w:rPr>
        <w:t xml:space="preserve">dans le cadre de la Convention sur les zones humides. L’Annexe 2 contient un résumé de l’évaluation des deux propositions. </w:t>
      </w:r>
    </w:p>
    <w:p w14:paraId="61CE2517" w14:textId="77777777" w:rsidR="00F1023D" w:rsidRPr="00590835" w:rsidRDefault="00F1023D" w:rsidP="00F1023D">
      <w:pPr>
        <w:ind w:left="426" w:hanging="426"/>
        <w:contextualSpacing/>
        <w:rPr>
          <w:rFonts w:asciiTheme="minorHAnsi" w:eastAsiaTheme="minorHAnsi" w:hAnsiTheme="minorHAnsi" w:cstheme="minorHAnsi"/>
          <w:lang w:val="fr-CH"/>
        </w:rPr>
      </w:pPr>
    </w:p>
    <w:p w14:paraId="3C71D014" w14:textId="39F0FAEF" w:rsidR="00F1023D" w:rsidRPr="00590835" w:rsidRDefault="00F1023D" w:rsidP="00F1023D">
      <w:pPr>
        <w:ind w:left="426" w:hanging="426"/>
        <w:contextualSpacing/>
        <w:rPr>
          <w:rFonts w:asciiTheme="minorHAnsi" w:eastAsiaTheme="minorHAnsi" w:hAnsiTheme="minorHAnsi" w:cstheme="minorHAnsi"/>
          <w:lang w:val="fr-CH"/>
        </w:rPr>
      </w:pPr>
      <w:r w:rsidRPr="00590835">
        <w:rPr>
          <w:rFonts w:asciiTheme="minorHAnsi" w:hAnsiTheme="minorHAnsi" w:cstheme="minorHAnsi"/>
          <w:lang w:val="fr-CH"/>
        </w:rPr>
        <w:t>22.</w:t>
      </w:r>
      <w:r w:rsidRPr="00590835">
        <w:rPr>
          <w:rFonts w:asciiTheme="minorHAnsi" w:hAnsiTheme="minorHAnsi" w:cstheme="minorHAnsi"/>
          <w:lang w:val="fr-CH"/>
        </w:rPr>
        <w:tab/>
      </w:r>
      <w:r w:rsidR="00F03F01" w:rsidRPr="00590835">
        <w:rPr>
          <w:rFonts w:asciiTheme="minorHAnsi" w:hAnsiTheme="minorHAnsi" w:cstheme="minorHAnsi"/>
          <w:lang w:val="fr-CH"/>
        </w:rPr>
        <w:t>Le Secrétariat demande au Comité permanent, à sa 59</w:t>
      </w:r>
      <w:r w:rsidR="00F03F01" w:rsidRPr="00590835">
        <w:rPr>
          <w:rFonts w:asciiTheme="minorHAnsi" w:hAnsiTheme="minorHAnsi" w:cstheme="minorHAnsi"/>
          <w:vertAlign w:val="superscript"/>
          <w:lang w:val="fr-CH"/>
        </w:rPr>
        <w:t>e</w:t>
      </w:r>
      <w:r w:rsidR="00F03F01" w:rsidRPr="00590835">
        <w:rPr>
          <w:rFonts w:asciiTheme="minorHAnsi" w:hAnsiTheme="minorHAnsi" w:cstheme="minorHAnsi"/>
          <w:lang w:val="fr-CH"/>
        </w:rPr>
        <w:t xml:space="preserve"> Réunion, d’examiner l’Initiative régionale Ramsar pour l’Afrique australe en vue de </w:t>
      </w:r>
      <w:r w:rsidR="00100997" w:rsidRPr="00590835">
        <w:rPr>
          <w:rFonts w:asciiTheme="minorHAnsi" w:hAnsiTheme="minorHAnsi" w:cstheme="minorHAnsi"/>
          <w:lang w:val="fr-CH"/>
        </w:rPr>
        <w:t>l’approuver</w:t>
      </w:r>
      <w:r w:rsidR="00F03F01" w:rsidRPr="00590835">
        <w:rPr>
          <w:rFonts w:asciiTheme="minorHAnsi" w:hAnsiTheme="minorHAnsi" w:cstheme="minorHAnsi"/>
          <w:lang w:val="fr-CH"/>
        </w:rPr>
        <w:t xml:space="preserve"> comme fonctionnant dans le cadre de la Convention.</w:t>
      </w:r>
    </w:p>
    <w:p w14:paraId="7548583E" w14:textId="77777777" w:rsidR="00F1023D" w:rsidRPr="00590835" w:rsidRDefault="00F1023D" w:rsidP="00F1023D">
      <w:pPr>
        <w:ind w:left="720" w:firstLine="0"/>
        <w:contextualSpacing/>
        <w:rPr>
          <w:rFonts w:asciiTheme="minorHAnsi" w:eastAsiaTheme="minorHAnsi" w:hAnsiTheme="minorHAnsi" w:cstheme="minorHAnsi"/>
          <w:lang w:val="fr-CH"/>
        </w:rPr>
      </w:pPr>
    </w:p>
    <w:p w14:paraId="736E3F93" w14:textId="2A4AA7A4" w:rsidR="00F1023D" w:rsidRPr="00590835" w:rsidRDefault="00F03F01" w:rsidP="00F1023D">
      <w:pPr>
        <w:tabs>
          <w:tab w:val="left" w:pos="0"/>
        </w:tabs>
        <w:ind w:left="0" w:firstLine="0"/>
        <w:rPr>
          <w:rFonts w:asciiTheme="minorHAnsi" w:hAnsiTheme="minorHAnsi" w:cstheme="minorHAnsi"/>
          <w:b/>
          <w:lang w:val="fr-CH"/>
        </w:rPr>
      </w:pPr>
      <w:r w:rsidRPr="00590835">
        <w:rPr>
          <w:rFonts w:asciiTheme="minorHAnsi" w:hAnsiTheme="minorHAnsi" w:cstheme="minorHAnsi"/>
          <w:b/>
          <w:lang w:val="fr-CH"/>
        </w:rPr>
        <w:t xml:space="preserve">Évaluation résumée des </w:t>
      </w:r>
      <w:r w:rsidR="00100997" w:rsidRPr="00590835">
        <w:rPr>
          <w:rFonts w:asciiTheme="minorHAnsi" w:hAnsiTheme="minorHAnsi" w:cstheme="minorHAnsi"/>
          <w:b/>
          <w:lang w:val="fr-CH"/>
        </w:rPr>
        <w:t>activités</w:t>
      </w:r>
      <w:r w:rsidRPr="00590835">
        <w:rPr>
          <w:rFonts w:asciiTheme="minorHAnsi" w:hAnsiTheme="minorHAnsi" w:cstheme="minorHAnsi"/>
          <w:b/>
          <w:lang w:val="fr-CH"/>
        </w:rPr>
        <w:t xml:space="preserve"> et réalisations des IRR fonctionnant dans la période 2019</w:t>
      </w:r>
      <w:r w:rsidRPr="00590835">
        <w:rPr>
          <w:rFonts w:asciiTheme="minorHAnsi" w:hAnsiTheme="minorHAnsi" w:cstheme="minorHAnsi"/>
          <w:b/>
          <w:lang w:val="fr-CH"/>
        </w:rPr>
        <w:noBreakHyphen/>
      </w:r>
      <w:r w:rsidR="00F1023D" w:rsidRPr="00590835">
        <w:rPr>
          <w:rFonts w:asciiTheme="minorHAnsi" w:hAnsiTheme="minorHAnsi" w:cstheme="minorHAnsi"/>
          <w:b/>
          <w:lang w:val="fr-CH"/>
        </w:rPr>
        <w:t xml:space="preserve">2021 </w:t>
      </w:r>
    </w:p>
    <w:p w14:paraId="6789F0BF" w14:textId="77777777" w:rsidR="00F1023D" w:rsidRPr="00590835" w:rsidRDefault="00F1023D" w:rsidP="00F1023D">
      <w:pPr>
        <w:ind w:left="426" w:hanging="426"/>
        <w:rPr>
          <w:rFonts w:asciiTheme="minorHAnsi" w:hAnsiTheme="minorHAnsi" w:cstheme="minorHAnsi"/>
          <w:lang w:val="fr-CH"/>
        </w:rPr>
      </w:pPr>
    </w:p>
    <w:p w14:paraId="31E5C374" w14:textId="2B953AF5" w:rsidR="00F1023D" w:rsidRPr="00590835" w:rsidRDefault="00F1023D" w:rsidP="00F1023D">
      <w:pPr>
        <w:ind w:left="426" w:hanging="426"/>
        <w:contextualSpacing/>
        <w:rPr>
          <w:rFonts w:asciiTheme="minorHAnsi" w:hAnsiTheme="minorHAnsi" w:cstheme="minorHAnsi"/>
          <w:lang w:val="fr-CH"/>
        </w:rPr>
      </w:pPr>
      <w:r w:rsidRPr="00590835">
        <w:rPr>
          <w:rFonts w:asciiTheme="minorHAnsi" w:hAnsiTheme="minorHAnsi" w:cstheme="minorHAnsi"/>
          <w:lang w:val="fr-CH"/>
        </w:rPr>
        <w:t>23.</w:t>
      </w:r>
      <w:r w:rsidRPr="00590835">
        <w:rPr>
          <w:rFonts w:asciiTheme="minorHAnsi" w:hAnsiTheme="minorHAnsi" w:cstheme="minorHAnsi"/>
          <w:lang w:val="fr-CH"/>
        </w:rPr>
        <w:tab/>
      </w:r>
      <w:r w:rsidR="00F03F01" w:rsidRPr="00590835">
        <w:rPr>
          <w:rFonts w:asciiTheme="minorHAnsi" w:hAnsiTheme="minorHAnsi" w:cstheme="minorHAnsi"/>
          <w:lang w:val="fr-CH"/>
        </w:rPr>
        <w:t>Le paragraphe 28 de la Résolution </w:t>
      </w:r>
      <w:r w:rsidRPr="00590835">
        <w:rPr>
          <w:rFonts w:asciiTheme="minorHAnsi" w:hAnsiTheme="minorHAnsi" w:cstheme="minorHAnsi"/>
          <w:lang w:val="fr-CH"/>
        </w:rPr>
        <w:t>XIII.9</w:t>
      </w:r>
      <w:r w:rsidR="00F03F01" w:rsidRPr="00590835">
        <w:rPr>
          <w:rFonts w:asciiTheme="minorHAnsi" w:hAnsiTheme="minorHAnsi" w:cstheme="minorHAnsi"/>
          <w:lang w:val="fr-CH"/>
        </w:rPr>
        <w:t xml:space="preserve"> donne instruction au Secrétariat de préparer une évaluation résumée des IRR fonctionnant dans la période </w:t>
      </w:r>
      <w:r w:rsidRPr="00590835">
        <w:rPr>
          <w:rFonts w:asciiTheme="minorHAnsi" w:hAnsiTheme="minorHAnsi" w:cstheme="minorHAnsi"/>
          <w:lang w:val="fr-CH"/>
        </w:rPr>
        <w:t xml:space="preserve">2019-2021 </w:t>
      </w:r>
      <w:r w:rsidR="000A2600" w:rsidRPr="00590835">
        <w:rPr>
          <w:rFonts w:asciiTheme="minorHAnsi" w:hAnsiTheme="minorHAnsi" w:cstheme="minorHAnsi"/>
          <w:lang w:val="fr-CH"/>
        </w:rPr>
        <w:t>pour examen par le Comité permanent et communication à la COP14. Dans l’Annexe 3 figure le résumé préparé par le Secrétariat selon les principes pour les IRR décrits dans le paragraphe 8 de la Résolution </w:t>
      </w:r>
      <w:r w:rsidRPr="00590835">
        <w:rPr>
          <w:rFonts w:asciiTheme="minorHAnsi" w:hAnsiTheme="minorHAnsi" w:cstheme="minorHAnsi"/>
          <w:lang w:val="fr-CH"/>
        </w:rPr>
        <w:t xml:space="preserve">XIII.9 </w:t>
      </w:r>
      <w:r w:rsidR="000A2600" w:rsidRPr="00590835">
        <w:rPr>
          <w:rFonts w:asciiTheme="minorHAnsi" w:hAnsiTheme="minorHAnsi" w:cstheme="minorHAnsi"/>
          <w:lang w:val="fr-CH"/>
        </w:rPr>
        <w:t>et l’évaluation préparée par le consultant sur la base du projet de nouvelles Directives opérationnelles pour les IRR. Le rapport du consultant peut être consulté</w:t>
      </w:r>
      <w:r w:rsidR="0097575D">
        <w:rPr>
          <w:rFonts w:asciiTheme="minorHAnsi" w:hAnsiTheme="minorHAnsi" w:cstheme="minorHAnsi"/>
          <w:lang w:val="fr-CH"/>
        </w:rPr>
        <w:t xml:space="preserve"> ici</w:t>
      </w:r>
      <w:r w:rsidR="000A2600" w:rsidRPr="00590835">
        <w:rPr>
          <w:rFonts w:asciiTheme="minorHAnsi" w:hAnsiTheme="minorHAnsi" w:cstheme="minorHAnsi"/>
          <w:lang w:val="fr-CH"/>
        </w:rPr>
        <w:t> :</w:t>
      </w:r>
      <w:r w:rsidRPr="00590835">
        <w:rPr>
          <w:rFonts w:asciiTheme="minorHAnsi" w:hAnsiTheme="minorHAnsi" w:cstheme="minorHAnsi"/>
          <w:lang w:val="fr-CH"/>
        </w:rPr>
        <w:t xml:space="preserve"> </w:t>
      </w:r>
      <w:hyperlink r:id="rId11" w:history="1">
        <w:r w:rsidR="0097575D" w:rsidRPr="0097575D">
          <w:rPr>
            <w:rStyle w:val="Hyperlink"/>
            <w:rFonts w:asciiTheme="minorHAnsi" w:hAnsiTheme="minorHAnsi" w:cstheme="minorHAnsi"/>
            <w:lang w:val="fr-FR"/>
          </w:rPr>
          <w:t>https://www.ramsar.org/document/consultants-ramsar-regional-initiatives-rris-assessment-2016-2019</w:t>
        </w:r>
      </w:hyperlink>
      <w:r w:rsidRPr="0097575D">
        <w:rPr>
          <w:rFonts w:asciiTheme="minorHAnsi" w:hAnsiTheme="minorHAnsi" w:cstheme="minorHAnsi"/>
          <w:lang w:val="fr-CH"/>
        </w:rPr>
        <w:t>.</w:t>
      </w:r>
    </w:p>
    <w:p w14:paraId="5687FA7A" w14:textId="77777777" w:rsidR="00F1023D" w:rsidRPr="00590835" w:rsidRDefault="00F1023D" w:rsidP="00F1023D">
      <w:pPr>
        <w:ind w:left="426" w:hanging="426"/>
        <w:rPr>
          <w:rFonts w:asciiTheme="minorHAnsi" w:hAnsiTheme="minorHAnsi" w:cstheme="minorHAnsi"/>
          <w:lang w:val="fr-CH"/>
        </w:rPr>
      </w:pPr>
    </w:p>
    <w:p w14:paraId="39A10325" w14:textId="7E8067BF" w:rsidR="00F1023D" w:rsidRPr="00590835" w:rsidRDefault="000A2600" w:rsidP="00F1023D">
      <w:pPr>
        <w:ind w:left="426" w:hanging="426"/>
        <w:contextualSpacing/>
        <w:rPr>
          <w:rFonts w:asciiTheme="minorHAnsi" w:hAnsiTheme="minorHAnsi" w:cstheme="minorHAnsi"/>
          <w:lang w:val="fr-CH"/>
        </w:rPr>
      </w:pPr>
      <w:r w:rsidRPr="00590835">
        <w:rPr>
          <w:rFonts w:asciiTheme="minorHAnsi" w:hAnsiTheme="minorHAnsi" w:cstheme="minorHAnsi"/>
          <w:lang w:val="fr-CH"/>
        </w:rPr>
        <w:t>24.</w:t>
      </w:r>
      <w:r w:rsidRPr="00590835">
        <w:rPr>
          <w:rFonts w:asciiTheme="minorHAnsi" w:hAnsiTheme="minorHAnsi" w:cstheme="minorHAnsi"/>
          <w:lang w:val="fr-CH"/>
        </w:rPr>
        <w:tab/>
        <w:t>D’après ce qui précède, le</w:t>
      </w:r>
      <w:r w:rsidR="00590835" w:rsidRPr="00590835">
        <w:rPr>
          <w:rFonts w:asciiTheme="minorHAnsi" w:hAnsiTheme="minorHAnsi" w:cstheme="minorHAnsi"/>
          <w:lang w:val="fr-CH"/>
        </w:rPr>
        <w:t>s</w:t>
      </w:r>
      <w:r w:rsidRPr="00590835">
        <w:rPr>
          <w:rFonts w:asciiTheme="minorHAnsi" w:hAnsiTheme="minorHAnsi" w:cstheme="minorHAnsi"/>
          <w:lang w:val="fr-CH"/>
        </w:rPr>
        <w:t xml:space="preserve"> 19 I</w:t>
      </w:r>
      <w:r w:rsidR="00590835" w:rsidRPr="00590835">
        <w:rPr>
          <w:rFonts w:asciiTheme="minorHAnsi" w:hAnsiTheme="minorHAnsi" w:cstheme="minorHAnsi"/>
          <w:lang w:val="fr-CH"/>
        </w:rPr>
        <w:t>RR</w:t>
      </w:r>
      <w:r w:rsidRPr="00590835">
        <w:rPr>
          <w:rFonts w:asciiTheme="minorHAnsi" w:hAnsiTheme="minorHAnsi" w:cstheme="minorHAnsi"/>
          <w:lang w:val="fr-CH"/>
        </w:rPr>
        <w:t xml:space="preserve"> en cours respectent globalement les sept principes adoptés à la </w:t>
      </w:r>
      <w:r w:rsidR="00F1023D" w:rsidRPr="00590835">
        <w:rPr>
          <w:rFonts w:asciiTheme="minorHAnsi" w:hAnsiTheme="minorHAnsi" w:cstheme="minorHAnsi"/>
          <w:lang w:val="fr-CH"/>
        </w:rPr>
        <w:t xml:space="preserve">COP13. </w:t>
      </w:r>
      <w:r w:rsidRPr="00590835">
        <w:rPr>
          <w:rFonts w:asciiTheme="minorHAnsi" w:hAnsiTheme="minorHAnsi" w:cstheme="minorHAnsi"/>
          <w:lang w:val="fr-CH"/>
        </w:rPr>
        <w:t xml:space="preserve">Concernant l’élaboration de cahiers des charges </w:t>
      </w:r>
      <w:r w:rsidR="00100997" w:rsidRPr="00590835">
        <w:rPr>
          <w:rFonts w:asciiTheme="minorHAnsi" w:hAnsiTheme="minorHAnsi" w:cstheme="minorHAnsi"/>
          <w:lang w:val="fr-CH"/>
        </w:rPr>
        <w:t>intégrant</w:t>
      </w:r>
      <w:r w:rsidRPr="00590835">
        <w:rPr>
          <w:rFonts w:asciiTheme="minorHAnsi" w:hAnsiTheme="minorHAnsi" w:cstheme="minorHAnsi"/>
          <w:lang w:val="fr-CH"/>
        </w:rPr>
        <w:t xml:space="preserve"> leurs propres règlements intérieurs, 17 IRR ont préparé des CdC spécifiques. Les 19 IRR ont établi des structures de gouvernance sous forme de comités de coordination, comités directeurs, conseils de direction ou conseils de gestion qui se réunissent une fois tous les 12 à 18 mois. Les membres se composent essentiellement de Correspondants nationaux des pays participants. Le Secrétariat de la Convention apporte son appui à l’application des IRR et fait office de membre ou d’observateur auprès de leurs structures de gouvernance.</w:t>
      </w:r>
      <w:r w:rsidR="00F1023D" w:rsidRPr="00590835">
        <w:rPr>
          <w:rFonts w:asciiTheme="minorHAnsi" w:hAnsiTheme="minorHAnsi" w:cstheme="minorHAnsi"/>
          <w:lang w:val="fr-CH"/>
        </w:rPr>
        <w:t xml:space="preserve"> </w:t>
      </w:r>
    </w:p>
    <w:p w14:paraId="710280B3" w14:textId="77777777" w:rsidR="00F1023D" w:rsidRPr="00590835" w:rsidRDefault="00F1023D" w:rsidP="00F1023D">
      <w:pPr>
        <w:ind w:left="426" w:hanging="426"/>
        <w:rPr>
          <w:rFonts w:asciiTheme="minorHAnsi" w:hAnsiTheme="minorHAnsi" w:cstheme="minorHAnsi"/>
          <w:lang w:val="fr-CH"/>
        </w:rPr>
      </w:pPr>
    </w:p>
    <w:p w14:paraId="08104034" w14:textId="4116F705" w:rsidR="00F1023D" w:rsidRPr="00590835" w:rsidRDefault="00F1023D" w:rsidP="00F1023D">
      <w:pPr>
        <w:ind w:left="426" w:hanging="426"/>
        <w:contextualSpacing/>
        <w:rPr>
          <w:rFonts w:asciiTheme="minorHAnsi" w:hAnsiTheme="minorHAnsi" w:cstheme="minorHAnsi"/>
          <w:lang w:val="fr-CH"/>
        </w:rPr>
      </w:pPr>
      <w:r w:rsidRPr="00590835">
        <w:rPr>
          <w:rFonts w:asciiTheme="minorHAnsi" w:hAnsiTheme="minorHAnsi" w:cstheme="minorHAnsi"/>
          <w:lang w:val="fr-CH"/>
        </w:rPr>
        <w:t>25.</w:t>
      </w:r>
      <w:r w:rsidRPr="00590835">
        <w:rPr>
          <w:rFonts w:asciiTheme="minorHAnsi" w:hAnsiTheme="minorHAnsi" w:cstheme="minorHAnsi"/>
          <w:lang w:val="fr-CH"/>
        </w:rPr>
        <w:tab/>
      </w:r>
      <w:r w:rsidR="000A2600" w:rsidRPr="00590835">
        <w:rPr>
          <w:rFonts w:asciiTheme="minorHAnsi" w:hAnsiTheme="minorHAnsi" w:cstheme="minorHAnsi"/>
          <w:lang w:val="fr-CH"/>
        </w:rPr>
        <w:t xml:space="preserve">Conformément au paragraphe 25 </w:t>
      </w:r>
      <w:r w:rsidR="00E06CCE" w:rsidRPr="00590835">
        <w:rPr>
          <w:rFonts w:asciiTheme="minorHAnsi" w:hAnsiTheme="minorHAnsi" w:cstheme="minorHAnsi"/>
          <w:lang w:val="fr-CH"/>
        </w:rPr>
        <w:t>de la Résolution </w:t>
      </w:r>
      <w:r w:rsidRPr="00590835">
        <w:rPr>
          <w:rFonts w:asciiTheme="minorHAnsi" w:hAnsiTheme="minorHAnsi" w:cstheme="minorHAnsi"/>
          <w:lang w:val="fr-CH"/>
        </w:rPr>
        <w:t xml:space="preserve">XIII.9 </w:t>
      </w:r>
      <w:r w:rsidR="00E06CCE" w:rsidRPr="00590835">
        <w:rPr>
          <w:rFonts w:asciiTheme="minorHAnsi" w:hAnsiTheme="minorHAnsi" w:cstheme="minorHAnsi"/>
          <w:lang w:val="fr-CH"/>
        </w:rPr>
        <w:t xml:space="preserve">qui encourage les Parties </w:t>
      </w:r>
      <w:r w:rsidR="00100997" w:rsidRPr="00590835">
        <w:rPr>
          <w:rFonts w:asciiTheme="minorHAnsi" w:hAnsiTheme="minorHAnsi" w:cstheme="minorHAnsi"/>
          <w:lang w:val="fr-CH"/>
        </w:rPr>
        <w:t>en proie à</w:t>
      </w:r>
      <w:r w:rsidR="00E06CCE" w:rsidRPr="00590835">
        <w:rPr>
          <w:rFonts w:asciiTheme="minorHAnsi" w:hAnsiTheme="minorHAnsi" w:cstheme="minorHAnsi"/>
          <w:lang w:val="fr-CH"/>
        </w:rPr>
        <w:t xml:space="preserve"> des difficultés </w:t>
      </w:r>
      <w:r w:rsidR="00100997" w:rsidRPr="00590835">
        <w:rPr>
          <w:rFonts w:asciiTheme="minorHAnsi" w:hAnsiTheme="minorHAnsi" w:cstheme="minorHAnsi"/>
          <w:lang w:val="fr-CH"/>
        </w:rPr>
        <w:t>à cause</w:t>
      </w:r>
      <w:r w:rsidR="00E06CCE" w:rsidRPr="00590835">
        <w:rPr>
          <w:rFonts w:asciiTheme="minorHAnsi" w:hAnsiTheme="minorHAnsi" w:cstheme="minorHAnsi"/>
          <w:lang w:val="fr-CH"/>
        </w:rPr>
        <w:t xml:space="preserve"> de ressources financières limitées à prendre les mesures nécessaires pour </w:t>
      </w:r>
      <w:r w:rsidR="00100997" w:rsidRPr="00590835">
        <w:rPr>
          <w:rFonts w:asciiTheme="minorHAnsi" w:hAnsiTheme="minorHAnsi" w:cstheme="minorHAnsi"/>
          <w:lang w:val="fr-CH"/>
        </w:rPr>
        <w:t>devenir financièrement viables</w:t>
      </w:r>
      <w:r w:rsidR="00E06CCE" w:rsidRPr="00590835">
        <w:rPr>
          <w:rFonts w:asciiTheme="minorHAnsi" w:hAnsiTheme="minorHAnsi" w:cstheme="minorHAnsi"/>
          <w:lang w:val="fr-CH"/>
        </w:rPr>
        <w:t xml:space="preserve">, huit IRR ont une stratégie de mobilisation des ressources et neuf IRR ont entrepris des activités d’appels de fonds. Le rapport d’évaluation du consultant a conclu que, dans la période </w:t>
      </w:r>
      <w:r w:rsidRPr="00590835">
        <w:rPr>
          <w:rFonts w:asciiTheme="minorHAnsi" w:hAnsiTheme="minorHAnsi" w:cstheme="minorHAnsi"/>
          <w:lang w:val="fr-CH"/>
        </w:rPr>
        <w:t>2016-2019</w:t>
      </w:r>
      <w:r w:rsidR="00E06CCE" w:rsidRPr="00590835">
        <w:rPr>
          <w:rFonts w:asciiTheme="minorHAnsi" w:hAnsiTheme="minorHAnsi" w:cstheme="minorHAnsi"/>
          <w:lang w:val="fr-CH"/>
        </w:rPr>
        <w:t>, 11 IRR ont mobilisé des fonds pour un total de 9 406 </w:t>
      </w:r>
      <w:r w:rsidRPr="00590835">
        <w:rPr>
          <w:rFonts w:asciiTheme="minorHAnsi" w:hAnsiTheme="minorHAnsi" w:cstheme="minorHAnsi"/>
          <w:lang w:val="fr-CH"/>
        </w:rPr>
        <w:t>441</w:t>
      </w:r>
      <w:r w:rsidR="00E06CCE" w:rsidRPr="00590835">
        <w:rPr>
          <w:rFonts w:asciiTheme="minorHAnsi" w:hAnsiTheme="minorHAnsi" w:cstheme="minorHAnsi"/>
          <w:lang w:val="fr-CH"/>
        </w:rPr>
        <w:t> CHF</w:t>
      </w:r>
      <w:r w:rsidRPr="00590835">
        <w:rPr>
          <w:rFonts w:asciiTheme="minorHAnsi" w:hAnsiTheme="minorHAnsi" w:cstheme="minorHAnsi"/>
          <w:lang w:val="fr-CH"/>
        </w:rPr>
        <w:t>.</w:t>
      </w:r>
    </w:p>
    <w:p w14:paraId="727BB107" w14:textId="77777777" w:rsidR="00F1023D" w:rsidRPr="00590835" w:rsidRDefault="00F1023D" w:rsidP="00F1023D">
      <w:pPr>
        <w:ind w:left="426" w:hanging="426"/>
        <w:rPr>
          <w:rFonts w:asciiTheme="minorHAnsi" w:hAnsiTheme="minorHAnsi" w:cstheme="minorHAnsi"/>
          <w:lang w:val="fr-CH"/>
        </w:rPr>
      </w:pPr>
    </w:p>
    <w:p w14:paraId="0E4344D8" w14:textId="5930F4A0" w:rsidR="00F1023D" w:rsidRPr="00590835" w:rsidRDefault="00F1023D" w:rsidP="00F1023D">
      <w:pPr>
        <w:ind w:left="426" w:hanging="426"/>
        <w:contextualSpacing/>
        <w:rPr>
          <w:rFonts w:asciiTheme="minorHAnsi" w:hAnsiTheme="minorHAnsi" w:cstheme="minorHAnsi"/>
          <w:lang w:val="fr-CH"/>
        </w:rPr>
      </w:pPr>
      <w:r w:rsidRPr="00590835">
        <w:rPr>
          <w:rFonts w:asciiTheme="minorHAnsi" w:hAnsiTheme="minorHAnsi" w:cstheme="minorHAnsi"/>
          <w:lang w:val="fr-CH"/>
        </w:rPr>
        <w:t>26.</w:t>
      </w:r>
      <w:r w:rsidRPr="00590835">
        <w:rPr>
          <w:rFonts w:asciiTheme="minorHAnsi" w:hAnsiTheme="minorHAnsi" w:cstheme="minorHAnsi"/>
          <w:lang w:val="fr-CH"/>
        </w:rPr>
        <w:tab/>
      </w:r>
      <w:r w:rsidR="00E06CCE" w:rsidRPr="00590835">
        <w:rPr>
          <w:rFonts w:asciiTheme="minorHAnsi" w:hAnsiTheme="minorHAnsi" w:cstheme="minorHAnsi"/>
          <w:lang w:val="fr-CH"/>
        </w:rPr>
        <w:t xml:space="preserve">En ce qui concerne les Plans stratégiques et plans de travail, 17 IRR ont déclaré avoir des plans stratégiques ou plans de travail </w:t>
      </w:r>
      <w:r w:rsidR="00100997" w:rsidRPr="00590835">
        <w:rPr>
          <w:rFonts w:asciiTheme="minorHAnsi" w:hAnsiTheme="minorHAnsi" w:cstheme="minorHAnsi"/>
          <w:lang w:val="fr-CH"/>
        </w:rPr>
        <w:t>harmonisés avec</w:t>
      </w:r>
      <w:r w:rsidR="00E06CCE" w:rsidRPr="00590835">
        <w:rPr>
          <w:rFonts w:asciiTheme="minorHAnsi" w:hAnsiTheme="minorHAnsi" w:cstheme="minorHAnsi"/>
          <w:lang w:val="fr-CH"/>
        </w:rPr>
        <w:t xml:space="preserve"> l’un </w:t>
      </w:r>
      <w:r w:rsidR="00100997" w:rsidRPr="00590835">
        <w:rPr>
          <w:rFonts w:asciiTheme="minorHAnsi" w:hAnsiTheme="minorHAnsi" w:cstheme="minorHAnsi"/>
          <w:lang w:val="fr-CH"/>
        </w:rPr>
        <w:t>a</w:t>
      </w:r>
      <w:r w:rsidR="00E06CCE" w:rsidRPr="00590835">
        <w:rPr>
          <w:rFonts w:asciiTheme="minorHAnsi" w:hAnsiTheme="minorHAnsi" w:cstheme="minorHAnsi"/>
          <w:lang w:val="fr-CH"/>
        </w:rPr>
        <w:t xml:space="preserve">u moins des objectifs du Plan stratégique de la Convention </w:t>
      </w:r>
      <w:r w:rsidRPr="00590835">
        <w:rPr>
          <w:rFonts w:asciiTheme="minorHAnsi" w:hAnsiTheme="minorHAnsi" w:cstheme="minorHAnsi"/>
          <w:lang w:val="fr-CH"/>
        </w:rPr>
        <w:t xml:space="preserve">2016-2024. </w:t>
      </w:r>
      <w:r w:rsidR="00E06CCE" w:rsidRPr="00590835">
        <w:rPr>
          <w:rFonts w:asciiTheme="minorHAnsi" w:hAnsiTheme="minorHAnsi" w:cstheme="minorHAnsi"/>
          <w:lang w:val="fr-CH"/>
        </w:rPr>
        <w:t xml:space="preserve">Les activités principales entreprises comprennent : </w:t>
      </w:r>
      <w:r w:rsidR="00100997" w:rsidRPr="00590835">
        <w:rPr>
          <w:rFonts w:asciiTheme="minorHAnsi" w:hAnsiTheme="minorHAnsi" w:cstheme="minorHAnsi"/>
          <w:lang w:val="fr-CH"/>
        </w:rPr>
        <w:t>promouvoir</w:t>
      </w:r>
      <w:r w:rsidR="00E06CCE" w:rsidRPr="00590835">
        <w:rPr>
          <w:rFonts w:asciiTheme="minorHAnsi" w:hAnsiTheme="minorHAnsi" w:cstheme="minorHAnsi"/>
          <w:lang w:val="fr-CH"/>
        </w:rPr>
        <w:t xml:space="preserve"> l’adoption de politiques nationales pour les zones humides </w:t>
      </w:r>
      <w:r w:rsidRPr="00590835">
        <w:rPr>
          <w:rFonts w:asciiTheme="minorHAnsi" w:hAnsiTheme="minorHAnsi" w:cstheme="minorHAnsi"/>
          <w:lang w:val="fr-CH"/>
        </w:rPr>
        <w:t>(</w:t>
      </w:r>
      <w:r w:rsidR="00E06CCE" w:rsidRPr="00590835">
        <w:rPr>
          <w:rFonts w:asciiTheme="minorHAnsi" w:hAnsiTheme="minorHAnsi" w:cstheme="minorHAnsi"/>
          <w:lang w:val="fr-CH"/>
        </w:rPr>
        <w:t>But </w:t>
      </w:r>
      <w:r w:rsidRPr="00590835">
        <w:rPr>
          <w:rFonts w:asciiTheme="minorHAnsi" w:hAnsiTheme="minorHAnsi" w:cstheme="minorHAnsi"/>
          <w:lang w:val="fr-CH"/>
        </w:rPr>
        <w:t xml:space="preserve">3, </w:t>
      </w:r>
      <w:r w:rsidR="00E06CCE" w:rsidRPr="00590835">
        <w:rPr>
          <w:rFonts w:asciiTheme="minorHAnsi" w:hAnsiTheme="minorHAnsi" w:cstheme="minorHAnsi"/>
          <w:lang w:val="fr-CH"/>
        </w:rPr>
        <w:t>Objectif </w:t>
      </w:r>
      <w:r w:rsidRPr="00590835">
        <w:rPr>
          <w:rFonts w:asciiTheme="minorHAnsi" w:hAnsiTheme="minorHAnsi" w:cstheme="minorHAnsi"/>
          <w:lang w:val="fr-CH"/>
        </w:rPr>
        <w:t>9)</w:t>
      </w:r>
      <w:r w:rsidR="00E06CCE" w:rsidRPr="00590835">
        <w:rPr>
          <w:rFonts w:asciiTheme="minorHAnsi" w:hAnsiTheme="minorHAnsi" w:cstheme="minorHAnsi"/>
          <w:lang w:val="fr-CH"/>
        </w:rPr>
        <w:t> </w:t>
      </w:r>
      <w:r w:rsidRPr="00590835">
        <w:rPr>
          <w:rFonts w:asciiTheme="minorHAnsi" w:hAnsiTheme="minorHAnsi" w:cstheme="minorHAnsi"/>
          <w:lang w:val="fr-CH"/>
        </w:rPr>
        <w:t xml:space="preserve">; </w:t>
      </w:r>
      <w:r w:rsidR="00100997" w:rsidRPr="00590835">
        <w:rPr>
          <w:rFonts w:asciiTheme="minorHAnsi" w:hAnsiTheme="minorHAnsi" w:cstheme="minorHAnsi"/>
          <w:lang w:val="fr-CH"/>
        </w:rPr>
        <w:t>déployer des</w:t>
      </w:r>
      <w:r w:rsidR="000B0220" w:rsidRPr="00590835">
        <w:rPr>
          <w:rFonts w:asciiTheme="minorHAnsi" w:hAnsiTheme="minorHAnsi" w:cstheme="minorHAnsi"/>
          <w:lang w:val="fr-CH"/>
        </w:rPr>
        <w:t xml:space="preserve"> efforts pour soutenir les Parties contractantes en matière de gestion efficace et de conservation des zones humides </w:t>
      </w:r>
      <w:r w:rsidRPr="00590835">
        <w:rPr>
          <w:rFonts w:asciiTheme="minorHAnsi" w:hAnsiTheme="minorHAnsi" w:cstheme="minorHAnsi"/>
          <w:lang w:val="fr-CH"/>
        </w:rPr>
        <w:t>(</w:t>
      </w:r>
      <w:r w:rsidR="000B0220" w:rsidRPr="00590835">
        <w:rPr>
          <w:rFonts w:asciiTheme="minorHAnsi" w:hAnsiTheme="minorHAnsi" w:cstheme="minorHAnsi"/>
          <w:lang w:val="fr-CH"/>
        </w:rPr>
        <w:t>But </w:t>
      </w:r>
      <w:r w:rsidRPr="00590835">
        <w:rPr>
          <w:rFonts w:asciiTheme="minorHAnsi" w:hAnsiTheme="minorHAnsi" w:cstheme="minorHAnsi"/>
          <w:lang w:val="fr-CH"/>
        </w:rPr>
        <w:t xml:space="preserve">2, </w:t>
      </w:r>
      <w:r w:rsidR="000B0220" w:rsidRPr="00590835">
        <w:rPr>
          <w:rFonts w:asciiTheme="minorHAnsi" w:hAnsiTheme="minorHAnsi" w:cstheme="minorHAnsi"/>
          <w:lang w:val="fr-CH"/>
        </w:rPr>
        <w:t>Objectif </w:t>
      </w:r>
      <w:r w:rsidRPr="00590835">
        <w:rPr>
          <w:rFonts w:asciiTheme="minorHAnsi" w:hAnsiTheme="minorHAnsi" w:cstheme="minorHAnsi"/>
          <w:lang w:val="fr-CH"/>
        </w:rPr>
        <w:t>5)</w:t>
      </w:r>
      <w:r w:rsidR="000B0220" w:rsidRPr="00590835">
        <w:rPr>
          <w:rFonts w:asciiTheme="minorHAnsi" w:hAnsiTheme="minorHAnsi" w:cstheme="minorHAnsi"/>
          <w:lang w:val="fr-CH"/>
        </w:rPr>
        <w:t> </w:t>
      </w:r>
      <w:r w:rsidRPr="00590835">
        <w:rPr>
          <w:rFonts w:asciiTheme="minorHAnsi" w:hAnsiTheme="minorHAnsi" w:cstheme="minorHAnsi"/>
          <w:lang w:val="fr-CH"/>
        </w:rPr>
        <w:t xml:space="preserve">; </w:t>
      </w:r>
      <w:r w:rsidR="00100997" w:rsidRPr="00590835">
        <w:rPr>
          <w:rFonts w:asciiTheme="minorHAnsi" w:hAnsiTheme="minorHAnsi" w:cstheme="minorHAnsi"/>
          <w:lang w:val="fr-CH"/>
        </w:rPr>
        <w:t>promouvoir</w:t>
      </w:r>
      <w:r w:rsidR="000B0220" w:rsidRPr="00590835">
        <w:rPr>
          <w:rFonts w:asciiTheme="minorHAnsi" w:hAnsiTheme="minorHAnsi" w:cstheme="minorHAnsi"/>
          <w:lang w:val="fr-CH"/>
        </w:rPr>
        <w:t xml:space="preserve"> l’utilisation rationnelle des zones humides par la recherche et la gestion durable, y compris en appliquant les connaissances traditionnelles (But 3, Objectifs 9 et 10) ; et </w:t>
      </w:r>
      <w:r w:rsidR="00100997" w:rsidRPr="00590835">
        <w:rPr>
          <w:rFonts w:asciiTheme="minorHAnsi" w:hAnsiTheme="minorHAnsi" w:cstheme="minorHAnsi"/>
          <w:lang w:val="fr-CH"/>
        </w:rPr>
        <w:t xml:space="preserve">promouvoir </w:t>
      </w:r>
      <w:r w:rsidR="000B0220" w:rsidRPr="00590835">
        <w:rPr>
          <w:rFonts w:asciiTheme="minorHAnsi" w:hAnsiTheme="minorHAnsi" w:cstheme="minorHAnsi"/>
          <w:lang w:val="fr-CH"/>
        </w:rPr>
        <w:t xml:space="preserve">la coopération scientifique et technique, l’échange de connaissances et le renforcement des capacités </w:t>
      </w:r>
      <w:r w:rsidRPr="00590835">
        <w:rPr>
          <w:rFonts w:asciiTheme="minorHAnsi" w:hAnsiTheme="minorHAnsi" w:cstheme="minorHAnsi"/>
          <w:lang w:val="fr-CH"/>
        </w:rPr>
        <w:t>(</w:t>
      </w:r>
      <w:r w:rsidR="000B0220" w:rsidRPr="00590835">
        <w:rPr>
          <w:rFonts w:asciiTheme="minorHAnsi" w:hAnsiTheme="minorHAnsi" w:cstheme="minorHAnsi"/>
          <w:lang w:val="fr-CH"/>
        </w:rPr>
        <w:t>But </w:t>
      </w:r>
      <w:r w:rsidRPr="00590835">
        <w:rPr>
          <w:rFonts w:asciiTheme="minorHAnsi" w:hAnsiTheme="minorHAnsi" w:cstheme="minorHAnsi"/>
          <w:lang w:val="fr-CH"/>
        </w:rPr>
        <w:t xml:space="preserve">4, </w:t>
      </w:r>
      <w:r w:rsidR="000B0220" w:rsidRPr="00590835">
        <w:rPr>
          <w:rFonts w:asciiTheme="minorHAnsi" w:hAnsiTheme="minorHAnsi" w:cstheme="minorHAnsi"/>
          <w:lang w:val="fr-CH"/>
        </w:rPr>
        <w:t>Objectifs </w:t>
      </w:r>
      <w:r w:rsidRPr="00590835">
        <w:rPr>
          <w:rFonts w:asciiTheme="minorHAnsi" w:hAnsiTheme="minorHAnsi" w:cstheme="minorHAnsi"/>
          <w:lang w:val="fr-CH"/>
        </w:rPr>
        <w:t xml:space="preserve">14, 15, 16 </w:t>
      </w:r>
      <w:r w:rsidR="000B0220" w:rsidRPr="00590835">
        <w:rPr>
          <w:rFonts w:asciiTheme="minorHAnsi" w:hAnsiTheme="minorHAnsi" w:cstheme="minorHAnsi"/>
          <w:lang w:val="fr-CH"/>
        </w:rPr>
        <w:t>et </w:t>
      </w:r>
      <w:r w:rsidRPr="00590835">
        <w:rPr>
          <w:rFonts w:asciiTheme="minorHAnsi" w:hAnsiTheme="minorHAnsi" w:cstheme="minorHAnsi"/>
          <w:lang w:val="fr-CH"/>
        </w:rPr>
        <w:t>19).</w:t>
      </w:r>
    </w:p>
    <w:p w14:paraId="45B4CA24" w14:textId="77777777" w:rsidR="00F1023D" w:rsidRPr="00590835" w:rsidRDefault="00F1023D" w:rsidP="00F1023D">
      <w:pPr>
        <w:ind w:left="426" w:hanging="426"/>
        <w:rPr>
          <w:rFonts w:asciiTheme="minorHAnsi" w:hAnsiTheme="minorHAnsi" w:cstheme="minorHAnsi"/>
          <w:lang w:val="fr-CH"/>
        </w:rPr>
      </w:pPr>
    </w:p>
    <w:p w14:paraId="43BB9F58" w14:textId="712CFC3D" w:rsidR="00F1023D" w:rsidRPr="00590835" w:rsidRDefault="000B0220" w:rsidP="00F1023D">
      <w:pPr>
        <w:ind w:left="426" w:hanging="426"/>
        <w:contextualSpacing/>
        <w:rPr>
          <w:rFonts w:asciiTheme="minorHAnsi" w:hAnsiTheme="minorHAnsi" w:cstheme="minorHAnsi"/>
          <w:lang w:val="fr-CH"/>
        </w:rPr>
      </w:pPr>
      <w:r w:rsidRPr="00590835">
        <w:rPr>
          <w:rFonts w:asciiTheme="minorHAnsi" w:hAnsiTheme="minorHAnsi" w:cstheme="minorHAnsi"/>
          <w:lang w:val="fr-CH"/>
        </w:rPr>
        <w:t>27.</w:t>
      </w:r>
      <w:r w:rsidRPr="00590835">
        <w:rPr>
          <w:rFonts w:asciiTheme="minorHAnsi" w:hAnsiTheme="minorHAnsi" w:cstheme="minorHAnsi"/>
          <w:lang w:val="fr-CH"/>
        </w:rPr>
        <w:tab/>
        <w:t>Du point de vue des difficultés, le manque de financement et d’engagement des Parties contractantes dans les régions</w:t>
      </w:r>
      <w:r w:rsidR="00100997" w:rsidRPr="00590835">
        <w:rPr>
          <w:rFonts w:asciiTheme="minorHAnsi" w:hAnsiTheme="minorHAnsi" w:cstheme="minorHAnsi"/>
          <w:lang w:val="fr-CH"/>
        </w:rPr>
        <w:t xml:space="preserve"> respectives</w:t>
      </w:r>
      <w:r w:rsidRPr="00590835">
        <w:rPr>
          <w:rFonts w:asciiTheme="minorHAnsi" w:hAnsiTheme="minorHAnsi" w:cstheme="minorHAnsi"/>
          <w:lang w:val="fr-CH"/>
        </w:rPr>
        <w:t xml:space="preserve"> reste un défi extrêmement important depuis l’évaluation menée en 2015. Parmi les autres limites communément mentionnées, il y a les faibles capacités des IRR </w:t>
      </w:r>
      <w:r w:rsidR="00100997" w:rsidRPr="00590835">
        <w:rPr>
          <w:rFonts w:asciiTheme="minorHAnsi" w:hAnsiTheme="minorHAnsi" w:cstheme="minorHAnsi"/>
          <w:lang w:val="fr-CH"/>
        </w:rPr>
        <w:t xml:space="preserve">ou des Correspondants nationaux </w:t>
      </w:r>
      <w:r w:rsidRPr="00590835">
        <w:rPr>
          <w:rFonts w:asciiTheme="minorHAnsi" w:hAnsiTheme="minorHAnsi" w:cstheme="minorHAnsi"/>
          <w:lang w:val="fr-CH"/>
        </w:rPr>
        <w:t xml:space="preserve">en matière de ressources humaines ainsi que les restrictions imposées par la </w:t>
      </w:r>
      <w:r w:rsidR="00F1023D" w:rsidRPr="00590835">
        <w:rPr>
          <w:rFonts w:asciiTheme="minorHAnsi" w:hAnsiTheme="minorHAnsi" w:cstheme="minorHAnsi"/>
          <w:lang w:val="fr-CH"/>
        </w:rPr>
        <w:t xml:space="preserve">COVID-19 </w:t>
      </w:r>
      <w:r w:rsidRPr="00590835">
        <w:rPr>
          <w:rFonts w:asciiTheme="minorHAnsi" w:hAnsiTheme="minorHAnsi" w:cstheme="minorHAnsi"/>
          <w:lang w:val="fr-CH"/>
        </w:rPr>
        <w:t>en </w:t>
      </w:r>
      <w:r w:rsidR="00F1023D" w:rsidRPr="00590835">
        <w:rPr>
          <w:rFonts w:asciiTheme="minorHAnsi" w:hAnsiTheme="minorHAnsi" w:cstheme="minorHAnsi"/>
          <w:lang w:val="fr-CH"/>
        </w:rPr>
        <w:t xml:space="preserve">2020. </w:t>
      </w:r>
    </w:p>
    <w:p w14:paraId="0FF717E2" w14:textId="513DA813" w:rsidR="006A7BB3" w:rsidRPr="00590835" w:rsidRDefault="004F6363" w:rsidP="00215DAF">
      <w:pPr>
        <w:rPr>
          <w:rFonts w:asciiTheme="minorHAnsi" w:hAnsiTheme="minorHAnsi" w:cstheme="minorHAnsi"/>
          <w:b/>
          <w:lang w:val="fr-CH"/>
        </w:rPr>
      </w:pPr>
      <w:r w:rsidRPr="00590835">
        <w:rPr>
          <w:rFonts w:cs="Calibri"/>
          <w:lang w:val="fr-CH" w:eastAsia="ja-JP"/>
        </w:rPr>
        <w:t xml:space="preserve">  </w:t>
      </w:r>
    </w:p>
    <w:p w14:paraId="155BF439" w14:textId="77777777" w:rsidR="00D83A79" w:rsidRPr="00FC60AD" w:rsidRDefault="00D83A79" w:rsidP="00626884">
      <w:pPr>
        <w:ind w:left="0" w:firstLine="0"/>
        <w:rPr>
          <w:rFonts w:asciiTheme="minorHAnsi" w:hAnsiTheme="minorHAnsi" w:cstheme="minorHAnsi"/>
          <w:b/>
          <w:lang w:val="fr-FR"/>
        </w:rPr>
        <w:sectPr w:rsidR="00D83A79" w:rsidRPr="00FC60AD" w:rsidSect="002137E0">
          <w:headerReference w:type="default" r:id="rId12"/>
          <w:footerReference w:type="default" r:id="rId13"/>
          <w:pgSz w:w="11906" w:h="16838"/>
          <w:pgMar w:top="1440" w:right="1440" w:bottom="1440" w:left="1440" w:header="709" w:footer="709" w:gutter="0"/>
          <w:cols w:space="708"/>
          <w:titlePg/>
          <w:docGrid w:linePitch="360"/>
        </w:sectPr>
      </w:pPr>
    </w:p>
    <w:p w14:paraId="03B4EE40" w14:textId="77777777" w:rsidR="001E315F" w:rsidRPr="00760B39" w:rsidRDefault="004F6363" w:rsidP="00626884">
      <w:pPr>
        <w:ind w:left="0" w:firstLine="0"/>
        <w:rPr>
          <w:rFonts w:asciiTheme="minorHAnsi" w:hAnsiTheme="minorHAnsi" w:cstheme="minorHAnsi"/>
          <w:b/>
          <w:sz w:val="24"/>
          <w:szCs w:val="24"/>
          <w:lang w:val="fr-FR"/>
        </w:rPr>
      </w:pPr>
      <w:r w:rsidRPr="00760B39">
        <w:rPr>
          <w:rFonts w:cs="Calibri"/>
          <w:b/>
          <w:bCs/>
          <w:sz w:val="24"/>
          <w:szCs w:val="24"/>
          <w:lang w:val="fr-FR"/>
        </w:rPr>
        <w:lastRenderedPageBreak/>
        <w:t>Annexe 1</w:t>
      </w:r>
    </w:p>
    <w:p w14:paraId="4F24C1ED" w14:textId="36E17BDE" w:rsidR="006A7BB3" w:rsidRPr="00760B39" w:rsidRDefault="004F6363" w:rsidP="00626884">
      <w:pPr>
        <w:ind w:left="0" w:firstLine="0"/>
        <w:rPr>
          <w:b/>
          <w:sz w:val="24"/>
          <w:szCs w:val="24"/>
          <w:lang w:val="fr-FR"/>
        </w:rPr>
      </w:pPr>
      <w:r w:rsidRPr="00760B39">
        <w:rPr>
          <w:b/>
          <w:bCs/>
          <w:sz w:val="24"/>
          <w:szCs w:val="24"/>
          <w:lang w:val="fr-FR"/>
        </w:rPr>
        <w:t>Résumé d</w:t>
      </w:r>
      <w:r w:rsidR="00D44CFA">
        <w:rPr>
          <w:b/>
          <w:bCs/>
          <w:sz w:val="24"/>
          <w:szCs w:val="24"/>
          <w:lang w:val="fr-FR"/>
        </w:rPr>
        <w:t>es</w:t>
      </w:r>
      <w:r w:rsidRPr="00760B39">
        <w:rPr>
          <w:b/>
          <w:bCs/>
          <w:sz w:val="24"/>
          <w:szCs w:val="24"/>
          <w:lang w:val="fr-FR"/>
        </w:rPr>
        <w:t xml:space="preserve"> rapport</w:t>
      </w:r>
      <w:r w:rsidR="00D44CFA">
        <w:rPr>
          <w:b/>
          <w:bCs/>
          <w:sz w:val="24"/>
          <w:szCs w:val="24"/>
          <w:lang w:val="fr-FR"/>
        </w:rPr>
        <w:t>s</w:t>
      </w:r>
      <w:r w:rsidRPr="00760B39">
        <w:rPr>
          <w:b/>
          <w:bCs/>
          <w:sz w:val="24"/>
          <w:szCs w:val="24"/>
          <w:lang w:val="fr-FR"/>
        </w:rPr>
        <w:t xml:space="preserve"> annuel</w:t>
      </w:r>
      <w:r w:rsidR="00D44CFA">
        <w:rPr>
          <w:b/>
          <w:bCs/>
          <w:sz w:val="24"/>
          <w:szCs w:val="24"/>
          <w:lang w:val="fr-FR"/>
        </w:rPr>
        <w:t>s</w:t>
      </w:r>
      <w:r w:rsidRPr="00760B39">
        <w:rPr>
          <w:b/>
          <w:bCs/>
          <w:sz w:val="24"/>
          <w:szCs w:val="24"/>
          <w:lang w:val="fr-FR"/>
        </w:rPr>
        <w:t xml:space="preserve"> </w:t>
      </w:r>
      <w:r w:rsidR="00D44CFA">
        <w:rPr>
          <w:b/>
          <w:bCs/>
          <w:sz w:val="24"/>
          <w:szCs w:val="24"/>
          <w:lang w:val="fr-FR"/>
        </w:rPr>
        <w:t>des</w:t>
      </w:r>
      <w:r w:rsidRPr="00760B39">
        <w:rPr>
          <w:b/>
          <w:bCs/>
          <w:sz w:val="24"/>
          <w:szCs w:val="24"/>
          <w:lang w:val="fr-FR"/>
        </w:rPr>
        <w:t xml:space="preserve"> IRR </w:t>
      </w:r>
      <w:r w:rsidR="00D44CFA">
        <w:rPr>
          <w:b/>
          <w:bCs/>
          <w:sz w:val="24"/>
          <w:szCs w:val="24"/>
          <w:lang w:val="fr-FR"/>
        </w:rPr>
        <w:t>pour</w:t>
      </w:r>
      <w:r w:rsidR="00D44CFA" w:rsidRPr="00760B39">
        <w:rPr>
          <w:b/>
          <w:bCs/>
          <w:sz w:val="24"/>
          <w:szCs w:val="24"/>
          <w:lang w:val="fr-FR"/>
        </w:rPr>
        <w:t xml:space="preserve"> </w:t>
      </w:r>
      <w:r w:rsidR="00D44CFA" w:rsidRPr="00590835">
        <w:rPr>
          <w:b/>
          <w:bCs/>
          <w:sz w:val="24"/>
          <w:szCs w:val="24"/>
          <w:lang w:val="fr-FR"/>
        </w:rPr>
        <w:t>20</w:t>
      </w:r>
      <w:r w:rsidR="0075212A" w:rsidRPr="00590835">
        <w:rPr>
          <w:b/>
          <w:bCs/>
          <w:sz w:val="24"/>
          <w:szCs w:val="24"/>
          <w:lang w:val="fr-FR"/>
        </w:rPr>
        <w:t>20</w:t>
      </w:r>
      <w:r w:rsidR="00D44CFA" w:rsidRPr="00590835">
        <w:rPr>
          <w:b/>
          <w:bCs/>
          <w:sz w:val="24"/>
          <w:szCs w:val="24"/>
          <w:lang w:val="fr-FR"/>
        </w:rPr>
        <w:t xml:space="preserve"> </w:t>
      </w:r>
      <w:r w:rsidRPr="00760B39">
        <w:rPr>
          <w:b/>
          <w:bCs/>
          <w:sz w:val="24"/>
          <w:szCs w:val="24"/>
          <w:lang w:val="fr-FR"/>
        </w:rPr>
        <w:t>et principes de la Résolution XIII.9</w:t>
      </w:r>
    </w:p>
    <w:p w14:paraId="50306F2C" w14:textId="77777777" w:rsidR="001E315F" w:rsidRPr="00760B39" w:rsidRDefault="001E315F" w:rsidP="00626884">
      <w:pPr>
        <w:ind w:left="0" w:firstLine="0"/>
        <w:rPr>
          <w:rFonts w:asciiTheme="minorHAnsi" w:hAnsiTheme="minorHAnsi" w:cstheme="minorHAnsi"/>
          <w:b/>
          <w:sz w:val="24"/>
          <w:szCs w:val="24"/>
          <w:lang w:val="fr-FR"/>
        </w:rPr>
      </w:pPr>
    </w:p>
    <w:tbl>
      <w:tblPr>
        <w:tblStyle w:val="TableGrid"/>
        <w:tblW w:w="15735" w:type="dxa"/>
        <w:tblInd w:w="-856" w:type="dxa"/>
        <w:tblLayout w:type="fixed"/>
        <w:tblCellMar>
          <w:top w:w="28" w:type="dxa"/>
          <w:left w:w="28" w:type="dxa"/>
          <w:bottom w:w="28" w:type="dxa"/>
          <w:right w:w="28" w:type="dxa"/>
        </w:tblCellMar>
        <w:tblLook w:val="04A0" w:firstRow="1" w:lastRow="0" w:firstColumn="1" w:lastColumn="0" w:noHBand="0" w:noVBand="1"/>
      </w:tblPr>
      <w:tblGrid>
        <w:gridCol w:w="1414"/>
        <w:gridCol w:w="880"/>
        <w:gridCol w:w="1100"/>
        <w:gridCol w:w="2266"/>
        <w:gridCol w:w="1276"/>
        <w:gridCol w:w="1559"/>
        <w:gridCol w:w="992"/>
        <w:gridCol w:w="884"/>
        <w:gridCol w:w="1417"/>
        <w:gridCol w:w="2744"/>
        <w:gridCol w:w="1203"/>
      </w:tblGrid>
      <w:tr w:rsidR="00E74827" w:rsidRPr="00420F85" w14:paraId="20B9A71B" w14:textId="77777777" w:rsidTr="00945C73">
        <w:trPr>
          <w:cantSplit/>
          <w:tblHeader/>
        </w:trPr>
        <w:tc>
          <w:tcPr>
            <w:tcW w:w="1414" w:type="dxa"/>
            <w:vMerge w:val="restart"/>
            <w:shd w:val="clear" w:color="auto" w:fill="DBE5F1" w:themeFill="accent1" w:themeFillTint="33"/>
            <w:vAlign w:val="center"/>
          </w:tcPr>
          <w:p w14:paraId="6D25CF29" w14:textId="77777777" w:rsidR="002C4120" w:rsidRPr="00420F85" w:rsidRDefault="004F6363" w:rsidP="00217015">
            <w:pPr>
              <w:ind w:left="0" w:firstLine="0"/>
              <w:jc w:val="center"/>
              <w:outlineLvl w:val="1"/>
              <w:rPr>
                <w:rFonts w:asciiTheme="minorHAnsi" w:hAnsiTheme="minorHAnsi" w:cstheme="minorHAnsi"/>
                <w:b/>
                <w:bCs/>
                <w:sz w:val="18"/>
                <w:szCs w:val="20"/>
                <w:lang w:val="fr-FR"/>
              </w:rPr>
            </w:pPr>
            <w:r w:rsidRPr="00420F85">
              <w:rPr>
                <w:rFonts w:cs="Calibri"/>
                <w:b/>
                <w:bCs/>
                <w:sz w:val="18"/>
                <w:szCs w:val="20"/>
                <w:lang w:val="fr-FR"/>
              </w:rPr>
              <w:t>Initiative régionale Ramsar (IRR) et année de mise en place</w:t>
            </w:r>
          </w:p>
        </w:tc>
        <w:tc>
          <w:tcPr>
            <w:tcW w:w="7081" w:type="dxa"/>
            <w:gridSpan w:val="5"/>
            <w:shd w:val="clear" w:color="auto" w:fill="DBE5F1" w:themeFill="accent1" w:themeFillTint="33"/>
            <w:vAlign w:val="center"/>
          </w:tcPr>
          <w:p w14:paraId="5E89527A" w14:textId="77777777" w:rsidR="002C4120" w:rsidRPr="00420F85" w:rsidRDefault="004F6363" w:rsidP="00217015">
            <w:pPr>
              <w:ind w:left="0" w:firstLine="0"/>
              <w:jc w:val="center"/>
              <w:outlineLvl w:val="1"/>
              <w:rPr>
                <w:rFonts w:asciiTheme="minorHAnsi" w:hAnsiTheme="minorHAnsi" w:cstheme="minorHAnsi"/>
                <w:b/>
                <w:bCs/>
                <w:sz w:val="18"/>
                <w:szCs w:val="20"/>
                <w:lang w:val="fr-FR"/>
              </w:rPr>
            </w:pPr>
            <w:r w:rsidRPr="00420F85">
              <w:rPr>
                <w:rFonts w:cs="Calibri"/>
                <w:b/>
                <w:bCs/>
                <w:sz w:val="18"/>
                <w:szCs w:val="20"/>
                <w:lang w:val="fr-FR"/>
              </w:rPr>
              <w:t>Principes de la Résolution XIII.9</w:t>
            </w:r>
          </w:p>
        </w:tc>
        <w:tc>
          <w:tcPr>
            <w:tcW w:w="992" w:type="dxa"/>
            <w:vMerge w:val="restart"/>
            <w:shd w:val="clear" w:color="auto" w:fill="DBE5F1" w:themeFill="accent1" w:themeFillTint="33"/>
            <w:vAlign w:val="center"/>
          </w:tcPr>
          <w:p w14:paraId="552DF274" w14:textId="32FF7C33" w:rsidR="002C4120" w:rsidRPr="00590835" w:rsidRDefault="004F6363" w:rsidP="00217015">
            <w:pPr>
              <w:ind w:left="0" w:firstLine="0"/>
              <w:jc w:val="center"/>
              <w:outlineLvl w:val="1"/>
              <w:rPr>
                <w:rFonts w:asciiTheme="minorHAnsi" w:hAnsiTheme="minorHAnsi" w:cstheme="minorHAnsi"/>
                <w:b/>
                <w:bCs/>
                <w:sz w:val="18"/>
                <w:szCs w:val="20"/>
                <w:lang w:val="fr-FR"/>
              </w:rPr>
            </w:pPr>
            <w:r w:rsidRPr="00590835">
              <w:rPr>
                <w:rFonts w:cs="Calibri"/>
                <w:b/>
                <w:bCs/>
                <w:sz w:val="18"/>
                <w:szCs w:val="20"/>
                <w:lang w:val="fr-FR"/>
              </w:rPr>
              <w:t>Budget prévu pour 20</w:t>
            </w:r>
            <w:r w:rsidR="0075212A" w:rsidRPr="00590835">
              <w:rPr>
                <w:rFonts w:cs="Calibri"/>
                <w:b/>
                <w:bCs/>
                <w:sz w:val="18"/>
                <w:szCs w:val="20"/>
                <w:lang w:val="fr-FR"/>
              </w:rPr>
              <w:t>20</w:t>
            </w:r>
            <w:r w:rsidRPr="00590835">
              <w:rPr>
                <w:rFonts w:cs="Calibri"/>
                <w:b/>
                <w:bCs/>
                <w:sz w:val="18"/>
                <w:szCs w:val="20"/>
                <w:lang w:val="fr-FR"/>
              </w:rPr>
              <w:t xml:space="preserve"> (en CHF sauf indication contraire)</w:t>
            </w:r>
          </w:p>
        </w:tc>
        <w:tc>
          <w:tcPr>
            <w:tcW w:w="884" w:type="dxa"/>
            <w:vMerge w:val="restart"/>
            <w:shd w:val="clear" w:color="auto" w:fill="DBE5F1" w:themeFill="accent1" w:themeFillTint="33"/>
            <w:vAlign w:val="center"/>
          </w:tcPr>
          <w:p w14:paraId="5EBB27B4" w14:textId="5DAD958F" w:rsidR="002C4120" w:rsidRPr="00590835" w:rsidRDefault="004F6363" w:rsidP="000E7248">
            <w:pPr>
              <w:ind w:left="0" w:firstLine="0"/>
              <w:jc w:val="center"/>
              <w:outlineLvl w:val="1"/>
              <w:rPr>
                <w:rFonts w:asciiTheme="minorHAnsi" w:hAnsiTheme="minorHAnsi" w:cstheme="minorHAnsi"/>
                <w:b/>
                <w:bCs/>
                <w:spacing w:val="-4"/>
                <w:sz w:val="18"/>
                <w:szCs w:val="20"/>
                <w:lang w:val="fr-FR"/>
              </w:rPr>
            </w:pPr>
            <w:r w:rsidRPr="00590835">
              <w:rPr>
                <w:rFonts w:cs="Calibri"/>
                <w:b/>
                <w:bCs/>
                <w:spacing w:val="-4"/>
                <w:sz w:val="18"/>
                <w:szCs w:val="20"/>
                <w:lang w:val="fr-FR"/>
              </w:rPr>
              <w:t>Dépenses 20</w:t>
            </w:r>
            <w:r w:rsidR="0075212A" w:rsidRPr="00590835">
              <w:rPr>
                <w:rFonts w:cs="Calibri"/>
                <w:b/>
                <w:bCs/>
                <w:spacing w:val="-4"/>
                <w:sz w:val="18"/>
                <w:szCs w:val="20"/>
                <w:lang w:val="fr-FR"/>
              </w:rPr>
              <w:t>20</w:t>
            </w:r>
            <w:r w:rsidRPr="00590835">
              <w:rPr>
                <w:rFonts w:cs="Calibri"/>
                <w:b/>
                <w:bCs/>
                <w:spacing w:val="-4"/>
                <w:sz w:val="18"/>
                <w:szCs w:val="20"/>
                <w:lang w:val="fr-FR"/>
              </w:rPr>
              <w:t xml:space="preserve"> </w:t>
            </w:r>
            <w:r w:rsidRPr="00590835">
              <w:rPr>
                <w:rFonts w:cs="Calibri"/>
                <w:b/>
                <w:bCs/>
                <w:spacing w:val="-4"/>
                <w:sz w:val="18"/>
                <w:szCs w:val="20"/>
                <w:lang w:val="fr-FR"/>
              </w:rPr>
              <w:br/>
              <w:t>(en CHF sauf indication contraire)</w:t>
            </w:r>
          </w:p>
        </w:tc>
        <w:tc>
          <w:tcPr>
            <w:tcW w:w="1417" w:type="dxa"/>
            <w:vMerge w:val="restart"/>
            <w:shd w:val="clear" w:color="auto" w:fill="DBE5F1" w:themeFill="accent1" w:themeFillTint="33"/>
            <w:vAlign w:val="center"/>
          </w:tcPr>
          <w:p w14:paraId="4CEEFCE1" w14:textId="77777777" w:rsidR="002C4120" w:rsidRPr="00420F85" w:rsidRDefault="004F6363" w:rsidP="00217015">
            <w:pPr>
              <w:ind w:left="0" w:firstLine="0"/>
              <w:jc w:val="center"/>
              <w:outlineLvl w:val="1"/>
              <w:rPr>
                <w:rFonts w:asciiTheme="minorHAnsi" w:hAnsiTheme="minorHAnsi" w:cstheme="minorHAnsi"/>
                <w:b/>
                <w:bCs/>
                <w:sz w:val="18"/>
                <w:szCs w:val="20"/>
                <w:lang w:val="fr-FR"/>
              </w:rPr>
            </w:pPr>
            <w:r w:rsidRPr="00420F85">
              <w:rPr>
                <w:rFonts w:cs="Calibri"/>
                <w:b/>
                <w:bCs/>
                <w:sz w:val="18"/>
                <w:szCs w:val="20"/>
                <w:lang w:val="fr-FR"/>
              </w:rPr>
              <w:t>Ressources financières</w:t>
            </w:r>
          </w:p>
        </w:tc>
        <w:tc>
          <w:tcPr>
            <w:tcW w:w="2744" w:type="dxa"/>
            <w:vMerge w:val="restart"/>
            <w:shd w:val="clear" w:color="auto" w:fill="DBE5F1" w:themeFill="accent1" w:themeFillTint="33"/>
            <w:vAlign w:val="center"/>
          </w:tcPr>
          <w:p w14:paraId="07683170" w14:textId="77777777" w:rsidR="002C4120" w:rsidRPr="00420F85" w:rsidRDefault="004F6363" w:rsidP="00217015">
            <w:pPr>
              <w:ind w:left="0" w:firstLine="0"/>
              <w:jc w:val="center"/>
              <w:outlineLvl w:val="1"/>
              <w:rPr>
                <w:rFonts w:asciiTheme="minorHAnsi" w:hAnsiTheme="minorHAnsi" w:cstheme="minorHAnsi"/>
                <w:b/>
                <w:bCs/>
                <w:sz w:val="18"/>
                <w:szCs w:val="20"/>
                <w:lang w:val="fr-FR"/>
              </w:rPr>
            </w:pPr>
            <w:r w:rsidRPr="00420F85">
              <w:rPr>
                <w:rFonts w:cs="Calibri"/>
                <w:b/>
                <w:bCs/>
                <w:sz w:val="18"/>
                <w:szCs w:val="20"/>
                <w:lang w:val="fr-FR"/>
              </w:rPr>
              <w:t>Principales activités</w:t>
            </w:r>
          </w:p>
        </w:tc>
        <w:tc>
          <w:tcPr>
            <w:tcW w:w="1203" w:type="dxa"/>
            <w:vMerge w:val="restart"/>
            <w:shd w:val="clear" w:color="auto" w:fill="DBE5F1" w:themeFill="accent1" w:themeFillTint="33"/>
            <w:vAlign w:val="center"/>
          </w:tcPr>
          <w:p w14:paraId="433D462B" w14:textId="77777777" w:rsidR="002C4120" w:rsidRPr="00420F85" w:rsidRDefault="004F6363" w:rsidP="00217015">
            <w:pPr>
              <w:ind w:left="0" w:firstLine="0"/>
              <w:jc w:val="center"/>
              <w:outlineLvl w:val="1"/>
              <w:rPr>
                <w:rFonts w:asciiTheme="minorHAnsi" w:hAnsiTheme="minorHAnsi" w:cstheme="minorHAnsi"/>
                <w:b/>
                <w:bCs/>
                <w:sz w:val="18"/>
                <w:szCs w:val="20"/>
                <w:lang w:val="fr-FR"/>
              </w:rPr>
            </w:pPr>
            <w:r w:rsidRPr="00420F85">
              <w:rPr>
                <w:rFonts w:cs="Calibri"/>
                <w:b/>
                <w:bCs/>
                <w:sz w:val="18"/>
                <w:szCs w:val="20"/>
                <w:lang w:val="fr-FR"/>
              </w:rPr>
              <w:t>Difficultés</w:t>
            </w:r>
          </w:p>
        </w:tc>
      </w:tr>
      <w:tr w:rsidR="00E74827" w:rsidRPr="00420F85" w14:paraId="43E3EB39" w14:textId="77777777" w:rsidTr="00945C73">
        <w:trPr>
          <w:cantSplit/>
          <w:tblHeader/>
        </w:trPr>
        <w:tc>
          <w:tcPr>
            <w:tcW w:w="1414" w:type="dxa"/>
            <w:vMerge/>
            <w:shd w:val="clear" w:color="auto" w:fill="DAEEF3" w:themeFill="accent5" w:themeFillTint="33"/>
            <w:vAlign w:val="center"/>
          </w:tcPr>
          <w:p w14:paraId="0D4C753A" w14:textId="77777777" w:rsidR="002C4120" w:rsidRPr="00420F85" w:rsidRDefault="002C4120" w:rsidP="00217015">
            <w:pPr>
              <w:ind w:left="0" w:firstLine="0"/>
              <w:jc w:val="center"/>
              <w:outlineLvl w:val="1"/>
              <w:rPr>
                <w:rFonts w:asciiTheme="minorHAnsi" w:hAnsiTheme="minorHAnsi" w:cstheme="minorHAnsi"/>
                <w:b/>
                <w:bCs/>
                <w:sz w:val="18"/>
                <w:szCs w:val="20"/>
                <w:lang w:val="fr-FR"/>
              </w:rPr>
            </w:pPr>
          </w:p>
        </w:tc>
        <w:tc>
          <w:tcPr>
            <w:tcW w:w="880" w:type="dxa"/>
            <w:shd w:val="clear" w:color="auto" w:fill="DBE5F1" w:themeFill="accent1" w:themeFillTint="33"/>
            <w:vAlign w:val="center"/>
          </w:tcPr>
          <w:p w14:paraId="4939F14F" w14:textId="77777777" w:rsidR="002C4120" w:rsidRPr="00420F85" w:rsidRDefault="004F6363" w:rsidP="00217015">
            <w:pPr>
              <w:ind w:left="0" w:firstLine="0"/>
              <w:jc w:val="center"/>
              <w:outlineLvl w:val="1"/>
              <w:rPr>
                <w:rFonts w:asciiTheme="minorHAnsi" w:hAnsiTheme="minorHAnsi" w:cstheme="minorHAnsi"/>
                <w:b/>
                <w:bCs/>
                <w:sz w:val="18"/>
                <w:szCs w:val="20"/>
                <w:lang w:val="fr-FR"/>
              </w:rPr>
            </w:pPr>
            <w:r w:rsidRPr="00420F85">
              <w:rPr>
                <w:rFonts w:cs="Calibri"/>
                <w:b/>
                <w:bCs/>
                <w:sz w:val="18"/>
                <w:szCs w:val="20"/>
                <w:lang w:val="fr-FR"/>
              </w:rPr>
              <w:t>Nombre de pays soutenant l’IRR</w:t>
            </w:r>
          </w:p>
        </w:tc>
        <w:tc>
          <w:tcPr>
            <w:tcW w:w="1100" w:type="dxa"/>
            <w:shd w:val="clear" w:color="auto" w:fill="DBE5F1" w:themeFill="accent1" w:themeFillTint="33"/>
            <w:vAlign w:val="center"/>
          </w:tcPr>
          <w:p w14:paraId="4EEB493A" w14:textId="77777777" w:rsidR="002C4120" w:rsidRPr="00420F85" w:rsidRDefault="004F6363" w:rsidP="00217015">
            <w:pPr>
              <w:ind w:left="0" w:firstLine="0"/>
              <w:jc w:val="center"/>
              <w:outlineLvl w:val="1"/>
              <w:rPr>
                <w:rFonts w:asciiTheme="minorHAnsi" w:hAnsiTheme="minorHAnsi" w:cstheme="minorHAnsi"/>
                <w:b/>
                <w:bCs/>
                <w:sz w:val="18"/>
                <w:szCs w:val="20"/>
                <w:lang w:val="fr-FR"/>
              </w:rPr>
            </w:pPr>
            <w:r w:rsidRPr="00420F85">
              <w:rPr>
                <w:rFonts w:cs="Calibri"/>
                <w:b/>
                <w:bCs/>
                <w:sz w:val="18"/>
                <w:szCs w:val="20"/>
                <w:lang w:val="fr-FR"/>
              </w:rPr>
              <w:t>Cahier des charges (y compris règlement intérieur)</w:t>
            </w:r>
          </w:p>
        </w:tc>
        <w:tc>
          <w:tcPr>
            <w:tcW w:w="2266" w:type="dxa"/>
            <w:shd w:val="clear" w:color="auto" w:fill="DBE5F1" w:themeFill="accent1" w:themeFillTint="33"/>
            <w:vAlign w:val="center"/>
          </w:tcPr>
          <w:p w14:paraId="336514A2" w14:textId="77777777" w:rsidR="002C4120" w:rsidRPr="00420F85" w:rsidRDefault="004F6363" w:rsidP="00217015">
            <w:pPr>
              <w:ind w:left="0" w:firstLine="0"/>
              <w:jc w:val="center"/>
              <w:outlineLvl w:val="1"/>
              <w:rPr>
                <w:rFonts w:asciiTheme="minorHAnsi" w:hAnsiTheme="minorHAnsi" w:cstheme="minorHAnsi"/>
                <w:b/>
                <w:bCs/>
                <w:sz w:val="18"/>
                <w:szCs w:val="20"/>
                <w:lang w:val="fr-FR"/>
              </w:rPr>
            </w:pPr>
            <w:r w:rsidRPr="00420F85">
              <w:rPr>
                <w:rFonts w:cs="Calibri"/>
                <w:b/>
                <w:bCs/>
                <w:sz w:val="18"/>
                <w:szCs w:val="20"/>
                <w:lang w:val="fr-FR"/>
              </w:rPr>
              <w:t>Structure et gouvernance</w:t>
            </w:r>
          </w:p>
        </w:tc>
        <w:tc>
          <w:tcPr>
            <w:tcW w:w="1276" w:type="dxa"/>
            <w:shd w:val="clear" w:color="auto" w:fill="DBE5F1" w:themeFill="accent1" w:themeFillTint="33"/>
            <w:vAlign w:val="center"/>
          </w:tcPr>
          <w:p w14:paraId="47D5472B" w14:textId="77777777" w:rsidR="002C4120" w:rsidRPr="00420F85" w:rsidRDefault="004F6363" w:rsidP="00217015">
            <w:pPr>
              <w:ind w:left="0" w:firstLine="0"/>
              <w:jc w:val="center"/>
              <w:outlineLvl w:val="1"/>
              <w:rPr>
                <w:rFonts w:asciiTheme="minorHAnsi" w:hAnsiTheme="minorHAnsi" w:cstheme="minorHAnsi"/>
                <w:b/>
                <w:bCs/>
                <w:sz w:val="18"/>
                <w:szCs w:val="20"/>
                <w:lang w:val="fr-FR"/>
              </w:rPr>
            </w:pPr>
            <w:r w:rsidRPr="00420F85">
              <w:rPr>
                <w:rFonts w:cs="Calibri"/>
                <w:b/>
                <w:bCs/>
                <w:sz w:val="18"/>
                <w:szCs w:val="20"/>
                <w:lang w:val="fr-FR"/>
              </w:rPr>
              <w:t xml:space="preserve">Statut/rôle </w:t>
            </w:r>
            <w:r w:rsidRPr="00420F85">
              <w:rPr>
                <w:rFonts w:cs="Calibri"/>
                <w:b/>
                <w:bCs/>
                <w:sz w:val="18"/>
                <w:szCs w:val="20"/>
                <w:lang w:val="fr-FR"/>
              </w:rPr>
              <w:br/>
              <w:t>du Secrétariat de la Convention</w:t>
            </w:r>
          </w:p>
        </w:tc>
        <w:tc>
          <w:tcPr>
            <w:tcW w:w="1559" w:type="dxa"/>
            <w:shd w:val="clear" w:color="auto" w:fill="DBE5F1" w:themeFill="accent1" w:themeFillTint="33"/>
            <w:vAlign w:val="center"/>
          </w:tcPr>
          <w:p w14:paraId="5C181EED" w14:textId="77777777" w:rsidR="002C4120" w:rsidRPr="00420F85" w:rsidRDefault="004F6363" w:rsidP="00217015">
            <w:pPr>
              <w:ind w:left="0" w:firstLine="0"/>
              <w:jc w:val="center"/>
              <w:outlineLvl w:val="1"/>
              <w:rPr>
                <w:rFonts w:asciiTheme="minorHAnsi" w:hAnsiTheme="minorHAnsi" w:cstheme="minorHAnsi"/>
                <w:b/>
                <w:bCs/>
                <w:sz w:val="18"/>
                <w:szCs w:val="20"/>
                <w:lang w:val="fr-FR"/>
              </w:rPr>
            </w:pPr>
            <w:r w:rsidRPr="00420F85">
              <w:rPr>
                <w:rFonts w:cs="Calibri"/>
                <w:b/>
                <w:bCs/>
                <w:sz w:val="18"/>
                <w:szCs w:val="20"/>
                <w:lang w:val="fr-FR"/>
              </w:rPr>
              <w:t>Gestion financière</w:t>
            </w:r>
          </w:p>
        </w:tc>
        <w:tc>
          <w:tcPr>
            <w:tcW w:w="992" w:type="dxa"/>
            <w:vMerge/>
            <w:shd w:val="clear" w:color="auto" w:fill="DAEEF3" w:themeFill="accent5" w:themeFillTint="33"/>
            <w:vAlign w:val="center"/>
          </w:tcPr>
          <w:p w14:paraId="24674FED" w14:textId="77777777" w:rsidR="002C4120" w:rsidRPr="00420F85" w:rsidRDefault="002C4120" w:rsidP="00217015">
            <w:pPr>
              <w:ind w:left="0" w:firstLine="0"/>
              <w:jc w:val="center"/>
              <w:outlineLvl w:val="1"/>
              <w:rPr>
                <w:rFonts w:asciiTheme="minorHAnsi" w:hAnsiTheme="minorHAnsi" w:cstheme="minorHAnsi"/>
                <w:b/>
                <w:bCs/>
                <w:sz w:val="18"/>
                <w:szCs w:val="20"/>
                <w:lang w:val="fr-FR"/>
              </w:rPr>
            </w:pPr>
          </w:p>
        </w:tc>
        <w:tc>
          <w:tcPr>
            <w:tcW w:w="884" w:type="dxa"/>
            <w:vMerge/>
            <w:shd w:val="clear" w:color="auto" w:fill="DAEEF3" w:themeFill="accent5" w:themeFillTint="33"/>
          </w:tcPr>
          <w:p w14:paraId="2A720B2B" w14:textId="77777777" w:rsidR="002C4120" w:rsidRPr="00420F85" w:rsidRDefault="002C4120" w:rsidP="00217015">
            <w:pPr>
              <w:ind w:left="0" w:firstLine="0"/>
              <w:jc w:val="center"/>
              <w:outlineLvl w:val="1"/>
              <w:rPr>
                <w:rFonts w:asciiTheme="minorHAnsi" w:hAnsiTheme="minorHAnsi" w:cstheme="minorHAnsi"/>
                <w:b/>
                <w:bCs/>
                <w:sz w:val="18"/>
                <w:szCs w:val="20"/>
                <w:lang w:val="fr-FR"/>
              </w:rPr>
            </w:pPr>
          </w:p>
        </w:tc>
        <w:tc>
          <w:tcPr>
            <w:tcW w:w="1417" w:type="dxa"/>
            <w:vMerge/>
            <w:shd w:val="clear" w:color="auto" w:fill="DAEEF3" w:themeFill="accent5" w:themeFillTint="33"/>
          </w:tcPr>
          <w:p w14:paraId="742342D1" w14:textId="77777777" w:rsidR="002C4120" w:rsidRPr="00420F85" w:rsidRDefault="002C4120" w:rsidP="00217015">
            <w:pPr>
              <w:ind w:left="0" w:firstLine="0"/>
              <w:jc w:val="center"/>
              <w:outlineLvl w:val="1"/>
              <w:rPr>
                <w:rFonts w:asciiTheme="minorHAnsi" w:hAnsiTheme="minorHAnsi" w:cstheme="minorHAnsi"/>
                <w:b/>
                <w:bCs/>
                <w:sz w:val="18"/>
                <w:szCs w:val="20"/>
                <w:lang w:val="fr-FR"/>
              </w:rPr>
            </w:pPr>
          </w:p>
        </w:tc>
        <w:tc>
          <w:tcPr>
            <w:tcW w:w="2744" w:type="dxa"/>
            <w:vMerge/>
            <w:shd w:val="clear" w:color="auto" w:fill="DAEEF3" w:themeFill="accent5" w:themeFillTint="33"/>
            <w:vAlign w:val="center"/>
          </w:tcPr>
          <w:p w14:paraId="07C72FBC" w14:textId="77777777" w:rsidR="002C4120" w:rsidRPr="00420F85" w:rsidRDefault="002C4120" w:rsidP="00217015">
            <w:pPr>
              <w:ind w:left="0" w:firstLine="0"/>
              <w:jc w:val="center"/>
              <w:outlineLvl w:val="1"/>
              <w:rPr>
                <w:rFonts w:asciiTheme="minorHAnsi" w:hAnsiTheme="minorHAnsi" w:cstheme="minorHAnsi"/>
                <w:b/>
                <w:bCs/>
                <w:sz w:val="18"/>
                <w:szCs w:val="20"/>
                <w:lang w:val="fr-FR"/>
              </w:rPr>
            </w:pPr>
          </w:p>
        </w:tc>
        <w:tc>
          <w:tcPr>
            <w:tcW w:w="1203" w:type="dxa"/>
            <w:vMerge/>
            <w:shd w:val="clear" w:color="auto" w:fill="DAEEF3" w:themeFill="accent5" w:themeFillTint="33"/>
            <w:vAlign w:val="center"/>
          </w:tcPr>
          <w:p w14:paraId="7F7EF0AC" w14:textId="77777777" w:rsidR="002C4120" w:rsidRPr="00420F85" w:rsidRDefault="002C4120" w:rsidP="00217015">
            <w:pPr>
              <w:ind w:left="0" w:firstLine="0"/>
              <w:jc w:val="center"/>
              <w:outlineLvl w:val="1"/>
              <w:rPr>
                <w:rFonts w:asciiTheme="minorHAnsi" w:hAnsiTheme="minorHAnsi" w:cstheme="minorHAnsi"/>
                <w:b/>
                <w:bCs/>
                <w:sz w:val="18"/>
                <w:szCs w:val="20"/>
                <w:lang w:val="fr-FR"/>
              </w:rPr>
            </w:pPr>
          </w:p>
        </w:tc>
      </w:tr>
      <w:tr w:rsidR="00E74827" w:rsidRPr="00D26183" w14:paraId="7E3A01BD" w14:textId="77777777" w:rsidTr="00945C73">
        <w:trPr>
          <w:cantSplit/>
        </w:trPr>
        <w:tc>
          <w:tcPr>
            <w:tcW w:w="1414" w:type="dxa"/>
          </w:tcPr>
          <w:p w14:paraId="19C3C38C"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Centre Ramsar pour l’Afrique de l’Est (RAMCEA), 2009</w:t>
            </w:r>
          </w:p>
        </w:tc>
        <w:tc>
          <w:tcPr>
            <w:tcW w:w="880" w:type="dxa"/>
          </w:tcPr>
          <w:p w14:paraId="0631A389" w14:textId="77777777" w:rsidR="002C4120" w:rsidRPr="007E135E" w:rsidRDefault="004F6363" w:rsidP="00F000BB">
            <w:pPr>
              <w:ind w:left="0" w:firstLine="0"/>
              <w:outlineLvl w:val="1"/>
              <w:rPr>
                <w:rFonts w:asciiTheme="minorHAnsi" w:hAnsiTheme="minorHAnsi" w:cstheme="minorHAnsi"/>
                <w:bCs/>
                <w:sz w:val="18"/>
                <w:szCs w:val="20"/>
                <w:lang w:val="fr-FR"/>
              </w:rPr>
            </w:pPr>
            <w:r w:rsidRPr="007E135E">
              <w:rPr>
                <w:rFonts w:cs="Calibri"/>
                <w:bCs/>
                <w:sz w:val="18"/>
                <w:szCs w:val="20"/>
                <w:lang w:val="fr-FR"/>
              </w:rPr>
              <w:t>5</w:t>
            </w:r>
          </w:p>
        </w:tc>
        <w:tc>
          <w:tcPr>
            <w:tcW w:w="1100" w:type="dxa"/>
          </w:tcPr>
          <w:p w14:paraId="395B71CC"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w:t>
            </w:r>
          </w:p>
        </w:tc>
        <w:tc>
          <w:tcPr>
            <w:tcW w:w="2266" w:type="dxa"/>
          </w:tcPr>
          <w:p w14:paraId="04296D57"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Le Conseil d’administration qui est l’instance décisionnelle suprême est chargé de la conduite de toutes les affaires. Le Secrétariat du RAMCEA traite des activités courantes et rend compte au Conseil d’administration.</w:t>
            </w:r>
          </w:p>
        </w:tc>
        <w:tc>
          <w:tcPr>
            <w:tcW w:w="1276" w:type="dxa"/>
          </w:tcPr>
          <w:p w14:paraId="445447FF"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Observateur</w:t>
            </w:r>
          </w:p>
        </w:tc>
        <w:tc>
          <w:tcPr>
            <w:tcW w:w="1559" w:type="dxa"/>
          </w:tcPr>
          <w:p w14:paraId="705ACD9D" w14:textId="73D33A8D" w:rsidR="002C4120" w:rsidRPr="00590835" w:rsidRDefault="004F6363" w:rsidP="000B0220">
            <w:pPr>
              <w:ind w:left="0" w:firstLine="0"/>
              <w:outlineLvl w:val="1"/>
              <w:rPr>
                <w:rFonts w:asciiTheme="minorHAnsi" w:hAnsiTheme="minorHAnsi" w:cstheme="minorHAnsi"/>
                <w:bCs/>
                <w:sz w:val="18"/>
                <w:szCs w:val="20"/>
                <w:lang w:val="fr-FR"/>
              </w:rPr>
            </w:pPr>
            <w:r w:rsidRPr="00590835">
              <w:rPr>
                <w:rFonts w:cs="Calibri"/>
                <w:bCs/>
                <w:sz w:val="18"/>
                <w:szCs w:val="20"/>
                <w:lang w:val="fr-FR"/>
              </w:rPr>
              <w:t>Sous la responsabilité du Secrétariat RAMCEA</w:t>
            </w:r>
            <w:r w:rsidR="000B0220" w:rsidRPr="00590835">
              <w:rPr>
                <w:rFonts w:cs="Calibri"/>
                <w:bCs/>
                <w:sz w:val="18"/>
                <w:szCs w:val="20"/>
                <w:lang w:val="fr-FR"/>
              </w:rPr>
              <w:t xml:space="preserve">. </w:t>
            </w:r>
            <w:r w:rsidR="000B0220" w:rsidRPr="00590835">
              <w:rPr>
                <w:rFonts w:asciiTheme="minorHAnsi" w:hAnsiTheme="minorHAnsi" w:cstheme="minorHAnsi"/>
                <w:sz w:val="18"/>
                <w:szCs w:val="18"/>
                <w:lang w:val="fr-CH"/>
              </w:rPr>
              <w:t>L</w:t>
            </w:r>
            <w:r w:rsidR="00631810" w:rsidRPr="00590835">
              <w:rPr>
                <w:rFonts w:asciiTheme="minorHAnsi" w:hAnsiTheme="minorHAnsi" w:cstheme="minorHAnsi"/>
                <w:sz w:val="18"/>
                <w:szCs w:val="18"/>
                <w:lang w:val="fr-CH"/>
              </w:rPr>
              <w:t>e</w:t>
            </w:r>
            <w:r w:rsidR="000B0220" w:rsidRPr="00590835">
              <w:rPr>
                <w:rFonts w:asciiTheme="minorHAnsi" w:hAnsiTheme="minorHAnsi" w:cstheme="minorHAnsi"/>
                <w:sz w:val="18"/>
                <w:szCs w:val="18"/>
                <w:lang w:val="fr-CH"/>
              </w:rPr>
              <w:t xml:space="preserve"> Conseil de gestion collaborati</w:t>
            </w:r>
            <w:r w:rsidR="00EF36DC" w:rsidRPr="00590835">
              <w:rPr>
                <w:rFonts w:asciiTheme="minorHAnsi" w:hAnsiTheme="minorHAnsi" w:cstheme="minorHAnsi"/>
                <w:sz w:val="18"/>
                <w:szCs w:val="18"/>
                <w:lang w:val="fr-CH"/>
              </w:rPr>
              <w:t>ve</w:t>
            </w:r>
            <w:r w:rsidR="000B0220" w:rsidRPr="00590835">
              <w:rPr>
                <w:rFonts w:asciiTheme="minorHAnsi" w:hAnsiTheme="minorHAnsi" w:cstheme="minorHAnsi"/>
                <w:sz w:val="18"/>
                <w:szCs w:val="18"/>
                <w:lang w:val="fr-CH"/>
              </w:rPr>
              <w:t xml:space="preserve"> examine les rapports annuels et approuve le budget et les règlements financiers. Le Secrétariat exécute le budget.</w:t>
            </w:r>
          </w:p>
        </w:tc>
        <w:tc>
          <w:tcPr>
            <w:tcW w:w="992" w:type="dxa"/>
          </w:tcPr>
          <w:p w14:paraId="668EE0EA" w14:textId="1FCBEB41" w:rsidR="002C4120" w:rsidRPr="00590835" w:rsidRDefault="00631810" w:rsidP="00217015">
            <w:pPr>
              <w:ind w:left="0" w:firstLine="0"/>
              <w:jc w:val="right"/>
              <w:outlineLvl w:val="1"/>
              <w:rPr>
                <w:rFonts w:asciiTheme="minorHAnsi" w:hAnsiTheme="minorHAnsi" w:cstheme="minorHAnsi"/>
                <w:bCs/>
                <w:sz w:val="18"/>
                <w:szCs w:val="20"/>
                <w:lang w:val="fr-FR"/>
              </w:rPr>
            </w:pPr>
            <w:r w:rsidRPr="00590835">
              <w:rPr>
                <w:rFonts w:cs="Calibri"/>
                <w:bCs/>
                <w:sz w:val="18"/>
                <w:szCs w:val="20"/>
                <w:lang w:val="fr-FR"/>
              </w:rPr>
              <w:t>110</w:t>
            </w:r>
            <w:r w:rsidR="004F6363" w:rsidRPr="00590835">
              <w:rPr>
                <w:rFonts w:cs="Calibri"/>
                <w:bCs/>
                <w:sz w:val="18"/>
                <w:szCs w:val="20"/>
                <w:lang w:val="fr-FR"/>
              </w:rPr>
              <w:t> 000</w:t>
            </w:r>
          </w:p>
        </w:tc>
        <w:tc>
          <w:tcPr>
            <w:tcW w:w="884" w:type="dxa"/>
          </w:tcPr>
          <w:p w14:paraId="12576BF8" w14:textId="6E2C5C27" w:rsidR="002C4120" w:rsidRPr="00590835" w:rsidRDefault="00631810" w:rsidP="00217015">
            <w:pPr>
              <w:ind w:left="0" w:firstLine="0"/>
              <w:jc w:val="right"/>
              <w:outlineLvl w:val="1"/>
              <w:rPr>
                <w:rFonts w:asciiTheme="minorHAnsi" w:hAnsiTheme="minorHAnsi" w:cstheme="minorHAnsi"/>
                <w:bCs/>
                <w:sz w:val="18"/>
                <w:szCs w:val="20"/>
                <w:lang w:val="fr-FR"/>
              </w:rPr>
            </w:pPr>
            <w:r w:rsidRPr="00590835">
              <w:rPr>
                <w:rFonts w:cs="Calibri"/>
                <w:bCs/>
                <w:sz w:val="18"/>
                <w:szCs w:val="20"/>
                <w:lang w:val="fr-FR"/>
              </w:rPr>
              <w:t>29</w:t>
            </w:r>
            <w:r w:rsidR="004F6363" w:rsidRPr="00590835">
              <w:rPr>
                <w:rFonts w:cs="Calibri"/>
                <w:bCs/>
                <w:sz w:val="18"/>
                <w:szCs w:val="20"/>
                <w:lang w:val="fr-FR"/>
              </w:rPr>
              <w:t> </w:t>
            </w:r>
            <w:r w:rsidRPr="00590835">
              <w:rPr>
                <w:rFonts w:cs="Calibri"/>
                <w:bCs/>
                <w:sz w:val="18"/>
                <w:szCs w:val="20"/>
                <w:lang w:val="fr-FR"/>
              </w:rPr>
              <w:t>300</w:t>
            </w:r>
          </w:p>
        </w:tc>
        <w:tc>
          <w:tcPr>
            <w:tcW w:w="1417" w:type="dxa"/>
          </w:tcPr>
          <w:p w14:paraId="3ED5BF58" w14:textId="77777777" w:rsidR="002C4120" w:rsidRPr="00590835" w:rsidRDefault="004F6363" w:rsidP="00217015">
            <w:pPr>
              <w:ind w:left="0" w:firstLine="0"/>
              <w:outlineLvl w:val="1"/>
              <w:rPr>
                <w:rFonts w:asciiTheme="minorHAnsi" w:hAnsiTheme="minorHAnsi" w:cstheme="minorHAnsi"/>
                <w:bCs/>
                <w:sz w:val="18"/>
                <w:szCs w:val="20"/>
                <w:lang w:val="fr-FR"/>
              </w:rPr>
            </w:pPr>
            <w:r w:rsidRPr="00590835">
              <w:rPr>
                <w:rFonts w:cs="Calibri"/>
                <w:bCs/>
                <w:sz w:val="18"/>
                <w:szCs w:val="20"/>
                <w:lang w:val="fr-FR"/>
              </w:rPr>
              <w:t>Gouvernement de l’Ouganda, Fondation des Nations Unies</w:t>
            </w:r>
          </w:p>
        </w:tc>
        <w:tc>
          <w:tcPr>
            <w:tcW w:w="2744" w:type="dxa"/>
          </w:tcPr>
          <w:p w14:paraId="291A59ED" w14:textId="451A062E" w:rsidR="00631810" w:rsidRPr="00590835" w:rsidRDefault="00631810" w:rsidP="00631810">
            <w:pPr>
              <w:ind w:left="0" w:firstLine="0"/>
              <w:outlineLvl w:val="1"/>
              <w:rPr>
                <w:rFonts w:asciiTheme="minorHAnsi" w:hAnsiTheme="minorHAnsi" w:cstheme="minorHAnsi"/>
                <w:bCs/>
                <w:sz w:val="18"/>
                <w:szCs w:val="20"/>
                <w:lang w:val="fr-CH"/>
              </w:rPr>
            </w:pPr>
            <w:r w:rsidRPr="00590835">
              <w:rPr>
                <w:rFonts w:asciiTheme="minorHAnsi" w:hAnsiTheme="minorHAnsi" w:cstheme="minorHAnsi"/>
                <w:bCs/>
                <w:sz w:val="18"/>
                <w:szCs w:val="20"/>
                <w:lang w:val="fr-FR"/>
              </w:rPr>
              <w:t xml:space="preserve">• </w:t>
            </w:r>
            <w:r w:rsidR="000B0220" w:rsidRPr="00590835">
              <w:rPr>
                <w:rFonts w:asciiTheme="minorHAnsi" w:hAnsiTheme="minorHAnsi" w:cstheme="minorHAnsi"/>
                <w:bCs/>
                <w:sz w:val="18"/>
                <w:szCs w:val="20"/>
                <w:lang w:val="fr-CH"/>
              </w:rPr>
              <w:t>Un appui aux Parties</w:t>
            </w:r>
            <w:r w:rsidR="00EF36DC" w:rsidRPr="00590835">
              <w:rPr>
                <w:rFonts w:asciiTheme="minorHAnsi" w:hAnsiTheme="minorHAnsi" w:cstheme="minorHAnsi"/>
                <w:bCs/>
                <w:sz w:val="18"/>
                <w:szCs w:val="20"/>
                <w:lang w:val="fr-CH"/>
              </w:rPr>
              <w:t xml:space="preserve"> en matière</w:t>
            </w:r>
            <w:r w:rsidR="000B0220" w:rsidRPr="00590835">
              <w:rPr>
                <w:rFonts w:asciiTheme="minorHAnsi" w:hAnsiTheme="minorHAnsi" w:cstheme="minorHAnsi"/>
                <w:bCs/>
                <w:sz w:val="18"/>
                <w:szCs w:val="20"/>
                <w:lang w:val="fr-CH"/>
              </w:rPr>
              <w:t xml:space="preserve"> </w:t>
            </w:r>
            <w:r w:rsidR="00EF36DC" w:rsidRPr="00590835">
              <w:rPr>
                <w:rFonts w:asciiTheme="minorHAnsi" w:hAnsiTheme="minorHAnsi" w:cstheme="minorHAnsi"/>
                <w:bCs/>
                <w:sz w:val="18"/>
                <w:szCs w:val="20"/>
                <w:lang w:val="fr-CH"/>
              </w:rPr>
              <w:t>d</w:t>
            </w:r>
            <w:r w:rsidR="000B0220" w:rsidRPr="00590835">
              <w:rPr>
                <w:rFonts w:asciiTheme="minorHAnsi" w:hAnsiTheme="minorHAnsi" w:cstheme="minorHAnsi"/>
                <w:bCs/>
                <w:sz w:val="18"/>
                <w:szCs w:val="20"/>
                <w:lang w:val="fr-CH"/>
              </w:rPr>
              <w:t xml:space="preserve">’utilisation rationnelle des zones humides s’appuyant sur les enseignements des projets a été </w:t>
            </w:r>
            <w:r w:rsidR="00EF36DC" w:rsidRPr="00590835">
              <w:rPr>
                <w:rFonts w:asciiTheme="minorHAnsi" w:hAnsiTheme="minorHAnsi" w:cstheme="minorHAnsi"/>
                <w:bCs/>
                <w:sz w:val="18"/>
                <w:szCs w:val="20"/>
                <w:lang w:val="fr-CH"/>
              </w:rPr>
              <w:t>mis en place</w:t>
            </w:r>
            <w:r w:rsidR="000B0220" w:rsidRPr="00590835">
              <w:rPr>
                <w:rFonts w:asciiTheme="minorHAnsi" w:hAnsiTheme="minorHAnsi" w:cstheme="minorHAnsi"/>
                <w:bCs/>
                <w:sz w:val="18"/>
                <w:szCs w:val="20"/>
                <w:lang w:val="fr-CH"/>
              </w:rPr>
              <w:t>.</w:t>
            </w:r>
          </w:p>
          <w:p w14:paraId="33BD4B94" w14:textId="36D84951" w:rsidR="002C4120" w:rsidRPr="00590835" w:rsidRDefault="002C4120" w:rsidP="00217015">
            <w:pPr>
              <w:ind w:left="0" w:firstLine="0"/>
              <w:outlineLvl w:val="1"/>
              <w:rPr>
                <w:rFonts w:asciiTheme="minorHAnsi" w:hAnsiTheme="minorHAnsi" w:cstheme="minorHAnsi"/>
                <w:bCs/>
                <w:sz w:val="18"/>
                <w:szCs w:val="20"/>
                <w:lang w:val="fr-FR"/>
              </w:rPr>
            </w:pPr>
          </w:p>
        </w:tc>
        <w:tc>
          <w:tcPr>
            <w:tcW w:w="1203" w:type="dxa"/>
          </w:tcPr>
          <w:p w14:paraId="0009421D" w14:textId="79E16FC4" w:rsidR="002C4120" w:rsidRPr="00590835" w:rsidRDefault="002203CE" w:rsidP="00217015">
            <w:pPr>
              <w:ind w:left="0" w:firstLine="0"/>
              <w:outlineLvl w:val="1"/>
              <w:rPr>
                <w:rFonts w:asciiTheme="minorHAnsi" w:hAnsiTheme="minorHAnsi" w:cstheme="minorHAnsi"/>
                <w:bCs/>
                <w:sz w:val="18"/>
                <w:szCs w:val="20"/>
                <w:lang w:val="fr-FR"/>
              </w:rPr>
            </w:pPr>
            <w:r w:rsidRPr="00590835">
              <w:rPr>
                <w:rFonts w:asciiTheme="minorHAnsi" w:hAnsiTheme="minorHAnsi" w:cstheme="minorHAnsi"/>
                <w:bCs/>
                <w:sz w:val="18"/>
                <w:szCs w:val="20"/>
                <w:lang w:val="fr-FR"/>
              </w:rPr>
              <w:t xml:space="preserve">Restrictions imposées par la </w:t>
            </w:r>
            <w:r w:rsidR="00631810" w:rsidRPr="00590835">
              <w:rPr>
                <w:rFonts w:asciiTheme="minorHAnsi" w:hAnsiTheme="minorHAnsi" w:cstheme="minorHAnsi"/>
                <w:bCs/>
                <w:sz w:val="18"/>
                <w:szCs w:val="20"/>
                <w:lang w:val="fr-FR"/>
              </w:rPr>
              <w:t xml:space="preserve">COVID-19, </w:t>
            </w:r>
            <w:r w:rsidRPr="00590835">
              <w:rPr>
                <w:rFonts w:asciiTheme="minorHAnsi" w:hAnsiTheme="minorHAnsi" w:cstheme="minorHAnsi"/>
                <w:bCs/>
                <w:sz w:val="18"/>
                <w:szCs w:val="20"/>
                <w:lang w:val="fr-FR"/>
              </w:rPr>
              <w:t>Ressources limitées et appui insuffisant</w:t>
            </w:r>
            <w:r w:rsidR="00631810" w:rsidRPr="00590835">
              <w:rPr>
                <w:rFonts w:asciiTheme="minorHAnsi" w:hAnsiTheme="minorHAnsi" w:cstheme="minorHAnsi"/>
                <w:bCs/>
                <w:sz w:val="18"/>
                <w:szCs w:val="20"/>
                <w:lang w:val="fr-FR"/>
              </w:rPr>
              <w:t xml:space="preserve"> </w:t>
            </w:r>
            <w:r w:rsidRPr="00590835">
              <w:rPr>
                <w:rFonts w:asciiTheme="minorHAnsi" w:hAnsiTheme="minorHAnsi" w:cstheme="minorHAnsi"/>
                <w:bCs/>
                <w:sz w:val="18"/>
                <w:szCs w:val="20"/>
                <w:lang w:val="fr-FR"/>
              </w:rPr>
              <w:t>des États</w:t>
            </w:r>
            <w:r w:rsidR="00631810" w:rsidRPr="00590835">
              <w:rPr>
                <w:rFonts w:asciiTheme="minorHAnsi" w:hAnsiTheme="minorHAnsi" w:cstheme="minorHAnsi"/>
                <w:bCs/>
                <w:sz w:val="18"/>
                <w:szCs w:val="20"/>
                <w:lang w:val="fr-FR"/>
              </w:rPr>
              <w:t xml:space="preserve"> </w:t>
            </w:r>
            <w:r w:rsidRPr="00590835">
              <w:rPr>
                <w:rFonts w:asciiTheme="minorHAnsi" w:hAnsiTheme="minorHAnsi" w:cstheme="minorHAnsi"/>
                <w:bCs/>
                <w:sz w:val="18"/>
                <w:szCs w:val="20"/>
                <w:lang w:val="fr-FR"/>
              </w:rPr>
              <w:t>et</w:t>
            </w:r>
            <w:r w:rsidR="00631810" w:rsidRPr="00590835">
              <w:rPr>
                <w:rFonts w:asciiTheme="minorHAnsi" w:hAnsiTheme="minorHAnsi" w:cstheme="minorHAnsi"/>
                <w:bCs/>
                <w:sz w:val="18"/>
                <w:szCs w:val="20"/>
                <w:lang w:val="fr-FR"/>
              </w:rPr>
              <w:t xml:space="preserve"> institutions </w:t>
            </w:r>
            <w:r w:rsidRPr="00590835">
              <w:rPr>
                <w:rFonts w:asciiTheme="minorHAnsi" w:hAnsiTheme="minorHAnsi" w:cstheme="minorHAnsi"/>
                <w:bCs/>
                <w:sz w:val="18"/>
                <w:szCs w:val="20"/>
                <w:lang w:val="fr-FR"/>
              </w:rPr>
              <w:t>internationales à la mise en œuvre des activités principales</w:t>
            </w:r>
          </w:p>
        </w:tc>
      </w:tr>
      <w:tr w:rsidR="006227CB" w:rsidRPr="00741120" w14:paraId="30E18F73" w14:textId="77777777" w:rsidTr="00945C73">
        <w:trPr>
          <w:cantSplit/>
        </w:trPr>
        <w:tc>
          <w:tcPr>
            <w:tcW w:w="1414" w:type="dxa"/>
          </w:tcPr>
          <w:p w14:paraId="12619A23" w14:textId="1A010AB2" w:rsidR="006227CB" w:rsidRPr="00420F85" w:rsidRDefault="006227CB"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Centre régional Ramsar pour la formation et la recherche </w:t>
            </w:r>
            <w:r>
              <w:rPr>
                <w:rFonts w:cs="Calibri"/>
                <w:bCs/>
                <w:sz w:val="18"/>
                <w:szCs w:val="20"/>
                <w:lang w:val="fr-FR"/>
              </w:rPr>
              <w:t>dans</w:t>
            </w:r>
            <w:r w:rsidRPr="00420F85">
              <w:rPr>
                <w:rFonts w:cs="Calibri"/>
                <w:bCs/>
                <w:sz w:val="18"/>
                <w:szCs w:val="20"/>
                <w:lang w:val="fr-FR"/>
              </w:rPr>
              <w:t xml:space="preserve"> l’hémisphère occidental (CREHO), 1999</w:t>
            </w:r>
          </w:p>
        </w:tc>
        <w:tc>
          <w:tcPr>
            <w:tcW w:w="880" w:type="dxa"/>
          </w:tcPr>
          <w:p w14:paraId="4562F62C" w14:textId="77777777" w:rsidR="006227CB" w:rsidRPr="00420F85" w:rsidRDefault="006227CB" w:rsidP="00F000BB">
            <w:pPr>
              <w:ind w:left="0" w:firstLine="0"/>
              <w:outlineLvl w:val="1"/>
              <w:rPr>
                <w:rFonts w:asciiTheme="minorHAnsi" w:hAnsiTheme="minorHAnsi" w:cstheme="minorHAnsi"/>
                <w:bCs/>
                <w:sz w:val="18"/>
                <w:szCs w:val="20"/>
                <w:lang w:val="fr-FR"/>
              </w:rPr>
            </w:pPr>
            <w:r w:rsidRPr="00420F85">
              <w:rPr>
                <w:rFonts w:cs="Calibri"/>
                <w:bCs/>
                <w:sz w:val="18"/>
                <w:szCs w:val="20"/>
                <w:lang w:val="fr-FR"/>
              </w:rPr>
              <w:t>30</w:t>
            </w:r>
          </w:p>
        </w:tc>
        <w:tc>
          <w:tcPr>
            <w:tcW w:w="1100" w:type="dxa"/>
          </w:tcPr>
          <w:p w14:paraId="008ADE70" w14:textId="77777777" w:rsidR="006227CB" w:rsidRPr="00420F85" w:rsidRDefault="006227CB"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w:t>
            </w:r>
          </w:p>
        </w:tc>
        <w:tc>
          <w:tcPr>
            <w:tcW w:w="2266" w:type="dxa"/>
          </w:tcPr>
          <w:p w14:paraId="6A842A1A" w14:textId="16C7F997" w:rsidR="006227CB" w:rsidRPr="00420F85" w:rsidRDefault="006227CB" w:rsidP="000E7248">
            <w:pPr>
              <w:ind w:left="0" w:firstLine="0"/>
              <w:outlineLvl w:val="1"/>
              <w:rPr>
                <w:rFonts w:asciiTheme="minorHAnsi" w:hAnsiTheme="minorHAnsi" w:cstheme="minorHAnsi"/>
                <w:bCs/>
                <w:sz w:val="18"/>
                <w:szCs w:val="20"/>
                <w:lang w:val="fr-FR"/>
              </w:rPr>
            </w:pPr>
            <w:r w:rsidRPr="00420F85">
              <w:rPr>
                <w:rFonts w:cs="Calibri"/>
                <w:bCs/>
                <w:sz w:val="18"/>
                <w:szCs w:val="20"/>
                <w:lang w:val="fr-FR"/>
              </w:rPr>
              <w:t>L’organe de gouvernance est le Conseil d’administration</w:t>
            </w:r>
            <w:r w:rsidR="006D16A4">
              <w:rPr>
                <w:rFonts w:cs="Calibri"/>
                <w:bCs/>
                <w:sz w:val="18"/>
                <w:szCs w:val="20"/>
                <w:lang w:val="fr-FR"/>
              </w:rPr>
              <w:t xml:space="preserve"> </w:t>
            </w:r>
            <w:r w:rsidRPr="00420F85">
              <w:rPr>
                <w:rFonts w:cs="Calibri"/>
                <w:bCs/>
                <w:sz w:val="18"/>
                <w:szCs w:val="20"/>
                <w:lang w:val="fr-FR"/>
              </w:rPr>
              <w:t xml:space="preserve">qui est responsable de toutes les décisions financières, administratives et opérationnelles. </w:t>
            </w:r>
          </w:p>
        </w:tc>
        <w:tc>
          <w:tcPr>
            <w:tcW w:w="1276" w:type="dxa"/>
          </w:tcPr>
          <w:p w14:paraId="6B502938" w14:textId="77777777" w:rsidR="006227CB" w:rsidRPr="00420F85" w:rsidRDefault="006227CB"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Membre permanent du Conseil d’administration</w:t>
            </w:r>
          </w:p>
        </w:tc>
        <w:tc>
          <w:tcPr>
            <w:tcW w:w="1559" w:type="dxa"/>
          </w:tcPr>
          <w:p w14:paraId="7D4A45B9" w14:textId="77777777" w:rsidR="006227CB" w:rsidRPr="00590835" w:rsidRDefault="006227CB" w:rsidP="00217015">
            <w:pPr>
              <w:ind w:left="0" w:firstLine="0"/>
              <w:outlineLvl w:val="1"/>
              <w:rPr>
                <w:rFonts w:asciiTheme="minorHAnsi" w:hAnsiTheme="minorHAnsi" w:cstheme="minorHAnsi"/>
                <w:bCs/>
                <w:sz w:val="18"/>
                <w:szCs w:val="20"/>
                <w:lang w:val="fr-FR"/>
              </w:rPr>
            </w:pPr>
            <w:r w:rsidRPr="00590835">
              <w:rPr>
                <w:rFonts w:cs="Calibri"/>
                <w:bCs/>
                <w:sz w:val="18"/>
                <w:szCs w:val="20"/>
                <w:lang w:val="fr-FR"/>
              </w:rPr>
              <w:t>Le Conseil d’administration est chargé d’approuver le budget et de superviser la gestion financière.</w:t>
            </w:r>
          </w:p>
        </w:tc>
        <w:tc>
          <w:tcPr>
            <w:tcW w:w="992" w:type="dxa"/>
          </w:tcPr>
          <w:p w14:paraId="67DDEC01" w14:textId="08A739A8" w:rsidR="006227CB" w:rsidRPr="00590835" w:rsidRDefault="00945C73" w:rsidP="00945C73">
            <w:pPr>
              <w:ind w:left="0" w:firstLine="0"/>
              <w:jc w:val="right"/>
              <w:outlineLvl w:val="1"/>
              <w:rPr>
                <w:rFonts w:asciiTheme="minorHAnsi" w:hAnsiTheme="minorHAnsi" w:cstheme="minorHAnsi"/>
                <w:bCs/>
                <w:sz w:val="18"/>
                <w:szCs w:val="20"/>
                <w:lang w:val="fr-FR"/>
              </w:rPr>
            </w:pPr>
            <w:r w:rsidRPr="00590835">
              <w:rPr>
                <w:rFonts w:cs="Calibri"/>
                <w:bCs/>
                <w:sz w:val="18"/>
                <w:szCs w:val="20"/>
                <w:lang w:val="fr-FR"/>
              </w:rPr>
              <w:t>309 830</w:t>
            </w:r>
          </w:p>
        </w:tc>
        <w:tc>
          <w:tcPr>
            <w:tcW w:w="884" w:type="dxa"/>
          </w:tcPr>
          <w:p w14:paraId="47B3DDC5" w14:textId="125B9210" w:rsidR="006227CB" w:rsidRPr="00590835" w:rsidRDefault="00945C73" w:rsidP="00945C73">
            <w:pPr>
              <w:ind w:left="0" w:firstLine="0"/>
              <w:jc w:val="right"/>
              <w:outlineLvl w:val="1"/>
              <w:rPr>
                <w:rFonts w:asciiTheme="minorHAnsi" w:hAnsiTheme="minorHAnsi" w:cstheme="minorHAnsi"/>
                <w:bCs/>
                <w:sz w:val="18"/>
                <w:szCs w:val="20"/>
                <w:lang w:val="fr-FR"/>
              </w:rPr>
            </w:pPr>
            <w:r w:rsidRPr="00590835">
              <w:rPr>
                <w:rFonts w:asciiTheme="minorHAnsi" w:hAnsiTheme="minorHAnsi" w:cstheme="minorHAnsi"/>
                <w:bCs/>
                <w:sz w:val="18"/>
                <w:szCs w:val="20"/>
                <w:lang w:val="fr-FR"/>
              </w:rPr>
              <w:t>232 559</w:t>
            </w:r>
          </w:p>
        </w:tc>
        <w:tc>
          <w:tcPr>
            <w:tcW w:w="1417" w:type="dxa"/>
          </w:tcPr>
          <w:p w14:paraId="5A4FAEA0" w14:textId="07109AB6" w:rsidR="006227CB" w:rsidRPr="00590835" w:rsidRDefault="00945C73" w:rsidP="00945C73">
            <w:pPr>
              <w:ind w:left="0" w:firstLine="0"/>
              <w:outlineLvl w:val="1"/>
              <w:rPr>
                <w:rFonts w:asciiTheme="minorHAnsi" w:hAnsiTheme="minorHAnsi" w:cstheme="minorHAnsi"/>
                <w:bCs/>
                <w:sz w:val="18"/>
                <w:szCs w:val="20"/>
                <w:lang w:val="fr-FR"/>
              </w:rPr>
            </w:pPr>
            <w:r w:rsidRPr="00590835">
              <w:rPr>
                <w:rFonts w:asciiTheme="minorHAnsi" w:hAnsiTheme="minorHAnsi" w:cstheme="minorHAnsi"/>
                <w:bCs/>
                <w:sz w:val="18"/>
                <w:szCs w:val="20"/>
                <w:lang w:val="fr-FR"/>
              </w:rPr>
              <w:t>Ministère panaméen de l’environnement, appels de fonds</w:t>
            </w:r>
          </w:p>
        </w:tc>
        <w:tc>
          <w:tcPr>
            <w:tcW w:w="2744" w:type="dxa"/>
          </w:tcPr>
          <w:p w14:paraId="3DEB04B8" w14:textId="5A2B4EF1" w:rsidR="006227CB" w:rsidRPr="00590835" w:rsidRDefault="00945C73" w:rsidP="00945C73">
            <w:pPr>
              <w:ind w:left="0" w:firstLine="0"/>
              <w:outlineLvl w:val="1"/>
              <w:rPr>
                <w:rFonts w:asciiTheme="minorHAnsi" w:hAnsiTheme="minorHAnsi" w:cstheme="minorHAnsi"/>
                <w:bCs/>
                <w:sz w:val="18"/>
                <w:szCs w:val="20"/>
                <w:lang w:val="fr-CH"/>
              </w:rPr>
            </w:pPr>
            <w:r w:rsidRPr="00590835">
              <w:rPr>
                <w:rFonts w:asciiTheme="minorHAnsi" w:hAnsiTheme="minorHAnsi" w:cstheme="minorHAnsi"/>
                <w:bCs/>
                <w:sz w:val="18"/>
                <w:szCs w:val="20"/>
                <w:lang w:val="fr-CH"/>
              </w:rPr>
              <w:t>• Projets nationaux sur le terrain, webinaires et réunions en ligne : avec une participation nationale et internationale.</w:t>
            </w:r>
          </w:p>
        </w:tc>
        <w:tc>
          <w:tcPr>
            <w:tcW w:w="1203" w:type="dxa"/>
          </w:tcPr>
          <w:p w14:paraId="2561B821" w14:textId="3859592A" w:rsidR="006227CB" w:rsidRPr="00590835" w:rsidRDefault="00945C73" w:rsidP="00945C73">
            <w:pPr>
              <w:ind w:left="0" w:firstLine="0"/>
              <w:outlineLvl w:val="1"/>
              <w:rPr>
                <w:rFonts w:asciiTheme="minorHAnsi" w:hAnsiTheme="minorHAnsi" w:cstheme="minorHAnsi"/>
                <w:bCs/>
                <w:sz w:val="18"/>
                <w:szCs w:val="20"/>
                <w:lang w:val="fr-FR"/>
              </w:rPr>
            </w:pPr>
            <w:r w:rsidRPr="00590835">
              <w:rPr>
                <w:rFonts w:asciiTheme="minorHAnsi" w:hAnsiTheme="minorHAnsi" w:cstheme="minorHAnsi"/>
                <w:bCs/>
                <w:sz w:val="18"/>
                <w:szCs w:val="20"/>
                <w:lang w:val="fr-FR"/>
              </w:rPr>
              <w:t>Aucune information</w:t>
            </w:r>
          </w:p>
        </w:tc>
      </w:tr>
      <w:tr w:rsidR="00E74827" w:rsidRPr="00D26183" w14:paraId="295F9541" w14:textId="77777777" w:rsidTr="00945C73">
        <w:trPr>
          <w:cantSplit/>
        </w:trPr>
        <w:tc>
          <w:tcPr>
            <w:tcW w:w="1414" w:type="dxa"/>
          </w:tcPr>
          <w:p w14:paraId="5848F0DD"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lastRenderedPageBreak/>
              <w:t>Centre régional Ramsar – Asie centrale et de l’Ouest (RRC-CWA), 2002</w:t>
            </w:r>
          </w:p>
        </w:tc>
        <w:tc>
          <w:tcPr>
            <w:tcW w:w="880" w:type="dxa"/>
          </w:tcPr>
          <w:p w14:paraId="014D3012"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15</w:t>
            </w:r>
          </w:p>
        </w:tc>
        <w:tc>
          <w:tcPr>
            <w:tcW w:w="1100" w:type="dxa"/>
          </w:tcPr>
          <w:p w14:paraId="0939D798"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w:t>
            </w:r>
          </w:p>
        </w:tc>
        <w:tc>
          <w:tcPr>
            <w:tcW w:w="2266" w:type="dxa"/>
          </w:tcPr>
          <w:p w14:paraId="0B10866A"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Les organes administratifs sont le Conseil de gestion collaborative et le Secrétariat du RRC-CWA. Le Conseil de gestion collaborative donne des orientations stratégiques, approuve les programmes, les activités ainsi que le budget et le règlement financier. </w:t>
            </w:r>
          </w:p>
        </w:tc>
        <w:tc>
          <w:tcPr>
            <w:tcW w:w="1276" w:type="dxa"/>
          </w:tcPr>
          <w:p w14:paraId="14014539"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Membre du Conseil de gestion collaborative </w:t>
            </w:r>
          </w:p>
        </w:tc>
        <w:tc>
          <w:tcPr>
            <w:tcW w:w="1559" w:type="dxa"/>
          </w:tcPr>
          <w:p w14:paraId="0FC95A17"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Le Conseil de gestion collaborative examine les rapports annuels et approuve le budget et le règlement financier.  </w:t>
            </w:r>
          </w:p>
        </w:tc>
        <w:tc>
          <w:tcPr>
            <w:tcW w:w="992" w:type="dxa"/>
          </w:tcPr>
          <w:p w14:paraId="3A91CCEE" w14:textId="7EA061A1" w:rsidR="002C4120" w:rsidRPr="0098168E" w:rsidRDefault="0032675E" w:rsidP="00217015">
            <w:pPr>
              <w:ind w:left="0" w:firstLine="0"/>
              <w:outlineLvl w:val="1"/>
              <w:rPr>
                <w:rFonts w:asciiTheme="minorHAnsi" w:hAnsiTheme="minorHAnsi" w:cstheme="minorHAnsi"/>
                <w:bCs/>
                <w:spacing w:val="-4"/>
                <w:sz w:val="18"/>
                <w:szCs w:val="20"/>
                <w:lang w:val="fr-FR"/>
              </w:rPr>
            </w:pPr>
            <w:r w:rsidRPr="0098168E">
              <w:rPr>
                <w:rFonts w:cs="Calibri"/>
                <w:bCs/>
                <w:spacing w:val="-4"/>
                <w:sz w:val="18"/>
                <w:szCs w:val="20"/>
                <w:lang w:val="fr-FR"/>
              </w:rPr>
              <w:t>335 000</w:t>
            </w:r>
          </w:p>
        </w:tc>
        <w:tc>
          <w:tcPr>
            <w:tcW w:w="884" w:type="dxa"/>
          </w:tcPr>
          <w:p w14:paraId="066F9ADF" w14:textId="199F55A0" w:rsidR="002C4120" w:rsidRPr="0098168E" w:rsidRDefault="0032675E"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25 000</w:t>
            </w:r>
          </w:p>
        </w:tc>
        <w:tc>
          <w:tcPr>
            <w:tcW w:w="1417" w:type="dxa"/>
          </w:tcPr>
          <w:p w14:paraId="02951510" w14:textId="4C24E36D"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 xml:space="preserve">Gouvernement </w:t>
            </w:r>
            <w:r w:rsidR="0032675E" w:rsidRPr="0098168E">
              <w:rPr>
                <w:rFonts w:cs="Calibri"/>
                <w:bCs/>
                <w:sz w:val="18"/>
                <w:szCs w:val="20"/>
                <w:lang w:val="fr-FR"/>
              </w:rPr>
              <w:t>de l’Iran</w:t>
            </w:r>
            <w:r w:rsidRPr="0098168E">
              <w:rPr>
                <w:rFonts w:cs="Calibri"/>
                <w:bCs/>
                <w:sz w:val="18"/>
                <w:szCs w:val="20"/>
                <w:lang w:val="fr-FR"/>
              </w:rPr>
              <w:t xml:space="preserve"> (Département de l’environnement, Ministère de l’énergie), PNUD (Plan national de conservation des zones humides d’Iran)</w:t>
            </w:r>
          </w:p>
        </w:tc>
        <w:tc>
          <w:tcPr>
            <w:tcW w:w="2744" w:type="dxa"/>
          </w:tcPr>
          <w:p w14:paraId="2C55B532" w14:textId="1CEC294C" w:rsidR="0032675E" w:rsidRPr="0098168E" w:rsidRDefault="00A37EC1" w:rsidP="0032675E">
            <w:pPr>
              <w:ind w:left="0" w:firstLine="0"/>
              <w:outlineLvl w:val="1"/>
              <w:rPr>
                <w:rFonts w:asciiTheme="minorHAnsi" w:hAnsiTheme="minorHAnsi" w:cstheme="minorHAnsi"/>
                <w:bCs/>
                <w:sz w:val="18"/>
                <w:szCs w:val="20"/>
                <w:lang w:val="fr-CH"/>
              </w:rPr>
            </w:pPr>
            <w:r w:rsidRPr="0098168E">
              <w:rPr>
                <w:rFonts w:cs="Calibri"/>
                <w:bCs/>
                <w:sz w:val="18"/>
                <w:szCs w:val="20"/>
                <w:lang w:val="fr-CH"/>
              </w:rPr>
              <w:t xml:space="preserve">• </w:t>
            </w:r>
            <w:r w:rsidR="00BF1A39" w:rsidRPr="0098168E">
              <w:rPr>
                <w:rFonts w:asciiTheme="minorHAnsi" w:hAnsiTheme="minorHAnsi" w:cstheme="minorHAnsi"/>
                <w:bCs/>
                <w:sz w:val="18"/>
                <w:szCs w:val="20"/>
                <w:lang w:val="fr-CH"/>
              </w:rPr>
              <w:t xml:space="preserve">Un Plan d’action régional CESP a été lancé. </w:t>
            </w:r>
            <w:r w:rsidR="0032675E" w:rsidRPr="0098168E">
              <w:rPr>
                <w:rFonts w:asciiTheme="minorHAnsi" w:hAnsiTheme="minorHAnsi" w:cstheme="minorHAnsi"/>
                <w:bCs/>
                <w:sz w:val="18"/>
                <w:szCs w:val="20"/>
                <w:lang w:val="fr-CH"/>
              </w:rPr>
              <w:t xml:space="preserve">Discussion </w:t>
            </w:r>
            <w:r w:rsidR="00BF1A39" w:rsidRPr="0098168E">
              <w:rPr>
                <w:rFonts w:asciiTheme="minorHAnsi" w:hAnsiTheme="minorHAnsi" w:cstheme="minorHAnsi"/>
                <w:bCs/>
                <w:sz w:val="18"/>
                <w:szCs w:val="20"/>
                <w:lang w:val="fr-CH"/>
              </w:rPr>
              <w:t xml:space="preserve">d’accords bilatéraux avec </w:t>
            </w:r>
            <w:r w:rsidR="0032675E" w:rsidRPr="0098168E">
              <w:rPr>
                <w:rFonts w:asciiTheme="minorHAnsi" w:hAnsiTheme="minorHAnsi" w:cstheme="minorHAnsi"/>
                <w:bCs/>
                <w:sz w:val="18"/>
                <w:szCs w:val="20"/>
                <w:lang w:val="fr-CH"/>
              </w:rPr>
              <w:t xml:space="preserve">JICA, </w:t>
            </w:r>
            <w:r w:rsidR="00BF1A39" w:rsidRPr="0098168E">
              <w:rPr>
                <w:rFonts w:asciiTheme="minorHAnsi" w:hAnsiTheme="minorHAnsi" w:cstheme="minorHAnsi"/>
                <w:bCs/>
                <w:sz w:val="18"/>
                <w:szCs w:val="20"/>
                <w:lang w:val="fr-CH"/>
              </w:rPr>
              <w:t xml:space="preserve">amélioration pour les membres du CMB et </w:t>
            </w:r>
            <w:r w:rsidR="00590835" w:rsidRPr="0098168E">
              <w:rPr>
                <w:rFonts w:asciiTheme="minorHAnsi" w:hAnsiTheme="minorHAnsi" w:cstheme="minorHAnsi"/>
                <w:bCs/>
                <w:sz w:val="18"/>
                <w:szCs w:val="20"/>
                <w:lang w:val="fr-CH"/>
              </w:rPr>
              <w:t>d</w:t>
            </w:r>
            <w:r w:rsidR="00BF1A39" w:rsidRPr="0098168E">
              <w:rPr>
                <w:rFonts w:asciiTheme="minorHAnsi" w:hAnsiTheme="minorHAnsi" w:cstheme="minorHAnsi"/>
                <w:bCs/>
                <w:sz w:val="18"/>
                <w:szCs w:val="20"/>
                <w:lang w:val="fr-CH"/>
              </w:rPr>
              <w:t>es règlements connexes.</w:t>
            </w:r>
          </w:p>
          <w:p w14:paraId="538ED98E" w14:textId="3E35AD2E" w:rsidR="002C4120" w:rsidRPr="0098168E" w:rsidRDefault="002C4120" w:rsidP="00217015">
            <w:pPr>
              <w:ind w:left="0" w:firstLine="0"/>
              <w:outlineLvl w:val="1"/>
              <w:rPr>
                <w:rFonts w:asciiTheme="minorHAnsi" w:hAnsiTheme="minorHAnsi" w:cstheme="minorHAnsi"/>
                <w:bCs/>
                <w:sz w:val="18"/>
                <w:szCs w:val="20"/>
                <w:lang w:val="fr-CH"/>
              </w:rPr>
            </w:pPr>
          </w:p>
        </w:tc>
        <w:tc>
          <w:tcPr>
            <w:tcW w:w="1203" w:type="dxa"/>
          </w:tcPr>
          <w:p w14:paraId="7F2E2C1F" w14:textId="49DD2DD7" w:rsidR="002C4120" w:rsidRPr="0098168E" w:rsidRDefault="00A613D6"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Restrictions imposées par la COVID-19</w:t>
            </w:r>
            <w:r w:rsidR="00E6619F" w:rsidRPr="0098168E">
              <w:rPr>
                <w:rFonts w:cs="Calibri"/>
                <w:bCs/>
                <w:sz w:val="18"/>
                <w:szCs w:val="20"/>
                <w:lang w:val="fr-FR"/>
              </w:rPr>
              <w:t>,</w:t>
            </w:r>
            <w:r w:rsidR="0032675E" w:rsidRPr="0098168E">
              <w:rPr>
                <w:rFonts w:cs="Calibri"/>
                <w:bCs/>
                <w:sz w:val="18"/>
                <w:szCs w:val="20"/>
                <w:lang w:val="fr-FR"/>
              </w:rPr>
              <w:t xml:space="preserve"> difficult</w:t>
            </w:r>
            <w:r w:rsidR="00E6619F" w:rsidRPr="0098168E">
              <w:rPr>
                <w:rFonts w:cs="Calibri"/>
                <w:bCs/>
                <w:sz w:val="18"/>
                <w:szCs w:val="20"/>
                <w:lang w:val="fr-FR"/>
              </w:rPr>
              <w:t>é</w:t>
            </w:r>
            <w:r w:rsidR="0032675E" w:rsidRPr="0098168E">
              <w:rPr>
                <w:rFonts w:cs="Calibri"/>
                <w:bCs/>
                <w:sz w:val="18"/>
                <w:szCs w:val="20"/>
                <w:lang w:val="fr-FR"/>
              </w:rPr>
              <w:t>s</w:t>
            </w:r>
            <w:r w:rsidR="00E6619F" w:rsidRPr="0098168E">
              <w:rPr>
                <w:rFonts w:cs="Calibri"/>
                <w:bCs/>
                <w:sz w:val="18"/>
                <w:szCs w:val="20"/>
                <w:lang w:val="fr-FR"/>
              </w:rPr>
              <w:t xml:space="preserve"> financières</w:t>
            </w:r>
            <w:r w:rsidR="0032675E" w:rsidRPr="0098168E">
              <w:rPr>
                <w:rFonts w:cs="Calibri"/>
                <w:bCs/>
                <w:sz w:val="18"/>
                <w:szCs w:val="20"/>
                <w:lang w:val="fr-FR"/>
              </w:rPr>
              <w:t xml:space="preserve">. </w:t>
            </w:r>
            <w:r w:rsidR="004F6363" w:rsidRPr="0098168E">
              <w:rPr>
                <w:rFonts w:asciiTheme="minorHAnsi" w:hAnsiTheme="minorHAnsi" w:cstheme="minorHAnsi"/>
                <w:bCs/>
                <w:sz w:val="18"/>
                <w:szCs w:val="20"/>
                <w:lang w:val="fr-FR"/>
              </w:rPr>
              <w:t xml:space="preserve"> </w:t>
            </w:r>
          </w:p>
        </w:tc>
      </w:tr>
      <w:tr w:rsidR="00E74827" w:rsidRPr="00D26183" w14:paraId="5585700D" w14:textId="77777777" w:rsidTr="00945C73">
        <w:trPr>
          <w:cantSplit/>
        </w:trPr>
        <w:tc>
          <w:tcPr>
            <w:tcW w:w="1414" w:type="dxa"/>
          </w:tcPr>
          <w:p w14:paraId="52ED98FB"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Centre régional Ramsar – Asie de l’Est (RCC-EA), 2009</w:t>
            </w:r>
          </w:p>
        </w:tc>
        <w:tc>
          <w:tcPr>
            <w:tcW w:w="880" w:type="dxa"/>
          </w:tcPr>
          <w:p w14:paraId="0012C222"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18</w:t>
            </w:r>
          </w:p>
        </w:tc>
        <w:tc>
          <w:tcPr>
            <w:tcW w:w="1100" w:type="dxa"/>
          </w:tcPr>
          <w:p w14:paraId="6AAE49DF" w14:textId="74B14AD2" w:rsidR="002C4120" w:rsidRPr="00420F85" w:rsidRDefault="0032675E"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Oui</w:t>
            </w:r>
          </w:p>
        </w:tc>
        <w:tc>
          <w:tcPr>
            <w:tcW w:w="2266" w:type="dxa"/>
          </w:tcPr>
          <w:p w14:paraId="3B54E0B5"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Le Comité directeur donne des orientations sur l’élaboration des politiques et des programmes. Le Directeur exécutif gère les activités courantes.  </w:t>
            </w:r>
          </w:p>
        </w:tc>
        <w:tc>
          <w:tcPr>
            <w:tcW w:w="1276" w:type="dxa"/>
          </w:tcPr>
          <w:p w14:paraId="423D480F"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Membre du Comité directeur </w:t>
            </w:r>
          </w:p>
        </w:tc>
        <w:tc>
          <w:tcPr>
            <w:tcW w:w="1559" w:type="dxa"/>
          </w:tcPr>
          <w:p w14:paraId="44024C27" w14:textId="17E551D8" w:rsidR="002C4120" w:rsidRPr="00420F85" w:rsidRDefault="004F6363" w:rsidP="00CC19B6">
            <w:pPr>
              <w:ind w:left="0" w:firstLine="0"/>
              <w:outlineLvl w:val="1"/>
              <w:rPr>
                <w:rFonts w:asciiTheme="minorHAnsi" w:hAnsiTheme="minorHAnsi" w:cstheme="minorHAnsi"/>
                <w:bCs/>
                <w:sz w:val="18"/>
                <w:szCs w:val="20"/>
                <w:lang w:val="fr-FR"/>
              </w:rPr>
            </w:pPr>
            <w:r w:rsidRPr="00420F85">
              <w:rPr>
                <w:rFonts w:cs="Calibri"/>
                <w:bCs/>
                <w:sz w:val="18"/>
                <w:szCs w:val="20"/>
                <w:lang w:val="fr-FR"/>
              </w:rPr>
              <w:t>Rapport au Comité directeu</w:t>
            </w:r>
            <w:r w:rsidR="0032675E">
              <w:rPr>
                <w:rFonts w:cs="Calibri"/>
                <w:bCs/>
                <w:sz w:val="18"/>
                <w:szCs w:val="20"/>
                <w:lang w:val="fr-FR"/>
              </w:rPr>
              <w:t>r</w:t>
            </w:r>
            <w:r w:rsidRPr="00420F85">
              <w:rPr>
                <w:rFonts w:cs="Calibri"/>
                <w:bCs/>
                <w:sz w:val="18"/>
                <w:szCs w:val="20"/>
                <w:lang w:val="fr-FR"/>
              </w:rPr>
              <w:t>.</w:t>
            </w:r>
          </w:p>
        </w:tc>
        <w:tc>
          <w:tcPr>
            <w:tcW w:w="992" w:type="dxa"/>
          </w:tcPr>
          <w:p w14:paraId="273052CE" w14:textId="199805E1" w:rsidR="002C4120" w:rsidRPr="0098168E" w:rsidRDefault="004F6363"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1 0</w:t>
            </w:r>
            <w:r w:rsidR="0032675E" w:rsidRPr="0098168E">
              <w:rPr>
                <w:rFonts w:cs="Calibri"/>
                <w:bCs/>
                <w:sz w:val="18"/>
                <w:szCs w:val="20"/>
                <w:lang w:val="fr-FR"/>
              </w:rPr>
              <w:t>04</w:t>
            </w:r>
            <w:r w:rsidRPr="0098168E">
              <w:rPr>
                <w:rFonts w:cs="Calibri"/>
                <w:bCs/>
                <w:sz w:val="18"/>
                <w:szCs w:val="20"/>
                <w:lang w:val="fr-FR"/>
              </w:rPr>
              <w:t> </w:t>
            </w:r>
            <w:r w:rsidR="0032675E" w:rsidRPr="0098168E">
              <w:rPr>
                <w:rFonts w:cs="Calibri"/>
                <w:bCs/>
                <w:sz w:val="18"/>
                <w:szCs w:val="20"/>
                <w:lang w:val="fr-FR"/>
              </w:rPr>
              <w:t>815</w:t>
            </w:r>
          </w:p>
        </w:tc>
        <w:tc>
          <w:tcPr>
            <w:tcW w:w="884" w:type="dxa"/>
          </w:tcPr>
          <w:p w14:paraId="03E56C20" w14:textId="6E6931D0" w:rsidR="002C4120" w:rsidRPr="0098168E" w:rsidRDefault="0032675E"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749</w:t>
            </w:r>
            <w:r w:rsidR="004F6363" w:rsidRPr="0098168E">
              <w:rPr>
                <w:rFonts w:cs="Calibri"/>
                <w:bCs/>
                <w:sz w:val="18"/>
                <w:szCs w:val="20"/>
                <w:lang w:val="fr-FR"/>
              </w:rPr>
              <w:t> </w:t>
            </w:r>
            <w:r w:rsidRPr="0098168E">
              <w:rPr>
                <w:rFonts w:cs="Calibri"/>
                <w:bCs/>
                <w:sz w:val="18"/>
                <w:szCs w:val="20"/>
                <w:lang w:val="fr-FR"/>
              </w:rPr>
              <w:t>691</w:t>
            </w:r>
          </w:p>
        </w:tc>
        <w:tc>
          <w:tcPr>
            <w:tcW w:w="1417" w:type="dxa"/>
          </w:tcPr>
          <w:p w14:paraId="1371BF73" w14:textId="77777777"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Ministère de l’Environnement (République de Corée), Suncheon City, dons</w:t>
            </w:r>
          </w:p>
        </w:tc>
        <w:tc>
          <w:tcPr>
            <w:tcW w:w="2744" w:type="dxa"/>
          </w:tcPr>
          <w:p w14:paraId="47F5598E" w14:textId="6D5158BB" w:rsidR="0032675E" w:rsidRPr="0098168E" w:rsidRDefault="00BF1A39" w:rsidP="0032675E">
            <w:pPr>
              <w:ind w:left="0" w:firstLine="0"/>
              <w:outlineLvl w:val="1"/>
              <w:rPr>
                <w:rFonts w:cs="Calibri"/>
                <w:bCs/>
                <w:sz w:val="18"/>
                <w:szCs w:val="20"/>
                <w:lang w:val="fr-CH"/>
              </w:rPr>
            </w:pPr>
            <w:r w:rsidRPr="0098168E">
              <w:rPr>
                <w:rFonts w:cs="Calibri"/>
                <w:bCs/>
                <w:sz w:val="18"/>
                <w:szCs w:val="20"/>
                <w:lang w:val="fr-CH"/>
              </w:rPr>
              <w:t>• Deux manuels 1) Suivi des zones humides et 2) Outil de gestion</w:t>
            </w:r>
            <w:r w:rsidR="008F211B" w:rsidRPr="0098168E">
              <w:rPr>
                <w:rFonts w:cs="Calibri"/>
                <w:bCs/>
                <w:sz w:val="18"/>
                <w:szCs w:val="20"/>
                <w:lang w:val="fr-CH"/>
              </w:rPr>
              <w:t xml:space="preserve"> et</w:t>
            </w:r>
            <w:r w:rsidRPr="0098168E">
              <w:rPr>
                <w:rFonts w:cs="Calibri"/>
                <w:bCs/>
                <w:sz w:val="18"/>
                <w:szCs w:val="20"/>
                <w:lang w:val="fr-CH"/>
              </w:rPr>
              <w:t xml:space="preserve"> de suivi de l’efficacité </w:t>
            </w:r>
            <w:r w:rsidR="008F211B" w:rsidRPr="0098168E">
              <w:rPr>
                <w:rFonts w:cs="Calibri"/>
                <w:bCs/>
                <w:sz w:val="18"/>
                <w:szCs w:val="20"/>
                <w:lang w:val="fr-CH"/>
              </w:rPr>
              <w:t>pour les</w:t>
            </w:r>
            <w:r w:rsidRPr="0098168E">
              <w:rPr>
                <w:rFonts w:cs="Calibri"/>
                <w:bCs/>
                <w:sz w:val="18"/>
                <w:szCs w:val="20"/>
                <w:lang w:val="fr-CH"/>
              </w:rPr>
              <w:t xml:space="preserve"> Sites Ramsar, ont été révisés</w:t>
            </w:r>
            <w:r w:rsidR="00ED5B5E" w:rsidRPr="0098168E">
              <w:rPr>
                <w:rFonts w:cs="Calibri"/>
                <w:bCs/>
                <w:sz w:val="18"/>
                <w:szCs w:val="20"/>
                <w:lang w:val="fr-CH"/>
              </w:rPr>
              <w:t> ;</w:t>
            </w:r>
          </w:p>
          <w:p w14:paraId="2A79700F" w14:textId="17777BB6" w:rsidR="0032675E" w:rsidRPr="0098168E" w:rsidRDefault="00BF1A39" w:rsidP="0032675E">
            <w:pPr>
              <w:ind w:left="0" w:firstLine="0"/>
              <w:outlineLvl w:val="1"/>
              <w:rPr>
                <w:rFonts w:cs="Calibri"/>
                <w:bCs/>
                <w:sz w:val="18"/>
                <w:szCs w:val="20"/>
                <w:lang w:val="fr-CH"/>
              </w:rPr>
            </w:pPr>
            <w:r w:rsidRPr="0098168E">
              <w:rPr>
                <w:rFonts w:cs="Calibri"/>
                <w:bCs/>
                <w:sz w:val="18"/>
                <w:szCs w:val="20"/>
                <w:lang w:val="fr-CH"/>
              </w:rPr>
              <w:t xml:space="preserve">• </w:t>
            </w:r>
            <w:r w:rsidR="008F211B" w:rsidRPr="0098168E">
              <w:rPr>
                <w:rFonts w:cs="Calibri"/>
                <w:bCs/>
                <w:sz w:val="18"/>
                <w:szCs w:val="20"/>
                <w:lang w:val="fr-CH"/>
              </w:rPr>
              <w:t>T</w:t>
            </w:r>
            <w:r w:rsidRPr="0098168E">
              <w:rPr>
                <w:rFonts w:cs="Calibri"/>
                <w:bCs/>
                <w:sz w:val="18"/>
                <w:szCs w:val="20"/>
                <w:lang w:val="fr-CH"/>
              </w:rPr>
              <w:t>raduction du Guide RRC</w:t>
            </w:r>
            <w:r w:rsidRPr="0098168E">
              <w:rPr>
                <w:rFonts w:cs="Calibri"/>
                <w:bCs/>
                <w:sz w:val="18"/>
                <w:szCs w:val="20"/>
                <w:lang w:val="fr-CH"/>
              </w:rPr>
              <w:noBreakHyphen/>
            </w:r>
            <w:r w:rsidR="0032675E" w:rsidRPr="0098168E">
              <w:rPr>
                <w:rFonts w:cs="Calibri"/>
                <w:bCs/>
                <w:sz w:val="18"/>
                <w:szCs w:val="20"/>
                <w:lang w:val="fr-CH"/>
              </w:rPr>
              <w:t xml:space="preserve">EA </w:t>
            </w:r>
            <w:r w:rsidRPr="0098168E">
              <w:rPr>
                <w:rFonts w:cs="Calibri"/>
                <w:bCs/>
                <w:sz w:val="18"/>
                <w:szCs w:val="20"/>
                <w:lang w:val="fr-CH"/>
              </w:rPr>
              <w:t>dans différentes langues, dans huit pays</w:t>
            </w:r>
            <w:r w:rsidR="00ED5B5E" w:rsidRPr="0098168E">
              <w:rPr>
                <w:rFonts w:cs="Calibri"/>
                <w:bCs/>
                <w:sz w:val="18"/>
                <w:szCs w:val="20"/>
                <w:lang w:val="fr-CH"/>
              </w:rPr>
              <w:t> ;</w:t>
            </w:r>
            <w:r w:rsidR="0032675E" w:rsidRPr="0098168E">
              <w:rPr>
                <w:rFonts w:cs="Calibri"/>
                <w:bCs/>
                <w:sz w:val="18"/>
                <w:szCs w:val="20"/>
                <w:lang w:val="fr-CH"/>
              </w:rPr>
              <w:t xml:space="preserve"> </w:t>
            </w:r>
          </w:p>
          <w:p w14:paraId="0FCCB044" w14:textId="36E5673C" w:rsidR="0032675E" w:rsidRPr="0098168E" w:rsidRDefault="0032675E" w:rsidP="0032675E">
            <w:pPr>
              <w:ind w:left="0" w:firstLine="0"/>
              <w:outlineLvl w:val="1"/>
              <w:rPr>
                <w:rFonts w:cs="Calibri"/>
                <w:bCs/>
                <w:sz w:val="18"/>
                <w:szCs w:val="20"/>
                <w:lang w:val="fr-CH"/>
              </w:rPr>
            </w:pPr>
            <w:r w:rsidRPr="0098168E">
              <w:rPr>
                <w:rFonts w:cs="Calibri"/>
                <w:bCs/>
                <w:sz w:val="18"/>
                <w:szCs w:val="20"/>
                <w:lang w:val="fr-CH"/>
              </w:rPr>
              <w:t xml:space="preserve">• </w:t>
            </w:r>
            <w:r w:rsidR="00ED5B5E" w:rsidRPr="0098168E">
              <w:rPr>
                <w:rFonts w:cs="Calibri"/>
                <w:bCs/>
                <w:sz w:val="18"/>
                <w:szCs w:val="20"/>
                <w:lang w:val="fr-CH"/>
              </w:rPr>
              <w:t xml:space="preserve">Appui à des pays et participation aux célébrations de la JMZ ; </w:t>
            </w:r>
          </w:p>
          <w:p w14:paraId="294EF077" w14:textId="2E077836" w:rsidR="002C4120" w:rsidRPr="0098168E" w:rsidRDefault="0032675E" w:rsidP="00A37EC1">
            <w:pPr>
              <w:ind w:left="0" w:firstLine="0"/>
              <w:outlineLvl w:val="1"/>
              <w:rPr>
                <w:rFonts w:cs="Calibri"/>
                <w:bCs/>
                <w:sz w:val="18"/>
                <w:szCs w:val="20"/>
                <w:lang w:val="fr-CH"/>
              </w:rPr>
            </w:pPr>
            <w:r w:rsidRPr="0098168E">
              <w:rPr>
                <w:rFonts w:cs="Calibri"/>
                <w:bCs/>
                <w:sz w:val="18"/>
                <w:szCs w:val="20"/>
                <w:lang w:val="fr-CH"/>
              </w:rPr>
              <w:t>•</w:t>
            </w:r>
            <w:r w:rsidR="00ED5B5E" w:rsidRPr="0098168E">
              <w:rPr>
                <w:rFonts w:cs="Calibri"/>
                <w:bCs/>
                <w:sz w:val="18"/>
                <w:szCs w:val="20"/>
                <w:lang w:val="fr-CH"/>
              </w:rPr>
              <w:t xml:space="preserve"> </w:t>
            </w:r>
            <w:r w:rsidR="00C62745" w:rsidRPr="0098168E">
              <w:rPr>
                <w:rFonts w:cs="Calibri"/>
                <w:bCs/>
                <w:sz w:val="18"/>
                <w:szCs w:val="20"/>
                <w:lang w:val="fr-CH"/>
              </w:rPr>
              <w:t xml:space="preserve">Élaboration d’un projet de résolution sur </w:t>
            </w:r>
            <w:r w:rsidR="004F6363" w:rsidRPr="0098168E">
              <w:rPr>
                <w:rFonts w:cs="Calibri"/>
                <w:bCs/>
                <w:sz w:val="18"/>
                <w:szCs w:val="20"/>
                <w:lang w:val="fr-CH"/>
              </w:rPr>
              <w:t>le label Ville des Zones Humides accréditée</w:t>
            </w:r>
            <w:r w:rsidR="00A37EC1" w:rsidRPr="0098168E">
              <w:rPr>
                <w:rFonts w:cs="Calibri"/>
                <w:bCs/>
                <w:sz w:val="18"/>
                <w:szCs w:val="20"/>
                <w:lang w:val="fr-CH"/>
              </w:rPr>
              <w:t xml:space="preserve"> pour la COP14</w:t>
            </w:r>
            <w:r w:rsidR="00C62745" w:rsidRPr="0098168E">
              <w:rPr>
                <w:rFonts w:cs="Calibri"/>
                <w:bCs/>
                <w:sz w:val="18"/>
                <w:szCs w:val="20"/>
                <w:lang w:val="fr-CH"/>
              </w:rPr>
              <w:t> ;</w:t>
            </w:r>
          </w:p>
          <w:p w14:paraId="4EF65EA4" w14:textId="7767272D" w:rsidR="001603CA" w:rsidRPr="0098168E" w:rsidRDefault="001603CA" w:rsidP="001603CA">
            <w:pPr>
              <w:ind w:left="0" w:firstLine="0"/>
              <w:outlineLvl w:val="1"/>
              <w:rPr>
                <w:rFonts w:asciiTheme="minorHAnsi" w:hAnsiTheme="minorHAnsi" w:cstheme="minorHAnsi"/>
                <w:bCs/>
                <w:sz w:val="18"/>
                <w:szCs w:val="20"/>
                <w:lang w:val="fr-CH"/>
              </w:rPr>
            </w:pPr>
            <w:r w:rsidRPr="0098168E">
              <w:rPr>
                <w:rFonts w:asciiTheme="minorHAnsi" w:hAnsiTheme="minorHAnsi" w:cstheme="minorHAnsi"/>
                <w:bCs/>
                <w:sz w:val="18"/>
                <w:szCs w:val="20"/>
                <w:lang w:val="fr-CH"/>
              </w:rPr>
              <w:t>•</w:t>
            </w:r>
            <w:r w:rsidR="00ED5B5E" w:rsidRPr="0098168E">
              <w:rPr>
                <w:rFonts w:asciiTheme="minorHAnsi" w:hAnsiTheme="minorHAnsi" w:cstheme="minorHAnsi"/>
                <w:bCs/>
                <w:sz w:val="18"/>
                <w:szCs w:val="20"/>
                <w:lang w:val="fr-CH"/>
              </w:rPr>
              <w:t xml:space="preserve"> </w:t>
            </w:r>
            <w:r w:rsidR="00C62745" w:rsidRPr="0098168E">
              <w:rPr>
                <w:rFonts w:asciiTheme="minorHAnsi" w:hAnsiTheme="minorHAnsi" w:cstheme="minorHAnsi"/>
                <w:bCs/>
                <w:sz w:val="18"/>
                <w:szCs w:val="20"/>
                <w:lang w:val="fr-CH"/>
              </w:rPr>
              <w:t>Quatre</w:t>
            </w:r>
            <w:r w:rsidRPr="0098168E">
              <w:rPr>
                <w:rFonts w:asciiTheme="minorHAnsi" w:hAnsiTheme="minorHAnsi" w:cstheme="minorHAnsi"/>
                <w:bCs/>
                <w:sz w:val="18"/>
                <w:szCs w:val="20"/>
                <w:lang w:val="fr-CH"/>
              </w:rPr>
              <w:t xml:space="preserve"> </w:t>
            </w:r>
            <w:r w:rsidR="00C62745" w:rsidRPr="0098168E">
              <w:rPr>
                <w:rFonts w:asciiTheme="minorHAnsi" w:hAnsiTheme="minorHAnsi" w:cstheme="minorHAnsi"/>
                <w:bCs/>
                <w:sz w:val="18"/>
                <w:szCs w:val="20"/>
                <w:lang w:val="fr-CH"/>
              </w:rPr>
              <w:t xml:space="preserve">subventions du Fonds pour les zones humides </w:t>
            </w:r>
            <w:r w:rsidRPr="0098168E">
              <w:rPr>
                <w:rFonts w:asciiTheme="minorHAnsi" w:hAnsiTheme="minorHAnsi" w:cstheme="minorHAnsi"/>
                <w:bCs/>
                <w:sz w:val="18"/>
                <w:szCs w:val="20"/>
                <w:lang w:val="fr-CH"/>
              </w:rPr>
              <w:t xml:space="preserve">RRC-EA </w:t>
            </w:r>
            <w:r w:rsidR="00C62745" w:rsidRPr="0098168E">
              <w:rPr>
                <w:rFonts w:asciiTheme="minorHAnsi" w:hAnsiTheme="minorHAnsi" w:cstheme="minorHAnsi"/>
                <w:bCs/>
                <w:sz w:val="18"/>
                <w:szCs w:val="20"/>
                <w:lang w:val="fr-CH"/>
              </w:rPr>
              <w:t xml:space="preserve">versées à des pays ; </w:t>
            </w:r>
          </w:p>
          <w:p w14:paraId="5C99A58C" w14:textId="2B06AD65" w:rsidR="001603CA" w:rsidRPr="0098168E" w:rsidRDefault="00C62745" w:rsidP="001603CA">
            <w:pPr>
              <w:ind w:left="0" w:firstLine="0"/>
              <w:outlineLvl w:val="1"/>
              <w:rPr>
                <w:rFonts w:asciiTheme="minorHAnsi" w:hAnsiTheme="minorHAnsi" w:cstheme="minorHAnsi"/>
                <w:bCs/>
                <w:sz w:val="18"/>
                <w:szCs w:val="20"/>
                <w:lang w:val="fr-CH"/>
              </w:rPr>
            </w:pPr>
            <w:r w:rsidRPr="0098168E">
              <w:rPr>
                <w:rFonts w:asciiTheme="minorHAnsi" w:hAnsiTheme="minorHAnsi" w:cstheme="minorHAnsi"/>
                <w:bCs/>
                <w:sz w:val="18"/>
                <w:szCs w:val="20"/>
                <w:lang w:val="fr-CH"/>
              </w:rPr>
              <w:t xml:space="preserve">• Le Webinaire </w:t>
            </w:r>
            <w:r w:rsidR="001603CA" w:rsidRPr="0098168E">
              <w:rPr>
                <w:rFonts w:asciiTheme="minorHAnsi" w:hAnsiTheme="minorHAnsi" w:cstheme="minorHAnsi"/>
                <w:bCs/>
                <w:sz w:val="18"/>
                <w:szCs w:val="20"/>
                <w:lang w:val="fr-CH"/>
              </w:rPr>
              <w:t>Pr</w:t>
            </w:r>
            <w:r w:rsidRPr="0098168E">
              <w:rPr>
                <w:rFonts w:asciiTheme="minorHAnsi" w:hAnsiTheme="minorHAnsi" w:cstheme="minorHAnsi"/>
                <w:bCs/>
                <w:sz w:val="18"/>
                <w:szCs w:val="20"/>
                <w:lang w:val="fr-CH"/>
              </w:rPr>
              <w:t>é</w:t>
            </w:r>
            <w:r w:rsidR="001603CA" w:rsidRPr="0098168E">
              <w:rPr>
                <w:rFonts w:asciiTheme="minorHAnsi" w:hAnsiTheme="minorHAnsi" w:cstheme="minorHAnsi"/>
                <w:bCs/>
                <w:sz w:val="18"/>
                <w:szCs w:val="20"/>
                <w:lang w:val="fr-CH"/>
              </w:rPr>
              <w:t xml:space="preserve">-AWS 2021 </w:t>
            </w:r>
            <w:r w:rsidRPr="0098168E">
              <w:rPr>
                <w:rFonts w:asciiTheme="minorHAnsi" w:hAnsiTheme="minorHAnsi" w:cstheme="minorHAnsi"/>
                <w:bCs/>
                <w:sz w:val="18"/>
                <w:szCs w:val="20"/>
                <w:lang w:val="fr-CH"/>
              </w:rPr>
              <w:t xml:space="preserve">a été organisé ; </w:t>
            </w:r>
            <w:r w:rsidR="001603CA" w:rsidRPr="0098168E">
              <w:rPr>
                <w:rFonts w:asciiTheme="minorHAnsi" w:hAnsiTheme="minorHAnsi" w:cstheme="minorHAnsi"/>
                <w:bCs/>
                <w:sz w:val="18"/>
                <w:szCs w:val="20"/>
                <w:lang w:val="fr-CH"/>
              </w:rPr>
              <w:t xml:space="preserve"> </w:t>
            </w:r>
          </w:p>
          <w:p w14:paraId="4928F6BE" w14:textId="327B87C3" w:rsidR="001603CA" w:rsidRPr="0098168E" w:rsidRDefault="001603CA" w:rsidP="00C62745">
            <w:pPr>
              <w:ind w:left="0" w:firstLine="0"/>
              <w:outlineLvl w:val="1"/>
              <w:rPr>
                <w:rFonts w:asciiTheme="minorHAnsi" w:hAnsiTheme="minorHAnsi" w:cstheme="minorHAnsi"/>
                <w:bCs/>
                <w:sz w:val="18"/>
                <w:szCs w:val="20"/>
                <w:lang w:val="fr-CH"/>
              </w:rPr>
            </w:pPr>
            <w:r w:rsidRPr="0098168E">
              <w:rPr>
                <w:rFonts w:asciiTheme="minorHAnsi" w:hAnsiTheme="minorHAnsi" w:cstheme="minorHAnsi"/>
                <w:bCs/>
                <w:sz w:val="18"/>
                <w:szCs w:val="20"/>
                <w:lang w:val="fr-CH"/>
              </w:rPr>
              <w:t xml:space="preserve">• </w:t>
            </w:r>
            <w:r w:rsidR="00C62745" w:rsidRPr="0098168E">
              <w:rPr>
                <w:rFonts w:asciiTheme="minorHAnsi" w:hAnsiTheme="minorHAnsi" w:cstheme="minorHAnsi"/>
                <w:bCs/>
                <w:sz w:val="18"/>
                <w:szCs w:val="20"/>
                <w:lang w:val="fr-CH"/>
              </w:rPr>
              <w:t>La 11</w:t>
            </w:r>
            <w:r w:rsidR="00C62745" w:rsidRPr="0098168E">
              <w:rPr>
                <w:rFonts w:asciiTheme="minorHAnsi" w:hAnsiTheme="minorHAnsi" w:cstheme="minorHAnsi"/>
                <w:bCs/>
                <w:sz w:val="18"/>
                <w:szCs w:val="20"/>
                <w:vertAlign w:val="superscript"/>
                <w:lang w:val="fr-CH"/>
              </w:rPr>
              <w:t>e</w:t>
            </w:r>
            <w:r w:rsidR="00C62745" w:rsidRPr="0098168E">
              <w:rPr>
                <w:rFonts w:asciiTheme="minorHAnsi" w:hAnsiTheme="minorHAnsi" w:cstheme="minorHAnsi"/>
                <w:bCs/>
                <w:sz w:val="18"/>
                <w:szCs w:val="20"/>
                <w:lang w:val="fr-CH"/>
              </w:rPr>
              <w:t xml:space="preserve"> réunion du Comité directeur </w:t>
            </w:r>
            <w:r w:rsidRPr="0098168E">
              <w:rPr>
                <w:rFonts w:asciiTheme="minorHAnsi" w:hAnsiTheme="minorHAnsi" w:cstheme="minorHAnsi"/>
                <w:bCs/>
                <w:sz w:val="18"/>
                <w:szCs w:val="20"/>
                <w:lang w:val="fr-CH"/>
              </w:rPr>
              <w:t>RRC</w:t>
            </w:r>
            <w:r w:rsidR="00C62745" w:rsidRPr="0098168E">
              <w:rPr>
                <w:rFonts w:asciiTheme="minorHAnsi" w:hAnsiTheme="minorHAnsi" w:cstheme="minorHAnsi"/>
                <w:bCs/>
                <w:sz w:val="18"/>
                <w:szCs w:val="20"/>
                <w:lang w:val="fr-CH"/>
              </w:rPr>
              <w:noBreakHyphen/>
            </w:r>
            <w:r w:rsidRPr="0098168E">
              <w:rPr>
                <w:rFonts w:asciiTheme="minorHAnsi" w:hAnsiTheme="minorHAnsi" w:cstheme="minorHAnsi"/>
                <w:bCs/>
                <w:sz w:val="18"/>
                <w:szCs w:val="20"/>
                <w:lang w:val="fr-CH"/>
              </w:rPr>
              <w:t xml:space="preserve">EA </w:t>
            </w:r>
            <w:r w:rsidR="00C62745" w:rsidRPr="0098168E">
              <w:rPr>
                <w:rFonts w:asciiTheme="minorHAnsi" w:hAnsiTheme="minorHAnsi" w:cstheme="minorHAnsi"/>
                <w:bCs/>
                <w:sz w:val="18"/>
                <w:szCs w:val="20"/>
                <w:lang w:val="fr-CH"/>
              </w:rPr>
              <w:t xml:space="preserve">a été organisée. </w:t>
            </w:r>
          </w:p>
        </w:tc>
        <w:tc>
          <w:tcPr>
            <w:tcW w:w="1203" w:type="dxa"/>
          </w:tcPr>
          <w:p w14:paraId="438EBA14" w14:textId="54568C5C" w:rsidR="002C4120" w:rsidRPr="0098168E" w:rsidRDefault="001603CA" w:rsidP="00217015">
            <w:pPr>
              <w:ind w:left="0" w:firstLine="0"/>
              <w:outlineLvl w:val="1"/>
              <w:rPr>
                <w:rFonts w:asciiTheme="minorHAnsi" w:hAnsiTheme="minorHAnsi" w:cstheme="minorHAnsi"/>
                <w:bCs/>
                <w:sz w:val="18"/>
                <w:szCs w:val="20"/>
                <w:lang w:val="fr-FR"/>
              </w:rPr>
            </w:pPr>
            <w:r w:rsidRPr="0098168E">
              <w:rPr>
                <w:rFonts w:cs="Calibri"/>
                <w:bCs/>
                <w:spacing w:val="-4"/>
                <w:sz w:val="18"/>
                <w:szCs w:val="20"/>
                <w:lang w:val="fr-FR"/>
              </w:rPr>
              <w:t>Restrictions imposées par la COVID-19</w:t>
            </w:r>
          </w:p>
        </w:tc>
      </w:tr>
      <w:tr w:rsidR="00E74827" w:rsidRPr="001603CA" w14:paraId="0A2D92F0" w14:textId="77777777" w:rsidTr="00945C73">
        <w:trPr>
          <w:cantSplit/>
        </w:trPr>
        <w:tc>
          <w:tcPr>
            <w:tcW w:w="1414" w:type="dxa"/>
          </w:tcPr>
          <w:p w14:paraId="7B2873F1" w14:textId="509DE5A3" w:rsidR="002C4120" w:rsidRPr="00867304" w:rsidRDefault="00B039F6" w:rsidP="00217015">
            <w:pPr>
              <w:ind w:left="0" w:firstLine="0"/>
              <w:outlineLvl w:val="1"/>
              <w:rPr>
                <w:rFonts w:asciiTheme="minorHAnsi" w:hAnsiTheme="minorHAnsi" w:cstheme="minorHAnsi"/>
                <w:bCs/>
                <w:spacing w:val="-4"/>
                <w:sz w:val="18"/>
                <w:szCs w:val="20"/>
                <w:lang w:val="fr-FR"/>
              </w:rPr>
            </w:pPr>
            <w:r w:rsidRPr="00B039F6">
              <w:rPr>
                <w:rFonts w:cs="Calibri"/>
                <w:bCs/>
                <w:spacing w:val="-4"/>
                <w:sz w:val="18"/>
                <w:szCs w:val="20"/>
                <w:lang w:val="fr-FR"/>
              </w:rPr>
              <w:lastRenderedPageBreak/>
              <w:t xml:space="preserve">Initiative régionale Ramsar pour les zones </w:t>
            </w:r>
            <w:r w:rsidR="004F6363" w:rsidRPr="00867304">
              <w:rPr>
                <w:rFonts w:cs="Calibri"/>
                <w:bCs/>
                <w:spacing w:val="-4"/>
                <w:sz w:val="18"/>
                <w:szCs w:val="20"/>
                <w:lang w:val="fr-FR"/>
              </w:rPr>
              <w:t>humides côtières d’Afrique de l’Ouest (WACOWet), 2009</w:t>
            </w:r>
          </w:p>
        </w:tc>
        <w:tc>
          <w:tcPr>
            <w:tcW w:w="880" w:type="dxa"/>
          </w:tcPr>
          <w:p w14:paraId="59F4E0DB" w14:textId="77777777" w:rsidR="002C4120" w:rsidRPr="00867304" w:rsidRDefault="004F6363" w:rsidP="00217015">
            <w:pPr>
              <w:ind w:left="0" w:firstLine="0"/>
              <w:outlineLvl w:val="1"/>
              <w:rPr>
                <w:rFonts w:asciiTheme="minorHAnsi" w:hAnsiTheme="minorHAnsi" w:cstheme="minorHAnsi"/>
                <w:bCs/>
                <w:spacing w:val="-4"/>
                <w:sz w:val="18"/>
                <w:szCs w:val="20"/>
                <w:lang w:val="fr-FR"/>
              </w:rPr>
            </w:pPr>
            <w:r w:rsidRPr="00867304">
              <w:rPr>
                <w:rFonts w:cs="Calibri"/>
                <w:bCs/>
                <w:spacing w:val="-4"/>
                <w:sz w:val="18"/>
                <w:szCs w:val="20"/>
                <w:lang w:val="fr-FR"/>
              </w:rPr>
              <w:t>13</w:t>
            </w:r>
          </w:p>
        </w:tc>
        <w:tc>
          <w:tcPr>
            <w:tcW w:w="1100" w:type="dxa"/>
          </w:tcPr>
          <w:p w14:paraId="22631896" w14:textId="77777777" w:rsidR="002C4120" w:rsidRPr="00867304" w:rsidRDefault="004F6363" w:rsidP="00217015">
            <w:pPr>
              <w:ind w:left="0" w:firstLine="0"/>
              <w:outlineLvl w:val="1"/>
              <w:rPr>
                <w:rFonts w:asciiTheme="minorHAnsi" w:hAnsiTheme="minorHAnsi" w:cstheme="minorHAnsi"/>
                <w:bCs/>
                <w:spacing w:val="-4"/>
                <w:sz w:val="18"/>
                <w:szCs w:val="20"/>
                <w:lang w:val="fr-FR"/>
              </w:rPr>
            </w:pPr>
            <w:r w:rsidRPr="00867304">
              <w:rPr>
                <w:rFonts w:cs="Calibri"/>
                <w:bCs/>
                <w:spacing w:val="-4"/>
                <w:sz w:val="18"/>
                <w:szCs w:val="20"/>
                <w:lang w:val="fr-FR"/>
              </w:rPr>
              <w:t>Oui (projet)</w:t>
            </w:r>
          </w:p>
        </w:tc>
        <w:tc>
          <w:tcPr>
            <w:tcW w:w="2266" w:type="dxa"/>
          </w:tcPr>
          <w:p w14:paraId="4EB302F7" w14:textId="77777777" w:rsidR="002C4120" w:rsidRPr="00420F85" w:rsidRDefault="004F6363" w:rsidP="00217015">
            <w:pPr>
              <w:ind w:left="0" w:firstLine="0"/>
              <w:outlineLvl w:val="1"/>
              <w:rPr>
                <w:rFonts w:asciiTheme="minorHAnsi" w:hAnsiTheme="minorHAnsi" w:cstheme="minorHAnsi"/>
                <w:bCs/>
                <w:spacing w:val="-4"/>
                <w:sz w:val="18"/>
                <w:szCs w:val="20"/>
                <w:lang w:val="fr-FR"/>
              </w:rPr>
            </w:pPr>
            <w:r w:rsidRPr="00420F85">
              <w:rPr>
                <w:rFonts w:cs="Calibri"/>
                <w:bCs/>
                <w:spacing w:val="-4"/>
                <w:sz w:val="18"/>
                <w:szCs w:val="20"/>
                <w:lang w:val="fr-FR"/>
              </w:rPr>
              <w:t>Le Conseil de surveillance est chargé de la supervision globale des politiques du Secrétariat de WACOWet, ainsi que du suivi et de l’examen de la mise en œuvre des stratégies, du plan annuel, de la gestion des risques, ainsi que de la situation et de la gestion financières.</w:t>
            </w:r>
          </w:p>
        </w:tc>
        <w:tc>
          <w:tcPr>
            <w:tcW w:w="1276" w:type="dxa"/>
          </w:tcPr>
          <w:p w14:paraId="44859AB7" w14:textId="77777777" w:rsidR="002C4120" w:rsidRPr="00420F85" w:rsidRDefault="004F6363" w:rsidP="00217015">
            <w:pPr>
              <w:ind w:left="0" w:firstLine="0"/>
              <w:outlineLvl w:val="1"/>
              <w:rPr>
                <w:rFonts w:asciiTheme="minorHAnsi" w:hAnsiTheme="minorHAnsi" w:cstheme="minorHAnsi"/>
                <w:bCs/>
                <w:spacing w:val="-4"/>
                <w:sz w:val="18"/>
                <w:szCs w:val="20"/>
                <w:lang w:val="fr-FR"/>
              </w:rPr>
            </w:pPr>
            <w:r w:rsidRPr="00420F85">
              <w:rPr>
                <w:rFonts w:cs="Calibri"/>
                <w:bCs/>
                <w:spacing w:val="-4"/>
                <w:sz w:val="18"/>
                <w:szCs w:val="20"/>
                <w:lang w:val="fr-FR"/>
              </w:rPr>
              <w:t>Observateur</w:t>
            </w:r>
          </w:p>
        </w:tc>
        <w:tc>
          <w:tcPr>
            <w:tcW w:w="1559" w:type="dxa"/>
          </w:tcPr>
          <w:p w14:paraId="548D4847" w14:textId="77777777" w:rsidR="002C4120" w:rsidRPr="00420F85" w:rsidRDefault="004F6363" w:rsidP="00217015">
            <w:pPr>
              <w:ind w:left="0" w:firstLine="0"/>
              <w:outlineLvl w:val="1"/>
              <w:rPr>
                <w:rFonts w:asciiTheme="minorHAnsi" w:hAnsiTheme="minorHAnsi" w:cstheme="minorHAnsi"/>
                <w:bCs/>
                <w:spacing w:val="-4"/>
                <w:sz w:val="18"/>
                <w:szCs w:val="20"/>
                <w:lang w:val="fr-FR"/>
              </w:rPr>
            </w:pPr>
            <w:r w:rsidRPr="00420F85">
              <w:rPr>
                <w:rFonts w:cs="Calibri"/>
                <w:bCs/>
                <w:spacing w:val="-4"/>
                <w:sz w:val="18"/>
                <w:szCs w:val="20"/>
                <w:lang w:val="fr-FR"/>
              </w:rPr>
              <w:t xml:space="preserve">Le Manuel de procédures financières &amp; comptables (2013) reflète les procédures budgétaires et de planification, les méthodes comptables, les rapports financiers, ainsi que les registres et documents comptables.  </w:t>
            </w:r>
          </w:p>
        </w:tc>
        <w:tc>
          <w:tcPr>
            <w:tcW w:w="992" w:type="dxa"/>
          </w:tcPr>
          <w:p w14:paraId="4B1AB7EA" w14:textId="7EC7CFA9" w:rsidR="002C4120" w:rsidRPr="0098168E" w:rsidRDefault="004F6363" w:rsidP="00217015">
            <w:pPr>
              <w:ind w:left="0" w:firstLine="0"/>
              <w:jc w:val="right"/>
              <w:outlineLvl w:val="1"/>
              <w:rPr>
                <w:rFonts w:asciiTheme="minorHAnsi" w:hAnsiTheme="minorHAnsi" w:cstheme="minorHAnsi"/>
                <w:bCs/>
                <w:spacing w:val="-4"/>
                <w:sz w:val="18"/>
                <w:szCs w:val="20"/>
                <w:lang w:val="fr-FR"/>
              </w:rPr>
            </w:pPr>
            <w:r w:rsidRPr="0098168E">
              <w:rPr>
                <w:rFonts w:cs="Calibri"/>
                <w:bCs/>
                <w:spacing w:val="-4"/>
                <w:sz w:val="18"/>
                <w:szCs w:val="20"/>
                <w:lang w:val="fr-FR"/>
              </w:rPr>
              <w:t>00</w:t>
            </w:r>
          </w:p>
        </w:tc>
        <w:tc>
          <w:tcPr>
            <w:tcW w:w="884" w:type="dxa"/>
          </w:tcPr>
          <w:p w14:paraId="5B0E69F7" w14:textId="15138B38" w:rsidR="002C4120" w:rsidRPr="0098168E" w:rsidRDefault="00D52103" w:rsidP="00217015">
            <w:pPr>
              <w:ind w:left="0" w:firstLine="0"/>
              <w:jc w:val="right"/>
              <w:outlineLvl w:val="1"/>
              <w:rPr>
                <w:rFonts w:asciiTheme="minorHAnsi" w:hAnsiTheme="minorHAnsi" w:cstheme="minorHAnsi"/>
                <w:bCs/>
                <w:spacing w:val="-4"/>
                <w:sz w:val="18"/>
                <w:szCs w:val="20"/>
                <w:lang w:val="fr-FR"/>
              </w:rPr>
            </w:pPr>
            <w:r w:rsidRPr="0098168E">
              <w:rPr>
                <w:rFonts w:cs="Calibri"/>
                <w:bCs/>
                <w:spacing w:val="-4"/>
                <w:sz w:val="18"/>
                <w:szCs w:val="20"/>
                <w:lang w:val="fr-FR"/>
              </w:rPr>
              <w:t>00</w:t>
            </w:r>
          </w:p>
        </w:tc>
        <w:tc>
          <w:tcPr>
            <w:tcW w:w="1417" w:type="dxa"/>
          </w:tcPr>
          <w:p w14:paraId="53042064" w14:textId="0A725CEE" w:rsidR="002C4120" w:rsidRPr="0098168E" w:rsidRDefault="004F6363" w:rsidP="00217015">
            <w:pPr>
              <w:ind w:left="0" w:firstLine="0"/>
              <w:outlineLvl w:val="1"/>
              <w:rPr>
                <w:rFonts w:asciiTheme="minorHAnsi" w:hAnsiTheme="minorHAnsi" w:cstheme="minorHAnsi"/>
                <w:bCs/>
                <w:spacing w:val="-4"/>
                <w:sz w:val="18"/>
                <w:szCs w:val="20"/>
                <w:lang w:val="fr-FR"/>
              </w:rPr>
            </w:pPr>
            <w:r w:rsidRPr="0098168E">
              <w:rPr>
                <w:rFonts w:cs="Calibri"/>
                <w:bCs/>
                <w:spacing w:val="-4"/>
                <w:sz w:val="18"/>
                <w:szCs w:val="20"/>
                <w:lang w:val="fr-FR"/>
              </w:rPr>
              <w:t>Gouvernement du Sénégal, collecte de fonds (partenariat technique et financier)</w:t>
            </w:r>
            <w:r w:rsidR="001603CA" w:rsidRPr="0098168E">
              <w:rPr>
                <w:rFonts w:cs="Calibri"/>
                <w:bCs/>
                <w:spacing w:val="-4"/>
                <w:sz w:val="18"/>
                <w:szCs w:val="20"/>
                <w:lang w:val="fr-FR"/>
              </w:rPr>
              <w:t xml:space="preserve">. Contributions volontaires </w:t>
            </w:r>
            <w:r w:rsidR="008F211B" w:rsidRPr="0098168E">
              <w:rPr>
                <w:rFonts w:cs="Calibri"/>
                <w:bCs/>
                <w:spacing w:val="-4"/>
                <w:sz w:val="18"/>
                <w:szCs w:val="20"/>
                <w:lang w:val="fr-FR"/>
              </w:rPr>
              <w:t>pour l’Afrique</w:t>
            </w:r>
            <w:r w:rsidR="00D52103" w:rsidRPr="0098168E">
              <w:rPr>
                <w:rFonts w:cs="Calibri"/>
                <w:bCs/>
                <w:spacing w:val="-4"/>
                <w:sz w:val="18"/>
                <w:szCs w:val="20"/>
                <w:lang w:val="fr-FR"/>
              </w:rPr>
              <w:t>.</w:t>
            </w:r>
          </w:p>
        </w:tc>
        <w:tc>
          <w:tcPr>
            <w:tcW w:w="2744" w:type="dxa"/>
          </w:tcPr>
          <w:p w14:paraId="2E3E0927" w14:textId="0799EB0F" w:rsidR="002C4120" w:rsidRPr="0098168E" w:rsidRDefault="00D52103" w:rsidP="00D52103">
            <w:pPr>
              <w:ind w:left="0" w:firstLine="0"/>
              <w:outlineLvl w:val="1"/>
              <w:rPr>
                <w:rFonts w:asciiTheme="minorHAnsi" w:hAnsiTheme="minorHAnsi" w:cstheme="minorHAnsi"/>
                <w:bCs/>
                <w:spacing w:val="-4"/>
                <w:sz w:val="18"/>
                <w:szCs w:val="20"/>
                <w:lang w:val="fr-FR"/>
              </w:rPr>
            </w:pPr>
            <w:r w:rsidRPr="0098168E">
              <w:rPr>
                <w:rFonts w:cs="Calibri"/>
                <w:bCs/>
                <w:spacing w:val="-4"/>
                <w:sz w:val="18"/>
                <w:szCs w:val="20"/>
                <w:lang w:val="fr-FR"/>
              </w:rPr>
              <w:t>Aucune activité</w:t>
            </w:r>
          </w:p>
        </w:tc>
        <w:tc>
          <w:tcPr>
            <w:tcW w:w="1203" w:type="dxa"/>
          </w:tcPr>
          <w:p w14:paraId="1CF1FAC2" w14:textId="74BEA3AA" w:rsidR="002C4120" w:rsidRPr="0098168E" w:rsidRDefault="00E9622D" w:rsidP="00217015">
            <w:pPr>
              <w:ind w:left="0" w:firstLine="0"/>
              <w:outlineLvl w:val="1"/>
              <w:rPr>
                <w:rFonts w:asciiTheme="minorHAnsi" w:hAnsiTheme="minorHAnsi" w:cstheme="minorHAnsi"/>
                <w:bCs/>
                <w:spacing w:val="-4"/>
                <w:sz w:val="18"/>
                <w:szCs w:val="20"/>
                <w:lang w:val="fr-FR"/>
              </w:rPr>
            </w:pPr>
            <w:r w:rsidRPr="0098168E">
              <w:rPr>
                <w:rFonts w:asciiTheme="minorHAnsi" w:hAnsiTheme="minorHAnsi" w:cstheme="minorHAnsi"/>
                <w:bCs/>
                <w:spacing w:val="-4"/>
                <w:sz w:val="18"/>
                <w:szCs w:val="20"/>
                <w:lang w:val="fr-FR"/>
              </w:rPr>
              <w:t>Aucune</w:t>
            </w:r>
            <w:r w:rsidR="00D52103" w:rsidRPr="0098168E">
              <w:rPr>
                <w:rFonts w:asciiTheme="minorHAnsi" w:hAnsiTheme="minorHAnsi" w:cstheme="minorHAnsi"/>
                <w:bCs/>
                <w:spacing w:val="-4"/>
                <w:sz w:val="18"/>
                <w:szCs w:val="20"/>
                <w:lang w:val="fr-FR"/>
              </w:rPr>
              <w:t xml:space="preserve"> information</w:t>
            </w:r>
          </w:p>
        </w:tc>
      </w:tr>
      <w:tr w:rsidR="00E74827" w:rsidRPr="00420F85" w14:paraId="40965F3F" w14:textId="77777777" w:rsidTr="00945C73">
        <w:trPr>
          <w:cantSplit/>
        </w:trPr>
        <w:tc>
          <w:tcPr>
            <w:tcW w:w="1414" w:type="dxa"/>
          </w:tcPr>
          <w:p w14:paraId="116AA5FB" w14:textId="75ABD165" w:rsidR="002C4120" w:rsidRPr="00420F85" w:rsidRDefault="00D02D0C" w:rsidP="00217015">
            <w:pPr>
              <w:ind w:left="0" w:firstLine="0"/>
              <w:outlineLvl w:val="1"/>
              <w:rPr>
                <w:rFonts w:asciiTheme="minorHAnsi" w:hAnsiTheme="minorHAnsi" w:cstheme="minorHAnsi"/>
                <w:bCs/>
                <w:sz w:val="18"/>
                <w:szCs w:val="20"/>
                <w:lang w:val="fr-FR"/>
              </w:rPr>
            </w:pPr>
            <w:r w:rsidRPr="00B039F6">
              <w:rPr>
                <w:rFonts w:cs="Calibri"/>
                <w:bCs/>
                <w:spacing w:val="-4"/>
                <w:sz w:val="18"/>
                <w:szCs w:val="20"/>
                <w:lang w:val="fr-FR"/>
              </w:rPr>
              <w:t xml:space="preserve">Initiative régionale Ramsar pour le </w:t>
            </w:r>
            <w:r>
              <w:rPr>
                <w:rFonts w:cs="Calibri"/>
                <w:bCs/>
                <w:sz w:val="18"/>
                <w:szCs w:val="20"/>
                <w:lang w:val="fr-FR"/>
              </w:rPr>
              <w:t>b</w:t>
            </w:r>
            <w:r w:rsidR="004F6363" w:rsidRPr="00420F85">
              <w:rPr>
                <w:rFonts w:cs="Calibri"/>
                <w:bCs/>
                <w:sz w:val="18"/>
                <w:szCs w:val="20"/>
                <w:lang w:val="fr-FR"/>
              </w:rPr>
              <w:t>assin du fleuve Niger (NigerWet),</w:t>
            </w:r>
          </w:p>
          <w:p w14:paraId="436E48C7"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2006</w:t>
            </w:r>
          </w:p>
        </w:tc>
        <w:tc>
          <w:tcPr>
            <w:tcW w:w="880" w:type="dxa"/>
          </w:tcPr>
          <w:p w14:paraId="78EAD5C7"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9</w:t>
            </w:r>
          </w:p>
        </w:tc>
        <w:tc>
          <w:tcPr>
            <w:tcW w:w="1100" w:type="dxa"/>
          </w:tcPr>
          <w:p w14:paraId="64182B2D"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 (projet)</w:t>
            </w:r>
          </w:p>
        </w:tc>
        <w:tc>
          <w:tcPr>
            <w:tcW w:w="2266" w:type="dxa"/>
          </w:tcPr>
          <w:p w14:paraId="0E3D4F2B"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Le Conseil de surveillance est chargé de la supervision globale des politiques du Secrétariat de NigerWet, ainsi que de suivre et d’étudier la mise en œuvre des stratégies et du plan annuel, la gestion des risques ainsi que la situation et la gestion financières.</w:t>
            </w:r>
          </w:p>
        </w:tc>
        <w:tc>
          <w:tcPr>
            <w:tcW w:w="1276" w:type="dxa"/>
          </w:tcPr>
          <w:p w14:paraId="6112D4B9"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Observateur</w:t>
            </w:r>
          </w:p>
        </w:tc>
        <w:tc>
          <w:tcPr>
            <w:tcW w:w="1559" w:type="dxa"/>
          </w:tcPr>
          <w:p w14:paraId="2A77AE93"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Le Manuel de procédures financières &amp; comptables (2013) reflète les procédures budgétaires et de planification, les méthodes comptables, les rapports financiers, ainsi que les registres et documents comptables.</w:t>
            </w:r>
          </w:p>
        </w:tc>
        <w:tc>
          <w:tcPr>
            <w:tcW w:w="992" w:type="dxa"/>
          </w:tcPr>
          <w:p w14:paraId="4C71106C" w14:textId="0F893617" w:rsidR="002C4120" w:rsidRPr="00420F85" w:rsidRDefault="00E9622D" w:rsidP="00217015">
            <w:pPr>
              <w:ind w:left="0" w:firstLine="0"/>
              <w:jc w:val="right"/>
              <w:outlineLvl w:val="1"/>
              <w:rPr>
                <w:rFonts w:asciiTheme="minorHAnsi" w:hAnsiTheme="minorHAnsi" w:cstheme="minorHAnsi"/>
                <w:bCs/>
                <w:sz w:val="18"/>
                <w:szCs w:val="20"/>
                <w:lang w:val="fr-FR"/>
              </w:rPr>
            </w:pPr>
            <w:r>
              <w:rPr>
                <w:rFonts w:cs="Calibri"/>
                <w:bCs/>
                <w:sz w:val="18"/>
                <w:szCs w:val="20"/>
                <w:lang w:val="fr-FR"/>
              </w:rPr>
              <w:t>Aucune information</w:t>
            </w:r>
          </w:p>
        </w:tc>
        <w:tc>
          <w:tcPr>
            <w:tcW w:w="884" w:type="dxa"/>
          </w:tcPr>
          <w:p w14:paraId="288FE2F7" w14:textId="0C3E10E0" w:rsidR="002C4120" w:rsidRPr="0098168E" w:rsidRDefault="00E9622D"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18 333</w:t>
            </w:r>
          </w:p>
        </w:tc>
        <w:tc>
          <w:tcPr>
            <w:tcW w:w="1417" w:type="dxa"/>
          </w:tcPr>
          <w:p w14:paraId="3302EE81" w14:textId="2919C368" w:rsidR="002C4120" w:rsidRPr="0098168E" w:rsidRDefault="00E9622D" w:rsidP="00217015">
            <w:pPr>
              <w:pStyle w:val="ListParagraph"/>
              <w:widowControl w:val="0"/>
              <w:ind w:left="0" w:firstLine="0"/>
              <w:outlineLvl w:val="1"/>
              <w:rPr>
                <w:rFonts w:asciiTheme="minorHAnsi" w:hAnsiTheme="minorHAnsi" w:cstheme="minorHAnsi"/>
                <w:bCs/>
                <w:sz w:val="18"/>
                <w:szCs w:val="20"/>
                <w:lang w:val="fr-FR"/>
              </w:rPr>
            </w:pPr>
            <w:r w:rsidRPr="0098168E">
              <w:rPr>
                <w:rFonts w:cs="Calibri"/>
                <w:bCs/>
                <w:spacing w:val="-4"/>
                <w:sz w:val="18"/>
                <w:szCs w:val="20"/>
                <w:lang w:val="fr-FR"/>
              </w:rPr>
              <w:t xml:space="preserve">Contributions volontaires </w:t>
            </w:r>
            <w:r w:rsidR="0098168E" w:rsidRPr="0098168E">
              <w:rPr>
                <w:rFonts w:cs="Calibri"/>
                <w:bCs/>
                <w:spacing w:val="-4"/>
                <w:sz w:val="18"/>
                <w:szCs w:val="20"/>
                <w:lang w:val="fr-FR"/>
              </w:rPr>
              <w:t>pour l’Afrique</w:t>
            </w:r>
          </w:p>
        </w:tc>
        <w:tc>
          <w:tcPr>
            <w:tcW w:w="2744" w:type="dxa"/>
          </w:tcPr>
          <w:p w14:paraId="57CE0344" w14:textId="21EDC162" w:rsidR="00E9622D" w:rsidRPr="0098168E" w:rsidRDefault="00E9622D" w:rsidP="00E9622D">
            <w:pPr>
              <w:ind w:left="0" w:firstLine="0"/>
              <w:outlineLvl w:val="1"/>
              <w:rPr>
                <w:rFonts w:cs="Calibri"/>
                <w:bCs/>
                <w:sz w:val="18"/>
                <w:szCs w:val="20"/>
                <w:lang w:val="fr-CH"/>
              </w:rPr>
            </w:pPr>
            <w:r w:rsidRPr="0098168E">
              <w:rPr>
                <w:rFonts w:cs="Calibri"/>
                <w:bCs/>
                <w:sz w:val="18"/>
                <w:szCs w:val="20"/>
                <w:lang w:val="fr-CH"/>
              </w:rPr>
              <w:t xml:space="preserve">• </w:t>
            </w:r>
            <w:r w:rsidR="00C62745" w:rsidRPr="0098168E">
              <w:rPr>
                <w:rFonts w:cs="Calibri"/>
                <w:bCs/>
                <w:sz w:val="18"/>
                <w:szCs w:val="20"/>
                <w:lang w:val="fr-CH"/>
              </w:rPr>
              <w:t>Rédaction des règle</w:t>
            </w:r>
            <w:r w:rsidR="008F211B" w:rsidRPr="0098168E">
              <w:rPr>
                <w:rFonts w:cs="Calibri"/>
                <w:bCs/>
                <w:sz w:val="18"/>
                <w:szCs w:val="20"/>
                <w:lang w:val="fr-CH"/>
              </w:rPr>
              <w:t>s et règlementations internes</w:t>
            </w:r>
            <w:r w:rsidR="00C62745" w:rsidRPr="0098168E">
              <w:rPr>
                <w:rFonts w:cs="Calibri"/>
                <w:bCs/>
                <w:sz w:val="18"/>
                <w:szCs w:val="20"/>
                <w:lang w:val="fr-CH"/>
              </w:rPr>
              <w:t xml:space="preserve"> de </w:t>
            </w:r>
            <w:r w:rsidRPr="0098168E">
              <w:rPr>
                <w:rFonts w:cs="Calibri"/>
                <w:bCs/>
                <w:sz w:val="18"/>
                <w:szCs w:val="20"/>
                <w:lang w:val="fr-CH"/>
              </w:rPr>
              <w:t xml:space="preserve">NigerWet </w:t>
            </w:r>
            <w:r w:rsidR="00C62745" w:rsidRPr="0098168E">
              <w:rPr>
                <w:rFonts w:cs="Calibri"/>
                <w:bCs/>
                <w:sz w:val="18"/>
                <w:szCs w:val="20"/>
                <w:lang w:val="fr-CH"/>
              </w:rPr>
              <w:t xml:space="preserve">et statut juridique défini ; </w:t>
            </w:r>
          </w:p>
          <w:p w14:paraId="0495ABBE" w14:textId="48D9EEC1" w:rsidR="002C4120" w:rsidRPr="0098168E" w:rsidRDefault="00C62745" w:rsidP="00C62745">
            <w:pPr>
              <w:ind w:left="0" w:firstLine="0"/>
              <w:outlineLvl w:val="1"/>
              <w:rPr>
                <w:rFonts w:asciiTheme="minorHAnsi" w:hAnsiTheme="minorHAnsi" w:cstheme="minorHAnsi"/>
                <w:bCs/>
                <w:sz w:val="18"/>
                <w:szCs w:val="20"/>
                <w:lang w:val="fr-FR"/>
              </w:rPr>
            </w:pPr>
            <w:r w:rsidRPr="0098168E">
              <w:rPr>
                <w:rFonts w:cs="Calibri"/>
                <w:bCs/>
                <w:sz w:val="18"/>
                <w:szCs w:val="20"/>
                <w:lang w:val="fr-CH"/>
              </w:rPr>
              <w:t xml:space="preserve">• Les FDR de six Sites Ramsar de Guinée ont été mises à jour. </w:t>
            </w:r>
          </w:p>
        </w:tc>
        <w:tc>
          <w:tcPr>
            <w:tcW w:w="1203" w:type="dxa"/>
          </w:tcPr>
          <w:p w14:paraId="7CEA38EA" w14:textId="77777777" w:rsidR="002C4120" w:rsidRPr="0098168E" w:rsidRDefault="004F6363" w:rsidP="00217015">
            <w:pPr>
              <w:ind w:left="0" w:firstLine="0"/>
              <w:outlineLvl w:val="1"/>
              <w:rPr>
                <w:rFonts w:asciiTheme="minorHAnsi" w:hAnsiTheme="minorHAnsi" w:cstheme="minorHAnsi"/>
                <w:bCs/>
                <w:sz w:val="18"/>
                <w:szCs w:val="20"/>
                <w:highlight w:val="yellow"/>
                <w:lang w:val="fr-FR"/>
              </w:rPr>
            </w:pPr>
            <w:r w:rsidRPr="0098168E">
              <w:rPr>
                <w:rFonts w:cs="Calibri"/>
                <w:bCs/>
                <w:sz w:val="18"/>
                <w:szCs w:val="20"/>
                <w:lang w:val="fr-FR"/>
              </w:rPr>
              <w:t>Aucune information</w:t>
            </w:r>
          </w:p>
        </w:tc>
      </w:tr>
      <w:tr w:rsidR="00E74827" w:rsidRPr="00D26183" w14:paraId="23D09125" w14:textId="77777777" w:rsidTr="00945C73">
        <w:trPr>
          <w:cantSplit/>
        </w:trPr>
        <w:tc>
          <w:tcPr>
            <w:tcW w:w="1414" w:type="dxa"/>
          </w:tcPr>
          <w:p w14:paraId="63D0BFA3"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lastRenderedPageBreak/>
              <w:t>Initiative régionale Ramsar pour la conservation et l’utilisation rationnelle des zones humides des Hautes Andes (HAW), 2005</w:t>
            </w:r>
          </w:p>
        </w:tc>
        <w:tc>
          <w:tcPr>
            <w:tcW w:w="880" w:type="dxa"/>
          </w:tcPr>
          <w:p w14:paraId="5A54C28E"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8</w:t>
            </w:r>
          </w:p>
        </w:tc>
        <w:tc>
          <w:tcPr>
            <w:tcW w:w="1100" w:type="dxa"/>
          </w:tcPr>
          <w:p w14:paraId="00B8A279"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w:t>
            </w:r>
          </w:p>
        </w:tc>
        <w:tc>
          <w:tcPr>
            <w:tcW w:w="2266" w:type="dxa"/>
          </w:tcPr>
          <w:p w14:paraId="463DAA1D"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Le Comité de coordination (Correspondants nationaux des pays membres) tient des réunions annuelles pour suivre la mise en œuvre de la stratégie et de son plan d’action.  </w:t>
            </w:r>
          </w:p>
        </w:tc>
        <w:tc>
          <w:tcPr>
            <w:tcW w:w="1276" w:type="dxa"/>
          </w:tcPr>
          <w:p w14:paraId="46B3F02E" w14:textId="77777777" w:rsidR="002C4120" w:rsidRPr="00420F85" w:rsidRDefault="00CC19B6" w:rsidP="00217015">
            <w:pPr>
              <w:ind w:left="0" w:firstLine="0"/>
              <w:outlineLvl w:val="1"/>
              <w:rPr>
                <w:rFonts w:asciiTheme="minorHAnsi" w:hAnsiTheme="minorHAnsi" w:cstheme="minorHAnsi"/>
                <w:bCs/>
                <w:sz w:val="18"/>
                <w:szCs w:val="20"/>
                <w:lang w:val="fr-FR"/>
              </w:rPr>
            </w:pPr>
            <w:r>
              <w:rPr>
                <w:rFonts w:cs="Calibri"/>
                <w:bCs/>
                <w:sz w:val="18"/>
                <w:szCs w:val="20"/>
                <w:lang w:val="fr-FR"/>
              </w:rPr>
              <w:t>Apporte</w:t>
            </w:r>
            <w:r w:rsidR="004F6363" w:rsidRPr="00420F85">
              <w:rPr>
                <w:rFonts w:cs="Calibri"/>
                <w:bCs/>
                <w:sz w:val="18"/>
                <w:szCs w:val="20"/>
                <w:lang w:val="fr-FR"/>
              </w:rPr>
              <w:t xml:space="preserve"> un soutien au Comité de coordination </w:t>
            </w:r>
          </w:p>
        </w:tc>
        <w:tc>
          <w:tcPr>
            <w:tcW w:w="1559" w:type="dxa"/>
          </w:tcPr>
          <w:p w14:paraId="0011EB42"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Comité de coordination (de précédentes allocations du Comité permanent ont été administrées par le Secrétariat sur décision du Comité de coordination).  </w:t>
            </w:r>
          </w:p>
        </w:tc>
        <w:tc>
          <w:tcPr>
            <w:tcW w:w="992" w:type="dxa"/>
          </w:tcPr>
          <w:p w14:paraId="4A7AEE96" w14:textId="1487F4BC" w:rsidR="002C4120" w:rsidRPr="0098168E" w:rsidRDefault="00E9622D"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 xml:space="preserve">Pas de rapport soumis depuis 2020 </w:t>
            </w:r>
          </w:p>
        </w:tc>
        <w:tc>
          <w:tcPr>
            <w:tcW w:w="884" w:type="dxa"/>
          </w:tcPr>
          <w:p w14:paraId="691FBF64" w14:textId="609AC42E" w:rsidR="002C4120" w:rsidRPr="0098168E" w:rsidRDefault="00E9622D"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Pas de rapport soumis depuis 2020</w:t>
            </w:r>
          </w:p>
        </w:tc>
        <w:tc>
          <w:tcPr>
            <w:tcW w:w="1417" w:type="dxa"/>
          </w:tcPr>
          <w:p w14:paraId="01FE5113" w14:textId="3AF0035F" w:rsidR="002C4120" w:rsidRPr="0098168E" w:rsidRDefault="00E9622D" w:rsidP="00217015">
            <w:pPr>
              <w:ind w:left="0" w:firstLine="0"/>
              <w:rPr>
                <w:rFonts w:asciiTheme="minorHAnsi" w:hAnsiTheme="minorHAnsi" w:cstheme="minorHAnsi"/>
                <w:bCs/>
                <w:sz w:val="18"/>
                <w:szCs w:val="20"/>
                <w:lang w:val="fr-FR"/>
              </w:rPr>
            </w:pPr>
            <w:r w:rsidRPr="0098168E">
              <w:rPr>
                <w:rFonts w:cs="Calibri"/>
                <w:bCs/>
                <w:sz w:val="18"/>
                <w:szCs w:val="20"/>
                <w:lang w:val="fr-FR"/>
              </w:rPr>
              <w:t>Pas de rapport soumis depuis 2020</w:t>
            </w:r>
          </w:p>
        </w:tc>
        <w:tc>
          <w:tcPr>
            <w:tcW w:w="2744" w:type="dxa"/>
          </w:tcPr>
          <w:p w14:paraId="3B56F920" w14:textId="24BE2F87" w:rsidR="002C4120" w:rsidRPr="0098168E" w:rsidRDefault="00E9622D"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 xml:space="preserve">Pas de rapport soumis depuis 2020 </w:t>
            </w:r>
          </w:p>
        </w:tc>
        <w:tc>
          <w:tcPr>
            <w:tcW w:w="1203" w:type="dxa"/>
          </w:tcPr>
          <w:p w14:paraId="12A01EF6" w14:textId="2CC1995E" w:rsidR="002C4120" w:rsidRPr="00420F85" w:rsidRDefault="00E9622D"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Pas de rapport soumis depuis 2020</w:t>
            </w:r>
          </w:p>
        </w:tc>
      </w:tr>
      <w:tr w:rsidR="00E74827" w:rsidRPr="00420F85" w14:paraId="63B873E9" w14:textId="77777777" w:rsidTr="00945C73">
        <w:trPr>
          <w:cantSplit/>
        </w:trPr>
        <w:tc>
          <w:tcPr>
            <w:tcW w:w="1414" w:type="dxa"/>
          </w:tcPr>
          <w:p w14:paraId="135D00C0"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Initiative régionale Ramsar pour la conservation et l’utilisation rationnelle du bassin du Río de la Plata, 2009</w:t>
            </w:r>
          </w:p>
        </w:tc>
        <w:tc>
          <w:tcPr>
            <w:tcW w:w="880" w:type="dxa"/>
          </w:tcPr>
          <w:p w14:paraId="71F28416"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5</w:t>
            </w:r>
          </w:p>
        </w:tc>
        <w:tc>
          <w:tcPr>
            <w:tcW w:w="1100" w:type="dxa"/>
          </w:tcPr>
          <w:p w14:paraId="7FC244FD"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w:t>
            </w:r>
          </w:p>
        </w:tc>
        <w:tc>
          <w:tcPr>
            <w:tcW w:w="2266" w:type="dxa"/>
          </w:tcPr>
          <w:p w14:paraId="5ADD87A2"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Le Comité de coordination (pays membres) en tant qu’organe de gouvernance examine les progrès chaque année. </w:t>
            </w:r>
          </w:p>
        </w:tc>
        <w:tc>
          <w:tcPr>
            <w:tcW w:w="1276" w:type="dxa"/>
          </w:tcPr>
          <w:p w14:paraId="7FA93713" w14:textId="77777777" w:rsidR="002C4120" w:rsidRPr="00420F85" w:rsidRDefault="00CC19B6" w:rsidP="00217015">
            <w:pPr>
              <w:ind w:left="0" w:firstLine="0"/>
              <w:outlineLvl w:val="1"/>
              <w:rPr>
                <w:rFonts w:asciiTheme="minorHAnsi" w:hAnsiTheme="minorHAnsi" w:cstheme="minorHAnsi"/>
                <w:bCs/>
                <w:sz w:val="18"/>
                <w:szCs w:val="20"/>
                <w:lang w:val="fr-FR"/>
              </w:rPr>
            </w:pPr>
            <w:r>
              <w:rPr>
                <w:rFonts w:cs="Calibri"/>
                <w:bCs/>
                <w:sz w:val="18"/>
                <w:szCs w:val="20"/>
                <w:lang w:val="fr-FR"/>
              </w:rPr>
              <w:t>Apporte</w:t>
            </w:r>
            <w:r w:rsidR="004F6363" w:rsidRPr="00420F85">
              <w:rPr>
                <w:rFonts w:cs="Calibri"/>
                <w:bCs/>
                <w:sz w:val="18"/>
                <w:szCs w:val="20"/>
                <w:lang w:val="fr-FR"/>
              </w:rPr>
              <w:t xml:space="preserve"> un soutien au Comité de coordination </w:t>
            </w:r>
          </w:p>
        </w:tc>
        <w:tc>
          <w:tcPr>
            <w:tcW w:w="1559" w:type="dxa"/>
          </w:tcPr>
          <w:p w14:paraId="19B2E351"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Comité de coordination (de précédentes allocations du Comité permanent ont été administrées par le Secrétariat sur décision du Comité de coordination)</w:t>
            </w:r>
          </w:p>
        </w:tc>
        <w:tc>
          <w:tcPr>
            <w:tcW w:w="992" w:type="dxa"/>
          </w:tcPr>
          <w:p w14:paraId="7EC76760" w14:textId="77777777" w:rsidR="002C4120" w:rsidRPr="0098168E" w:rsidRDefault="004F6363"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72 738</w:t>
            </w:r>
          </w:p>
        </w:tc>
        <w:tc>
          <w:tcPr>
            <w:tcW w:w="884" w:type="dxa"/>
          </w:tcPr>
          <w:p w14:paraId="42D5BC9F" w14:textId="77777777" w:rsidR="002C4120" w:rsidRPr="0098168E" w:rsidRDefault="004F6363"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42 738</w:t>
            </w:r>
          </w:p>
        </w:tc>
        <w:tc>
          <w:tcPr>
            <w:tcW w:w="1417" w:type="dxa"/>
          </w:tcPr>
          <w:p w14:paraId="1CB1E539" w14:textId="1A25843E" w:rsidR="002C4120" w:rsidRPr="0098168E" w:rsidRDefault="004F6363" w:rsidP="00217015">
            <w:pPr>
              <w:ind w:left="0" w:firstLine="0"/>
              <w:outlineLvl w:val="1"/>
              <w:rPr>
                <w:rFonts w:asciiTheme="minorHAnsi" w:hAnsiTheme="minorHAnsi" w:cstheme="minorHAnsi"/>
                <w:bCs/>
                <w:sz w:val="18"/>
                <w:szCs w:val="20"/>
              </w:rPr>
            </w:pPr>
            <w:r w:rsidRPr="0098168E">
              <w:rPr>
                <w:rFonts w:cs="Calibri"/>
                <w:bCs/>
                <w:sz w:val="18"/>
                <w:szCs w:val="20"/>
              </w:rPr>
              <w:t xml:space="preserve">Fonds </w:t>
            </w:r>
            <w:r w:rsidRPr="0098168E">
              <w:rPr>
                <w:rFonts w:cs="Calibri"/>
                <w:bCs/>
                <w:i/>
                <w:iCs/>
                <w:sz w:val="18"/>
                <w:szCs w:val="20"/>
              </w:rPr>
              <w:t>Wetlands for the future</w:t>
            </w:r>
            <w:r w:rsidRPr="0098168E">
              <w:rPr>
                <w:rFonts w:cs="Calibri"/>
                <w:bCs/>
                <w:sz w:val="18"/>
                <w:szCs w:val="20"/>
              </w:rPr>
              <w:t xml:space="preserve"> (Bolivie, Paraguay, Uruguay) </w:t>
            </w:r>
            <w:r w:rsidRPr="0098168E">
              <w:rPr>
                <w:rFonts w:cs="Calibri"/>
                <w:bCs/>
                <w:sz w:val="18"/>
                <w:szCs w:val="20"/>
              </w:rPr>
              <w:br/>
            </w:r>
          </w:p>
        </w:tc>
        <w:tc>
          <w:tcPr>
            <w:tcW w:w="2744" w:type="dxa"/>
          </w:tcPr>
          <w:p w14:paraId="18A9FFD1" w14:textId="3E79E41C" w:rsidR="00E9622D" w:rsidRPr="0098168E" w:rsidRDefault="0051172C" w:rsidP="00217015">
            <w:pPr>
              <w:ind w:left="0" w:firstLine="0"/>
              <w:outlineLvl w:val="1"/>
              <w:rPr>
                <w:rFonts w:cs="Calibri"/>
                <w:bCs/>
                <w:sz w:val="18"/>
                <w:szCs w:val="20"/>
                <w:lang w:val="fr-FR"/>
              </w:rPr>
            </w:pPr>
            <w:r w:rsidRPr="0098168E">
              <w:rPr>
                <w:rFonts w:cs="Calibri"/>
                <w:bCs/>
                <w:sz w:val="18"/>
                <w:szCs w:val="20"/>
                <w:lang w:val="fr-FR"/>
              </w:rPr>
              <w:t xml:space="preserve">• </w:t>
            </w:r>
            <w:r w:rsidR="00E9622D" w:rsidRPr="0098168E">
              <w:rPr>
                <w:rFonts w:cs="Calibri"/>
                <w:bCs/>
                <w:sz w:val="18"/>
                <w:szCs w:val="20"/>
                <w:lang w:val="fr-FR"/>
              </w:rPr>
              <w:t>Deuxième phase de mise en œuvre du projet de r</w:t>
            </w:r>
            <w:r w:rsidR="004F6363" w:rsidRPr="0098168E">
              <w:rPr>
                <w:rFonts w:cs="Calibri"/>
                <w:bCs/>
                <w:sz w:val="18"/>
                <w:szCs w:val="20"/>
                <w:lang w:val="fr-FR"/>
              </w:rPr>
              <w:t>enforcement des capacités</w:t>
            </w:r>
            <w:r w:rsidR="00E9622D" w:rsidRPr="0098168E">
              <w:rPr>
                <w:rFonts w:cs="Calibri"/>
                <w:bCs/>
                <w:sz w:val="18"/>
                <w:szCs w:val="20"/>
                <w:lang w:val="fr-FR"/>
              </w:rPr>
              <w:t>.</w:t>
            </w:r>
          </w:p>
          <w:p w14:paraId="24B95064" w14:textId="77777777" w:rsidR="00E9622D" w:rsidRPr="0098168E" w:rsidRDefault="00E9622D" w:rsidP="00217015">
            <w:pPr>
              <w:ind w:left="0" w:firstLine="0"/>
              <w:outlineLvl w:val="1"/>
              <w:rPr>
                <w:rFonts w:cs="Calibri"/>
                <w:bCs/>
                <w:sz w:val="18"/>
                <w:szCs w:val="20"/>
                <w:lang w:val="fr-FR"/>
              </w:rPr>
            </w:pPr>
          </w:p>
          <w:p w14:paraId="6878D457" w14:textId="77777777" w:rsidR="00E9622D" w:rsidRPr="0098168E" w:rsidRDefault="00E9622D" w:rsidP="00217015">
            <w:pPr>
              <w:ind w:left="0" w:firstLine="0"/>
              <w:outlineLvl w:val="1"/>
              <w:rPr>
                <w:rFonts w:cs="Calibri"/>
                <w:bCs/>
                <w:sz w:val="18"/>
                <w:szCs w:val="20"/>
                <w:lang w:val="fr-FR"/>
              </w:rPr>
            </w:pPr>
          </w:p>
          <w:p w14:paraId="6FB37DCB" w14:textId="08F4812E" w:rsidR="002C4120" w:rsidRPr="0098168E" w:rsidRDefault="00E9622D"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Paraguay et Bolivie</w:t>
            </w:r>
            <w:r w:rsidR="004F6363" w:rsidRPr="0098168E">
              <w:rPr>
                <w:rFonts w:cs="Calibri"/>
                <w:bCs/>
                <w:sz w:val="18"/>
                <w:szCs w:val="20"/>
                <w:lang w:val="fr-FR"/>
              </w:rPr>
              <w:t xml:space="preserve"> </w:t>
            </w:r>
          </w:p>
          <w:p w14:paraId="53EDB687" w14:textId="77777777" w:rsidR="002C4120" w:rsidRPr="0098168E" w:rsidRDefault="002C4120" w:rsidP="00217015">
            <w:pPr>
              <w:ind w:left="0" w:firstLine="0"/>
              <w:outlineLvl w:val="1"/>
              <w:rPr>
                <w:rFonts w:asciiTheme="minorHAnsi" w:hAnsiTheme="minorHAnsi" w:cstheme="minorHAnsi"/>
                <w:bCs/>
                <w:sz w:val="18"/>
                <w:szCs w:val="20"/>
                <w:lang w:val="fr-FR"/>
              </w:rPr>
            </w:pPr>
          </w:p>
          <w:p w14:paraId="61803487" w14:textId="77777777" w:rsidR="002C4120" w:rsidRPr="0098168E" w:rsidRDefault="002C4120" w:rsidP="00217015">
            <w:pPr>
              <w:ind w:left="0" w:firstLine="0"/>
              <w:outlineLvl w:val="1"/>
              <w:rPr>
                <w:rFonts w:asciiTheme="minorHAnsi" w:hAnsiTheme="minorHAnsi" w:cstheme="minorHAnsi"/>
                <w:bCs/>
                <w:sz w:val="18"/>
                <w:szCs w:val="20"/>
                <w:lang w:val="fr-FR"/>
              </w:rPr>
            </w:pPr>
          </w:p>
        </w:tc>
        <w:tc>
          <w:tcPr>
            <w:tcW w:w="1203" w:type="dxa"/>
          </w:tcPr>
          <w:p w14:paraId="0E6C16EE"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Aucune information</w:t>
            </w:r>
          </w:p>
        </w:tc>
      </w:tr>
      <w:tr w:rsidR="00E74827" w:rsidRPr="00420F85" w14:paraId="4E01FA7B" w14:textId="77777777" w:rsidTr="00945C73">
        <w:trPr>
          <w:cantSplit/>
        </w:trPr>
        <w:tc>
          <w:tcPr>
            <w:tcW w:w="1414" w:type="dxa"/>
          </w:tcPr>
          <w:p w14:paraId="3643AE7A"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Initiative régionale Ramsar pour les zones humides des Caraïbes (CariWet),</w:t>
            </w:r>
          </w:p>
          <w:p w14:paraId="5D894952" w14:textId="77777777" w:rsidR="002C4120" w:rsidRPr="00420F85" w:rsidRDefault="004F6363" w:rsidP="00217015">
            <w:pPr>
              <w:ind w:left="0" w:firstLine="0"/>
              <w:outlineLvl w:val="1"/>
              <w:rPr>
                <w:rFonts w:asciiTheme="minorHAnsi" w:hAnsiTheme="minorHAnsi" w:cstheme="minorHAnsi"/>
                <w:b/>
                <w:bCs/>
                <w:sz w:val="18"/>
                <w:szCs w:val="20"/>
                <w:lang w:val="fr-FR"/>
              </w:rPr>
            </w:pPr>
            <w:r w:rsidRPr="00420F85">
              <w:rPr>
                <w:rFonts w:cs="Calibri"/>
                <w:bCs/>
                <w:sz w:val="18"/>
                <w:szCs w:val="20"/>
                <w:lang w:val="fr-FR"/>
              </w:rPr>
              <w:t>2009</w:t>
            </w:r>
          </w:p>
        </w:tc>
        <w:tc>
          <w:tcPr>
            <w:tcW w:w="880" w:type="dxa"/>
          </w:tcPr>
          <w:p w14:paraId="76CEC82B" w14:textId="77777777" w:rsidR="002C4120" w:rsidRPr="00420F85" w:rsidRDefault="00420F85"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14 (11 </w:t>
            </w:r>
            <w:r w:rsidR="004F6363" w:rsidRPr="00420F85">
              <w:rPr>
                <w:rFonts w:cs="Calibri"/>
                <w:bCs/>
                <w:sz w:val="18"/>
                <w:szCs w:val="20"/>
                <w:lang w:val="fr-FR"/>
              </w:rPr>
              <w:t xml:space="preserve">Parties contractantes, </w:t>
            </w:r>
            <w:r w:rsidR="004F6363" w:rsidRPr="00420F85">
              <w:rPr>
                <w:rFonts w:cs="Calibri"/>
                <w:bCs/>
                <w:sz w:val="18"/>
                <w:szCs w:val="20"/>
                <w:lang w:val="fr-FR"/>
              </w:rPr>
              <w:br/>
              <w:t>3 territoires d’outre-mer)</w:t>
            </w:r>
          </w:p>
        </w:tc>
        <w:tc>
          <w:tcPr>
            <w:tcW w:w="1100" w:type="dxa"/>
          </w:tcPr>
          <w:p w14:paraId="75E223B6"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w:t>
            </w:r>
          </w:p>
        </w:tc>
        <w:tc>
          <w:tcPr>
            <w:tcW w:w="2266" w:type="dxa"/>
          </w:tcPr>
          <w:p w14:paraId="7F80F453" w14:textId="53ABE466"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Le Comité de l’I</w:t>
            </w:r>
            <w:r w:rsidR="007C4430">
              <w:rPr>
                <w:rFonts w:cs="Calibri"/>
                <w:bCs/>
                <w:sz w:val="18"/>
                <w:szCs w:val="20"/>
                <w:lang w:val="fr-FR"/>
              </w:rPr>
              <w:t>RR</w:t>
            </w:r>
            <w:r w:rsidRPr="00420F85">
              <w:rPr>
                <w:rFonts w:cs="Calibri"/>
                <w:bCs/>
                <w:sz w:val="18"/>
                <w:szCs w:val="20"/>
                <w:lang w:val="fr-FR"/>
              </w:rPr>
              <w:t xml:space="preserve"> est coordonné par 2 pays membres et inclut chacune des Parties contractantes membres de l’I</w:t>
            </w:r>
            <w:r w:rsidR="007C4430">
              <w:rPr>
                <w:rFonts w:cs="Calibri"/>
                <w:bCs/>
                <w:sz w:val="18"/>
                <w:szCs w:val="20"/>
                <w:lang w:val="fr-FR"/>
              </w:rPr>
              <w:t>RR</w:t>
            </w:r>
            <w:r w:rsidR="00CC19B6">
              <w:rPr>
                <w:rFonts w:cs="Calibri"/>
                <w:bCs/>
                <w:sz w:val="18"/>
                <w:szCs w:val="20"/>
                <w:lang w:val="fr-FR"/>
              </w:rPr>
              <w:t>, le Secrétariat Ramsar</w:t>
            </w:r>
            <w:r w:rsidRPr="00420F85">
              <w:rPr>
                <w:rFonts w:cs="Calibri"/>
                <w:bCs/>
                <w:sz w:val="18"/>
                <w:szCs w:val="20"/>
                <w:lang w:val="fr-FR"/>
              </w:rPr>
              <w:t xml:space="preserve"> et les représentants sous-régionaux au Comité permanent pour les Caraïbes (passés, présents et futurs).  </w:t>
            </w:r>
          </w:p>
        </w:tc>
        <w:tc>
          <w:tcPr>
            <w:tcW w:w="1276" w:type="dxa"/>
          </w:tcPr>
          <w:p w14:paraId="112A140F" w14:textId="585C345B" w:rsidR="002C4120" w:rsidRPr="00420F85" w:rsidRDefault="004F6363" w:rsidP="00CC19B6">
            <w:pPr>
              <w:ind w:left="0" w:firstLine="0"/>
              <w:outlineLvl w:val="1"/>
              <w:rPr>
                <w:rFonts w:asciiTheme="minorHAnsi" w:hAnsiTheme="minorHAnsi" w:cstheme="minorHAnsi"/>
                <w:bCs/>
                <w:sz w:val="18"/>
                <w:szCs w:val="20"/>
                <w:lang w:val="fr-FR"/>
              </w:rPr>
            </w:pPr>
            <w:r w:rsidRPr="00420F85">
              <w:rPr>
                <w:rFonts w:cs="Calibri"/>
                <w:bCs/>
                <w:sz w:val="18"/>
                <w:szCs w:val="20"/>
                <w:lang w:val="fr-FR"/>
              </w:rPr>
              <w:t>Membre du Comité de l’I</w:t>
            </w:r>
            <w:r w:rsidR="007C4430">
              <w:rPr>
                <w:rFonts w:cs="Calibri"/>
                <w:bCs/>
                <w:sz w:val="18"/>
                <w:szCs w:val="20"/>
                <w:lang w:val="fr-FR"/>
              </w:rPr>
              <w:t>RR</w:t>
            </w:r>
            <w:r w:rsidRPr="00420F85">
              <w:rPr>
                <w:rFonts w:cs="Calibri"/>
                <w:bCs/>
                <w:sz w:val="18"/>
                <w:szCs w:val="20"/>
                <w:lang w:val="fr-FR"/>
              </w:rPr>
              <w:t xml:space="preserve">, </w:t>
            </w:r>
            <w:r w:rsidR="00CC19B6">
              <w:rPr>
                <w:rFonts w:cs="Calibri"/>
                <w:bCs/>
                <w:sz w:val="18"/>
                <w:szCs w:val="20"/>
                <w:lang w:val="fr-FR"/>
              </w:rPr>
              <w:t>apporte</w:t>
            </w:r>
            <w:r w:rsidRPr="00420F85">
              <w:rPr>
                <w:rFonts w:cs="Calibri"/>
                <w:bCs/>
                <w:sz w:val="18"/>
                <w:szCs w:val="20"/>
                <w:lang w:val="fr-FR"/>
              </w:rPr>
              <w:t xml:space="preserve"> un soutien  </w:t>
            </w:r>
          </w:p>
        </w:tc>
        <w:tc>
          <w:tcPr>
            <w:tcW w:w="1559" w:type="dxa"/>
          </w:tcPr>
          <w:p w14:paraId="16503953"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Comité de coordination (de précédentes allocations du Comité permanent ont été administrées par le Secrétariat sur décision du Comité de coordination)</w:t>
            </w:r>
          </w:p>
        </w:tc>
        <w:tc>
          <w:tcPr>
            <w:tcW w:w="992" w:type="dxa"/>
          </w:tcPr>
          <w:p w14:paraId="1EB3EFA2" w14:textId="331C5F1C" w:rsidR="002C4120" w:rsidRPr="0098168E" w:rsidRDefault="00DE37AE" w:rsidP="00217015">
            <w:pPr>
              <w:ind w:left="0" w:firstLine="0"/>
              <w:outlineLvl w:val="1"/>
              <w:rPr>
                <w:rFonts w:asciiTheme="minorHAnsi" w:hAnsiTheme="minorHAnsi" w:cstheme="minorHAnsi"/>
                <w:bCs/>
                <w:spacing w:val="-4"/>
                <w:sz w:val="18"/>
                <w:szCs w:val="20"/>
                <w:lang w:val="fr-FR"/>
              </w:rPr>
            </w:pPr>
            <w:r w:rsidRPr="0098168E">
              <w:rPr>
                <w:rFonts w:cs="Calibri"/>
                <w:bCs/>
                <w:sz w:val="18"/>
                <w:szCs w:val="20"/>
                <w:lang w:val="fr-FR"/>
              </w:rPr>
              <w:t>En nature</w:t>
            </w:r>
          </w:p>
        </w:tc>
        <w:tc>
          <w:tcPr>
            <w:tcW w:w="884" w:type="dxa"/>
          </w:tcPr>
          <w:p w14:paraId="77FCE274" w14:textId="77777777"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En nature</w:t>
            </w:r>
          </w:p>
        </w:tc>
        <w:tc>
          <w:tcPr>
            <w:tcW w:w="1417" w:type="dxa"/>
          </w:tcPr>
          <w:p w14:paraId="3B887CB8" w14:textId="77777777"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Pays membres</w:t>
            </w:r>
          </w:p>
        </w:tc>
        <w:tc>
          <w:tcPr>
            <w:tcW w:w="2744" w:type="dxa"/>
          </w:tcPr>
          <w:p w14:paraId="7E256CFE" w14:textId="26D619F8" w:rsidR="002C4120" w:rsidRPr="0098168E" w:rsidRDefault="00C62745" w:rsidP="00C62745">
            <w:pPr>
              <w:ind w:left="0" w:firstLine="0"/>
              <w:outlineLvl w:val="1"/>
              <w:rPr>
                <w:rFonts w:asciiTheme="minorHAnsi" w:hAnsiTheme="minorHAnsi" w:cstheme="minorHAnsi"/>
                <w:bCs/>
                <w:sz w:val="18"/>
                <w:szCs w:val="20"/>
                <w:lang w:val="fr-CH"/>
              </w:rPr>
            </w:pPr>
            <w:r w:rsidRPr="0098168E">
              <w:rPr>
                <w:rFonts w:asciiTheme="minorHAnsi" w:hAnsiTheme="minorHAnsi" w:cstheme="minorHAnsi"/>
                <w:bCs/>
                <w:sz w:val="18"/>
                <w:szCs w:val="20"/>
                <w:lang w:val="fr-CH"/>
              </w:rPr>
              <w:t>R</w:t>
            </w:r>
            <w:r w:rsidR="0079081D" w:rsidRPr="0098168E">
              <w:rPr>
                <w:rFonts w:asciiTheme="minorHAnsi" w:hAnsiTheme="minorHAnsi" w:cstheme="minorHAnsi"/>
                <w:bCs/>
                <w:sz w:val="18"/>
                <w:szCs w:val="20"/>
                <w:lang w:val="fr-CH"/>
              </w:rPr>
              <w:t>éunions du C</w:t>
            </w:r>
            <w:r w:rsidRPr="0098168E">
              <w:rPr>
                <w:rFonts w:asciiTheme="minorHAnsi" w:hAnsiTheme="minorHAnsi" w:cstheme="minorHAnsi"/>
                <w:bCs/>
                <w:sz w:val="18"/>
                <w:szCs w:val="20"/>
                <w:lang w:val="fr-CH"/>
              </w:rPr>
              <w:t xml:space="preserve">omité de coordination et suivi des priorités du plan de travail, en particulier le projet </w:t>
            </w:r>
            <w:r w:rsidR="008712A6" w:rsidRPr="0098168E">
              <w:rPr>
                <w:rFonts w:asciiTheme="minorHAnsi" w:hAnsiTheme="minorHAnsi" w:cstheme="minorHAnsi"/>
                <w:bCs/>
                <w:sz w:val="18"/>
                <w:szCs w:val="20"/>
                <w:lang w:val="fr-CH"/>
              </w:rPr>
              <w:t>IKI.</w:t>
            </w:r>
          </w:p>
        </w:tc>
        <w:tc>
          <w:tcPr>
            <w:tcW w:w="1203" w:type="dxa"/>
          </w:tcPr>
          <w:p w14:paraId="7CD3376B"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Aucune information</w:t>
            </w:r>
          </w:p>
        </w:tc>
      </w:tr>
      <w:tr w:rsidR="0098168E" w:rsidRPr="0098168E" w14:paraId="48E7769C" w14:textId="77777777" w:rsidTr="00945C73">
        <w:trPr>
          <w:cantSplit/>
        </w:trPr>
        <w:tc>
          <w:tcPr>
            <w:tcW w:w="1414" w:type="dxa"/>
          </w:tcPr>
          <w:p w14:paraId="3CF32F34"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lastRenderedPageBreak/>
              <w:t>Initiative régionale Ramsar pour la conservation et l’utilisation rationnelle des mangroves et des récifs coralliens, 2009</w:t>
            </w:r>
          </w:p>
        </w:tc>
        <w:tc>
          <w:tcPr>
            <w:tcW w:w="880" w:type="dxa"/>
          </w:tcPr>
          <w:p w14:paraId="5866B4A8"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14</w:t>
            </w:r>
          </w:p>
          <w:p w14:paraId="772D77E8" w14:textId="77777777" w:rsidR="002C4120" w:rsidRPr="00420F85" w:rsidRDefault="002C4120" w:rsidP="00217015">
            <w:pPr>
              <w:ind w:left="0" w:firstLine="0"/>
              <w:outlineLvl w:val="1"/>
              <w:rPr>
                <w:rFonts w:asciiTheme="minorHAnsi" w:hAnsiTheme="minorHAnsi" w:cstheme="minorHAnsi"/>
                <w:bCs/>
                <w:sz w:val="18"/>
                <w:szCs w:val="20"/>
                <w:lang w:val="fr-FR"/>
              </w:rPr>
            </w:pPr>
          </w:p>
        </w:tc>
        <w:tc>
          <w:tcPr>
            <w:tcW w:w="1100" w:type="dxa"/>
          </w:tcPr>
          <w:p w14:paraId="265DE82F"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w:t>
            </w:r>
          </w:p>
        </w:tc>
        <w:tc>
          <w:tcPr>
            <w:tcW w:w="2266" w:type="dxa"/>
          </w:tcPr>
          <w:p w14:paraId="7BA111F0" w14:textId="6629989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Le Comité de coordination de l’</w:t>
            </w:r>
            <w:r w:rsidR="007C4430">
              <w:rPr>
                <w:rFonts w:cs="Calibri"/>
                <w:bCs/>
                <w:sz w:val="18"/>
                <w:szCs w:val="20"/>
                <w:lang w:val="fr-FR"/>
              </w:rPr>
              <w:t>IRR</w:t>
            </w:r>
            <w:r w:rsidRPr="00420F85">
              <w:rPr>
                <w:rFonts w:cs="Calibri"/>
                <w:bCs/>
                <w:sz w:val="18"/>
                <w:szCs w:val="20"/>
                <w:lang w:val="fr-FR"/>
              </w:rPr>
              <w:t xml:space="preserve"> est dirigé par deux pays membres et comprend toutes les Parties contractantes avec le soutien du Secrétariat. </w:t>
            </w:r>
          </w:p>
        </w:tc>
        <w:tc>
          <w:tcPr>
            <w:tcW w:w="1276" w:type="dxa"/>
          </w:tcPr>
          <w:p w14:paraId="6D3A0D3C" w14:textId="77777777" w:rsidR="002C4120" w:rsidRPr="00420F85" w:rsidRDefault="00CC19B6" w:rsidP="00217015">
            <w:pPr>
              <w:ind w:left="0" w:firstLine="0"/>
              <w:outlineLvl w:val="1"/>
              <w:rPr>
                <w:rFonts w:asciiTheme="minorHAnsi" w:hAnsiTheme="minorHAnsi" w:cstheme="minorHAnsi"/>
                <w:bCs/>
                <w:sz w:val="18"/>
                <w:szCs w:val="20"/>
                <w:lang w:val="fr-FR"/>
              </w:rPr>
            </w:pPr>
            <w:r>
              <w:rPr>
                <w:rFonts w:cs="Calibri"/>
                <w:bCs/>
                <w:sz w:val="18"/>
                <w:szCs w:val="20"/>
                <w:lang w:val="fr-FR"/>
              </w:rPr>
              <w:t>Apporte</w:t>
            </w:r>
            <w:r w:rsidR="004F6363" w:rsidRPr="00420F85">
              <w:rPr>
                <w:rFonts w:cs="Calibri"/>
                <w:bCs/>
                <w:sz w:val="18"/>
                <w:szCs w:val="20"/>
                <w:lang w:val="fr-FR"/>
              </w:rPr>
              <w:t xml:space="preserve"> un soutien au Comité régional </w:t>
            </w:r>
          </w:p>
        </w:tc>
        <w:tc>
          <w:tcPr>
            <w:tcW w:w="1559" w:type="dxa"/>
          </w:tcPr>
          <w:p w14:paraId="671AAA1C"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Comité de coordination (de précédentes allocations du Comité permanent ont été administrées par le Secrétariat sur décision du Comité de coordination)</w:t>
            </w:r>
          </w:p>
        </w:tc>
        <w:tc>
          <w:tcPr>
            <w:tcW w:w="992" w:type="dxa"/>
          </w:tcPr>
          <w:p w14:paraId="04FCE2FF" w14:textId="763BC40C" w:rsidR="002C4120" w:rsidRPr="0098168E" w:rsidRDefault="007511E2"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6 500</w:t>
            </w:r>
          </w:p>
        </w:tc>
        <w:tc>
          <w:tcPr>
            <w:tcW w:w="884" w:type="dxa"/>
          </w:tcPr>
          <w:p w14:paraId="749CF68C" w14:textId="77280A3D" w:rsidR="002C4120" w:rsidRPr="0098168E" w:rsidRDefault="007511E2"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E</w:t>
            </w:r>
            <w:r w:rsidR="004F6363" w:rsidRPr="0098168E">
              <w:rPr>
                <w:rFonts w:cs="Calibri"/>
                <w:bCs/>
                <w:sz w:val="18"/>
                <w:szCs w:val="20"/>
                <w:lang w:val="fr-FR"/>
              </w:rPr>
              <w:t>n nature</w:t>
            </w:r>
          </w:p>
        </w:tc>
        <w:tc>
          <w:tcPr>
            <w:tcW w:w="1417" w:type="dxa"/>
          </w:tcPr>
          <w:p w14:paraId="44AB559D" w14:textId="6ABE7B83" w:rsidR="002C4120" w:rsidRPr="0098168E" w:rsidRDefault="007511E2" w:rsidP="00217015">
            <w:pPr>
              <w:widowControl w:val="0"/>
              <w:ind w:left="0" w:firstLine="0"/>
              <w:outlineLvl w:val="1"/>
              <w:rPr>
                <w:rFonts w:asciiTheme="minorHAnsi" w:hAnsiTheme="minorHAnsi" w:cstheme="minorHAnsi"/>
                <w:bCs/>
                <w:sz w:val="18"/>
                <w:szCs w:val="20"/>
                <w:lang w:val="fr-FR"/>
              </w:rPr>
            </w:pPr>
            <w:r w:rsidRPr="0098168E">
              <w:rPr>
                <w:rFonts w:cs="Calibri"/>
                <w:bCs/>
                <w:sz w:val="18"/>
                <w:szCs w:val="20"/>
                <w:lang w:val="fr-FR"/>
              </w:rPr>
              <w:t>Pays membres</w:t>
            </w:r>
          </w:p>
        </w:tc>
        <w:tc>
          <w:tcPr>
            <w:tcW w:w="2744" w:type="dxa"/>
          </w:tcPr>
          <w:p w14:paraId="1D7311FE" w14:textId="68C5A5D3" w:rsidR="002C4120" w:rsidRPr="0098168E" w:rsidRDefault="0079081D" w:rsidP="0079081D">
            <w:pPr>
              <w:ind w:left="0" w:firstLine="0"/>
              <w:outlineLvl w:val="1"/>
              <w:rPr>
                <w:rFonts w:asciiTheme="minorHAnsi" w:hAnsiTheme="minorHAnsi" w:cstheme="minorHAnsi"/>
                <w:bCs/>
                <w:sz w:val="18"/>
                <w:szCs w:val="20"/>
                <w:lang w:val="fr-CH"/>
              </w:rPr>
            </w:pPr>
            <w:r w:rsidRPr="0098168E">
              <w:rPr>
                <w:rFonts w:asciiTheme="minorHAnsi" w:hAnsiTheme="minorHAnsi" w:cstheme="minorHAnsi"/>
                <w:bCs/>
                <w:sz w:val="18"/>
                <w:szCs w:val="20"/>
                <w:lang w:val="fr-CH"/>
              </w:rPr>
              <w:t>Réunions du Comité de coordination et préparation d’une proposition d’appels de fonds sur le carbone bleu.</w:t>
            </w:r>
          </w:p>
        </w:tc>
        <w:tc>
          <w:tcPr>
            <w:tcW w:w="1203" w:type="dxa"/>
          </w:tcPr>
          <w:p w14:paraId="6285FA7D" w14:textId="77777777"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Aucune information</w:t>
            </w:r>
          </w:p>
        </w:tc>
      </w:tr>
      <w:tr w:rsidR="0098168E" w:rsidRPr="00D26183" w14:paraId="6B6ED0A6" w14:textId="77777777" w:rsidTr="00945C73">
        <w:trPr>
          <w:cantSplit/>
        </w:trPr>
        <w:tc>
          <w:tcPr>
            <w:tcW w:w="1414" w:type="dxa"/>
          </w:tcPr>
          <w:p w14:paraId="72BE1968"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Partenariat pour la voie de migration Asie de l’Est-Australasie, 2006</w:t>
            </w:r>
          </w:p>
        </w:tc>
        <w:tc>
          <w:tcPr>
            <w:tcW w:w="880" w:type="dxa"/>
          </w:tcPr>
          <w:p w14:paraId="01E1A9B7"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18</w:t>
            </w:r>
          </w:p>
        </w:tc>
        <w:tc>
          <w:tcPr>
            <w:tcW w:w="1100" w:type="dxa"/>
          </w:tcPr>
          <w:p w14:paraId="49387991"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Non (des informations structurelles sont disponibles sur le site Web)</w:t>
            </w:r>
          </w:p>
        </w:tc>
        <w:tc>
          <w:tcPr>
            <w:tcW w:w="2266" w:type="dxa"/>
          </w:tcPr>
          <w:p w14:paraId="169C9057"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Le Comité de gestion de l’EAAFP fournit des orientations générales politiques, opérationnelles et financières au Secrétariat de l’EAAFP. Une réunion du Partenariat a lieu chaque année pour superviser sa mise en œuvre.</w:t>
            </w:r>
          </w:p>
        </w:tc>
        <w:tc>
          <w:tcPr>
            <w:tcW w:w="1276" w:type="dxa"/>
          </w:tcPr>
          <w:p w14:paraId="0F5A09DD"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Partenaire</w:t>
            </w:r>
          </w:p>
        </w:tc>
        <w:tc>
          <w:tcPr>
            <w:tcW w:w="1559" w:type="dxa"/>
          </w:tcPr>
          <w:p w14:paraId="59C8AACC" w14:textId="40EC490F" w:rsidR="0051172C" w:rsidRPr="0098168E" w:rsidRDefault="00950BF7" w:rsidP="00CC19B6">
            <w:pPr>
              <w:ind w:left="0" w:firstLine="0"/>
              <w:outlineLvl w:val="1"/>
              <w:rPr>
                <w:rFonts w:cs="Calibri"/>
                <w:bCs/>
                <w:sz w:val="18"/>
                <w:szCs w:val="20"/>
                <w:lang w:val="fr-CH"/>
              </w:rPr>
            </w:pPr>
            <w:r w:rsidRPr="0098168E">
              <w:rPr>
                <w:rFonts w:cs="Calibri"/>
                <w:bCs/>
                <w:sz w:val="18"/>
                <w:szCs w:val="20"/>
                <w:lang w:val="fr-CH"/>
              </w:rPr>
              <w:t>Le Sous-Comité des finances de l’EAAFP fournit des avis au Secrétariat et aux partenaires sur la gestion globale des finances.</w:t>
            </w:r>
          </w:p>
          <w:p w14:paraId="0C3915DE" w14:textId="1D3A1F1F" w:rsidR="002C4120" w:rsidRPr="00420F85" w:rsidRDefault="00CC19B6" w:rsidP="00CC19B6">
            <w:pPr>
              <w:ind w:left="0" w:firstLine="0"/>
              <w:outlineLvl w:val="1"/>
              <w:rPr>
                <w:rFonts w:asciiTheme="minorHAnsi" w:hAnsiTheme="minorHAnsi" w:cstheme="minorHAnsi"/>
                <w:bCs/>
                <w:sz w:val="18"/>
                <w:szCs w:val="20"/>
                <w:lang w:val="fr-FR"/>
              </w:rPr>
            </w:pPr>
            <w:r>
              <w:rPr>
                <w:rFonts w:cs="Calibri"/>
                <w:bCs/>
                <w:sz w:val="18"/>
                <w:szCs w:val="20"/>
                <w:lang w:val="fr-FR"/>
              </w:rPr>
              <w:t>Rapport</w:t>
            </w:r>
            <w:r w:rsidR="004F6363" w:rsidRPr="00420F85">
              <w:rPr>
                <w:rFonts w:cs="Calibri"/>
                <w:bCs/>
                <w:sz w:val="18"/>
                <w:szCs w:val="20"/>
                <w:lang w:val="fr-FR"/>
              </w:rPr>
              <w:t xml:space="preserve"> à la Réunion des partenaires (MOP), </w:t>
            </w:r>
            <w:r>
              <w:rPr>
                <w:rFonts w:cs="Calibri"/>
                <w:bCs/>
                <w:sz w:val="18"/>
                <w:szCs w:val="20"/>
                <w:lang w:val="fr-FR"/>
              </w:rPr>
              <w:t>r</w:t>
            </w:r>
            <w:r w:rsidR="004F6363" w:rsidRPr="00420F85">
              <w:rPr>
                <w:rFonts w:cs="Calibri"/>
                <w:bCs/>
                <w:sz w:val="18"/>
                <w:szCs w:val="20"/>
                <w:lang w:val="fr-FR"/>
              </w:rPr>
              <w:t>esponsable financier en poste</w:t>
            </w:r>
          </w:p>
        </w:tc>
        <w:tc>
          <w:tcPr>
            <w:tcW w:w="992" w:type="dxa"/>
          </w:tcPr>
          <w:p w14:paraId="05088A11" w14:textId="3273C689" w:rsidR="002C4120" w:rsidRPr="0098168E" w:rsidRDefault="004F6363" w:rsidP="00217015">
            <w:pPr>
              <w:ind w:left="0" w:firstLine="0"/>
              <w:jc w:val="right"/>
              <w:outlineLvl w:val="1"/>
              <w:rPr>
                <w:rFonts w:asciiTheme="minorHAnsi" w:eastAsiaTheme="minorEastAsia" w:hAnsiTheme="minorHAnsi" w:cstheme="minorHAnsi"/>
                <w:bCs/>
                <w:sz w:val="18"/>
                <w:szCs w:val="20"/>
                <w:lang w:val="fr-FR" w:eastAsia="ja-JP"/>
              </w:rPr>
            </w:pPr>
            <w:r w:rsidRPr="0098168E">
              <w:rPr>
                <w:rFonts w:cs="Calibri"/>
                <w:bCs/>
                <w:sz w:val="18"/>
                <w:szCs w:val="20"/>
                <w:lang w:val="fr-FR" w:eastAsia="ja-JP"/>
              </w:rPr>
              <w:t>9</w:t>
            </w:r>
            <w:r w:rsidR="0051172C" w:rsidRPr="0098168E">
              <w:rPr>
                <w:rFonts w:cs="Calibri"/>
                <w:bCs/>
                <w:sz w:val="18"/>
                <w:szCs w:val="20"/>
                <w:lang w:val="fr-FR" w:eastAsia="ja-JP"/>
              </w:rPr>
              <w:t>4</w:t>
            </w:r>
            <w:r w:rsidRPr="0098168E">
              <w:rPr>
                <w:rFonts w:cs="Calibri"/>
                <w:bCs/>
                <w:sz w:val="18"/>
                <w:szCs w:val="20"/>
                <w:lang w:val="fr-FR" w:eastAsia="ja-JP"/>
              </w:rPr>
              <w:t>0 </w:t>
            </w:r>
            <w:r w:rsidR="0051172C" w:rsidRPr="0098168E">
              <w:rPr>
                <w:rFonts w:cs="Calibri"/>
                <w:bCs/>
                <w:sz w:val="18"/>
                <w:szCs w:val="20"/>
                <w:lang w:val="fr-FR" w:eastAsia="ja-JP"/>
              </w:rPr>
              <w:t>000 USD</w:t>
            </w:r>
          </w:p>
        </w:tc>
        <w:tc>
          <w:tcPr>
            <w:tcW w:w="884" w:type="dxa"/>
          </w:tcPr>
          <w:p w14:paraId="33A56C4B" w14:textId="0BD0FDD8" w:rsidR="002C4120" w:rsidRPr="0098168E" w:rsidRDefault="0051172C"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661 711 USD</w:t>
            </w:r>
          </w:p>
        </w:tc>
        <w:tc>
          <w:tcPr>
            <w:tcW w:w="1417" w:type="dxa"/>
          </w:tcPr>
          <w:p w14:paraId="6C3842F9" w14:textId="77777777"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Municipalité d’Incheon, contributions volontaires des partenaires de l’EAAFP, collecte de fonds</w:t>
            </w:r>
          </w:p>
        </w:tc>
        <w:tc>
          <w:tcPr>
            <w:tcW w:w="2744" w:type="dxa"/>
          </w:tcPr>
          <w:p w14:paraId="2EE327B1" w14:textId="7D55CE80" w:rsidR="002C4120" w:rsidRPr="0098168E" w:rsidRDefault="00950BF7" w:rsidP="00950BF7">
            <w:pPr>
              <w:ind w:left="0" w:firstLine="0"/>
              <w:outlineLvl w:val="1"/>
              <w:rPr>
                <w:rFonts w:asciiTheme="minorHAnsi" w:hAnsiTheme="minorHAnsi" w:cstheme="minorHAnsi"/>
                <w:bCs/>
                <w:sz w:val="18"/>
                <w:szCs w:val="20"/>
                <w:lang w:val="fr-CH"/>
              </w:rPr>
            </w:pPr>
            <w:r w:rsidRPr="0098168E">
              <w:rPr>
                <w:rFonts w:asciiTheme="minorHAnsi" w:hAnsiTheme="minorHAnsi" w:cstheme="minorHAnsi"/>
                <w:bCs/>
                <w:sz w:val="18"/>
                <w:szCs w:val="20"/>
                <w:lang w:val="fr-CH"/>
              </w:rPr>
              <w:t xml:space="preserve">Fournir des avis et un appui technique aux sites existants et désignation de nouveaux sites du Réseau de la voie de migration, programme annuel de petites subventions, mobilisation de ressources. </w:t>
            </w:r>
          </w:p>
        </w:tc>
        <w:tc>
          <w:tcPr>
            <w:tcW w:w="1203" w:type="dxa"/>
          </w:tcPr>
          <w:p w14:paraId="5B767B8E" w14:textId="2892FC98" w:rsidR="002C4120" w:rsidRPr="0098168E" w:rsidRDefault="0051172C" w:rsidP="00217015">
            <w:pPr>
              <w:ind w:left="0" w:firstLine="0"/>
              <w:outlineLvl w:val="1"/>
              <w:rPr>
                <w:rFonts w:asciiTheme="minorHAnsi" w:hAnsiTheme="minorHAnsi" w:cstheme="minorHAnsi"/>
                <w:bCs/>
                <w:sz w:val="18"/>
                <w:szCs w:val="20"/>
                <w:lang w:val="fr-FR"/>
              </w:rPr>
            </w:pPr>
            <w:r w:rsidRPr="0098168E">
              <w:rPr>
                <w:rFonts w:cs="Calibri"/>
                <w:bCs/>
                <w:spacing w:val="-4"/>
                <w:sz w:val="18"/>
                <w:szCs w:val="20"/>
                <w:lang w:val="fr-FR"/>
              </w:rPr>
              <w:t>Restrictions imposées par la COVID-19</w:t>
            </w:r>
          </w:p>
        </w:tc>
      </w:tr>
      <w:tr w:rsidR="00E74827" w:rsidRPr="00D26183" w14:paraId="6FBCBFBD" w14:textId="77777777" w:rsidTr="00945C73">
        <w:trPr>
          <w:cantSplit/>
        </w:trPr>
        <w:tc>
          <w:tcPr>
            <w:tcW w:w="1414" w:type="dxa"/>
          </w:tcPr>
          <w:p w14:paraId="154756E2" w14:textId="29873796"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lastRenderedPageBreak/>
              <w:t xml:space="preserve">Initiative </w:t>
            </w:r>
            <w:r w:rsidR="004E0A84">
              <w:rPr>
                <w:rFonts w:cs="Calibri"/>
                <w:bCs/>
                <w:sz w:val="18"/>
                <w:szCs w:val="20"/>
                <w:lang w:val="fr-FR"/>
              </w:rPr>
              <w:t xml:space="preserve">régionale Ramsar </w:t>
            </w:r>
            <w:r w:rsidRPr="00420F85">
              <w:rPr>
                <w:rFonts w:cs="Calibri"/>
                <w:bCs/>
                <w:sz w:val="18"/>
                <w:szCs w:val="20"/>
                <w:lang w:val="fr-FR"/>
              </w:rPr>
              <w:t>pour les zones humides méditerranéennes (MedWet),</w:t>
            </w:r>
          </w:p>
          <w:p w14:paraId="6CDCE933"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1991</w:t>
            </w:r>
          </w:p>
        </w:tc>
        <w:tc>
          <w:tcPr>
            <w:tcW w:w="880" w:type="dxa"/>
          </w:tcPr>
          <w:p w14:paraId="71EB4635"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27</w:t>
            </w:r>
          </w:p>
        </w:tc>
        <w:tc>
          <w:tcPr>
            <w:tcW w:w="1100" w:type="dxa"/>
          </w:tcPr>
          <w:p w14:paraId="69F142AE"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w:t>
            </w:r>
          </w:p>
        </w:tc>
        <w:tc>
          <w:tcPr>
            <w:tcW w:w="2266" w:type="dxa"/>
          </w:tcPr>
          <w:p w14:paraId="67980EE9" w14:textId="1E149AEC"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L’</w:t>
            </w:r>
            <w:r w:rsidR="007C4430">
              <w:rPr>
                <w:rFonts w:cs="Calibri"/>
                <w:bCs/>
                <w:sz w:val="18"/>
                <w:szCs w:val="20"/>
                <w:lang w:val="fr-FR"/>
              </w:rPr>
              <w:t>IRR</w:t>
            </w:r>
            <w:r w:rsidRPr="00420F85">
              <w:rPr>
                <w:rFonts w:cs="Calibri"/>
                <w:bCs/>
                <w:sz w:val="18"/>
                <w:szCs w:val="20"/>
                <w:lang w:val="fr-FR"/>
              </w:rPr>
              <w:t xml:space="preserve"> comprend</w:t>
            </w:r>
            <w:r w:rsidR="00420F85" w:rsidRPr="00420F85">
              <w:rPr>
                <w:rFonts w:cs="Calibri"/>
                <w:bCs/>
                <w:sz w:val="18"/>
                <w:szCs w:val="20"/>
                <w:lang w:val="fr-FR"/>
              </w:rPr>
              <w:t> :</w:t>
            </w:r>
            <w:r w:rsidRPr="00420F85">
              <w:rPr>
                <w:rFonts w:cs="Calibri"/>
                <w:bCs/>
                <w:sz w:val="18"/>
                <w:szCs w:val="20"/>
                <w:lang w:val="fr-FR"/>
              </w:rPr>
              <w:t xml:space="preserve"> le Comité pour les zones humides méditerranéennes (MedWet/Com) ; le Groupe de pilotage de MedWet ; le Réseau scientifique et technique de MedWet ; le Secrétariat MedWet. </w:t>
            </w:r>
          </w:p>
          <w:p w14:paraId="4F80EA98" w14:textId="2DADE8E3"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MedWet/Com est chargé de superviser la mise en œuvre de l’I</w:t>
            </w:r>
            <w:r w:rsidR="007C4430">
              <w:rPr>
                <w:rFonts w:cs="Calibri"/>
                <w:bCs/>
                <w:sz w:val="18"/>
                <w:szCs w:val="20"/>
                <w:lang w:val="fr-FR"/>
              </w:rPr>
              <w:t>RR</w:t>
            </w:r>
            <w:r w:rsidRPr="00420F85">
              <w:rPr>
                <w:rFonts w:cs="Calibri"/>
                <w:bCs/>
                <w:sz w:val="18"/>
                <w:szCs w:val="20"/>
                <w:lang w:val="fr-FR"/>
              </w:rPr>
              <w:t xml:space="preserve">, y compris l’approbation des documents stratégiques, du budget annuel et des rapports financiers vérifiés.  </w:t>
            </w:r>
          </w:p>
        </w:tc>
        <w:tc>
          <w:tcPr>
            <w:tcW w:w="1276" w:type="dxa"/>
          </w:tcPr>
          <w:p w14:paraId="1FB49CEA"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Membre du Groupe de pilotage</w:t>
            </w:r>
          </w:p>
        </w:tc>
        <w:tc>
          <w:tcPr>
            <w:tcW w:w="1559" w:type="dxa"/>
          </w:tcPr>
          <w:p w14:paraId="6EF492B9"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Le Secrétariat MedWet administre les budgets approuvés et soumet le rapport financier annuel au Groupe de pilotage de MedWet et à MedWet/Com.  </w:t>
            </w:r>
          </w:p>
        </w:tc>
        <w:tc>
          <w:tcPr>
            <w:tcW w:w="992" w:type="dxa"/>
          </w:tcPr>
          <w:p w14:paraId="37ADBB9E" w14:textId="0DBC7DB3" w:rsidR="002C4120" w:rsidRPr="0098168E" w:rsidRDefault="0051172C" w:rsidP="00420F85">
            <w:pPr>
              <w:ind w:left="0" w:firstLine="0"/>
              <w:outlineLvl w:val="1"/>
              <w:rPr>
                <w:rFonts w:asciiTheme="minorHAnsi" w:hAnsiTheme="minorHAnsi" w:cstheme="minorHAnsi"/>
                <w:bCs/>
                <w:sz w:val="18"/>
                <w:szCs w:val="20"/>
                <w:lang w:val="fr-FR"/>
              </w:rPr>
            </w:pPr>
            <w:r w:rsidRPr="0098168E">
              <w:rPr>
                <w:rFonts w:cs="Calibri"/>
                <w:bCs/>
                <w:sz w:val="18"/>
                <w:szCs w:val="20"/>
                <w:lang w:val="fr-FR"/>
              </w:rPr>
              <w:t>431 533 EUR</w:t>
            </w:r>
          </w:p>
        </w:tc>
        <w:tc>
          <w:tcPr>
            <w:tcW w:w="884" w:type="dxa"/>
          </w:tcPr>
          <w:p w14:paraId="1F037258" w14:textId="6FEE8D5D" w:rsidR="002C4120" w:rsidRPr="0098168E" w:rsidRDefault="0051172C" w:rsidP="00420F85">
            <w:pPr>
              <w:ind w:left="0" w:firstLine="0"/>
              <w:outlineLvl w:val="1"/>
              <w:rPr>
                <w:rFonts w:asciiTheme="minorHAnsi" w:hAnsiTheme="minorHAnsi" w:cstheme="minorHAnsi"/>
                <w:bCs/>
                <w:sz w:val="18"/>
                <w:szCs w:val="20"/>
                <w:lang w:val="fr-FR"/>
              </w:rPr>
            </w:pPr>
            <w:r w:rsidRPr="0098168E">
              <w:rPr>
                <w:rFonts w:cs="Calibri"/>
                <w:bCs/>
                <w:sz w:val="18"/>
                <w:szCs w:val="20"/>
                <w:lang w:val="fr-FR"/>
              </w:rPr>
              <w:t>309 081 EUR</w:t>
            </w:r>
          </w:p>
        </w:tc>
        <w:tc>
          <w:tcPr>
            <w:tcW w:w="1417" w:type="dxa"/>
          </w:tcPr>
          <w:p w14:paraId="62465A8E" w14:textId="62E954D9"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Contribution des pays </w:t>
            </w:r>
            <w:r w:rsidR="0051172C" w:rsidRPr="0098168E">
              <w:rPr>
                <w:rFonts w:cs="Calibri"/>
                <w:bCs/>
                <w:sz w:val="18"/>
                <w:szCs w:val="20"/>
                <w:lang w:val="fr-FR"/>
              </w:rPr>
              <w:t>membres</w:t>
            </w:r>
            <w:r w:rsidRPr="0098168E">
              <w:rPr>
                <w:rFonts w:cs="Calibri"/>
                <w:bCs/>
                <w:sz w:val="18"/>
                <w:szCs w:val="20"/>
                <w:lang w:val="fr-FR"/>
              </w:rPr>
              <w:t xml:space="preserve"> de MedWet, Fondation MAVA, </w:t>
            </w:r>
            <w:r w:rsidR="0051172C" w:rsidRPr="0098168E">
              <w:rPr>
                <w:rFonts w:cs="Calibri"/>
                <w:bCs/>
                <w:sz w:val="18"/>
                <w:szCs w:val="20"/>
                <w:lang w:val="fr-FR"/>
              </w:rPr>
              <w:t>Union européenne, OFB</w:t>
            </w:r>
          </w:p>
        </w:tc>
        <w:tc>
          <w:tcPr>
            <w:tcW w:w="2744" w:type="dxa"/>
          </w:tcPr>
          <w:p w14:paraId="400CE974" w14:textId="1E2E6EDA" w:rsidR="002C4120" w:rsidRPr="00420F85" w:rsidRDefault="0051172C" w:rsidP="00217015">
            <w:pPr>
              <w:ind w:left="0" w:firstLine="0"/>
              <w:outlineLvl w:val="1"/>
              <w:rPr>
                <w:rFonts w:asciiTheme="minorHAnsi" w:hAnsiTheme="minorHAnsi" w:cstheme="minorHAnsi"/>
                <w:bCs/>
                <w:sz w:val="18"/>
                <w:szCs w:val="20"/>
                <w:lang w:val="fr-FR"/>
              </w:rPr>
            </w:pPr>
            <w:r w:rsidRPr="0051172C">
              <w:rPr>
                <w:rFonts w:cs="Calibri"/>
                <w:bCs/>
                <w:sz w:val="18"/>
                <w:szCs w:val="20"/>
                <w:lang w:val="fr-FR"/>
              </w:rPr>
              <w:t>•</w:t>
            </w:r>
            <w:r w:rsidR="004F6363" w:rsidRPr="00420F85">
              <w:rPr>
                <w:rFonts w:cs="Calibri"/>
                <w:bCs/>
                <w:sz w:val="18"/>
                <w:szCs w:val="20"/>
                <w:lang w:val="fr-FR"/>
              </w:rPr>
              <w:t xml:space="preserve"> Atelier/programme de formation sur l’évaluation socio-économique des services écosystémiques </w:t>
            </w:r>
          </w:p>
          <w:p w14:paraId="4A64E83F" w14:textId="445C83D8" w:rsidR="002C4120" w:rsidRPr="00420F85" w:rsidRDefault="0051172C" w:rsidP="00217015">
            <w:pPr>
              <w:ind w:left="0" w:firstLine="0"/>
              <w:outlineLvl w:val="1"/>
              <w:rPr>
                <w:rFonts w:asciiTheme="minorHAnsi" w:hAnsiTheme="minorHAnsi" w:cstheme="minorHAnsi"/>
                <w:bCs/>
                <w:sz w:val="18"/>
                <w:szCs w:val="20"/>
                <w:lang w:val="fr-FR"/>
              </w:rPr>
            </w:pPr>
            <w:r w:rsidRPr="0051172C">
              <w:rPr>
                <w:rFonts w:cs="Calibri"/>
                <w:bCs/>
                <w:sz w:val="18"/>
                <w:szCs w:val="20"/>
                <w:lang w:val="fr-FR"/>
              </w:rPr>
              <w:t>•</w:t>
            </w:r>
            <w:r w:rsidR="004F6363" w:rsidRPr="00420F85">
              <w:rPr>
                <w:rFonts w:cs="Calibri"/>
                <w:bCs/>
                <w:sz w:val="18"/>
                <w:szCs w:val="20"/>
                <w:lang w:val="fr-FR"/>
              </w:rPr>
              <w:t xml:space="preserve"> Création d’un groupe de travail sur les politiques</w:t>
            </w:r>
          </w:p>
          <w:p w14:paraId="1C2EA250" w14:textId="60656B0E" w:rsidR="002C4120" w:rsidRPr="00420F85" w:rsidRDefault="0051172C" w:rsidP="00217015">
            <w:pPr>
              <w:ind w:left="0" w:firstLine="0"/>
              <w:outlineLvl w:val="1"/>
              <w:rPr>
                <w:rFonts w:asciiTheme="minorHAnsi" w:hAnsiTheme="minorHAnsi" w:cstheme="minorHAnsi"/>
                <w:bCs/>
                <w:sz w:val="18"/>
                <w:szCs w:val="20"/>
                <w:lang w:val="fr-FR"/>
              </w:rPr>
            </w:pPr>
            <w:r w:rsidRPr="0051172C">
              <w:rPr>
                <w:rFonts w:cs="Calibri"/>
                <w:bCs/>
                <w:sz w:val="18"/>
                <w:szCs w:val="20"/>
                <w:lang w:val="fr-FR"/>
              </w:rPr>
              <w:t>•</w:t>
            </w:r>
            <w:r w:rsidR="004F6363" w:rsidRPr="00420F85">
              <w:rPr>
                <w:rFonts w:cs="Calibri"/>
                <w:bCs/>
                <w:sz w:val="18"/>
                <w:szCs w:val="20"/>
                <w:lang w:val="fr-FR"/>
              </w:rPr>
              <w:t xml:space="preserve"> Conservation et gestion efficace du réseau de sites Ramsar (création d’un réseau de gestionnaires de sites)</w:t>
            </w:r>
          </w:p>
          <w:p w14:paraId="4415A058" w14:textId="0D32B6E0" w:rsidR="002C4120" w:rsidRPr="00420F85" w:rsidRDefault="0051172C" w:rsidP="00217015">
            <w:pPr>
              <w:ind w:left="0" w:firstLine="0"/>
              <w:outlineLvl w:val="1"/>
              <w:rPr>
                <w:rFonts w:asciiTheme="minorHAnsi" w:hAnsiTheme="minorHAnsi" w:cstheme="minorHAnsi"/>
                <w:bCs/>
                <w:sz w:val="18"/>
                <w:szCs w:val="20"/>
                <w:lang w:val="fr-FR"/>
              </w:rPr>
            </w:pPr>
            <w:r w:rsidRPr="0051172C">
              <w:rPr>
                <w:rFonts w:cs="Calibri"/>
                <w:bCs/>
                <w:sz w:val="18"/>
                <w:szCs w:val="20"/>
                <w:lang w:val="fr-FR"/>
              </w:rPr>
              <w:t>•</w:t>
            </w:r>
            <w:r w:rsidR="004F6363" w:rsidRPr="00420F85">
              <w:rPr>
                <w:rFonts w:cs="Calibri"/>
                <w:bCs/>
                <w:sz w:val="18"/>
                <w:szCs w:val="20"/>
                <w:lang w:val="fr-FR"/>
              </w:rPr>
              <w:t xml:space="preserve"> Promotion de l’utilisation rationnelle des zones humides (soutien au label Ville des Zones Humides accréditée, pour la mise à jour </w:t>
            </w:r>
            <w:r w:rsidR="00420F85">
              <w:rPr>
                <w:rFonts w:cs="Calibri"/>
                <w:bCs/>
                <w:sz w:val="18"/>
                <w:szCs w:val="20"/>
                <w:lang w:val="fr-FR"/>
              </w:rPr>
              <w:t xml:space="preserve">des </w:t>
            </w:r>
            <w:r w:rsidR="004F6363" w:rsidRPr="00420F85">
              <w:rPr>
                <w:rFonts w:cs="Calibri"/>
                <w:bCs/>
                <w:sz w:val="18"/>
                <w:szCs w:val="20"/>
                <w:lang w:val="fr-FR"/>
              </w:rPr>
              <w:t>inventaire</w:t>
            </w:r>
            <w:r w:rsidR="00420F85">
              <w:rPr>
                <w:rFonts w:cs="Calibri"/>
                <w:bCs/>
                <w:sz w:val="18"/>
                <w:szCs w:val="20"/>
                <w:lang w:val="fr-FR"/>
              </w:rPr>
              <w:t>s nationaux</w:t>
            </w:r>
          </w:p>
          <w:p w14:paraId="0CB51C2D" w14:textId="70DE4FE2" w:rsidR="002C4120" w:rsidRPr="00420F85" w:rsidRDefault="0051172C" w:rsidP="00217015">
            <w:pPr>
              <w:ind w:left="0" w:firstLine="0"/>
              <w:outlineLvl w:val="1"/>
              <w:rPr>
                <w:rFonts w:asciiTheme="minorHAnsi" w:hAnsiTheme="minorHAnsi" w:cstheme="minorHAnsi"/>
                <w:bCs/>
                <w:sz w:val="18"/>
                <w:szCs w:val="20"/>
                <w:lang w:val="fr-FR"/>
              </w:rPr>
            </w:pPr>
            <w:r w:rsidRPr="0051172C">
              <w:rPr>
                <w:rFonts w:cs="Calibri"/>
                <w:bCs/>
                <w:sz w:val="18"/>
                <w:szCs w:val="20"/>
                <w:lang w:val="fr-FR"/>
              </w:rPr>
              <w:t>•</w:t>
            </w:r>
            <w:r w:rsidR="004F6363" w:rsidRPr="00420F85">
              <w:rPr>
                <w:rFonts w:cs="Calibri"/>
                <w:bCs/>
                <w:sz w:val="18"/>
                <w:szCs w:val="20"/>
                <w:lang w:val="fr-FR"/>
              </w:rPr>
              <w:t xml:space="preserve"> Amélioration de l’application de la Convention de Ramsar (coordination et renforcement du </w:t>
            </w:r>
            <w:r w:rsidR="00DB046D">
              <w:rPr>
                <w:rFonts w:cs="Calibri"/>
                <w:bCs/>
                <w:sz w:val="18"/>
                <w:szCs w:val="20"/>
                <w:lang w:val="fr-FR"/>
              </w:rPr>
              <w:t>R</w:t>
            </w:r>
            <w:r w:rsidR="004F6363" w:rsidRPr="00420F85">
              <w:rPr>
                <w:rFonts w:cs="Calibri"/>
                <w:bCs/>
                <w:sz w:val="18"/>
                <w:szCs w:val="20"/>
                <w:lang w:val="fr-FR"/>
              </w:rPr>
              <w:t xml:space="preserve">éseau </w:t>
            </w:r>
            <w:r w:rsidR="00DB046D" w:rsidRPr="00420F85">
              <w:rPr>
                <w:rFonts w:cs="Calibri"/>
                <w:bCs/>
                <w:sz w:val="18"/>
                <w:szCs w:val="20"/>
                <w:lang w:val="fr-FR"/>
              </w:rPr>
              <w:t>scientifique</w:t>
            </w:r>
            <w:r w:rsidR="00DB046D">
              <w:rPr>
                <w:rFonts w:cs="Calibri"/>
                <w:bCs/>
                <w:sz w:val="18"/>
                <w:szCs w:val="20"/>
                <w:lang w:val="fr-FR"/>
              </w:rPr>
              <w:t xml:space="preserve"> et</w:t>
            </w:r>
            <w:r w:rsidR="00DB046D" w:rsidRPr="00420F85">
              <w:rPr>
                <w:rFonts w:cs="Calibri"/>
                <w:bCs/>
                <w:sz w:val="18"/>
                <w:szCs w:val="20"/>
                <w:lang w:val="fr-FR"/>
              </w:rPr>
              <w:t xml:space="preserve"> </w:t>
            </w:r>
            <w:r w:rsidR="004F6363" w:rsidRPr="00420F85">
              <w:rPr>
                <w:rFonts w:cs="Calibri"/>
                <w:bCs/>
                <w:sz w:val="18"/>
                <w:szCs w:val="20"/>
                <w:lang w:val="fr-FR"/>
              </w:rPr>
              <w:t>technique</w:t>
            </w:r>
            <w:r w:rsidR="00DB046D">
              <w:rPr>
                <w:rFonts w:cs="Calibri"/>
                <w:bCs/>
                <w:sz w:val="18"/>
                <w:szCs w:val="20"/>
                <w:lang w:val="fr-FR"/>
              </w:rPr>
              <w:t xml:space="preserve"> de</w:t>
            </w:r>
            <w:r w:rsidR="004F6363" w:rsidRPr="00420F85">
              <w:rPr>
                <w:rFonts w:cs="Calibri"/>
                <w:bCs/>
                <w:sz w:val="18"/>
                <w:szCs w:val="20"/>
                <w:lang w:val="fr-FR"/>
              </w:rPr>
              <w:t xml:space="preserve"> MedWet</w:t>
            </w:r>
          </w:p>
          <w:p w14:paraId="1B069369" w14:textId="1B4664E3" w:rsidR="002C4120" w:rsidRPr="00420F85" w:rsidRDefault="0051172C" w:rsidP="00DB046D">
            <w:pPr>
              <w:ind w:left="0" w:firstLine="0"/>
              <w:outlineLvl w:val="1"/>
              <w:rPr>
                <w:rFonts w:asciiTheme="minorHAnsi" w:hAnsiTheme="minorHAnsi" w:cstheme="minorHAnsi"/>
                <w:bCs/>
                <w:sz w:val="18"/>
                <w:szCs w:val="20"/>
                <w:lang w:val="fr-FR"/>
              </w:rPr>
            </w:pPr>
            <w:r w:rsidRPr="0051172C">
              <w:rPr>
                <w:rFonts w:cs="Calibri"/>
                <w:bCs/>
                <w:sz w:val="18"/>
                <w:szCs w:val="20"/>
                <w:lang w:val="fr-FR"/>
              </w:rPr>
              <w:t>•</w:t>
            </w:r>
            <w:r w:rsidR="004F6363" w:rsidRPr="00420F85">
              <w:rPr>
                <w:rFonts w:cs="Calibri"/>
                <w:bCs/>
                <w:sz w:val="18"/>
                <w:szCs w:val="20"/>
                <w:lang w:val="fr-FR"/>
              </w:rPr>
              <w:t xml:space="preserve"> Communication à travers la publication d’un bulletin d’information mensuel, Journée mondiale des zones humides, préparation d</w:t>
            </w:r>
            <w:r w:rsidR="008A53CA">
              <w:rPr>
                <w:rFonts w:cs="Calibri"/>
                <w:bCs/>
                <w:sz w:val="18"/>
                <w:szCs w:val="20"/>
                <w:lang w:val="fr-FR"/>
              </w:rPr>
              <w:t xml:space="preserve">’un programme </w:t>
            </w:r>
            <w:r w:rsidR="004F6363" w:rsidRPr="00420F85">
              <w:rPr>
                <w:rFonts w:cs="Calibri"/>
                <w:bCs/>
                <w:sz w:val="18"/>
                <w:szCs w:val="20"/>
                <w:lang w:val="fr-FR"/>
              </w:rPr>
              <w:t xml:space="preserve">de renforcement des capacités </w:t>
            </w:r>
            <w:r w:rsidR="008A53CA">
              <w:rPr>
                <w:rFonts w:cs="Calibri"/>
                <w:bCs/>
                <w:sz w:val="18"/>
                <w:szCs w:val="20"/>
                <w:lang w:val="fr-FR"/>
              </w:rPr>
              <w:t xml:space="preserve">de </w:t>
            </w:r>
            <w:r w:rsidR="008A53CA" w:rsidRPr="00420F85">
              <w:rPr>
                <w:rFonts w:cs="Calibri"/>
                <w:bCs/>
                <w:sz w:val="18"/>
                <w:szCs w:val="20"/>
                <w:lang w:val="fr-FR"/>
              </w:rPr>
              <w:t xml:space="preserve">3 ans </w:t>
            </w:r>
            <w:r w:rsidR="008A53CA">
              <w:rPr>
                <w:rFonts w:cs="Calibri"/>
                <w:bCs/>
                <w:sz w:val="18"/>
                <w:szCs w:val="20"/>
                <w:lang w:val="fr-FR"/>
              </w:rPr>
              <w:t>sur</w:t>
            </w:r>
            <w:r w:rsidR="00DB046D">
              <w:rPr>
                <w:rFonts w:cs="Calibri"/>
                <w:bCs/>
                <w:sz w:val="18"/>
                <w:szCs w:val="20"/>
                <w:lang w:val="fr-FR"/>
              </w:rPr>
              <w:t xml:space="preserve"> la collecte de fonds)</w:t>
            </w:r>
          </w:p>
        </w:tc>
        <w:tc>
          <w:tcPr>
            <w:tcW w:w="1203" w:type="dxa"/>
          </w:tcPr>
          <w:p w14:paraId="6651EB4C" w14:textId="6B61C060" w:rsidR="002C4120" w:rsidRPr="00420F85" w:rsidRDefault="0051172C" w:rsidP="00217015">
            <w:pPr>
              <w:ind w:left="0" w:firstLine="0"/>
              <w:outlineLvl w:val="1"/>
              <w:rPr>
                <w:rFonts w:asciiTheme="minorHAnsi" w:hAnsiTheme="minorHAnsi" w:cstheme="minorHAnsi"/>
                <w:bCs/>
                <w:sz w:val="18"/>
                <w:szCs w:val="20"/>
                <w:lang w:val="fr-FR"/>
              </w:rPr>
            </w:pPr>
            <w:r w:rsidRPr="0098168E">
              <w:rPr>
                <w:rFonts w:cs="Calibri"/>
                <w:bCs/>
                <w:spacing w:val="-4"/>
                <w:sz w:val="18"/>
                <w:szCs w:val="20"/>
                <w:lang w:val="fr-FR"/>
              </w:rPr>
              <w:t>Restrictions imposées par la COVID-19</w:t>
            </w:r>
          </w:p>
        </w:tc>
      </w:tr>
      <w:tr w:rsidR="00E74827" w:rsidRPr="00D26183" w14:paraId="19E10501" w14:textId="77777777" w:rsidTr="00945C73">
        <w:tc>
          <w:tcPr>
            <w:tcW w:w="1414" w:type="dxa"/>
          </w:tcPr>
          <w:p w14:paraId="37149C8A" w14:textId="39AC1B27" w:rsidR="002C4120" w:rsidRPr="00420F85" w:rsidRDefault="004F6363" w:rsidP="00217015">
            <w:pPr>
              <w:ind w:left="0" w:firstLine="0"/>
              <w:outlineLvl w:val="1"/>
              <w:rPr>
                <w:rFonts w:asciiTheme="minorHAnsi" w:hAnsiTheme="minorHAnsi" w:cstheme="minorHAnsi"/>
                <w:bCs/>
                <w:sz w:val="18"/>
                <w:szCs w:val="20"/>
                <w:lang w:val="fr-FR"/>
              </w:rPr>
            </w:pPr>
            <w:r w:rsidRPr="00E44DA4">
              <w:rPr>
                <w:rFonts w:cs="Calibri"/>
                <w:bCs/>
                <w:sz w:val="18"/>
                <w:szCs w:val="20"/>
                <w:lang w:val="fr-FR"/>
              </w:rPr>
              <w:t xml:space="preserve">Initiative </w:t>
            </w:r>
            <w:r w:rsidR="004E0A84">
              <w:rPr>
                <w:rFonts w:cs="Calibri"/>
                <w:bCs/>
                <w:sz w:val="18"/>
                <w:szCs w:val="20"/>
                <w:lang w:val="fr-FR"/>
              </w:rPr>
              <w:t xml:space="preserve">régionale Ramsar </w:t>
            </w:r>
            <w:r w:rsidRPr="00E44DA4">
              <w:rPr>
                <w:rFonts w:cs="Calibri"/>
                <w:bCs/>
                <w:sz w:val="18"/>
                <w:szCs w:val="20"/>
                <w:lang w:val="fr-FR"/>
              </w:rPr>
              <w:t>pour les zones humides des Carpates (CWI), 2006</w:t>
            </w:r>
          </w:p>
        </w:tc>
        <w:tc>
          <w:tcPr>
            <w:tcW w:w="880" w:type="dxa"/>
          </w:tcPr>
          <w:p w14:paraId="2CC61CBF"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7</w:t>
            </w:r>
          </w:p>
        </w:tc>
        <w:tc>
          <w:tcPr>
            <w:tcW w:w="1100" w:type="dxa"/>
          </w:tcPr>
          <w:p w14:paraId="47499138"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w:t>
            </w:r>
          </w:p>
        </w:tc>
        <w:tc>
          <w:tcPr>
            <w:tcW w:w="2266" w:type="dxa"/>
          </w:tcPr>
          <w:p w14:paraId="6C54F645"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L’organe d’exécution de la CWI est un Conseil composé de</w:t>
            </w:r>
            <w:r w:rsidR="008A53CA">
              <w:rPr>
                <w:rFonts w:cs="Calibri"/>
                <w:bCs/>
                <w:sz w:val="18"/>
                <w:szCs w:val="20"/>
                <w:lang w:val="fr-FR"/>
              </w:rPr>
              <w:t>s</w:t>
            </w:r>
            <w:r w:rsidRPr="00420F85">
              <w:rPr>
                <w:rFonts w:cs="Calibri"/>
                <w:bCs/>
                <w:sz w:val="18"/>
                <w:szCs w:val="20"/>
                <w:lang w:val="fr-FR"/>
              </w:rPr>
              <w:t xml:space="preserve"> Correspondants de chaque membre. Il élit un président chargé de diriger les procédures, et se réunit périodiquement.  </w:t>
            </w:r>
          </w:p>
        </w:tc>
        <w:tc>
          <w:tcPr>
            <w:tcW w:w="1276" w:type="dxa"/>
          </w:tcPr>
          <w:p w14:paraId="1278A89C"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Contribue aux travaux du Conseil </w:t>
            </w:r>
          </w:p>
        </w:tc>
        <w:tc>
          <w:tcPr>
            <w:tcW w:w="1559" w:type="dxa"/>
          </w:tcPr>
          <w:p w14:paraId="39E91FBF" w14:textId="759C814F" w:rsidR="002C4120" w:rsidRPr="00F06653" w:rsidRDefault="00F06653" w:rsidP="00217015">
            <w:pPr>
              <w:ind w:left="0" w:firstLine="0"/>
              <w:outlineLvl w:val="1"/>
              <w:rPr>
                <w:rFonts w:asciiTheme="minorHAnsi" w:hAnsiTheme="minorHAnsi" w:cstheme="minorHAnsi"/>
                <w:bCs/>
                <w:color w:val="FF0000"/>
                <w:sz w:val="18"/>
                <w:szCs w:val="20"/>
                <w:lang w:val="fr-FR"/>
              </w:rPr>
            </w:pPr>
            <w:r w:rsidRPr="0097575D">
              <w:rPr>
                <w:rFonts w:asciiTheme="minorHAnsi" w:hAnsiTheme="minorHAnsi" w:cstheme="minorHAnsi"/>
                <w:bCs/>
                <w:sz w:val="18"/>
                <w:szCs w:val="20"/>
                <w:lang w:val="fr-FR"/>
              </w:rPr>
              <w:t>Exercée par le Conseil</w:t>
            </w:r>
          </w:p>
        </w:tc>
        <w:tc>
          <w:tcPr>
            <w:tcW w:w="992" w:type="dxa"/>
          </w:tcPr>
          <w:p w14:paraId="3F73A945" w14:textId="705C6D9D" w:rsidR="002C4120" w:rsidRPr="00420F85" w:rsidRDefault="00F06653" w:rsidP="00217015">
            <w:pPr>
              <w:ind w:left="0" w:firstLine="0"/>
              <w:outlineLvl w:val="1"/>
              <w:rPr>
                <w:rFonts w:asciiTheme="minorHAnsi" w:hAnsiTheme="minorHAnsi" w:cstheme="minorHAnsi"/>
                <w:bCs/>
                <w:sz w:val="18"/>
                <w:szCs w:val="20"/>
                <w:lang w:val="fr-FR"/>
              </w:rPr>
            </w:pPr>
            <w:r>
              <w:rPr>
                <w:rFonts w:cs="Calibri"/>
                <w:bCs/>
                <w:sz w:val="18"/>
                <w:szCs w:val="20"/>
                <w:lang w:val="fr-FR"/>
              </w:rPr>
              <w:t>51</w:t>
            </w:r>
            <w:r w:rsidR="004F6363" w:rsidRPr="00420F85">
              <w:rPr>
                <w:rFonts w:cs="Calibri"/>
                <w:bCs/>
                <w:sz w:val="18"/>
                <w:szCs w:val="20"/>
                <w:lang w:val="fr-FR"/>
              </w:rPr>
              <w:t> </w:t>
            </w:r>
            <w:r>
              <w:rPr>
                <w:rFonts w:cs="Calibri"/>
                <w:bCs/>
                <w:sz w:val="18"/>
                <w:szCs w:val="20"/>
                <w:lang w:val="fr-FR"/>
              </w:rPr>
              <w:t>596</w:t>
            </w:r>
            <w:r w:rsidR="004F6363" w:rsidRPr="00420F85">
              <w:rPr>
                <w:rFonts w:cs="Calibri"/>
                <w:bCs/>
                <w:sz w:val="18"/>
                <w:szCs w:val="20"/>
                <w:lang w:val="fr-FR"/>
              </w:rPr>
              <w:t xml:space="preserve"> EUR</w:t>
            </w:r>
          </w:p>
        </w:tc>
        <w:tc>
          <w:tcPr>
            <w:tcW w:w="884" w:type="dxa"/>
          </w:tcPr>
          <w:p w14:paraId="53318F76" w14:textId="74B599D2"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1</w:t>
            </w:r>
            <w:r w:rsidR="00F06653">
              <w:rPr>
                <w:rFonts w:cs="Calibri"/>
                <w:bCs/>
                <w:sz w:val="18"/>
                <w:szCs w:val="20"/>
                <w:lang w:val="fr-FR"/>
              </w:rPr>
              <w:t>7</w:t>
            </w:r>
            <w:r w:rsidRPr="00420F85">
              <w:rPr>
                <w:rFonts w:cs="Calibri"/>
                <w:bCs/>
                <w:sz w:val="18"/>
                <w:szCs w:val="20"/>
                <w:lang w:val="fr-FR"/>
              </w:rPr>
              <w:t> </w:t>
            </w:r>
            <w:r w:rsidR="00F06653">
              <w:rPr>
                <w:rFonts w:cs="Calibri"/>
                <w:bCs/>
                <w:sz w:val="18"/>
                <w:szCs w:val="20"/>
                <w:lang w:val="fr-FR"/>
              </w:rPr>
              <w:t>430</w:t>
            </w:r>
            <w:r w:rsidRPr="00420F85">
              <w:rPr>
                <w:rFonts w:cs="Calibri"/>
                <w:bCs/>
                <w:sz w:val="18"/>
                <w:szCs w:val="20"/>
                <w:lang w:val="fr-FR"/>
              </w:rPr>
              <w:t>,94</w:t>
            </w:r>
            <w:r w:rsidR="00F06653">
              <w:rPr>
                <w:rFonts w:cs="Calibri"/>
                <w:bCs/>
                <w:sz w:val="18"/>
                <w:szCs w:val="20"/>
                <w:lang w:val="fr-FR"/>
              </w:rPr>
              <w:t xml:space="preserve"> </w:t>
            </w:r>
            <w:r w:rsidRPr="00420F85">
              <w:rPr>
                <w:rFonts w:cs="Calibri"/>
                <w:bCs/>
                <w:sz w:val="18"/>
                <w:szCs w:val="20"/>
                <w:lang w:val="fr-FR"/>
              </w:rPr>
              <w:t>EUR</w:t>
            </w:r>
          </w:p>
        </w:tc>
        <w:tc>
          <w:tcPr>
            <w:tcW w:w="1417" w:type="dxa"/>
          </w:tcPr>
          <w:p w14:paraId="2F598214" w14:textId="679C9495" w:rsidR="002C4120" w:rsidRPr="00420F85" w:rsidRDefault="004F6363" w:rsidP="00B510CB">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Conservatoire national de la nature de la République slovaque (SNC SR SK), Ministère de l’environnement </w:t>
            </w:r>
            <w:r w:rsidRPr="00420F85">
              <w:rPr>
                <w:rFonts w:cs="Calibri"/>
                <w:bCs/>
                <w:sz w:val="18"/>
                <w:szCs w:val="20"/>
                <w:lang w:val="fr-FR"/>
              </w:rPr>
              <w:lastRenderedPageBreak/>
              <w:t xml:space="preserve">(Hongrie, République tchèque, Roumanie, Slovaquie, Ukraine), projets du Programme transnational </w:t>
            </w:r>
            <w:r w:rsidR="008A53CA">
              <w:rPr>
                <w:rFonts w:cs="Calibri"/>
                <w:bCs/>
                <w:sz w:val="18"/>
                <w:szCs w:val="20"/>
                <w:lang w:val="fr-FR"/>
              </w:rPr>
              <w:t>sur le</w:t>
            </w:r>
            <w:r w:rsidRPr="00420F85">
              <w:rPr>
                <w:rFonts w:cs="Calibri"/>
                <w:bCs/>
                <w:sz w:val="18"/>
                <w:szCs w:val="20"/>
                <w:lang w:val="fr-FR"/>
              </w:rPr>
              <w:t xml:space="preserve"> Danube, projet européen Central</w:t>
            </w:r>
            <w:r w:rsidR="00F06653">
              <w:rPr>
                <w:rFonts w:cs="Calibri"/>
                <w:bCs/>
                <w:sz w:val="18"/>
                <w:szCs w:val="20"/>
                <w:lang w:val="fr-FR"/>
              </w:rPr>
              <w:t xml:space="preserve"> </w:t>
            </w:r>
            <w:r w:rsidRPr="00420F85">
              <w:rPr>
                <w:rFonts w:cs="Calibri"/>
                <w:bCs/>
                <w:sz w:val="18"/>
                <w:szCs w:val="20"/>
                <w:lang w:val="fr-FR"/>
              </w:rPr>
              <w:t>parks, BfN Allemagne, budget CWI de la Hongrie)</w:t>
            </w:r>
            <w:r w:rsidR="00F06653">
              <w:rPr>
                <w:rFonts w:cs="Calibri"/>
                <w:bCs/>
                <w:sz w:val="18"/>
                <w:szCs w:val="20"/>
                <w:lang w:val="fr-FR"/>
              </w:rPr>
              <w:t xml:space="preserve">, </w:t>
            </w:r>
            <w:r w:rsidR="00F06653" w:rsidRPr="00F06653">
              <w:rPr>
                <w:rFonts w:cs="Calibri"/>
                <w:bCs/>
                <w:sz w:val="18"/>
                <w:szCs w:val="20"/>
                <w:lang w:val="fr-FR"/>
              </w:rPr>
              <w:t xml:space="preserve">Wetlands International, </w:t>
            </w:r>
            <w:r w:rsidR="00F06653" w:rsidRPr="0098168E">
              <w:rPr>
                <w:rFonts w:cs="Calibri"/>
                <w:bCs/>
                <w:sz w:val="18"/>
                <w:szCs w:val="20"/>
                <w:lang w:val="fr-CH"/>
              </w:rPr>
              <w:t xml:space="preserve">DAPHNE – Institute of Applied Ecology SK, Centre for Ecological Research HU, </w:t>
            </w:r>
            <w:r w:rsidR="00B510CB" w:rsidRPr="0098168E">
              <w:rPr>
                <w:rFonts w:cs="Calibri"/>
                <w:bCs/>
                <w:sz w:val="18"/>
                <w:szCs w:val="20"/>
                <w:lang w:val="fr-CH"/>
              </w:rPr>
              <w:t>PNUE</w:t>
            </w:r>
            <w:r w:rsidR="00F06653" w:rsidRPr="0098168E">
              <w:rPr>
                <w:rFonts w:cs="Calibri"/>
                <w:bCs/>
                <w:sz w:val="18"/>
                <w:szCs w:val="20"/>
                <w:lang w:val="fr-CH"/>
              </w:rPr>
              <w:t xml:space="preserve">-GRID Warsaw PL, </w:t>
            </w:r>
            <w:r w:rsidR="00B510CB" w:rsidRPr="0098168E">
              <w:rPr>
                <w:rFonts w:cs="Calibri"/>
                <w:bCs/>
                <w:sz w:val="18"/>
                <w:szCs w:val="20"/>
                <w:lang w:val="fr-CH"/>
              </w:rPr>
              <w:t xml:space="preserve">Université </w:t>
            </w:r>
            <w:r w:rsidR="00F06653" w:rsidRPr="0098168E">
              <w:rPr>
                <w:rFonts w:cs="Calibri"/>
                <w:bCs/>
                <w:sz w:val="18"/>
                <w:szCs w:val="20"/>
                <w:lang w:val="fr-CH"/>
              </w:rPr>
              <w:t>Masaryk</w:t>
            </w:r>
            <w:r w:rsidR="00B510CB" w:rsidRPr="0098168E">
              <w:rPr>
                <w:rFonts w:cs="Calibri"/>
                <w:bCs/>
                <w:sz w:val="18"/>
                <w:szCs w:val="20"/>
                <w:lang w:val="fr-CH"/>
              </w:rPr>
              <w:t>,</w:t>
            </w:r>
            <w:r w:rsidR="00F06653" w:rsidRPr="0098168E">
              <w:rPr>
                <w:rFonts w:cs="Calibri"/>
                <w:bCs/>
                <w:sz w:val="18"/>
                <w:szCs w:val="20"/>
                <w:lang w:val="fr-CH"/>
              </w:rPr>
              <w:t xml:space="preserve"> CZ, UNESCC.</w:t>
            </w:r>
          </w:p>
        </w:tc>
        <w:tc>
          <w:tcPr>
            <w:tcW w:w="2744" w:type="dxa"/>
          </w:tcPr>
          <w:p w14:paraId="0FFAEC12" w14:textId="24E87DFF" w:rsidR="00F06653" w:rsidRPr="0098168E" w:rsidRDefault="00F06653" w:rsidP="00F06653">
            <w:pPr>
              <w:ind w:left="0" w:firstLine="0"/>
              <w:outlineLvl w:val="1"/>
              <w:rPr>
                <w:rFonts w:asciiTheme="minorHAnsi" w:hAnsiTheme="minorHAnsi" w:cstheme="minorHAnsi"/>
                <w:bCs/>
                <w:spacing w:val="-4"/>
                <w:sz w:val="18"/>
                <w:szCs w:val="20"/>
                <w:lang w:val="fr-CH"/>
              </w:rPr>
            </w:pPr>
            <w:r w:rsidRPr="0098168E">
              <w:rPr>
                <w:rFonts w:asciiTheme="minorHAnsi" w:hAnsiTheme="minorHAnsi" w:cstheme="minorHAnsi"/>
                <w:bCs/>
                <w:spacing w:val="-4"/>
                <w:sz w:val="18"/>
                <w:szCs w:val="20"/>
                <w:lang w:val="fr-CH"/>
              </w:rPr>
              <w:lastRenderedPageBreak/>
              <w:t>•</w:t>
            </w:r>
            <w:r w:rsidR="00950BF7" w:rsidRPr="0098168E">
              <w:rPr>
                <w:rFonts w:asciiTheme="minorHAnsi" w:hAnsiTheme="minorHAnsi" w:cstheme="minorHAnsi"/>
                <w:bCs/>
                <w:spacing w:val="-4"/>
                <w:sz w:val="18"/>
                <w:szCs w:val="20"/>
                <w:lang w:val="fr-CH"/>
              </w:rPr>
              <w:t xml:space="preserve"> Les zones humides ainsi que leurs services et avantages </w:t>
            </w:r>
            <w:r w:rsidR="003E61FD" w:rsidRPr="0098168E">
              <w:rPr>
                <w:rFonts w:asciiTheme="minorHAnsi" w:hAnsiTheme="minorHAnsi" w:cstheme="minorHAnsi"/>
                <w:bCs/>
                <w:spacing w:val="-4"/>
                <w:sz w:val="18"/>
                <w:szCs w:val="20"/>
                <w:lang w:val="fr-CH"/>
              </w:rPr>
              <w:t>dans les</w:t>
            </w:r>
            <w:r w:rsidR="00950BF7" w:rsidRPr="0098168E">
              <w:rPr>
                <w:rFonts w:asciiTheme="minorHAnsi" w:hAnsiTheme="minorHAnsi" w:cstheme="minorHAnsi"/>
                <w:bCs/>
                <w:spacing w:val="-4"/>
                <w:sz w:val="18"/>
                <w:szCs w:val="20"/>
                <w:lang w:val="fr-CH"/>
              </w:rPr>
              <w:t xml:space="preserve"> Zones prioritaires </w:t>
            </w:r>
            <w:r w:rsidR="003E61FD" w:rsidRPr="0098168E">
              <w:rPr>
                <w:rFonts w:asciiTheme="minorHAnsi" w:hAnsiTheme="minorHAnsi" w:cstheme="minorHAnsi"/>
                <w:bCs/>
                <w:spacing w:val="-4"/>
                <w:sz w:val="18"/>
                <w:szCs w:val="20"/>
                <w:lang w:val="fr-CH"/>
              </w:rPr>
              <w:t>de la SRD de l’Union européenne</w:t>
            </w:r>
            <w:r w:rsidR="00950BF7" w:rsidRPr="0098168E">
              <w:rPr>
                <w:rFonts w:asciiTheme="minorHAnsi" w:hAnsiTheme="minorHAnsi" w:cstheme="minorHAnsi"/>
                <w:bCs/>
                <w:spacing w:val="-4"/>
                <w:sz w:val="18"/>
                <w:szCs w:val="20"/>
                <w:lang w:val="fr-CH"/>
              </w:rPr>
              <w:t xml:space="preserve">, </w:t>
            </w:r>
            <w:r w:rsidR="003E61FD" w:rsidRPr="0098168E">
              <w:rPr>
                <w:rFonts w:asciiTheme="minorHAnsi" w:hAnsiTheme="minorHAnsi" w:cstheme="minorHAnsi"/>
                <w:bCs/>
                <w:spacing w:val="-4"/>
                <w:sz w:val="18"/>
                <w:szCs w:val="20"/>
                <w:lang w:val="fr-CH"/>
              </w:rPr>
              <w:t xml:space="preserve">ont été promus </w:t>
            </w:r>
            <w:r w:rsidR="00950BF7" w:rsidRPr="0098168E">
              <w:rPr>
                <w:rFonts w:asciiTheme="minorHAnsi" w:hAnsiTheme="minorHAnsi" w:cstheme="minorHAnsi"/>
                <w:bCs/>
                <w:spacing w:val="-4"/>
                <w:sz w:val="18"/>
                <w:szCs w:val="20"/>
                <w:lang w:val="fr-CH"/>
              </w:rPr>
              <w:t xml:space="preserve">dans le cadre de plusieurs forums  </w:t>
            </w:r>
          </w:p>
          <w:p w14:paraId="283F155B" w14:textId="2D6EA866" w:rsidR="00F06653" w:rsidRPr="0098168E" w:rsidRDefault="00F06653" w:rsidP="00F06653">
            <w:pPr>
              <w:ind w:left="0" w:firstLine="0"/>
              <w:outlineLvl w:val="1"/>
              <w:rPr>
                <w:rFonts w:asciiTheme="minorHAnsi" w:hAnsiTheme="minorHAnsi" w:cstheme="minorHAnsi"/>
                <w:bCs/>
                <w:spacing w:val="-4"/>
                <w:sz w:val="18"/>
                <w:szCs w:val="20"/>
                <w:lang w:val="fr-CH"/>
              </w:rPr>
            </w:pPr>
            <w:r w:rsidRPr="0098168E">
              <w:rPr>
                <w:rFonts w:asciiTheme="minorHAnsi" w:hAnsiTheme="minorHAnsi" w:cstheme="minorHAnsi"/>
                <w:bCs/>
                <w:spacing w:val="-4"/>
                <w:sz w:val="18"/>
                <w:szCs w:val="20"/>
                <w:lang w:val="fr-CH"/>
              </w:rPr>
              <w:t>•</w:t>
            </w:r>
            <w:r w:rsidR="00950BF7" w:rsidRPr="0098168E">
              <w:rPr>
                <w:rFonts w:asciiTheme="minorHAnsi" w:hAnsiTheme="minorHAnsi" w:cstheme="minorHAnsi"/>
                <w:bCs/>
                <w:spacing w:val="-4"/>
                <w:sz w:val="18"/>
                <w:szCs w:val="20"/>
                <w:lang w:val="fr-CH"/>
              </w:rPr>
              <w:t xml:space="preserve"> </w:t>
            </w:r>
            <w:r w:rsidR="003E61FD" w:rsidRPr="0098168E">
              <w:rPr>
                <w:rFonts w:asciiTheme="minorHAnsi" w:hAnsiTheme="minorHAnsi" w:cstheme="minorHAnsi"/>
                <w:bCs/>
                <w:spacing w:val="-4"/>
                <w:sz w:val="18"/>
                <w:szCs w:val="20"/>
                <w:lang w:val="fr-CH"/>
              </w:rPr>
              <w:t xml:space="preserve">La </w:t>
            </w:r>
            <w:r w:rsidRPr="0098168E">
              <w:rPr>
                <w:rFonts w:asciiTheme="minorHAnsi" w:hAnsiTheme="minorHAnsi" w:cstheme="minorHAnsi"/>
                <w:bCs/>
                <w:spacing w:val="-4"/>
                <w:sz w:val="18"/>
                <w:szCs w:val="20"/>
                <w:lang w:val="fr-CH"/>
              </w:rPr>
              <w:t xml:space="preserve">CWI </w:t>
            </w:r>
            <w:r w:rsidR="00950BF7" w:rsidRPr="0098168E">
              <w:rPr>
                <w:rFonts w:asciiTheme="minorHAnsi" w:hAnsiTheme="minorHAnsi" w:cstheme="minorHAnsi"/>
                <w:bCs/>
                <w:spacing w:val="-4"/>
                <w:sz w:val="18"/>
                <w:szCs w:val="20"/>
                <w:lang w:val="fr-CH"/>
              </w:rPr>
              <w:t>a participé à la réunion de lancement de I</w:t>
            </w:r>
            <w:r w:rsidRPr="0098168E">
              <w:rPr>
                <w:rFonts w:asciiTheme="minorHAnsi" w:hAnsiTheme="minorHAnsi" w:cstheme="minorHAnsi"/>
                <w:bCs/>
                <w:spacing w:val="-4"/>
                <w:sz w:val="18"/>
                <w:szCs w:val="20"/>
                <w:lang w:val="fr-CH"/>
              </w:rPr>
              <w:t>DES</w:t>
            </w:r>
            <w:r w:rsidR="00950BF7" w:rsidRPr="0098168E">
              <w:rPr>
                <w:rFonts w:asciiTheme="minorHAnsi" w:hAnsiTheme="minorHAnsi" w:cstheme="minorHAnsi"/>
                <w:bCs/>
                <w:spacing w:val="-4"/>
                <w:sz w:val="18"/>
                <w:szCs w:val="20"/>
                <w:lang w:val="fr-CH"/>
              </w:rPr>
              <w:t> </w:t>
            </w:r>
          </w:p>
          <w:p w14:paraId="172311FD" w14:textId="17EF7A4B" w:rsidR="00F06653" w:rsidRPr="0098168E" w:rsidRDefault="00F06653" w:rsidP="00F06653">
            <w:pPr>
              <w:ind w:left="0" w:firstLine="0"/>
              <w:outlineLvl w:val="1"/>
              <w:rPr>
                <w:rFonts w:asciiTheme="minorHAnsi" w:hAnsiTheme="minorHAnsi" w:cstheme="minorHAnsi"/>
                <w:bCs/>
                <w:spacing w:val="-4"/>
                <w:sz w:val="18"/>
                <w:szCs w:val="20"/>
                <w:lang w:val="fr-CH"/>
              </w:rPr>
            </w:pPr>
            <w:r w:rsidRPr="0098168E">
              <w:rPr>
                <w:rFonts w:asciiTheme="minorHAnsi" w:hAnsiTheme="minorHAnsi" w:cstheme="minorHAnsi"/>
                <w:bCs/>
                <w:spacing w:val="-4"/>
                <w:sz w:val="18"/>
                <w:szCs w:val="20"/>
                <w:lang w:val="fr-CH"/>
              </w:rPr>
              <w:lastRenderedPageBreak/>
              <w:t>•</w:t>
            </w:r>
            <w:r w:rsidR="00950BF7" w:rsidRPr="0098168E">
              <w:rPr>
                <w:rFonts w:asciiTheme="minorHAnsi" w:hAnsiTheme="minorHAnsi" w:cstheme="minorHAnsi"/>
                <w:bCs/>
                <w:spacing w:val="-4"/>
                <w:sz w:val="18"/>
                <w:szCs w:val="20"/>
                <w:lang w:val="fr-CH"/>
              </w:rPr>
              <w:t xml:space="preserve"> Deux propositions de projets comprenant : le projet LIFE au sein de </w:t>
            </w:r>
            <w:r w:rsidRPr="0098168E">
              <w:rPr>
                <w:rFonts w:asciiTheme="minorHAnsi" w:hAnsiTheme="minorHAnsi" w:cstheme="minorHAnsi"/>
                <w:bCs/>
                <w:spacing w:val="-4"/>
                <w:sz w:val="18"/>
                <w:szCs w:val="20"/>
                <w:lang w:val="fr-CH"/>
              </w:rPr>
              <w:t xml:space="preserve">DANUBEPARKS </w:t>
            </w:r>
            <w:r w:rsidR="00950BF7" w:rsidRPr="0098168E">
              <w:rPr>
                <w:rFonts w:asciiTheme="minorHAnsi" w:hAnsiTheme="minorHAnsi" w:cstheme="minorHAnsi"/>
                <w:bCs/>
                <w:spacing w:val="-4"/>
                <w:sz w:val="18"/>
                <w:szCs w:val="20"/>
                <w:lang w:val="fr-CH"/>
              </w:rPr>
              <w:t xml:space="preserve">a été soutenu et la description du projet </w:t>
            </w:r>
            <w:r w:rsidRPr="0098168E">
              <w:rPr>
                <w:rFonts w:asciiTheme="minorHAnsi" w:hAnsiTheme="minorHAnsi" w:cstheme="minorHAnsi"/>
                <w:bCs/>
                <w:spacing w:val="-4"/>
                <w:sz w:val="18"/>
                <w:szCs w:val="20"/>
                <w:lang w:val="fr-CH"/>
              </w:rPr>
              <w:t>CARPWET</w:t>
            </w:r>
            <w:r w:rsidR="00950BF7" w:rsidRPr="0098168E">
              <w:rPr>
                <w:rFonts w:asciiTheme="minorHAnsi" w:hAnsiTheme="minorHAnsi" w:cstheme="minorHAnsi"/>
                <w:bCs/>
                <w:spacing w:val="-4"/>
                <w:sz w:val="18"/>
                <w:szCs w:val="20"/>
                <w:lang w:val="fr-CH"/>
              </w:rPr>
              <w:t xml:space="preserve"> pour le financement EUKI dans la région des Carpates a été préparée par</w:t>
            </w:r>
            <w:r w:rsidR="003E61FD" w:rsidRPr="0098168E">
              <w:rPr>
                <w:rFonts w:asciiTheme="minorHAnsi" w:hAnsiTheme="minorHAnsi" w:cstheme="minorHAnsi"/>
                <w:bCs/>
                <w:spacing w:val="-4"/>
                <w:sz w:val="18"/>
                <w:szCs w:val="20"/>
                <w:lang w:val="fr-CH"/>
              </w:rPr>
              <w:t xml:space="preserve"> la</w:t>
            </w:r>
            <w:r w:rsidR="00950BF7" w:rsidRPr="0098168E">
              <w:rPr>
                <w:rFonts w:asciiTheme="minorHAnsi" w:hAnsiTheme="minorHAnsi" w:cstheme="minorHAnsi"/>
                <w:bCs/>
                <w:spacing w:val="-4"/>
                <w:sz w:val="18"/>
                <w:szCs w:val="20"/>
                <w:lang w:val="fr-CH"/>
              </w:rPr>
              <w:t xml:space="preserve"> CWI  </w:t>
            </w:r>
            <w:r w:rsidRPr="0098168E">
              <w:rPr>
                <w:rFonts w:asciiTheme="minorHAnsi" w:hAnsiTheme="minorHAnsi" w:cstheme="minorHAnsi"/>
                <w:bCs/>
                <w:spacing w:val="-4"/>
                <w:sz w:val="18"/>
                <w:szCs w:val="20"/>
                <w:lang w:val="fr-CH"/>
              </w:rPr>
              <w:t xml:space="preserve"> </w:t>
            </w:r>
          </w:p>
          <w:p w14:paraId="3775C6CA" w14:textId="6D31F0DF" w:rsidR="00F06653" w:rsidRPr="0098168E" w:rsidRDefault="00F06653" w:rsidP="00F06653">
            <w:pPr>
              <w:ind w:left="0" w:firstLine="0"/>
              <w:outlineLvl w:val="1"/>
              <w:rPr>
                <w:rFonts w:asciiTheme="minorHAnsi" w:hAnsiTheme="minorHAnsi" w:cstheme="minorHAnsi"/>
                <w:bCs/>
                <w:spacing w:val="-4"/>
                <w:sz w:val="18"/>
                <w:szCs w:val="20"/>
                <w:lang w:val="fr-CH"/>
              </w:rPr>
            </w:pPr>
            <w:r w:rsidRPr="0098168E">
              <w:rPr>
                <w:rFonts w:asciiTheme="minorHAnsi" w:hAnsiTheme="minorHAnsi" w:cstheme="minorHAnsi"/>
                <w:bCs/>
                <w:spacing w:val="-4"/>
                <w:sz w:val="18"/>
                <w:szCs w:val="20"/>
                <w:lang w:val="fr-CH"/>
              </w:rPr>
              <w:t>•</w:t>
            </w:r>
            <w:r w:rsidR="00950BF7" w:rsidRPr="0098168E">
              <w:rPr>
                <w:rFonts w:asciiTheme="minorHAnsi" w:hAnsiTheme="minorHAnsi" w:cstheme="minorHAnsi"/>
                <w:bCs/>
                <w:spacing w:val="-4"/>
                <w:sz w:val="18"/>
                <w:szCs w:val="20"/>
                <w:lang w:val="fr-CH"/>
              </w:rPr>
              <w:t xml:space="preserve"> Une base de données </w:t>
            </w:r>
            <w:r w:rsidR="003E61FD" w:rsidRPr="0098168E">
              <w:rPr>
                <w:rFonts w:asciiTheme="minorHAnsi" w:hAnsiTheme="minorHAnsi" w:cstheme="minorHAnsi"/>
                <w:bCs/>
                <w:spacing w:val="-4"/>
                <w:sz w:val="18"/>
                <w:szCs w:val="20"/>
                <w:lang w:val="fr-CH"/>
              </w:rPr>
              <w:t>sur les</w:t>
            </w:r>
            <w:r w:rsidR="00950BF7" w:rsidRPr="0098168E">
              <w:rPr>
                <w:rFonts w:asciiTheme="minorHAnsi" w:hAnsiTheme="minorHAnsi" w:cstheme="minorHAnsi"/>
                <w:bCs/>
                <w:spacing w:val="-4"/>
                <w:sz w:val="18"/>
                <w:szCs w:val="20"/>
                <w:lang w:val="fr-CH"/>
              </w:rPr>
              <w:t xml:space="preserve"> habitats et espèces et </w:t>
            </w:r>
            <w:r w:rsidR="003E61FD" w:rsidRPr="0098168E">
              <w:rPr>
                <w:rFonts w:asciiTheme="minorHAnsi" w:hAnsiTheme="minorHAnsi" w:cstheme="minorHAnsi"/>
                <w:bCs/>
                <w:spacing w:val="-4"/>
                <w:sz w:val="18"/>
                <w:szCs w:val="20"/>
                <w:lang w:val="fr-CH"/>
              </w:rPr>
              <w:t>l</w:t>
            </w:r>
            <w:r w:rsidR="00950BF7" w:rsidRPr="0098168E">
              <w:rPr>
                <w:rFonts w:asciiTheme="minorHAnsi" w:hAnsiTheme="minorHAnsi" w:cstheme="minorHAnsi"/>
                <w:bCs/>
                <w:spacing w:val="-4"/>
                <w:sz w:val="18"/>
                <w:szCs w:val="20"/>
                <w:lang w:val="fr-CH"/>
              </w:rPr>
              <w:t xml:space="preserve">es valeurs culturelles au sein de </w:t>
            </w:r>
            <w:r w:rsidRPr="0098168E">
              <w:rPr>
                <w:rFonts w:asciiTheme="minorHAnsi" w:hAnsiTheme="minorHAnsi" w:cstheme="minorHAnsi"/>
                <w:bCs/>
                <w:spacing w:val="-4"/>
                <w:sz w:val="18"/>
                <w:szCs w:val="20"/>
                <w:lang w:val="fr-CH"/>
              </w:rPr>
              <w:t>Central</w:t>
            </w:r>
            <w:r w:rsidR="003E61FD" w:rsidRPr="0098168E">
              <w:rPr>
                <w:rFonts w:asciiTheme="minorHAnsi" w:hAnsiTheme="minorHAnsi" w:cstheme="minorHAnsi"/>
                <w:bCs/>
                <w:spacing w:val="-4"/>
                <w:sz w:val="18"/>
                <w:szCs w:val="20"/>
                <w:lang w:val="fr-CH"/>
              </w:rPr>
              <w:t xml:space="preserve"> </w:t>
            </w:r>
            <w:r w:rsidRPr="0098168E">
              <w:rPr>
                <w:rFonts w:asciiTheme="minorHAnsi" w:hAnsiTheme="minorHAnsi" w:cstheme="minorHAnsi"/>
                <w:bCs/>
                <w:spacing w:val="-4"/>
                <w:sz w:val="18"/>
                <w:szCs w:val="20"/>
                <w:lang w:val="fr-CH"/>
              </w:rPr>
              <w:t xml:space="preserve">parks </w:t>
            </w:r>
            <w:r w:rsidR="00950BF7" w:rsidRPr="0098168E">
              <w:rPr>
                <w:rFonts w:asciiTheme="minorHAnsi" w:hAnsiTheme="minorHAnsi" w:cstheme="minorHAnsi"/>
                <w:bCs/>
                <w:spacing w:val="-4"/>
                <w:sz w:val="18"/>
                <w:szCs w:val="20"/>
                <w:lang w:val="fr-CH"/>
              </w:rPr>
              <w:t xml:space="preserve">a été élaborée et intégrée dans le site web du projet </w:t>
            </w:r>
            <w:r w:rsidRPr="0098168E">
              <w:rPr>
                <w:rFonts w:asciiTheme="minorHAnsi" w:hAnsiTheme="minorHAnsi" w:cstheme="minorHAnsi"/>
                <w:bCs/>
                <w:spacing w:val="-4"/>
                <w:sz w:val="18"/>
                <w:szCs w:val="20"/>
                <w:lang w:val="fr-CH"/>
              </w:rPr>
              <w:t xml:space="preserve">CARPWET </w:t>
            </w:r>
          </w:p>
          <w:p w14:paraId="3C580FD8" w14:textId="728A1AB5" w:rsidR="00F06653" w:rsidRPr="0098168E" w:rsidRDefault="00F06653" w:rsidP="00F06653">
            <w:pPr>
              <w:ind w:left="0" w:firstLine="0"/>
              <w:outlineLvl w:val="1"/>
              <w:rPr>
                <w:rFonts w:asciiTheme="minorHAnsi" w:hAnsiTheme="minorHAnsi" w:cstheme="minorHAnsi"/>
                <w:bCs/>
                <w:spacing w:val="-4"/>
                <w:sz w:val="18"/>
                <w:szCs w:val="20"/>
                <w:lang w:val="fr-CH"/>
              </w:rPr>
            </w:pPr>
            <w:r w:rsidRPr="0098168E">
              <w:rPr>
                <w:rFonts w:asciiTheme="minorHAnsi" w:hAnsiTheme="minorHAnsi" w:cstheme="minorHAnsi"/>
                <w:bCs/>
                <w:spacing w:val="-4"/>
                <w:sz w:val="18"/>
                <w:szCs w:val="20"/>
                <w:lang w:val="fr-CH"/>
              </w:rPr>
              <w:t>•</w:t>
            </w:r>
            <w:r w:rsidR="00950BF7" w:rsidRPr="0098168E">
              <w:rPr>
                <w:rFonts w:asciiTheme="minorHAnsi" w:hAnsiTheme="minorHAnsi" w:cstheme="minorHAnsi"/>
                <w:bCs/>
                <w:spacing w:val="-4"/>
                <w:sz w:val="18"/>
                <w:szCs w:val="20"/>
                <w:lang w:val="fr-CH"/>
              </w:rPr>
              <w:t xml:space="preserve"> Le site web </w:t>
            </w:r>
            <w:r w:rsidRPr="0098168E">
              <w:rPr>
                <w:rFonts w:asciiTheme="minorHAnsi" w:hAnsiTheme="minorHAnsi" w:cstheme="minorHAnsi"/>
                <w:bCs/>
                <w:spacing w:val="-4"/>
                <w:sz w:val="18"/>
                <w:szCs w:val="20"/>
                <w:lang w:val="fr-CH"/>
              </w:rPr>
              <w:t xml:space="preserve">CWI </w:t>
            </w:r>
            <w:r w:rsidR="00950BF7" w:rsidRPr="0098168E">
              <w:rPr>
                <w:rFonts w:asciiTheme="minorHAnsi" w:hAnsiTheme="minorHAnsi" w:cstheme="minorHAnsi"/>
                <w:bCs/>
                <w:spacing w:val="-4"/>
                <w:sz w:val="18"/>
                <w:szCs w:val="20"/>
                <w:lang w:val="fr-CH"/>
              </w:rPr>
              <w:t>a été mis à jour</w:t>
            </w:r>
            <w:r w:rsidRPr="0098168E">
              <w:rPr>
                <w:rFonts w:asciiTheme="minorHAnsi" w:hAnsiTheme="minorHAnsi" w:cstheme="minorHAnsi"/>
                <w:bCs/>
                <w:spacing w:val="-4"/>
                <w:sz w:val="18"/>
                <w:szCs w:val="20"/>
                <w:lang w:val="fr-CH"/>
              </w:rPr>
              <w:t xml:space="preserve"> </w:t>
            </w:r>
          </w:p>
          <w:p w14:paraId="397D55D0" w14:textId="6EF40F2E" w:rsidR="002C4120" w:rsidRPr="0098168E" w:rsidRDefault="00F06653" w:rsidP="00F1411D">
            <w:pPr>
              <w:ind w:left="0" w:firstLine="0"/>
              <w:outlineLvl w:val="1"/>
              <w:rPr>
                <w:rFonts w:asciiTheme="minorHAnsi" w:hAnsiTheme="minorHAnsi" w:cstheme="minorHAnsi"/>
                <w:bCs/>
                <w:spacing w:val="-4"/>
                <w:sz w:val="18"/>
                <w:szCs w:val="20"/>
                <w:highlight w:val="yellow"/>
                <w:lang w:val="fr-FR"/>
              </w:rPr>
            </w:pPr>
            <w:r w:rsidRPr="0098168E">
              <w:rPr>
                <w:rFonts w:asciiTheme="minorHAnsi" w:hAnsiTheme="minorHAnsi" w:cstheme="minorHAnsi"/>
                <w:bCs/>
                <w:spacing w:val="-4"/>
                <w:sz w:val="18"/>
                <w:szCs w:val="20"/>
                <w:lang w:val="fr-CH"/>
              </w:rPr>
              <w:t>•</w:t>
            </w:r>
            <w:r w:rsidR="00950BF7" w:rsidRPr="0098168E">
              <w:rPr>
                <w:rFonts w:asciiTheme="minorHAnsi" w:hAnsiTheme="minorHAnsi" w:cstheme="minorHAnsi"/>
                <w:bCs/>
                <w:spacing w:val="-4"/>
                <w:sz w:val="18"/>
                <w:szCs w:val="20"/>
                <w:lang w:val="fr-CH"/>
              </w:rPr>
              <w:t xml:space="preserve"> </w:t>
            </w:r>
            <w:r w:rsidR="00F1411D" w:rsidRPr="0098168E">
              <w:rPr>
                <w:rFonts w:asciiTheme="minorHAnsi" w:hAnsiTheme="minorHAnsi" w:cstheme="minorHAnsi"/>
                <w:bCs/>
                <w:spacing w:val="-4"/>
                <w:sz w:val="18"/>
                <w:szCs w:val="20"/>
                <w:lang w:val="fr-CH"/>
              </w:rPr>
              <w:t xml:space="preserve">Une formation </w:t>
            </w:r>
            <w:r w:rsidR="0098168E">
              <w:rPr>
                <w:rFonts w:asciiTheme="minorHAnsi" w:hAnsiTheme="minorHAnsi" w:cstheme="minorHAnsi"/>
                <w:bCs/>
                <w:spacing w:val="-4"/>
                <w:sz w:val="18"/>
                <w:szCs w:val="20"/>
                <w:lang w:val="fr-CH"/>
              </w:rPr>
              <w:t>à</w:t>
            </w:r>
            <w:r w:rsidR="00F1411D" w:rsidRPr="0098168E">
              <w:rPr>
                <w:rFonts w:asciiTheme="minorHAnsi" w:hAnsiTheme="minorHAnsi" w:cstheme="minorHAnsi"/>
                <w:bCs/>
                <w:spacing w:val="-4"/>
                <w:sz w:val="18"/>
                <w:szCs w:val="20"/>
                <w:lang w:val="fr-CH"/>
              </w:rPr>
              <w:t xml:space="preserve"> la restauration des zones humides a été lancée avec la préparation de matériel de formation, avec le Ministère tchèque de l’environnement </w:t>
            </w:r>
          </w:p>
        </w:tc>
        <w:tc>
          <w:tcPr>
            <w:tcW w:w="1203" w:type="dxa"/>
          </w:tcPr>
          <w:p w14:paraId="1851EC40" w14:textId="55267B26" w:rsidR="002C4120" w:rsidRPr="0098168E" w:rsidRDefault="00F06653" w:rsidP="00217015">
            <w:pPr>
              <w:ind w:left="0" w:firstLine="0"/>
              <w:outlineLvl w:val="1"/>
              <w:rPr>
                <w:rFonts w:asciiTheme="minorHAnsi" w:hAnsiTheme="minorHAnsi" w:cstheme="minorHAnsi"/>
                <w:bCs/>
                <w:sz w:val="18"/>
                <w:szCs w:val="20"/>
                <w:lang w:val="fr-FR"/>
              </w:rPr>
            </w:pPr>
            <w:r w:rsidRPr="0098168E">
              <w:rPr>
                <w:rFonts w:cs="Calibri"/>
                <w:bCs/>
                <w:spacing w:val="-4"/>
                <w:sz w:val="18"/>
                <w:szCs w:val="20"/>
                <w:lang w:val="fr-FR"/>
              </w:rPr>
              <w:lastRenderedPageBreak/>
              <w:t>Restrictions imposées par la COVID-19</w:t>
            </w:r>
          </w:p>
        </w:tc>
      </w:tr>
      <w:tr w:rsidR="00E74827" w:rsidRPr="00D26183" w14:paraId="16396906" w14:textId="77777777" w:rsidTr="00945C73">
        <w:trPr>
          <w:cantSplit/>
        </w:trPr>
        <w:tc>
          <w:tcPr>
            <w:tcW w:w="1414" w:type="dxa"/>
          </w:tcPr>
          <w:p w14:paraId="6889C237" w14:textId="5557CC7A"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lastRenderedPageBreak/>
              <w:t xml:space="preserve">Initiative </w:t>
            </w:r>
            <w:r w:rsidR="004E0A84">
              <w:rPr>
                <w:rFonts w:cs="Calibri"/>
                <w:bCs/>
                <w:sz w:val="18"/>
                <w:szCs w:val="20"/>
                <w:lang w:val="fr-FR"/>
              </w:rPr>
              <w:t xml:space="preserve">régionale Ramsar </w:t>
            </w:r>
            <w:r w:rsidRPr="00420F85">
              <w:rPr>
                <w:rFonts w:cs="Calibri"/>
                <w:bCs/>
                <w:sz w:val="18"/>
                <w:szCs w:val="20"/>
                <w:lang w:val="fr-FR"/>
              </w:rPr>
              <w:t>pour les zones humides nordiques</w:t>
            </w:r>
            <w:r w:rsidR="00D02D0C">
              <w:rPr>
                <w:rFonts w:cs="Calibri"/>
                <w:bCs/>
                <w:sz w:val="18"/>
                <w:szCs w:val="20"/>
                <w:lang w:val="fr-FR"/>
              </w:rPr>
              <w:t>-</w:t>
            </w:r>
            <w:r w:rsidRPr="00420F85">
              <w:rPr>
                <w:rFonts w:cs="Calibri"/>
                <w:bCs/>
                <w:sz w:val="18"/>
                <w:szCs w:val="20"/>
                <w:lang w:val="fr-FR"/>
              </w:rPr>
              <w:t xml:space="preserve"> baltiques (NorBalWet), 2005</w:t>
            </w:r>
          </w:p>
        </w:tc>
        <w:tc>
          <w:tcPr>
            <w:tcW w:w="880" w:type="dxa"/>
          </w:tcPr>
          <w:p w14:paraId="07ECA36E"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9</w:t>
            </w:r>
          </w:p>
        </w:tc>
        <w:tc>
          <w:tcPr>
            <w:tcW w:w="1100" w:type="dxa"/>
          </w:tcPr>
          <w:p w14:paraId="1C467892"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w:t>
            </w:r>
          </w:p>
        </w:tc>
        <w:tc>
          <w:tcPr>
            <w:tcW w:w="2266" w:type="dxa"/>
          </w:tcPr>
          <w:p w14:paraId="568C4910"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Le Groupe de coordination est composé des Correspondants nationaux Ramsar de chaque pays participant, et constitue l’organe de décision.  </w:t>
            </w:r>
          </w:p>
        </w:tc>
        <w:tc>
          <w:tcPr>
            <w:tcW w:w="1276" w:type="dxa"/>
          </w:tcPr>
          <w:p w14:paraId="5EDBC45A"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Membre du groupe de coordination </w:t>
            </w:r>
          </w:p>
        </w:tc>
        <w:tc>
          <w:tcPr>
            <w:tcW w:w="1559" w:type="dxa"/>
          </w:tcPr>
          <w:p w14:paraId="30088CDC"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Le pays hôte fournit un appui administratif</w:t>
            </w:r>
          </w:p>
        </w:tc>
        <w:tc>
          <w:tcPr>
            <w:tcW w:w="992" w:type="dxa"/>
          </w:tcPr>
          <w:p w14:paraId="5310976E" w14:textId="2623B648" w:rsidR="002C4120" w:rsidRPr="0098168E" w:rsidRDefault="007A3180"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Aucune information</w:t>
            </w:r>
          </w:p>
        </w:tc>
        <w:tc>
          <w:tcPr>
            <w:tcW w:w="884" w:type="dxa"/>
          </w:tcPr>
          <w:p w14:paraId="3E8E4A0D" w14:textId="3264B579" w:rsidR="002C4120" w:rsidRPr="0098168E" w:rsidRDefault="007A3180"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Aucune information</w:t>
            </w:r>
          </w:p>
        </w:tc>
        <w:tc>
          <w:tcPr>
            <w:tcW w:w="1417" w:type="dxa"/>
          </w:tcPr>
          <w:p w14:paraId="73BBAE8F" w14:textId="77777777"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Ministère de l’environnement (Finlande)</w:t>
            </w:r>
          </w:p>
        </w:tc>
        <w:tc>
          <w:tcPr>
            <w:tcW w:w="2744" w:type="dxa"/>
          </w:tcPr>
          <w:p w14:paraId="69F3E974" w14:textId="202072D4" w:rsidR="007A3180" w:rsidRPr="0098168E" w:rsidRDefault="007A3180" w:rsidP="007A3180">
            <w:pPr>
              <w:ind w:left="0" w:firstLine="0"/>
              <w:outlineLvl w:val="1"/>
              <w:rPr>
                <w:rFonts w:asciiTheme="minorHAnsi" w:hAnsiTheme="minorHAnsi" w:cstheme="minorHAnsi"/>
                <w:bCs/>
                <w:sz w:val="18"/>
                <w:szCs w:val="20"/>
                <w:lang w:val="fr-CH"/>
              </w:rPr>
            </w:pPr>
            <w:r w:rsidRPr="0098168E">
              <w:rPr>
                <w:rFonts w:asciiTheme="minorHAnsi" w:hAnsiTheme="minorHAnsi" w:cstheme="minorHAnsi"/>
                <w:bCs/>
                <w:sz w:val="18"/>
                <w:szCs w:val="20"/>
                <w:lang w:val="fr-CH"/>
              </w:rPr>
              <w:t>•</w:t>
            </w:r>
            <w:r w:rsidR="00B510CB" w:rsidRPr="0098168E">
              <w:rPr>
                <w:rFonts w:asciiTheme="minorHAnsi" w:hAnsiTheme="minorHAnsi" w:cstheme="minorHAnsi"/>
                <w:bCs/>
                <w:sz w:val="18"/>
                <w:szCs w:val="20"/>
                <w:lang w:val="fr-CH"/>
              </w:rPr>
              <w:t xml:space="preserve"> </w:t>
            </w:r>
            <w:r w:rsidR="004B2171" w:rsidRPr="0098168E">
              <w:rPr>
                <w:rFonts w:asciiTheme="minorHAnsi" w:hAnsiTheme="minorHAnsi" w:cstheme="minorHAnsi"/>
                <w:bCs/>
                <w:sz w:val="18"/>
                <w:szCs w:val="20"/>
                <w:lang w:val="fr-CH"/>
              </w:rPr>
              <w:t>Plan d’activités élaboré</w:t>
            </w:r>
          </w:p>
          <w:p w14:paraId="4D500060" w14:textId="5371E8FE" w:rsidR="007A3180" w:rsidRPr="0098168E" w:rsidRDefault="007A3180" w:rsidP="007A3180">
            <w:pPr>
              <w:ind w:left="0" w:firstLine="0"/>
              <w:outlineLvl w:val="1"/>
              <w:rPr>
                <w:rFonts w:asciiTheme="minorHAnsi" w:hAnsiTheme="minorHAnsi" w:cstheme="minorHAnsi"/>
                <w:bCs/>
                <w:sz w:val="18"/>
                <w:szCs w:val="20"/>
                <w:lang w:val="fr-CH"/>
              </w:rPr>
            </w:pPr>
            <w:r w:rsidRPr="0098168E">
              <w:rPr>
                <w:rFonts w:asciiTheme="minorHAnsi" w:hAnsiTheme="minorHAnsi" w:cstheme="minorHAnsi"/>
                <w:bCs/>
                <w:sz w:val="18"/>
                <w:szCs w:val="20"/>
                <w:lang w:val="fr-CH"/>
              </w:rPr>
              <w:t>•</w:t>
            </w:r>
            <w:r w:rsidR="00B510CB" w:rsidRPr="0098168E">
              <w:rPr>
                <w:rFonts w:asciiTheme="minorHAnsi" w:hAnsiTheme="minorHAnsi" w:cstheme="minorHAnsi"/>
                <w:bCs/>
                <w:sz w:val="18"/>
                <w:szCs w:val="20"/>
                <w:lang w:val="fr-CH"/>
              </w:rPr>
              <w:t xml:space="preserve"> </w:t>
            </w:r>
            <w:r w:rsidR="004B2171" w:rsidRPr="0098168E">
              <w:rPr>
                <w:rFonts w:asciiTheme="minorHAnsi" w:hAnsiTheme="minorHAnsi" w:cstheme="minorHAnsi"/>
                <w:bCs/>
                <w:sz w:val="18"/>
                <w:szCs w:val="20"/>
                <w:lang w:val="fr-CH"/>
              </w:rPr>
              <w:t>Contenu du site web mis à jour</w:t>
            </w:r>
            <w:r w:rsidRPr="0098168E">
              <w:rPr>
                <w:rFonts w:asciiTheme="minorHAnsi" w:hAnsiTheme="minorHAnsi" w:cstheme="minorHAnsi"/>
                <w:bCs/>
                <w:sz w:val="18"/>
                <w:szCs w:val="20"/>
                <w:lang w:val="fr-CH"/>
              </w:rPr>
              <w:t xml:space="preserve"> </w:t>
            </w:r>
          </w:p>
          <w:p w14:paraId="59EDE428" w14:textId="195CBE5F" w:rsidR="002C4120" w:rsidRPr="0098168E" w:rsidRDefault="007A3180" w:rsidP="004B2171">
            <w:pPr>
              <w:ind w:left="0" w:firstLine="0"/>
              <w:outlineLvl w:val="1"/>
              <w:rPr>
                <w:rFonts w:asciiTheme="minorHAnsi" w:hAnsiTheme="minorHAnsi" w:cstheme="minorHAnsi"/>
                <w:bCs/>
                <w:sz w:val="18"/>
                <w:szCs w:val="20"/>
                <w:lang w:val="fr-CH"/>
              </w:rPr>
            </w:pPr>
            <w:r w:rsidRPr="0098168E">
              <w:rPr>
                <w:rFonts w:asciiTheme="minorHAnsi" w:hAnsiTheme="minorHAnsi" w:cstheme="minorHAnsi"/>
                <w:bCs/>
                <w:sz w:val="18"/>
                <w:szCs w:val="20"/>
                <w:lang w:val="fr-CH"/>
              </w:rPr>
              <w:t>•</w:t>
            </w:r>
            <w:r w:rsidR="00B510CB" w:rsidRPr="0098168E">
              <w:rPr>
                <w:rFonts w:asciiTheme="minorHAnsi" w:hAnsiTheme="minorHAnsi" w:cstheme="minorHAnsi"/>
                <w:bCs/>
                <w:sz w:val="18"/>
                <w:szCs w:val="20"/>
                <w:lang w:val="fr-CH"/>
              </w:rPr>
              <w:t xml:space="preserve"> </w:t>
            </w:r>
            <w:r w:rsidR="004B2171" w:rsidRPr="0098168E">
              <w:rPr>
                <w:rFonts w:asciiTheme="minorHAnsi" w:hAnsiTheme="minorHAnsi" w:cstheme="minorHAnsi"/>
                <w:bCs/>
                <w:sz w:val="18"/>
                <w:szCs w:val="20"/>
                <w:lang w:val="fr-CH"/>
              </w:rPr>
              <w:t xml:space="preserve">Célébration de la JMZ et matériel de communication élaboré pour d’autres manifestations de sensibilisation </w:t>
            </w:r>
          </w:p>
        </w:tc>
        <w:tc>
          <w:tcPr>
            <w:tcW w:w="1203" w:type="dxa"/>
          </w:tcPr>
          <w:p w14:paraId="1656AD0C" w14:textId="1A4099C3" w:rsidR="002C4120" w:rsidRPr="0098168E" w:rsidRDefault="00E566F2" w:rsidP="008A53CA">
            <w:pPr>
              <w:ind w:left="0" w:firstLine="0"/>
              <w:outlineLvl w:val="1"/>
              <w:rPr>
                <w:rFonts w:asciiTheme="minorHAnsi" w:hAnsiTheme="minorHAnsi" w:cstheme="minorHAnsi"/>
                <w:bCs/>
                <w:sz w:val="18"/>
                <w:szCs w:val="20"/>
                <w:lang w:val="fr-FR"/>
              </w:rPr>
            </w:pPr>
            <w:r w:rsidRPr="0098168E">
              <w:rPr>
                <w:rFonts w:cs="Calibri"/>
                <w:bCs/>
                <w:spacing w:val="-4"/>
                <w:sz w:val="18"/>
                <w:szCs w:val="20"/>
                <w:lang w:val="fr-FR"/>
              </w:rPr>
              <w:t>Restrictions imposées par la COVID-19</w:t>
            </w:r>
          </w:p>
        </w:tc>
      </w:tr>
      <w:tr w:rsidR="00E74827" w:rsidRPr="00D26183" w14:paraId="3C59D457" w14:textId="77777777" w:rsidTr="00945C73">
        <w:trPr>
          <w:cantSplit/>
        </w:trPr>
        <w:tc>
          <w:tcPr>
            <w:tcW w:w="1414" w:type="dxa"/>
          </w:tcPr>
          <w:p w14:paraId="337EBF7B"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lastRenderedPageBreak/>
              <w:t>Initiative régionale Ramsar pour les zones humides côtières de la mer Noire et de la mer d’Azov (BlackSeaWet), 2007</w:t>
            </w:r>
          </w:p>
        </w:tc>
        <w:tc>
          <w:tcPr>
            <w:tcW w:w="880" w:type="dxa"/>
          </w:tcPr>
          <w:p w14:paraId="2084A348"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7</w:t>
            </w:r>
          </w:p>
        </w:tc>
        <w:tc>
          <w:tcPr>
            <w:tcW w:w="1100" w:type="dxa"/>
          </w:tcPr>
          <w:p w14:paraId="1B78D394"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w:t>
            </w:r>
          </w:p>
        </w:tc>
        <w:tc>
          <w:tcPr>
            <w:tcW w:w="2266" w:type="dxa"/>
          </w:tcPr>
          <w:p w14:paraId="0559A71E"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Les instances d’exécution sont : l’Organe de gestion, l’Unité de coordination et les groupes de travail nationaux. Les responsabilités de l’Organe de gestion comprennent la prise de décisions stratégiques, ainsi que l’approbation et le suivi des plans de travail annuels. </w:t>
            </w:r>
          </w:p>
        </w:tc>
        <w:tc>
          <w:tcPr>
            <w:tcW w:w="1276" w:type="dxa"/>
          </w:tcPr>
          <w:p w14:paraId="5B6CCEE9"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Membre de l’organe de direction</w:t>
            </w:r>
          </w:p>
        </w:tc>
        <w:tc>
          <w:tcPr>
            <w:tcW w:w="1559" w:type="dxa"/>
          </w:tcPr>
          <w:p w14:paraId="784AB681" w14:textId="491DE698" w:rsidR="002C4120" w:rsidRPr="0098168E" w:rsidRDefault="007A3180"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Assurée par le Gouvernement de l’Ukraine (Information incomplète)</w:t>
            </w:r>
          </w:p>
        </w:tc>
        <w:tc>
          <w:tcPr>
            <w:tcW w:w="992" w:type="dxa"/>
          </w:tcPr>
          <w:p w14:paraId="65486859" w14:textId="0818E2AA" w:rsidR="002C4120" w:rsidRPr="0098168E" w:rsidRDefault="007A3180"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35 000</w:t>
            </w:r>
          </w:p>
        </w:tc>
        <w:tc>
          <w:tcPr>
            <w:tcW w:w="884" w:type="dxa"/>
          </w:tcPr>
          <w:p w14:paraId="25D81758" w14:textId="7B19B98F" w:rsidR="002C4120" w:rsidRPr="0098168E" w:rsidRDefault="004F6363"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00</w:t>
            </w:r>
          </w:p>
        </w:tc>
        <w:tc>
          <w:tcPr>
            <w:tcW w:w="1417" w:type="dxa"/>
          </w:tcPr>
          <w:p w14:paraId="6E044BDB" w14:textId="77777777" w:rsidR="002C4120" w:rsidRPr="0098168E" w:rsidRDefault="004F6363" w:rsidP="00217015">
            <w:pPr>
              <w:pStyle w:val="ListParagraph"/>
              <w:widowControl w:val="0"/>
              <w:ind w:left="0" w:firstLine="0"/>
              <w:outlineLvl w:val="1"/>
              <w:rPr>
                <w:rFonts w:asciiTheme="minorHAnsi" w:hAnsiTheme="minorHAnsi" w:cstheme="minorHAnsi"/>
                <w:bCs/>
                <w:sz w:val="18"/>
                <w:szCs w:val="20"/>
              </w:rPr>
            </w:pPr>
            <w:r w:rsidRPr="0098168E">
              <w:rPr>
                <w:rFonts w:cs="Calibri"/>
                <w:bCs/>
                <w:sz w:val="18"/>
                <w:szCs w:val="20"/>
              </w:rPr>
              <w:t>Projet UE/PNUD « </w:t>
            </w:r>
            <w:r w:rsidRPr="0098168E">
              <w:rPr>
                <w:rFonts w:cs="Calibri"/>
                <w:bCs/>
                <w:i/>
                <w:iCs/>
                <w:sz w:val="18"/>
                <w:szCs w:val="20"/>
              </w:rPr>
              <w:t>Improving Environmental Monitoring of the Black Sea: selected measures </w:t>
            </w:r>
            <w:r w:rsidRPr="0098168E">
              <w:rPr>
                <w:rFonts w:cs="Calibri"/>
                <w:bCs/>
                <w:sz w:val="18"/>
                <w:szCs w:val="20"/>
              </w:rPr>
              <w:t>» (EMBLAS-Plus)</w:t>
            </w:r>
          </w:p>
        </w:tc>
        <w:tc>
          <w:tcPr>
            <w:tcW w:w="2744" w:type="dxa"/>
          </w:tcPr>
          <w:p w14:paraId="35DEF5F0" w14:textId="02A9E754" w:rsidR="002C4120" w:rsidRPr="0098168E" w:rsidRDefault="007A3180" w:rsidP="00217015">
            <w:pPr>
              <w:ind w:left="0" w:firstLine="0"/>
              <w:outlineLvl w:val="1"/>
              <w:rPr>
                <w:rFonts w:asciiTheme="minorHAnsi" w:hAnsiTheme="minorHAnsi" w:cstheme="minorHAnsi"/>
                <w:bCs/>
                <w:sz w:val="18"/>
                <w:szCs w:val="20"/>
                <w:lang w:val="fr-CH"/>
              </w:rPr>
            </w:pPr>
            <w:r w:rsidRPr="0098168E">
              <w:rPr>
                <w:rFonts w:cs="Calibri"/>
                <w:bCs/>
                <w:sz w:val="18"/>
                <w:szCs w:val="20"/>
                <w:lang w:val="fr-CH"/>
              </w:rPr>
              <w:t>•</w:t>
            </w:r>
            <w:r w:rsidR="004F6363" w:rsidRPr="0098168E">
              <w:rPr>
                <w:rFonts w:cs="Calibri"/>
                <w:bCs/>
                <w:sz w:val="18"/>
                <w:szCs w:val="20"/>
                <w:lang w:val="fr-CH"/>
              </w:rPr>
              <w:t xml:space="preserve"> </w:t>
            </w:r>
            <w:r w:rsidRPr="0098168E">
              <w:rPr>
                <w:rFonts w:cs="Calibri"/>
                <w:bCs/>
                <w:sz w:val="18"/>
                <w:szCs w:val="20"/>
                <w:lang w:val="fr-CH"/>
              </w:rPr>
              <w:t>La 6</w:t>
            </w:r>
            <w:r w:rsidRPr="0098168E">
              <w:rPr>
                <w:rFonts w:cs="Calibri"/>
                <w:bCs/>
                <w:sz w:val="18"/>
                <w:szCs w:val="20"/>
                <w:vertAlign w:val="superscript"/>
                <w:lang w:val="fr-CH"/>
              </w:rPr>
              <w:t>e</w:t>
            </w:r>
            <w:r w:rsidRPr="0098168E">
              <w:rPr>
                <w:rFonts w:cs="Calibri"/>
                <w:bCs/>
                <w:sz w:val="18"/>
                <w:szCs w:val="20"/>
                <w:lang w:val="fr-CH"/>
              </w:rPr>
              <w:t xml:space="preserve"> réunion de l’organe de g</w:t>
            </w:r>
            <w:r w:rsidR="004F6363" w:rsidRPr="0098168E">
              <w:rPr>
                <w:rFonts w:cs="Calibri"/>
                <w:bCs/>
                <w:sz w:val="18"/>
                <w:szCs w:val="20"/>
                <w:lang w:val="fr-CH"/>
              </w:rPr>
              <w:t xml:space="preserve">estion </w:t>
            </w:r>
            <w:r w:rsidR="00B935B2" w:rsidRPr="0098168E">
              <w:rPr>
                <w:rFonts w:cs="Calibri"/>
                <w:bCs/>
                <w:sz w:val="18"/>
                <w:szCs w:val="20"/>
                <w:lang w:val="fr-CH"/>
              </w:rPr>
              <w:t xml:space="preserve">de BlackSeaWet </w:t>
            </w:r>
            <w:r w:rsidRPr="0098168E">
              <w:rPr>
                <w:rFonts w:cs="Calibri"/>
                <w:bCs/>
                <w:sz w:val="18"/>
                <w:szCs w:val="20"/>
                <w:lang w:val="fr-CH"/>
              </w:rPr>
              <w:t>a eu lieu</w:t>
            </w:r>
          </w:p>
          <w:p w14:paraId="47AB4253" w14:textId="310A0D8C" w:rsidR="007A3180" w:rsidRPr="0098168E" w:rsidRDefault="007A3180" w:rsidP="007A3180">
            <w:pPr>
              <w:ind w:left="0" w:firstLine="0"/>
              <w:outlineLvl w:val="1"/>
              <w:rPr>
                <w:rFonts w:cs="Calibri"/>
                <w:bCs/>
                <w:sz w:val="18"/>
                <w:szCs w:val="20"/>
                <w:lang w:val="fr-CH"/>
              </w:rPr>
            </w:pPr>
            <w:r w:rsidRPr="0098168E">
              <w:rPr>
                <w:rFonts w:cs="Calibri"/>
                <w:bCs/>
                <w:sz w:val="18"/>
                <w:szCs w:val="20"/>
                <w:lang w:val="fr-CH"/>
              </w:rPr>
              <w:t>•</w:t>
            </w:r>
            <w:r w:rsidR="00B510CB" w:rsidRPr="0098168E">
              <w:rPr>
                <w:rFonts w:cs="Calibri"/>
                <w:bCs/>
                <w:sz w:val="18"/>
                <w:szCs w:val="20"/>
                <w:lang w:val="fr-CH"/>
              </w:rPr>
              <w:t xml:space="preserve"> </w:t>
            </w:r>
            <w:r w:rsidR="004B2171" w:rsidRPr="0098168E">
              <w:rPr>
                <w:rFonts w:cs="Calibri"/>
                <w:bCs/>
                <w:sz w:val="18"/>
                <w:szCs w:val="20"/>
                <w:lang w:val="fr-CH"/>
              </w:rPr>
              <w:t xml:space="preserve">Un groupe </w:t>
            </w:r>
            <w:r w:rsidRPr="0098168E">
              <w:rPr>
                <w:rFonts w:cs="Calibri"/>
                <w:bCs/>
                <w:sz w:val="18"/>
                <w:szCs w:val="20"/>
                <w:lang w:val="fr-CH"/>
              </w:rPr>
              <w:t xml:space="preserve">Facebook </w:t>
            </w:r>
            <w:r w:rsidR="004B2171" w:rsidRPr="0098168E">
              <w:rPr>
                <w:rFonts w:cs="Calibri"/>
                <w:bCs/>
                <w:sz w:val="18"/>
                <w:szCs w:val="20"/>
                <w:lang w:val="fr-CH"/>
              </w:rPr>
              <w:t>a été créé</w:t>
            </w:r>
            <w:r w:rsidRPr="0098168E">
              <w:rPr>
                <w:rFonts w:cs="Calibri"/>
                <w:bCs/>
                <w:sz w:val="18"/>
                <w:szCs w:val="20"/>
                <w:lang w:val="fr-CH"/>
              </w:rPr>
              <w:t xml:space="preserve"> </w:t>
            </w:r>
          </w:p>
          <w:p w14:paraId="101C3A7B" w14:textId="5AB0413E" w:rsidR="007A3180" w:rsidRPr="0098168E" w:rsidRDefault="007A3180" w:rsidP="007A3180">
            <w:pPr>
              <w:ind w:left="0" w:firstLine="0"/>
              <w:outlineLvl w:val="1"/>
              <w:rPr>
                <w:rFonts w:cs="Calibri"/>
                <w:bCs/>
                <w:sz w:val="18"/>
                <w:szCs w:val="20"/>
                <w:lang w:val="fr-CH"/>
              </w:rPr>
            </w:pPr>
            <w:r w:rsidRPr="0098168E">
              <w:rPr>
                <w:rFonts w:cs="Calibri"/>
                <w:bCs/>
                <w:sz w:val="18"/>
                <w:szCs w:val="20"/>
                <w:lang w:val="fr-CH"/>
              </w:rPr>
              <w:t>•</w:t>
            </w:r>
            <w:r w:rsidR="00B510CB" w:rsidRPr="0098168E">
              <w:rPr>
                <w:rFonts w:cs="Calibri"/>
                <w:bCs/>
                <w:sz w:val="18"/>
                <w:szCs w:val="20"/>
                <w:lang w:val="fr-CH"/>
              </w:rPr>
              <w:t xml:space="preserve"> </w:t>
            </w:r>
            <w:r w:rsidR="004B2171" w:rsidRPr="0098168E">
              <w:rPr>
                <w:rFonts w:cs="Calibri"/>
                <w:bCs/>
                <w:sz w:val="18"/>
                <w:szCs w:val="20"/>
                <w:lang w:val="fr-CH"/>
              </w:rPr>
              <w:t xml:space="preserve">La JMZ a été célébrée et du matériel de sensibilisation additionnel a été élaboré </w:t>
            </w:r>
          </w:p>
          <w:p w14:paraId="25FC295F" w14:textId="319F79ED" w:rsidR="007A3180" w:rsidRPr="0098168E" w:rsidRDefault="007A3180" w:rsidP="007A3180">
            <w:pPr>
              <w:ind w:left="0" w:firstLine="0"/>
              <w:outlineLvl w:val="1"/>
              <w:rPr>
                <w:rFonts w:cs="Calibri"/>
                <w:bCs/>
                <w:sz w:val="18"/>
                <w:szCs w:val="20"/>
                <w:lang w:val="fr-CH"/>
              </w:rPr>
            </w:pPr>
            <w:r w:rsidRPr="0098168E">
              <w:rPr>
                <w:rFonts w:cs="Calibri"/>
                <w:bCs/>
                <w:sz w:val="18"/>
                <w:szCs w:val="20"/>
                <w:lang w:val="fr-CH"/>
              </w:rPr>
              <w:t>•</w:t>
            </w:r>
            <w:r w:rsidR="00B510CB" w:rsidRPr="0098168E">
              <w:rPr>
                <w:rFonts w:cs="Calibri"/>
                <w:bCs/>
                <w:sz w:val="18"/>
                <w:szCs w:val="20"/>
                <w:lang w:val="fr-CH"/>
              </w:rPr>
              <w:t xml:space="preserve"> </w:t>
            </w:r>
            <w:r w:rsidR="004B2171" w:rsidRPr="0098168E">
              <w:rPr>
                <w:rFonts w:cs="Calibri"/>
                <w:bCs/>
                <w:sz w:val="18"/>
                <w:szCs w:val="20"/>
                <w:lang w:val="fr-CH"/>
              </w:rPr>
              <w:t xml:space="preserve">Une base de données conjointe sur les principales caractéristiques des zones humides de la région a vu le jour </w:t>
            </w:r>
          </w:p>
          <w:p w14:paraId="0B5735D0" w14:textId="71631129" w:rsidR="007A3180" w:rsidRPr="0098168E" w:rsidRDefault="007A3180" w:rsidP="004B2171">
            <w:pPr>
              <w:ind w:left="0" w:firstLine="0"/>
              <w:outlineLvl w:val="1"/>
              <w:rPr>
                <w:rFonts w:cs="Calibri"/>
                <w:bCs/>
                <w:sz w:val="18"/>
                <w:szCs w:val="20"/>
                <w:lang w:val="fr-CH"/>
              </w:rPr>
            </w:pPr>
            <w:r w:rsidRPr="0098168E">
              <w:rPr>
                <w:rFonts w:cs="Calibri"/>
                <w:bCs/>
                <w:sz w:val="18"/>
                <w:szCs w:val="20"/>
                <w:lang w:val="fr-CH"/>
              </w:rPr>
              <w:t>•</w:t>
            </w:r>
            <w:r w:rsidR="00B510CB" w:rsidRPr="0098168E">
              <w:rPr>
                <w:rFonts w:cs="Calibri"/>
                <w:bCs/>
                <w:sz w:val="18"/>
                <w:szCs w:val="20"/>
                <w:lang w:val="fr-CH"/>
              </w:rPr>
              <w:t xml:space="preserve"> </w:t>
            </w:r>
            <w:r w:rsidR="004B2171" w:rsidRPr="0098168E">
              <w:rPr>
                <w:rFonts w:cs="Calibri"/>
                <w:bCs/>
                <w:sz w:val="18"/>
                <w:szCs w:val="20"/>
                <w:lang w:val="fr-CH"/>
              </w:rPr>
              <w:t xml:space="preserve">Les espèces exotiques envahissantes et </w:t>
            </w:r>
            <w:r w:rsidR="00BE6B49" w:rsidRPr="0098168E">
              <w:rPr>
                <w:rFonts w:cs="Calibri"/>
                <w:bCs/>
                <w:sz w:val="18"/>
                <w:szCs w:val="20"/>
                <w:lang w:val="fr-CH"/>
              </w:rPr>
              <w:t>leurs voies d’</w:t>
            </w:r>
            <w:r w:rsidR="004B2171" w:rsidRPr="0098168E">
              <w:rPr>
                <w:rFonts w:cs="Calibri"/>
                <w:bCs/>
                <w:sz w:val="18"/>
                <w:szCs w:val="20"/>
                <w:lang w:val="fr-CH"/>
              </w:rPr>
              <w:t xml:space="preserve">introduction et </w:t>
            </w:r>
            <w:r w:rsidR="00BE6B49" w:rsidRPr="0098168E">
              <w:rPr>
                <w:rFonts w:cs="Calibri"/>
                <w:bCs/>
                <w:sz w:val="18"/>
                <w:szCs w:val="20"/>
                <w:lang w:val="fr-CH"/>
              </w:rPr>
              <w:t>d’</w:t>
            </w:r>
            <w:r w:rsidR="004B2171" w:rsidRPr="0098168E">
              <w:rPr>
                <w:rFonts w:cs="Calibri"/>
                <w:bCs/>
                <w:sz w:val="18"/>
                <w:szCs w:val="20"/>
                <w:lang w:val="fr-CH"/>
              </w:rPr>
              <w:t>expansion dans les zones humides</w:t>
            </w:r>
            <w:r w:rsidR="00F85E30" w:rsidRPr="0098168E">
              <w:rPr>
                <w:rFonts w:cs="Calibri"/>
                <w:bCs/>
                <w:sz w:val="18"/>
                <w:szCs w:val="20"/>
                <w:lang w:val="fr-CH"/>
              </w:rPr>
              <w:t xml:space="preserve"> de la région ont été identifié</w:t>
            </w:r>
            <w:r w:rsidR="00BE6B49" w:rsidRPr="0098168E">
              <w:rPr>
                <w:rFonts w:cs="Calibri"/>
                <w:bCs/>
                <w:sz w:val="18"/>
                <w:szCs w:val="20"/>
                <w:lang w:val="fr-CH"/>
              </w:rPr>
              <w:t>e</w:t>
            </w:r>
            <w:r w:rsidR="00F85E30" w:rsidRPr="0098168E">
              <w:rPr>
                <w:rFonts w:cs="Calibri"/>
                <w:bCs/>
                <w:sz w:val="18"/>
                <w:szCs w:val="20"/>
                <w:lang w:val="fr-CH"/>
              </w:rPr>
              <w:t>s et priorisé</w:t>
            </w:r>
            <w:r w:rsidR="00BE6B49" w:rsidRPr="0098168E">
              <w:rPr>
                <w:rFonts w:cs="Calibri"/>
                <w:bCs/>
                <w:sz w:val="18"/>
                <w:szCs w:val="20"/>
                <w:lang w:val="fr-CH"/>
              </w:rPr>
              <w:t>e</w:t>
            </w:r>
            <w:r w:rsidR="004B2171" w:rsidRPr="0098168E">
              <w:rPr>
                <w:rFonts w:cs="Calibri"/>
                <w:bCs/>
                <w:sz w:val="18"/>
                <w:szCs w:val="20"/>
                <w:lang w:val="fr-CH"/>
              </w:rPr>
              <w:t xml:space="preserve">s </w:t>
            </w:r>
          </w:p>
          <w:p w14:paraId="2BB82B34" w14:textId="0EB98A8E" w:rsidR="007A3180" w:rsidRPr="0098168E" w:rsidRDefault="007A3180" w:rsidP="007A3180">
            <w:pPr>
              <w:ind w:left="0" w:firstLine="0"/>
              <w:outlineLvl w:val="1"/>
              <w:rPr>
                <w:rFonts w:cs="Calibri"/>
                <w:bCs/>
                <w:sz w:val="18"/>
                <w:szCs w:val="20"/>
                <w:lang w:val="fr-CH"/>
              </w:rPr>
            </w:pPr>
            <w:r w:rsidRPr="0098168E">
              <w:rPr>
                <w:rFonts w:cs="Calibri"/>
                <w:bCs/>
                <w:sz w:val="18"/>
                <w:szCs w:val="20"/>
                <w:lang w:val="fr-CH"/>
              </w:rPr>
              <w:t>•</w:t>
            </w:r>
            <w:r w:rsidR="00B510CB" w:rsidRPr="0098168E">
              <w:rPr>
                <w:rFonts w:cs="Calibri"/>
                <w:bCs/>
                <w:sz w:val="18"/>
                <w:szCs w:val="20"/>
                <w:lang w:val="fr-CH"/>
              </w:rPr>
              <w:t xml:space="preserve"> </w:t>
            </w:r>
            <w:r w:rsidR="004B2171" w:rsidRPr="0098168E">
              <w:rPr>
                <w:rFonts w:cs="Calibri"/>
                <w:bCs/>
                <w:sz w:val="18"/>
                <w:szCs w:val="20"/>
                <w:lang w:val="fr-CH"/>
              </w:rPr>
              <w:t xml:space="preserve">La rédaction d’une stratégie/ politique de restauration des zones humides dans la région, des données sur les </w:t>
            </w:r>
            <w:r w:rsidR="0098168E">
              <w:rPr>
                <w:rFonts w:cs="Calibri"/>
                <w:bCs/>
                <w:sz w:val="18"/>
                <w:szCs w:val="20"/>
                <w:lang w:val="fr-CH"/>
              </w:rPr>
              <w:t>obstacles</w:t>
            </w:r>
            <w:r w:rsidR="004B2171" w:rsidRPr="0098168E">
              <w:rPr>
                <w:rFonts w:cs="Calibri"/>
                <w:bCs/>
                <w:sz w:val="18"/>
                <w:szCs w:val="20"/>
                <w:lang w:val="fr-CH"/>
              </w:rPr>
              <w:t xml:space="preserve"> ont été initiées </w:t>
            </w:r>
          </w:p>
          <w:p w14:paraId="6EE828B5" w14:textId="2EE37748" w:rsidR="002C4120" w:rsidRPr="0098168E" w:rsidRDefault="007A3180" w:rsidP="002A6AB8">
            <w:pPr>
              <w:ind w:left="0" w:firstLine="0"/>
              <w:outlineLvl w:val="1"/>
              <w:rPr>
                <w:rFonts w:asciiTheme="minorHAnsi" w:hAnsiTheme="minorHAnsi" w:cstheme="minorHAnsi"/>
                <w:bCs/>
                <w:sz w:val="18"/>
                <w:szCs w:val="20"/>
                <w:lang w:val="fr-CH"/>
              </w:rPr>
            </w:pPr>
            <w:r w:rsidRPr="0098168E">
              <w:rPr>
                <w:rFonts w:cs="Calibri"/>
                <w:bCs/>
                <w:sz w:val="18"/>
                <w:szCs w:val="20"/>
                <w:lang w:val="fr-CH"/>
              </w:rPr>
              <w:t>•</w:t>
            </w:r>
            <w:r w:rsidR="00B510CB" w:rsidRPr="0098168E">
              <w:rPr>
                <w:rFonts w:cs="Calibri"/>
                <w:bCs/>
                <w:sz w:val="18"/>
                <w:szCs w:val="20"/>
                <w:lang w:val="fr-CH"/>
              </w:rPr>
              <w:t xml:space="preserve"> </w:t>
            </w:r>
            <w:r w:rsidR="004B2171" w:rsidRPr="0098168E">
              <w:rPr>
                <w:rFonts w:cs="Calibri"/>
                <w:bCs/>
                <w:sz w:val="18"/>
                <w:szCs w:val="20"/>
                <w:lang w:val="fr-CH"/>
              </w:rPr>
              <w:t>Des activités de restauration et des mesures de conservation pour les oiseaux d’eau, les limites de l’influx biogénique et des proces</w:t>
            </w:r>
            <w:r w:rsidR="002A6AB8" w:rsidRPr="0098168E">
              <w:rPr>
                <w:rFonts w:cs="Calibri"/>
                <w:bCs/>
                <w:sz w:val="18"/>
                <w:szCs w:val="20"/>
                <w:lang w:val="fr-CH"/>
              </w:rPr>
              <w:t xml:space="preserve">sus de succession </w:t>
            </w:r>
            <w:r w:rsidR="002A6AB8" w:rsidRPr="0097575D">
              <w:rPr>
                <w:rFonts w:cs="Calibri"/>
                <w:bCs/>
                <w:sz w:val="18"/>
                <w:szCs w:val="20"/>
                <w:lang w:val="fr-CH"/>
              </w:rPr>
              <w:t>ont été lancé</w:t>
            </w:r>
            <w:r w:rsidR="004B2171" w:rsidRPr="0097575D">
              <w:rPr>
                <w:rFonts w:cs="Calibri"/>
                <w:bCs/>
                <w:sz w:val="18"/>
                <w:szCs w:val="20"/>
                <w:lang w:val="fr-CH"/>
              </w:rPr>
              <w:t xml:space="preserve">s </w:t>
            </w:r>
            <w:r w:rsidR="002A6AB8" w:rsidRPr="0097575D">
              <w:rPr>
                <w:rFonts w:cs="Calibri"/>
                <w:bCs/>
                <w:sz w:val="18"/>
                <w:szCs w:val="20"/>
                <w:lang w:val="fr-CH"/>
              </w:rPr>
              <w:t>p</w:t>
            </w:r>
            <w:r w:rsidR="004B2171" w:rsidRPr="0097575D">
              <w:rPr>
                <w:rFonts w:cs="Calibri"/>
                <w:bCs/>
                <w:sz w:val="18"/>
                <w:szCs w:val="20"/>
                <w:lang w:val="fr-CH"/>
              </w:rPr>
              <w:t>our différentes zones humides, y compris des Sites Ramsar</w:t>
            </w:r>
            <w:r w:rsidRPr="0097575D">
              <w:rPr>
                <w:rFonts w:cs="Calibri"/>
                <w:bCs/>
                <w:sz w:val="18"/>
                <w:szCs w:val="20"/>
                <w:lang w:val="fr-CH"/>
              </w:rPr>
              <w:t>.</w:t>
            </w:r>
          </w:p>
        </w:tc>
        <w:tc>
          <w:tcPr>
            <w:tcW w:w="1203" w:type="dxa"/>
          </w:tcPr>
          <w:p w14:paraId="5B6E9513" w14:textId="29E2F140" w:rsidR="002C4120" w:rsidRPr="00420F85" w:rsidRDefault="00E566F2" w:rsidP="00217015">
            <w:pPr>
              <w:ind w:left="0" w:firstLine="0"/>
              <w:outlineLvl w:val="1"/>
              <w:rPr>
                <w:rFonts w:asciiTheme="minorHAnsi" w:hAnsiTheme="minorHAnsi" w:cstheme="minorHAnsi"/>
                <w:bCs/>
                <w:sz w:val="18"/>
                <w:szCs w:val="20"/>
                <w:lang w:val="fr-FR"/>
              </w:rPr>
            </w:pPr>
            <w:r w:rsidRPr="0098168E">
              <w:rPr>
                <w:rFonts w:cs="Calibri"/>
                <w:bCs/>
                <w:spacing w:val="-4"/>
                <w:sz w:val="18"/>
                <w:szCs w:val="20"/>
                <w:lang w:val="fr-FR"/>
              </w:rPr>
              <w:t>Restrictions imposées par la COVID-19</w:t>
            </w:r>
          </w:p>
        </w:tc>
      </w:tr>
      <w:tr w:rsidR="00E74827" w:rsidRPr="0051172C" w14:paraId="5D57D276" w14:textId="77777777" w:rsidTr="00945C73">
        <w:trPr>
          <w:cantSplit/>
        </w:trPr>
        <w:tc>
          <w:tcPr>
            <w:tcW w:w="1414" w:type="dxa"/>
          </w:tcPr>
          <w:p w14:paraId="5D33F0A9" w14:textId="3DE7268A"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lastRenderedPageBreak/>
              <w:t>Initiative régionale Ramsar pour le bassin du fleuve Sénégal</w:t>
            </w:r>
            <w:r w:rsidR="007A3180">
              <w:rPr>
                <w:rFonts w:cs="Calibri"/>
                <w:bCs/>
                <w:sz w:val="18"/>
                <w:szCs w:val="20"/>
                <w:lang w:val="fr-FR"/>
              </w:rPr>
              <w:t xml:space="preserve"> (SenegalWet)</w:t>
            </w:r>
            <w:r w:rsidRPr="00420F85">
              <w:rPr>
                <w:rFonts w:cs="Calibri"/>
                <w:bCs/>
                <w:sz w:val="18"/>
                <w:szCs w:val="20"/>
                <w:lang w:val="fr-FR"/>
              </w:rPr>
              <w:t>, 2016</w:t>
            </w:r>
          </w:p>
        </w:tc>
        <w:tc>
          <w:tcPr>
            <w:tcW w:w="880" w:type="dxa"/>
          </w:tcPr>
          <w:p w14:paraId="2CA4622E"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4</w:t>
            </w:r>
          </w:p>
        </w:tc>
        <w:tc>
          <w:tcPr>
            <w:tcW w:w="1100" w:type="dxa"/>
          </w:tcPr>
          <w:p w14:paraId="39574FEF" w14:textId="4D034956"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 (statuts et règlement int</w:t>
            </w:r>
            <w:r w:rsidR="007A3180">
              <w:rPr>
                <w:rFonts w:cs="Calibri"/>
                <w:bCs/>
                <w:sz w:val="18"/>
                <w:szCs w:val="20"/>
                <w:lang w:val="fr-FR"/>
              </w:rPr>
              <w:t>erne</w:t>
            </w:r>
            <w:r w:rsidRPr="00420F85">
              <w:rPr>
                <w:rFonts w:cs="Calibri"/>
                <w:bCs/>
                <w:sz w:val="18"/>
                <w:szCs w:val="20"/>
                <w:lang w:val="fr-FR"/>
              </w:rPr>
              <w:t>)</w:t>
            </w:r>
          </w:p>
        </w:tc>
        <w:tc>
          <w:tcPr>
            <w:tcW w:w="2266" w:type="dxa"/>
          </w:tcPr>
          <w:p w14:paraId="65A259C4" w14:textId="4A502E2F"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Les organes de gouvernance sont : la Commission, le Conseil d’administration et le </w:t>
            </w:r>
            <w:r w:rsidR="007C4430">
              <w:rPr>
                <w:rFonts w:cs="Calibri"/>
                <w:bCs/>
                <w:sz w:val="18"/>
                <w:szCs w:val="20"/>
                <w:lang w:val="fr-FR"/>
              </w:rPr>
              <w:t>s</w:t>
            </w:r>
            <w:r w:rsidRPr="00420F85">
              <w:rPr>
                <w:rFonts w:cs="Calibri"/>
                <w:bCs/>
                <w:sz w:val="18"/>
                <w:szCs w:val="20"/>
                <w:lang w:val="fr-FR"/>
              </w:rPr>
              <w:t>ecrétariat de l’I</w:t>
            </w:r>
            <w:r w:rsidR="007C4430">
              <w:rPr>
                <w:rFonts w:cs="Calibri"/>
                <w:bCs/>
                <w:sz w:val="18"/>
                <w:szCs w:val="20"/>
                <w:lang w:val="fr-FR"/>
              </w:rPr>
              <w:t>RR</w:t>
            </w:r>
            <w:r w:rsidRPr="00420F85">
              <w:rPr>
                <w:rFonts w:cs="Calibri"/>
                <w:bCs/>
                <w:sz w:val="18"/>
                <w:szCs w:val="20"/>
                <w:lang w:val="fr-FR"/>
              </w:rPr>
              <w:t xml:space="preserve">. </w:t>
            </w:r>
          </w:p>
          <w:p w14:paraId="205A9B28" w14:textId="426688AF"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Les responsabilités de la Commission comprennent la prise de décisions sur l’orientation de l’I</w:t>
            </w:r>
            <w:r w:rsidR="007C4430">
              <w:rPr>
                <w:rFonts w:cs="Calibri"/>
                <w:bCs/>
                <w:sz w:val="18"/>
                <w:szCs w:val="20"/>
                <w:lang w:val="fr-FR"/>
              </w:rPr>
              <w:t>RR</w:t>
            </w:r>
            <w:r w:rsidRPr="00420F85">
              <w:rPr>
                <w:rFonts w:cs="Calibri"/>
                <w:bCs/>
                <w:sz w:val="18"/>
                <w:szCs w:val="20"/>
                <w:lang w:val="fr-FR"/>
              </w:rPr>
              <w:t xml:space="preserve">, l’approbation des stratégies, du programme et du plan de travail, ainsi que le contrôle des ressources financières.  </w:t>
            </w:r>
          </w:p>
        </w:tc>
        <w:tc>
          <w:tcPr>
            <w:tcW w:w="1276" w:type="dxa"/>
          </w:tcPr>
          <w:p w14:paraId="4EFF1709"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Aucune information détaillée</w:t>
            </w:r>
          </w:p>
        </w:tc>
        <w:tc>
          <w:tcPr>
            <w:tcW w:w="1559" w:type="dxa"/>
          </w:tcPr>
          <w:p w14:paraId="2B239561" w14:textId="2136ED9C" w:rsidR="002C4120" w:rsidRPr="0098168E" w:rsidRDefault="007A3180" w:rsidP="00217015">
            <w:pPr>
              <w:ind w:left="0" w:firstLine="0"/>
              <w:outlineLvl w:val="1"/>
              <w:rPr>
                <w:rFonts w:asciiTheme="minorHAnsi" w:hAnsiTheme="minorHAnsi" w:cstheme="minorHAnsi"/>
                <w:bCs/>
                <w:sz w:val="18"/>
                <w:szCs w:val="20"/>
                <w:lang w:val="fr-FR"/>
              </w:rPr>
            </w:pPr>
            <w:r w:rsidRPr="0098168E">
              <w:rPr>
                <w:rFonts w:asciiTheme="minorHAnsi" w:hAnsiTheme="minorHAnsi" w:cstheme="minorHAnsi"/>
                <w:bCs/>
                <w:sz w:val="18"/>
                <w:szCs w:val="20"/>
                <w:lang w:val="fr-FR"/>
              </w:rPr>
              <w:t>Oui (Statuts et règlement interne)</w:t>
            </w:r>
          </w:p>
        </w:tc>
        <w:tc>
          <w:tcPr>
            <w:tcW w:w="992" w:type="dxa"/>
          </w:tcPr>
          <w:p w14:paraId="0F266D4D" w14:textId="6983F520" w:rsidR="002C4120" w:rsidRPr="0098168E" w:rsidRDefault="007A3180"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76 000</w:t>
            </w:r>
          </w:p>
        </w:tc>
        <w:tc>
          <w:tcPr>
            <w:tcW w:w="884" w:type="dxa"/>
          </w:tcPr>
          <w:p w14:paraId="503BEC40" w14:textId="58AA71EF" w:rsidR="002C4120" w:rsidRPr="0098168E" w:rsidRDefault="004F6363"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3</w:t>
            </w:r>
            <w:r w:rsidR="007A3180" w:rsidRPr="0098168E">
              <w:rPr>
                <w:rFonts w:cs="Calibri"/>
                <w:bCs/>
                <w:sz w:val="18"/>
                <w:szCs w:val="20"/>
                <w:lang w:val="fr-FR"/>
              </w:rPr>
              <w:t>3</w:t>
            </w:r>
            <w:r w:rsidRPr="0098168E">
              <w:rPr>
                <w:rFonts w:cs="Calibri"/>
                <w:bCs/>
                <w:sz w:val="18"/>
                <w:szCs w:val="20"/>
                <w:lang w:val="fr-FR"/>
              </w:rPr>
              <w:t> </w:t>
            </w:r>
            <w:r w:rsidR="007A3180" w:rsidRPr="0098168E">
              <w:rPr>
                <w:rFonts w:cs="Calibri"/>
                <w:bCs/>
                <w:sz w:val="18"/>
                <w:szCs w:val="20"/>
                <w:lang w:val="fr-FR"/>
              </w:rPr>
              <w:t>256</w:t>
            </w:r>
          </w:p>
        </w:tc>
        <w:tc>
          <w:tcPr>
            <w:tcW w:w="1417" w:type="dxa"/>
          </w:tcPr>
          <w:p w14:paraId="25E345D1" w14:textId="5333E938" w:rsidR="002C4120" w:rsidRPr="0098168E" w:rsidRDefault="007A3180" w:rsidP="002D1A80">
            <w:pPr>
              <w:ind w:left="0" w:firstLine="0"/>
              <w:outlineLvl w:val="1"/>
              <w:rPr>
                <w:rFonts w:asciiTheme="minorHAnsi" w:hAnsiTheme="minorHAnsi" w:cstheme="minorHAnsi"/>
                <w:bCs/>
                <w:sz w:val="18"/>
                <w:szCs w:val="20"/>
                <w:lang w:val="fr-FR"/>
              </w:rPr>
            </w:pPr>
            <w:r w:rsidRPr="0098168E">
              <w:rPr>
                <w:rFonts w:cs="Calibri"/>
                <w:bCs/>
                <w:sz w:val="18"/>
                <w:szCs w:val="20"/>
                <w:lang w:val="fr-FR"/>
              </w:rPr>
              <w:t>B</w:t>
            </w:r>
            <w:r w:rsidR="004F6363" w:rsidRPr="0098168E">
              <w:rPr>
                <w:rFonts w:cs="Calibri"/>
                <w:bCs/>
                <w:sz w:val="18"/>
                <w:szCs w:val="20"/>
                <w:lang w:val="fr-FR"/>
              </w:rPr>
              <w:t xml:space="preserve">udget administratif Ramsar </w:t>
            </w:r>
            <w:r w:rsidRPr="0098168E">
              <w:rPr>
                <w:rFonts w:cs="Calibri"/>
                <w:bCs/>
                <w:sz w:val="18"/>
                <w:szCs w:val="20"/>
                <w:lang w:val="fr-FR"/>
              </w:rPr>
              <w:t xml:space="preserve">et </w:t>
            </w:r>
            <w:r w:rsidR="009C74A7" w:rsidRPr="0098168E">
              <w:rPr>
                <w:rFonts w:cs="Calibri"/>
                <w:bCs/>
                <w:sz w:val="18"/>
                <w:szCs w:val="20"/>
                <w:lang w:val="fr-FR"/>
              </w:rPr>
              <w:t>Gouvernement du Sénégal</w:t>
            </w:r>
          </w:p>
        </w:tc>
        <w:tc>
          <w:tcPr>
            <w:tcW w:w="2744" w:type="dxa"/>
          </w:tcPr>
          <w:p w14:paraId="0DA3ACD4" w14:textId="3775DF1E" w:rsidR="009C74A7" w:rsidRPr="0098168E" w:rsidRDefault="009C74A7" w:rsidP="009C74A7">
            <w:pPr>
              <w:ind w:left="0" w:firstLine="0"/>
              <w:outlineLvl w:val="1"/>
              <w:rPr>
                <w:rFonts w:asciiTheme="minorHAnsi" w:hAnsiTheme="minorHAnsi" w:cstheme="minorHAnsi"/>
                <w:bCs/>
                <w:sz w:val="18"/>
                <w:szCs w:val="20"/>
                <w:lang w:val="fr-CH"/>
              </w:rPr>
            </w:pPr>
            <w:r w:rsidRPr="0098168E">
              <w:rPr>
                <w:rFonts w:asciiTheme="minorHAnsi" w:hAnsiTheme="minorHAnsi" w:cstheme="minorHAnsi"/>
                <w:bCs/>
                <w:sz w:val="18"/>
                <w:szCs w:val="20"/>
                <w:lang w:val="fr-CH"/>
              </w:rPr>
              <w:t>•</w:t>
            </w:r>
            <w:r w:rsidR="006D16A4" w:rsidRPr="0098168E">
              <w:rPr>
                <w:rFonts w:asciiTheme="minorHAnsi" w:hAnsiTheme="minorHAnsi" w:cstheme="minorHAnsi"/>
                <w:bCs/>
                <w:sz w:val="18"/>
                <w:szCs w:val="20"/>
                <w:lang w:val="fr-CH"/>
              </w:rPr>
              <w:t xml:space="preserve"> La Charte de </w:t>
            </w:r>
            <w:r w:rsidRPr="0098168E">
              <w:rPr>
                <w:rFonts w:asciiTheme="minorHAnsi" w:hAnsiTheme="minorHAnsi" w:cstheme="minorHAnsi"/>
                <w:bCs/>
                <w:sz w:val="18"/>
                <w:szCs w:val="20"/>
                <w:lang w:val="fr-CH"/>
              </w:rPr>
              <w:t xml:space="preserve">SenegalWet </w:t>
            </w:r>
            <w:r w:rsidR="006D16A4" w:rsidRPr="0098168E">
              <w:rPr>
                <w:rFonts w:asciiTheme="minorHAnsi" w:hAnsiTheme="minorHAnsi" w:cstheme="minorHAnsi"/>
                <w:bCs/>
                <w:sz w:val="18"/>
                <w:szCs w:val="20"/>
                <w:lang w:val="fr-CH"/>
              </w:rPr>
              <w:t>pour les zones humides a été élaborée</w:t>
            </w:r>
          </w:p>
          <w:p w14:paraId="57A5FF3E" w14:textId="5CF94F76" w:rsidR="002C4120" w:rsidRPr="0098168E" w:rsidRDefault="009C74A7" w:rsidP="006D16A4">
            <w:pPr>
              <w:ind w:left="0" w:firstLine="0"/>
              <w:outlineLvl w:val="1"/>
              <w:rPr>
                <w:rFonts w:asciiTheme="minorHAnsi" w:hAnsiTheme="minorHAnsi" w:cstheme="minorHAnsi"/>
                <w:bCs/>
                <w:sz w:val="18"/>
                <w:szCs w:val="20"/>
                <w:lang w:val="fr-CH"/>
              </w:rPr>
            </w:pPr>
            <w:r w:rsidRPr="0098168E">
              <w:rPr>
                <w:rFonts w:asciiTheme="minorHAnsi" w:hAnsiTheme="minorHAnsi" w:cstheme="minorHAnsi"/>
                <w:bCs/>
                <w:sz w:val="18"/>
                <w:szCs w:val="20"/>
                <w:lang w:val="fr-CH"/>
              </w:rPr>
              <w:t>•</w:t>
            </w:r>
            <w:r w:rsidR="006D16A4" w:rsidRPr="0098168E">
              <w:rPr>
                <w:rFonts w:asciiTheme="minorHAnsi" w:hAnsiTheme="minorHAnsi" w:cstheme="minorHAnsi"/>
                <w:bCs/>
                <w:sz w:val="18"/>
                <w:szCs w:val="20"/>
                <w:lang w:val="fr-CH"/>
              </w:rPr>
              <w:t xml:space="preserve"> Une étude sur les conflits en matière d’utilisation des zones humides et des ressources en eau a été menée </w:t>
            </w:r>
          </w:p>
        </w:tc>
        <w:tc>
          <w:tcPr>
            <w:tcW w:w="1203" w:type="dxa"/>
          </w:tcPr>
          <w:p w14:paraId="163DD66D" w14:textId="2DCA2507" w:rsidR="002C4120" w:rsidRPr="0098168E" w:rsidRDefault="009C74A7"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Aucune information</w:t>
            </w:r>
            <w:r w:rsidR="004F6363" w:rsidRPr="0098168E">
              <w:rPr>
                <w:rFonts w:cs="Calibri"/>
                <w:bCs/>
                <w:sz w:val="18"/>
                <w:szCs w:val="20"/>
                <w:lang w:val="fr-FR"/>
              </w:rPr>
              <w:t xml:space="preserve"> </w:t>
            </w:r>
          </w:p>
        </w:tc>
      </w:tr>
      <w:tr w:rsidR="00E74827" w:rsidRPr="00D26183" w14:paraId="67BEBB5A" w14:textId="77777777" w:rsidTr="00945C73">
        <w:trPr>
          <w:cantSplit/>
        </w:trPr>
        <w:tc>
          <w:tcPr>
            <w:tcW w:w="1414" w:type="dxa"/>
          </w:tcPr>
          <w:p w14:paraId="0D31E1EC"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Initiative régionale Ramsar pour la conservation et l’utilisation durable des zones humides du bassin de l’Amazone, 2016</w:t>
            </w:r>
          </w:p>
        </w:tc>
        <w:tc>
          <w:tcPr>
            <w:tcW w:w="880" w:type="dxa"/>
          </w:tcPr>
          <w:p w14:paraId="4DB4C12C"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7</w:t>
            </w:r>
          </w:p>
        </w:tc>
        <w:tc>
          <w:tcPr>
            <w:tcW w:w="1100" w:type="dxa"/>
          </w:tcPr>
          <w:p w14:paraId="2A6395CB"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Oui</w:t>
            </w:r>
          </w:p>
        </w:tc>
        <w:tc>
          <w:tcPr>
            <w:tcW w:w="2266" w:type="dxa"/>
          </w:tcPr>
          <w:p w14:paraId="49765A4C" w14:textId="4B816264"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L’I</w:t>
            </w:r>
            <w:r w:rsidR="007C4430">
              <w:rPr>
                <w:rFonts w:cs="Calibri"/>
                <w:bCs/>
                <w:sz w:val="18"/>
                <w:szCs w:val="20"/>
                <w:lang w:val="fr-FR"/>
              </w:rPr>
              <w:t>RR</w:t>
            </w:r>
            <w:r w:rsidRPr="00420F85">
              <w:rPr>
                <w:rFonts w:cs="Calibri"/>
                <w:bCs/>
                <w:sz w:val="18"/>
                <w:szCs w:val="20"/>
                <w:lang w:val="fr-FR"/>
              </w:rPr>
              <w:t xml:space="preserve"> est coordonnée par le Comité de coordination dont les membres sont les Correspondants nationaux Ramsar.</w:t>
            </w:r>
          </w:p>
        </w:tc>
        <w:tc>
          <w:tcPr>
            <w:tcW w:w="1276" w:type="dxa"/>
          </w:tcPr>
          <w:p w14:paraId="5C72EF5F"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Le Secrétariat Ramsar soutient l’organe de gouvernance</w:t>
            </w:r>
          </w:p>
        </w:tc>
        <w:tc>
          <w:tcPr>
            <w:tcW w:w="1559" w:type="dxa"/>
          </w:tcPr>
          <w:p w14:paraId="40560094" w14:textId="500D2DC2"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Gérée par le Secrétariat Ramsar conformément aux décisions du Coord</w:t>
            </w:r>
            <w:r w:rsidR="007C4430">
              <w:rPr>
                <w:rFonts w:cs="Calibri"/>
                <w:bCs/>
                <w:sz w:val="18"/>
                <w:szCs w:val="20"/>
                <w:lang w:val="fr-FR"/>
              </w:rPr>
              <w:t>on</w:t>
            </w:r>
            <w:r w:rsidRPr="00420F85">
              <w:rPr>
                <w:rFonts w:cs="Calibri"/>
                <w:bCs/>
                <w:sz w:val="18"/>
                <w:szCs w:val="20"/>
                <w:lang w:val="fr-FR"/>
              </w:rPr>
              <w:t>nateur de l’I</w:t>
            </w:r>
            <w:r w:rsidR="007C4430">
              <w:rPr>
                <w:rFonts w:cs="Calibri"/>
                <w:bCs/>
                <w:sz w:val="18"/>
                <w:szCs w:val="20"/>
                <w:lang w:val="fr-FR"/>
              </w:rPr>
              <w:t>RR</w:t>
            </w:r>
          </w:p>
        </w:tc>
        <w:tc>
          <w:tcPr>
            <w:tcW w:w="992" w:type="dxa"/>
          </w:tcPr>
          <w:p w14:paraId="3E610B47" w14:textId="4A3247EC" w:rsidR="002C4120" w:rsidRPr="0098168E" w:rsidRDefault="009C74A7"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58</w:t>
            </w:r>
            <w:r w:rsidR="004F6363" w:rsidRPr="0098168E">
              <w:rPr>
                <w:rFonts w:cs="Calibri"/>
                <w:bCs/>
                <w:sz w:val="18"/>
                <w:szCs w:val="20"/>
                <w:lang w:val="fr-FR"/>
              </w:rPr>
              <w:t> </w:t>
            </w:r>
            <w:r w:rsidRPr="0098168E">
              <w:rPr>
                <w:rFonts w:cs="Calibri"/>
                <w:bCs/>
                <w:sz w:val="18"/>
                <w:szCs w:val="20"/>
                <w:lang w:val="fr-FR"/>
              </w:rPr>
              <w:t>42</w:t>
            </w:r>
            <w:r w:rsidR="004F6363" w:rsidRPr="0098168E">
              <w:rPr>
                <w:rFonts w:cs="Calibri"/>
                <w:bCs/>
                <w:sz w:val="18"/>
                <w:szCs w:val="20"/>
                <w:lang w:val="fr-FR"/>
              </w:rPr>
              <w:t>0</w:t>
            </w:r>
          </w:p>
        </w:tc>
        <w:tc>
          <w:tcPr>
            <w:tcW w:w="884" w:type="dxa"/>
          </w:tcPr>
          <w:p w14:paraId="2BFA70A5" w14:textId="138EFB47" w:rsidR="002C4120" w:rsidRPr="0098168E" w:rsidRDefault="009C74A7"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58 420</w:t>
            </w:r>
          </w:p>
        </w:tc>
        <w:tc>
          <w:tcPr>
            <w:tcW w:w="1417" w:type="dxa"/>
          </w:tcPr>
          <w:p w14:paraId="41C03937" w14:textId="761DE7B3" w:rsidR="002C4120" w:rsidRPr="0098168E" w:rsidRDefault="009C74A7" w:rsidP="002D1A80">
            <w:pPr>
              <w:ind w:left="0" w:firstLine="0"/>
              <w:outlineLvl w:val="1"/>
              <w:rPr>
                <w:rFonts w:asciiTheme="minorHAnsi" w:hAnsiTheme="minorHAnsi" w:cstheme="minorHAnsi"/>
                <w:bCs/>
                <w:sz w:val="18"/>
                <w:szCs w:val="20"/>
                <w:lang w:val="fr-FR"/>
              </w:rPr>
            </w:pPr>
            <w:r w:rsidRPr="0098168E">
              <w:rPr>
                <w:rFonts w:cs="Calibri"/>
                <w:bCs/>
                <w:sz w:val="18"/>
                <w:szCs w:val="20"/>
                <w:lang w:val="fr-FR"/>
              </w:rPr>
              <w:t>B</w:t>
            </w:r>
            <w:r w:rsidR="004F6363" w:rsidRPr="0098168E">
              <w:rPr>
                <w:rFonts w:cs="Calibri"/>
                <w:bCs/>
                <w:sz w:val="18"/>
                <w:szCs w:val="20"/>
                <w:lang w:val="fr-FR"/>
              </w:rPr>
              <w:t xml:space="preserve">udget administratif Ramsar </w:t>
            </w:r>
          </w:p>
        </w:tc>
        <w:tc>
          <w:tcPr>
            <w:tcW w:w="2744" w:type="dxa"/>
          </w:tcPr>
          <w:p w14:paraId="40B2A1EB" w14:textId="0BF107E7" w:rsidR="002C4120" w:rsidRPr="0098168E" w:rsidRDefault="00BE6B49" w:rsidP="006D16A4">
            <w:pPr>
              <w:ind w:left="0" w:firstLine="0"/>
              <w:outlineLvl w:val="1"/>
              <w:rPr>
                <w:rFonts w:asciiTheme="minorHAnsi" w:hAnsiTheme="minorHAnsi" w:cstheme="minorHAnsi"/>
                <w:bCs/>
                <w:sz w:val="18"/>
                <w:szCs w:val="20"/>
                <w:lang w:val="fr-CH"/>
              </w:rPr>
            </w:pPr>
            <w:r w:rsidRPr="0098168E">
              <w:rPr>
                <w:rFonts w:asciiTheme="minorHAnsi" w:hAnsiTheme="minorHAnsi" w:cstheme="minorHAnsi"/>
                <w:bCs/>
                <w:sz w:val="18"/>
                <w:szCs w:val="20"/>
                <w:lang w:val="fr-CH"/>
              </w:rPr>
              <w:t>R</w:t>
            </w:r>
            <w:r w:rsidR="006D16A4" w:rsidRPr="0098168E">
              <w:rPr>
                <w:rFonts w:asciiTheme="minorHAnsi" w:hAnsiTheme="minorHAnsi" w:cstheme="minorHAnsi"/>
                <w:bCs/>
                <w:sz w:val="18"/>
                <w:szCs w:val="20"/>
                <w:lang w:val="fr-CH"/>
              </w:rPr>
              <w:t>éunions du Comité de coordination, préparation d’un projet régional pour le FEM</w:t>
            </w:r>
            <w:r w:rsidR="009C74A7" w:rsidRPr="0098168E">
              <w:rPr>
                <w:rFonts w:asciiTheme="minorHAnsi" w:hAnsiTheme="minorHAnsi" w:cstheme="minorHAnsi"/>
                <w:bCs/>
                <w:sz w:val="18"/>
                <w:szCs w:val="20"/>
                <w:lang w:val="fr-CH"/>
              </w:rPr>
              <w:t xml:space="preserve">7 </w:t>
            </w:r>
            <w:r w:rsidR="006D16A4" w:rsidRPr="0098168E">
              <w:rPr>
                <w:rFonts w:asciiTheme="minorHAnsi" w:hAnsiTheme="minorHAnsi" w:cstheme="minorHAnsi"/>
                <w:bCs/>
                <w:sz w:val="18"/>
                <w:szCs w:val="20"/>
                <w:lang w:val="fr-CH"/>
              </w:rPr>
              <w:t xml:space="preserve">et de CdC pour une consultation sur le renforcement des capacités relatives aux stratégies de restauration et à l’évaluation de l’efficacité de la gestion des zones humides. </w:t>
            </w:r>
          </w:p>
        </w:tc>
        <w:tc>
          <w:tcPr>
            <w:tcW w:w="1203" w:type="dxa"/>
          </w:tcPr>
          <w:p w14:paraId="1FFA7DF4" w14:textId="03649DB0" w:rsidR="002C4120" w:rsidRPr="0098168E" w:rsidRDefault="00E566F2" w:rsidP="00217015">
            <w:pPr>
              <w:ind w:left="0" w:firstLine="0"/>
              <w:outlineLvl w:val="1"/>
              <w:rPr>
                <w:rFonts w:asciiTheme="minorHAnsi" w:hAnsiTheme="minorHAnsi" w:cstheme="minorHAnsi"/>
                <w:bCs/>
                <w:sz w:val="18"/>
                <w:szCs w:val="20"/>
                <w:lang w:val="fr-FR"/>
              </w:rPr>
            </w:pPr>
            <w:r w:rsidRPr="0098168E">
              <w:rPr>
                <w:rFonts w:cs="Calibri"/>
                <w:bCs/>
                <w:spacing w:val="-4"/>
                <w:sz w:val="18"/>
                <w:szCs w:val="20"/>
                <w:lang w:val="fr-FR"/>
              </w:rPr>
              <w:t>Restrictions imposées par la COVID-19</w:t>
            </w:r>
          </w:p>
        </w:tc>
      </w:tr>
      <w:tr w:rsidR="00E74827" w:rsidRPr="00D26183" w14:paraId="71B179D1" w14:textId="77777777" w:rsidTr="00945C73">
        <w:trPr>
          <w:cantSplit/>
        </w:trPr>
        <w:tc>
          <w:tcPr>
            <w:tcW w:w="1414" w:type="dxa"/>
          </w:tcPr>
          <w:p w14:paraId="1B265100"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Initiative régionale Ramsar pour l’Asie centrale (RRI-CA), 2016</w:t>
            </w:r>
          </w:p>
        </w:tc>
        <w:tc>
          <w:tcPr>
            <w:tcW w:w="880" w:type="dxa"/>
          </w:tcPr>
          <w:p w14:paraId="27FE36A8"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4</w:t>
            </w:r>
          </w:p>
        </w:tc>
        <w:tc>
          <w:tcPr>
            <w:tcW w:w="1100" w:type="dxa"/>
          </w:tcPr>
          <w:p w14:paraId="5E8393B6" w14:textId="77777777" w:rsidR="002C4120" w:rsidRPr="00420F85" w:rsidRDefault="00B935B2" w:rsidP="00217015">
            <w:pPr>
              <w:ind w:left="0" w:firstLine="0"/>
              <w:outlineLvl w:val="1"/>
              <w:rPr>
                <w:rFonts w:asciiTheme="minorHAnsi" w:hAnsiTheme="minorHAnsi" w:cstheme="minorHAnsi"/>
                <w:bCs/>
                <w:sz w:val="18"/>
                <w:szCs w:val="20"/>
                <w:lang w:val="fr-FR"/>
              </w:rPr>
            </w:pPr>
            <w:r>
              <w:rPr>
                <w:rFonts w:cs="Calibri"/>
                <w:bCs/>
                <w:sz w:val="18"/>
                <w:szCs w:val="20"/>
                <w:lang w:val="fr-FR"/>
              </w:rPr>
              <w:t>No</w:t>
            </w:r>
            <w:r w:rsidR="007E135E">
              <w:rPr>
                <w:rFonts w:cs="Calibri"/>
                <w:bCs/>
                <w:sz w:val="18"/>
                <w:szCs w:val="20"/>
                <w:lang w:val="fr-FR"/>
              </w:rPr>
              <w:t>n</w:t>
            </w:r>
          </w:p>
        </w:tc>
        <w:tc>
          <w:tcPr>
            <w:tcW w:w="2266" w:type="dxa"/>
          </w:tcPr>
          <w:p w14:paraId="78C68E4C" w14:textId="77777777" w:rsidR="002C4120" w:rsidRPr="00420F85" w:rsidRDefault="004F6363" w:rsidP="002D1A80">
            <w:pPr>
              <w:ind w:left="0" w:firstLine="0"/>
              <w:outlineLvl w:val="1"/>
              <w:rPr>
                <w:rFonts w:asciiTheme="minorHAnsi" w:hAnsiTheme="minorHAnsi" w:cstheme="minorHAnsi"/>
                <w:bCs/>
                <w:sz w:val="18"/>
                <w:szCs w:val="20"/>
                <w:lang w:val="fr-FR"/>
              </w:rPr>
            </w:pPr>
            <w:r w:rsidRPr="00420F85">
              <w:rPr>
                <w:rFonts w:cs="Calibri"/>
                <w:bCs/>
                <w:sz w:val="18"/>
                <w:szCs w:val="20"/>
                <w:lang w:val="fr-FR"/>
              </w:rPr>
              <w:t xml:space="preserve">L’organe de décision est le Comité de coordination, qui est composé de trois membres </w:t>
            </w:r>
            <w:r w:rsidR="002D1A80">
              <w:rPr>
                <w:rFonts w:cs="Calibri"/>
                <w:bCs/>
                <w:sz w:val="18"/>
                <w:szCs w:val="20"/>
                <w:lang w:val="fr-FR"/>
              </w:rPr>
              <w:t>principaux</w:t>
            </w:r>
            <w:r w:rsidRPr="00420F85">
              <w:rPr>
                <w:rFonts w:cs="Calibri"/>
                <w:bCs/>
                <w:sz w:val="18"/>
                <w:szCs w:val="20"/>
                <w:lang w:val="fr-FR"/>
              </w:rPr>
              <w:t xml:space="preserve"> et de six membres suppléants des pays membres. </w:t>
            </w:r>
          </w:p>
        </w:tc>
        <w:tc>
          <w:tcPr>
            <w:tcW w:w="1276" w:type="dxa"/>
          </w:tcPr>
          <w:p w14:paraId="744DEA00" w14:textId="0287B928"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 xml:space="preserve">Aucune information </w:t>
            </w:r>
          </w:p>
        </w:tc>
        <w:tc>
          <w:tcPr>
            <w:tcW w:w="1559" w:type="dxa"/>
          </w:tcPr>
          <w:p w14:paraId="6C16ED85" w14:textId="099C7124"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Secréta</w:t>
            </w:r>
            <w:r w:rsidR="009C74A7" w:rsidRPr="0098168E">
              <w:rPr>
                <w:rFonts w:cs="Calibri"/>
                <w:bCs/>
                <w:sz w:val="18"/>
                <w:szCs w:val="20"/>
                <w:lang w:val="fr-FR"/>
              </w:rPr>
              <w:t>ire</w:t>
            </w:r>
            <w:r w:rsidRPr="0098168E">
              <w:rPr>
                <w:rFonts w:cs="Calibri"/>
                <w:bCs/>
                <w:sz w:val="18"/>
                <w:szCs w:val="20"/>
                <w:lang w:val="fr-FR"/>
              </w:rPr>
              <w:t xml:space="preserve"> technique de l’IRR Asie centrale (basé au CAREC)</w:t>
            </w:r>
          </w:p>
        </w:tc>
        <w:tc>
          <w:tcPr>
            <w:tcW w:w="992" w:type="dxa"/>
          </w:tcPr>
          <w:p w14:paraId="46A2FA55" w14:textId="3E89410B" w:rsidR="002C4120" w:rsidRPr="0098168E" w:rsidRDefault="009C74A7"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35 929</w:t>
            </w:r>
          </w:p>
        </w:tc>
        <w:tc>
          <w:tcPr>
            <w:tcW w:w="884" w:type="dxa"/>
          </w:tcPr>
          <w:p w14:paraId="756A61D2" w14:textId="3C87DFD1" w:rsidR="002C4120" w:rsidRPr="0098168E" w:rsidRDefault="009C74A7"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25</w:t>
            </w:r>
            <w:r w:rsidR="004F6363" w:rsidRPr="0098168E">
              <w:rPr>
                <w:rFonts w:cs="Calibri"/>
                <w:bCs/>
                <w:sz w:val="18"/>
                <w:szCs w:val="20"/>
                <w:lang w:val="fr-FR"/>
              </w:rPr>
              <w:t> </w:t>
            </w:r>
            <w:r w:rsidRPr="0098168E">
              <w:rPr>
                <w:rFonts w:cs="Calibri"/>
                <w:bCs/>
                <w:sz w:val="18"/>
                <w:szCs w:val="20"/>
                <w:lang w:val="fr-FR"/>
              </w:rPr>
              <w:t>929</w:t>
            </w:r>
          </w:p>
        </w:tc>
        <w:tc>
          <w:tcPr>
            <w:tcW w:w="1417" w:type="dxa"/>
          </w:tcPr>
          <w:p w14:paraId="0D37B86B" w14:textId="46E4EFB2"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Budget administratif Ramsar</w:t>
            </w:r>
            <w:r w:rsidR="009C74A7" w:rsidRPr="0098168E">
              <w:rPr>
                <w:rFonts w:cs="Calibri"/>
                <w:bCs/>
                <w:sz w:val="18"/>
                <w:szCs w:val="20"/>
                <w:lang w:val="fr-FR"/>
              </w:rPr>
              <w:t>, entre autres</w:t>
            </w:r>
          </w:p>
        </w:tc>
        <w:tc>
          <w:tcPr>
            <w:tcW w:w="2744" w:type="dxa"/>
          </w:tcPr>
          <w:p w14:paraId="7A1542BF" w14:textId="3DC56305" w:rsidR="002C4120" w:rsidRPr="0098168E" w:rsidRDefault="009C74A7" w:rsidP="006D16A4">
            <w:pPr>
              <w:ind w:left="0" w:firstLine="0"/>
              <w:outlineLvl w:val="1"/>
              <w:rPr>
                <w:rFonts w:asciiTheme="minorHAnsi" w:hAnsiTheme="minorHAnsi" w:cstheme="minorHAnsi"/>
                <w:bCs/>
                <w:sz w:val="18"/>
                <w:szCs w:val="20"/>
                <w:highlight w:val="yellow"/>
                <w:lang w:val="fr-CH"/>
              </w:rPr>
            </w:pPr>
            <w:r w:rsidRPr="0098168E">
              <w:rPr>
                <w:rFonts w:asciiTheme="minorHAnsi" w:hAnsiTheme="minorHAnsi" w:cstheme="minorHAnsi"/>
                <w:bCs/>
                <w:sz w:val="18"/>
                <w:szCs w:val="20"/>
                <w:lang w:val="fr-CH"/>
              </w:rPr>
              <w:t>R</w:t>
            </w:r>
            <w:r w:rsidR="006D16A4" w:rsidRPr="0098168E">
              <w:rPr>
                <w:rFonts w:asciiTheme="minorHAnsi" w:hAnsiTheme="minorHAnsi" w:cstheme="minorHAnsi"/>
                <w:bCs/>
                <w:sz w:val="18"/>
                <w:szCs w:val="20"/>
                <w:lang w:val="fr-CH"/>
              </w:rPr>
              <w:t xml:space="preserve">enforcement de la sensibilisation, appels de fonds, </w:t>
            </w:r>
            <w:r w:rsidR="0098168E">
              <w:rPr>
                <w:rFonts w:asciiTheme="minorHAnsi" w:hAnsiTheme="minorHAnsi" w:cstheme="minorHAnsi"/>
                <w:bCs/>
                <w:sz w:val="18"/>
                <w:szCs w:val="20"/>
                <w:lang w:val="fr-CH"/>
              </w:rPr>
              <w:t>inscription</w:t>
            </w:r>
            <w:r w:rsidR="006D16A4" w:rsidRPr="0098168E">
              <w:rPr>
                <w:rFonts w:asciiTheme="minorHAnsi" w:hAnsiTheme="minorHAnsi" w:cstheme="minorHAnsi"/>
                <w:bCs/>
                <w:sz w:val="18"/>
                <w:szCs w:val="20"/>
                <w:lang w:val="fr-CH"/>
              </w:rPr>
              <w:t xml:space="preserve"> de sites et su</w:t>
            </w:r>
            <w:r w:rsidR="000C165B" w:rsidRPr="0098168E">
              <w:rPr>
                <w:rFonts w:asciiTheme="minorHAnsi" w:hAnsiTheme="minorHAnsi" w:cstheme="minorHAnsi"/>
                <w:bCs/>
                <w:sz w:val="18"/>
                <w:szCs w:val="20"/>
                <w:lang w:val="fr-CH"/>
              </w:rPr>
              <w:t>ivi, appui à la préparation de r</w:t>
            </w:r>
            <w:r w:rsidR="006D16A4" w:rsidRPr="0098168E">
              <w:rPr>
                <w:rFonts w:asciiTheme="minorHAnsi" w:hAnsiTheme="minorHAnsi" w:cstheme="minorHAnsi"/>
                <w:bCs/>
                <w:sz w:val="18"/>
                <w:szCs w:val="20"/>
                <w:lang w:val="fr-CH"/>
              </w:rPr>
              <w:t>apports nationaux.</w:t>
            </w:r>
          </w:p>
        </w:tc>
        <w:tc>
          <w:tcPr>
            <w:tcW w:w="1203" w:type="dxa"/>
          </w:tcPr>
          <w:p w14:paraId="1CAE9C5E" w14:textId="5BDAA239" w:rsidR="002C4120" w:rsidRPr="0098168E" w:rsidRDefault="00E566F2" w:rsidP="00F000BB">
            <w:pPr>
              <w:ind w:left="0" w:firstLine="0"/>
              <w:outlineLvl w:val="1"/>
              <w:rPr>
                <w:rFonts w:asciiTheme="minorHAnsi" w:hAnsiTheme="minorHAnsi" w:cstheme="minorHAnsi"/>
                <w:bCs/>
                <w:spacing w:val="-4"/>
                <w:sz w:val="18"/>
                <w:szCs w:val="20"/>
                <w:lang w:val="fr-FR"/>
              </w:rPr>
            </w:pPr>
            <w:r w:rsidRPr="0098168E">
              <w:rPr>
                <w:rFonts w:cs="Calibri"/>
                <w:bCs/>
                <w:spacing w:val="-4"/>
                <w:sz w:val="18"/>
                <w:szCs w:val="20"/>
                <w:lang w:val="fr-FR"/>
              </w:rPr>
              <w:t>Restrictions imposées par la COVID-19</w:t>
            </w:r>
          </w:p>
        </w:tc>
      </w:tr>
      <w:tr w:rsidR="00E74827" w:rsidRPr="00D26183" w14:paraId="71B0C251" w14:textId="77777777" w:rsidTr="00945C73">
        <w:trPr>
          <w:cantSplit/>
        </w:trPr>
        <w:tc>
          <w:tcPr>
            <w:tcW w:w="1414" w:type="dxa"/>
          </w:tcPr>
          <w:p w14:paraId="409B458E"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Initiative régionale Ramsar indo-birmane (IBRRI), 2016</w:t>
            </w:r>
          </w:p>
        </w:tc>
        <w:tc>
          <w:tcPr>
            <w:tcW w:w="880" w:type="dxa"/>
          </w:tcPr>
          <w:p w14:paraId="1FC83187" w14:textId="77777777" w:rsidR="002C4120" w:rsidRPr="00420F85" w:rsidRDefault="004F6363" w:rsidP="00217015">
            <w:pPr>
              <w:ind w:left="0" w:firstLine="0"/>
              <w:outlineLvl w:val="1"/>
              <w:rPr>
                <w:rFonts w:asciiTheme="minorHAnsi" w:hAnsiTheme="minorHAnsi" w:cstheme="minorHAnsi"/>
                <w:bCs/>
                <w:sz w:val="18"/>
                <w:szCs w:val="20"/>
                <w:lang w:val="fr-FR"/>
              </w:rPr>
            </w:pPr>
            <w:r w:rsidRPr="00420F85">
              <w:rPr>
                <w:rFonts w:cs="Calibri"/>
                <w:bCs/>
                <w:sz w:val="18"/>
                <w:szCs w:val="20"/>
                <w:lang w:val="fr-FR"/>
              </w:rPr>
              <w:t>5</w:t>
            </w:r>
          </w:p>
        </w:tc>
        <w:tc>
          <w:tcPr>
            <w:tcW w:w="1100" w:type="dxa"/>
          </w:tcPr>
          <w:p w14:paraId="5E20D2D2" w14:textId="754DD2D2" w:rsidR="002C4120" w:rsidRPr="0098168E" w:rsidRDefault="009C74A7"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Oui</w:t>
            </w:r>
          </w:p>
        </w:tc>
        <w:tc>
          <w:tcPr>
            <w:tcW w:w="2266" w:type="dxa"/>
          </w:tcPr>
          <w:p w14:paraId="2C44A6C5" w14:textId="152A6318"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Le Comité directeur, qui est composé des autorités administratives Ramsar des pays membres, supervise le fonctionnement de l’I</w:t>
            </w:r>
            <w:r w:rsidR="007C4430">
              <w:rPr>
                <w:rFonts w:cs="Calibri"/>
                <w:bCs/>
                <w:sz w:val="18"/>
                <w:szCs w:val="20"/>
                <w:lang w:val="fr-FR"/>
              </w:rPr>
              <w:t>RR</w:t>
            </w:r>
            <w:r w:rsidRPr="0098168E">
              <w:rPr>
                <w:rFonts w:cs="Calibri"/>
                <w:bCs/>
                <w:sz w:val="18"/>
                <w:szCs w:val="20"/>
                <w:lang w:val="fr-FR"/>
              </w:rPr>
              <w:t xml:space="preserve">. </w:t>
            </w:r>
          </w:p>
        </w:tc>
        <w:tc>
          <w:tcPr>
            <w:tcW w:w="1276" w:type="dxa"/>
          </w:tcPr>
          <w:p w14:paraId="60BE9D4B" w14:textId="77777777"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Observateur</w:t>
            </w:r>
          </w:p>
        </w:tc>
        <w:tc>
          <w:tcPr>
            <w:tcW w:w="1559" w:type="dxa"/>
          </w:tcPr>
          <w:p w14:paraId="0BA53C43" w14:textId="4F919513"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Gérée par le Bureau régional de l’UICN pour l’Asie</w:t>
            </w:r>
            <w:r w:rsidR="002D1A80" w:rsidRPr="0098168E">
              <w:rPr>
                <w:rFonts w:cs="Calibri"/>
                <w:bCs/>
                <w:sz w:val="18"/>
                <w:szCs w:val="20"/>
                <w:lang w:val="fr-FR"/>
              </w:rPr>
              <w:t xml:space="preserve"> </w:t>
            </w:r>
          </w:p>
        </w:tc>
        <w:tc>
          <w:tcPr>
            <w:tcW w:w="992" w:type="dxa"/>
          </w:tcPr>
          <w:p w14:paraId="5D058D09" w14:textId="3BEF1D70" w:rsidR="002C4120" w:rsidRPr="0098168E" w:rsidRDefault="009C74A7"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1</w:t>
            </w:r>
            <w:r w:rsidR="004F6363" w:rsidRPr="0098168E">
              <w:rPr>
                <w:rFonts w:cs="Calibri"/>
                <w:bCs/>
                <w:sz w:val="18"/>
                <w:szCs w:val="20"/>
                <w:lang w:val="fr-FR"/>
              </w:rPr>
              <w:t>33 </w:t>
            </w:r>
            <w:r w:rsidRPr="0098168E">
              <w:rPr>
                <w:rFonts w:cs="Calibri"/>
                <w:bCs/>
                <w:sz w:val="18"/>
                <w:szCs w:val="20"/>
                <w:lang w:val="fr-FR"/>
              </w:rPr>
              <w:t>000</w:t>
            </w:r>
          </w:p>
        </w:tc>
        <w:tc>
          <w:tcPr>
            <w:tcW w:w="884" w:type="dxa"/>
          </w:tcPr>
          <w:p w14:paraId="3900830A" w14:textId="560924C9" w:rsidR="002C4120" w:rsidRPr="0098168E" w:rsidRDefault="009C74A7" w:rsidP="00217015">
            <w:pPr>
              <w:ind w:left="0" w:firstLine="0"/>
              <w:jc w:val="right"/>
              <w:outlineLvl w:val="1"/>
              <w:rPr>
                <w:rFonts w:asciiTheme="minorHAnsi" w:hAnsiTheme="minorHAnsi" w:cstheme="minorHAnsi"/>
                <w:bCs/>
                <w:sz w:val="18"/>
                <w:szCs w:val="20"/>
                <w:lang w:val="fr-FR"/>
              </w:rPr>
            </w:pPr>
            <w:r w:rsidRPr="0098168E">
              <w:rPr>
                <w:rFonts w:cs="Calibri"/>
                <w:bCs/>
                <w:sz w:val="18"/>
                <w:szCs w:val="20"/>
                <w:lang w:val="fr-FR"/>
              </w:rPr>
              <w:t>130 847</w:t>
            </w:r>
          </w:p>
        </w:tc>
        <w:tc>
          <w:tcPr>
            <w:tcW w:w="1417" w:type="dxa"/>
          </w:tcPr>
          <w:p w14:paraId="63AFD845" w14:textId="77777777" w:rsidR="002C4120" w:rsidRPr="0098168E" w:rsidRDefault="004F6363" w:rsidP="00217015">
            <w:pPr>
              <w:ind w:left="0" w:firstLine="0"/>
              <w:outlineLvl w:val="1"/>
              <w:rPr>
                <w:rFonts w:asciiTheme="minorHAnsi" w:hAnsiTheme="minorHAnsi" w:cstheme="minorHAnsi"/>
                <w:bCs/>
                <w:sz w:val="18"/>
                <w:szCs w:val="20"/>
                <w:lang w:val="fr-FR"/>
              </w:rPr>
            </w:pPr>
            <w:r w:rsidRPr="0098168E">
              <w:rPr>
                <w:rFonts w:cs="Calibri"/>
                <w:bCs/>
                <w:sz w:val="18"/>
                <w:szCs w:val="20"/>
                <w:lang w:val="fr-FR"/>
              </w:rPr>
              <w:t xml:space="preserve">BMU-IKI </w:t>
            </w:r>
          </w:p>
          <w:p w14:paraId="6C08AD66" w14:textId="0C87BB91" w:rsidR="002C4120" w:rsidRPr="0098168E" w:rsidRDefault="004F6363" w:rsidP="00217015">
            <w:pPr>
              <w:pStyle w:val="ListParagraph"/>
              <w:widowControl w:val="0"/>
              <w:ind w:left="0" w:firstLine="0"/>
              <w:outlineLvl w:val="1"/>
              <w:rPr>
                <w:rFonts w:asciiTheme="minorHAnsi" w:hAnsiTheme="minorHAnsi" w:cstheme="minorHAnsi"/>
                <w:bCs/>
                <w:sz w:val="18"/>
                <w:szCs w:val="20"/>
                <w:lang w:val="fr-FR"/>
              </w:rPr>
            </w:pPr>
            <w:r w:rsidRPr="0098168E">
              <w:rPr>
                <w:rFonts w:cs="Calibri"/>
                <w:bCs/>
                <w:sz w:val="18"/>
                <w:szCs w:val="20"/>
                <w:lang w:val="fr-FR"/>
              </w:rPr>
              <w:t>Projet M</w:t>
            </w:r>
            <w:r w:rsidR="0098168E">
              <w:rPr>
                <w:rFonts w:cs="Calibri"/>
                <w:bCs/>
                <w:sz w:val="18"/>
                <w:szCs w:val="20"/>
                <w:lang w:val="fr-FR"/>
              </w:rPr>
              <w:t>é</w:t>
            </w:r>
            <w:r w:rsidRPr="0098168E">
              <w:rPr>
                <w:rFonts w:cs="Calibri"/>
                <w:bCs/>
                <w:sz w:val="18"/>
                <w:szCs w:val="20"/>
                <w:lang w:val="fr-FR"/>
              </w:rPr>
              <w:t>kong WET, budget administratif Ramsar</w:t>
            </w:r>
          </w:p>
        </w:tc>
        <w:tc>
          <w:tcPr>
            <w:tcW w:w="2744" w:type="dxa"/>
          </w:tcPr>
          <w:p w14:paraId="136E540B" w14:textId="7BC1F346" w:rsidR="002C4120" w:rsidRPr="0098168E" w:rsidRDefault="006D16A4" w:rsidP="006D16A4">
            <w:pPr>
              <w:ind w:left="0" w:firstLine="0"/>
              <w:outlineLvl w:val="1"/>
              <w:rPr>
                <w:rFonts w:asciiTheme="minorHAnsi" w:hAnsiTheme="minorHAnsi" w:cstheme="minorHAnsi"/>
                <w:bCs/>
                <w:sz w:val="18"/>
                <w:szCs w:val="20"/>
                <w:lang w:val="fr-CH"/>
              </w:rPr>
            </w:pPr>
            <w:r w:rsidRPr="0098168E">
              <w:rPr>
                <w:rFonts w:asciiTheme="minorHAnsi" w:hAnsiTheme="minorHAnsi" w:cstheme="minorHAnsi"/>
                <w:bCs/>
                <w:sz w:val="18"/>
                <w:szCs w:val="20"/>
                <w:lang w:val="fr-CH"/>
              </w:rPr>
              <w:t xml:space="preserve">Réunion annuelle </w:t>
            </w:r>
            <w:r w:rsidR="009C74A7" w:rsidRPr="0098168E">
              <w:rPr>
                <w:rFonts w:asciiTheme="minorHAnsi" w:hAnsiTheme="minorHAnsi" w:cstheme="minorHAnsi"/>
                <w:bCs/>
                <w:sz w:val="18"/>
                <w:szCs w:val="20"/>
                <w:lang w:val="fr-CH"/>
              </w:rPr>
              <w:t xml:space="preserve">IBRRI </w:t>
            </w:r>
            <w:r w:rsidRPr="0098168E">
              <w:rPr>
                <w:rFonts w:asciiTheme="minorHAnsi" w:hAnsiTheme="minorHAnsi" w:cstheme="minorHAnsi"/>
                <w:bCs/>
                <w:sz w:val="18"/>
                <w:szCs w:val="20"/>
                <w:lang w:val="fr-CH"/>
              </w:rPr>
              <w:t xml:space="preserve">et atelier technique, soutenant le développement de plans de gestion de Sites Ramsar et d’inscription de Sites Ramsar. </w:t>
            </w:r>
          </w:p>
        </w:tc>
        <w:tc>
          <w:tcPr>
            <w:tcW w:w="1203" w:type="dxa"/>
          </w:tcPr>
          <w:p w14:paraId="0A9ADA2E" w14:textId="04BA75C5" w:rsidR="002C4120" w:rsidRPr="0098168E" w:rsidRDefault="00E566F2" w:rsidP="00217015">
            <w:pPr>
              <w:ind w:left="0" w:firstLine="0"/>
              <w:outlineLvl w:val="1"/>
              <w:rPr>
                <w:rFonts w:asciiTheme="minorHAnsi" w:hAnsiTheme="minorHAnsi" w:cstheme="minorHAnsi"/>
                <w:bCs/>
                <w:sz w:val="18"/>
                <w:szCs w:val="20"/>
                <w:lang w:val="fr-FR"/>
              </w:rPr>
            </w:pPr>
            <w:r w:rsidRPr="0098168E">
              <w:rPr>
                <w:rFonts w:cs="Calibri"/>
                <w:bCs/>
                <w:spacing w:val="-4"/>
                <w:sz w:val="18"/>
                <w:szCs w:val="20"/>
                <w:lang w:val="fr-FR"/>
              </w:rPr>
              <w:t>Restrictions imposées par la COVID-19</w:t>
            </w:r>
            <w:r w:rsidR="002D1A80" w:rsidRPr="0098168E">
              <w:rPr>
                <w:rFonts w:cs="Calibri"/>
                <w:bCs/>
                <w:sz w:val="18"/>
                <w:szCs w:val="20"/>
                <w:lang w:val="fr-FR"/>
              </w:rPr>
              <w:t>.</w:t>
            </w:r>
          </w:p>
        </w:tc>
      </w:tr>
    </w:tbl>
    <w:p w14:paraId="251B92B1" w14:textId="77777777" w:rsidR="00AE5631" w:rsidRDefault="00AE5631" w:rsidP="007B25EA">
      <w:pPr>
        <w:ind w:left="0" w:firstLine="0"/>
        <w:rPr>
          <w:rFonts w:asciiTheme="minorHAnsi" w:hAnsiTheme="minorHAnsi" w:cstheme="minorHAnsi"/>
          <w:b/>
          <w:lang w:val="fr-FR"/>
        </w:rPr>
        <w:sectPr w:rsidR="00AE5631" w:rsidSect="007B25EA">
          <w:footerReference w:type="default" r:id="rId14"/>
          <w:pgSz w:w="16838" w:h="11906" w:orient="landscape"/>
          <w:pgMar w:top="1440" w:right="1440" w:bottom="1440" w:left="1440" w:header="709" w:footer="709" w:gutter="0"/>
          <w:cols w:space="708"/>
          <w:docGrid w:linePitch="360"/>
        </w:sectPr>
      </w:pPr>
    </w:p>
    <w:p w14:paraId="3E7D0ECC" w14:textId="7F473064" w:rsidR="00CA5E9B" w:rsidRPr="00EF0FCF" w:rsidRDefault="00CA5E9B" w:rsidP="00A5496C">
      <w:pPr>
        <w:ind w:left="0" w:firstLine="0"/>
        <w:rPr>
          <w:rFonts w:asciiTheme="minorHAnsi" w:eastAsia="Yu Mincho" w:hAnsiTheme="minorHAnsi" w:cstheme="minorHAnsi"/>
          <w:b/>
          <w:lang w:val="fr-FR" w:eastAsia="ja-JP"/>
        </w:rPr>
      </w:pPr>
      <w:r w:rsidRPr="00EF0FCF">
        <w:rPr>
          <w:rFonts w:asciiTheme="minorHAnsi" w:eastAsia="Yu Mincho" w:hAnsiTheme="minorHAnsi" w:cstheme="minorHAnsi"/>
          <w:b/>
          <w:lang w:val="fr-FR" w:eastAsia="ja-JP"/>
        </w:rPr>
        <w:lastRenderedPageBreak/>
        <w:t>Annexe 2 : Examen de la documentation soumise par les nouvelles Initiatives régionales proposées en réponse aux obligations décrites dans les Directives opérationnelles pour les Initiatives régionales Ramsar 2013-2015</w:t>
      </w:r>
    </w:p>
    <w:p w14:paraId="5EAD74E9" w14:textId="77777777" w:rsidR="00CA5E9B" w:rsidRPr="00EF0FCF" w:rsidRDefault="00CA5E9B" w:rsidP="00A5496C">
      <w:pPr>
        <w:ind w:left="0" w:firstLine="0"/>
        <w:rPr>
          <w:rFonts w:asciiTheme="minorHAnsi" w:eastAsia="Yu Mincho" w:hAnsiTheme="minorHAnsi" w:cstheme="minorHAnsi"/>
          <w:lang w:val="fr-FR" w:eastAsia="ja-JP"/>
        </w:rPr>
      </w:pPr>
    </w:p>
    <w:p w14:paraId="3F6AEF74" w14:textId="1571AE7E" w:rsidR="00CA5E9B" w:rsidRPr="00EF0FCF" w:rsidRDefault="00EF0FCF" w:rsidP="00EF0FCF">
      <w:pPr>
        <w:ind w:left="360" w:firstLine="0"/>
        <w:contextualSpacing/>
        <w:rPr>
          <w:rFonts w:asciiTheme="minorHAnsi" w:eastAsia="Yu Mincho" w:hAnsiTheme="minorHAnsi" w:cstheme="minorHAnsi"/>
          <w:b/>
          <w:lang w:val="fr-FR" w:eastAsia="ja-JP"/>
        </w:rPr>
      </w:pPr>
      <w:r>
        <w:rPr>
          <w:rFonts w:asciiTheme="minorHAnsi" w:eastAsia="Yu Mincho" w:hAnsiTheme="minorHAnsi" w:cstheme="minorHAnsi"/>
          <w:b/>
          <w:lang w:val="fr-FR" w:eastAsia="ja-JP"/>
        </w:rPr>
        <w:t>1)</w:t>
      </w:r>
      <w:r>
        <w:rPr>
          <w:rFonts w:asciiTheme="minorHAnsi" w:eastAsia="Yu Mincho" w:hAnsiTheme="minorHAnsi" w:cstheme="minorHAnsi"/>
          <w:b/>
          <w:lang w:val="fr-FR" w:eastAsia="ja-JP"/>
        </w:rPr>
        <w:tab/>
      </w:r>
      <w:r w:rsidR="00CA5E9B" w:rsidRPr="00EF0FCF">
        <w:rPr>
          <w:rFonts w:asciiTheme="minorHAnsi" w:eastAsia="Yu Mincho" w:hAnsiTheme="minorHAnsi" w:cstheme="minorHAnsi"/>
          <w:b/>
          <w:lang w:val="fr-FR" w:eastAsia="ja-JP"/>
        </w:rPr>
        <w:t>Initiative régionale Ramsar pour l’Afrique australe (SARRI)</w:t>
      </w:r>
    </w:p>
    <w:p w14:paraId="047102B2" w14:textId="77777777" w:rsidR="00CA5E9B" w:rsidRPr="00EF0FCF" w:rsidRDefault="00CA5E9B" w:rsidP="00A5496C">
      <w:pPr>
        <w:ind w:left="720" w:firstLine="0"/>
        <w:contextualSpacing/>
        <w:rPr>
          <w:rFonts w:asciiTheme="minorHAnsi" w:eastAsia="Yu Mincho" w:hAnsiTheme="minorHAnsi" w:cstheme="minorHAnsi"/>
          <w:b/>
          <w:lang w:val="fr-FR" w:eastAsia="ja-JP"/>
        </w:rPr>
      </w:pPr>
    </w:p>
    <w:p w14:paraId="7E811A10" w14:textId="77777777" w:rsidR="00CA5E9B" w:rsidRPr="00EF0FCF" w:rsidRDefault="00CA5E9B" w:rsidP="00CA5E9B">
      <w:pPr>
        <w:numPr>
          <w:ilvl w:val="0"/>
          <w:numId w:val="17"/>
        </w:numPr>
        <w:contextualSpacing/>
        <w:rPr>
          <w:rFonts w:asciiTheme="minorHAnsi" w:eastAsia="Yu Mincho" w:hAnsiTheme="minorHAnsi" w:cstheme="minorHAnsi"/>
          <w:b/>
          <w:i/>
          <w:lang w:val="fr-FR" w:eastAsia="ja-JP"/>
        </w:rPr>
      </w:pPr>
      <w:r w:rsidRPr="00EF0FCF">
        <w:rPr>
          <w:rFonts w:asciiTheme="minorHAnsi" w:eastAsia="Yu Mincho" w:hAnsiTheme="minorHAnsi" w:cstheme="minorHAnsi"/>
          <w:b/>
          <w:i/>
          <w:lang w:val="fr-FR" w:eastAsia="ja-JP"/>
        </w:rPr>
        <w:t>But de l’Initiative régionale Ramsar pour l’Afrique australe (SARRI)</w:t>
      </w:r>
    </w:p>
    <w:p w14:paraId="39D1C8E1" w14:textId="77777777" w:rsidR="00CA5E9B" w:rsidRPr="00EF0FCF" w:rsidRDefault="00CA5E9B" w:rsidP="00A5496C">
      <w:pPr>
        <w:ind w:left="720" w:firstLine="0"/>
        <w:contextualSpacing/>
        <w:rPr>
          <w:rFonts w:asciiTheme="minorHAnsi" w:eastAsia="Yu Mincho" w:hAnsiTheme="minorHAnsi" w:cstheme="minorHAnsi"/>
          <w:lang w:val="fr-FR" w:eastAsia="ja-JP"/>
        </w:rPr>
      </w:pPr>
    </w:p>
    <w:p w14:paraId="40143D53" w14:textId="77777777" w:rsidR="00CA5E9B" w:rsidRPr="00EF0FCF" w:rsidRDefault="00CA5E9B" w:rsidP="00CA5E9B">
      <w:pPr>
        <w:numPr>
          <w:ilvl w:val="0"/>
          <w:numId w:val="20"/>
        </w:numPr>
        <w:contextualSpacing/>
        <w:rPr>
          <w:rFonts w:asciiTheme="minorHAnsi" w:eastAsia="Yu Mincho" w:hAnsiTheme="minorHAnsi" w:cstheme="minorHAnsi"/>
          <w:b/>
          <w:lang w:val="fr-FR" w:eastAsia="ja-JP"/>
        </w:rPr>
      </w:pPr>
      <w:r w:rsidRPr="00EF0FCF">
        <w:rPr>
          <w:rFonts w:asciiTheme="minorHAnsi" w:eastAsia="Yu Mincho" w:hAnsiTheme="minorHAnsi" w:cstheme="minorHAnsi"/>
          <w:b/>
          <w:iCs/>
          <w:lang w:val="fr-FR" w:eastAsia="ja-JP"/>
        </w:rPr>
        <w:t>Les IRR</w:t>
      </w:r>
      <w:r w:rsidRPr="00EF0FCF">
        <w:rPr>
          <w:rFonts w:asciiTheme="minorHAnsi" w:eastAsia="Yu Mincho" w:hAnsiTheme="minorHAnsi" w:cstheme="minorHAnsi"/>
          <w:b/>
          <w:lang w:val="fr-FR" w:eastAsia="ja-JP"/>
        </w:rPr>
        <w:t xml:space="preserve"> sont des moyens opérationnels de fournir un appui efficace pour une mise en œuvre améliorée des objectifs de la Convention et de son Plan stratégique et de renforcer la visibilité de la Convention dans une région donnée</w:t>
      </w:r>
    </w:p>
    <w:p w14:paraId="63816DF8" w14:textId="4B15BF1F" w:rsidR="00CA5E9B" w:rsidRPr="00301E09" w:rsidRDefault="00CA5E9B" w:rsidP="00CA5E9B">
      <w:pPr>
        <w:numPr>
          <w:ilvl w:val="0"/>
          <w:numId w:val="21"/>
        </w:numPr>
        <w:ind w:left="1078"/>
        <w:contextualSpacing/>
        <w:rPr>
          <w:rFonts w:asciiTheme="minorHAnsi" w:eastAsia="Yu Mincho" w:hAnsiTheme="minorHAnsi" w:cstheme="minorHAnsi"/>
          <w:lang w:val="fr-CH" w:eastAsia="ja-JP"/>
        </w:rPr>
      </w:pPr>
      <w:r w:rsidRPr="00301E09">
        <w:rPr>
          <w:rFonts w:asciiTheme="minorHAnsi" w:eastAsia="Yu Mincho" w:hAnsiTheme="minorHAnsi" w:cstheme="minorHAnsi"/>
          <w:lang w:val="fr-CH" w:eastAsia="ja-JP"/>
        </w:rPr>
        <w:t xml:space="preserve">SARRI </w:t>
      </w:r>
      <w:r>
        <w:rPr>
          <w:rFonts w:asciiTheme="minorHAnsi" w:eastAsia="Yu Mincho" w:hAnsiTheme="minorHAnsi" w:cstheme="minorHAnsi"/>
          <w:lang w:val="fr-CH" w:eastAsia="ja-JP"/>
        </w:rPr>
        <w:t xml:space="preserve">facilite l’application de la Convention en s’attaquant aux moteurs de la disparition et de la dégradation des zones humides, en </w:t>
      </w:r>
      <w:r w:rsidR="002F1B9E">
        <w:rPr>
          <w:rFonts w:asciiTheme="minorHAnsi" w:eastAsia="Yu Mincho" w:hAnsiTheme="minorHAnsi" w:cstheme="minorHAnsi"/>
          <w:lang w:val="fr-CH" w:eastAsia="ja-JP"/>
        </w:rPr>
        <w:t>prônant</w:t>
      </w:r>
      <w:r>
        <w:rPr>
          <w:rFonts w:asciiTheme="minorHAnsi" w:eastAsia="Yu Mincho" w:hAnsiTheme="minorHAnsi" w:cstheme="minorHAnsi"/>
          <w:lang w:val="fr-CH" w:eastAsia="ja-JP"/>
        </w:rPr>
        <w:t xml:space="preserve"> l’efficacité de la gestion du réseau de Sites Ramsar et en veillant à l’utilisation </w:t>
      </w:r>
      <w:r w:rsidR="002F1B9E">
        <w:rPr>
          <w:rFonts w:asciiTheme="minorHAnsi" w:eastAsia="Yu Mincho" w:hAnsiTheme="minorHAnsi" w:cstheme="minorHAnsi"/>
          <w:lang w:val="fr-CH" w:eastAsia="ja-JP"/>
        </w:rPr>
        <w:t xml:space="preserve">durable </w:t>
      </w:r>
      <w:r>
        <w:rPr>
          <w:rFonts w:asciiTheme="minorHAnsi" w:eastAsia="Yu Mincho" w:hAnsiTheme="minorHAnsi" w:cstheme="minorHAnsi"/>
          <w:lang w:val="fr-CH" w:eastAsia="ja-JP"/>
        </w:rPr>
        <w:t>des ressources en zones humides.</w:t>
      </w:r>
      <w:r w:rsidRPr="00301E09">
        <w:rPr>
          <w:rFonts w:asciiTheme="minorHAnsi" w:eastAsia="Yu Mincho" w:hAnsiTheme="minorHAnsi" w:cstheme="minorHAnsi"/>
          <w:lang w:val="fr-CH" w:eastAsia="ja-JP"/>
        </w:rPr>
        <w:t xml:space="preserve"> </w:t>
      </w:r>
    </w:p>
    <w:p w14:paraId="7764B49B" w14:textId="77777777" w:rsidR="00CA5E9B" w:rsidRPr="00301E09" w:rsidRDefault="00CA5E9B" w:rsidP="00CA5E9B">
      <w:pPr>
        <w:numPr>
          <w:ilvl w:val="0"/>
          <w:numId w:val="20"/>
        </w:numPr>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 xml:space="preserve">Comment l’IRR harmonise-t-elle ses activités et objectifs opérationnels avec les objectifs du Plan stratégique de la Convention </w:t>
      </w:r>
      <w:r w:rsidRPr="00301E09">
        <w:rPr>
          <w:rFonts w:asciiTheme="minorHAnsi" w:eastAsia="Yu Mincho" w:hAnsiTheme="minorHAnsi" w:cstheme="minorHAnsi"/>
          <w:b/>
          <w:lang w:val="fr-CH" w:eastAsia="ja-JP"/>
        </w:rPr>
        <w:t>2016-2024</w:t>
      </w:r>
    </w:p>
    <w:p w14:paraId="6D71A5A0" w14:textId="79A1E3DB" w:rsidR="00CA5E9B" w:rsidRPr="00301E09" w:rsidRDefault="00CA5E9B" w:rsidP="00CA5E9B">
      <w:pPr>
        <w:numPr>
          <w:ilvl w:val="0"/>
          <w:numId w:val="18"/>
        </w:numPr>
        <w:contextualSpacing/>
        <w:rPr>
          <w:rFonts w:asciiTheme="minorHAnsi" w:eastAsia="Yu Mincho" w:hAnsiTheme="minorHAnsi" w:cstheme="minorHAnsi"/>
          <w:lang w:val="fr-CH" w:eastAsia="ja-JP"/>
        </w:rPr>
      </w:pPr>
      <w:r w:rsidRPr="00301E09">
        <w:rPr>
          <w:rFonts w:asciiTheme="minorHAnsi" w:eastAsia="Yu Mincho" w:hAnsiTheme="minorHAnsi" w:cstheme="minorHAnsi"/>
          <w:lang w:val="fr-CH" w:eastAsia="ja-JP"/>
        </w:rPr>
        <w:t>SARRI propose</w:t>
      </w:r>
      <w:r>
        <w:rPr>
          <w:rFonts w:asciiTheme="minorHAnsi" w:eastAsia="Yu Mincho" w:hAnsiTheme="minorHAnsi" w:cstheme="minorHAnsi"/>
          <w:lang w:val="fr-CH" w:eastAsia="ja-JP"/>
        </w:rPr>
        <w:t xml:space="preserve"> de soutenir la gestion durable de tous les écosystèmes de zones humides dans la région de la SADC, en </w:t>
      </w:r>
      <w:r w:rsidR="002F1B9E">
        <w:rPr>
          <w:rFonts w:asciiTheme="minorHAnsi" w:eastAsia="Yu Mincho" w:hAnsiTheme="minorHAnsi" w:cstheme="minorHAnsi"/>
          <w:lang w:val="fr-CH" w:eastAsia="ja-JP"/>
        </w:rPr>
        <w:t>axant ses travaux</w:t>
      </w:r>
      <w:r>
        <w:rPr>
          <w:rFonts w:asciiTheme="minorHAnsi" w:eastAsia="Yu Mincho" w:hAnsiTheme="minorHAnsi" w:cstheme="minorHAnsi"/>
          <w:lang w:val="fr-CH" w:eastAsia="ja-JP"/>
        </w:rPr>
        <w:t xml:space="preserve"> sur les buts et objectifs </w:t>
      </w:r>
      <w:r w:rsidRPr="00301E09">
        <w:rPr>
          <w:rFonts w:asciiTheme="minorHAnsi" w:eastAsia="Yu Mincho" w:hAnsiTheme="minorHAnsi" w:cstheme="minorHAnsi"/>
          <w:lang w:val="fr-CH" w:eastAsia="ja-JP"/>
        </w:rPr>
        <w:t xml:space="preserve">3,5,6,7,11,14,16 </w:t>
      </w:r>
      <w:r>
        <w:rPr>
          <w:rFonts w:asciiTheme="minorHAnsi" w:eastAsia="Yu Mincho" w:hAnsiTheme="minorHAnsi" w:cstheme="minorHAnsi"/>
          <w:lang w:val="fr-CH" w:eastAsia="ja-JP"/>
        </w:rPr>
        <w:t>et</w:t>
      </w:r>
      <w:r w:rsidRPr="00301E09">
        <w:rPr>
          <w:rFonts w:asciiTheme="minorHAnsi" w:eastAsia="Yu Mincho" w:hAnsiTheme="minorHAnsi" w:cstheme="minorHAnsi"/>
          <w:lang w:val="fr-CH" w:eastAsia="ja-JP"/>
        </w:rPr>
        <w:t xml:space="preserve"> 18 </w:t>
      </w:r>
      <w:r>
        <w:rPr>
          <w:rFonts w:asciiTheme="minorHAnsi" w:eastAsia="Yu Mincho" w:hAnsiTheme="minorHAnsi" w:cstheme="minorHAnsi"/>
          <w:lang w:val="fr-CH" w:eastAsia="ja-JP"/>
        </w:rPr>
        <w:t xml:space="preserve">du Plan stratégique de la Convention </w:t>
      </w:r>
      <w:r w:rsidRPr="00301E09">
        <w:rPr>
          <w:rFonts w:asciiTheme="minorHAnsi" w:eastAsia="Yu Mincho" w:hAnsiTheme="minorHAnsi" w:cstheme="minorHAnsi"/>
          <w:lang w:val="fr-CH" w:eastAsia="ja-JP"/>
        </w:rPr>
        <w:t>2016-2024.</w:t>
      </w:r>
    </w:p>
    <w:p w14:paraId="3BEBECFA" w14:textId="17200061" w:rsidR="00CA5E9B" w:rsidRPr="00301E09" w:rsidRDefault="00EF0FCF" w:rsidP="00CA5E9B">
      <w:pPr>
        <w:numPr>
          <w:ilvl w:val="0"/>
          <w:numId w:val="20"/>
        </w:numPr>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R</w:t>
      </w:r>
      <w:r w:rsidR="00CA5E9B">
        <w:rPr>
          <w:rFonts w:asciiTheme="minorHAnsi" w:eastAsia="Yu Mincho" w:hAnsiTheme="minorHAnsi" w:cstheme="minorHAnsi"/>
          <w:b/>
          <w:lang w:val="fr-CH" w:eastAsia="ja-JP"/>
        </w:rPr>
        <w:t xml:space="preserve">égion géographique et liste de pays qui participeront activement </w:t>
      </w:r>
    </w:p>
    <w:p w14:paraId="64EF046A" w14:textId="54A11D3D" w:rsidR="00CA5E9B" w:rsidRPr="00301E09" w:rsidRDefault="00CA5E9B" w:rsidP="00CA5E9B">
      <w:pPr>
        <w:numPr>
          <w:ilvl w:val="0"/>
          <w:numId w:val="18"/>
        </w:numPr>
        <w:contextualSpacing/>
        <w:rPr>
          <w:rFonts w:asciiTheme="minorHAnsi" w:eastAsia="Yu Mincho" w:hAnsiTheme="minorHAnsi" w:cstheme="minorHAnsi"/>
          <w:lang w:val="fr-CH" w:eastAsia="ja-JP"/>
        </w:rPr>
      </w:pPr>
      <w:r w:rsidRPr="00301E09">
        <w:rPr>
          <w:rFonts w:asciiTheme="minorHAnsi" w:eastAsia="Yu Mincho" w:hAnsiTheme="minorHAnsi" w:cstheme="minorHAnsi"/>
          <w:lang w:val="fr-CH" w:eastAsia="ja-JP"/>
        </w:rPr>
        <w:t xml:space="preserve">SARRI </w:t>
      </w:r>
      <w:r>
        <w:rPr>
          <w:rFonts w:asciiTheme="minorHAnsi" w:eastAsia="Yu Mincho" w:hAnsiTheme="minorHAnsi" w:cstheme="minorHAnsi"/>
          <w:lang w:val="fr-CH" w:eastAsia="ja-JP"/>
        </w:rPr>
        <w:t xml:space="preserve">se compose des pays d’Afrique australe et des îles de l’océan Indien </w:t>
      </w:r>
      <w:r w:rsidRPr="00301E09">
        <w:rPr>
          <w:rFonts w:asciiTheme="minorHAnsi" w:eastAsia="Yu Mincho" w:hAnsiTheme="minorHAnsi" w:cstheme="minorHAnsi"/>
          <w:lang w:val="fr-CH" w:eastAsia="ja-JP"/>
        </w:rPr>
        <w:t>(</w:t>
      </w:r>
      <w:r>
        <w:rPr>
          <w:rFonts w:asciiTheme="minorHAnsi" w:eastAsia="Yu Mincho" w:hAnsiTheme="minorHAnsi" w:cstheme="minorHAnsi"/>
          <w:lang w:val="fr-CH" w:eastAsia="ja-JP"/>
        </w:rPr>
        <w:t xml:space="preserve">Afrique du Sud, </w:t>
      </w:r>
      <w:r w:rsidRPr="00301E09">
        <w:rPr>
          <w:rFonts w:asciiTheme="minorHAnsi" w:eastAsia="Yu Mincho" w:hAnsiTheme="minorHAnsi" w:cstheme="minorHAnsi"/>
          <w:lang w:val="fr-CH" w:eastAsia="ja-JP"/>
        </w:rPr>
        <w:t>Botswana, Eswatini, Lesotho, Madagascar, Malawi, Mauri</w:t>
      </w:r>
      <w:r>
        <w:rPr>
          <w:rFonts w:asciiTheme="minorHAnsi" w:eastAsia="Yu Mincho" w:hAnsiTheme="minorHAnsi" w:cstheme="minorHAnsi"/>
          <w:lang w:val="fr-CH" w:eastAsia="ja-JP"/>
        </w:rPr>
        <w:t>ce</w:t>
      </w:r>
      <w:r w:rsidRPr="00301E09">
        <w:rPr>
          <w:rFonts w:asciiTheme="minorHAnsi" w:eastAsia="Yu Mincho" w:hAnsiTheme="minorHAnsi" w:cstheme="minorHAnsi"/>
          <w:lang w:val="fr-CH" w:eastAsia="ja-JP"/>
        </w:rPr>
        <w:t xml:space="preserve">, </w:t>
      </w:r>
      <w:r>
        <w:rPr>
          <w:rFonts w:asciiTheme="minorHAnsi" w:eastAsia="Yu Mincho" w:hAnsiTheme="minorHAnsi" w:cstheme="minorHAnsi"/>
          <w:lang w:val="fr-CH" w:eastAsia="ja-JP"/>
        </w:rPr>
        <w:t>Mozambique, Seychelles</w:t>
      </w:r>
      <w:r w:rsidRPr="00301E09">
        <w:rPr>
          <w:rFonts w:asciiTheme="minorHAnsi" w:eastAsia="Yu Mincho" w:hAnsiTheme="minorHAnsi" w:cstheme="minorHAnsi"/>
          <w:lang w:val="fr-CH" w:eastAsia="ja-JP"/>
        </w:rPr>
        <w:t xml:space="preserve"> </w:t>
      </w:r>
      <w:r>
        <w:rPr>
          <w:rFonts w:asciiTheme="minorHAnsi" w:eastAsia="Yu Mincho" w:hAnsiTheme="minorHAnsi" w:cstheme="minorHAnsi"/>
          <w:lang w:val="fr-CH" w:eastAsia="ja-JP"/>
        </w:rPr>
        <w:t xml:space="preserve">et </w:t>
      </w:r>
      <w:r w:rsidRPr="00301E09">
        <w:rPr>
          <w:rFonts w:asciiTheme="minorHAnsi" w:eastAsia="Yu Mincho" w:hAnsiTheme="minorHAnsi" w:cstheme="minorHAnsi"/>
          <w:lang w:val="fr-CH" w:eastAsia="ja-JP"/>
        </w:rPr>
        <w:t>Zimbabwe)</w:t>
      </w:r>
      <w:r>
        <w:rPr>
          <w:rFonts w:asciiTheme="minorHAnsi" w:eastAsia="Yu Mincho" w:hAnsiTheme="minorHAnsi" w:cstheme="minorHAnsi"/>
          <w:lang w:val="fr-CH" w:eastAsia="ja-JP"/>
        </w:rPr>
        <w:t xml:space="preserve"> </w:t>
      </w:r>
      <w:r w:rsidR="00EF0FCF">
        <w:rPr>
          <w:rFonts w:asciiTheme="minorHAnsi" w:eastAsia="Yu Mincho" w:hAnsiTheme="minorHAnsi" w:cstheme="minorHAnsi"/>
          <w:lang w:val="fr-CH" w:eastAsia="ja-JP"/>
        </w:rPr>
        <w:t>et toutes</w:t>
      </w:r>
      <w:r>
        <w:rPr>
          <w:rFonts w:asciiTheme="minorHAnsi" w:eastAsia="Yu Mincho" w:hAnsiTheme="minorHAnsi" w:cstheme="minorHAnsi"/>
          <w:lang w:val="fr-CH" w:eastAsia="ja-JP"/>
        </w:rPr>
        <w:t xml:space="preserve"> Parties contractantes à la </w:t>
      </w:r>
      <w:r w:rsidRPr="00301E09">
        <w:rPr>
          <w:rFonts w:asciiTheme="minorHAnsi" w:eastAsia="Yu Mincho" w:hAnsiTheme="minorHAnsi" w:cstheme="minorHAnsi"/>
          <w:lang w:val="fr-CH" w:eastAsia="ja-JP"/>
        </w:rPr>
        <w:t xml:space="preserve">Convention. </w:t>
      </w:r>
    </w:p>
    <w:p w14:paraId="40894F4B" w14:textId="77777777" w:rsidR="00CA5E9B" w:rsidRPr="00301E09" w:rsidRDefault="00CA5E9B" w:rsidP="00CA5E9B">
      <w:pPr>
        <w:numPr>
          <w:ilvl w:val="0"/>
          <w:numId w:val="20"/>
        </w:numPr>
        <w:contextualSpacing/>
        <w:rPr>
          <w:rFonts w:asciiTheme="minorHAnsi" w:eastAsia="Yu Mincho" w:hAnsiTheme="minorHAnsi" w:cstheme="minorHAnsi"/>
          <w:lang w:val="fr-CH" w:eastAsia="ja-JP"/>
        </w:rPr>
      </w:pPr>
      <w:r>
        <w:rPr>
          <w:rFonts w:asciiTheme="minorHAnsi" w:eastAsia="Yu Mincho" w:hAnsiTheme="minorHAnsi" w:cstheme="minorHAnsi"/>
          <w:b/>
          <w:lang w:val="fr-CH" w:eastAsia="ja-JP"/>
        </w:rPr>
        <w:t>Liste des Autorités administratives Ramsar de l’IRR et de tous les participants tels que les ministères autres que ceux qui sont responsables de l’application de la Convention sur les zones humides, les organismes intergouvernementaux, les Organisations internationales partenaires (OIP) de la Convention sur les zones humides, les communautés locales, ONG, acteurs économiques, etc. que l’IRR fera participer</w:t>
      </w:r>
      <w:r w:rsidRPr="00301E09">
        <w:rPr>
          <w:rFonts w:asciiTheme="minorHAnsi" w:eastAsia="Yu Mincho" w:hAnsiTheme="minorHAnsi" w:cstheme="minorHAnsi"/>
          <w:lang w:val="fr-CH" w:eastAsia="ja-JP"/>
        </w:rPr>
        <w:t xml:space="preserve"> </w:t>
      </w:r>
    </w:p>
    <w:p w14:paraId="6EB3C297" w14:textId="56A54495" w:rsidR="00CA5E9B" w:rsidRPr="00301E09" w:rsidRDefault="00CA5E9B" w:rsidP="00CA5E9B">
      <w:pPr>
        <w:numPr>
          <w:ilvl w:val="0"/>
          <w:numId w:val="18"/>
        </w:numPr>
        <w:contextualSpacing/>
        <w:rPr>
          <w:rFonts w:asciiTheme="minorHAnsi" w:eastAsia="Yu Mincho" w:hAnsiTheme="minorHAnsi" w:cstheme="minorHAnsi"/>
          <w:b/>
          <w:color w:val="000000"/>
          <w:lang w:val="fr-CH" w:eastAsia="ja-JP"/>
        </w:rPr>
      </w:pPr>
      <w:r w:rsidRPr="00301E09">
        <w:rPr>
          <w:rFonts w:asciiTheme="minorHAnsi" w:eastAsia="Yu Mincho" w:hAnsiTheme="minorHAnsi" w:cstheme="minorHAnsi"/>
          <w:color w:val="000000"/>
          <w:lang w:val="fr-CH" w:eastAsia="ja-JP"/>
        </w:rPr>
        <w:t>SARRI propose</w:t>
      </w:r>
      <w:r>
        <w:rPr>
          <w:rFonts w:asciiTheme="minorHAnsi" w:eastAsia="Yu Mincho" w:hAnsiTheme="minorHAnsi" w:cstheme="minorHAnsi"/>
          <w:color w:val="000000"/>
          <w:lang w:val="fr-CH" w:eastAsia="ja-JP"/>
        </w:rPr>
        <w:t xml:space="preserve"> de collaborer avec les gouvernements des Parties contractantes représentés par les Autorités administratives Ramsar, les organismes intergouvernementaux comme la SADC et les Organisations de bassins </w:t>
      </w:r>
      <w:r w:rsidR="00CF2C9B">
        <w:rPr>
          <w:rFonts w:asciiTheme="minorHAnsi" w:eastAsia="Yu Mincho" w:hAnsiTheme="minorHAnsi" w:cstheme="minorHAnsi"/>
          <w:color w:val="000000"/>
          <w:lang w:val="fr-CH" w:eastAsia="ja-JP"/>
        </w:rPr>
        <w:t>hydrographiques</w:t>
      </w:r>
      <w:r>
        <w:rPr>
          <w:rFonts w:asciiTheme="minorHAnsi" w:eastAsia="Yu Mincho" w:hAnsiTheme="minorHAnsi" w:cstheme="minorHAnsi"/>
          <w:color w:val="000000"/>
          <w:lang w:val="fr-CH" w:eastAsia="ja-JP"/>
        </w:rPr>
        <w:t xml:space="preserve"> transfrontaliers, les partenaires internationaux </w:t>
      </w:r>
      <w:r w:rsidR="00CF2C9B">
        <w:rPr>
          <w:rFonts w:asciiTheme="minorHAnsi" w:eastAsia="Yu Mincho" w:hAnsiTheme="minorHAnsi" w:cstheme="minorHAnsi"/>
          <w:color w:val="000000"/>
          <w:lang w:val="fr-CH" w:eastAsia="ja-JP"/>
        </w:rPr>
        <w:t>coopérants</w:t>
      </w:r>
      <w:r>
        <w:rPr>
          <w:rFonts w:asciiTheme="minorHAnsi" w:eastAsia="Yu Mincho" w:hAnsiTheme="minorHAnsi" w:cstheme="minorHAnsi"/>
          <w:color w:val="000000"/>
          <w:lang w:val="fr-CH" w:eastAsia="ja-JP"/>
        </w:rPr>
        <w:t xml:space="preserve"> tels que le Programme des Nations Unies pour le développement (PNUD), les OIP actives dans la région, notamment l’UICN, les Organisations nationales et locales de la société civile qui s’intéressent aux zones humides, les instituts de recherche et les organismes gouvernementaux ayant des services de recherche qui s’intéressent à la gestion de l’eau/des zones humides, les communautés autochtones vivant dans des Sites Ramsar, les autorités gouvernementales régionales, les acteurs du secteur privé, et le Secrétariat de la Convention de Ramsar. </w:t>
      </w:r>
    </w:p>
    <w:p w14:paraId="013D0C9A" w14:textId="77777777" w:rsidR="00CA5E9B" w:rsidRPr="00301E09" w:rsidRDefault="00CA5E9B" w:rsidP="00A5496C">
      <w:pPr>
        <w:ind w:left="1080" w:firstLine="0"/>
        <w:contextualSpacing/>
        <w:rPr>
          <w:rFonts w:asciiTheme="minorHAnsi" w:eastAsia="Yu Mincho" w:hAnsiTheme="minorHAnsi" w:cstheme="minorHAnsi"/>
          <w:b/>
          <w:color w:val="000000"/>
          <w:lang w:val="fr-CH" w:eastAsia="ja-JP"/>
        </w:rPr>
      </w:pPr>
    </w:p>
    <w:p w14:paraId="1E191915" w14:textId="77777777" w:rsidR="00CA5E9B" w:rsidRPr="00301E09" w:rsidRDefault="00CA5E9B" w:rsidP="00CA5E9B">
      <w:pPr>
        <w:numPr>
          <w:ilvl w:val="0"/>
          <w:numId w:val="17"/>
        </w:numPr>
        <w:contextualSpacing/>
        <w:rPr>
          <w:rFonts w:asciiTheme="minorHAnsi" w:eastAsia="Yu Mincho" w:hAnsiTheme="minorHAnsi" w:cstheme="minorHAnsi"/>
          <w:b/>
          <w:i/>
          <w:lang w:val="fr-CH" w:eastAsia="ja-JP"/>
        </w:rPr>
      </w:pPr>
      <w:r>
        <w:rPr>
          <w:rFonts w:asciiTheme="minorHAnsi" w:eastAsia="Yu Mincho" w:hAnsiTheme="minorHAnsi" w:cstheme="minorHAnsi"/>
          <w:b/>
          <w:i/>
          <w:lang w:val="fr-CH" w:eastAsia="ja-JP"/>
        </w:rPr>
        <w:t>Mécanismes de c</w:t>
      </w:r>
      <w:r w:rsidRPr="00301E09">
        <w:rPr>
          <w:rFonts w:asciiTheme="minorHAnsi" w:eastAsia="Yu Mincho" w:hAnsiTheme="minorHAnsi" w:cstheme="minorHAnsi"/>
          <w:b/>
          <w:i/>
          <w:lang w:val="fr-CH" w:eastAsia="ja-JP"/>
        </w:rPr>
        <w:t xml:space="preserve">oordination </w:t>
      </w:r>
    </w:p>
    <w:p w14:paraId="43E409C1" w14:textId="77777777" w:rsidR="00CA5E9B" w:rsidRPr="00301E09" w:rsidRDefault="00CA5E9B" w:rsidP="00A5496C">
      <w:pPr>
        <w:ind w:left="0" w:firstLine="0"/>
        <w:rPr>
          <w:rFonts w:asciiTheme="minorHAnsi" w:eastAsia="Yu Mincho" w:hAnsiTheme="minorHAnsi" w:cstheme="minorHAnsi"/>
          <w:b/>
          <w:lang w:val="fr-CH" w:eastAsia="ja-JP"/>
        </w:rPr>
      </w:pPr>
    </w:p>
    <w:p w14:paraId="1E570F43" w14:textId="619D8F8B" w:rsidR="00CA5E9B" w:rsidRPr="00301E09" w:rsidRDefault="00CA5E9B" w:rsidP="00CA5E9B">
      <w:pPr>
        <w:numPr>
          <w:ilvl w:val="0"/>
          <w:numId w:val="20"/>
        </w:numPr>
        <w:contextualSpacing/>
        <w:rPr>
          <w:rFonts w:asciiTheme="minorHAnsi" w:eastAsia="Yu Mincho" w:hAnsiTheme="minorHAnsi" w:cstheme="minorHAnsi"/>
          <w:b/>
          <w:lang w:val="fr-CH" w:eastAsia="ja-JP"/>
        </w:rPr>
      </w:pPr>
      <w:r w:rsidRPr="000C73AA">
        <w:rPr>
          <w:rFonts w:asciiTheme="minorHAnsi" w:eastAsia="Yu Mincho" w:hAnsiTheme="minorHAnsi" w:cstheme="minorHAnsi"/>
          <w:b/>
          <w:lang w:val="fr-CH" w:eastAsia="ja-JP"/>
        </w:rPr>
        <w:t xml:space="preserve">Plan de l’IRR pour </w:t>
      </w:r>
      <w:r w:rsidR="002E691B">
        <w:rPr>
          <w:rFonts w:asciiTheme="minorHAnsi" w:eastAsia="Yu Mincho" w:hAnsiTheme="minorHAnsi" w:cstheme="minorHAnsi"/>
          <w:b/>
          <w:lang w:val="fr-CH" w:eastAsia="ja-JP"/>
        </w:rPr>
        <w:t>assurer</w:t>
      </w:r>
      <w:r w:rsidRPr="000C73AA">
        <w:rPr>
          <w:rFonts w:asciiTheme="minorHAnsi" w:eastAsia="Yu Mincho" w:hAnsiTheme="minorHAnsi" w:cstheme="minorHAnsi"/>
          <w:b/>
          <w:lang w:val="fr-CH" w:eastAsia="ja-JP"/>
        </w:rPr>
        <w:t xml:space="preserve"> la coordination entre les Parties et autres membres de l’IRR. Fonctions de coordination assignées </w:t>
      </w:r>
      <w:r w:rsidR="002E691B" w:rsidRPr="000C73AA">
        <w:rPr>
          <w:rFonts w:asciiTheme="minorHAnsi" w:eastAsia="Yu Mincho" w:hAnsiTheme="minorHAnsi" w:cstheme="minorHAnsi"/>
          <w:b/>
          <w:lang w:val="fr-CH" w:eastAsia="ja-JP"/>
        </w:rPr>
        <w:t xml:space="preserve">à tour de rôle </w:t>
      </w:r>
      <w:r w:rsidRPr="000C73AA">
        <w:rPr>
          <w:rFonts w:asciiTheme="minorHAnsi" w:eastAsia="Yu Mincho" w:hAnsiTheme="minorHAnsi" w:cstheme="minorHAnsi"/>
          <w:b/>
          <w:lang w:val="fr-CH" w:eastAsia="ja-JP"/>
        </w:rPr>
        <w:t xml:space="preserve">aux Parties ou </w:t>
      </w:r>
      <w:r w:rsidR="002E691B">
        <w:rPr>
          <w:rFonts w:asciiTheme="minorHAnsi" w:eastAsia="Yu Mincho" w:hAnsiTheme="minorHAnsi" w:cstheme="minorHAnsi"/>
          <w:b/>
          <w:lang w:val="fr-CH" w:eastAsia="ja-JP"/>
        </w:rPr>
        <w:t xml:space="preserve">aux </w:t>
      </w:r>
      <w:r w:rsidRPr="000C73AA">
        <w:rPr>
          <w:rFonts w:asciiTheme="minorHAnsi" w:eastAsia="Yu Mincho" w:hAnsiTheme="minorHAnsi" w:cstheme="minorHAnsi"/>
          <w:b/>
          <w:lang w:val="fr-CH" w:eastAsia="ja-JP"/>
        </w:rPr>
        <w:t xml:space="preserve">institutions qui participent et modalités à inscrire dans un accord régional </w:t>
      </w:r>
    </w:p>
    <w:p w14:paraId="0CF14CEB" w14:textId="604E17E0" w:rsidR="00CA5E9B" w:rsidRPr="00301E09" w:rsidRDefault="00CA5E9B" w:rsidP="00CA5E9B">
      <w:pPr>
        <w:numPr>
          <w:ilvl w:val="0"/>
          <w:numId w:val="18"/>
        </w:numPr>
        <w:contextualSpacing/>
        <w:rPr>
          <w:rFonts w:asciiTheme="minorHAnsi" w:eastAsia="Yu Mincho" w:hAnsiTheme="minorHAnsi" w:cstheme="minorHAnsi"/>
          <w:lang w:val="fr-CH" w:eastAsia="ja-JP"/>
        </w:rPr>
      </w:pPr>
      <w:r w:rsidRPr="00301E09">
        <w:rPr>
          <w:rFonts w:asciiTheme="minorHAnsi" w:eastAsia="Yu Mincho" w:hAnsiTheme="minorHAnsi" w:cstheme="minorHAnsi"/>
          <w:lang w:val="fr-CH" w:eastAsia="ja-JP"/>
        </w:rPr>
        <w:t xml:space="preserve">SARRI </w:t>
      </w:r>
      <w:r>
        <w:rPr>
          <w:rFonts w:asciiTheme="minorHAnsi" w:eastAsia="Yu Mincho" w:hAnsiTheme="minorHAnsi" w:cstheme="minorHAnsi"/>
          <w:lang w:val="fr-CH" w:eastAsia="ja-JP"/>
        </w:rPr>
        <w:t xml:space="preserve">sera hébergée par </w:t>
      </w:r>
      <w:r w:rsidR="002E691B">
        <w:rPr>
          <w:rFonts w:asciiTheme="minorHAnsi" w:eastAsia="Yu Mincho" w:hAnsiTheme="minorHAnsi" w:cstheme="minorHAnsi"/>
          <w:lang w:val="fr-CH" w:eastAsia="ja-JP"/>
        </w:rPr>
        <w:t xml:space="preserve">le Service de </w:t>
      </w:r>
      <w:r>
        <w:rPr>
          <w:rFonts w:asciiTheme="minorHAnsi" w:eastAsia="Yu Mincho" w:hAnsiTheme="minorHAnsi" w:cstheme="minorHAnsi"/>
          <w:lang w:val="fr-CH" w:eastAsia="ja-JP"/>
        </w:rPr>
        <w:t xml:space="preserve">l’environnement et </w:t>
      </w:r>
      <w:r w:rsidR="002E691B">
        <w:rPr>
          <w:rFonts w:asciiTheme="minorHAnsi" w:eastAsia="Yu Mincho" w:hAnsiTheme="minorHAnsi" w:cstheme="minorHAnsi"/>
          <w:lang w:val="fr-CH" w:eastAsia="ja-JP"/>
        </w:rPr>
        <w:t>du</w:t>
      </w:r>
      <w:r>
        <w:rPr>
          <w:rFonts w:asciiTheme="minorHAnsi" w:eastAsia="Yu Mincho" w:hAnsiTheme="minorHAnsi" w:cstheme="minorHAnsi"/>
          <w:lang w:val="fr-CH" w:eastAsia="ja-JP"/>
        </w:rPr>
        <w:t xml:space="preserve"> changement climatique au sein de la Direction de l’alimentation, </w:t>
      </w:r>
      <w:r w:rsidR="002E691B">
        <w:rPr>
          <w:rFonts w:asciiTheme="minorHAnsi" w:eastAsia="Yu Mincho" w:hAnsiTheme="minorHAnsi" w:cstheme="minorHAnsi"/>
          <w:lang w:val="fr-CH" w:eastAsia="ja-JP"/>
        </w:rPr>
        <w:t xml:space="preserve">de </w:t>
      </w:r>
      <w:r>
        <w:rPr>
          <w:rFonts w:asciiTheme="minorHAnsi" w:eastAsia="Yu Mincho" w:hAnsiTheme="minorHAnsi" w:cstheme="minorHAnsi"/>
          <w:lang w:val="fr-CH" w:eastAsia="ja-JP"/>
        </w:rPr>
        <w:t xml:space="preserve">l’agriculture et des ressources naturelles </w:t>
      </w:r>
      <w:r w:rsidRPr="00301E09">
        <w:rPr>
          <w:rFonts w:asciiTheme="minorHAnsi" w:eastAsia="Yu Mincho" w:hAnsiTheme="minorHAnsi" w:cstheme="minorHAnsi"/>
          <w:lang w:val="fr-CH" w:eastAsia="ja-JP"/>
        </w:rPr>
        <w:t xml:space="preserve">(FANR) </w:t>
      </w:r>
      <w:r>
        <w:rPr>
          <w:rFonts w:asciiTheme="minorHAnsi" w:eastAsia="Yu Mincho" w:hAnsiTheme="minorHAnsi" w:cstheme="minorHAnsi"/>
          <w:lang w:val="fr-CH" w:eastAsia="ja-JP"/>
        </w:rPr>
        <w:t xml:space="preserve">du Secrétariat de la </w:t>
      </w:r>
      <w:r w:rsidRPr="00301E09">
        <w:rPr>
          <w:rFonts w:asciiTheme="minorHAnsi" w:eastAsia="Yu Mincho" w:hAnsiTheme="minorHAnsi" w:cstheme="minorHAnsi"/>
          <w:lang w:val="fr-CH" w:eastAsia="ja-JP"/>
        </w:rPr>
        <w:t xml:space="preserve">SADC </w:t>
      </w:r>
      <w:r>
        <w:rPr>
          <w:rFonts w:asciiTheme="minorHAnsi" w:eastAsia="Yu Mincho" w:hAnsiTheme="minorHAnsi" w:cstheme="minorHAnsi"/>
          <w:lang w:val="fr-CH" w:eastAsia="ja-JP"/>
        </w:rPr>
        <w:t>à</w:t>
      </w:r>
      <w:r w:rsidRPr="00301E09">
        <w:rPr>
          <w:rFonts w:asciiTheme="minorHAnsi" w:eastAsia="Yu Mincho" w:hAnsiTheme="minorHAnsi" w:cstheme="minorHAnsi"/>
          <w:lang w:val="fr-CH" w:eastAsia="ja-JP"/>
        </w:rPr>
        <w:t xml:space="preserve"> Gaborone, Botswana. </w:t>
      </w:r>
      <w:r>
        <w:rPr>
          <w:rFonts w:asciiTheme="minorHAnsi" w:eastAsia="Yu Mincho" w:hAnsiTheme="minorHAnsi" w:cstheme="minorHAnsi"/>
          <w:lang w:val="fr-CH" w:eastAsia="ja-JP"/>
        </w:rPr>
        <w:t>Un coordonnateur des programmes de l’</w:t>
      </w:r>
      <w:r w:rsidR="002E691B">
        <w:rPr>
          <w:rFonts w:asciiTheme="minorHAnsi" w:eastAsia="Yu Mincho" w:hAnsiTheme="minorHAnsi" w:cstheme="minorHAnsi"/>
          <w:lang w:val="fr-CH" w:eastAsia="ja-JP"/>
        </w:rPr>
        <w:t>IRR</w:t>
      </w:r>
      <w:r>
        <w:rPr>
          <w:rFonts w:asciiTheme="minorHAnsi" w:eastAsia="Yu Mincho" w:hAnsiTheme="minorHAnsi" w:cstheme="minorHAnsi"/>
          <w:lang w:val="fr-CH" w:eastAsia="ja-JP"/>
        </w:rPr>
        <w:t xml:space="preserve"> sera nommé au sein de chaque État membre participant</w:t>
      </w:r>
      <w:r w:rsidR="002E691B">
        <w:rPr>
          <w:rFonts w:asciiTheme="minorHAnsi" w:eastAsia="Yu Mincho" w:hAnsiTheme="minorHAnsi" w:cstheme="minorHAnsi"/>
          <w:lang w:val="fr-CH" w:eastAsia="ja-JP"/>
        </w:rPr>
        <w:t>, à tour de rôle</w:t>
      </w:r>
      <w:r>
        <w:rPr>
          <w:rFonts w:asciiTheme="minorHAnsi" w:eastAsia="Yu Mincho" w:hAnsiTheme="minorHAnsi" w:cstheme="minorHAnsi"/>
          <w:lang w:val="fr-CH" w:eastAsia="ja-JP"/>
        </w:rPr>
        <w:t xml:space="preserve">. </w:t>
      </w:r>
      <w:r w:rsidR="002E691B">
        <w:rPr>
          <w:rFonts w:asciiTheme="minorHAnsi" w:eastAsia="Yu Mincho" w:hAnsiTheme="minorHAnsi" w:cstheme="minorHAnsi"/>
          <w:lang w:val="fr-CH" w:eastAsia="ja-JP"/>
        </w:rPr>
        <w:t>Pour veiller à</w:t>
      </w:r>
      <w:r>
        <w:rPr>
          <w:rFonts w:asciiTheme="minorHAnsi" w:eastAsia="Yu Mincho" w:hAnsiTheme="minorHAnsi" w:cstheme="minorHAnsi"/>
          <w:lang w:val="fr-CH" w:eastAsia="ja-JP"/>
        </w:rPr>
        <w:t xml:space="preserve"> la coordination entre le Secrétariat, les Parties contractantes et </w:t>
      </w:r>
      <w:r>
        <w:rPr>
          <w:rFonts w:asciiTheme="minorHAnsi" w:eastAsia="Yu Mincho" w:hAnsiTheme="minorHAnsi" w:cstheme="minorHAnsi"/>
          <w:lang w:val="fr-CH" w:eastAsia="ja-JP"/>
        </w:rPr>
        <w:lastRenderedPageBreak/>
        <w:t xml:space="preserve">autres </w:t>
      </w:r>
      <w:r w:rsidRPr="00301E09">
        <w:rPr>
          <w:rFonts w:asciiTheme="minorHAnsi" w:eastAsia="Yu Mincho" w:hAnsiTheme="minorHAnsi" w:cstheme="minorHAnsi"/>
          <w:lang w:val="fr-CH" w:eastAsia="ja-JP"/>
        </w:rPr>
        <w:t xml:space="preserve">participants, </w:t>
      </w:r>
      <w:r>
        <w:rPr>
          <w:rFonts w:asciiTheme="minorHAnsi" w:eastAsia="Yu Mincho" w:hAnsiTheme="minorHAnsi" w:cstheme="minorHAnsi"/>
          <w:lang w:val="fr-CH" w:eastAsia="ja-JP"/>
        </w:rPr>
        <w:t xml:space="preserve">un cadre de gouvernance sera </w:t>
      </w:r>
      <w:r w:rsidR="002E691B">
        <w:rPr>
          <w:rFonts w:asciiTheme="minorHAnsi" w:eastAsia="Yu Mincho" w:hAnsiTheme="minorHAnsi" w:cstheme="minorHAnsi"/>
          <w:lang w:val="fr-CH" w:eastAsia="ja-JP"/>
        </w:rPr>
        <w:t>créé</w:t>
      </w:r>
      <w:r>
        <w:rPr>
          <w:rFonts w:asciiTheme="minorHAnsi" w:eastAsia="Yu Mincho" w:hAnsiTheme="minorHAnsi" w:cstheme="minorHAnsi"/>
          <w:lang w:val="fr-CH" w:eastAsia="ja-JP"/>
        </w:rPr>
        <w:t xml:space="preserve"> au</w:t>
      </w:r>
      <w:r w:rsidR="002E691B">
        <w:rPr>
          <w:rFonts w:asciiTheme="minorHAnsi" w:eastAsia="Yu Mincho" w:hAnsiTheme="minorHAnsi" w:cstheme="minorHAnsi"/>
          <w:lang w:val="fr-CH" w:eastAsia="ja-JP"/>
        </w:rPr>
        <w:t xml:space="preserve"> sein du</w:t>
      </w:r>
      <w:r>
        <w:rPr>
          <w:rFonts w:asciiTheme="minorHAnsi" w:eastAsia="Yu Mincho" w:hAnsiTheme="minorHAnsi" w:cstheme="minorHAnsi"/>
          <w:lang w:val="fr-CH" w:eastAsia="ja-JP"/>
        </w:rPr>
        <w:t xml:space="preserve"> Secrétariat de l’I</w:t>
      </w:r>
      <w:r w:rsidR="002E691B">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(voir section C pour une description détaillée du cadre). </w:t>
      </w:r>
    </w:p>
    <w:p w14:paraId="2020831A" w14:textId="59466CFD" w:rsidR="00CA5E9B" w:rsidRPr="00301E09" w:rsidRDefault="00CA5E9B" w:rsidP="00CA5E9B">
      <w:pPr>
        <w:numPr>
          <w:ilvl w:val="0"/>
          <w:numId w:val="20"/>
        </w:numPr>
        <w:contextualSpacing/>
        <w:rPr>
          <w:rFonts w:asciiTheme="minorHAnsi" w:eastAsia="Yu Mincho" w:hAnsiTheme="minorHAnsi" w:cstheme="minorHAnsi"/>
          <w:b/>
          <w:lang w:val="fr-CH" w:eastAsia="ja-JP"/>
        </w:rPr>
      </w:pPr>
      <w:r w:rsidRPr="00301E09">
        <w:rPr>
          <w:rFonts w:asciiTheme="minorHAnsi" w:eastAsia="Yu Mincho" w:hAnsiTheme="minorHAnsi" w:cstheme="minorHAnsi"/>
          <w:b/>
          <w:lang w:val="fr-CH" w:eastAsia="ja-JP"/>
        </w:rPr>
        <w:t xml:space="preserve">Plans </w:t>
      </w:r>
      <w:r>
        <w:rPr>
          <w:rFonts w:asciiTheme="minorHAnsi" w:eastAsia="Yu Mincho" w:hAnsiTheme="minorHAnsi" w:cstheme="minorHAnsi"/>
          <w:b/>
          <w:lang w:val="fr-CH" w:eastAsia="ja-JP"/>
        </w:rPr>
        <w:t>en vue de développer une identité propre, un logo spécifique (à utiliser en association avec le logo Ramsar) pour éviter toute confusion entre son rôle et ceux des Autorités administratives Ramsar et du Secrétariat</w:t>
      </w:r>
      <w:r w:rsidR="00B605D1">
        <w:rPr>
          <w:rFonts w:asciiTheme="minorHAnsi" w:eastAsia="Yu Mincho" w:hAnsiTheme="minorHAnsi" w:cstheme="minorHAnsi"/>
          <w:b/>
          <w:lang w:val="fr-CH" w:eastAsia="ja-JP"/>
        </w:rPr>
        <w:t>,</w:t>
      </w:r>
      <w:r>
        <w:rPr>
          <w:rFonts w:asciiTheme="minorHAnsi" w:eastAsia="Yu Mincho" w:hAnsiTheme="minorHAnsi" w:cstheme="minorHAnsi"/>
          <w:b/>
          <w:lang w:val="fr-CH" w:eastAsia="ja-JP"/>
        </w:rPr>
        <w:t xml:space="preserve"> et </w:t>
      </w:r>
      <w:r w:rsidR="00D36608">
        <w:rPr>
          <w:rFonts w:asciiTheme="minorHAnsi" w:eastAsia="Yu Mincho" w:hAnsiTheme="minorHAnsi" w:cstheme="minorHAnsi"/>
          <w:b/>
          <w:lang w:val="fr-CH" w:eastAsia="ja-JP"/>
        </w:rPr>
        <w:t>d’</w:t>
      </w:r>
      <w:r>
        <w:rPr>
          <w:rFonts w:asciiTheme="minorHAnsi" w:eastAsia="Yu Mincho" w:hAnsiTheme="minorHAnsi" w:cstheme="minorHAnsi"/>
          <w:b/>
          <w:lang w:val="fr-CH" w:eastAsia="ja-JP"/>
        </w:rPr>
        <w:t xml:space="preserve">établir et régulièrement mettre à jour un site web pour l’IRR </w:t>
      </w:r>
    </w:p>
    <w:p w14:paraId="1A524AF9" w14:textId="19BC6552" w:rsidR="00CA5E9B" w:rsidRPr="00301E09" w:rsidRDefault="00CA5E9B" w:rsidP="00CA5E9B">
      <w:pPr>
        <w:numPr>
          <w:ilvl w:val="0"/>
          <w:numId w:val="18"/>
        </w:numPr>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 xml:space="preserve">L’identité de </w:t>
      </w:r>
      <w:r w:rsidRPr="00301E09">
        <w:rPr>
          <w:rFonts w:asciiTheme="minorHAnsi" w:eastAsia="Yu Mincho" w:hAnsiTheme="minorHAnsi" w:cstheme="minorHAnsi"/>
          <w:lang w:val="fr-CH" w:eastAsia="ja-JP"/>
        </w:rPr>
        <w:t>SARRI</w:t>
      </w:r>
      <w:r>
        <w:rPr>
          <w:rFonts w:asciiTheme="minorHAnsi" w:eastAsia="Yu Mincho" w:hAnsiTheme="minorHAnsi" w:cstheme="minorHAnsi"/>
          <w:lang w:val="fr-CH" w:eastAsia="ja-JP"/>
        </w:rPr>
        <w:t>, en tant qu’Initiative régionale</w:t>
      </w:r>
      <w:r w:rsidR="00D36608">
        <w:rPr>
          <w:rFonts w:asciiTheme="minorHAnsi" w:eastAsia="Yu Mincho" w:hAnsiTheme="minorHAnsi" w:cstheme="minorHAnsi"/>
          <w:lang w:val="fr-CH" w:eastAsia="ja-JP"/>
        </w:rPr>
        <w:t xml:space="preserve"> Ramsar</w:t>
      </w:r>
      <w:r>
        <w:rPr>
          <w:rFonts w:asciiTheme="minorHAnsi" w:eastAsia="Yu Mincho" w:hAnsiTheme="minorHAnsi" w:cstheme="minorHAnsi"/>
          <w:lang w:val="fr-CH" w:eastAsia="ja-JP"/>
        </w:rPr>
        <w:t xml:space="preserve">, distincte de celle du Secrétariat Ramsar, </w:t>
      </w:r>
      <w:r w:rsidR="009E093E">
        <w:rPr>
          <w:rFonts w:asciiTheme="minorHAnsi" w:eastAsia="Yu Mincho" w:hAnsiTheme="minorHAnsi" w:cstheme="minorHAnsi"/>
          <w:lang w:val="fr-CH" w:eastAsia="ja-JP"/>
        </w:rPr>
        <w:t>sera</w:t>
      </w:r>
      <w:r>
        <w:rPr>
          <w:rFonts w:asciiTheme="minorHAnsi" w:eastAsia="Yu Mincho" w:hAnsiTheme="minorHAnsi" w:cstheme="minorHAnsi"/>
          <w:lang w:val="fr-CH" w:eastAsia="ja-JP"/>
        </w:rPr>
        <w:t xml:space="preserve"> mise en évidence à travers l’identité </w:t>
      </w:r>
      <w:r w:rsidR="00D36608">
        <w:rPr>
          <w:rFonts w:asciiTheme="minorHAnsi" w:eastAsia="Yu Mincho" w:hAnsiTheme="minorHAnsi" w:cstheme="minorHAnsi"/>
          <w:lang w:val="fr-CH" w:eastAsia="ja-JP"/>
        </w:rPr>
        <w:t xml:space="preserve">visuelle </w:t>
      </w:r>
      <w:r>
        <w:rPr>
          <w:rFonts w:asciiTheme="minorHAnsi" w:eastAsia="Yu Mincho" w:hAnsiTheme="minorHAnsi" w:cstheme="minorHAnsi"/>
          <w:lang w:val="fr-CH" w:eastAsia="ja-JP"/>
        </w:rPr>
        <w:t>de son mandat</w:t>
      </w:r>
      <w:r w:rsidR="00D36608">
        <w:rPr>
          <w:rFonts w:asciiTheme="minorHAnsi" w:eastAsia="Yu Mincho" w:hAnsiTheme="minorHAnsi" w:cstheme="minorHAnsi"/>
          <w:lang w:val="fr-CH" w:eastAsia="ja-JP"/>
        </w:rPr>
        <w:t xml:space="preserve"> et sa publication</w:t>
      </w:r>
      <w:r>
        <w:rPr>
          <w:rFonts w:asciiTheme="minorHAnsi" w:eastAsia="Yu Mincho" w:hAnsiTheme="minorHAnsi" w:cstheme="minorHAnsi"/>
          <w:lang w:val="fr-CH" w:eastAsia="ja-JP"/>
        </w:rPr>
        <w:t xml:space="preserve">. </w:t>
      </w:r>
      <w:r w:rsidRPr="00301E09">
        <w:rPr>
          <w:rFonts w:asciiTheme="minorHAnsi" w:eastAsia="Yu Mincho" w:hAnsiTheme="minorHAnsi" w:cstheme="minorHAnsi"/>
          <w:lang w:val="fr-CH" w:eastAsia="ja-JP"/>
        </w:rPr>
        <w:t xml:space="preserve">SARRI </w:t>
      </w:r>
      <w:r>
        <w:rPr>
          <w:rFonts w:asciiTheme="minorHAnsi" w:eastAsia="Yu Mincho" w:hAnsiTheme="minorHAnsi" w:cstheme="minorHAnsi"/>
          <w:lang w:val="fr-CH" w:eastAsia="ja-JP"/>
        </w:rPr>
        <w:t xml:space="preserve">aura son propre logo et son site web comme convenu par les membres. Elle </w:t>
      </w:r>
      <w:r w:rsidR="00D36608">
        <w:rPr>
          <w:rFonts w:asciiTheme="minorHAnsi" w:eastAsia="Yu Mincho" w:hAnsiTheme="minorHAnsi" w:cstheme="minorHAnsi"/>
          <w:lang w:val="fr-CH" w:eastAsia="ja-JP"/>
        </w:rPr>
        <w:t>bénéficiera</w:t>
      </w:r>
      <w:r>
        <w:rPr>
          <w:rFonts w:asciiTheme="minorHAnsi" w:eastAsia="Yu Mincho" w:hAnsiTheme="minorHAnsi" w:cstheme="minorHAnsi"/>
          <w:lang w:val="fr-CH" w:eastAsia="ja-JP"/>
        </w:rPr>
        <w:t xml:space="preserve"> </w:t>
      </w:r>
      <w:r w:rsidR="00D36608">
        <w:rPr>
          <w:rFonts w:asciiTheme="minorHAnsi" w:eastAsia="Yu Mincho" w:hAnsiTheme="minorHAnsi" w:cstheme="minorHAnsi"/>
          <w:lang w:val="fr-CH" w:eastAsia="ja-JP"/>
        </w:rPr>
        <w:t>d’</w:t>
      </w:r>
      <w:r>
        <w:rPr>
          <w:rFonts w:asciiTheme="minorHAnsi" w:eastAsia="Yu Mincho" w:hAnsiTheme="minorHAnsi" w:cstheme="minorHAnsi"/>
          <w:lang w:val="fr-CH" w:eastAsia="ja-JP"/>
        </w:rPr>
        <w:t xml:space="preserve">orientations substantielles du Secrétariat </w:t>
      </w:r>
      <w:r w:rsidR="00B605D1">
        <w:rPr>
          <w:rFonts w:asciiTheme="minorHAnsi" w:eastAsia="Yu Mincho" w:hAnsiTheme="minorHAnsi" w:cstheme="minorHAnsi"/>
          <w:lang w:val="fr-CH" w:eastAsia="ja-JP"/>
        </w:rPr>
        <w:t xml:space="preserve">de la </w:t>
      </w:r>
      <w:r>
        <w:rPr>
          <w:rFonts w:asciiTheme="minorHAnsi" w:eastAsia="Yu Mincho" w:hAnsiTheme="minorHAnsi" w:cstheme="minorHAnsi"/>
          <w:lang w:val="fr-CH" w:eastAsia="ja-JP"/>
        </w:rPr>
        <w:t xml:space="preserve">SADC pour augmenter son influence et répondre aux priorités régionales. </w:t>
      </w:r>
    </w:p>
    <w:p w14:paraId="6212F3B8" w14:textId="50855269" w:rsidR="00CA5E9B" w:rsidRPr="00301E09" w:rsidRDefault="00CA5E9B" w:rsidP="00CA5E9B">
      <w:pPr>
        <w:numPr>
          <w:ilvl w:val="0"/>
          <w:numId w:val="20"/>
        </w:numPr>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Plans de l’IRR pour coordonner des projets ou programmes régionaux déjà en cours ou élaborés dans le cadre de l’I</w:t>
      </w:r>
      <w:r w:rsidR="00E52457">
        <w:rPr>
          <w:rFonts w:asciiTheme="minorHAnsi" w:eastAsia="Yu Mincho" w:hAnsiTheme="minorHAnsi" w:cstheme="minorHAnsi"/>
          <w:b/>
          <w:lang w:val="fr-CH" w:eastAsia="ja-JP"/>
        </w:rPr>
        <w:t>RR avec</w:t>
      </w:r>
      <w:r>
        <w:rPr>
          <w:rFonts w:asciiTheme="minorHAnsi" w:eastAsia="Yu Mincho" w:hAnsiTheme="minorHAnsi" w:cstheme="minorHAnsi"/>
          <w:b/>
          <w:lang w:val="fr-CH" w:eastAsia="ja-JP"/>
        </w:rPr>
        <w:t xml:space="preserve"> un personnel professionnel </w:t>
      </w:r>
      <w:r w:rsidR="00E52457">
        <w:rPr>
          <w:rFonts w:asciiTheme="minorHAnsi" w:eastAsia="Yu Mincho" w:hAnsiTheme="minorHAnsi" w:cstheme="minorHAnsi"/>
          <w:b/>
          <w:lang w:val="fr-CH" w:eastAsia="ja-JP"/>
        </w:rPr>
        <w:t>qui participera</w:t>
      </w:r>
      <w:r>
        <w:rPr>
          <w:rFonts w:asciiTheme="minorHAnsi" w:eastAsia="Yu Mincho" w:hAnsiTheme="minorHAnsi" w:cstheme="minorHAnsi"/>
          <w:b/>
          <w:lang w:val="fr-CH" w:eastAsia="ja-JP"/>
        </w:rPr>
        <w:t xml:space="preserve"> à leur application ou supervision </w:t>
      </w:r>
    </w:p>
    <w:p w14:paraId="0C1CBBB4" w14:textId="75E7D109" w:rsidR="00CA5E9B" w:rsidRPr="00301E09" w:rsidRDefault="00CA5E9B" w:rsidP="00CA5E9B">
      <w:pPr>
        <w:numPr>
          <w:ilvl w:val="0"/>
          <w:numId w:val="18"/>
        </w:numPr>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Il n’y a pas actuellement de projets régionaux au niveau de l’I</w:t>
      </w:r>
      <w:r w:rsidR="00E52457">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Toutefois, </w:t>
      </w:r>
      <w:r w:rsidR="00E52457">
        <w:rPr>
          <w:rFonts w:asciiTheme="minorHAnsi" w:eastAsia="Yu Mincho" w:hAnsiTheme="minorHAnsi" w:cstheme="minorHAnsi"/>
          <w:lang w:val="fr-CH" w:eastAsia="ja-JP"/>
        </w:rPr>
        <w:t>celle-ci</w:t>
      </w:r>
      <w:r>
        <w:rPr>
          <w:rFonts w:asciiTheme="minorHAnsi" w:eastAsia="Yu Mincho" w:hAnsiTheme="minorHAnsi" w:cstheme="minorHAnsi"/>
          <w:lang w:val="fr-CH" w:eastAsia="ja-JP"/>
        </w:rPr>
        <w:t xml:space="preserve"> pourra acquérir les enseignements de projets connexes au niveau </w:t>
      </w:r>
      <w:r w:rsidR="00E52457">
        <w:rPr>
          <w:rFonts w:asciiTheme="minorHAnsi" w:eastAsia="Yu Mincho" w:hAnsiTheme="minorHAnsi" w:cstheme="minorHAnsi"/>
          <w:lang w:val="fr-CH" w:eastAsia="ja-JP"/>
        </w:rPr>
        <w:t xml:space="preserve">de la </w:t>
      </w:r>
      <w:r>
        <w:rPr>
          <w:rFonts w:asciiTheme="minorHAnsi" w:eastAsia="Yu Mincho" w:hAnsiTheme="minorHAnsi" w:cstheme="minorHAnsi"/>
          <w:lang w:val="fr-CH" w:eastAsia="ja-JP"/>
        </w:rPr>
        <w:t xml:space="preserve">SADC. La SADC coordonnera, suivra et fera rapport sur tous les projets régionaux et recrutera un personnel professionnel chargé de fournir un appui spécialisé. </w:t>
      </w:r>
    </w:p>
    <w:p w14:paraId="4559A468" w14:textId="77777777" w:rsidR="00CA5E9B" w:rsidRPr="00301E09" w:rsidRDefault="00CA5E9B" w:rsidP="00A5496C">
      <w:pPr>
        <w:ind w:left="1080" w:firstLine="0"/>
        <w:contextualSpacing/>
        <w:rPr>
          <w:rFonts w:asciiTheme="minorHAnsi" w:eastAsia="Yu Mincho" w:hAnsiTheme="minorHAnsi" w:cstheme="minorHAnsi"/>
          <w:lang w:val="fr-CH" w:eastAsia="ja-JP"/>
        </w:rPr>
      </w:pPr>
    </w:p>
    <w:p w14:paraId="1B051694" w14:textId="77777777" w:rsidR="00CA5E9B" w:rsidRPr="00301E09" w:rsidRDefault="00CA5E9B" w:rsidP="00CA5E9B">
      <w:pPr>
        <w:numPr>
          <w:ilvl w:val="0"/>
          <w:numId w:val="17"/>
        </w:numPr>
        <w:contextualSpacing/>
        <w:rPr>
          <w:rFonts w:asciiTheme="minorHAnsi" w:eastAsia="Yu Mincho" w:hAnsiTheme="minorHAnsi" w:cstheme="minorHAnsi"/>
          <w:b/>
          <w:i/>
          <w:lang w:val="fr-CH" w:eastAsia="ja-JP"/>
        </w:rPr>
      </w:pPr>
      <w:r w:rsidRPr="00301E09">
        <w:rPr>
          <w:rFonts w:asciiTheme="minorHAnsi" w:eastAsia="Yu Mincho" w:hAnsiTheme="minorHAnsi" w:cstheme="minorHAnsi"/>
          <w:b/>
          <w:lang w:val="fr-CH" w:eastAsia="ja-JP"/>
        </w:rPr>
        <w:t xml:space="preserve"> </w:t>
      </w:r>
      <w:r>
        <w:rPr>
          <w:rFonts w:asciiTheme="minorHAnsi" w:eastAsia="Yu Mincho" w:hAnsiTheme="minorHAnsi" w:cstheme="minorHAnsi"/>
          <w:b/>
          <w:i/>
          <w:lang w:val="fr-CH" w:eastAsia="ja-JP"/>
        </w:rPr>
        <w:t>Mécanismes de gouvernance</w:t>
      </w:r>
      <w:r w:rsidRPr="00301E09">
        <w:rPr>
          <w:rFonts w:asciiTheme="minorHAnsi" w:eastAsia="Yu Mincho" w:hAnsiTheme="minorHAnsi" w:cstheme="minorHAnsi"/>
          <w:b/>
          <w:i/>
          <w:lang w:val="fr-CH" w:eastAsia="ja-JP"/>
        </w:rPr>
        <w:t xml:space="preserve"> </w:t>
      </w:r>
    </w:p>
    <w:p w14:paraId="2D3FFBB7" w14:textId="77777777" w:rsidR="00CA5E9B" w:rsidRPr="00301E09" w:rsidRDefault="00CA5E9B" w:rsidP="00A5496C">
      <w:pPr>
        <w:ind w:left="0" w:firstLine="0"/>
        <w:rPr>
          <w:rFonts w:asciiTheme="minorHAnsi" w:eastAsia="Yu Mincho" w:hAnsiTheme="minorHAnsi" w:cstheme="minorHAnsi"/>
          <w:highlight w:val="green"/>
          <w:lang w:val="fr-CH" w:eastAsia="ja-JP"/>
        </w:rPr>
      </w:pPr>
    </w:p>
    <w:p w14:paraId="0AA86E0E" w14:textId="30B53D7B" w:rsidR="00CA5E9B" w:rsidRPr="00301E09" w:rsidRDefault="00CA5E9B" w:rsidP="00CA5E9B">
      <w:pPr>
        <w:numPr>
          <w:ilvl w:val="0"/>
          <w:numId w:val="20"/>
        </w:numPr>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Plan de l’IRR pour établir</w:t>
      </w:r>
      <w:r w:rsidR="00171B44">
        <w:rPr>
          <w:rFonts w:asciiTheme="minorHAnsi" w:eastAsia="Yu Mincho" w:hAnsiTheme="minorHAnsi" w:cstheme="minorHAnsi"/>
          <w:b/>
          <w:lang w:val="fr-CH" w:eastAsia="ja-JP"/>
        </w:rPr>
        <w:t>,</w:t>
      </w:r>
      <w:r>
        <w:rPr>
          <w:rFonts w:asciiTheme="minorHAnsi" w:eastAsia="Yu Mincho" w:hAnsiTheme="minorHAnsi" w:cstheme="minorHAnsi"/>
          <w:b/>
          <w:lang w:val="fr-CH" w:eastAsia="ja-JP"/>
        </w:rPr>
        <w:t xml:space="preserve"> dans la région</w:t>
      </w:r>
      <w:r w:rsidR="00171B44">
        <w:rPr>
          <w:rFonts w:asciiTheme="minorHAnsi" w:eastAsia="Yu Mincho" w:hAnsiTheme="minorHAnsi" w:cstheme="minorHAnsi"/>
          <w:b/>
          <w:lang w:val="fr-CH" w:eastAsia="ja-JP"/>
        </w:rPr>
        <w:t>,</w:t>
      </w:r>
      <w:r>
        <w:rPr>
          <w:rFonts w:asciiTheme="minorHAnsi" w:eastAsia="Yu Mincho" w:hAnsiTheme="minorHAnsi" w:cstheme="minorHAnsi"/>
          <w:b/>
          <w:lang w:val="fr-CH" w:eastAsia="ja-JP"/>
        </w:rPr>
        <w:t xml:space="preserve"> des mécanismes existants ou prévus afin d’assurer la gouvernance, la coordination et de donner des conseils (comités, conseils, etc.), et décrivant comment toutes les Parties contractantes pertinentes et autres acteurs pourront fournir des orientations et une </w:t>
      </w:r>
      <w:r w:rsidR="00171B44">
        <w:rPr>
          <w:rFonts w:asciiTheme="minorHAnsi" w:eastAsia="Yu Mincho" w:hAnsiTheme="minorHAnsi" w:cstheme="minorHAnsi"/>
          <w:b/>
          <w:lang w:val="fr-CH" w:eastAsia="ja-JP"/>
        </w:rPr>
        <w:t>vision</w:t>
      </w:r>
      <w:r>
        <w:rPr>
          <w:rFonts w:asciiTheme="minorHAnsi" w:eastAsia="Yu Mincho" w:hAnsiTheme="minorHAnsi" w:cstheme="minorHAnsi"/>
          <w:b/>
          <w:lang w:val="fr-CH" w:eastAsia="ja-JP"/>
        </w:rPr>
        <w:t xml:space="preserve"> </w:t>
      </w:r>
    </w:p>
    <w:p w14:paraId="7A92C901" w14:textId="6B7810D5" w:rsidR="00CA5E9B" w:rsidRPr="00301E09" w:rsidRDefault="00CA5E9B" w:rsidP="00CA5E9B">
      <w:pPr>
        <w:numPr>
          <w:ilvl w:val="0"/>
          <w:numId w:val="18"/>
        </w:numPr>
        <w:contextualSpacing/>
        <w:rPr>
          <w:rFonts w:asciiTheme="minorHAnsi" w:eastAsia="Yu Mincho" w:hAnsiTheme="minorHAnsi" w:cstheme="minorHAnsi"/>
          <w:lang w:val="fr-CH" w:eastAsia="ja-JP"/>
        </w:rPr>
      </w:pPr>
      <w:r w:rsidRPr="00301E09">
        <w:rPr>
          <w:rFonts w:asciiTheme="minorHAnsi" w:eastAsia="Yu Mincho" w:hAnsiTheme="minorHAnsi" w:cstheme="minorHAnsi"/>
          <w:lang w:val="fr-CH" w:eastAsia="ja-JP"/>
        </w:rPr>
        <w:t xml:space="preserve">SARRI </w:t>
      </w:r>
      <w:r>
        <w:rPr>
          <w:rFonts w:asciiTheme="minorHAnsi" w:eastAsia="Yu Mincho" w:hAnsiTheme="minorHAnsi" w:cstheme="minorHAnsi"/>
          <w:lang w:val="fr-CH" w:eastAsia="ja-JP"/>
        </w:rPr>
        <w:t xml:space="preserve">s’appuie sur une approche de la base au sommet en tant qu’union de membres </w:t>
      </w:r>
      <w:r w:rsidR="009E093E">
        <w:rPr>
          <w:rFonts w:asciiTheme="minorHAnsi" w:eastAsia="Yu Mincho" w:hAnsiTheme="minorHAnsi" w:cstheme="minorHAnsi"/>
          <w:lang w:val="fr-CH" w:eastAsia="ja-JP"/>
        </w:rPr>
        <w:t>entre</w:t>
      </w:r>
      <w:r>
        <w:rPr>
          <w:rFonts w:asciiTheme="minorHAnsi" w:eastAsia="Yu Mincho" w:hAnsiTheme="minorHAnsi" w:cstheme="minorHAnsi"/>
          <w:lang w:val="fr-CH" w:eastAsia="ja-JP"/>
        </w:rPr>
        <w:t xml:space="preserve"> les États membres. Des Forums nationaux de pays seront mis sur pied. Les membres du Comité technique établiront différentes </w:t>
      </w:r>
      <w:r w:rsidR="009E093E">
        <w:rPr>
          <w:rFonts w:asciiTheme="minorHAnsi" w:eastAsia="Yu Mincho" w:hAnsiTheme="minorHAnsi" w:cstheme="minorHAnsi"/>
          <w:lang w:val="fr-CH" w:eastAsia="ja-JP"/>
        </w:rPr>
        <w:t>équipes</w:t>
      </w:r>
      <w:r>
        <w:rPr>
          <w:rFonts w:asciiTheme="minorHAnsi" w:eastAsia="Yu Mincho" w:hAnsiTheme="minorHAnsi" w:cstheme="minorHAnsi"/>
          <w:lang w:val="fr-CH" w:eastAsia="ja-JP"/>
        </w:rPr>
        <w:t xml:space="preserve"> techniques/groupes de travail sur des questions spécifiques identifiées par les membres. SARRI sera dirigée par un conseil, qui sera l’organe décisionnel suprême de l’I</w:t>
      </w:r>
      <w:r w:rsidR="009E093E">
        <w:rPr>
          <w:rFonts w:asciiTheme="minorHAnsi" w:eastAsia="Yu Mincho" w:hAnsiTheme="minorHAnsi" w:cstheme="minorHAnsi"/>
          <w:lang w:val="fr-CH" w:eastAsia="ja-JP"/>
        </w:rPr>
        <w:t>RR</w:t>
      </w:r>
      <w:r>
        <w:rPr>
          <w:rFonts w:asciiTheme="minorHAnsi" w:eastAsia="Yu Mincho" w:hAnsiTheme="minorHAnsi" w:cstheme="minorHAnsi"/>
          <w:lang w:val="fr-CH" w:eastAsia="ja-JP"/>
        </w:rPr>
        <w:t>. Les affaires courantes de l’I</w:t>
      </w:r>
      <w:r w:rsidR="009E093E">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incomberont à un secrétariat, formé de personnel professionnel, engagé et hébergé par le Secrétariat de la SADC. L’institution d’accueil </w:t>
      </w:r>
      <w:r w:rsidR="009E093E">
        <w:rPr>
          <w:rFonts w:asciiTheme="minorHAnsi" w:eastAsia="Yu Mincho" w:hAnsiTheme="minorHAnsi" w:cstheme="minorHAnsi"/>
          <w:lang w:val="fr-CH" w:eastAsia="ja-JP"/>
        </w:rPr>
        <w:t>déléguera</w:t>
      </w:r>
      <w:r>
        <w:rPr>
          <w:rFonts w:asciiTheme="minorHAnsi" w:eastAsia="Yu Mincho" w:hAnsiTheme="minorHAnsi" w:cstheme="minorHAnsi"/>
          <w:lang w:val="fr-CH" w:eastAsia="ja-JP"/>
        </w:rPr>
        <w:t xml:space="preserve"> un membre </w:t>
      </w:r>
      <w:r w:rsidRPr="00685F9C">
        <w:rPr>
          <w:rFonts w:asciiTheme="minorHAnsi" w:eastAsia="Yu Mincho" w:hAnsiTheme="minorHAnsi" w:cstheme="minorHAnsi"/>
          <w:i/>
          <w:lang w:val="fr-CH" w:eastAsia="ja-JP"/>
        </w:rPr>
        <w:t>ex officio</w:t>
      </w:r>
      <w:r>
        <w:rPr>
          <w:rFonts w:asciiTheme="minorHAnsi" w:eastAsia="Yu Mincho" w:hAnsiTheme="minorHAnsi" w:cstheme="minorHAnsi"/>
          <w:lang w:val="fr-CH" w:eastAsia="ja-JP"/>
        </w:rPr>
        <w:t xml:space="preserve"> au Comité technique et un membre du Conseil non votant. Un forum d’acteurs annuel fixera le cours des priorités de l’I</w:t>
      </w:r>
      <w:r w:rsidR="009E093E">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et approuvera les nominations des membres du Comité et du Conseil.</w:t>
      </w:r>
    </w:p>
    <w:p w14:paraId="6C3614DC" w14:textId="77777777" w:rsidR="00CA5E9B" w:rsidRPr="00301E09" w:rsidRDefault="00CA5E9B" w:rsidP="00CA5E9B">
      <w:pPr>
        <w:numPr>
          <w:ilvl w:val="0"/>
          <w:numId w:val="20"/>
        </w:numPr>
        <w:contextualSpacing/>
        <w:rPr>
          <w:rFonts w:asciiTheme="minorHAnsi" w:eastAsia="Yu Mincho" w:hAnsiTheme="minorHAnsi" w:cstheme="minorHAnsi"/>
          <w:b/>
          <w:lang w:val="fr-CH" w:eastAsia="ja-JP"/>
        </w:rPr>
      </w:pPr>
      <w:r w:rsidRPr="00301E09">
        <w:rPr>
          <w:rFonts w:asciiTheme="minorHAnsi" w:eastAsia="Yu Mincho" w:hAnsiTheme="minorHAnsi" w:cstheme="minorHAnsi"/>
          <w:b/>
          <w:lang w:val="fr-CH" w:eastAsia="ja-JP"/>
        </w:rPr>
        <w:t xml:space="preserve">Plans </w:t>
      </w:r>
      <w:r>
        <w:rPr>
          <w:rFonts w:asciiTheme="minorHAnsi" w:eastAsia="Yu Mincho" w:hAnsiTheme="minorHAnsi" w:cstheme="minorHAnsi"/>
          <w:b/>
          <w:lang w:val="fr-CH" w:eastAsia="ja-JP"/>
        </w:rPr>
        <w:t xml:space="preserve">à élaborer, coordonner et diriger par l’IRR. Des avis et un appui sont attendus du Secrétariat Ramsar, notamment la mobilisation possible de ressources additionnelles </w:t>
      </w:r>
    </w:p>
    <w:p w14:paraId="71CB3288" w14:textId="13572E8C" w:rsidR="00CA5E9B" w:rsidRPr="00301E09" w:rsidRDefault="00CA5E9B" w:rsidP="00CA5E9B">
      <w:pPr>
        <w:numPr>
          <w:ilvl w:val="0"/>
          <w:numId w:val="18"/>
        </w:numPr>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 xml:space="preserve">Le Conseil de </w:t>
      </w:r>
      <w:r w:rsidRPr="00301E09">
        <w:rPr>
          <w:rFonts w:asciiTheme="minorHAnsi" w:eastAsia="Yu Mincho" w:hAnsiTheme="minorHAnsi" w:cstheme="minorHAnsi"/>
          <w:lang w:val="fr-CH" w:eastAsia="ja-JP"/>
        </w:rPr>
        <w:t xml:space="preserve">SARRI </w:t>
      </w:r>
      <w:r>
        <w:rPr>
          <w:rFonts w:asciiTheme="minorHAnsi" w:eastAsia="Yu Mincho" w:hAnsiTheme="minorHAnsi" w:cstheme="minorHAnsi"/>
          <w:lang w:val="fr-CH" w:eastAsia="ja-JP"/>
        </w:rPr>
        <w:t>se compose d’un représentant de chaque membre (forum national) et a l’obligation fiduciaire de rendre compte au Secrétariat de la Convention</w:t>
      </w:r>
      <w:r w:rsidRPr="00301E09">
        <w:rPr>
          <w:rFonts w:asciiTheme="minorHAnsi" w:eastAsia="Yu Mincho" w:hAnsiTheme="minorHAnsi" w:cstheme="minorHAnsi"/>
          <w:lang w:val="fr-CH" w:eastAsia="ja-JP"/>
        </w:rPr>
        <w:t>.</w:t>
      </w:r>
    </w:p>
    <w:p w14:paraId="1B5E79EE" w14:textId="3C00447E" w:rsidR="00CA5E9B" w:rsidRPr="00301E09" w:rsidRDefault="00CA5E9B" w:rsidP="00CA5E9B">
      <w:pPr>
        <w:numPr>
          <w:ilvl w:val="0"/>
          <w:numId w:val="20"/>
        </w:numPr>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L’IRR a-t-elle ou prévoit-elle d’avoir un cahier des charges, un règlement intérieur, une structure et des membres et/ou d’autres règlements écrits que l’I</w:t>
      </w:r>
      <w:r w:rsidR="00445EBA">
        <w:rPr>
          <w:rFonts w:asciiTheme="minorHAnsi" w:eastAsia="Yu Mincho" w:hAnsiTheme="minorHAnsi" w:cstheme="minorHAnsi"/>
          <w:b/>
          <w:lang w:val="fr-CH" w:eastAsia="ja-JP"/>
        </w:rPr>
        <w:t>RR</w:t>
      </w:r>
      <w:r>
        <w:rPr>
          <w:rFonts w:asciiTheme="minorHAnsi" w:eastAsia="Yu Mincho" w:hAnsiTheme="minorHAnsi" w:cstheme="minorHAnsi"/>
          <w:b/>
          <w:lang w:val="fr-CH" w:eastAsia="ja-JP"/>
        </w:rPr>
        <w:t xml:space="preserve"> a établis ou prévoit</w:t>
      </w:r>
      <w:r w:rsidR="0060657C">
        <w:rPr>
          <w:rFonts w:asciiTheme="minorHAnsi" w:eastAsia="Yu Mincho" w:hAnsiTheme="minorHAnsi" w:cstheme="minorHAnsi"/>
          <w:b/>
          <w:lang w:val="fr-CH" w:eastAsia="ja-JP"/>
        </w:rPr>
        <w:t xml:space="preserve"> d’établir</w:t>
      </w:r>
      <w:r>
        <w:rPr>
          <w:rFonts w:asciiTheme="minorHAnsi" w:eastAsia="Yu Mincho" w:hAnsiTheme="minorHAnsi" w:cstheme="minorHAnsi"/>
          <w:b/>
          <w:lang w:val="fr-CH" w:eastAsia="ja-JP"/>
        </w:rPr>
        <w:t xml:space="preserve"> </w:t>
      </w:r>
    </w:p>
    <w:p w14:paraId="12784FF1" w14:textId="6E9DADD4" w:rsidR="00CA5E9B" w:rsidRPr="00301E09" w:rsidRDefault="00CA5E9B" w:rsidP="00CA5E9B">
      <w:pPr>
        <w:numPr>
          <w:ilvl w:val="0"/>
          <w:numId w:val="18"/>
        </w:numPr>
        <w:contextualSpacing/>
        <w:rPr>
          <w:rFonts w:asciiTheme="minorHAnsi" w:eastAsia="Yu Mincho" w:hAnsiTheme="minorHAnsi" w:cstheme="minorHAnsi"/>
          <w:color w:val="000000"/>
          <w:lang w:val="fr-CH" w:eastAsia="ja-JP"/>
        </w:rPr>
      </w:pPr>
      <w:r w:rsidRPr="00301E09">
        <w:rPr>
          <w:rFonts w:asciiTheme="minorHAnsi" w:eastAsia="Yu Mincho" w:hAnsiTheme="minorHAnsi" w:cstheme="minorHAnsi"/>
          <w:color w:val="000000"/>
          <w:lang w:val="fr-CH" w:eastAsia="ja-JP"/>
        </w:rPr>
        <w:t>SARRI propose</w:t>
      </w:r>
      <w:r>
        <w:rPr>
          <w:rFonts w:asciiTheme="minorHAnsi" w:eastAsia="Yu Mincho" w:hAnsiTheme="minorHAnsi" w:cstheme="minorHAnsi"/>
          <w:color w:val="000000"/>
          <w:lang w:val="fr-CH" w:eastAsia="ja-JP"/>
        </w:rPr>
        <w:t xml:space="preserve"> d’utiliser un processus de consultation avec </w:t>
      </w:r>
      <w:r w:rsidR="00445EBA">
        <w:rPr>
          <w:rFonts w:asciiTheme="minorHAnsi" w:eastAsia="Yu Mincho" w:hAnsiTheme="minorHAnsi" w:cstheme="minorHAnsi"/>
          <w:color w:val="000000"/>
          <w:lang w:val="fr-CH" w:eastAsia="ja-JP"/>
        </w:rPr>
        <w:t>l</w:t>
      </w:r>
      <w:r>
        <w:rPr>
          <w:rFonts w:asciiTheme="minorHAnsi" w:eastAsia="Yu Mincho" w:hAnsiTheme="minorHAnsi" w:cstheme="minorHAnsi"/>
          <w:color w:val="000000"/>
          <w:lang w:val="fr-CH" w:eastAsia="ja-JP"/>
        </w:rPr>
        <w:t>es Parties contractantes pour établir 1) un cahier des charges en tant que cadre de gouvernance</w:t>
      </w:r>
      <w:r w:rsidR="00445EBA">
        <w:rPr>
          <w:rFonts w:asciiTheme="minorHAnsi" w:eastAsia="Yu Mincho" w:hAnsiTheme="minorHAnsi" w:cstheme="minorHAnsi"/>
          <w:color w:val="000000"/>
          <w:lang w:val="fr-CH" w:eastAsia="ja-JP"/>
        </w:rPr>
        <w:t>,</w:t>
      </w:r>
      <w:r>
        <w:rPr>
          <w:rFonts w:asciiTheme="minorHAnsi" w:eastAsia="Yu Mincho" w:hAnsiTheme="minorHAnsi" w:cstheme="minorHAnsi"/>
          <w:color w:val="000000"/>
          <w:lang w:val="fr-CH" w:eastAsia="ja-JP"/>
        </w:rPr>
        <w:t xml:space="preserve"> et des mécanismes de coordination pour l’I</w:t>
      </w:r>
      <w:r w:rsidR="00445EBA">
        <w:rPr>
          <w:rFonts w:asciiTheme="minorHAnsi" w:eastAsia="Yu Mincho" w:hAnsiTheme="minorHAnsi" w:cstheme="minorHAnsi"/>
          <w:color w:val="000000"/>
          <w:lang w:val="fr-CH" w:eastAsia="ja-JP"/>
        </w:rPr>
        <w:t>RR</w:t>
      </w:r>
      <w:r>
        <w:rPr>
          <w:rFonts w:asciiTheme="minorHAnsi" w:eastAsia="Yu Mincho" w:hAnsiTheme="minorHAnsi" w:cstheme="minorHAnsi"/>
          <w:color w:val="000000"/>
          <w:lang w:val="fr-CH" w:eastAsia="ja-JP"/>
        </w:rPr>
        <w:t> ; 2) le Plan d’action stratégique de SARRI</w:t>
      </w:r>
      <w:r w:rsidRPr="00301E09">
        <w:rPr>
          <w:rFonts w:asciiTheme="minorHAnsi" w:eastAsia="Yu Mincho" w:hAnsiTheme="minorHAnsi" w:cstheme="minorHAnsi"/>
          <w:color w:val="000000"/>
          <w:lang w:val="fr-CH" w:eastAsia="ja-JP"/>
        </w:rPr>
        <w:t xml:space="preserve"> 2022-2032</w:t>
      </w:r>
      <w:r>
        <w:rPr>
          <w:rFonts w:asciiTheme="minorHAnsi" w:eastAsia="Yu Mincho" w:hAnsiTheme="minorHAnsi" w:cstheme="minorHAnsi"/>
          <w:color w:val="000000"/>
          <w:lang w:val="fr-CH" w:eastAsia="ja-JP"/>
        </w:rPr>
        <w:t> ;</w:t>
      </w:r>
      <w:r w:rsidRPr="00301E09">
        <w:rPr>
          <w:rFonts w:asciiTheme="minorHAnsi" w:eastAsia="Yu Mincho" w:hAnsiTheme="minorHAnsi" w:cstheme="minorHAnsi"/>
          <w:color w:val="000000"/>
          <w:lang w:val="fr-CH" w:eastAsia="ja-JP"/>
        </w:rPr>
        <w:t xml:space="preserve"> </w:t>
      </w:r>
      <w:r>
        <w:rPr>
          <w:rFonts w:asciiTheme="minorHAnsi" w:eastAsia="Yu Mincho" w:hAnsiTheme="minorHAnsi" w:cstheme="minorHAnsi"/>
          <w:color w:val="000000"/>
          <w:lang w:val="fr-CH" w:eastAsia="ja-JP"/>
        </w:rPr>
        <w:t>3) </w:t>
      </w:r>
      <w:r w:rsidR="00445EBA">
        <w:rPr>
          <w:rFonts w:asciiTheme="minorHAnsi" w:eastAsia="Yu Mincho" w:hAnsiTheme="minorHAnsi" w:cstheme="minorHAnsi"/>
          <w:color w:val="000000"/>
          <w:lang w:val="fr-CH" w:eastAsia="ja-JP"/>
        </w:rPr>
        <w:t>la Stratégie de communication et d’</w:t>
      </w:r>
      <w:r>
        <w:rPr>
          <w:rFonts w:asciiTheme="minorHAnsi" w:eastAsia="Yu Mincho" w:hAnsiTheme="minorHAnsi" w:cstheme="minorHAnsi"/>
          <w:color w:val="000000"/>
          <w:lang w:val="fr-CH" w:eastAsia="ja-JP"/>
        </w:rPr>
        <w:t xml:space="preserve">engagement des parties prenantes </w:t>
      </w:r>
      <w:r w:rsidR="00445EBA">
        <w:rPr>
          <w:rFonts w:asciiTheme="minorHAnsi" w:eastAsia="Yu Mincho" w:hAnsiTheme="minorHAnsi" w:cstheme="minorHAnsi"/>
          <w:color w:val="000000"/>
          <w:lang w:val="fr-CH" w:eastAsia="ja-JP"/>
        </w:rPr>
        <w:t xml:space="preserve">de </w:t>
      </w:r>
      <w:r w:rsidRPr="00301E09">
        <w:rPr>
          <w:rFonts w:asciiTheme="minorHAnsi" w:eastAsia="Yu Mincho" w:hAnsiTheme="minorHAnsi" w:cstheme="minorHAnsi"/>
          <w:color w:val="000000"/>
          <w:lang w:val="fr-CH" w:eastAsia="ja-JP"/>
        </w:rPr>
        <w:t>SARRI</w:t>
      </w:r>
      <w:r>
        <w:rPr>
          <w:rFonts w:asciiTheme="minorHAnsi" w:eastAsia="Yu Mincho" w:hAnsiTheme="minorHAnsi" w:cstheme="minorHAnsi"/>
          <w:color w:val="000000"/>
          <w:lang w:val="fr-CH" w:eastAsia="ja-JP"/>
        </w:rPr>
        <w:t xml:space="preserve">; </w:t>
      </w:r>
      <w:r w:rsidRPr="00445EBA">
        <w:rPr>
          <w:rFonts w:asciiTheme="minorHAnsi" w:eastAsia="Yu Mincho" w:hAnsiTheme="minorHAnsi" w:cstheme="minorHAnsi"/>
          <w:color w:val="000000"/>
          <w:lang w:val="fr-CH" w:eastAsia="ja-JP"/>
        </w:rPr>
        <w:t>et 4) le</w:t>
      </w:r>
      <w:r>
        <w:rPr>
          <w:rFonts w:asciiTheme="minorHAnsi" w:eastAsia="Yu Mincho" w:hAnsiTheme="minorHAnsi" w:cstheme="minorHAnsi"/>
          <w:color w:val="000000"/>
          <w:lang w:val="fr-CH" w:eastAsia="ja-JP"/>
        </w:rPr>
        <w:t xml:space="preserve"> Plan de travail SARRI </w:t>
      </w:r>
      <w:r w:rsidRPr="00301E09">
        <w:rPr>
          <w:rFonts w:asciiTheme="minorHAnsi" w:eastAsia="Yu Mincho" w:hAnsiTheme="minorHAnsi" w:cstheme="minorHAnsi"/>
          <w:color w:val="000000"/>
          <w:lang w:val="fr-CH" w:eastAsia="ja-JP"/>
        </w:rPr>
        <w:t xml:space="preserve">2022-2032, </w:t>
      </w:r>
      <w:r>
        <w:rPr>
          <w:rFonts w:asciiTheme="minorHAnsi" w:eastAsia="Yu Mincho" w:hAnsiTheme="minorHAnsi" w:cstheme="minorHAnsi"/>
          <w:color w:val="000000"/>
          <w:lang w:val="fr-CH" w:eastAsia="ja-JP"/>
        </w:rPr>
        <w:t>qui fixera les projets prioritaires et les résultats souhaités, les partenaires identifiés et les ressources nécessaires.</w:t>
      </w:r>
      <w:r w:rsidRPr="00301E09">
        <w:rPr>
          <w:rFonts w:asciiTheme="minorHAnsi" w:eastAsia="Yu Mincho" w:hAnsiTheme="minorHAnsi" w:cstheme="minorHAnsi"/>
          <w:color w:val="000000"/>
          <w:lang w:val="fr-CH" w:eastAsia="ja-JP"/>
        </w:rPr>
        <w:t xml:space="preserve"> </w:t>
      </w:r>
    </w:p>
    <w:p w14:paraId="2C9F9809" w14:textId="77777777" w:rsidR="00CA5E9B" w:rsidRPr="00301E09" w:rsidRDefault="00CA5E9B" w:rsidP="00A5496C">
      <w:pPr>
        <w:ind w:left="1080" w:firstLine="0"/>
        <w:contextualSpacing/>
        <w:rPr>
          <w:rFonts w:asciiTheme="minorHAnsi" w:eastAsia="Yu Mincho" w:hAnsiTheme="minorHAnsi" w:cstheme="minorHAnsi"/>
          <w:lang w:val="fr-CH" w:eastAsia="ja-JP"/>
        </w:rPr>
      </w:pPr>
    </w:p>
    <w:p w14:paraId="01984FB0" w14:textId="77777777" w:rsidR="00CA5E9B" w:rsidRPr="00685F9C" w:rsidRDefault="00CA5E9B" w:rsidP="00CA5E9B">
      <w:pPr>
        <w:keepNext/>
        <w:keepLines/>
        <w:numPr>
          <w:ilvl w:val="0"/>
          <w:numId w:val="17"/>
        </w:numPr>
        <w:contextualSpacing/>
        <w:rPr>
          <w:rFonts w:asciiTheme="minorHAnsi" w:eastAsia="Yu Mincho" w:hAnsiTheme="minorHAnsi" w:cstheme="minorHAnsi"/>
          <w:b/>
          <w:i/>
          <w:color w:val="000000"/>
          <w:lang w:val="fr-CH" w:eastAsia="ja-JP"/>
        </w:rPr>
      </w:pPr>
      <w:r>
        <w:rPr>
          <w:rFonts w:asciiTheme="minorHAnsi" w:eastAsia="Yu Mincho" w:hAnsiTheme="minorHAnsi" w:cstheme="minorHAnsi"/>
          <w:b/>
          <w:i/>
          <w:color w:val="000000"/>
          <w:lang w:val="fr-CH" w:eastAsia="ja-JP"/>
        </w:rPr>
        <w:lastRenderedPageBreak/>
        <w:t>Éléments de fond</w:t>
      </w:r>
      <w:r w:rsidRPr="00685F9C">
        <w:rPr>
          <w:rFonts w:asciiTheme="minorHAnsi" w:eastAsia="Yu Mincho" w:hAnsiTheme="minorHAnsi" w:cstheme="minorHAnsi"/>
          <w:b/>
          <w:i/>
          <w:color w:val="000000"/>
          <w:lang w:val="fr-CH" w:eastAsia="ja-JP"/>
        </w:rPr>
        <w:t xml:space="preserve"> </w:t>
      </w:r>
    </w:p>
    <w:p w14:paraId="4B35D22D" w14:textId="77777777" w:rsidR="00CA5E9B" w:rsidRPr="00685F9C" w:rsidRDefault="00CA5E9B" w:rsidP="00A5496C">
      <w:pPr>
        <w:keepNext/>
        <w:keepLines/>
        <w:ind w:left="0" w:firstLine="0"/>
        <w:rPr>
          <w:rFonts w:asciiTheme="minorHAnsi" w:eastAsia="Yu Mincho" w:hAnsiTheme="minorHAnsi" w:cstheme="minorHAnsi"/>
          <w:color w:val="000000"/>
          <w:lang w:val="fr-CH" w:eastAsia="ja-JP"/>
        </w:rPr>
      </w:pPr>
    </w:p>
    <w:p w14:paraId="6ACCEDE0" w14:textId="77777777" w:rsidR="00CA5E9B" w:rsidRPr="00685F9C" w:rsidRDefault="00CA5E9B" w:rsidP="00CA5E9B">
      <w:pPr>
        <w:keepNext/>
        <w:keepLines/>
        <w:numPr>
          <w:ilvl w:val="0"/>
          <w:numId w:val="20"/>
        </w:numPr>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 xml:space="preserve">L’approche de l’IRR en vue de créer un environnement porteur dans la région fournit un cadre pour l’élaboration de réseaux de collaboration et cherche à collaborer avec d’autres organismes intergouvernementaux ou régionaux et internationaux, des ONG locales et des partenaires, y compris les OIP Ramsar actives dans la région </w:t>
      </w:r>
    </w:p>
    <w:p w14:paraId="52CE9466" w14:textId="04A849A0" w:rsidR="00CA5E9B" w:rsidRPr="00685F9C" w:rsidRDefault="00CA5E9B" w:rsidP="00CA5E9B">
      <w:pPr>
        <w:numPr>
          <w:ilvl w:val="0"/>
          <w:numId w:val="18"/>
        </w:numPr>
        <w:contextualSpacing/>
        <w:rPr>
          <w:rFonts w:asciiTheme="minorHAnsi" w:eastAsia="Yu Mincho" w:hAnsiTheme="minorHAnsi" w:cstheme="minorHAnsi"/>
          <w:color w:val="000000"/>
          <w:lang w:val="fr-CH" w:eastAsia="ja-JP"/>
        </w:rPr>
      </w:pPr>
      <w:r w:rsidRPr="00685F9C">
        <w:rPr>
          <w:rFonts w:asciiTheme="minorHAnsi" w:eastAsia="Yu Mincho" w:hAnsiTheme="minorHAnsi" w:cstheme="minorHAnsi"/>
          <w:color w:val="000000"/>
          <w:lang w:val="fr-CH" w:eastAsia="ja-JP"/>
        </w:rPr>
        <w:t xml:space="preserve">SARRI </w:t>
      </w:r>
      <w:r>
        <w:rPr>
          <w:rFonts w:asciiTheme="minorHAnsi" w:eastAsia="Yu Mincho" w:hAnsiTheme="minorHAnsi" w:cstheme="minorHAnsi"/>
          <w:color w:val="000000"/>
          <w:lang w:val="fr-CH" w:eastAsia="ja-JP"/>
        </w:rPr>
        <w:t xml:space="preserve">servira de plateforme pour la discussion, les recommandations et la priorisation des questions d’importance critique qui touchent les zones humides. Par un lien direct avec la SADC, elle encouragera une approche régionale des défis identifiés. Par l’intermédiaire de son </w:t>
      </w:r>
      <w:r w:rsidR="00B605D1">
        <w:rPr>
          <w:rFonts w:asciiTheme="minorHAnsi" w:eastAsia="Yu Mincho" w:hAnsiTheme="minorHAnsi" w:cstheme="minorHAnsi"/>
          <w:color w:val="000000"/>
          <w:lang w:val="fr-CH" w:eastAsia="ja-JP"/>
        </w:rPr>
        <w:t>s</w:t>
      </w:r>
      <w:r>
        <w:rPr>
          <w:rFonts w:asciiTheme="minorHAnsi" w:eastAsia="Yu Mincho" w:hAnsiTheme="minorHAnsi" w:cstheme="minorHAnsi"/>
          <w:color w:val="000000"/>
          <w:lang w:val="fr-CH" w:eastAsia="ja-JP"/>
        </w:rPr>
        <w:t xml:space="preserve">ecrétariat, elle entretiendra des relations avec des partenaires clés comme le Secrétariat </w:t>
      </w:r>
      <w:r w:rsidR="00E638C0">
        <w:rPr>
          <w:rFonts w:asciiTheme="minorHAnsi" w:eastAsia="Yu Mincho" w:hAnsiTheme="minorHAnsi" w:cstheme="minorHAnsi"/>
          <w:color w:val="000000"/>
          <w:lang w:val="fr-CH" w:eastAsia="ja-JP"/>
        </w:rPr>
        <w:t xml:space="preserve">de la </w:t>
      </w:r>
      <w:r>
        <w:rPr>
          <w:rFonts w:asciiTheme="minorHAnsi" w:eastAsia="Yu Mincho" w:hAnsiTheme="minorHAnsi" w:cstheme="minorHAnsi"/>
          <w:color w:val="000000"/>
          <w:lang w:val="fr-CH" w:eastAsia="ja-JP"/>
        </w:rPr>
        <w:t xml:space="preserve">SADC, les </w:t>
      </w:r>
      <w:r w:rsidR="00E638C0">
        <w:rPr>
          <w:rFonts w:asciiTheme="minorHAnsi" w:eastAsia="Yu Mincho" w:hAnsiTheme="minorHAnsi" w:cstheme="minorHAnsi"/>
          <w:color w:val="000000"/>
          <w:lang w:val="fr-CH" w:eastAsia="ja-JP"/>
        </w:rPr>
        <w:t>o</w:t>
      </w:r>
      <w:r>
        <w:rPr>
          <w:rFonts w:asciiTheme="minorHAnsi" w:eastAsia="Yu Mincho" w:hAnsiTheme="minorHAnsi" w:cstheme="minorHAnsi"/>
          <w:color w:val="000000"/>
          <w:lang w:val="fr-CH" w:eastAsia="ja-JP"/>
        </w:rPr>
        <w:t xml:space="preserve">rganisations de bassins </w:t>
      </w:r>
      <w:r w:rsidR="00E638C0">
        <w:rPr>
          <w:rFonts w:asciiTheme="minorHAnsi" w:eastAsia="Yu Mincho" w:hAnsiTheme="minorHAnsi" w:cstheme="minorHAnsi"/>
          <w:color w:val="000000"/>
          <w:lang w:val="fr-CH" w:eastAsia="ja-JP"/>
        </w:rPr>
        <w:t>hydro</w:t>
      </w:r>
      <w:r w:rsidR="00B605D1">
        <w:rPr>
          <w:rFonts w:asciiTheme="minorHAnsi" w:eastAsia="Yu Mincho" w:hAnsiTheme="minorHAnsi" w:cstheme="minorHAnsi"/>
          <w:color w:val="000000"/>
          <w:lang w:val="fr-CH" w:eastAsia="ja-JP"/>
        </w:rPr>
        <w:t>graph</w:t>
      </w:r>
      <w:r w:rsidR="00E638C0">
        <w:rPr>
          <w:rFonts w:asciiTheme="minorHAnsi" w:eastAsia="Yu Mincho" w:hAnsiTheme="minorHAnsi" w:cstheme="minorHAnsi"/>
          <w:color w:val="000000"/>
          <w:lang w:val="fr-CH" w:eastAsia="ja-JP"/>
        </w:rPr>
        <w:t>iques,</w:t>
      </w:r>
      <w:r>
        <w:rPr>
          <w:rFonts w:asciiTheme="minorHAnsi" w:eastAsia="Yu Mincho" w:hAnsiTheme="minorHAnsi" w:cstheme="minorHAnsi"/>
          <w:color w:val="000000"/>
          <w:lang w:val="fr-CH" w:eastAsia="ja-JP"/>
        </w:rPr>
        <w:t xml:space="preserve"> les partenaires internationaux coopérants et autres parties intéressées. </w:t>
      </w:r>
    </w:p>
    <w:p w14:paraId="5A1FE7CB" w14:textId="6E3E8BC8" w:rsidR="00CA5E9B" w:rsidRPr="00685F9C" w:rsidRDefault="00CA5E9B" w:rsidP="00CA5E9B">
      <w:pPr>
        <w:numPr>
          <w:ilvl w:val="0"/>
          <w:numId w:val="20"/>
        </w:numPr>
        <w:contextualSpacing/>
        <w:rPr>
          <w:rFonts w:asciiTheme="minorHAnsi" w:eastAsia="Yu Mincho" w:hAnsiTheme="minorHAnsi" w:cstheme="minorHAnsi"/>
          <w:b/>
          <w:lang w:val="fr-CH" w:eastAsia="ja-JP"/>
        </w:rPr>
      </w:pPr>
      <w:r w:rsidRPr="00685F9C">
        <w:rPr>
          <w:rFonts w:asciiTheme="minorHAnsi" w:eastAsia="Yu Mincho" w:hAnsiTheme="minorHAnsi" w:cstheme="minorHAnsi"/>
          <w:b/>
          <w:lang w:val="fr-CH" w:eastAsia="ja-JP"/>
        </w:rPr>
        <w:t xml:space="preserve">Plan </w:t>
      </w:r>
      <w:r>
        <w:rPr>
          <w:rFonts w:asciiTheme="minorHAnsi" w:eastAsia="Yu Mincho" w:hAnsiTheme="minorHAnsi" w:cstheme="minorHAnsi"/>
          <w:b/>
          <w:lang w:val="fr-CH" w:eastAsia="ja-JP"/>
        </w:rPr>
        <w:t xml:space="preserve">en vue de faire une utilisation optimale des outils Ramsar et </w:t>
      </w:r>
      <w:r w:rsidR="00AE2647">
        <w:rPr>
          <w:rFonts w:asciiTheme="minorHAnsi" w:eastAsia="Yu Mincho" w:hAnsiTheme="minorHAnsi" w:cstheme="minorHAnsi"/>
          <w:b/>
          <w:lang w:val="fr-CH" w:eastAsia="ja-JP"/>
        </w:rPr>
        <w:t>d’</w:t>
      </w:r>
      <w:r>
        <w:rPr>
          <w:rFonts w:asciiTheme="minorHAnsi" w:eastAsia="Yu Mincho" w:hAnsiTheme="minorHAnsi" w:cstheme="minorHAnsi"/>
          <w:b/>
          <w:lang w:val="fr-CH" w:eastAsia="ja-JP"/>
        </w:rPr>
        <w:t>e</w:t>
      </w:r>
      <w:r w:rsidR="00B605D1">
        <w:rPr>
          <w:rFonts w:asciiTheme="minorHAnsi" w:eastAsia="Yu Mincho" w:hAnsiTheme="minorHAnsi" w:cstheme="minorHAnsi"/>
          <w:b/>
          <w:lang w:val="fr-CH" w:eastAsia="ja-JP"/>
        </w:rPr>
        <w:t>nvisager</w:t>
      </w:r>
      <w:r>
        <w:rPr>
          <w:rFonts w:asciiTheme="minorHAnsi" w:eastAsia="Yu Mincho" w:hAnsiTheme="minorHAnsi" w:cstheme="minorHAnsi"/>
          <w:b/>
          <w:lang w:val="fr-CH" w:eastAsia="ja-JP"/>
        </w:rPr>
        <w:t xml:space="preserve"> un appui scientifique et technique solide fourni par les institutions pertinentes qui pourraient devenir partenaires de l’I</w:t>
      </w:r>
      <w:r w:rsidR="00AE2647">
        <w:rPr>
          <w:rFonts w:asciiTheme="minorHAnsi" w:eastAsia="Yu Mincho" w:hAnsiTheme="minorHAnsi" w:cstheme="minorHAnsi"/>
          <w:b/>
          <w:lang w:val="fr-CH" w:eastAsia="ja-JP"/>
        </w:rPr>
        <w:t>RR</w:t>
      </w:r>
      <w:r>
        <w:rPr>
          <w:rFonts w:asciiTheme="minorHAnsi" w:eastAsia="Yu Mincho" w:hAnsiTheme="minorHAnsi" w:cstheme="minorHAnsi"/>
          <w:b/>
          <w:lang w:val="fr-CH" w:eastAsia="ja-JP"/>
        </w:rPr>
        <w:t xml:space="preserve"> </w:t>
      </w:r>
    </w:p>
    <w:p w14:paraId="150C2F50" w14:textId="3B5855F0" w:rsidR="00CA5E9B" w:rsidRPr="00685F9C" w:rsidRDefault="00CA5E9B" w:rsidP="00CA5E9B">
      <w:pPr>
        <w:numPr>
          <w:ilvl w:val="0"/>
          <w:numId w:val="18"/>
        </w:numPr>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 xml:space="preserve">La mauvaise accessibilité des outils de la Convention de Ramsar est l’obstacle principal pour les acteurs locaux, tant du point de vue de l’accessibilité que de la langue. </w:t>
      </w:r>
      <w:r w:rsidRPr="00685F9C">
        <w:rPr>
          <w:rFonts w:asciiTheme="minorHAnsi" w:eastAsia="Yu Mincho" w:hAnsiTheme="minorHAnsi" w:cstheme="minorHAnsi"/>
          <w:lang w:val="fr-CH" w:eastAsia="ja-JP"/>
        </w:rPr>
        <w:t xml:space="preserve">SARRI </w:t>
      </w:r>
      <w:r>
        <w:rPr>
          <w:rFonts w:asciiTheme="minorHAnsi" w:eastAsia="Yu Mincho" w:hAnsiTheme="minorHAnsi" w:cstheme="minorHAnsi"/>
          <w:lang w:val="fr-CH" w:eastAsia="ja-JP"/>
        </w:rPr>
        <w:t>essaiera de surmonter ces obstacles en diffusant les outils et en coordonnant la traduction de la plupart des outils pertinents, en particulier les Lignes directrices et les manuels, dans les langues locales. L’I</w:t>
      </w:r>
      <w:r w:rsidR="00AE2647">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encouragera aussi l’utilisation des outils dans le cadre de possibilités de formation accrue</w:t>
      </w:r>
      <w:r w:rsidR="00BC5783">
        <w:rPr>
          <w:rFonts w:asciiTheme="minorHAnsi" w:eastAsia="Yu Mincho" w:hAnsiTheme="minorHAnsi" w:cstheme="minorHAnsi"/>
          <w:lang w:val="fr-CH" w:eastAsia="ja-JP"/>
        </w:rPr>
        <w:t>s</w:t>
      </w:r>
      <w:r>
        <w:rPr>
          <w:rFonts w:asciiTheme="minorHAnsi" w:eastAsia="Yu Mincho" w:hAnsiTheme="minorHAnsi" w:cstheme="minorHAnsi"/>
          <w:lang w:val="fr-CH" w:eastAsia="ja-JP"/>
        </w:rPr>
        <w:t xml:space="preserve"> pour les acteurs de la région d’Afrique australe et pour les plateformes et les sites web.</w:t>
      </w:r>
    </w:p>
    <w:p w14:paraId="0F7FDE5E" w14:textId="77777777" w:rsidR="00CA5E9B" w:rsidRPr="00685F9C" w:rsidRDefault="00CA5E9B" w:rsidP="00CA5E9B">
      <w:pPr>
        <w:numPr>
          <w:ilvl w:val="0"/>
          <w:numId w:val="20"/>
        </w:numPr>
        <w:contextualSpacing/>
        <w:rPr>
          <w:rFonts w:asciiTheme="minorHAnsi" w:eastAsia="Yu Mincho" w:hAnsiTheme="minorHAnsi" w:cstheme="minorHAnsi"/>
          <w:b/>
          <w:lang w:val="fr-CH" w:eastAsia="ja-JP"/>
        </w:rPr>
      </w:pPr>
      <w:r w:rsidRPr="00685F9C">
        <w:rPr>
          <w:rFonts w:asciiTheme="minorHAnsi" w:eastAsia="Yu Mincho" w:hAnsiTheme="minorHAnsi" w:cstheme="minorHAnsi"/>
          <w:b/>
          <w:lang w:val="fr-CH" w:eastAsia="ja-JP"/>
        </w:rPr>
        <w:t xml:space="preserve">Plans </w:t>
      </w:r>
      <w:r>
        <w:rPr>
          <w:rFonts w:asciiTheme="minorHAnsi" w:eastAsia="Yu Mincho" w:hAnsiTheme="minorHAnsi" w:cstheme="minorHAnsi"/>
          <w:b/>
          <w:lang w:val="fr-CH" w:eastAsia="ja-JP"/>
        </w:rPr>
        <w:t xml:space="preserve">d’amélioration de la visibilité de la Convention et de sensibilisation aux objectifs de la Convention, avec des activités spécifiques pour améliorer la visibilité de la Convention et la compréhension générale de ses objectifs </w:t>
      </w:r>
    </w:p>
    <w:p w14:paraId="37826882" w14:textId="77777777" w:rsidR="00CA5E9B" w:rsidRPr="00685F9C" w:rsidRDefault="00CA5E9B" w:rsidP="00CA5E9B">
      <w:pPr>
        <w:numPr>
          <w:ilvl w:val="0"/>
          <w:numId w:val="18"/>
        </w:numPr>
        <w:contextualSpacing/>
        <w:rPr>
          <w:rFonts w:asciiTheme="minorHAnsi" w:eastAsia="Yu Mincho" w:hAnsiTheme="minorHAnsi" w:cstheme="minorHAnsi"/>
          <w:lang w:val="fr-CH" w:eastAsia="ja-JP"/>
        </w:rPr>
      </w:pPr>
      <w:r w:rsidRPr="00685F9C">
        <w:rPr>
          <w:rFonts w:asciiTheme="minorHAnsi" w:eastAsia="Yu Mincho" w:hAnsiTheme="minorHAnsi" w:cstheme="minorHAnsi"/>
          <w:lang w:val="fr-CH" w:eastAsia="ja-JP"/>
        </w:rPr>
        <w:t>SARRI propose</w:t>
      </w:r>
      <w:r>
        <w:rPr>
          <w:rFonts w:asciiTheme="minorHAnsi" w:eastAsia="Yu Mincho" w:hAnsiTheme="minorHAnsi" w:cstheme="minorHAnsi"/>
          <w:lang w:val="fr-CH" w:eastAsia="ja-JP"/>
        </w:rPr>
        <w:t xml:space="preserve"> de travailler avec les organismes de gouvernance régionaux pour l’eau et les zones humides et les acteurs nationaux à tous les niveaux en vue d’améliorer la visibilité et de sensibiliser à la Convention de Ramsar sur les zones humides et à ses objectifs. </w:t>
      </w:r>
      <w:r w:rsidRPr="00685F9C">
        <w:rPr>
          <w:rFonts w:asciiTheme="minorHAnsi" w:eastAsia="Yu Mincho" w:hAnsiTheme="minorHAnsi" w:cstheme="minorHAnsi"/>
          <w:lang w:val="fr-CH" w:eastAsia="ja-JP"/>
        </w:rPr>
        <w:t xml:space="preserve">  </w:t>
      </w:r>
    </w:p>
    <w:p w14:paraId="20F00B16" w14:textId="77777777" w:rsidR="00CA5E9B" w:rsidRPr="00685F9C" w:rsidRDefault="00CA5E9B" w:rsidP="00A5496C">
      <w:pPr>
        <w:ind w:left="0" w:firstLine="0"/>
        <w:rPr>
          <w:rFonts w:asciiTheme="minorHAnsi" w:eastAsia="Yu Mincho" w:hAnsiTheme="minorHAnsi" w:cstheme="minorHAnsi"/>
          <w:lang w:val="fr-CH" w:eastAsia="ja-JP"/>
        </w:rPr>
      </w:pPr>
    </w:p>
    <w:p w14:paraId="33E605E3" w14:textId="77777777" w:rsidR="00CA5E9B" w:rsidRPr="00685F9C" w:rsidRDefault="00CA5E9B" w:rsidP="00CA5E9B">
      <w:pPr>
        <w:numPr>
          <w:ilvl w:val="0"/>
          <w:numId w:val="17"/>
        </w:numPr>
        <w:contextualSpacing/>
        <w:rPr>
          <w:rFonts w:asciiTheme="minorHAnsi" w:eastAsia="Yu Mincho" w:hAnsiTheme="minorHAnsi" w:cstheme="minorHAnsi"/>
          <w:b/>
          <w:i/>
          <w:lang w:val="fr-CH" w:eastAsia="ja-JP"/>
        </w:rPr>
      </w:pPr>
      <w:r>
        <w:rPr>
          <w:rFonts w:asciiTheme="minorHAnsi" w:eastAsia="Yu Mincho" w:hAnsiTheme="minorHAnsi" w:cstheme="minorHAnsi"/>
          <w:b/>
          <w:i/>
          <w:lang w:val="fr-CH" w:eastAsia="ja-JP"/>
        </w:rPr>
        <w:t>Appui financier, entre autres</w:t>
      </w:r>
      <w:r w:rsidRPr="00685F9C">
        <w:rPr>
          <w:rFonts w:asciiTheme="minorHAnsi" w:eastAsia="Yu Mincho" w:hAnsiTheme="minorHAnsi" w:cstheme="minorHAnsi"/>
          <w:b/>
          <w:i/>
          <w:lang w:val="fr-CH" w:eastAsia="ja-JP"/>
        </w:rPr>
        <w:t xml:space="preserve"> </w:t>
      </w:r>
    </w:p>
    <w:p w14:paraId="1A7CA677" w14:textId="77777777" w:rsidR="00CA5E9B" w:rsidRPr="00685F9C" w:rsidRDefault="00CA5E9B" w:rsidP="00A5496C">
      <w:pPr>
        <w:ind w:left="0" w:firstLine="0"/>
        <w:rPr>
          <w:rFonts w:asciiTheme="minorHAnsi" w:eastAsia="Yu Mincho" w:hAnsiTheme="minorHAnsi" w:cstheme="minorHAnsi"/>
          <w:lang w:val="fr-CH" w:eastAsia="ja-JP"/>
        </w:rPr>
      </w:pPr>
    </w:p>
    <w:p w14:paraId="3B0AE445" w14:textId="712EBDD5" w:rsidR="00CA5E9B" w:rsidRPr="00685F9C" w:rsidRDefault="00CA5E9B" w:rsidP="00CA5E9B">
      <w:pPr>
        <w:numPr>
          <w:ilvl w:val="0"/>
          <w:numId w:val="20"/>
        </w:numPr>
        <w:contextualSpacing/>
        <w:rPr>
          <w:rFonts w:asciiTheme="minorHAnsi" w:eastAsia="Yu Mincho" w:hAnsiTheme="minorHAnsi" w:cstheme="minorHAnsi"/>
          <w:b/>
          <w:lang w:val="fr-CH" w:eastAsia="ja-JP"/>
        </w:rPr>
      </w:pPr>
      <w:r w:rsidRPr="00685F9C">
        <w:rPr>
          <w:rFonts w:asciiTheme="minorHAnsi" w:eastAsia="Yu Mincho" w:hAnsiTheme="minorHAnsi" w:cstheme="minorHAnsi"/>
          <w:b/>
          <w:lang w:val="fr-CH" w:eastAsia="ja-JP"/>
        </w:rPr>
        <w:t xml:space="preserve">Plan </w:t>
      </w:r>
      <w:r>
        <w:rPr>
          <w:rFonts w:asciiTheme="minorHAnsi" w:eastAsia="Yu Mincho" w:hAnsiTheme="minorHAnsi" w:cstheme="minorHAnsi"/>
          <w:b/>
          <w:lang w:val="fr-CH" w:eastAsia="ja-JP"/>
        </w:rPr>
        <w:t xml:space="preserve">de l’IRR en matière de dépenses et de besoins financiers pour la période </w:t>
      </w:r>
      <w:r w:rsidRPr="00685F9C">
        <w:rPr>
          <w:rFonts w:asciiTheme="minorHAnsi" w:eastAsia="Yu Mincho" w:hAnsiTheme="minorHAnsi" w:cstheme="minorHAnsi"/>
          <w:b/>
          <w:lang w:val="fr-CH" w:eastAsia="ja-JP"/>
        </w:rPr>
        <w:t xml:space="preserve">2022-2024 </w:t>
      </w:r>
      <w:r>
        <w:rPr>
          <w:rFonts w:asciiTheme="minorHAnsi" w:eastAsia="Yu Mincho" w:hAnsiTheme="minorHAnsi" w:cstheme="minorHAnsi"/>
          <w:b/>
          <w:lang w:val="fr-CH" w:eastAsia="ja-JP"/>
        </w:rPr>
        <w:t xml:space="preserve">et </w:t>
      </w:r>
      <w:r w:rsidR="00BC5783">
        <w:rPr>
          <w:rFonts w:asciiTheme="minorHAnsi" w:eastAsia="Yu Mincho" w:hAnsiTheme="minorHAnsi" w:cstheme="minorHAnsi"/>
          <w:b/>
          <w:lang w:val="fr-CH" w:eastAsia="ja-JP"/>
        </w:rPr>
        <w:t xml:space="preserve">de </w:t>
      </w:r>
      <w:r>
        <w:rPr>
          <w:rFonts w:asciiTheme="minorHAnsi" w:eastAsia="Yu Mincho" w:hAnsiTheme="minorHAnsi" w:cstheme="minorHAnsi"/>
          <w:b/>
          <w:lang w:val="fr-CH" w:eastAsia="ja-JP"/>
        </w:rPr>
        <w:t xml:space="preserve">fournisseurs d’une aide financière. Y compris les montants qui ont été fermement promis et les besoins qui ne sont pas encore couverts. Décrit aussi les dépenses prévues et les sources et paiements du revenu </w:t>
      </w:r>
      <w:r w:rsidR="00BC5783">
        <w:rPr>
          <w:rFonts w:asciiTheme="minorHAnsi" w:eastAsia="Yu Mincho" w:hAnsiTheme="minorHAnsi" w:cstheme="minorHAnsi"/>
          <w:b/>
          <w:lang w:val="fr-CH" w:eastAsia="ja-JP"/>
        </w:rPr>
        <w:t>obtenu</w:t>
      </w:r>
      <w:r>
        <w:rPr>
          <w:rFonts w:asciiTheme="minorHAnsi" w:eastAsia="Yu Mincho" w:hAnsiTheme="minorHAnsi" w:cstheme="minorHAnsi"/>
          <w:b/>
          <w:lang w:val="fr-CH" w:eastAsia="ja-JP"/>
        </w:rPr>
        <w:t xml:space="preserve"> pour l’année </w:t>
      </w:r>
      <w:r w:rsidRPr="00685F9C">
        <w:rPr>
          <w:rFonts w:asciiTheme="minorHAnsi" w:eastAsia="Yu Mincho" w:hAnsiTheme="minorHAnsi" w:cstheme="minorHAnsi"/>
          <w:b/>
          <w:lang w:val="fr-CH" w:eastAsia="ja-JP"/>
        </w:rPr>
        <w:t>2022</w:t>
      </w:r>
    </w:p>
    <w:p w14:paraId="2BE3F805" w14:textId="77777777" w:rsidR="00CA5E9B" w:rsidRPr="00685F9C" w:rsidRDefault="00CA5E9B" w:rsidP="00CA5E9B">
      <w:pPr>
        <w:numPr>
          <w:ilvl w:val="0"/>
          <w:numId w:val="18"/>
        </w:numPr>
        <w:contextualSpacing/>
        <w:rPr>
          <w:rFonts w:asciiTheme="minorHAnsi" w:eastAsia="Yu Mincho" w:hAnsiTheme="minorHAnsi" w:cstheme="minorHAnsi"/>
          <w:lang w:val="fr-CH" w:eastAsia="ja-JP"/>
        </w:rPr>
      </w:pPr>
      <w:r w:rsidRPr="00685F9C">
        <w:rPr>
          <w:rFonts w:asciiTheme="minorHAnsi" w:eastAsia="Yu Mincho" w:hAnsiTheme="minorHAnsi" w:cstheme="minorHAnsi"/>
          <w:lang w:val="fr-CH" w:eastAsia="ja-JP"/>
        </w:rPr>
        <w:t xml:space="preserve">SARRI </w:t>
      </w:r>
      <w:r>
        <w:rPr>
          <w:rFonts w:asciiTheme="minorHAnsi" w:eastAsia="Yu Mincho" w:hAnsiTheme="minorHAnsi" w:cstheme="minorHAnsi"/>
          <w:lang w:val="fr-CH" w:eastAsia="ja-JP"/>
        </w:rPr>
        <w:t>propose un budget de fonctionnement pour</w:t>
      </w:r>
      <w:r w:rsidRPr="00685F9C">
        <w:rPr>
          <w:rFonts w:asciiTheme="minorHAnsi" w:eastAsia="Yu Mincho" w:hAnsiTheme="minorHAnsi" w:cstheme="minorHAnsi"/>
          <w:lang w:val="fr-CH" w:eastAsia="ja-JP"/>
        </w:rPr>
        <w:t xml:space="preserve"> 2022-2024 </w:t>
      </w:r>
      <w:r>
        <w:rPr>
          <w:rFonts w:asciiTheme="minorHAnsi" w:eastAsia="Yu Mincho" w:hAnsiTheme="minorHAnsi" w:cstheme="minorHAnsi"/>
          <w:lang w:val="fr-CH" w:eastAsia="ja-JP"/>
        </w:rPr>
        <w:t>d’un montant de 1 850 000 </w:t>
      </w:r>
      <w:r w:rsidRPr="00685F9C">
        <w:rPr>
          <w:rFonts w:asciiTheme="minorHAnsi" w:eastAsia="Yu Mincho" w:hAnsiTheme="minorHAnsi" w:cstheme="minorHAnsi"/>
          <w:lang w:val="fr-CH" w:eastAsia="ja-JP"/>
        </w:rPr>
        <w:t xml:space="preserve">USD </w:t>
      </w:r>
      <w:r>
        <w:rPr>
          <w:rFonts w:asciiTheme="minorHAnsi" w:eastAsia="Yu Mincho" w:hAnsiTheme="minorHAnsi" w:cstheme="minorHAnsi"/>
          <w:lang w:val="fr-CH" w:eastAsia="ja-JP"/>
        </w:rPr>
        <w:t xml:space="preserve">qui sera couvert par les contributions des pays participants, les donations en nature, les subventions du budget administratif du Secrétariat et les propositions prévues en matière d’appels de fonds. </w:t>
      </w:r>
    </w:p>
    <w:p w14:paraId="63AEA032" w14:textId="083BE170" w:rsidR="00CA5E9B" w:rsidRPr="00685F9C" w:rsidRDefault="00CA5E9B" w:rsidP="00CA5E9B">
      <w:pPr>
        <w:numPr>
          <w:ilvl w:val="0"/>
          <w:numId w:val="20"/>
        </w:numPr>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 xml:space="preserve">Si l’IRR demande un financement administratif, plan </w:t>
      </w:r>
      <w:r w:rsidR="00BC5783">
        <w:rPr>
          <w:rFonts w:asciiTheme="minorHAnsi" w:eastAsia="Yu Mincho" w:hAnsiTheme="minorHAnsi" w:cstheme="minorHAnsi"/>
          <w:b/>
          <w:lang w:val="fr-CH" w:eastAsia="ja-JP"/>
        </w:rPr>
        <w:t>décrivant comment</w:t>
      </w:r>
      <w:r>
        <w:rPr>
          <w:rFonts w:asciiTheme="minorHAnsi" w:eastAsia="Yu Mincho" w:hAnsiTheme="minorHAnsi" w:cstheme="minorHAnsi"/>
          <w:b/>
          <w:lang w:val="fr-CH" w:eastAsia="ja-JP"/>
        </w:rPr>
        <w:t xml:space="preserve"> </w:t>
      </w:r>
      <w:r w:rsidR="00BC5783">
        <w:rPr>
          <w:rFonts w:asciiTheme="minorHAnsi" w:eastAsia="Yu Mincho" w:hAnsiTheme="minorHAnsi" w:cstheme="minorHAnsi"/>
          <w:b/>
          <w:lang w:val="fr-CH" w:eastAsia="ja-JP"/>
        </w:rPr>
        <w:t>elle</w:t>
      </w:r>
      <w:r>
        <w:rPr>
          <w:rFonts w:asciiTheme="minorHAnsi" w:eastAsia="Yu Mincho" w:hAnsiTheme="minorHAnsi" w:cstheme="minorHAnsi"/>
          <w:b/>
          <w:lang w:val="fr-CH" w:eastAsia="ja-JP"/>
        </w:rPr>
        <w:t xml:space="preserve"> générera ses ressources et deviendra financièrement autosuffisante après la phase de départ et à long terme </w:t>
      </w:r>
    </w:p>
    <w:p w14:paraId="3D4489D6" w14:textId="68F3CB4C" w:rsidR="00CA5E9B" w:rsidRPr="00685F9C" w:rsidRDefault="00CA5E9B" w:rsidP="00CA5E9B">
      <w:pPr>
        <w:numPr>
          <w:ilvl w:val="0"/>
          <w:numId w:val="18"/>
        </w:numPr>
        <w:contextualSpacing/>
        <w:rPr>
          <w:rFonts w:asciiTheme="minorHAnsi" w:eastAsia="Yu Mincho" w:hAnsiTheme="minorHAnsi" w:cstheme="minorHAnsi"/>
          <w:lang w:val="fr-CH" w:eastAsia="ja-JP"/>
        </w:rPr>
      </w:pPr>
      <w:r w:rsidRPr="00685F9C">
        <w:rPr>
          <w:rFonts w:asciiTheme="minorHAnsi" w:eastAsia="Yu Mincho" w:hAnsiTheme="minorHAnsi" w:cstheme="minorHAnsi"/>
          <w:lang w:val="fr-CH" w:eastAsia="ja-JP"/>
        </w:rPr>
        <w:t>SARRI propose</w:t>
      </w:r>
      <w:r>
        <w:rPr>
          <w:rFonts w:asciiTheme="minorHAnsi" w:eastAsia="Yu Mincho" w:hAnsiTheme="minorHAnsi" w:cstheme="minorHAnsi"/>
          <w:lang w:val="fr-CH" w:eastAsia="ja-JP"/>
        </w:rPr>
        <w:t xml:space="preserve"> de poursuivre les actions suivantes afin de </w:t>
      </w:r>
      <w:r w:rsidR="00BC5783">
        <w:rPr>
          <w:rFonts w:asciiTheme="minorHAnsi" w:eastAsia="Yu Mincho" w:hAnsiTheme="minorHAnsi" w:cstheme="minorHAnsi"/>
          <w:lang w:val="fr-CH" w:eastAsia="ja-JP"/>
        </w:rPr>
        <w:t xml:space="preserve">devenir </w:t>
      </w:r>
      <w:r>
        <w:rPr>
          <w:rFonts w:asciiTheme="minorHAnsi" w:eastAsia="Yu Mincho" w:hAnsiTheme="minorHAnsi" w:cstheme="minorHAnsi"/>
          <w:lang w:val="fr-CH" w:eastAsia="ja-JP"/>
        </w:rPr>
        <w:t>financière</w:t>
      </w:r>
      <w:r w:rsidR="00BC5783">
        <w:rPr>
          <w:rFonts w:asciiTheme="minorHAnsi" w:eastAsia="Yu Mincho" w:hAnsiTheme="minorHAnsi" w:cstheme="minorHAnsi"/>
          <w:lang w:val="fr-CH" w:eastAsia="ja-JP"/>
        </w:rPr>
        <w:t>ment autosuffisante</w:t>
      </w:r>
      <w:r>
        <w:rPr>
          <w:rFonts w:asciiTheme="minorHAnsi" w:eastAsia="Yu Mincho" w:hAnsiTheme="minorHAnsi" w:cstheme="minorHAnsi"/>
          <w:lang w:val="fr-CH" w:eastAsia="ja-JP"/>
        </w:rPr>
        <w:t xml:space="preserve">, après </w:t>
      </w:r>
      <w:r w:rsidR="00BC5783">
        <w:rPr>
          <w:rFonts w:asciiTheme="minorHAnsi" w:eastAsia="Yu Mincho" w:hAnsiTheme="minorHAnsi" w:cstheme="minorHAnsi"/>
          <w:lang w:val="fr-CH" w:eastAsia="ja-JP"/>
        </w:rPr>
        <w:t>la phase de départ</w:t>
      </w:r>
      <w:r>
        <w:rPr>
          <w:rFonts w:asciiTheme="minorHAnsi" w:eastAsia="Yu Mincho" w:hAnsiTheme="minorHAnsi" w:cstheme="minorHAnsi"/>
          <w:lang w:val="fr-CH" w:eastAsia="ja-JP"/>
        </w:rPr>
        <w:t xml:space="preserve">, d’élaborer une stratégie de mobilisation des ressources qui guidera la collaboration et la mobilisation conjointe des ressources avec des partenaires d’importance critique. Les contributions </w:t>
      </w:r>
      <w:r w:rsidR="00BC5783">
        <w:rPr>
          <w:rFonts w:asciiTheme="minorHAnsi" w:eastAsia="Yu Mincho" w:hAnsiTheme="minorHAnsi" w:cstheme="minorHAnsi"/>
          <w:lang w:val="fr-CH" w:eastAsia="ja-JP"/>
        </w:rPr>
        <w:t xml:space="preserve">courantes </w:t>
      </w:r>
      <w:r>
        <w:rPr>
          <w:rFonts w:asciiTheme="minorHAnsi" w:eastAsia="Yu Mincho" w:hAnsiTheme="minorHAnsi" w:cstheme="minorHAnsi"/>
          <w:lang w:val="fr-CH" w:eastAsia="ja-JP"/>
        </w:rPr>
        <w:t>des membres, encouragées par des progrès importants dans le fonctionnement de l’I</w:t>
      </w:r>
      <w:r w:rsidR="00BC5783">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et un appui prioritaire de la SADC dans le cadre de ses </w:t>
      </w:r>
      <w:r w:rsidR="00BC5783">
        <w:rPr>
          <w:rFonts w:asciiTheme="minorHAnsi" w:eastAsia="Yu Mincho" w:hAnsiTheme="minorHAnsi" w:cstheme="minorHAnsi"/>
          <w:lang w:val="fr-CH" w:eastAsia="ja-JP"/>
        </w:rPr>
        <w:t>i</w:t>
      </w:r>
      <w:r>
        <w:rPr>
          <w:rFonts w:asciiTheme="minorHAnsi" w:eastAsia="Yu Mincho" w:hAnsiTheme="minorHAnsi" w:cstheme="minorHAnsi"/>
          <w:lang w:val="fr-CH" w:eastAsia="ja-JP"/>
        </w:rPr>
        <w:t xml:space="preserve">nitiatives régionales et de différentes propositions d’appels de fonds. </w:t>
      </w:r>
      <w:r w:rsidRPr="00685F9C">
        <w:rPr>
          <w:rFonts w:asciiTheme="minorHAnsi" w:eastAsia="Yu Mincho" w:hAnsiTheme="minorHAnsi" w:cstheme="minorHAnsi"/>
          <w:lang w:val="fr-CH" w:eastAsia="ja-JP"/>
        </w:rPr>
        <w:t xml:space="preserve"> </w:t>
      </w:r>
    </w:p>
    <w:p w14:paraId="0968B142" w14:textId="77777777" w:rsidR="00CA5E9B" w:rsidRPr="00685F9C" w:rsidRDefault="00CA5E9B" w:rsidP="00CA5E9B">
      <w:pPr>
        <w:numPr>
          <w:ilvl w:val="0"/>
          <w:numId w:val="20"/>
        </w:numPr>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lastRenderedPageBreak/>
        <w:t xml:space="preserve">Préparation opérationnelle à recevoir et dépenser l’argent, y compris l’appui du budget administratif de Ramsar pour le coût des activités en </w:t>
      </w:r>
      <w:r w:rsidRPr="00685F9C">
        <w:rPr>
          <w:rFonts w:asciiTheme="minorHAnsi" w:eastAsia="Yu Mincho" w:hAnsiTheme="minorHAnsi" w:cstheme="minorHAnsi"/>
          <w:b/>
          <w:lang w:val="fr-CH" w:eastAsia="ja-JP"/>
        </w:rPr>
        <w:t>2022</w:t>
      </w:r>
    </w:p>
    <w:p w14:paraId="1064F4A4" w14:textId="77777777" w:rsidR="00CA5E9B" w:rsidRPr="00685F9C" w:rsidRDefault="00CA5E9B" w:rsidP="00CA5E9B">
      <w:pPr>
        <w:numPr>
          <w:ilvl w:val="0"/>
          <w:numId w:val="18"/>
        </w:numPr>
        <w:contextualSpacing/>
        <w:rPr>
          <w:rFonts w:asciiTheme="minorHAnsi" w:eastAsia="Yu Mincho" w:hAnsiTheme="minorHAnsi" w:cstheme="minorHAnsi"/>
          <w:lang w:val="fr-CH" w:eastAsia="ja-JP"/>
        </w:rPr>
      </w:pPr>
      <w:r w:rsidRPr="00685F9C">
        <w:rPr>
          <w:rFonts w:asciiTheme="minorHAnsi" w:eastAsia="Yu Mincho" w:hAnsiTheme="minorHAnsi" w:cstheme="minorHAnsi"/>
          <w:lang w:val="fr-CH" w:eastAsia="ja-JP"/>
        </w:rPr>
        <w:t xml:space="preserve">SARRI </w:t>
      </w:r>
      <w:r>
        <w:rPr>
          <w:rFonts w:asciiTheme="minorHAnsi" w:eastAsia="Yu Mincho" w:hAnsiTheme="minorHAnsi" w:cstheme="minorHAnsi"/>
          <w:lang w:val="fr-CH" w:eastAsia="ja-JP"/>
        </w:rPr>
        <w:t xml:space="preserve">semble être prête et utilisera les systèmes financiers de la SADC. </w:t>
      </w:r>
    </w:p>
    <w:p w14:paraId="0C09EBE2" w14:textId="5614521B" w:rsidR="00CA5E9B" w:rsidRPr="00685F9C" w:rsidRDefault="00CA5E9B" w:rsidP="00CA5E9B">
      <w:pPr>
        <w:numPr>
          <w:ilvl w:val="0"/>
          <w:numId w:val="20"/>
        </w:numPr>
        <w:contextualSpacing/>
        <w:rPr>
          <w:rFonts w:asciiTheme="minorHAnsi" w:eastAsia="Yu Mincho" w:hAnsiTheme="minorHAnsi" w:cstheme="minorHAnsi"/>
          <w:b/>
          <w:lang w:val="fr-CH" w:eastAsia="ja-JP"/>
        </w:rPr>
      </w:pPr>
      <w:r w:rsidRPr="00685F9C">
        <w:rPr>
          <w:rFonts w:asciiTheme="minorHAnsi" w:eastAsia="Yu Mincho" w:hAnsiTheme="minorHAnsi" w:cstheme="minorHAnsi"/>
          <w:b/>
          <w:lang w:val="fr-CH" w:eastAsia="ja-JP"/>
        </w:rPr>
        <w:t xml:space="preserve">Plan </w:t>
      </w:r>
      <w:r w:rsidR="00BC5783">
        <w:rPr>
          <w:rFonts w:asciiTheme="minorHAnsi" w:eastAsia="Yu Mincho" w:hAnsiTheme="minorHAnsi" w:cstheme="minorHAnsi"/>
          <w:b/>
          <w:lang w:val="fr-CH" w:eastAsia="ja-JP"/>
        </w:rPr>
        <w:t>décrivant comment</w:t>
      </w:r>
      <w:r>
        <w:rPr>
          <w:rFonts w:asciiTheme="minorHAnsi" w:eastAsia="Yu Mincho" w:hAnsiTheme="minorHAnsi" w:cstheme="minorHAnsi"/>
          <w:b/>
          <w:lang w:val="fr-CH" w:eastAsia="ja-JP"/>
        </w:rPr>
        <w:t xml:space="preserve"> l’IRR appliquera la gestion financière pour garantir la transparence et la responsabilité </w:t>
      </w:r>
    </w:p>
    <w:p w14:paraId="73AAE855" w14:textId="52D66400" w:rsidR="00CA5E9B" w:rsidRPr="00685F9C" w:rsidRDefault="00CA5E9B" w:rsidP="00CA5E9B">
      <w:pPr>
        <w:numPr>
          <w:ilvl w:val="0"/>
          <w:numId w:val="18"/>
        </w:numPr>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 xml:space="preserve">Les ressources financières de </w:t>
      </w:r>
      <w:r w:rsidRPr="00685F9C">
        <w:rPr>
          <w:rFonts w:asciiTheme="minorHAnsi" w:eastAsia="Yu Mincho" w:hAnsiTheme="minorHAnsi" w:cstheme="minorHAnsi"/>
          <w:lang w:val="fr-CH" w:eastAsia="ja-JP"/>
        </w:rPr>
        <w:t xml:space="preserve">SARRI </w:t>
      </w:r>
      <w:r>
        <w:rPr>
          <w:rFonts w:asciiTheme="minorHAnsi" w:eastAsia="Yu Mincho" w:hAnsiTheme="minorHAnsi" w:cstheme="minorHAnsi"/>
          <w:lang w:val="fr-CH" w:eastAsia="ja-JP"/>
        </w:rPr>
        <w:t xml:space="preserve">seront gérées dans le cadre du système de gestion financière du Secrétariat </w:t>
      </w:r>
      <w:r w:rsidR="00F7010C">
        <w:rPr>
          <w:rFonts w:asciiTheme="minorHAnsi" w:eastAsia="Yu Mincho" w:hAnsiTheme="minorHAnsi" w:cstheme="minorHAnsi"/>
          <w:lang w:val="fr-CH" w:eastAsia="ja-JP"/>
        </w:rPr>
        <w:t xml:space="preserve">de la </w:t>
      </w:r>
      <w:r>
        <w:rPr>
          <w:rFonts w:asciiTheme="minorHAnsi" w:eastAsia="Yu Mincho" w:hAnsiTheme="minorHAnsi" w:cstheme="minorHAnsi"/>
          <w:lang w:val="fr-CH" w:eastAsia="ja-JP"/>
        </w:rPr>
        <w:t>SADC qui utilise un système électronique sécuri</w:t>
      </w:r>
      <w:r w:rsidR="00F7010C">
        <w:rPr>
          <w:rFonts w:asciiTheme="minorHAnsi" w:eastAsia="Yu Mincho" w:hAnsiTheme="minorHAnsi" w:cstheme="minorHAnsi"/>
          <w:lang w:val="fr-CH" w:eastAsia="ja-JP"/>
        </w:rPr>
        <w:t>sé</w:t>
      </w:r>
      <w:r>
        <w:rPr>
          <w:rFonts w:asciiTheme="minorHAnsi" w:eastAsia="Yu Mincho" w:hAnsiTheme="minorHAnsi" w:cstheme="minorHAnsi"/>
          <w:lang w:val="fr-CH" w:eastAsia="ja-JP"/>
        </w:rPr>
        <w:t xml:space="preserve"> pour la planification, les paiements et les audits internes. Les procédures </w:t>
      </w:r>
      <w:r w:rsidR="00F7010C">
        <w:rPr>
          <w:rFonts w:asciiTheme="minorHAnsi" w:eastAsia="Yu Mincho" w:hAnsiTheme="minorHAnsi" w:cstheme="minorHAnsi"/>
          <w:lang w:val="fr-CH" w:eastAsia="ja-JP"/>
        </w:rPr>
        <w:t>d’achat</w:t>
      </w:r>
      <w:r>
        <w:rPr>
          <w:rFonts w:asciiTheme="minorHAnsi" w:eastAsia="Yu Mincho" w:hAnsiTheme="minorHAnsi" w:cstheme="minorHAnsi"/>
          <w:lang w:val="fr-CH" w:eastAsia="ja-JP"/>
        </w:rPr>
        <w:t xml:space="preserve"> suivront les règles de la SADC et des organismes donateurs. Les décisions sur les finances de l’I</w:t>
      </w:r>
      <w:r w:rsidR="00F7010C">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seront supervisées par le Conseil (rapports financiers annuels). </w:t>
      </w:r>
    </w:p>
    <w:p w14:paraId="7E9FFDA9" w14:textId="77777777" w:rsidR="00CA5E9B" w:rsidRPr="00B926E5" w:rsidRDefault="00CA5E9B" w:rsidP="00CA5E9B">
      <w:pPr>
        <w:numPr>
          <w:ilvl w:val="0"/>
          <w:numId w:val="20"/>
        </w:numPr>
        <w:contextualSpacing/>
        <w:rPr>
          <w:rFonts w:asciiTheme="minorHAnsi" w:eastAsia="Yu Mincho" w:hAnsiTheme="minorHAnsi" w:cstheme="minorHAnsi"/>
          <w:b/>
          <w:lang w:val="fr-CH" w:eastAsia="ja-JP"/>
        </w:rPr>
      </w:pPr>
      <w:r w:rsidRPr="00B926E5">
        <w:rPr>
          <w:rFonts w:asciiTheme="minorHAnsi" w:eastAsia="Yu Mincho" w:hAnsiTheme="minorHAnsi" w:cstheme="minorHAnsi"/>
          <w:b/>
          <w:lang w:val="fr-CH" w:eastAsia="ja-JP"/>
        </w:rPr>
        <w:t xml:space="preserve">Quels organismes fourniront un appui politique en plus de ceux qui ont soumis une Lettre nationale de soutien </w:t>
      </w:r>
    </w:p>
    <w:p w14:paraId="5AD3351A" w14:textId="647B224C" w:rsidR="00CA5E9B" w:rsidRPr="00B926E5" w:rsidRDefault="00CA5E9B" w:rsidP="00CA5E9B">
      <w:pPr>
        <w:numPr>
          <w:ilvl w:val="0"/>
          <w:numId w:val="18"/>
        </w:numPr>
        <w:contextualSpacing/>
        <w:rPr>
          <w:rFonts w:asciiTheme="minorHAnsi" w:eastAsia="Yu Mincho" w:hAnsiTheme="minorHAnsi" w:cstheme="minorHAnsi"/>
          <w:lang w:val="fr-CH" w:eastAsia="ja-JP"/>
        </w:rPr>
      </w:pPr>
      <w:r w:rsidRPr="00B926E5">
        <w:rPr>
          <w:rFonts w:asciiTheme="minorHAnsi" w:eastAsia="Yu Mincho" w:hAnsiTheme="minorHAnsi" w:cstheme="minorHAnsi"/>
          <w:lang w:val="fr-CH" w:eastAsia="ja-JP"/>
        </w:rPr>
        <w:t>L’appui de la SADC pour l’I</w:t>
      </w:r>
      <w:r w:rsidR="00F7010C">
        <w:rPr>
          <w:rFonts w:asciiTheme="minorHAnsi" w:eastAsia="Yu Mincho" w:hAnsiTheme="minorHAnsi" w:cstheme="minorHAnsi"/>
          <w:lang w:val="fr-CH" w:eastAsia="ja-JP"/>
        </w:rPr>
        <w:t>RR</w:t>
      </w:r>
      <w:r w:rsidRPr="00B926E5">
        <w:rPr>
          <w:rFonts w:asciiTheme="minorHAnsi" w:eastAsia="Yu Mincho" w:hAnsiTheme="minorHAnsi" w:cstheme="minorHAnsi"/>
          <w:lang w:val="fr-CH" w:eastAsia="ja-JP"/>
        </w:rPr>
        <w:t xml:space="preserve"> est confirmé. L’approbation d</w:t>
      </w:r>
      <w:r w:rsidR="008352A8">
        <w:rPr>
          <w:rFonts w:asciiTheme="minorHAnsi" w:eastAsia="Yu Mincho" w:hAnsiTheme="minorHAnsi" w:cstheme="minorHAnsi"/>
          <w:lang w:val="fr-CH" w:eastAsia="ja-JP"/>
        </w:rPr>
        <w:t>u</w:t>
      </w:r>
      <w:r w:rsidRPr="00B926E5">
        <w:rPr>
          <w:rFonts w:asciiTheme="minorHAnsi" w:eastAsia="Yu Mincho" w:hAnsiTheme="minorHAnsi" w:cstheme="minorHAnsi"/>
          <w:lang w:val="fr-CH" w:eastAsia="ja-JP"/>
        </w:rPr>
        <w:t xml:space="preserve"> NEPAD, l’organisme d’application de l’Union africaine, sera </w:t>
      </w:r>
      <w:r w:rsidR="00F7010C">
        <w:rPr>
          <w:rFonts w:asciiTheme="minorHAnsi" w:eastAsia="Yu Mincho" w:hAnsiTheme="minorHAnsi" w:cstheme="minorHAnsi"/>
          <w:lang w:val="fr-CH" w:eastAsia="ja-JP"/>
        </w:rPr>
        <w:t>sollicitée</w:t>
      </w:r>
      <w:r w:rsidRPr="00B926E5">
        <w:rPr>
          <w:rFonts w:asciiTheme="minorHAnsi" w:eastAsia="Yu Mincho" w:hAnsiTheme="minorHAnsi" w:cstheme="minorHAnsi"/>
          <w:lang w:val="fr-CH" w:eastAsia="ja-JP"/>
        </w:rPr>
        <w:t xml:space="preserve">. </w:t>
      </w:r>
    </w:p>
    <w:p w14:paraId="73A91842" w14:textId="77777777" w:rsidR="00CA5E9B" w:rsidRPr="00B926E5" w:rsidRDefault="00CA5E9B" w:rsidP="00CA5E9B">
      <w:pPr>
        <w:numPr>
          <w:ilvl w:val="0"/>
          <w:numId w:val="20"/>
        </w:numPr>
        <w:contextualSpacing/>
        <w:rPr>
          <w:rFonts w:asciiTheme="minorHAnsi" w:eastAsia="Yu Mincho" w:hAnsiTheme="minorHAnsi" w:cstheme="minorHAnsi"/>
          <w:b/>
          <w:lang w:val="fr-CH" w:eastAsia="ja-JP"/>
        </w:rPr>
      </w:pPr>
      <w:r w:rsidRPr="00B926E5">
        <w:rPr>
          <w:rFonts w:asciiTheme="minorHAnsi" w:eastAsia="Yu Mincho" w:hAnsiTheme="minorHAnsi" w:cstheme="minorHAnsi"/>
          <w:b/>
          <w:lang w:val="fr-CH" w:eastAsia="ja-JP"/>
        </w:rPr>
        <w:t xml:space="preserve">Liste des lettres de soutien reçues par les Autorités administratives Ramsar et autres partenaires  </w:t>
      </w:r>
    </w:p>
    <w:p w14:paraId="391498CF" w14:textId="5EEE6004" w:rsidR="00CA5E9B" w:rsidRPr="00B926E5" w:rsidRDefault="00CA5E9B" w:rsidP="00CA5E9B">
      <w:pPr>
        <w:numPr>
          <w:ilvl w:val="0"/>
          <w:numId w:val="18"/>
        </w:numPr>
        <w:contextualSpacing/>
        <w:rPr>
          <w:rFonts w:asciiTheme="minorHAnsi" w:eastAsia="Yu Mincho" w:hAnsiTheme="minorHAnsi" w:cstheme="minorHAnsi"/>
          <w:lang w:val="fr-CH" w:eastAsia="ja-JP"/>
        </w:rPr>
      </w:pPr>
      <w:r w:rsidRPr="00B926E5">
        <w:rPr>
          <w:rFonts w:asciiTheme="minorHAnsi" w:eastAsia="Yu Mincho" w:hAnsiTheme="minorHAnsi" w:cstheme="minorHAnsi"/>
          <w:lang w:val="fr-CH" w:eastAsia="ja-JP"/>
        </w:rPr>
        <w:t xml:space="preserve">Lettres de la Zambie, l’Eswatini, les Seychelles, le Botswana, le Zimbabwe, le Lesotho, le Mozambique, l’Afrique du Sud et Maurice et lettres en préparation par quatre autres Parties contractantes </w:t>
      </w:r>
      <w:r w:rsidR="008352A8">
        <w:rPr>
          <w:rFonts w:asciiTheme="minorHAnsi" w:eastAsia="Yu Mincho" w:hAnsiTheme="minorHAnsi" w:cstheme="minorHAnsi"/>
          <w:lang w:val="fr-CH" w:eastAsia="ja-JP"/>
        </w:rPr>
        <w:t>à la Convention sur les zones humides</w:t>
      </w:r>
      <w:r w:rsidRPr="00B926E5">
        <w:rPr>
          <w:rFonts w:asciiTheme="minorHAnsi" w:eastAsia="Yu Mincho" w:hAnsiTheme="minorHAnsi" w:cstheme="minorHAnsi"/>
          <w:lang w:val="fr-CH" w:eastAsia="ja-JP"/>
        </w:rPr>
        <w:t xml:space="preserve">. </w:t>
      </w:r>
    </w:p>
    <w:p w14:paraId="66370833" w14:textId="77777777" w:rsidR="00CA5E9B" w:rsidRPr="00B926E5" w:rsidRDefault="00CA5E9B" w:rsidP="00A5496C">
      <w:pPr>
        <w:ind w:left="1080" w:firstLine="0"/>
        <w:contextualSpacing/>
        <w:rPr>
          <w:rFonts w:asciiTheme="minorHAnsi" w:eastAsia="Yu Mincho" w:hAnsiTheme="minorHAnsi" w:cstheme="minorHAnsi"/>
          <w:lang w:val="fr-CH" w:eastAsia="ja-JP"/>
        </w:rPr>
      </w:pPr>
    </w:p>
    <w:p w14:paraId="684285E9" w14:textId="708563DA" w:rsidR="00CA5E9B" w:rsidRPr="00B926E5" w:rsidRDefault="00CA5E9B" w:rsidP="00A5496C">
      <w:pPr>
        <w:ind w:left="364" w:firstLine="0"/>
        <w:contextualSpacing/>
        <w:rPr>
          <w:rFonts w:asciiTheme="minorHAnsi" w:eastAsia="Yu Mincho" w:hAnsiTheme="minorHAnsi" w:cstheme="minorHAnsi"/>
          <w:b/>
          <w:lang w:val="fr-CH" w:eastAsia="ja-JP"/>
        </w:rPr>
      </w:pPr>
      <w:r w:rsidRPr="00B926E5">
        <w:rPr>
          <w:rFonts w:asciiTheme="minorHAnsi" w:eastAsia="Yu Mincho" w:hAnsiTheme="minorHAnsi" w:cstheme="minorHAnsi"/>
          <w:b/>
          <w:lang w:val="fr-CH" w:eastAsia="ja-JP"/>
        </w:rPr>
        <w:t>2) Initiative régionale Ramsar pour la Guinée équatoriale</w:t>
      </w:r>
    </w:p>
    <w:p w14:paraId="5B181F5F" w14:textId="77777777" w:rsidR="00CA5E9B" w:rsidRPr="00B926E5" w:rsidRDefault="00CA5E9B" w:rsidP="00A5496C">
      <w:pPr>
        <w:ind w:left="720" w:hanging="360"/>
        <w:rPr>
          <w:rFonts w:asciiTheme="minorHAnsi" w:eastAsia="Yu Mincho" w:hAnsiTheme="minorHAnsi" w:cstheme="minorHAnsi"/>
          <w:lang w:val="fr-CH" w:eastAsia="ja-JP"/>
        </w:rPr>
      </w:pPr>
    </w:p>
    <w:p w14:paraId="477876A6" w14:textId="191B1C1D" w:rsidR="00CA5E9B" w:rsidRPr="00B926E5" w:rsidRDefault="008352A8" w:rsidP="00CA5E9B">
      <w:pPr>
        <w:numPr>
          <w:ilvl w:val="0"/>
          <w:numId w:val="22"/>
        </w:numPr>
        <w:contextualSpacing/>
        <w:rPr>
          <w:rFonts w:asciiTheme="minorHAnsi" w:eastAsia="Yu Mincho" w:hAnsiTheme="minorHAnsi" w:cstheme="minorHAnsi"/>
          <w:b/>
          <w:i/>
          <w:lang w:val="fr-CH" w:eastAsia="ja-JP"/>
        </w:rPr>
      </w:pPr>
      <w:r>
        <w:rPr>
          <w:rFonts w:asciiTheme="minorHAnsi" w:eastAsia="Yu Mincho" w:hAnsiTheme="minorHAnsi" w:cstheme="minorHAnsi"/>
          <w:b/>
          <w:i/>
          <w:lang w:val="fr-CH" w:eastAsia="ja-JP"/>
        </w:rPr>
        <w:t>B</w:t>
      </w:r>
      <w:r w:rsidR="00CA5E9B" w:rsidRPr="00B926E5">
        <w:rPr>
          <w:rFonts w:asciiTheme="minorHAnsi" w:eastAsia="Yu Mincho" w:hAnsiTheme="minorHAnsi" w:cstheme="minorHAnsi"/>
          <w:b/>
          <w:i/>
          <w:lang w:val="fr-CH" w:eastAsia="ja-JP"/>
        </w:rPr>
        <w:t>ut de l’Initiative régionale Ramsar pour la Guinée équatoriale</w:t>
      </w:r>
    </w:p>
    <w:p w14:paraId="736C90CC" w14:textId="77777777" w:rsidR="00CA5E9B" w:rsidRPr="00B926E5" w:rsidRDefault="00CA5E9B" w:rsidP="00A5496C">
      <w:pPr>
        <w:ind w:left="720" w:firstLine="0"/>
        <w:contextualSpacing/>
        <w:rPr>
          <w:rFonts w:asciiTheme="minorHAnsi" w:eastAsia="Yu Mincho" w:hAnsiTheme="minorHAnsi" w:cstheme="minorHAnsi"/>
          <w:b/>
          <w:lang w:val="fr-CH" w:eastAsia="ja-JP"/>
        </w:rPr>
      </w:pPr>
    </w:p>
    <w:p w14:paraId="26FBE1CA" w14:textId="77777777" w:rsidR="00CA5E9B" w:rsidRPr="00B926E5" w:rsidRDefault="00CA5E9B" w:rsidP="00CA5E9B">
      <w:pPr>
        <w:numPr>
          <w:ilvl w:val="0"/>
          <w:numId w:val="20"/>
        </w:numPr>
        <w:contextualSpacing/>
        <w:rPr>
          <w:rFonts w:asciiTheme="minorHAnsi" w:eastAsia="Yu Mincho" w:hAnsiTheme="minorHAnsi" w:cstheme="minorHAnsi"/>
          <w:b/>
          <w:lang w:val="fr-CH" w:eastAsia="ja-JP"/>
        </w:rPr>
      </w:pPr>
      <w:r w:rsidRPr="00B926E5">
        <w:rPr>
          <w:rFonts w:asciiTheme="minorHAnsi" w:eastAsia="Yu Mincho" w:hAnsiTheme="minorHAnsi" w:cstheme="minorHAnsi"/>
          <w:b/>
          <w:iCs/>
          <w:lang w:val="fr-CH" w:eastAsia="ja-JP"/>
        </w:rPr>
        <w:t>Les IRR</w:t>
      </w:r>
      <w:r w:rsidRPr="00B926E5">
        <w:rPr>
          <w:rFonts w:asciiTheme="minorHAnsi" w:eastAsia="Yu Mincho" w:hAnsiTheme="minorHAnsi" w:cstheme="minorHAnsi"/>
          <w:b/>
          <w:lang w:val="fr-CH" w:eastAsia="ja-JP"/>
        </w:rPr>
        <w:t xml:space="preserve"> sont des moyens opérationnels de fournir un appui efficace pour une mise en œuvre améliorée des objectifs de la Convention et de son Plan stratégique et de renforcer la visibilité de la Convention dans une région donnée</w:t>
      </w:r>
    </w:p>
    <w:p w14:paraId="2811C9A4" w14:textId="5EE9A145" w:rsidR="00CA5E9B" w:rsidRPr="00B926E5" w:rsidRDefault="00CA5E9B" w:rsidP="00CA5E9B">
      <w:pPr>
        <w:numPr>
          <w:ilvl w:val="0"/>
          <w:numId w:val="18"/>
        </w:numPr>
        <w:ind w:left="1077"/>
        <w:contextualSpacing/>
        <w:rPr>
          <w:rFonts w:asciiTheme="minorHAnsi" w:eastAsia="Yu Mincho" w:hAnsiTheme="minorHAnsi" w:cstheme="minorHAnsi"/>
          <w:lang w:val="fr-CH" w:eastAsia="ja-JP"/>
        </w:rPr>
      </w:pPr>
      <w:r w:rsidRPr="00B926E5">
        <w:rPr>
          <w:rFonts w:asciiTheme="minorHAnsi" w:eastAsia="Yu Mincho" w:hAnsiTheme="minorHAnsi" w:cstheme="minorHAnsi"/>
          <w:lang w:val="fr-CH" w:eastAsia="ja-JP"/>
        </w:rPr>
        <w:t>L’Initiative</w:t>
      </w:r>
      <w:r w:rsidR="00E34FAB">
        <w:rPr>
          <w:rFonts w:asciiTheme="minorHAnsi" w:eastAsia="Yu Mincho" w:hAnsiTheme="minorHAnsi" w:cstheme="minorHAnsi"/>
          <w:lang w:val="fr-CH" w:eastAsia="ja-JP"/>
        </w:rPr>
        <w:t xml:space="preserve"> régionale Ramsar</w:t>
      </w:r>
      <w:r w:rsidRPr="00B926E5">
        <w:rPr>
          <w:rFonts w:asciiTheme="minorHAnsi" w:eastAsia="Yu Mincho" w:hAnsiTheme="minorHAnsi" w:cstheme="minorHAnsi"/>
          <w:lang w:val="fr-CH" w:eastAsia="ja-JP"/>
        </w:rPr>
        <w:t xml:space="preserve"> pour la Guinée équatoriale identifier</w:t>
      </w:r>
      <w:r>
        <w:rPr>
          <w:rFonts w:asciiTheme="minorHAnsi" w:eastAsia="Yu Mincho" w:hAnsiTheme="minorHAnsi" w:cstheme="minorHAnsi"/>
          <w:lang w:val="fr-CH" w:eastAsia="ja-JP"/>
        </w:rPr>
        <w:t>a</w:t>
      </w:r>
      <w:r w:rsidRPr="00B926E5">
        <w:rPr>
          <w:rFonts w:asciiTheme="minorHAnsi" w:eastAsia="Yu Mincho" w:hAnsiTheme="minorHAnsi" w:cstheme="minorHAnsi"/>
          <w:lang w:val="fr-CH" w:eastAsia="ja-JP"/>
        </w:rPr>
        <w:t xml:space="preserve"> et </w:t>
      </w:r>
      <w:r>
        <w:rPr>
          <w:rFonts w:asciiTheme="minorHAnsi" w:eastAsia="Yu Mincho" w:hAnsiTheme="minorHAnsi" w:cstheme="minorHAnsi"/>
          <w:lang w:val="fr-CH" w:eastAsia="ja-JP"/>
        </w:rPr>
        <w:t>évaluera de nouvelles zones humides à inscrire sur la Liste des Sites Ramsar, encouragera l’utilisation rationnelle et intégrera les zones humides dans la politique ou les stratégies et plans nationaux/locaux.</w:t>
      </w:r>
    </w:p>
    <w:p w14:paraId="4D716874" w14:textId="0A3EF2E4" w:rsidR="00CA5E9B" w:rsidRPr="00E34FAB" w:rsidRDefault="00E34FAB" w:rsidP="00B605D1">
      <w:pPr>
        <w:numPr>
          <w:ilvl w:val="0"/>
          <w:numId w:val="20"/>
        </w:numPr>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 xml:space="preserve">Comment l’IRR harmonise-t-elle ses activités et objectifs opérationnels avec les objectifs du Plan stratégique de la Convention </w:t>
      </w:r>
      <w:r w:rsidRPr="00301E09">
        <w:rPr>
          <w:rFonts w:asciiTheme="minorHAnsi" w:eastAsia="Yu Mincho" w:hAnsiTheme="minorHAnsi" w:cstheme="minorHAnsi"/>
          <w:b/>
          <w:lang w:val="fr-CH" w:eastAsia="ja-JP"/>
        </w:rPr>
        <w:t>2016-2024</w:t>
      </w:r>
    </w:p>
    <w:p w14:paraId="12C0F5BF" w14:textId="4D22DE80" w:rsidR="00CA5E9B" w:rsidRPr="00B926E5" w:rsidRDefault="00CA5E9B" w:rsidP="00CA5E9B">
      <w:pPr>
        <w:numPr>
          <w:ilvl w:val="0"/>
          <w:numId w:val="18"/>
        </w:numPr>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L’I</w:t>
      </w:r>
      <w:r w:rsidR="00E34FAB">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pour la Guinée équatoriale s’efforcera d’œuvrer pour la gestion durable de tous les écosystèmes de zones humides du pays, </w:t>
      </w:r>
      <w:r w:rsidR="00E34FAB">
        <w:rPr>
          <w:rFonts w:asciiTheme="minorHAnsi" w:eastAsia="Yu Mincho" w:hAnsiTheme="minorHAnsi" w:cstheme="minorHAnsi"/>
          <w:lang w:val="fr-CH" w:eastAsia="ja-JP"/>
        </w:rPr>
        <w:t>pour</w:t>
      </w:r>
      <w:r>
        <w:rPr>
          <w:rFonts w:asciiTheme="minorHAnsi" w:eastAsia="Yu Mincho" w:hAnsiTheme="minorHAnsi" w:cstheme="minorHAnsi"/>
          <w:lang w:val="fr-CH" w:eastAsia="ja-JP"/>
        </w:rPr>
        <w:t xml:space="preserve"> leur inscription sur la Liste de Ramsar, leur utilisation rationnelle et leur intégration dans la politique en faisant porter l’accent sur les buts du Plan stratégique et les objectifs </w:t>
      </w:r>
      <w:r w:rsidRPr="00B926E5">
        <w:rPr>
          <w:rFonts w:asciiTheme="minorHAnsi" w:eastAsia="Yu Mincho" w:hAnsiTheme="minorHAnsi" w:cstheme="minorHAnsi"/>
          <w:lang w:val="fr-CH" w:eastAsia="ja-JP"/>
        </w:rPr>
        <w:t xml:space="preserve">9,11,13 </w:t>
      </w:r>
      <w:r>
        <w:rPr>
          <w:rFonts w:asciiTheme="minorHAnsi" w:eastAsia="Yu Mincho" w:hAnsiTheme="minorHAnsi" w:cstheme="minorHAnsi"/>
          <w:lang w:val="fr-CH" w:eastAsia="ja-JP"/>
        </w:rPr>
        <w:t>et </w:t>
      </w:r>
      <w:r w:rsidRPr="00B926E5">
        <w:rPr>
          <w:rFonts w:asciiTheme="minorHAnsi" w:eastAsia="Yu Mincho" w:hAnsiTheme="minorHAnsi" w:cstheme="minorHAnsi"/>
          <w:lang w:val="fr-CH" w:eastAsia="ja-JP"/>
        </w:rPr>
        <w:t>18.</w:t>
      </w:r>
    </w:p>
    <w:p w14:paraId="0FA05E6E" w14:textId="5DFEB869" w:rsidR="00CA5E9B" w:rsidRPr="00B926E5" w:rsidRDefault="00E34FAB" w:rsidP="00CA5E9B">
      <w:pPr>
        <w:numPr>
          <w:ilvl w:val="0"/>
          <w:numId w:val="20"/>
        </w:numPr>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R</w:t>
      </w:r>
      <w:r w:rsidR="00CA5E9B" w:rsidRPr="00B926E5">
        <w:rPr>
          <w:rFonts w:asciiTheme="minorHAnsi" w:eastAsia="Yu Mincho" w:hAnsiTheme="minorHAnsi" w:cstheme="minorHAnsi"/>
          <w:b/>
          <w:lang w:val="fr-CH" w:eastAsia="ja-JP"/>
        </w:rPr>
        <w:t>égion géographique et liste de pays qui participeront activement</w:t>
      </w:r>
    </w:p>
    <w:p w14:paraId="165364BA" w14:textId="72285C1E" w:rsidR="00CA5E9B" w:rsidRPr="00B926E5" w:rsidRDefault="00CA5E9B" w:rsidP="00CA5E9B">
      <w:pPr>
        <w:numPr>
          <w:ilvl w:val="0"/>
          <w:numId w:val="18"/>
        </w:numPr>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L’I</w:t>
      </w:r>
      <w:r w:rsidR="00E34FAB">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pour la Guinée équatoriale vise à entreprendre une étude technique pour comprendre la situation des zones humides (mangroves, deltas, tourbières, lagunes, marais, marécages, lacs) du pays.</w:t>
      </w:r>
    </w:p>
    <w:p w14:paraId="184BE0FB" w14:textId="110FBC16" w:rsidR="00CA5E9B" w:rsidRPr="00B926E5" w:rsidRDefault="003F4C1B" w:rsidP="00CA5E9B">
      <w:pPr>
        <w:numPr>
          <w:ilvl w:val="0"/>
          <w:numId w:val="20"/>
        </w:numPr>
        <w:contextualSpacing/>
        <w:rPr>
          <w:rFonts w:asciiTheme="minorHAnsi" w:eastAsia="Yu Mincho" w:hAnsiTheme="minorHAnsi" w:cstheme="minorHAnsi"/>
          <w:lang w:val="fr-CH" w:eastAsia="ja-JP"/>
        </w:rPr>
      </w:pPr>
      <w:r>
        <w:rPr>
          <w:rFonts w:asciiTheme="minorHAnsi" w:eastAsia="Yu Mincho" w:hAnsiTheme="minorHAnsi" w:cstheme="minorHAnsi"/>
          <w:b/>
          <w:lang w:val="fr-CH" w:eastAsia="ja-JP"/>
        </w:rPr>
        <w:t>Liste des Autorités administratives Ramsar de l’IRR et de tous les participants tels que les ministères autres que ceux qui sont responsables de l’application de la Convention sur les zones humides, les organismes intergouvernementaux, les Organisations internationales partenaires (OIP) de la Convention sur les zones humides, les communautés locales, ONG, acteurs économiques, etc. que l’IRR fera participer</w:t>
      </w:r>
      <w:r w:rsidR="00CA5E9B" w:rsidRPr="00B926E5">
        <w:rPr>
          <w:rFonts w:asciiTheme="minorHAnsi" w:eastAsia="Yu Mincho" w:hAnsiTheme="minorHAnsi" w:cstheme="minorHAnsi"/>
          <w:lang w:val="fr-CH" w:eastAsia="ja-JP"/>
        </w:rPr>
        <w:t xml:space="preserve"> </w:t>
      </w:r>
    </w:p>
    <w:p w14:paraId="3202B382" w14:textId="15C9D976" w:rsidR="00CA5E9B" w:rsidRPr="00B926E5" w:rsidRDefault="00CA5E9B" w:rsidP="00CA5E9B">
      <w:pPr>
        <w:numPr>
          <w:ilvl w:val="0"/>
          <w:numId w:val="18"/>
        </w:numPr>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 xml:space="preserve">Différentes institutions sont énumérées, notamment le Ministère de l’intérieur et </w:t>
      </w:r>
      <w:r w:rsidR="003F4C1B">
        <w:rPr>
          <w:rFonts w:asciiTheme="minorHAnsi" w:eastAsia="Yu Mincho" w:hAnsiTheme="minorHAnsi" w:cstheme="minorHAnsi"/>
          <w:lang w:val="fr-CH" w:eastAsia="ja-JP"/>
        </w:rPr>
        <w:t>d</w:t>
      </w:r>
      <w:r>
        <w:rPr>
          <w:rFonts w:asciiTheme="minorHAnsi" w:eastAsia="Yu Mincho" w:hAnsiTheme="minorHAnsi" w:cstheme="minorHAnsi"/>
          <w:lang w:val="fr-CH" w:eastAsia="ja-JP"/>
        </w:rPr>
        <w:t xml:space="preserve">es administrations locales </w:t>
      </w:r>
      <w:r w:rsidRPr="00B926E5">
        <w:rPr>
          <w:rFonts w:asciiTheme="minorHAnsi" w:eastAsia="Yu Mincho" w:hAnsiTheme="minorHAnsi" w:cstheme="minorHAnsi"/>
          <w:lang w:val="fr-CH" w:eastAsia="ja-JP"/>
        </w:rPr>
        <w:t xml:space="preserve">(MICL), </w:t>
      </w:r>
      <w:r>
        <w:rPr>
          <w:rFonts w:asciiTheme="minorHAnsi" w:eastAsia="Yu Mincho" w:hAnsiTheme="minorHAnsi" w:cstheme="minorHAnsi"/>
          <w:lang w:val="fr-CH" w:eastAsia="ja-JP"/>
        </w:rPr>
        <w:t>le Ministère de l’économie, des finances et du budget, les autorités locales dans les zones d’influence, l’Institut national pour le développement forestier et la gestion des aires protégées (INDEFOR</w:t>
      </w:r>
      <w:r>
        <w:rPr>
          <w:rFonts w:asciiTheme="minorHAnsi" w:eastAsia="Yu Mincho" w:hAnsiTheme="minorHAnsi" w:cstheme="minorHAnsi"/>
          <w:lang w:val="fr-CH" w:eastAsia="ja-JP"/>
        </w:rPr>
        <w:noBreakHyphen/>
      </w:r>
      <w:r w:rsidRPr="00B926E5">
        <w:rPr>
          <w:rFonts w:asciiTheme="minorHAnsi" w:eastAsia="Yu Mincho" w:hAnsiTheme="minorHAnsi" w:cstheme="minorHAnsi"/>
          <w:lang w:val="fr-CH" w:eastAsia="ja-JP"/>
        </w:rPr>
        <w:t xml:space="preserve">AP), </w:t>
      </w:r>
      <w:r>
        <w:rPr>
          <w:rFonts w:asciiTheme="minorHAnsi" w:eastAsia="Yu Mincho" w:hAnsiTheme="minorHAnsi" w:cstheme="minorHAnsi"/>
          <w:lang w:val="fr-CH" w:eastAsia="ja-JP"/>
        </w:rPr>
        <w:t xml:space="preserve">l’Institut national pour la conservation de l’environnement </w:t>
      </w:r>
      <w:r w:rsidRPr="00B926E5">
        <w:rPr>
          <w:rFonts w:asciiTheme="minorHAnsi" w:eastAsia="Yu Mincho" w:hAnsiTheme="minorHAnsi" w:cstheme="minorHAnsi"/>
          <w:lang w:val="fr-CH" w:eastAsia="ja-JP"/>
        </w:rPr>
        <w:t xml:space="preserve">(INCOMA), </w:t>
      </w:r>
      <w:r>
        <w:rPr>
          <w:rFonts w:asciiTheme="minorHAnsi" w:eastAsia="Yu Mincho" w:hAnsiTheme="minorHAnsi" w:cstheme="minorHAnsi"/>
          <w:lang w:val="fr-CH" w:eastAsia="ja-JP"/>
        </w:rPr>
        <w:t>l’OMS</w:t>
      </w:r>
      <w:r w:rsidRPr="00B926E5">
        <w:rPr>
          <w:rFonts w:asciiTheme="minorHAnsi" w:eastAsia="Yu Mincho" w:hAnsiTheme="minorHAnsi" w:cstheme="minorHAnsi"/>
          <w:lang w:val="fr-CH" w:eastAsia="ja-JP"/>
        </w:rPr>
        <w:t xml:space="preserve">, </w:t>
      </w:r>
      <w:r>
        <w:rPr>
          <w:rFonts w:asciiTheme="minorHAnsi" w:eastAsia="Yu Mincho" w:hAnsiTheme="minorHAnsi" w:cstheme="minorHAnsi"/>
          <w:lang w:val="fr-CH" w:eastAsia="ja-JP"/>
        </w:rPr>
        <w:t>le PNUD</w:t>
      </w:r>
      <w:r w:rsidRPr="00B926E5">
        <w:rPr>
          <w:rFonts w:asciiTheme="minorHAnsi" w:eastAsia="Yu Mincho" w:hAnsiTheme="minorHAnsi" w:cstheme="minorHAnsi"/>
          <w:lang w:val="fr-CH" w:eastAsia="ja-JP"/>
        </w:rPr>
        <w:t xml:space="preserve">, </w:t>
      </w:r>
      <w:r>
        <w:rPr>
          <w:rFonts w:asciiTheme="minorHAnsi" w:eastAsia="Yu Mincho" w:hAnsiTheme="minorHAnsi" w:cstheme="minorHAnsi"/>
          <w:lang w:val="fr-CH" w:eastAsia="ja-JP"/>
        </w:rPr>
        <w:t xml:space="preserve">la </w:t>
      </w:r>
      <w:r w:rsidRPr="00B926E5">
        <w:rPr>
          <w:rFonts w:asciiTheme="minorHAnsi" w:eastAsia="Yu Mincho" w:hAnsiTheme="minorHAnsi" w:cstheme="minorHAnsi"/>
          <w:lang w:val="fr-CH" w:eastAsia="ja-JP"/>
        </w:rPr>
        <w:t xml:space="preserve">FAO, </w:t>
      </w:r>
      <w:r>
        <w:rPr>
          <w:rFonts w:asciiTheme="minorHAnsi" w:eastAsia="Yu Mincho" w:hAnsiTheme="minorHAnsi" w:cstheme="minorHAnsi"/>
          <w:lang w:val="fr-CH" w:eastAsia="ja-JP"/>
        </w:rPr>
        <w:t>l’</w:t>
      </w:r>
      <w:r w:rsidRPr="00B926E5">
        <w:rPr>
          <w:rFonts w:asciiTheme="minorHAnsi" w:eastAsia="Yu Mincho" w:hAnsiTheme="minorHAnsi" w:cstheme="minorHAnsi"/>
          <w:lang w:val="fr-CH" w:eastAsia="ja-JP"/>
        </w:rPr>
        <w:t>UNICEF</w:t>
      </w:r>
      <w:r>
        <w:rPr>
          <w:rFonts w:asciiTheme="minorHAnsi" w:eastAsia="Yu Mincho" w:hAnsiTheme="minorHAnsi" w:cstheme="minorHAnsi"/>
          <w:lang w:val="fr-CH" w:eastAsia="ja-JP"/>
        </w:rPr>
        <w:t>, les ONG :</w:t>
      </w:r>
      <w:r w:rsidRPr="00B926E5">
        <w:rPr>
          <w:rFonts w:asciiTheme="minorHAnsi" w:eastAsia="Yu Mincho" w:hAnsiTheme="minorHAnsi" w:cstheme="minorHAnsi"/>
          <w:lang w:val="fr-CH" w:eastAsia="ja-JP"/>
        </w:rPr>
        <w:t xml:space="preserve"> </w:t>
      </w:r>
      <w:r w:rsidRPr="00B926E5">
        <w:rPr>
          <w:rFonts w:asciiTheme="minorHAnsi" w:eastAsia="Yu Mincho" w:hAnsiTheme="minorHAnsi" w:cstheme="minorHAnsi"/>
          <w:lang w:val="fr-CH" w:eastAsia="ja-JP"/>
        </w:rPr>
        <w:lastRenderedPageBreak/>
        <w:t xml:space="preserve">ANDEGE, ADELO, ECOGUINEA, TOMAGE, BBPP, WCS. </w:t>
      </w:r>
      <w:r>
        <w:rPr>
          <w:rFonts w:asciiTheme="minorHAnsi" w:eastAsia="Yu Mincho" w:hAnsiTheme="minorHAnsi" w:cstheme="minorHAnsi"/>
          <w:lang w:val="fr-CH" w:eastAsia="ja-JP"/>
        </w:rPr>
        <w:t>Toutes ont un siège en Guinée équatoriale.</w:t>
      </w:r>
    </w:p>
    <w:p w14:paraId="2CAD5027" w14:textId="77777777" w:rsidR="00CA5E9B" w:rsidRPr="00B926E5" w:rsidRDefault="00CA5E9B" w:rsidP="00A5496C">
      <w:pPr>
        <w:ind w:left="1080" w:firstLine="0"/>
        <w:contextualSpacing/>
        <w:rPr>
          <w:rFonts w:asciiTheme="minorHAnsi" w:eastAsia="Yu Mincho" w:hAnsiTheme="minorHAnsi" w:cstheme="minorHAnsi"/>
          <w:lang w:val="fr-CH" w:eastAsia="ja-JP"/>
        </w:rPr>
      </w:pPr>
    </w:p>
    <w:p w14:paraId="0FE8BE6A" w14:textId="77777777" w:rsidR="00CA5E9B" w:rsidRPr="00B926E5" w:rsidRDefault="00CA5E9B" w:rsidP="00CA5E9B">
      <w:pPr>
        <w:numPr>
          <w:ilvl w:val="0"/>
          <w:numId w:val="22"/>
        </w:numPr>
        <w:contextualSpacing/>
        <w:rPr>
          <w:rFonts w:asciiTheme="minorHAnsi" w:eastAsia="Yu Mincho" w:hAnsiTheme="minorHAnsi" w:cstheme="minorHAnsi"/>
          <w:b/>
          <w:i/>
          <w:lang w:val="fr-CH" w:eastAsia="ja-JP"/>
        </w:rPr>
      </w:pPr>
      <w:r w:rsidRPr="00B926E5">
        <w:rPr>
          <w:rFonts w:asciiTheme="minorHAnsi" w:eastAsia="Yu Mincho" w:hAnsiTheme="minorHAnsi" w:cstheme="minorHAnsi"/>
          <w:b/>
          <w:i/>
          <w:lang w:val="fr-CH" w:eastAsia="ja-JP"/>
        </w:rPr>
        <w:t xml:space="preserve">Mécanismes de coordination </w:t>
      </w:r>
    </w:p>
    <w:p w14:paraId="6EDD9E9A" w14:textId="77777777" w:rsidR="00CA5E9B" w:rsidRPr="00B926E5" w:rsidRDefault="00CA5E9B" w:rsidP="00A5496C">
      <w:pPr>
        <w:ind w:left="0" w:firstLine="0"/>
        <w:rPr>
          <w:rFonts w:asciiTheme="minorHAnsi" w:eastAsia="Yu Mincho" w:hAnsiTheme="minorHAnsi" w:cstheme="minorHAnsi"/>
          <w:b/>
          <w:lang w:val="fr-CH" w:eastAsia="ja-JP"/>
        </w:rPr>
      </w:pPr>
    </w:p>
    <w:p w14:paraId="471A7FB1" w14:textId="15E295C9" w:rsidR="00CA5E9B" w:rsidRPr="00CC2342" w:rsidRDefault="00CC2342" w:rsidP="00CC2342">
      <w:pPr>
        <w:numPr>
          <w:ilvl w:val="0"/>
          <w:numId w:val="20"/>
        </w:numPr>
        <w:ind w:left="720"/>
        <w:contextualSpacing/>
        <w:rPr>
          <w:rFonts w:asciiTheme="minorHAnsi" w:eastAsia="Yu Mincho" w:hAnsiTheme="minorHAnsi" w:cstheme="minorHAnsi"/>
          <w:b/>
          <w:lang w:val="fr-CH" w:eastAsia="ja-JP"/>
        </w:rPr>
      </w:pPr>
      <w:r w:rsidRPr="000C73AA">
        <w:rPr>
          <w:rFonts w:asciiTheme="minorHAnsi" w:eastAsia="Yu Mincho" w:hAnsiTheme="minorHAnsi" w:cstheme="minorHAnsi"/>
          <w:b/>
          <w:lang w:val="fr-CH" w:eastAsia="ja-JP"/>
        </w:rPr>
        <w:t xml:space="preserve">Plan de l’IRR pour </w:t>
      </w:r>
      <w:r>
        <w:rPr>
          <w:rFonts w:asciiTheme="minorHAnsi" w:eastAsia="Yu Mincho" w:hAnsiTheme="minorHAnsi" w:cstheme="minorHAnsi"/>
          <w:b/>
          <w:lang w:val="fr-CH" w:eastAsia="ja-JP"/>
        </w:rPr>
        <w:t>assurer</w:t>
      </w:r>
      <w:r w:rsidRPr="000C73AA">
        <w:rPr>
          <w:rFonts w:asciiTheme="minorHAnsi" w:eastAsia="Yu Mincho" w:hAnsiTheme="minorHAnsi" w:cstheme="minorHAnsi"/>
          <w:b/>
          <w:lang w:val="fr-CH" w:eastAsia="ja-JP"/>
        </w:rPr>
        <w:t xml:space="preserve"> la coordination entre les Parties et autres membres de l’IRR. Fonctions de coordination assignées à tour de rôle aux Parties ou </w:t>
      </w:r>
      <w:r>
        <w:rPr>
          <w:rFonts w:asciiTheme="minorHAnsi" w:eastAsia="Yu Mincho" w:hAnsiTheme="minorHAnsi" w:cstheme="minorHAnsi"/>
          <w:b/>
          <w:lang w:val="fr-CH" w:eastAsia="ja-JP"/>
        </w:rPr>
        <w:t xml:space="preserve">aux </w:t>
      </w:r>
      <w:r w:rsidRPr="000C73AA">
        <w:rPr>
          <w:rFonts w:asciiTheme="minorHAnsi" w:eastAsia="Yu Mincho" w:hAnsiTheme="minorHAnsi" w:cstheme="minorHAnsi"/>
          <w:b/>
          <w:lang w:val="fr-CH" w:eastAsia="ja-JP"/>
        </w:rPr>
        <w:t xml:space="preserve">institutions qui participent et modalités à inscrire dans un accord régional </w:t>
      </w:r>
    </w:p>
    <w:p w14:paraId="5EA18BFB" w14:textId="4F27CCE3" w:rsidR="00CA5E9B" w:rsidRPr="00B926E5" w:rsidRDefault="00CA5E9B" w:rsidP="00CA5E9B">
      <w:pPr>
        <w:numPr>
          <w:ilvl w:val="0"/>
          <w:numId w:val="18"/>
        </w:numPr>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I</w:t>
      </w:r>
      <w:r w:rsidR="00CC2342">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pour la Guinée équatoriale : Le bureau technique de la Convention de Ramsar coordonnera toutes les activités au sein du Ministère de l’agriculture, du bétail, de la foresterie et de l’environnement de la Guinée équatoriale. </w:t>
      </w:r>
    </w:p>
    <w:p w14:paraId="5381784E" w14:textId="17A12867" w:rsidR="00187E6D" w:rsidRPr="00187E6D" w:rsidRDefault="00065BBF" w:rsidP="00065BBF">
      <w:pPr>
        <w:tabs>
          <w:tab w:val="left" w:pos="851"/>
        </w:tabs>
        <w:ind w:left="851"/>
        <w:contextualSpacing/>
        <w:rPr>
          <w:rFonts w:asciiTheme="minorHAnsi" w:eastAsia="Yu Mincho" w:hAnsiTheme="minorHAnsi" w:cstheme="minorHAnsi"/>
          <w:lang w:val="fr-CH" w:eastAsia="ja-JP"/>
        </w:rPr>
      </w:pPr>
      <w:r>
        <w:rPr>
          <w:rFonts w:asciiTheme="minorHAnsi" w:eastAsia="Yu Mincho" w:hAnsiTheme="minorHAnsi" w:cstheme="minorHAnsi"/>
          <w:b/>
          <w:lang w:val="fr-CH" w:eastAsia="ja-JP"/>
        </w:rPr>
        <w:t>25.</w:t>
      </w:r>
      <w:r>
        <w:rPr>
          <w:rFonts w:asciiTheme="minorHAnsi" w:eastAsia="Yu Mincho" w:hAnsiTheme="minorHAnsi" w:cstheme="minorHAnsi"/>
          <w:b/>
          <w:lang w:val="fr-CH" w:eastAsia="ja-JP"/>
        </w:rPr>
        <w:tab/>
      </w:r>
      <w:r w:rsidR="00187E6D" w:rsidRPr="00301E09">
        <w:rPr>
          <w:rFonts w:asciiTheme="minorHAnsi" w:eastAsia="Yu Mincho" w:hAnsiTheme="minorHAnsi" w:cstheme="minorHAnsi"/>
          <w:b/>
          <w:lang w:val="fr-CH" w:eastAsia="ja-JP"/>
        </w:rPr>
        <w:t xml:space="preserve">Plans </w:t>
      </w:r>
      <w:r w:rsidR="00187E6D">
        <w:rPr>
          <w:rFonts w:asciiTheme="minorHAnsi" w:eastAsia="Yu Mincho" w:hAnsiTheme="minorHAnsi" w:cstheme="minorHAnsi"/>
          <w:b/>
          <w:lang w:val="fr-CH" w:eastAsia="ja-JP"/>
        </w:rPr>
        <w:t>en vue de développer une identité propre, un logo spécifique (à utiliser en association avec le logo Ramsar) pour éviter toute confusion entre son rôle et ceux des Autorités administratives Ramsar et du Secrétariat</w:t>
      </w:r>
      <w:r w:rsidR="00A12600">
        <w:rPr>
          <w:rFonts w:asciiTheme="minorHAnsi" w:eastAsia="Yu Mincho" w:hAnsiTheme="minorHAnsi" w:cstheme="minorHAnsi"/>
          <w:b/>
          <w:lang w:val="fr-CH" w:eastAsia="ja-JP"/>
        </w:rPr>
        <w:t>,</w:t>
      </w:r>
      <w:r w:rsidR="00187E6D">
        <w:rPr>
          <w:rFonts w:asciiTheme="minorHAnsi" w:eastAsia="Yu Mincho" w:hAnsiTheme="minorHAnsi" w:cstheme="minorHAnsi"/>
          <w:b/>
          <w:lang w:val="fr-CH" w:eastAsia="ja-JP"/>
        </w:rPr>
        <w:t xml:space="preserve"> et d’établir et régulièrement mettre à jour un site web pour l’IRR</w:t>
      </w:r>
    </w:p>
    <w:p w14:paraId="40C6E73D" w14:textId="02A917AD" w:rsidR="00CA5E9B" w:rsidRPr="00B926E5" w:rsidRDefault="00CA5E9B" w:rsidP="00FD27E3">
      <w:pPr>
        <w:numPr>
          <w:ilvl w:val="0"/>
          <w:numId w:val="18"/>
        </w:numPr>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L’I</w:t>
      </w:r>
      <w:r w:rsidR="00187E6D">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pour la Guinée équatoriale ne fournit pas d’information</w:t>
      </w:r>
      <w:r w:rsidR="00A12600">
        <w:rPr>
          <w:rFonts w:asciiTheme="minorHAnsi" w:eastAsia="Yu Mincho" w:hAnsiTheme="minorHAnsi" w:cstheme="minorHAnsi"/>
          <w:lang w:val="fr-CH" w:eastAsia="ja-JP"/>
        </w:rPr>
        <w:t>s</w:t>
      </w:r>
      <w:r>
        <w:rPr>
          <w:rFonts w:asciiTheme="minorHAnsi" w:eastAsia="Yu Mincho" w:hAnsiTheme="minorHAnsi" w:cstheme="minorHAnsi"/>
          <w:lang w:val="fr-CH" w:eastAsia="ja-JP"/>
        </w:rPr>
        <w:t xml:space="preserve"> concrète</w:t>
      </w:r>
      <w:r w:rsidR="00A12600">
        <w:rPr>
          <w:rFonts w:asciiTheme="minorHAnsi" w:eastAsia="Yu Mincho" w:hAnsiTheme="minorHAnsi" w:cstheme="minorHAnsi"/>
          <w:lang w:val="fr-CH" w:eastAsia="ja-JP"/>
        </w:rPr>
        <w:t>s</w:t>
      </w:r>
      <w:r>
        <w:rPr>
          <w:rFonts w:asciiTheme="minorHAnsi" w:eastAsia="Yu Mincho" w:hAnsiTheme="minorHAnsi" w:cstheme="minorHAnsi"/>
          <w:lang w:val="fr-CH" w:eastAsia="ja-JP"/>
        </w:rPr>
        <w:t xml:space="preserve">. </w:t>
      </w:r>
    </w:p>
    <w:p w14:paraId="29A1E34E" w14:textId="7FB49E30" w:rsidR="00CA5E9B" w:rsidRPr="00B926E5" w:rsidRDefault="00065BBF" w:rsidP="00FD27E3">
      <w:pPr>
        <w:ind w:left="851" w:hanging="491"/>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26.</w:t>
      </w:r>
      <w:r>
        <w:rPr>
          <w:rFonts w:asciiTheme="minorHAnsi" w:eastAsia="Yu Mincho" w:hAnsiTheme="minorHAnsi" w:cstheme="minorHAnsi"/>
          <w:b/>
          <w:lang w:val="fr-CH" w:eastAsia="ja-JP"/>
        </w:rPr>
        <w:tab/>
      </w:r>
      <w:r w:rsidR="0060657C">
        <w:rPr>
          <w:rFonts w:asciiTheme="minorHAnsi" w:eastAsia="Yu Mincho" w:hAnsiTheme="minorHAnsi" w:cstheme="minorHAnsi"/>
          <w:b/>
          <w:lang w:val="fr-CH" w:eastAsia="ja-JP"/>
        </w:rPr>
        <w:t>Plans de l’IRR pour coordonner des projets ou programmes régionaux déjà en cours ou élaborés dans le cadre de l’IRR avec un personnel professionnel qui participera à leur application ou supervision</w:t>
      </w:r>
    </w:p>
    <w:p w14:paraId="429A0080" w14:textId="4621AAF3" w:rsidR="00CA5E9B" w:rsidRPr="00B926E5" w:rsidRDefault="00CA5E9B" w:rsidP="00CA5E9B">
      <w:pPr>
        <w:numPr>
          <w:ilvl w:val="0"/>
          <w:numId w:val="18"/>
        </w:numPr>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L’I</w:t>
      </w:r>
      <w:r w:rsidR="00065BBF">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pour la Guinée équatoriale ne fournit aucune information. </w:t>
      </w:r>
    </w:p>
    <w:p w14:paraId="29120E2F" w14:textId="77777777" w:rsidR="00CA5E9B" w:rsidRPr="00B926E5" w:rsidRDefault="00CA5E9B" w:rsidP="00A5496C">
      <w:pPr>
        <w:ind w:left="1080" w:firstLine="0"/>
        <w:contextualSpacing/>
        <w:rPr>
          <w:rFonts w:asciiTheme="minorHAnsi" w:eastAsia="Yu Mincho" w:hAnsiTheme="minorHAnsi" w:cstheme="minorHAnsi"/>
          <w:lang w:val="fr-CH" w:eastAsia="ja-JP"/>
        </w:rPr>
      </w:pPr>
    </w:p>
    <w:p w14:paraId="34B6F931" w14:textId="77777777" w:rsidR="00CA5E9B" w:rsidRPr="00B926E5" w:rsidRDefault="00CA5E9B" w:rsidP="00CA5E9B">
      <w:pPr>
        <w:numPr>
          <w:ilvl w:val="0"/>
          <w:numId w:val="22"/>
        </w:numPr>
        <w:contextualSpacing/>
        <w:rPr>
          <w:rFonts w:asciiTheme="minorHAnsi" w:eastAsia="Yu Mincho" w:hAnsiTheme="minorHAnsi" w:cstheme="minorHAnsi"/>
          <w:b/>
          <w:i/>
          <w:lang w:val="fr-CH" w:eastAsia="ja-JP"/>
        </w:rPr>
      </w:pPr>
      <w:r w:rsidRPr="00B926E5">
        <w:rPr>
          <w:rFonts w:asciiTheme="minorHAnsi" w:eastAsia="Yu Mincho" w:hAnsiTheme="minorHAnsi" w:cstheme="minorHAnsi"/>
          <w:b/>
          <w:lang w:val="fr-CH" w:eastAsia="ja-JP"/>
        </w:rPr>
        <w:t xml:space="preserve"> </w:t>
      </w:r>
      <w:r w:rsidRPr="00B926E5">
        <w:rPr>
          <w:rFonts w:asciiTheme="minorHAnsi" w:eastAsia="Yu Mincho" w:hAnsiTheme="minorHAnsi" w:cstheme="minorHAnsi"/>
          <w:b/>
          <w:i/>
          <w:lang w:val="fr-CH" w:eastAsia="ja-JP"/>
        </w:rPr>
        <w:t xml:space="preserve">Mécanismes de gouvernance </w:t>
      </w:r>
    </w:p>
    <w:p w14:paraId="6A8297A7" w14:textId="77777777" w:rsidR="00CA5E9B" w:rsidRPr="00B926E5" w:rsidRDefault="00CA5E9B" w:rsidP="00A5496C">
      <w:pPr>
        <w:ind w:left="0" w:firstLine="0"/>
        <w:rPr>
          <w:rFonts w:asciiTheme="minorHAnsi" w:eastAsia="Yu Mincho" w:hAnsiTheme="minorHAnsi" w:cstheme="minorHAnsi"/>
          <w:highlight w:val="green"/>
          <w:lang w:val="fr-CH" w:eastAsia="ja-JP"/>
        </w:rPr>
      </w:pPr>
    </w:p>
    <w:p w14:paraId="2F00CD1E" w14:textId="1E313DA9" w:rsidR="00CA5E9B" w:rsidRPr="00B926E5" w:rsidRDefault="0060657C" w:rsidP="00916E99">
      <w:pPr>
        <w:ind w:left="709" w:hanging="349"/>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27.</w:t>
      </w:r>
      <w:r>
        <w:rPr>
          <w:rFonts w:asciiTheme="minorHAnsi" w:eastAsia="Yu Mincho" w:hAnsiTheme="minorHAnsi" w:cstheme="minorHAnsi"/>
          <w:b/>
          <w:lang w:val="fr-CH" w:eastAsia="ja-JP"/>
        </w:rPr>
        <w:tab/>
        <w:t>Plan de l’IRR pour établir, dans la région, des mécanismes existants ou prévus afin d’assurer la gouvernance, la coordination et de donner des conseils (comités, conseils, etc.), et décrivant comment toutes les Parties contractantes pertinentes et autres acteurs pourront fournir des orientations et une vision</w:t>
      </w:r>
    </w:p>
    <w:p w14:paraId="4CC9BD82" w14:textId="77777777" w:rsidR="00CA5E9B" w:rsidRPr="00B926E5" w:rsidRDefault="00CA5E9B" w:rsidP="00916E99">
      <w:pPr>
        <w:numPr>
          <w:ilvl w:val="0"/>
          <w:numId w:val="18"/>
        </w:numPr>
        <w:ind w:left="709" w:hanging="349"/>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 xml:space="preserve">Le personnel du bureau technique de la Convention de Ramsar au sein du Ministère de l’agriculture, du bétail, de la foresterie et de l’environnement en Guinée équatoriale fournira la technologie requise pour garantir des résultats de bonne qualité. </w:t>
      </w:r>
    </w:p>
    <w:p w14:paraId="359586C8" w14:textId="137D3A4B" w:rsidR="0060657C" w:rsidRPr="00301E09" w:rsidRDefault="0060657C" w:rsidP="00916E99">
      <w:pPr>
        <w:ind w:left="709" w:hanging="349"/>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 xml:space="preserve">28. </w:t>
      </w:r>
      <w:r w:rsidRPr="00301E09">
        <w:rPr>
          <w:rFonts w:asciiTheme="minorHAnsi" w:eastAsia="Yu Mincho" w:hAnsiTheme="minorHAnsi" w:cstheme="minorHAnsi"/>
          <w:b/>
          <w:lang w:val="fr-CH" w:eastAsia="ja-JP"/>
        </w:rPr>
        <w:t xml:space="preserve">Plans </w:t>
      </w:r>
      <w:r>
        <w:rPr>
          <w:rFonts w:asciiTheme="minorHAnsi" w:eastAsia="Yu Mincho" w:hAnsiTheme="minorHAnsi" w:cstheme="minorHAnsi"/>
          <w:b/>
          <w:lang w:val="fr-CH" w:eastAsia="ja-JP"/>
        </w:rPr>
        <w:t xml:space="preserve">à élaborer, coordonner et diriger par l’IRR. Des avis et un appui sont attendus du Secrétariat Ramsar, notamment la mobilisation possible de ressources additionnelles </w:t>
      </w:r>
    </w:p>
    <w:p w14:paraId="7EE214C9" w14:textId="4EECC428" w:rsidR="00CA5E9B" w:rsidRPr="00B926E5" w:rsidRDefault="00CA5E9B" w:rsidP="00916E99">
      <w:pPr>
        <w:numPr>
          <w:ilvl w:val="0"/>
          <w:numId w:val="18"/>
        </w:numPr>
        <w:ind w:left="709" w:hanging="349"/>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L’I</w:t>
      </w:r>
      <w:r w:rsidR="0060657C">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pour la Guinée équatoriale fournit des informations. </w:t>
      </w:r>
    </w:p>
    <w:p w14:paraId="1CEE596D" w14:textId="5C06D6D6" w:rsidR="0060657C" w:rsidRPr="00301E09" w:rsidRDefault="0060657C" w:rsidP="00916E99">
      <w:pPr>
        <w:ind w:left="709" w:hanging="349"/>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29.</w:t>
      </w:r>
      <w:r>
        <w:rPr>
          <w:rFonts w:asciiTheme="minorHAnsi" w:eastAsia="Yu Mincho" w:hAnsiTheme="minorHAnsi" w:cstheme="minorHAnsi"/>
          <w:b/>
          <w:lang w:val="fr-CH" w:eastAsia="ja-JP"/>
        </w:rPr>
        <w:tab/>
        <w:t xml:space="preserve"> L’IRR a-t-elle ou prévoit-elle d’avoir un cahier des charges, un règlement intérieur, une structure et des membres et/ou d’autres règlements écrits que l’IRR a établis ou prévoit d’établir </w:t>
      </w:r>
    </w:p>
    <w:p w14:paraId="54FB4F50" w14:textId="57D5C31A" w:rsidR="00CA5E9B" w:rsidRPr="00B926E5" w:rsidRDefault="00CA5E9B" w:rsidP="00CA5E9B">
      <w:pPr>
        <w:numPr>
          <w:ilvl w:val="0"/>
          <w:numId w:val="18"/>
        </w:numPr>
        <w:contextualSpacing/>
        <w:rPr>
          <w:rFonts w:asciiTheme="minorHAnsi" w:eastAsia="Yu Mincho" w:hAnsiTheme="minorHAnsi" w:cstheme="minorHAnsi"/>
          <w:color w:val="000000"/>
          <w:lang w:val="fr-CH" w:eastAsia="ja-JP"/>
        </w:rPr>
      </w:pPr>
      <w:r>
        <w:rPr>
          <w:rFonts w:asciiTheme="minorHAnsi" w:eastAsia="Yu Mincho" w:hAnsiTheme="minorHAnsi" w:cstheme="minorHAnsi"/>
          <w:color w:val="000000"/>
          <w:lang w:val="fr-CH" w:eastAsia="ja-JP"/>
        </w:rPr>
        <w:t>L’I</w:t>
      </w:r>
      <w:r w:rsidR="0060657C">
        <w:rPr>
          <w:rFonts w:asciiTheme="minorHAnsi" w:eastAsia="Yu Mincho" w:hAnsiTheme="minorHAnsi" w:cstheme="minorHAnsi"/>
          <w:color w:val="000000"/>
          <w:lang w:val="fr-CH" w:eastAsia="ja-JP"/>
        </w:rPr>
        <w:t>RR</w:t>
      </w:r>
      <w:r>
        <w:rPr>
          <w:rFonts w:asciiTheme="minorHAnsi" w:eastAsia="Yu Mincho" w:hAnsiTheme="minorHAnsi" w:cstheme="minorHAnsi"/>
          <w:color w:val="000000"/>
          <w:lang w:val="fr-CH" w:eastAsia="ja-JP"/>
        </w:rPr>
        <w:t xml:space="preserve"> pour la Guinée équatoriale ne fournit pas d’information</w:t>
      </w:r>
      <w:r w:rsidR="0060657C">
        <w:rPr>
          <w:rFonts w:asciiTheme="minorHAnsi" w:eastAsia="Yu Mincho" w:hAnsiTheme="minorHAnsi" w:cstheme="minorHAnsi"/>
          <w:color w:val="000000"/>
          <w:lang w:val="fr-CH" w:eastAsia="ja-JP"/>
        </w:rPr>
        <w:t>s</w:t>
      </w:r>
      <w:r>
        <w:rPr>
          <w:rFonts w:asciiTheme="minorHAnsi" w:eastAsia="Yu Mincho" w:hAnsiTheme="minorHAnsi" w:cstheme="minorHAnsi"/>
          <w:color w:val="000000"/>
          <w:lang w:val="fr-CH" w:eastAsia="ja-JP"/>
        </w:rPr>
        <w:t xml:space="preserve"> concrète</w:t>
      </w:r>
      <w:r w:rsidR="0060657C">
        <w:rPr>
          <w:rFonts w:asciiTheme="minorHAnsi" w:eastAsia="Yu Mincho" w:hAnsiTheme="minorHAnsi" w:cstheme="minorHAnsi"/>
          <w:color w:val="000000"/>
          <w:lang w:val="fr-CH" w:eastAsia="ja-JP"/>
        </w:rPr>
        <w:t>s</w:t>
      </w:r>
      <w:r>
        <w:rPr>
          <w:rFonts w:asciiTheme="minorHAnsi" w:eastAsia="Yu Mincho" w:hAnsiTheme="minorHAnsi" w:cstheme="minorHAnsi"/>
          <w:color w:val="000000"/>
          <w:lang w:val="fr-CH" w:eastAsia="ja-JP"/>
        </w:rPr>
        <w:t xml:space="preserve"> dans </w:t>
      </w:r>
      <w:r w:rsidR="0060657C">
        <w:rPr>
          <w:rFonts w:asciiTheme="minorHAnsi" w:eastAsia="Yu Mincho" w:hAnsiTheme="minorHAnsi" w:cstheme="minorHAnsi"/>
          <w:color w:val="000000"/>
          <w:lang w:val="fr-CH" w:eastAsia="ja-JP"/>
        </w:rPr>
        <w:t>la proposition</w:t>
      </w:r>
      <w:r>
        <w:rPr>
          <w:rFonts w:asciiTheme="minorHAnsi" w:eastAsia="Yu Mincho" w:hAnsiTheme="minorHAnsi" w:cstheme="minorHAnsi"/>
          <w:color w:val="000000"/>
          <w:lang w:val="fr-CH" w:eastAsia="ja-JP"/>
        </w:rPr>
        <w:t xml:space="preserve">. </w:t>
      </w:r>
    </w:p>
    <w:p w14:paraId="481EA600" w14:textId="77777777" w:rsidR="00CA5E9B" w:rsidRPr="00B926E5" w:rsidRDefault="00CA5E9B" w:rsidP="00A5496C">
      <w:pPr>
        <w:ind w:left="1080" w:firstLine="0"/>
        <w:contextualSpacing/>
        <w:rPr>
          <w:rFonts w:asciiTheme="minorHAnsi" w:eastAsia="Yu Mincho" w:hAnsiTheme="minorHAnsi" w:cstheme="minorHAnsi"/>
          <w:lang w:val="fr-CH" w:eastAsia="ja-JP"/>
        </w:rPr>
      </w:pPr>
    </w:p>
    <w:p w14:paraId="5AD32417" w14:textId="77777777" w:rsidR="00CA5E9B" w:rsidRPr="00B926E5" w:rsidRDefault="00CA5E9B" w:rsidP="00CA5E9B">
      <w:pPr>
        <w:numPr>
          <w:ilvl w:val="0"/>
          <w:numId w:val="22"/>
        </w:numPr>
        <w:contextualSpacing/>
        <w:rPr>
          <w:rFonts w:asciiTheme="minorHAnsi" w:eastAsia="Yu Mincho" w:hAnsiTheme="minorHAnsi" w:cstheme="minorHAnsi"/>
          <w:b/>
          <w:i/>
          <w:color w:val="000000"/>
          <w:lang w:val="fr-CH" w:eastAsia="ja-JP"/>
        </w:rPr>
      </w:pPr>
      <w:r w:rsidRPr="00B926E5">
        <w:rPr>
          <w:rFonts w:asciiTheme="minorHAnsi" w:eastAsia="Yu Mincho" w:hAnsiTheme="minorHAnsi" w:cstheme="minorHAnsi"/>
          <w:b/>
          <w:i/>
          <w:color w:val="000000"/>
          <w:lang w:val="fr-CH" w:eastAsia="ja-JP"/>
        </w:rPr>
        <w:t>Éléments de fond</w:t>
      </w:r>
    </w:p>
    <w:p w14:paraId="711C7B3E" w14:textId="77777777" w:rsidR="00CA5E9B" w:rsidRPr="00B926E5" w:rsidRDefault="00CA5E9B" w:rsidP="00A5496C">
      <w:pPr>
        <w:ind w:left="0" w:firstLine="0"/>
        <w:rPr>
          <w:rFonts w:asciiTheme="minorHAnsi" w:eastAsia="Yu Mincho" w:hAnsiTheme="minorHAnsi" w:cstheme="minorHAnsi"/>
          <w:color w:val="000000"/>
          <w:lang w:val="fr-CH" w:eastAsia="ja-JP"/>
        </w:rPr>
      </w:pPr>
    </w:p>
    <w:p w14:paraId="0739130D" w14:textId="77777777" w:rsidR="00AB7531" w:rsidRPr="00685F9C" w:rsidRDefault="00A11097" w:rsidP="00916E99">
      <w:pPr>
        <w:keepNext/>
        <w:keepLines/>
        <w:ind w:left="709" w:hanging="349"/>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30.</w:t>
      </w:r>
      <w:r>
        <w:rPr>
          <w:rFonts w:asciiTheme="minorHAnsi" w:eastAsia="Yu Mincho" w:hAnsiTheme="minorHAnsi" w:cstheme="minorHAnsi"/>
          <w:b/>
          <w:lang w:val="fr-CH" w:eastAsia="ja-JP"/>
        </w:rPr>
        <w:tab/>
      </w:r>
      <w:r w:rsidR="00AB7531">
        <w:rPr>
          <w:rFonts w:asciiTheme="minorHAnsi" w:eastAsia="Yu Mincho" w:hAnsiTheme="minorHAnsi" w:cstheme="minorHAnsi"/>
          <w:b/>
          <w:lang w:val="fr-CH" w:eastAsia="ja-JP"/>
        </w:rPr>
        <w:t xml:space="preserve">L’approche de l’IRR en vue de créer un environnement porteur dans la région fournit un cadre pour l’élaboration de réseaux de collaboration et cherche à collaborer avec d’autres organismes intergouvernementaux ou régionaux et internationaux, des ONG locales et des partenaires, y compris les OIP Ramsar actives dans la région </w:t>
      </w:r>
    </w:p>
    <w:p w14:paraId="58BA50BC" w14:textId="41BACC84" w:rsidR="00CA5E9B" w:rsidRPr="00B926E5" w:rsidRDefault="00916E99" w:rsidP="00916E99">
      <w:pPr>
        <w:ind w:left="709" w:hanging="349"/>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w:t>
      </w:r>
      <w:r>
        <w:rPr>
          <w:rFonts w:asciiTheme="minorHAnsi" w:eastAsia="Yu Mincho" w:hAnsiTheme="minorHAnsi" w:cstheme="minorHAnsi"/>
          <w:lang w:val="fr-CH" w:eastAsia="ja-JP"/>
        </w:rPr>
        <w:tab/>
      </w:r>
      <w:r w:rsidR="00CA5E9B">
        <w:rPr>
          <w:rFonts w:asciiTheme="minorHAnsi" w:eastAsia="Yu Mincho" w:hAnsiTheme="minorHAnsi" w:cstheme="minorHAnsi"/>
          <w:lang w:val="fr-CH" w:eastAsia="ja-JP"/>
        </w:rPr>
        <w:t>La proposition de l’I</w:t>
      </w:r>
      <w:r w:rsidR="00A11097">
        <w:rPr>
          <w:rFonts w:asciiTheme="minorHAnsi" w:eastAsia="Yu Mincho" w:hAnsiTheme="minorHAnsi" w:cstheme="minorHAnsi"/>
          <w:lang w:val="fr-CH" w:eastAsia="ja-JP"/>
        </w:rPr>
        <w:t>RR</w:t>
      </w:r>
      <w:r w:rsidR="00CA5E9B">
        <w:rPr>
          <w:rFonts w:asciiTheme="minorHAnsi" w:eastAsia="Yu Mincho" w:hAnsiTheme="minorHAnsi" w:cstheme="minorHAnsi"/>
          <w:lang w:val="fr-CH" w:eastAsia="ja-JP"/>
        </w:rPr>
        <w:t xml:space="preserve"> pour la Guinée équatoriale ne prend pas en considération d’autres pays</w:t>
      </w:r>
      <w:r w:rsidR="00A11097">
        <w:rPr>
          <w:rFonts w:asciiTheme="minorHAnsi" w:eastAsia="Yu Mincho" w:hAnsiTheme="minorHAnsi" w:cstheme="minorHAnsi"/>
          <w:lang w:val="fr-CH" w:eastAsia="ja-JP"/>
        </w:rPr>
        <w:t> ;</w:t>
      </w:r>
      <w:r w:rsidR="00CA5E9B">
        <w:rPr>
          <w:rFonts w:asciiTheme="minorHAnsi" w:eastAsia="Yu Mincho" w:hAnsiTheme="minorHAnsi" w:cstheme="minorHAnsi"/>
          <w:lang w:val="fr-CH" w:eastAsia="ja-JP"/>
        </w:rPr>
        <w:t xml:space="preserve"> c’est </w:t>
      </w:r>
      <w:r w:rsidR="00A11097">
        <w:rPr>
          <w:rFonts w:asciiTheme="minorHAnsi" w:eastAsia="Yu Mincho" w:hAnsiTheme="minorHAnsi" w:cstheme="minorHAnsi"/>
          <w:lang w:val="fr-CH" w:eastAsia="ja-JP"/>
        </w:rPr>
        <w:t>l’IRR</w:t>
      </w:r>
      <w:r w:rsidR="00CA5E9B">
        <w:rPr>
          <w:rFonts w:asciiTheme="minorHAnsi" w:eastAsia="Yu Mincho" w:hAnsiTheme="minorHAnsi" w:cstheme="minorHAnsi"/>
          <w:lang w:val="fr-CH" w:eastAsia="ja-JP"/>
        </w:rPr>
        <w:t xml:space="preserve"> d’un seul pays.</w:t>
      </w:r>
    </w:p>
    <w:p w14:paraId="7EB825B8" w14:textId="7DB57B33" w:rsidR="00CA5E9B" w:rsidRPr="00B926E5" w:rsidRDefault="00A11097" w:rsidP="00916E99">
      <w:pPr>
        <w:ind w:left="709" w:hanging="349"/>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31.</w:t>
      </w:r>
      <w:r>
        <w:rPr>
          <w:rFonts w:asciiTheme="minorHAnsi" w:eastAsia="Yu Mincho" w:hAnsiTheme="minorHAnsi" w:cstheme="minorHAnsi"/>
          <w:b/>
          <w:lang w:val="fr-CH" w:eastAsia="ja-JP"/>
        </w:rPr>
        <w:tab/>
        <w:t xml:space="preserve"> </w:t>
      </w:r>
      <w:r w:rsidR="00AB7531" w:rsidRPr="00685F9C">
        <w:rPr>
          <w:rFonts w:asciiTheme="minorHAnsi" w:eastAsia="Yu Mincho" w:hAnsiTheme="minorHAnsi" w:cstheme="minorHAnsi"/>
          <w:b/>
          <w:lang w:val="fr-CH" w:eastAsia="ja-JP"/>
        </w:rPr>
        <w:t xml:space="preserve">Plan </w:t>
      </w:r>
      <w:r w:rsidR="00AB7531">
        <w:rPr>
          <w:rFonts w:asciiTheme="minorHAnsi" w:eastAsia="Yu Mincho" w:hAnsiTheme="minorHAnsi" w:cstheme="minorHAnsi"/>
          <w:b/>
          <w:lang w:val="fr-CH" w:eastAsia="ja-JP"/>
        </w:rPr>
        <w:t>en vue de faire une utilisation optimale des outils Ramsar et d’</w:t>
      </w:r>
      <w:r w:rsidR="00A12600">
        <w:rPr>
          <w:rFonts w:asciiTheme="minorHAnsi" w:eastAsia="Yu Mincho" w:hAnsiTheme="minorHAnsi" w:cstheme="minorHAnsi"/>
          <w:b/>
          <w:lang w:val="fr-CH" w:eastAsia="ja-JP"/>
        </w:rPr>
        <w:t>envisager</w:t>
      </w:r>
      <w:r w:rsidR="00AB7531">
        <w:rPr>
          <w:rFonts w:asciiTheme="minorHAnsi" w:eastAsia="Yu Mincho" w:hAnsiTheme="minorHAnsi" w:cstheme="minorHAnsi"/>
          <w:b/>
          <w:lang w:val="fr-CH" w:eastAsia="ja-JP"/>
        </w:rPr>
        <w:t xml:space="preserve"> un appui scientifique et technique solide fourni par les institutions pertinentes qui pourraient devenir partenaires de l’IRR</w:t>
      </w:r>
    </w:p>
    <w:p w14:paraId="798BF37C" w14:textId="299BB2E1" w:rsidR="00CA5E9B" w:rsidRPr="00B926E5" w:rsidRDefault="00CA5E9B" w:rsidP="00916E99">
      <w:pPr>
        <w:numPr>
          <w:ilvl w:val="0"/>
          <w:numId w:val="18"/>
        </w:numPr>
        <w:ind w:left="709" w:hanging="425"/>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L’I</w:t>
      </w:r>
      <w:r w:rsidR="00A11097">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pour la Guinée équatoriale ne fournit aucune information spécifique. </w:t>
      </w:r>
    </w:p>
    <w:p w14:paraId="0908CE9E" w14:textId="03A4A312" w:rsidR="00CA5E9B" w:rsidRPr="00B926E5" w:rsidRDefault="00AB7531" w:rsidP="00916E99">
      <w:pPr>
        <w:ind w:left="993"/>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lastRenderedPageBreak/>
        <w:t>32.</w:t>
      </w:r>
      <w:r w:rsidR="00916E99">
        <w:rPr>
          <w:rFonts w:asciiTheme="minorHAnsi" w:eastAsia="Yu Mincho" w:hAnsiTheme="minorHAnsi" w:cstheme="minorHAnsi"/>
          <w:b/>
          <w:lang w:val="fr-CH" w:eastAsia="ja-JP"/>
        </w:rPr>
        <w:tab/>
      </w:r>
      <w:r w:rsidRPr="00685F9C">
        <w:rPr>
          <w:rFonts w:asciiTheme="minorHAnsi" w:eastAsia="Yu Mincho" w:hAnsiTheme="minorHAnsi" w:cstheme="minorHAnsi"/>
          <w:b/>
          <w:lang w:val="fr-CH" w:eastAsia="ja-JP"/>
        </w:rPr>
        <w:t xml:space="preserve">Plans </w:t>
      </w:r>
      <w:r>
        <w:rPr>
          <w:rFonts w:asciiTheme="minorHAnsi" w:eastAsia="Yu Mincho" w:hAnsiTheme="minorHAnsi" w:cstheme="minorHAnsi"/>
          <w:b/>
          <w:lang w:val="fr-CH" w:eastAsia="ja-JP"/>
        </w:rPr>
        <w:t>d’amélioration de la visibilité de la Convention et de sensibilisation aux objectifs de la Convention, avec des activités spécifiques pour améliorer la visibilité de la Convention et la compréhension générale de ses objectifs</w:t>
      </w:r>
    </w:p>
    <w:p w14:paraId="31EB2C89" w14:textId="4736D4BB" w:rsidR="00CA5E9B" w:rsidRPr="00B926E5" w:rsidRDefault="00CA5E9B" w:rsidP="00916E99">
      <w:pPr>
        <w:numPr>
          <w:ilvl w:val="0"/>
          <w:numId w:val="18"/>
        </w:numPr>
        <w:ind w:left="993" w:hanging="425"/>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L’I</w:t>
      </w:r>
      <w:r w:rsidR="00AB7531">
        <w:rPr>
          <w:rFonts w:asciiTheme="minorHAnsi" w:eastAsia="Yu Mincho" w:hAnsiTheme="minorHAnsi" w:cstheme="minorHAnsi"/>
          <w:lang w:val="fr-CH" w:eastAsia="ja-JP"/>
        </w:rPr>
        <w:t>RR p</w:t>
      </w:r>
      <w:r>
        <w:rPr>
          <w:rFonts w:asciiTheme="minorHAnsi" w:eastAsia="Yu Mincho" w:hAnsiTheme="minorHAnsi" w:cstheme="minorHAnsi"/>
          <w:lang w:val="fr-CH" w:eastAsia="ja-JP"/>
        </w:rPr>
        <w:t>our la Guinée équatoriale prévoit de concevoir des campagnes d’information, d’éducation et de sensibilisation pour les étudiants, le grand public et la population locale</w:t>
      </w:r>
      <w:r w:rsidR="00AB7531">
        <w:rPr>
          <w:rFonts w:asciiTheme="minorHAnsi" w:eastAsia="Yu Mincho" w:hAnsiTheme="minorHAnsi" w:cstheme="minorHAnsi"/>
          <w:lang w:val="fr-CH" w:eastAsia="ja-JP"/>
        </w:rPr>
        <w:t>,</w:t>
      </w:r>
      <w:r>
        <w:rPr>
          <w:rFonts w:asciiTheme="minorHAnsi" w:eastAsia="Yu Mincho" w:hAnsiTheme="minorHAnsi" w:cstheme="minorHAnsi"/>
          <w:lang w:val="fr-CH" w:eastAsia="ja-JP"/>
        </w:rPr>
        <w:t xml:space="preserve"> dans le cadre de centres pédagogiques nationaux</w:t>
      </w:r>
      <w:r w:rsidR="00AB7531">
        <w:rPr>
          <w:rFonts w:asciiTheme="minorHAnsi" w:eastAsia="Yu Mincho" w:hAnsiTheme="minorHAnsi" w:cstheme="minorHAnsi"/>
          <w:lang w:val="fr-CH" w:eastAsia="ja-JP"/>
        </w:rPr>
        <w:t>,</w:t>
      </w:r>
      <w:r>
        <w:rPr>
          <w:rFonts w:asciiTheme="minorHAnsi" w:eastAsia="Yu Mincho" w:hAnsiTheme="minorHAnsi" w:cstheme="minorHAnsi"/>
          <w:lang w:val="fr-CH" w:eastAsia="ja-JP"/>
        </w:rPr>
        <w:t xml:space="preserve"> sur l’importance et la protection des zones humides et de leur biodiversité. </w:t>
      </w:r>
    </w:p>
    <w:p w14:paraId="261852E5" w14:textId="77777777" w:rsidR="00CA5E9B" w:rsidRPr="00B926E5" w:rsidRDefault="00CA5E9B" w:rsidP="00A5496C">
      <w:pPr>
        <w:ind w:left="0" w:firstLine="0"/>
        <w:rPr>
          <w:rFonts w:asciiTheme="minorHAnsi" w:eastAsia="Yu Mincho" w:hAnsiTheme="minorHAnsi" w:cstheme="minorHAnsi"/>
          <w:lang w:val="fr-CH" w:eastAsia="ja-JP"/>
        </w:rPr>
      </w:pPr>
    </w:p>
    <w:p w14:paraId="0E30EDD7" w14:textId="77777777" w:rsidR="00CA5E9B" w:rsidRPr="00B926E5" w:rsidRDefault="00CA5E9B" w:rsidP="00CA5E9B">
      <w:pPr>
        <w:numPr>
          <w:ilvl w:val="0"/>
          <w:numId w:val="22"/>
        </w:numPr>
        <w:contextualSpacing/>
        <w:rPr>
          <w:rFonts w:asciiTheme="minorHAnsi" w:eastAsia="Yu Mincho" w:hAnsiTheme="minorHAnsi" w:cstheme="minorHAnsi"/>
          <w:b/>
          <w:i/>
          <w:lang w:val="fr-CH" w:eastAsia="ja-JP"/>
        </w:rPr>
      </w:pPr>
      <w:r w:rsidRPr="00B926E5">
        <w:rPr>
          <w:rFonts w:asciiTheme="minorHAnsi" w:eastAsia="Yu Mincho" w:hAnsiTheme="minorHAnsi" w:cstheme="minorHAnsi"/>
          <w:b/>
          <w:i/>
          <w:lang w:val="fr-CH" w:eastAsia="ja-JP"/>
        </w:rPr>
        <w:t xml:space="preserve">Appui financier, entre autres </w:t>
      </w:r>
    </w:p>
    <w:p w14:paraId="062111FF" w14:textId="77777777" w:rsidR="00CA5E9B" w:rsidRPr="00B926E5" w:rsidRDefault="00CA5E9B" w:rsidP="00A5496C">
      <w:pPr>
        <w:ind w:left="0" w:firstLine="0"/>
        <w:rPr>
          <w:rFonts w:asciiTheme="minorHAnsi" w:eastAsia="Yu Mincho" w:hAnsiTheme="minorHAnsi" w:cstheme="minorHAnsi"/>
          <w:lang w:val="fr-CH" w:eastAsia="ja-JP"/>
        </w:rPr>
      </w:pPr>
    </w:p>
    <w:p w14:paraId="3DBC22A7" w14:textId="564EA51C" w:rsidR="00CA5E9B" w:rsidRPr="00B926E5" w:rsidRDefault="00AB7531" w:rsidP="00916E99">
      <w:pPr>
        <w:ind w:left="993" w:hanging="426"/>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33.</w:t>
      </w:r>
      <w:r w:rsidR="00916E99">
        <w:rPr>
          <w:rFonts w:asciiTheme="minorHAnsi" w:eastAsia="Yu Mincho" w:hAnsiTheme="minorHAnsi" w:cstheme="minorHAnsi"/>
          <w:b/>
          <w:lang w:val="fr-CH" w:eastAsia="ja-JP"/>
        </w:rPr>
        <w:tab/>
      </w:r>
      <w:r w:rsidR="002114FC" w:rsidRPr="00685F9C">
        <w:rPr>
          <w:rFonts w:asciiTheme="minorHAnsi" w:eastAsia="Yu Mincho" w:hAnsiTheme="minorHAnsi" w:cstheme="minorHAnsi"/>
          <w:b/>
          <w:lang w:val="fr-CH" w:eastAsia="ja-JP"/>
        </w:rPr>
        <w:t xml:space="preserve">Plan </w:t>
      </w:r>
      <w:r w:rsidR="002114FC">
        <w:rPr>
          <w:rFonts w:asciiTheme="minorHAnsi" w:eastAsia="Yu Mincho" w:hAnsiTheme="minorHAnsi" w:cstheme="minorHAnsi"/>
          <w:b/>
          <w:lang w:val="fr-CH" w:eastAsia="ja-JP"/>
        </w:rPr>
        <w:t xml:space="preserve">de l’IRR en matière de dépenses et de besoins financiers pour la période </w:t>
      </w:r>
      <w:r w:rsidR="002114FC" w:rsidRPr="00685F9C">
        <w:rPr>
          <w:rFonts w:asciiTheme="minorHAnsi" w:eastAsia="Yu Mincho" w:hAnsiTheme="minorHAnsi" w:cstheme="minorHAnsi"/>
          <w:b/>
          <w:lang w:val="fr-CH" w:eastAsia="ja-JP"/>
        </w:rPr>
        <w:t xml:space="preserve">2022-2024 </w:t>
      </w:r>
      <w:r w:rsidR="002114FC">
        <w:rPr>
          <w:rFonts w:asciiTheme="minorHAnsi" w:eastAsia="Yu Mincho" w:hAnsiTheme="minorHAnsi" w:cstheme="minorHAnsi"/>
          <w:b/>
          <w:lang w:val="fr-CH" w:eastAsia="ja-JP"/>
        </w:rPr>
        <w:t xml:space="preserve">et de fournisseurs d’une aide financière. Y compris les montants qui ont été fermement promis et les besoins qui ne sont pas encore couverts. Décrit aussi les dépenses prévues et les sources et paiements du revenu obtenu pour l’année </w:t>
      </w:r>
      <w:r w:rsidR="002114FC" w:rsidRPr="00685F9C">
        <w:rPr>
          <w:rFonts w:asciiTheme="minorHAnsi" w:eastAsia="Yu Mincho" w:hAnsiTheme="minorHAnsi" w:cstheme="minorHAnsi"/>
          <w:b/>
          <w:lang w:val="fr-CH" w:eastAsia="ja-JP"/>
        </w:rPr>
        <w:t>2022</w:t>
      </w:r>
    </w:p>
    <w:p w14:paraId="758A314A" w14:textId="1CA2B179" w:rsidR="00CA5E9B" w:rsidRPr="00B926E5" w:rsidRDefault="00CA5E9B" w:rsidP="00916E99">
      <w:pPr>
        <w:numPr>
          <w:ilvl w:val="0"/>
          <w:numId w:val="18"/>
        </w:numPr>
        <w:ind w:left="993" w:hanging="426"/>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L’I</w:t>
      </w:r>
      <w:r w:rsidR="00AB7531">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pour la Guinée équatoriale indique le montant monétaire mais la source des fonds n’est pas exacte.</w:t>
      </w:r>
    </w:p>
    <w:p w14:paraId="4CE3BD76" w14:textId="22210D7F" w:rsidR="002114FC" w:rsidRPr="00685F9C" w:rsidRDefault="00AB7531" w:rsidP="00916E99">
      <w:pPr>
        <w:ind w:left="993" w:hanging="426"/>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 xml:space="preserve">34. </w:t>
      </w:r>
      <w:r w:rsidR="00916E99">
        <w:rPr>
          <w:rFonts w:asciiTheme="minorHAnsi" w:eastAsia="Yu Mincho" w:hAnsiTheme="minorHAnsi" w:cstheme="minorHAnsi"/>
          <w:b/>
          <w:lang w:val="fr-CH" w:eastAsia="ja-JP"/>
        </w:rPr>
        <w:tab/>
      </w:r>
      <w:r w:rsidR="002114FC">
        <w:rPr>
          <w:rFonts w:asciiTheme="minorHAnsi" w:eastAsia="Yu Mincho" w:hAnsiTheme="minorHAnsi" w:cstheme="minorHAnsi"/>
          <w:b/>
          <w:lang w:val="fr-CH" w:eastAsia="ja-JP"/>
        </w:rPr>
        <w:t xml:space="preserve">Si l’IRR demande un financement administratif, plan décrivant comment elle générera ses ressources et deviendra financièrement autosuffisante après la phase de départ et à long terme </w:t>
      </w:r>
    </w:p>
    <w:p w14:paraId="61B79677" w14:textId="1F59820B" w:rsidR="00CA5E9B" w:rsidRPr="00B926E5" w:rsidRDefault="00CA5E9B" w:rsidP="00916E99">
      <w:pPr>
        <w:numPr>
          <w:ilvl w:val="0"/>
          <w:numId w:val="18"/>
        </w:numPr>
        <w:ind w:left="993" w:hanging="426"/>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L’I</w:t>
      </w:r>
      <w:r w:rsidR="00AB7531">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pour la Guinée équatoriale dépend</w:t>
      </w:r>
      <w:r w:rsidR="00A12600">
        <w:rPr>
          <w:rFonts w:asciiTheme="minorHAnsi" w:eastAsia="Yu Mincho" w:hAnsiTheme="minorHAnsi" w:cstheme="minorHAnsi"/>
          <w:lang w:val="fr-CH" w:eastAsia="ja-JP"/>
        </w:rPr>
        <w:t>,</w:t>
      </w:r>
      <w:r>
        <w:rPr>
          <w:rFonts w:asciiTheme="minorHAnsi" w:eastAsia="Yu Mincho" w:hAnsiTheme="minorHAnsi" w:cstheme="minorHAnsi"/>
          <w:lang w:val="fr-CH" w:eastAsia="ja-JP"/>
        </w:rPr>
        <w:t xml:space="preserve"> </w:t>
      </w:r>
      <w:r w:rsidR="00A12600">
        <w:rPr>
          <w:rFonts w:asciiTheme="minorHAnsi" w:eastAsia="Yu Mincho" w:hAnsiTheme="minorHAnsi" w:cstheme="minorHAnsi"/>
          <w:lang w:val="fr-CH" w:eastAsia="ja-JP"/>
        </w:rPr>
        <w:t>pour</w:t>
      </w:r>
      <w:r>
        <w:rPr>
          <w:rFonts w:asciiTheme="minorHAnsi" w:eastAsia="Yu Mincho" w:hAnsiTheme="minorHAnsi" w:cstheme="minorHAnsi"/>
          <w:lang w:val="fr-CH" w:eastAsia="ja-JP"/>
        </w:rPr>
        <w:t xml:space="preserve"> tous </w:t>
      </w:r>
      <w:r w:rsidR="00A12600">
        <w:rPr>
          <w:rFonts w:asciiTheme="minorHAnsi" w:eastAsia="Yu Mincho" w:hAnsiTheme="minorHAnsi" w:cstheme="minorHAnsi"/>
          <w:lang w:val="fr-CH" w:eastAsia="ja-JP"/>
        </w:rPr>
        <w:t>s</w:t>
      </w:r>
      <w:r>
        <w:rPr>
          <w:rFonts w:asciiTheme="minorHAnsi" w:eastAsia="Yu Mincho" w:hAnsiTheme="minorHAnsi" w:cstheme="minorHAnsi"/>
          <w:lang w:val="fr-CH" w:eastAsia="ja-JP"/>
        </w:rPr>
        <w:t>es fonds</w:t>
      </w:r>
      <w:r w:rsidR="00A12600">
        <w:rPr>
          <w:rFonts w:asciiTheme="minorHAnsi" w:eastAsia="Yu Mincho" w:hAnsiTheme="minorHAnsi" w:cstheme="minorHAnsi"/>
          <w:lang w:val="fr-CH" w:eastAsia="ja-JP"/>
        </w:rPr>
        <w:t>,</w:t>
      </w:r>
      <w:r>
        <w:rPr>
          <w:rFonts w:asciiTheme="minorHAnsi" w:eastAsia="Yu Mincho" w:hAnsiTheme="minorHAnsi" w:cstheme="minorHAnsi"/>
          <w:lang w:val="fr-CH" w:eastAsia="ja-JP"/>
        </w:rPr>
        <w:t xml:space="preserve"> du budget administratif de la Convention. </w:t>
      </w:r>
    </w:p>
    <w:p w14:paraId="5B144711" w14:textId="15466B2E" w:rsidR="00CA5E9B" w:rsidRPr="00B926E5" w:rsidRDefault="00AB7531" w:rsidP="00916E99">
      <w:pPr>
        <w:ind w:left="993" w:hanging="426"/>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35.</w:t>
      </w:r>
      <w:r w:rsidR="00916E99">
        <w:rPr>
          <w:rFonts w:asciiTheme="minorHAnsi" w:eastAsia="Yu Mincho" w:hAnsiTheme="minorHAnsi" w:cstheme="minorHAnsi"/>
          <w:b/>
          <w:lang w:val="fr-CH" w:eastAsia="ja-JP"/>
        </w:rPr>
        <w:tab/>
      </w:r>
      <w:r w:rsidR="002114FC">
        <w:rPr>
          <w:rFonts w:asciiTheme="minorHAnsi" w:eastAsia="Yu Mincho" w:hAnsiTheme="minorHAnsi" w:cstheme="minorHAnsi"/>
          <w:b/>
          <w:lang w:val="fr-CH" w:eastAsia="ja-JP"/>
        </w:rPr>
        <w:t xml:space="preserve">Préparation opérationnelle à recevoir et dépenser l’argent, y compris l’appui du budget administratif de Ramsar pour le coût des activités en </w:t>
      </w:r>
      <w:r w:rsidR="002114FC" w:rsidRPr="00685F9C">
        <w:rPr>
          <w:rFonts w:asciiTheme="minorHAnsi" w:eastAsia="Yu Mincho" w:hAnsiTheme="minorHAnsi" w:cstheme="minorHAnsi"/>
          <w:b/>
          <w:lang w:val="fr-CH" w:eastAsia="ja-JP"/>
        </w:rPr>
        <w:t>2022</w:t>
      </w:r>
    </w:p>
    <w:p w14:paraId="33F75056" w14:textId="0B37EF2C" w:rsidR="00CA5E9B" w:rsidRPr="00B926E5" w:rsidRDefault="00CA5E9B" w:rsidP="00916E99">
      <w:pPr>
        <w:numPr>
          <w:ilvl w:val="0"/>
          <w:numId w:val="18"/>
        </w:numPr>
        <w:ind w:left="993" w:hanging="426"/>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L’I</w:t>
      </w:r>
      <w:r w:rsidR="00AB7531">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pour la Guinée équatoriale </w:t>
      </w:r>
      <w:r w:rsidRPr="00B926E5">
        <w:rPr>
          <w:rFonts w:asciiTheme="minorHAnsi" w:eastAsia="Yu Mincho" w:hAnsiTheme="minorHAnsi" w:cstheme="minorHAnsi"/>
          <w:lang w:val="fr-CH" w:eastAsia="ja-JP"/>
        </w:rPr>
        <w:t>propose</w:t>
      </w:r>
      <w:r>
        <w:rPr>
          <w:rFonts w:asciiTheme="minorHAnsi" w:eastAsia="Yu Mincho" w:hAnsiTheme="minorHAnsi" w:cstheme="minorHAnsi"/>
          <w:lang w:val="fr-CH" w:eastAsia="ja-JP"/>
        </w:rPr>
        <w:t xml:space="preserve"> de les utiliser mais on ne sait pas si elle est prête à recevoir et dépenser les fonds. </w:t>
      </w:r>
      <w:r w:rsidRPr="00B926E5">
        <w:rPr>
          <w:rFonts w:asciiTheme="minorHAnsi" w:eastAsia="Yu Mincho" w:hAnsiTheme="minorHAnsi" w:cstheme="minorHAnsi"/>
          <w:lang w:val="fr-CH" w:eastAsia="ja-JP"/>
        </w:rPr>
        <w:t xml:space="preserve"> </w:t>
      </w:r>
    </w:p>
    <w:p w14:paraId="75704269" w14:textId="498A7144" w:rsidR="002114FC" w:rsidRPr="00685F9C" w:rsidRDefault="00AB7531" w:rsidP="00916E99">
      <w:pPr>
        <w:ind w:left="993" w:hanging="426"/>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 xml:space="preserve">36. </w:t>
      </w:r>
      <w:r w:rsidR="00916E99">
        <w:rPr>
          <w:rFonts w:asciiTheme="minorHAnsi" w:eastAsia="Yu Mincho" w:hAnsiTheme="minorHAnsi" w:cstheme="minorHAnsi"/>
          <w:b/>
          <w:lang w:val="fr-CH" w:eastAsia="ja-JP"/>
        </w:rPr>
        <w:tab/>
      </w:r>
      <w:r w:rsidR="002114FC" w:rsidRPr="00685F9C">
        <w:rPr>
          <w:rFonts w:asciiTheme="minorHAnsi" w:eastAsia="Yu Mincho" w:hAnsiTheme="minorHAnsi" w:cstheme="minorHAnsi"/>
          <w:b/>
          <w:lang w:val="fr-CH" w:eastAsia="ja-JP"/>
        </w:rPr>
        <w:t xml:space="preserve">Plan </w:t>
      </w:r>
      <w:r w:rsidR="002114FC">
        <w:rPr>
          <w:rFonts w:asciiTheme="minorHAnsi" w:eastAsia="Yu Mincho" w:hAnsiTheme="minorHAnsi" w:cstheme="minorHAnsi"/>
          <w:b/>
          <w:lang w:val="fr-CH" w:eastAsia="ja-JP"/>
        </w:rPr>
        <w:t xml:space="preserve">décrivant comment l’IRR appliquera la gestion financière pour garantir la transparence et la responsabilité </w:t>
      </w:r>
    </w:p>
    <w:p w14:paraId="570EE350" w14:textId="449F2168" w:rsidR="00CA5E9B" w:rsidRPr="00B926E5" w:rsidRDefault="00CA5E9B" w:rsidP="00916E99">
      <w:pPr>
        <w:numPr>
          <w:ilvl w:val="0"/>
          <w:numId w:val="18"/>
        </w:numPr>
        <w:ind w:left="993" w:hanging="426"/>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L’I</w:t>
      </w:r>
      <w:r w:rsidR="00AB7531">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pour la Guinée équatoriale ne fournit aucune information pour cette question.</w:t>
      </w:r>
      <w:r w:rsidRPr="00B926E5">
        <w:rPr>
          <w:rFonts w:asciiTheme="minorHAnsi" w:eastAsia="Yu Mincho" w:hAnsiTheme="minorHAnsi" w:cstheme="minorHAnsi"/>
          <w:lang w:val="fr-CH" w:eastAsia="ja-JP"/>
        </w:rPr>
        <w:t xml:space="preserve"> </w:t>
      </w:r>
    </w:p>
    <w:p w14:paraId="7133456F" w14:textId="5F282853" w:rsidR="00CA5E9B" w:rsidRPr="00B926E5" w:rsidRDefault="00AB7531" w:rsidP="00916E99">
      <w:pPr>
        <w:ind w:left="993" w:hanging="426"/>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 xml:space="preserve">37. </w:t>
      </w:r>
      <w:r w:rsidR="00916E99">
        <w:rPr>
          <w:rFonts w:asciiTheme="minorHAnsi" w:eastAsia="Yu Mincho" w:hAnsiTheme="minorHAnsi" w:cstheme="minorHAnsi"/>
          <w:b/>
          <w:lang w:val="fr-CH" w:eastAsia="ja-JP"/>
        </w:rPr>
        <w:tab/>
      </w:r>
      <w:r w:rsidR="002114FC" w:rsidRPr="00B926E5">
        <w:rPr>
          <w:rFonts w:asciiTheme="minorHAnsi" w:eastAsia="Yu Mincho" w:hAnsiTheme="minorHAnsi" w:cstheme="minorHAnsi"/>
          <w:b/>
          <w:lang w:val="fr-CH" w:eastAsia="ja-JP"/>
        </w:rPr>
        <w:t>Quels organismes fourniront un appui politique en plus de ceux qui ont soumis une Lettre nationale de soutien</w:t>
      </w:r>
    </w:p>
    <w:p w14:paraId="56FB9734" w14:textId="7C1FDBF4" w:rsidR="00CA5E9B" w:rsidRPr="00B926E5" w:rsidRDefault="00CA5E9B" w:rsidP="00916E99">
      <w:pPr>
        <w:numPr>
          <w:ilvl w:val="0"/>
          <w:numId w:val="18"/>
        </w:numPr>
        <w:ind w:left="993" w:hanging="426"/>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L’I</w:t>
      </w:r>
      <w:r w:rsidR="00AB7531">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pour la Guinée équatoriale ne fournit pas d’information.</w:t>
      </w:r>
    </w:p>
    <w:p w14:paraId="3D909261" w14:textId="229FE433" w:rsidR="002114FC" w:rsidRPr="00B926E5" w:rsidRDefault="00AB7531" w:rsidP="00916E99">
      <w:pPr>
        <w:ind w:left="993" w:hanging="426"/>
        <w:contextualSpacing/>
        <w:rPr>
          <w:rFonts w:asciiTheme="minorHAnsi" w:eastAsia="Yu Mincho" w:hAnsiTheme="minorHAnsi" w:cstheme="minorHAnsi"/>
          <w:b/>
          <w:lang w:val="fr-CH" w:eastAsia="ja-JP"/>
        </w:rPr>
      </w:pPr>
      <w:r>
        <w:rPr>
          <w:rFonts w:asciiTheme="minorHAnsi" w:eastAsia="Yu Mincho" w:hAnsiTheme="minorHAnsi" w:cstheme="minorHAnsi"/>
          <w:b/>
          <w:lang w:val="fr-CH" w:eastAsia="ja-JP"/>
        </w:rPr>
        <w:t xml:space="preserve">38. </w:t>
      </w:r>
      <w:r w:rsidR="00916E99">
        <w:rPr>
          <w:rFonts w:asciiTheme="minorHAnsi" w:eastAsia="Yu Mincho" w:hAnsiTheme="minorHAnsi" w:cstheme="minorHAnsi"/>
          <w:b/>
          <w:lang w:val="fr-CH" w:eastAsia="ja-JP"/>
        </w:rPr>
        <w:tab/>
      </w:r>
      <w:r w:rsidR="002114FC" w:rsidRPr="00B926E5">
        <w:rPr>
          <w:rFonts w:asciiTheme="minorHAnsi" w:eastAsia="Yu Mincho" w:hAnsiTheme="minorHAnsi" w:cstheme="minorHAnsi"/>
          <w:b/>
          <w:lang w:val="fr-CH" w:eastAsia="ja-JP"/>
        </w:rPr>
        <w:t xml:space="preserve">Liste des lettres de soutien reçues par les Autorités administratives Ramsar et autres partenaires  </w:t>
      </w:r>
    </w:p>
    <w:p w14:paraId="35C2B212" w14:textId="0C4EA800" w:rsidR="00CA5E9B" w:rsidRPr="00B926E5" w:rsidRDefault="00CA5E9B" w:rsidP="00916E99">
      <w:pPr>
        <w:numPr>
          <w:ilvl w:val="0"/>
          <w:numId w:val="18"/>
        </w:numPr>
        <w:ind w:left="993" w:hanging="426"/>
        <w:contextualSpacing/>
        <w:rPr>
          <w:rFonts w:asciiTheme="minorHAnsi" w:eastAsia="Yu Mincho" w:hAnsiTheme="minorHAnsi" w:cstheme="minorHAnsi"/>
          <w:lang w:val="fr-CH" w:eastAsia="ja-JP"/>
        </w:rPr>
      </w:pPr>
      <w:r>
        <w:rPr>
          <w:rFonts w:asciiTheme="minorHAnsi" w:eastAsia="Yu Mincho" w:hAnsiTheme="minorHAnsi" w:cstheme="minorHAnsi"/>
          <w:lang w:val="fr-CH" w:eastAsia="ja-JP"/>
        </w:rPr>
        <w:t>L’I</w:t>
      </w:r>
      <w:r w:rsidR="00AB7531">
        <w:rPr>
          <w:rFonts w:asciiTheme="minorHAnsi" w:eastAsia="Yu Mincho" w:hAnsiTheme="minorHAnsi" w:cstheme="minorHAnsi"/>
          <w:lang w:val="fr-CH" w:eastAsia="ja-JP"/>
        </w:rPr>
        <w:t>RR</w:t>
      </w:r>
      <w:r>
        <w:rPr>
          <w:rFonts w:asciiTheme="minorHAnsi" w:eastAsia="Yu Mincho" w:hAnsiTheme="minorHAnsi" w:cstheme="minorHAnsi"/>
          <w:lang w:val="fr-CH" w:eastAsia="ja-JP"/>
        </w:rPr>
        <w:t xml:space="preserve"> pour la Guinée équatoriale soumet une lettre </w:t>
      </w:r>
      <w:r w:rsidRPr="0097575D">
        <w:rPr>
          <w:rFonts w:asciiTheme="minorHAnsi" w:eastAsia="Yu Mincho" w:hAnsiTheme="minorHAnsi" w:cstheme="minorHAnsi"/>
          <w:lang w:val="fr-CH" w:eastAsia="ja-JP"/>
        </w:rPr>
        <w:t xml:space="preserve">reçue </w:t>
      </w:r>
      <w:r w:rsidR="001D6606" w:rsidRPr="001D6606">
        <w:rPr>
          <w:lang w:val="fr-FR"/>
        </w:rPr>
        <w:t>d</w:t>
      </w:r>
      <w:r w:rsidR="001D6606">
        <w:rPr>
          <w:lang w:val="fr-FR"/>
        </w:rPr>
        <w:t>u</w:t>
      </w:r>
      <w:r w:rsidR="001D6606" w:rsidRPr="001D6606">
        <w:rPr>
          <w:lang w:val="fr-FR"/>
        </w:rPr>
        <w:t xml:space="preserve"> Correspondant national</w:t>
      </w:r>
      <w:r>
        <w:rPr>
          <w:rFonts w:asciiTheme="minorHAnsi" w:eastAsia="Yu Mincho" w:hAnsiTheme="minorHAnsi" w:cstheme="minorHAnsi"/>
          <w:lang w:val="fr-CH" w:eastAsia="ja-JP"/>
        </w:rPr>
        <w:t>, aucune autre n’est attendue.</w:t>
      </w:r>
    </w:p>
    <w:p w14:paraId="0936327C" w14:textId="77777777" w:rsidR="00CA5E9B" w:rsidRPr="00FC60AD" w:rsidRDefault="00CA5E9B" w:rsidP="00A5496C">
      <w:pPr>
        <w:ind w:left="0" w:firstLine="0"/>
        <w:rPr>
          <w:rFonts w:asciiTheme="minorHAnsi" w:hAnsiTheme="minorHAnsi" w:cstheme="minorHAnsi"/>
          <w:b/>
          <w:lang w:val="fr-FR"/>
        </w:rPr>
      </w:pPr>
    </w:p>
    <w:p w14:paraId="7F3B7FA2" w14:textId="77777777" w:rsidR="00CA5E9B" w:rsidRPr="00FC60AD" w:rsidRDefault="00CA5E9B" w:rsidP="00A5496C">
      <w:pPr>
        <w:ind w:left="0" w:firstLine="0"/>
        <w:rPr>
          <w:rFonts w:asciiTheme="minorHAnsi" w:hAnsiTheme="minorHAnsi" w:cstheme="minorHAnsi"/>
          <w:b/>
          <w:lang w:val="fr-FR"/>
        </w:rPr>
      </w:pPr>
    </w:p>
    <w:p w14:paraId="289C59B9" w14:textId="77777777" w:rsidR="00CA5E9B" w:rsidRPr="00FC60AD" w:rsidRDefault="00CA5E9B" w:rsidP="00A5496C">
      <w:pPr>
        <w:ind w:left="0" w:firstLine="0"/>
        <w:rPr>
          <w:rFonts w:asciiTheme="minorHAnsi" w:hAnsiTheme="minorHAnsi" w:cstheme="minorHAnsi"/>
          <w:b/>
          <w:lang w:val="fr-FR"/>
        </w:rPr>
        <w:sectPr w:rsidR="00CA5E9B" w:rsidRPr="00FC60AD" w:rsidSect="00A5496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pPr>
    </w:p>
    <w:p w14:paraId="112AC907" w14:textId="77777777" w:rsidR="00CA5E9B" w:rsidRPr="001F4408" w:rsidRDefault="00CA5E9B" w:rsidP="00A5496C">
      <w:pPr>
        <w:ind w:left="0" w:firstLine="0"/>
        <w:rPr>
          <w:rFonts w:asciiTheme="minorHAnsi" w:hAnsiTheme="minorHAnsi" w:cstheme="minorHAnsi"/>
          <w:b/>
          <w:sz w:val="24"/>
          <w:szCs w:val="24"/>
          <w:lang w:val="fr-FR"/>
        </w:rPr>
      </w:pPr>
      <w:r w:rsidRPr="001F4408">
        <w:rPr>
          <w:rFonts w:asciiTheme="minorHAnsi" w:hAnsiTheme="minorHAnsi" w:cstheme="minorHAnsi"/>
          <w:b/>
          <w:sz w:val="24"/>
          <w:szCs w:val="24"/>
          <w:lang w:val="fr-FR"/>
        </w:rPr>
        <w:lastRenderedPageBreak/>
        <w:t>Annexe 3</w:t>
      </w:r>
    </w:p>
    <w:p w14:paraId="316EDB93" w14:textId="77777777" w:rsidR="00CA5E9B" w:rsidRPr="00126BCE" w:rsidRDefault="00CA5E9B" w:rsidP="00A5496C">
      <w:pPr>
        <w:ind w:left="0" w:firstLine="0"/>
        <w:rPr>
          <w:rFonts w:asciiTheme="minorHAnsi" w:hAnsiTheme="minorHAnsi" w:cstheme="minorHAnsi"/>
          <w:b/>
          <w:sz w:val="24"/>
          <w:szCs w:val="24"/>
          <w:lang w:val="fr-FR"/>
        </w:rPr>
      </w:pPr>
      <w:r w:rsidRPr="00126BCE">
        <w:rPr>
          <w:rFonts w:asciiTheme="minorHAnsi" w:hAnsiTheme="minorHAnsi" w:cstheme="minorHAnsi"/>
          <w:b/>
          <w:sz w:val="24"/>
          <w:szCs w:val="24"/>
          <w:lang w:val="fr-FR"/>
        </w:rPr>
        <w:t xml:space="preserve">Résumé des évaluations des </w:t>
      </w:r>
      <w:r>
        <w:rPr>
          <w:rFonts w:asciiTheme="minorHAnsi" w:hAnsiTheme="minorHAnsi" w:cstheme="minorHAnsi"/>
          <w:b/>
          <w:sz w:val="24"/>
          <w:szCs w:val="24"/>
          <w:lang w:val="fr-FR"/>
        </w:rPr>
        <w:t>IRR</w:t>
      </w:r>
      <w:r w:rsidRPr="00126BCE">
        <w:rPr>
          <w:rFonts w:asciiTheme="minorHAnsi" w:hAnsiTheme="minorHAnsi" w:cstheme="minorHAnsi"/>
          <w:b/>
          <w:sz w:val="24"/>
          <w:szCs w:val="24"/>
          <w:lang w:val="fr-FR"/>
        </w:rPr>
        <w:t xml:space="preserve"> 2019-2021 </w:t>
      </w:r>
      <w:r>
        <w:rPr>
          <w:rFonts w:asciiTheme="minorHAnsi" w:hAnsiTheme="minorHAnsi" w:cstheme="minorHAnsi"/>
          <w:b/>
          <w:sz w:val="24"/>
          <w:szCs w:val="24"/>
          <w:lang w:val="fr-FR"/>
        </w:rPr>
        <w:t xml:space="preserve">par rapport aux </w:t>
      </w:r>
      <w:r w:rsidRPr="00126BCE">
        <w:rPr>
          <w:rFonts w:asciiTheme="minorHAnsi" w:hAnsiTheme="minorHAnsi" w:cstheme="minorHAnsi"/>
          <w:b/>
          <w:sz w:val="24"/>
          <w:szCs w:val="24"/>
          <w:lang w:val="fr-FR"/>
        </w:rPr>
        <w:t xml:space="preserve">principes </w:t>
      </w:r>
      <w:r>
        <w:rPr>
          <w:rFonts w:asciiTheme="minorHAnsi" w:hAnsiTheme="minorHAnsi" w:cstheme="minorHAnsi"/>
          <w:b/>
          <w:sz w:val="24"/>
          <w:szCs w:val="24"/>
          <w:lang w:val="fr-FR"/>
        </w:rPr>
        <w:t>énoncés dans la</w:t>
      </w:r>
      <w:r w:rsidRPr="00126BCE">
        <w:rPr>
          <w:rFonts w:asciiTheme="minorHAnsi" w:hAnsiTheme="minorHAnsi" w:cstheme="minorHAnsi"/>
          <w:b/>
          <w:sz w:val="24"/>
          <w:szCs w:val="24"/>
          <w:lang w:val="fr-FR"/>
        </w:rPr>
        <w:t xml:space="preserve"> R</w:t>
      </w:r>
      <w:r>
        <w:rPr>
          <w:rFonts w:asciiTheme="minorHAnsi" w:hAnsiTheme="minorHAnsi" w:cstheme="minorHAnsi"/>
          <w:b/>
          <w:sz w:val="24"/>
          <w:szCs w:val="24"/>
          <w:lang w:val="fr-FR"/>
        </w:rPr>
        <w:t>é</w:t>
      </w:r>
      <w:r w:rsidRPr="00126BCE">
        <w:rPr>
          <w:rFonts w:asciiTheme="minorHAnsi" w:hAnsiTheme="minorHAnsi" w:cstheme="minorHAnsi"/>
          <w:b/>
          <w:sz w:val="24"/>
          <w:szCs w:val="24"/>
          <w:lang w:val="fr-FR"/>
        </w:rPr>
        <w:t>solution XIII.9</w:t>
      </w:r>
    </w:p>
    <w:p w14:paraId="04EA5B91" w14:textId="77777777" w:rsidR="00CA5E9B" w:rsidRPr="00126BCE" w:rsidRDefault="00CA5E9B" w:rsidP="00A5496C">
      <w:pPr>
        <w:ind w:left="0" w:firstLine="0"/>
        <w:rPr>
          <w:rFonts w:asciiTheme="minorHAnsi" w:hAnsiTheme="minorHAnsi" w:cstheme="minorHAnsi"/>
          <w:b/>
          <w:sz w:val="24"/>
          <w:szCs w:val="24"/>
          <w:lang w:val="fr-FR"/>
        </w:rPr>
      </w:pPr>
    </w:p>
    <w:tbl>
      <w:tblPr>
        <w:tblStyle w:val="TableGrid"/>
        <w:tblW w:w="15877" w:type="dxa"/>
        <w:tblInd w:w="-856" w:type="dxa"/>
        <w:tblLayout w:type="fixed"/>
        <w:tblCellMar>
          <w:top w:w="28" w:type="dxa"/>
          <w:left w:w="28" w:type="dxa"/>
          <w:bottom w:w="28" w:type="dxa"/>
          <w:right w:w="28" w:type="dxa"/>
        </w:tblCellMar>
        <w:tblLook w:val="04A0" w:firstRow="1" w:lastRow="0" w:firstColumn="1" w:lastColumn="0" w:noHBand="0" w:noVBand="1"/>
      </w:tblPr>
      <w:tblGrid>
        <w:gridCol w:w="1418"/>
        <w:gridCol w:w="993"/>
        <w:gridCol w:w="992"/>
        <w:gridCol w:w="2268"/>
        <w:gridCol w:w="1276"/>
        <w:gridCol w:w="1559"/>
        <w:gridCol w:w="1134"/>
        <w:gridCol w:w="1276"/>
        <w:gridCol w:w="1134"/>
        <w:gridCol w:w="2693"/>
        <w:gridCol w:w="1134"/>
      </w:tblGrid>
      <w:tr w:rsidR="00CA5E9B" w:rsidRPr="00D52AF4" w14:paraId="1AE23B6C" w14:textId="77777777" w:rsidTr="00A5496C">
        <w:trPr>
          <w:tblHeader/>
        </w:trPr>
        <w:tc>
          <w:tcPr>
            <w:tcW w:w="1418" w:type="dxa"/>
            <w:vMerge w:val="restart"/>
            <w:shd w:val="clear" w:color="auto" w:fill="DBE5F1" w:themeFill="accent1" w:themeFillTint="33"/>
            <w:vAlign w:val="center"/>
          </w:tcPr>
          <w:p w14:paraId="2DC76FE4"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r w:rsidRPr="00D52AF4">
              <w:rPr>
                <w:rFonts w:asciiTheme="minorHAnsi" w:hAnsiTheme="minorHAnsi" w:cstheme="minorHAnsi"/>
                <w:b/>
                <w:bCs/>
                <w:sz w:val="18"/>
                <w:szCs w:val="18"/>
                <w:lang w:val="fr-CH"/>
              </w:rPr>
              <w:t>Initiative régionale Ramsar (IRR) et année de mise en place</w:t>
            </w:r>
          </w:p>
        </w:tc>
        <w:tc>
          <w:tcPr>
            <w:tcW w:w="7088" w:type="dxa"/>
            <w:gridSpan w:val="5"/>
            <w:shd w:val="clear" w:color="auto" w:fill="DBE5F1" w:themeFill="accent1" w:themeFillTint="33"/>
            <w:vAlign w:val="center"/>
          </w:tcPr>
          <w:p w14:paraId="571C49BB"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r w:rsidRPr="00D52AF4">
              <w:rPr>
                <w:rFonts w:asciiTheme="minorHAnsi" w:hAnsiTheme="minorHAnsi" w:cstheme="minorHAnsi"/>
                <w:b/>
                <w:bCs/>
                <w:sz w:val="18"/>
                <w:szCs w:val="18"/>
                <w:lang w:val="fr-CH"/>
              </w:rPr>
              <w:t>Principes de la Résolution XIII.9</w:t>
            </w:r>
          </w:p>
        </w:tc>
        <w:tc>
          <w:tcPr>
            <w:tcW w:w="1134" w:type="dxa"/>
            <w:vMerge w:val="restart"/>
            <w:shd w:val="clear" w:color="auto" w:fill="DBE5F1" w:themeFill="accent1" w:themeFillTint="33"/>
            <w:vAlign w:val="center"/>
          </w:tcPr>
          <w:p w14:paraId="734564D8"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r w:rsidRPr="00D52AF4">
              <w:rPr>
                <w:rFonts w:asciiTheme="minorHAnsi" w:hAnsiTheme="minorHAnsi" w:cstheme="minorHAnsi"/>
                <w:b/>
                <w:bCs/>
                <w:spacing w:val="-4"/>
                <w:sz w:val="18"/>
                <w:szCs w:val="18"/>
                <w:lang w:val="fr-CH"/>
              </w:rPr>
              <w:t>Plan stratégique et Plan de travail</w:t>
            </w:r>
          </w:p>
        </w:tc>
        <w:tc>
          <w:tcPr>
            <w:tcW w:w="1276" w:type="dxa"/>
            <w:vMerge w:val="restart"/>
            <w:shd w:val="clear" w:color="auto" w:fill="DBE5F1" w:themeFill="accent1" w:themeFillTint="33"/>
            <w:vAlign w:val="center"/>
          </w:tcPr>
          <w:p w14:paraId="483AB179" w14:textId="77777777" w:rsidR="00CA5E9B" w:rsidRPr="00D52AF4" w:rsidRDefault="00CA5E9B" w:rsidP="00A5496C">
            <w:pPr>
              <w:ind w:left="0" w:firstLine="0"/>
              <w:jc w:val="center"/>
              <w:outlineLvl w:val="1"/>
              <w:rPr>
                <w:rFonts w:asciiTheme="minorHAnsi" w:hAnsiTheme="minorHAnsi" w:cstheme="minorHAnsi"/>
                <w:b/>
                <w:bCs/>
                <w:spacing w:val="-4"/>
                <w:sz w:val="18"/>
                <w:szCs w:val="18"/>
                <w:lang w:val="fr-CH"/>
              </w:rPr>
            </w:pPr>
            <w:r w:rsidRPr="00D52AF4">
              <w:rPr>
                <w:rFonts w:asciiTheme="minorHAnsi" w:hAnsiTheme="minorHAnsi" w:cstheme="minorHAnsi"/>
                <w:b/>
                <w:color w:val="000000" w:themeColor="text1"/>
                <w:sz w:val="18"/>
                <w:szCs w:val="18"/>
                <w:lang w:val="fr-CH"/>
              </w:rPr>
              <w:t>Viabilité financière</w:t>
            </w:r>
            <w:r w:rsidRPr="00D52AF4">
              <w:rPr>
                <w:rFonts w:asciiTheme="minorHAnsi" w:hAnsiTheme="minorHAnsi" w:cstheme="minorHAnsi"/>
                <w:color w:val="000000" w:themeColor="text1"/>
                <w:sz w:val="18"/>
                <w:szCs w:val="18"/>
                <w:lang w:val="fr-CH"/>
              </w:rPr>
              <w:t xml:space="preserve"> </w:t>
            </w:r>
            <w:r w:rsidRPr="00D52AF4">
              <w:rPr>
                <w:rFonts w:asciiTheme="minorHAnsi" w:hAnsiTheme="minorHAnsi" w:cstheme="minorHAnsi"/>
                <w:b/>
                <w:bCs/>
                <w:sz w:val="18"/>
                <w:szCs w:val="18"/>
                <w:lang w:val="fr-CH"/>
              </w:rPr>
              <w:t xml:space="preserve">(mobilisation des ressources) </w:t>
            </w:r>
          </w:p>
        </w:tc>
        <w:tc>
          <w:tcPr>
            <w:tcW w:w="1134" w:type="dxa"/>
            <w:vMerge w:val="restart"/>
            <w:shd w:val="clear" w:color="auto" w:fill="DBE5F1" w:themeFill="accent1" w:themeFillTint="33"/>
            <w:vAlign w:val="center"/>
          </w:tcPr>
          <w:p w14:paraId="0EB7444E"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r w:rsidRPr="00D52AF4">
              <w:rPr>
                <w:rFonts w:asciiTheme="minorHAnsi" w:hAnsiTheme="minorHAnsi" w:cstheme="minorHAnsi"/>
                <w:b/>
                <w:bCs/>
                <w:sz w:val="18"/>
                <w:szCs w:val="18"/>
                <w:lang w:val="fr-CH"/>
              </w:rPr>
              <w:t xml:space="preserve">Renforcement des capacités </w:t>
            </w:r>
          </w:p>
        </w:tc>
        <w:tc>
          <w:tcPr>
            <w:tcW w:w="2693" w:type="dxa"/>
            <w:vMerge w:val="restart"/>
            <w:shd w:val="clear" w:color="auto" w:fill="DBE5F1" w:themeFill="accent1" w:themeFillTint="33"/>
            <w:vAlign w:val="center"/>
          </w:tcPr>
          <w:p w14:paraId="27C4138B"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r w:rsidRPr="00D52AF4">
              <w:rPr>
                <w:rFonts w:asciiTheme="minorHAnsi" w:hAnsiTheme="minorHAnsi" w:cstheme="minorHAnsi"/>
                <w:b/>
                <w:bCs/>
                <w:sz w:val="18"/>
                <w:szCs w:val="18"/>
                <w:lang w:val="fr-CH"/>
              </w:rPr>
              <w:t>Principales activités</w:t>
            </w:r>
          </w:p>
        </w:tc>
        <w:tc>
          <w:tcPr>
            <w:tcW w:w="1134" w:type="dxa"/>
            <w:vMerge w:val="restart"/>
            <w:shd w:val="clear" w:color="auto" w:fill="DBE5F1" w:themeFill="accent1" w:themeFillTint="33"/>
            <w:vAlign w:val="center"/>
          </w:tcPr>
          <w:p w14:paraId="282E7F9C"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r w:rsidRPr="00D52AF4">
              <w:rPr>
                <w:rFonts w:asciiTheme="minorHAnsi" w:hAnsiTheme="minorHAnsi" w:cstheme="minorHAnsi"/>
                <w:b/>
                <w:bCs/>
                <w:sz w:val="18"/>
                <w:szCs w:val="18"/>
                <w:lang w:val="fr-CH"/>
              </w:rPr>
              <w:t>Difficultés</w:t>
            </w:r>
          </w:p>
        </w:tc>
      </w:tr>
      <w:tr w:rsidR="00CA5E9B" w:rsidRPr="00D52AF4" w14:paraId="69FF7ADE" w14:textId="77777777" w:rsidTr="00A5496C">
        <w:trPr>
          <w:tblHeader/>
        </w:trPr>
        <w:tc>
          <w:tcPr>
            <w:tcW w:w="1418" w:type="dxa"/>
            <w:vMerge/>
            <w:shd w:val="clear" w:color="auto" w:fill="DAEEF3" w:themeFill="accent5" w:themeFillTint="33"/>
            <w:vAlign w:val="center"/>
          </w:tcPr>
          <w:p w14:paraId="740E571A"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p>
        </w:tc>
        <w:tc>
          <w:tcPr>
            <w:tcW w:w="993" w:type="dxa"/>
            <w:shd w:val="clear" w:color="auto" w:fill="DBE5F1" w:themeFill="accent1" w:themeFillTint="33"/>
            <w:vAlign w:val="center"/>
          </w:tcPr>
          <w:p w14:paraId="65307B7A"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r w:rsidRPr="00D52AF4">
              <w:rPr>
                <w:rFonts w:asciiTheme="minorHAnsi" w:hAnsiTheme="minorHAnsi" w:cstheme="minorHAnsi"/>
                <w:b/>
                <w:bCs/>
                <w:sz w:val="18"/>
                <w:szCs w:val="18"/>
                <w:lang w:val="fr-CH"/>
              </w:rPr>
              <w:t>Nb de pays soutenant l’IRR</w:t>
            </w:r>
          </w:p>
        </w:tc>
        <w:tc>
          <w:tcPr>
            <w:tcW w:w="992" w:type="dxa"/>
            <w:shd w:val="clear" w:color="auto" w:fill="DBE5F1" w:themeFill="accent1" w:themeFillTint="33"/>
            <w:vAlign w:val="center"/>
          </w:tcPr>
          <w:p w14:paraId="0FFDDAE7"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r w:rsidRPr="00D52AF4">
              <w:rPr>
                <w:rFonts w:asciiTheme="minorHAnsi" w:hAnsiTheme="minorHAnsi" w:cstheme="minorHAnsi"/>
                <w:b/>
                <w:bCs/>
                <w:sz w:val="18"/>
                <w:szCs w:val="18"/>
                <w:lang w:val="fr-CH"/>
              </w:rPr>
              <w:t>Cahier des charges (y compris règlement intérieur)</w:t>
            </w:r>
          </w:p>
        </w:tc>
        <w:tc>
          <w:tcPr>
            <w:tcW w:w="2268" w:type="dxa"/>
            <w:shd w:val="clear" w:color="auto" w:fill="DBE5F1" w:themeFill="accent1" w:themeFillTint="33"/>
            <w:vAlign w:val="center"/>
          </w:tcPr>
          <w:p w14:paraId="18C392C2" w14:textId="5D1EE876" w:rsidR="00CA5E9B" w:rsidRPr="00D52AF4" w:rsidRDefault="00CA5E9B" w:rsidP="00A5496C">
            <w:pPr>
              <w:ind w:left="0" w:firstLine="0"/>
              <w:jc w:val="center"/>
              <w:outlineLvl w:val="1"/>
              <w:rPr>
                <w:rFonts w:asciiTheme="minorHAnsi" w:hAnsiTheme="minorHAnsi" w:cstheme="minorHAnsi"/>
                <w:b/>
                <w:bCs/>
                <w:sz w:val="18"/>
                <w:szCs w:val="18"/>
                <w:lang w:val="fr-CH"/>
              </w:rPr>
            </w:pPr>
            <w:r w:rsidRPr="00D52AF4">
              <w:rPr>
                <w:rFonts w:asciiTheme="minorHAnsi" w:hAnsiTheme="minorHAnsi" w:cstheme="minorHAnsi"/>
                <w:b/>
                <w:bCs/>
                <w:sz w:val="18"/>
                <w:szCs w:val="18"/>
                <w:lang w:val="fr-CH"/>
              </w:rPr>
              <w:t xml:space="preserve">Structure et </w:t>
            </w:r>
            <w:r w:rsidR="003A5FB5" w:rsidRPr="00D52AF4">
              <w:rPr>
                <w:rFonts w:asciiTheme="minorHAnsi" w:hAnsiTheme="minorHAnsi" w:cstheme="minorHAnsi"/>
                <w:b/>
                <w:bCs/>
                <w:sz w:val="18"/>
                <w:szCs w:val="18"/>
                <w:lang w:val="fr-CH"/>
              </w:rPr>
              <w:t>gouvernance</w:t>
            </w:r>
          </w:p>
        </w:tc>
        <w:tc>
          <w:tcPr>
            <w:tcW w:w="1276" w:type="dxa"/>
            <w:shd w:val="clear" w:color="auto" w:fill="DBE5F1" w:themeFill="accent1" w:themeFillTint="33"/>
            <w:vAlign w:val="center"/>
          </w:tcPr>
          <w:p w14:paraId="21E1D0DB"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r w:rsidRPr="00D52AF4">
              <w:rPr>
                <w:rFonts w:asciiTheme="minorHAnsi" w:hAnsiTheme="minorHAnsi" w:cstheme="minorHAnsi"/>
                <w:b/>
                <w:bCs/>
                <w:sz w:val="18"/>
                <w:szCs w:val="18"/>
                <w:lang w:val="fr-CH"/>
              </w:rPr>
              <w:t xml:space="preserve">Statut/rôle </w:t>
            </w:r>
            <w:r w:rsidRPr="00D52AF4">
              <w:rPr>
                <w:rFonts w:asciiTheme="minorHAnsi" w:hAnsiTheme="minorHAnsi" w:cstheme="minorHAnsi"/>
                <w:b/>
                <w:bCs/>
                <w:sz w:val="18"/>
                <w:szCs w:val="18"/>
                <w:lang w:val="fr-CH"/>
              </w:rPr>
              <w:br/>
              <w:t>du</w:t>
            </w:r>
            <w:r w:rsidRPr="00D52AF4">
              <w:rPr>
                <w:rFonts w:asciiTheme="minorHAnsi" w:hAnsiTheme="minorHAnsi" w:cstheme="minorHAnsi"/>
                <w:b/>
                <w:bCs/>
                <w:spacing w:val="-4"/>
                <w:sz w:val="18"/>
                <w:szCs w:val="18"/>
                <w:lang w:val="fr-CH"/>
              </w:rPr>
              <w:t xml:space="preserve"> </w:t>
            </w:r>
            <w:r w:rsidRPr="00D52AF4">
              <w:rPr>
                <w:rFonts w:asciiTheme="minorHAnsi" w:hAnsiTheme="minorHAnsi" w:cstheme="minorHAnsi"/>
                <w:b/>
                <w:bCs/>
                <w:sz w:val="18"/>
                <w:szCs w:val="18"/>
                <w:lang w:val="fr-CH"/>
              </w:rPr>
              <w:t>Secrétariat de la Convention</w:t>
            </w:r>
          </w:p>
        </w:tc>
        <w:tc>
          <w:tcPr>
            <w:tcW w:w="1559" w:type="dxa"/>
            <w:shd w:val="clear" w:color="auto" w:fill="DBE5F1" w:themeFill="accent1" w:themeFillTint="33"/>
            <w:vAlign w:val="center"/>
          </w:tcPr>
          <w:p w14:paraId="6F1613C2"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r w:rsidRPr="00D52AF4">
              <w:rPr>
                <w:rFonts w:asciiTheme="minorHAnsi" w:hAnsiTheme="minorHAnsi" w:cstheme="minorHAnsi"/>
                <w:b/>
                <w:bCs/>
                <w:sz w:val="18"/>
                <w:szCs w:val="18"/>
                <w:lang w:val="fr-CH"/>
              </w:rPr>
              <w:t>Gestion financière</w:t>
            </w:r>
          </w:p>
        </w:tc>
        <w:tc>
          <w:tcPr>
            <w:tcW w:w="1134" w:type="dxa"/>
            <w:vMerge/>
            <w:shd w:val="clear" w:color="auto" w:fill="DAEEF3" w:themeFill="accent5" w:themeFillTint="33"/>
            <w:vAlign w:val="center"/>
          </w:tcPr>
          <w:p w14:paraId="3D00EE24"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p>
        </w:tc>
        <w:tc>
          <w:tcPr>
            <w:tcW w:w="1276" w:type="dxa"/>
            <w:vMerge/>
            <w:shd w:val="clear" w:color="auto" w:fill="DAEEF3" w:themeFill="accent5" w:themeFillTint="33"/>
          </w:tcPr>
          <w:p w14:paraId="67BCADDF"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p>
        </w:tc>
        <w:tc>
          <w:tcPr>
            <w:tcW w:w="1134" w:type="dxa"/>
            <w:vMerge/>
            <w:shd w:val="clear" w:color="auto" w:fill="DAEEF3" w:themeFill="accent5" w:themeFillTint="33"/>
          </w:tcPr>
          <w:p w14:paraId="4C673933"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p>
        </w:tc>
        <w:tc>
          <w:tcPr>
            <w:tcW w:w="2693" w:type="dxa"/>
            <w:vMerge/>
            <w:shd w:val="clear" w:color="auto" w:fill="DAEEF3" w:themeFill="accent5" w:themeFillTint="33"/>
            <w:vAlign w:val="center"/>
          </w:tcPr>
          <w:p w14:paraId="2F0A36AA"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p>
        </w:tc>
        <w:tc>
          <w:tcPr>
            <w:tcW w:w="1134" w:type="dxa"/>
            <w:vMerge/>
            <w:shd w:val="clear" w:color="auto" w:fill="DAEEF3" w:themeFill="accent5" w:themeFillTint="33"/>
            <w:vAlign w:val="center"/>
          </w:tcPr>
          <w:p w14:paraId="35DFE922" w14:textId="77777777" w:rsidR="00CA5E9B" w:rsidRPr="00D52AF4" w:rsidRDefault="00CA5E9B" w:rsidP="00A5496C">
            <w:pPr>
              <w:ind w:left="0" w:firstLine="0"/>
              <w:jc w:val="center"/>
              <w:outlineLvl w:val="1"/>
              <w:rPr>
                <w:rFonts w:asciiTheme="minorHAnsi" w:hAnsiTheme="minorHAnsi" w:cstheme="minorHAnsi"/>
                <w:b/>
                <w:bCs/>
                <w:sz w:val="18"/>
                <w:szCs w:val="18"/>
                <w:lang w:val="fr-CH"/>
              </w:rPr>
            </w:pPr>
          </w:p>
        </w:tc>
      </w:tr>
      <w:tr w:rsidR="00CA5E9B" w:rsidRPr="00D26183" w14:paraId="25608E47" w14:textId="77777777" w:rsidTr="00A5496C">
        <w:tc>
          <w:tcPr>
            <w:tcW w:w="1418" w:type="dxa"/>
          </w:tcPr>
          <w:p w14:paraId="0919755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Centre Ramsar pour l’Afrique de l’Est (RAMCEA), 2009</w:t>
            </w:r>
          </w:p>
        </w:tc>
        <w:tc>
          <w:tcPr>
            <w:tcW w:w="993" w:type="dxa"/>
          </w:tcPr>
          <w:p w14:paraId="30B814AD" w14:textId="77777777" w:rsidR="00CA5E9B" w:rsidRPr="00A12600" w:rsidRDefault="00CA5E9B" w:rsidP="00A5496C">
            <w:pPr>
              <w:ind w:left="0" w:firstLine="0"/>
              <w:outlineLvl w:val="1"/>
              <w:rPr>
                <w:rFonts w:asciiTheme="minorHAnsi" w:hAnsiTheme="minorHAnsi" w:cstheme="minorHAnsi"/>
                <w:sz w:val="18"/>
                <w:szCs w:val="18"/>
                <w:lang w:val="fr-CH"/>
              </w:rPr>
            </w:pPr>
            <w:r w:rsidRPr="00A12600">
              <w:rPr>
                <w:rFonts w:asciiTheme="minorHAnsi" w:hAnsiTheme="minorHAnsi" w:cstheme="minorHAnsi"/>
                <w:sz w:val="18"/>
                <w:szCs w:val="18"/>
                <w:lang w:val="fr-CH"/>
              </w:rPr>
              <w:t>5</w:t>
            </w:r>
          </w:p>
        </w:tc>
        <w:tc>
          <w:tcPr>
            <w:tcW w:w="992" w:type="dxa"/>
          </w:tcPr>
          <w:p w14:paraId="20FE0AE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Oui</w:t>
            </w:r>
          </w:p>
        </w:tc>
        <w:tc>
          <w:tcPr>
            <w:tcW w:w="2268" w:type="dxa"/>
          </w:tcPr>
          <w:p w14:paraId="4CF5733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Le Conseil d’administration qui est l’instance décisionnelle suprême est chargé de la conduite de toutes les affaires. Le Secrétariat du RAMCEA traite des activités courantes et rend compte au Conseil d’administration.</w:t>
            </w:r>
          </w:p>
        </w:tc>
        <w:tc>
          <w:tcPr>
            <w:tcW w:w="1276" w:type="dxa"/>
          </w:tcPr>
          <w:p w14:paraId="7F521EB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Observateur</w:t>
            </w:r>
          </w:p>
        </w:tc>
        <w:tc>
          <w:tcPr>
            <w:tcW w:w="1559" w:type="dxa"/>
          </w:tcPr>
          <w:p w14:paraId="0C71E1A6"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Sous la responsabilité du Secrétariat RAMCEA.</w:t>
            </w:r>
          </w:p>
        </w:tc>
        <w:tc>
          <w:tcPr>
            <w:tcW w:w="1134" w:type="dxa"/>
          </w:tcPr>
          <w:p w14:paraId="07EA5E92"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Plan de travail annuel et Plan stratégique harmonisés avec le Plan stratégique de la Convention </w:t>
            </w:r>
          </w:p>
          <w:p w14:paraId="453AC288" w14:textId="77777777" w:rsidR="00CA5E9B" w:rsidRPr="00A12600" w:rsidRDefault="00CA5E9B" w:rsidP="00A5496C">
            <w:pPr>
              <w:ind w:left="0" w:firstLine="0"/>
              <w:outlineLvl w:val="1"/>
              <w:rPr>
                <w:rFonts w:asciiTheme="minorHAnsi" w:hAnsiTheme="minorHAnsi" w:cstheme="minorHAnsi"/>
                <w:bCs/>
                <w:sz w:val="18"/>
                <w:szCs w:val="18"/>
                <w:highlight w:val="yellow"/>
                <w:lang w:val="fr-CH"/>
              </w:rPr>
            </w:pPr>
            <w:r w:rsidRPr="00A12600">
              <w:rPr>
                <w:rFonts w:asciiTheme="minorHAnsi" w:hAnsiTheme="minorHAnsi" w:cstheme="minorHAnsi"/>
                <w:bCs/>
                <w:sz w:val="18"/>
                <w:szCs w:val="18"/>
                <w:highlight w:val="yellow"/>
                <w:lang w:val="fr-CH"/>
              </w:rPr>
              <w:t xml:space="preserve"> </w:t>
            </w:r>
          </w:p>
        </w:tc>
        <w:tc>
          <w:tcPr>
            <w:tcW w:w="1276" w:type="dxa"/>
          </w:tcPr>
          <w:p w14:paraId="7A45BDC9" w14:textId="77777777" w:rsidR="00CA5E9B" w:rsidRPr="00A12600" w:rsidRDefault="00CA5E9B" w:rsidP="00A5496C">
            <w:pPr>
              <w:ind w:left="0" w:firstLine="0"/>
              <w:outlineLvl w:val="1"/>
              <w:rPr>
                <w:rFonts w:asciiTheme="minorHAnsi" w:hAnsiTheme="minorHAnsi" w:cstheme="minorHAnsi"/>
                <w:bCs/>
                <w:sz w:val="18"/>
                <w:szCs w:val="18"/>
                <w:highlight w:val="yellow"/>
                <w:lang w:val="fr-CH"/>
              </w:rPr>
            </w:pPr>
            <w:r w:rsidRPr="00A12600">
              <w:rPr>
                <w:rFonts w:asciiTheme="minorHAnsi" w:hAnsiTheme="minorHAnsi" w:cstheme="minorHAnsi"/>
                <w:bCs/>
                <w:sz w:val="18"/>
                <w:szCs w:val="18"/>
                <w:lang w:val="fr-CH"/>
              </w:rPr>
              <w:t xml:space="preserve">Appels de fonds </w:t>
            </w:r>
          </w:p>
        </w:tc>
        <w:tc>
          <w:tcPr>
            <w:tcW w:w="1134" w:type="dxa"/>
          </w:tcPr>
          <w:p w14:paraId="608EB4D0" w14:textId="77777777" w:rsidR="00CA5E9B" w:rsidRPr="00A12600" w:rsidRDefault="00CA5E9B" w:rsidP="00A5496C">
            <w:pPr>
              <w:ind w:left="0" w:firstLine="0"/>
              <w:outlineLvl w:val="1"/>
              <w:rPr>
                <w:rFonts w:asciiTheme="minorHAnsi" w:hAnsiTheme="minorHAnsi" w:cstheme="minorHAnsi"/>
                <w:bCs/>
                <w:sz w:val="18"/>
                <w:szCs w:val="18"/>
                <w:highlight w:val="yellow"/>
                <w:lang w:val="fr-CH"/>
              </w:rPr>
            </w:pPr>
            <w:r w:rsidRPr="00A12600">
              <w:rPr>
                <w:rFonts w:asciiTheme="minorHAnsi" w:hAnsiTheme="minorHAnsi" w:cstheme="minorHAnsi"/>
                <w:bCs/>
                <w:sz w:val="18"/>
                <w:szCs w:val="18"/>
                <w:lang w:val="fr-CH"/>
              </w:rPr>
              <w:t xml:space="preserve">Cinq cours de formation avec 166 participants </w:t>
            </w:r>
          </w:p>
        </w:tc>
        <w:tc>
          <w:tcPr>
            <w:tcW w:w="2693" w:type="dxa"/>
          </w:tcPr>
          <w:p w14:paraId="5DBB85DF"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Renforcement des capacités (évaluation des besoins relatifs aux principes d’utilisation rationnelle, établissement d’un fichier de spécialistes des zones humides)</w:t>
            </w:r>
          </w:p>
          <w:p w14:paraId="7E0BB4F1"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Évaluation des zones humides en Ouganda</w:t>
            </w:r>
          </w:p>
          <w:p w14:paraId="22298833"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Amélioration des connaissances et de la sensibilisation (mise à jour du site Web RAMCEA, diffusion de la boîte à outils d’observation de la Terre),</w:t>
            </w:r>
          </w:p>
          <w:p w14:paraId="2E5ACFB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Préparation du plan d’action CESP</w:t>
            </w:r>
          </w:p>
          <w:p w14:paraId="6CE05CE0"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Mobilisation de ressources (projet de stratégie de mobilisation des ressources).</w:t>
            </w:r>
          </w:p>
        </w:tc>
        <w:tc>
          <w:tcPr>
            <w:tcW w:w="1134" w:type="dxa"/>
          </w:tcPr>
          <w:p w14:paraId="7657E7B2"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Restrictions imposées par la COVID-19, ressources limitées et appui insuffisant des États et institutions internationales pour la mise en œuvre des activités principales </w:t>
            </w:r>
          </w:p>
        </w:tc>
      </w:tr>
      <w:tr w:rsidR="00CA5E9B" w:rsidRPr="00D52AF4" w14:paraId="63F336C8" w14:textId="77777777" w:rsidTr="00A5496C">
        <w:tc>
          <w:tcPr>
            <w:tcW w:w="1418" w:type="dxa"/>
          </w:tcPr>
          <w:p w14:paraId="043F01F4"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Centre régional Ramsar pour la formation et la recherche dans l’hémisphère occidental (CREHO), 1999</w:t>
            </w:r>
          </w:p>
        </w:tc>
        <w:tc>
          <w:tcPr>
            <w:tcW w:w="993" w:type="dxa"/>
          </w:tcPr>
          <w:p w14:paraId="003A9E0C"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30</w:t>
            </w:r>
          </w:p>
        </w:tc>
        <w:tc>
          <w:tcPr>
            <w:tcW w:w="992" w:type="dxa"/>
          </w:tcPr>
          <w:p w14:paraId="63CDF2DF"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Oui</w:t>
            </w:r>
          </w:p>
        </w:tc>
        <w:tc>
          <w:tcPr>
            <w:tcW w:w="2268" w:type="dxa"/>
          </w:tcPr>
          <w:p w14:paraId="6EEB3DE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L’organe de gouvernance est le Conseil d’administration qui est responsable de toutes les décisions financières, administratives et opérationnelles.</w:t>
            </w:r>
          </w:p>
        </w:tc>
        <w:tc>
          <w:tcPr>
            <w:tcW w:w="1276" w:type="dxa"/>
          </w:tcPr>
          <w:p w14:paraId="51B30742"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Membre permanent du Conseil d’administration</w:t>
            </w:r>
          </w:p>
        </w:tc>
        <w:tc>
          <w:tcPr>
            <w:tcW w:w="1559" w:type="dxa"/>
          </w:tcPr>
          <w:p w14:paraId="5C2A534E"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Le Conseil d’administration est chargé d’approuver le budget et de superviser la gestion financière.</w:t>
            </w:r>
          </w:p>
        </w:tc>
        <w:tc>
          <w:tcPr>
            <w:tcW w:w="1134" w:type="dxa"/>
          </w:tcPr>
          <w:p w14:paraId="5ECAB97E" w14:textId="77777777" w:rsidR="00CA5E9B" w:rsidRPr="00A12600" w:rsidRDefault="00CA5E9B" w:rsidP="00A5496C">
            <w:pPr>
              <w:ind w:left="0" w:firstLine="0"/>
              <w:outlineLvl w:val="1"/>
              <w:rPr>
                <w:rFonts w:asciiTheme="minorHAnsi" w:hAnsiTheme="minorHAnsi" w:cstheme="minorHAnsi"/>
                <w:sz w:val="18"/>
                <w:szCs w:val="18"/>
                <w:lang w:val="fr-CH"/>
              </w:rPr>
            </w:pPr>
            <w:r w:rsidRPr="00A12600">
              <w:rPr>
                <w:rFonts w:asciiTheme="minorHAnsi" w:hAnsiTheme="minorHAnsi" w:cstheme="minorHAnsi"/>
                <w:bCs/>
                <w:spacing w:val="-4"/>
                <w:sz w:val="18"/>
                <w:szCs w:val="18"/>
                <w:lang w:val="fr-CH"/>
              </w:rPr>
              <w:t xml:space="preserve">Plan de travail à harmoniser avec le Plan stratégique de la Convention </w:t>
            </w:r>
          </w:p>
        </w:tc>
        <w:tc>
          <w:tcPr>
            <w:tcW w:w="1276" w:type="dxa"/>
          </w:tcPr>
          <w:p w14:paraId="223AEEAB" w14:textId="7E7F276F" w:rsidR="00CA5E9B" w:rsidRPr="00A12600" w:rsidRDefault="00591094"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Stratégie de mobilisatio</w:t>
            </w:r>
            <w:r w:rsidR="00CA5E9B" w:rsidRPr="00A12600">
              <w:rPr>
                <w:rFonts w:asciiTheme="minorHAnsi" w:hAnsiTheme="minorHAnsi" w:cstheme="minorHAnsi"/>
                <w:bCs/>
                <w:sz w:val="18"/>
                <w:szCs w:val="18"/>
                <w:lang w:val="fr-CH"/>
              </w:rPr>
              <w:t xml:space="preserve">n des ressources et appels de fonds  </w:t>
            </w:r>
          </w:p>
        </w:tc>
        <w:tc>
          <w:tcPr>
            <w:tcW w:w="1134" w:type="dxa"/>
          </w:tcPr>
          <w:p w14:paraId="49E2CC12"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Cinq cours de formation avec 85 participants </w:t>
            </w:r>
          </w:p>
        </w:tc>
        <w:tc>
          <w:tcPr>
            <w:tcW w:w="2693" w:type="dxa"/>
          </w:tcPr>
          <w:p w14:paraId="1CBB9FF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 Projets nationaux sur le terrain, </w:t>
            </w:r>
          </w:p>
          <w:p w14:paraId="64F57165"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 Webinaires et réunions en ligne : avec une participation nationale et internationale </w:t>
            </w:r>
          </w:p>
        </w:tc>
        <w:tc>
          <w:tcPr>
            <w:tcW w:w="1134" w:type="dxa"/>
          </w:tcPr>
          <w:p w14:paraId="370C0A4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Manque de financement </w:t>
            </w:r>
          </w:p>
        </w:tc>
      </w:tr>
      <w:tr w:rsidR="00CA5E9B" w:rsidRPr="00D26183" w14:paraId="6B8F836C" w14:textId="77777777" w:rsidTr="00A5496C">
        <w:trPr>
          <w:cantSplit/>
        </w:trPr>
        <w:tc>
          <w:tcPr>
            <w:tcW w:w="1418" w:type="dxa"/>
          </w:tcPr>
          <w:p w14:paraId="04899391" w14:textId="77777777" w:rsidR="00CA5E9B" w:rsidRPr="00D52AF4" w:rsidRDefault="00CA5E9B" w:rsidP="00A5496C">
            <w:pPr>
              <w:ind w:left="0" w:firstLine="0"/>
              <w:outlineLvl w:val="1"/>
              <w:rPr>
                <w:rFonts w:asciiTheme="minorHAnsi" w:hAnsiTheme="minorHAnsi" w:cstheme="minorHAnsi"/>
                <w:bCs/>
                <w:sz w:val="18"/>
                <w:szCs w:val="18"/>
                <w:lang w:val="fr-CH"/>
              </w:rPr>
            </w:pPr>
            <w:r w:rsidRPr="00D52AF4">
              <w:rPr>
                <w:rFonts w:asciiTheme="minorHAnsi" w:hAnsiTheme="minorHAnsi" w:cstheme="minorHAnsi"/>
                <w:bCs/>
                <w:sz w:val="18"/>
                <w:szCs w:val="18"/>
                <w:lang w:val="fr-CH"/>
              </w:rPr>
              <w:lastRenderedPageBreak/>
              <w:t>Centre régional Ramsar – Asie centrale et de l’Ouest (RRC-CWA), 2002</w:t>
            </w:r>
          </w:p>
        </w:tc>
        <w:tc>
          <w:tcPr>
            <w:tcW w:w="993" w:type="dxa"/>
          </w:tcPr>
          <w:p w14:paraId="2CEECD49" w14:textId="77777777" w:rsidR="00CA5E9B" w:rsidRPr="00D52AF4" w:rsidRDefault="00CA5E9B" w:rsidP="00A5496C">
            <w:pPr>
              <w:ind w:left="0" w:firstLine="0"/>
              <w:outlineLvl w:val="1"/>
              <w:rPr>
                <w:rFonts w:asciiTheme="minorHAnsi" w:hAnsiTheme="minorHAnsi" w:cstheme="minorHAnsi"/>
                <w:bCs/>
                <w:sz w:val="18"/>
                <w:szCs w:val="18"/>
                <w:lang w:val="fr-CH"/>
              </w:rPr>
            </w:pPr>
            <w:r w:rsidRPr="00D52AF4">
              <w:rPr>
                <w:rFonts w:asciiTheme="minorHAnsi" w:hAnsiTheme="minorHAnsi" w:cstheme="minorHAnsi"/>
                <w:bCs/>
                <w:sz w:val="18"/>
                <w:szCs w:val="18"/>
                <w:lang w:val="fr-CH"/>
              </w:rPr>
              <w:t>15</w:t>
            </w:r>
          </w:p>
        </w:tc>
        <w:tc>
          <w:tcPr>
            <w:tcW w:w="992" w:type="dxa"/>
          </w:tcPr>
          <w:p w14:paraId="6046386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Oui</w:t>
            </w:r>
          </w:p>
        </w:tc>
        <w:tc>
          <w:tcPr>
            <w:tcW w:w="2268" w:type="dxa"/>
          </w:tcPr>
          <w:p w14:paraId="00EF44F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Les organes administratifs sont le Conseil de gestion collaborative et le Secrétariat du RRC-CWA. Le Conseil de gestion collaborative donne des orientations stratégiques, approuve les programmes, les activités ainsi que le budget et le règlement financier.</w:t>
            </w:r>
          </w:p>
        </w:tc>
        <w:tc>
          <w:tcPr>
            <w:tcW w:w="1276" w:type="dxa"/>
          </w:tcPr>
          <w:p w14:paraId="7635F812"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Membre du Conseil de gestion collaborative</w:t>
            </w:r>
          </w:p>
        </w:tc>
        <w:tc>
          <w:tcPr>
            <w:tcW w:w="1559" w:type="dxa"/>
          </w:tcPr>
          <w:p w14:paraId="0F7AAECC"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Le Conseil de gestion collaborative examine les rapports annuels et approuve le budget et le règlement financier. </w:t>
            </w:r>
          </w:p>
        </w:tc>
        <w:tc>
          <w:tcPr>
            <w:tcW w:w="1134" w:type="dxa"/>
          </w:tcPr>
          <w:p w14:paraId="7090887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Plan de travail annuel et Plan stratégique harmonisés avec le Plan stratégique de la Convention </w:t>
            </w:r>
          </w:p>
          <w:p w14:paraId="73D064EB"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z w:val="18"/>
                <w:szCs w:val="18"/>
                <w:lang w:val="fr-CH"/>
              </w:rPr>
              <w:t xml:space="preserve"> </w:t>
            </w:r>
          </w:p>
        </w:tc>
        <w:tc>
          <w:tcPr>
            <w:tcW w:w="1276" w:type="dxa"/>
          </w:tcPr>
          <w:p w14:paraId="1CBC78D8" w14:textId="2569479A"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Stratégie de </w:t>
            </w:r>
            <w:r w:rsidR="00591094" w:rsidRPr="00A12600">
              <w:rPr>
                <w:rFonts w:asciiTheme="minorHAnsi" w:hAnsiTheme="minorHAnsi" w:cstheme="minorHAnsi"/>
                <w:bCs/>
                <w:sz w:val="18"/>
                <w:szCs w:val="18"/>
                <w:lang w:val="fr-CH"/>
              </w:rPr>
              <w:t>mobilisation</w:t>
            </w:r>
            <w:r w:rsidRPr="00A12600">
              <w:rPr>
                <w:rFonts w:asciiTheme="minorHAnsi" w:hAnsiTheme="minorHAnsi" w:cstheme="minorHAnsi"/>
                <w:bCs/>
                <w:sz w:val="18"/>
                <w:szCs w:val="18"/>
                <w:lang w:val="fr-CH"/>
              </w:rPr>
              <w:t xml:space="preserve"> des ressources et appels de fonds </w:t>
            </w:r>
          </w:p>
        </w:tc>
        <w:tc>
          <w:tcPr>
            <w:tcW w:w="1134" w:type="dxa"/>
          </w:tcPr>
          <w:p w14:paraId="0574B87C"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t xml:space="preserve">Renforcement des capacités par la conception et l’exécution de cours de formation ou d’ateliers </w:t>
            </w:r>
          </w:p>
        </w:tc>
        <w:tc>
          <w:tcPr>
            <w:tcW w:w="2693" w:type="dxa"/>
          </w:tcPr>
          <w:p w14:paraId="69D6217F"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 CESP (célébration de la Journée mondiale des zones humides), </w:t>
            </w:r>
          </w:p>
          <w:p w14:paraId="56CFE4A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Mission consultative Ramsar n° 88 (approbation du rapport en cours)</w:t>
            </w:r>
          </w:p>
          <w:p w14:paraId="008464A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Promotion de l’utilisation rationnelle des zones humides par la recherche et la gestion durable (atelier organisé)</w:t>
            </w:r>
          </w:p>
          <w:p w14:paraId="7216A0D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Élargissement de la collaboration avec d’autres organisations (PNUD, RRC-EA)</w:t>
            </w:r>
          </w:p>
        </w:tc>
        <w:tc>
          <w:tcPr>
            <w:tcW w:w="1134" w:type="dxa"/>
          </w:tcPr>
          <w:p w14:paraId="6925B5E4"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Difficultés financières causées principalement par le statut et l’identité juridiques du Centre et restrictions imposées par la COVID-19.</w:t>
            </w:r>
          </w:p>
          <w:p w14:paraId="66BFEA61"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 </w:t>
            </w:r>
          </w:p>
        </w:tc>
      </w:tr>
      <w:tr w:rsidR="00CA5E9B" w:rsidRPr="00D26183" w14:paraId="6E78CDB5" w14:textId="77777777" w:rsidTr="00A5496C">
        <w:tc>
          <w:tcPr>
            <w:tcW w:w="1418" w:type="dxa"/>
          </w:tcPr>
          <w:p w14:paraId="7BB1AD8F" w14:textId="77777777" w:rsidR="00CA5E9B" w:rsidRPr="00D52AF4" w:rsidRDefault="00CA5E9B" w:rsidP="00A5496C">
            <w:pPr>
              <w:ind w:left="0" w:firstLine="0"/>
              <w:outlineLvl w:val="1"/>
              <w:rPr>
                <w:rFonts w:asciiTheme="minorHAnsi" w:hAnsiTheme="minorHAnsi" w:cstheme="minorHAnsi"/>
                <w:bCs/>
                <w:sz w:val="18"/>
                <w:szCs w:val="18"/>
                <w:lang w:val="fr-CH"/>
              </w:rPr>
            </w:pPr>
            <w:r w:rsidRPr="00D52AF4">
              <w:rPr>
                <w:rFonts w:asciiTheme="minorHAnsi" w:hAnsiTheme="minorHAnsi" w:cstheme="minorHAnsi"/>
                <w:bCs/>
                <w:sz w:val="18"/>
                <w:szCs w:val="18"/>
                <w:lang w:val="fr-CH"/>
              </w:rPr>
              <w:t>Centre régional Ramsar – Asie de l’Est (RCC-EA), 2009</w:t>
            </w:r>
          </w:p>
        </w:tc>
        <w:tc>
          <w:tcPr>
            <w:tcW w:w="993" w:type="dxa"/>
          </w:tcPr>
          <w:p w14:paraId="6A5C335E" w14:textId="77777777" w:rsidR="00CA5E9B" w:rsidRPr="00D52AF4" w:rsidRDefault="00CA5E9B" w:rsidP="00A5496C">
            <w:pPr>
              <w:ind w:left="0" w:firstLine="0"/>
              <w:outlineLvl w:val="1"/>
              <w:rPr>
                <w:rFonts w:asciiTheme="minorHAnsi" w:hAnsiTheme="minorHAnsi" w:cstheme="minorHAnsi"/>
                <w:bCs/>
                <w:sz w:val="18"/>
                <w:szCs w:val="18"/>
                <w:lang w:val="fr-CH"/>
              </w:rPr>
            </w:pPr>
            <w:r w:rsidRPr="00D52AF4">
              <w:rPr>
                <w:rFonts w:asciiTheme="minorHAnsi" w:hAnsiTheme="minorHAnsi" w:cstheme="minorHAnsi"/>
                <w:bCs/>
                <w:sz w:val="18"/>
                <w:szCs w:val="18"/>
                <w:lang w:val="fr-CH"/>
              </w:rPr>
              <w:t>18</w:t>
            </w:r>
          </w:p>
        </w:tc>
        <w:tc>
          <w:tcPr>
            <w:tcW w:w="992" w:type="dxa"/>
          </w:tcPr>
          <w:p w14:paraId="6E2B970E"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Non (informations structurelles disponibles sur le site Web)</w:t>
            </w:r>
          </w:p>
        </w:tc>
        <w:tc>
          <w:tcPr>
            <w:tcW w:w="2268" w:type="dxa"/>
          </w:tcPr>
          <w:p w14:paraId="194EE23C"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Le Comité directeur donne des orientations sur l’élaboration des politiques et des programmes. Le Directeur exécutif gère les activités courantes. </w:t>
            </w:r>
          </w:p>
        </w:tc>
        <w:tc>
          <w:tcPr>
            <w:tcW w:w="1276" w:type="dxa"/>
          </w:tcPr>
          <w:p w14:paraId="0249CBB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Membre du Comité directeur</w:t>
            </w:r>
          </w:p>
        </w:tc>
        <w:tc>
          <w:tcPr>
            <w:tcW w:w="1559" w:type="dxa"/>
          </w:tcPr>
          <w:p w14:paraId="64194D53"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Rapport au Comité directeur</w:t>
            </w:r>
          </w:p>
        </w:tc>
        <w:tc>
          <w:tcPr>
            <w:tcW w:w="1134" w:type="dxa"/>
          </w:tcPr>
          <w:p w14:paraId="39B8502F"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Le plan de travail annuel est harmonisé avec le Plan stratégique de la Convention </w:t>
            </w:r>
          </w:p>
          <w:p w14:paraId="6EE8DC2F" w14:textId="77777777" w:rsidR="00CA5E9B" w:rsidRPr="00A12600" w:rsidRDefault="00CA5E9B" w:rsidP="00A5496C">
            <w:pPr>
              <w:ind w:left="0" w:firstLine="0"/>
              <w:outlineLvl w:val="1"/>
              <w:rPr>
                <w:rFonts w:asciiTheme="minorHAnsi" w:hAnsiTheme="minorHAnsi" w:cstheme="minorHAnsi"/>
                <w:bCs/>
                <w:sz w:val="18"/>
                <w:szCs w:val="18"/>
                <w:lang w:val="fr-CH"/>
              </w:rPr>
            </w:pPr>
          </w:p>
        </w:tc>
        <w:tc>
          <w:tcPr>
            <w:tcW w:w="1276" w:type="dxa"/>
          </w:tcPr>
          <w:p w14:paraId="7653F15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Appels de fonds </w:t>
            </w:r>
          </w:p>
        </w:tc>
        <w:tc>
          <w:tcPr>
            <w:tcW w:w="1134" w:type="dxa"/>
          </w:tcPr>
          <w:p w14:paraId="0D5F1AAF"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Quatre cours de formation </w:t>
            </w:r>
          </w:p>
        </w:tc>
        <w:tc>
          <w:tcPr>
            <w:tcW w:w="2693" w:type="dxa"/>
          </w:tcPr>
          <w:p w14:paraId="148F7156"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Atelier régional de formation (formation des gestionnaires de zones humides, dialogue politique),</w:t>
            </w:r>
          </w:p>
          <w:p w14:paraId="5DFBA7D6"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Conception de modules de formation (évaluation rapide)</w:t>
            </w:r>
          </w:p>
          <w:p w14:paraId="1A62B46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Promotion de la Journée mondiale des zones humides</w:t>
            </w:r>
          </w:p>
          <w:p w14:paraId="57AFB054"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Travail en réseau avec Wetland Link International Asia</w:t>
            </w:r>
          </w:p>
          <w:p w14:paraId="0A0C695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Programme de subventions (4 projets approuvés pour l’utilisation rationnelle des zones humides, 3 projets approuvés pour la Journée mondiale des zones humides)</w:t>
            </w:r>
          </w:p>
          <w:p w14:paraId="19324537" w14:textId="77777777" w:rsidR="00CA5E9B" w:rsidRPr="00A12600" w:rsidRDefault="00CA5E9B" w:rsidP="00A5496C">
            <w:pPr>
              <w:pStyle w:val="ListParagraph"/>
              <w:widowControl w:val="0"/>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Réunion du Comité consultatif indépendant pour le label Ville des Zones Humides accréditée</w:t>
            </w:r>
          </w:p>
        </w:tc>
        <w:tc>
          <w:tcPr>
            <w:tcW w:w="1134" w:type="dxa"/>
          </w:tcPr>
          <w:p w14:paraId="38960634"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t xml:space="preserve">Manque de financement/manque d’indépendance vis-à-vis de l’institution d’accueil </w:t>
            </w:r>
          </w:p>
        </w:tc>
      </w:tr>
      <w:tr w:rsidR="00CA5E9B" w:rsidRPr="00D52AF4" w14:paraId="7244D399" w14:textId="77777777" w:rsidTr="00A5496C">
        <w:trPr>
          <w:cantSplit/>
        </w:trPr>
        <w:tc>
          <w:tcPr>
            <w:tcW w:w="1418" w:type="dxa"/>
          </w:tcPr>
          <w:p w14:paraId="2B788A46" w14:textId="0C584B25" w:rsidR="00CA5E9B" w:rsidRPr="00A12600" w:rsidRDefault="00D02D0C" w:rsidP="00A5496C">
            <w:pPr>
              <w:ind w:left="0" w:firstLine="0"/>
              <w:outlineLvl w:val="1"/>
              <w:rPr>
                <w:rFonts w:asciiTheme="minorHAnsi" w:hAnsiTheme="minorHAnsi" w:cstheme="minorHAnsi"/>
                <w:bCs/>
                <w:spacing w:val="-4"/>
                <w:sz w:val="18"/>
                <w:szCs w:val="18"/>
                <w:lang w:val="fr-CH"/>
              </w:rPr>
            </w:pPr>
            <w:r w:rsidRPr="00A12600">
              <w:rPr>
                <w:rFonts w:cs="Calibri"/>
                <w:bCs/>
                <w:spacing w:val="-4"/>
                <w:sz w:val="18"/>
                <w:szCs w:val="20"/>
                <w:lang w:val="fr-FR"/>
              </w:rPr>
              <w:lastRenderedPageBreak/>
              <w:t xml:space="preserve">Initiative régionale Ramsar pour les </w:t>
            </w:r>
            <w:r w:rsidR="00CA5E9B" w:rsidRPr="00A12600">
              <w:rPr>
                <w:rFonts w:asciiTheme="minorHAnsi" w:hAnsiTheme="minorHAnsi" w:cstheme="minorHAnsi"/>
                <w:bCs/>
                <w:spacing w:val="-4"/>
                <w:sz w:val="18"/>
                <w:szCs w:val="18"/>
                <w:lang w:val="fr-CH"/>
              </w:rPr>
              <w:t>zones humides côtières d’Afrique de l’Ouest (WACOWet), 2009</w:t>
            </w:r>
          </w:p>
        </w:tc>
        <w:tc>
          <w:tcPr>
            <w:tcW w:w="993" w:type="dxa"/>
          </w:tcPr>
          <w:p w14:paraId="4A5D5A19"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13</w:t>
            </w:r>
          </w:p>
        </w:tc>
        <w:tc>
          <w:tcPr>
            <w:tcW w:w="992" w:type="dxa"/>
          </w:tcPr>
          <w:p w14:paraId="7A565389"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Oui (projet)</w:t>
            </w:r>
          </w:p>
        </w:tc>
        <w:tc>
          <w:tcPr>
            <w:tcW w:w="2268" w:type="dxa"/>
          </w:tcPr>
          <w:p w14:paraId="5CCFA288"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Le Conseil de surveillance est chargé de la supervision globale des politiques du Secrétariat de WACOWet, ainsi que du suivi et de l’examen de la mise en œuvre des stratégies, du plan annuel, de la gestion des risques, ainsi que de la situation et de la gestion financières.</w:t>
            </w:r>
          </w:p>
        </w:tc>
        <w:tc>
          <w:tcPr>
            <w:tcW w:w="1276" w:type="dxa"/>
          </w:tcPr>
          <w:p w14:paraId="249B2DAD"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Observateur</w:t>
            </w:r>
          </w:p>
        </w:tc>
        <w:tc>
          <w:tcPr>
            <w:tcW w:w="1559" w:type="dxa"/>
          </w:tcPr>
          <w:p w14:paraId="7033F965"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 xml:space="preserve">Le Manuel de procédures financières &amp; comptables (2013) reflète les procédures budgétaires et de planification, les méthodes comptables, les rapports financiers, ainsi que les registres et documents comptables.   </w:t>
            </w:r>
          </w:p>
        </w:tc>
        <w:tc>
          <w:tcPr>
            <w:tcW w:w="1134" w:type="dxa"/>
          </w:tcPr>
          <w:p w14:paraId="14F396B3"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Plan de travail annuel et Plan stratégique harmonisés avec le Plan stratégique de la Convention </w:t>
            </w:r>
          </w:p>
          <w:p w14:paraId="5FE90001" w14:textId="77777777" w:rsidR="00CA5E9B" w:rsidRPr="00A12600" w:rsidRDefault="00CA5E9B" w:rsidP="00A5496C">
            <w:pPr>
              <w:ind w:left="0" w:firstLine="0"/>
              <w:jc w:val="right"/>
              <w:outlineLvl w:val="1"/>
              <w:rPr>
                <w:rFonts w:asciiTheme="minorHAnsi" w:hAnsiTheme="minorHAnsi" w:cstheme="minorHAnsi"/>
                <w:bCs/>
                <w:spacing w:val="-4"/>
                <w:sz w:val="18"/>
                <w:szCs w:val="18"/>
                <w:lang w:val="fr-CH"/>
              </w:rPr>
            </w:pPr>
          </w:p>
        </w:tc>
        <w:tc>
          <w:tcPr>
            <w:tcW w:w="1276" w:type="dxa"/>
          </w:tcPr>
          <w:p w14:paraId="08B2224C"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Aucune information</w:t>
            </w:r>
          </w:p>
        </w:tc>
        <w:tc>
          <w:tcPr>
            <w:tcW w:w="1134" w:type="dxa"/>
          </w:tcPr>
          <w:p w14:paraId="34DA81B8"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 xml:space="preserve">Aucune information </w:t>
            </w:r>
          </w:p>
        </w:tc>
        <w:tc>
          <w:tcPr>
            <w:tcW w:w="2693" w:type="dxa"/>
          </w:tcPr>
          <w:p w14:paraId="3DAF4DF4"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 xml:space="preserve">- Développement de partenariats avec une institution régionale (Partenariat régional pour la conservation de la zone côtière et marine) </w:t>
            </w:r>
          </w:p>
          <w:p w14:paraId="094E68E1"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 xml:space="preserve">- Réunion du conseil de gouvernance (participation de 12 pays) </w:t>
            </w:r>
          </w:p>
          <w:p w14:paraId="201A2E0C"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p>
        </w:tc>
        <w:tc>
          <w:tcPr>
            <w:tcW w:w="1134" w:type="dxa"/>
          </w:tcPr>
          <w:p w14:paraId="27653F94"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Ressources financières limitées</w:t>
            </w:r>
          </w:p>
        </w:tc>
      </w:tr>
      <w:tr w:rsidR="00CA5E9B" w:rsidRPr="00D26183" w14:paraId="54AF7D38" w14:textId="77777777" w:rsidTr="00A5496C">
        <w:tc>
          <w:tcPr>
            <w:tcW w:w="1418" w:type="dxa"/>
          </w:tcPr>
          <w:p w14:paraId="557695AF" w14:textId="39591D81" w:rsidR="00CA5E9B" w:rsidRPr="00A12600" w:rsidRDefault="00D02D0C" w:rsidP="00A5496C">
            <w:pPr>
              <w:ind w:left="0" w:firstLine="0"/>
              <w:outlineLvl w:val="1"/>
              <w:rPr>
                <w:rFonts w:asciiTheme="minorHAnsi" w:hAnsiTheme="minorHAnsi" w:cstheme="minorHAnsi"/>
                <w:bCs/>
                <w:sz w:val="18"/>
                <w:szCs w:val="18"/>
                <w:lang w:val="fr-CH"/>
              </w:rPr>
            </w:pPr>
            <w:r w:rsidRPr="00A12600">
              <w:rPr>
                <w:rFonts w:cs="Calibri"/>
                <w:bCs/>
                <w:spacing w:val="-4"/>
                <w:sz w:val="18"/>
                <w:szCs w:val="20"/>
                <w:lang w:val="fr-FR"/>
              </w:rPr>
              <w:t>Initiative régionale Ramsar pour le b</w:t>
            </w:r>
            <w:r w:rsidR="00CA5E9B" w:rsidRPr="00A12600">
              <w:rPr>
                <w:rFonts w:asciiTheme="minorHAnsi" w:hAnsiTheme="minorHAnsi" w:cstheme="minorHAnsi"/>
                <w:bCs/>
                <w:sz w:val="18"/>
                <w:szCs w:val="18"/>
                <w:lang w:val="fr-CH"/>
              </w:rPr>
              <w:t>assin du fleuve Niger (NigerWet),</w:t>
            </w:r>
          </w:p>
          <w:p w14:paraId="41593337"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2006</w:t>
            </w:r>
          </w:p>
        </w:tc>
        <w:tc>
          <w:tcPr>
            <w:tcW w:w="993" w:type="dxa"/>
          </w:tcPr>
          <w:p w14:paraId="160E9A40"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9</w:t>
            </w:r>
          </w:p>
        </w:tc>
        <w:tc>
          <w:tcPr>
            <w:tcW w:w="992" w:type="dxa"/>
          </w:tcPr>
          <w:p w14:paraId="494057D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Oui (projet)</w:t>
            </w:r>
          </w:p>
        </w:tc>
        <w:tc>
          <w:tcPr>
            <w:tcW w:w="2268" w:type="dxa"/>
          </w:tcPr>
          <w:p w14:paraId="44770E6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Le Conseil de surveillance est chargé de la supervision globale des politiques du Secrétariat de NigerWet, ainsi que du suivi et de l’examen de la mise en œuvre des stratégies, du plan annuel, de la gestion des risques, ainsi que de la situation et de la gestion financières.</w:t>
            </w:r>
          </w:p>
        </w:tc>
        <w:tc>
          <w:tcPr>
            <w:tcW w:w="1276" w:type="dxa"/>
          </w:tcPr>
          <w:p w14:paraId="26714956"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pacing w:val="-4"/>
                <w:sz w:val="18"/>
                <w:szCs w:val="18"/>
                <w:lang w:val="fr-CH"/>
              </w:rPr>
              <w:t>Observateur</w:t>
            </w:r>
          </w:p>
        </w:tc>
        <w:tc>
          <w:tcPr>
            <w:tcW w:w="1559" w:type="dxa"/>
          </w:tcPr>
          <w:p w14:paraId="631724A2"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pacing w:val="-4"/>
                <w:sz w:val="18"/>
                <w:szCs w:val="18"/>
                <w:lang w:val="fr-CH"/>
              </w:rPr>
              <w:t>Le Manuel de procédures financières &amp; comptables (2013) reflète les procédures budgétaires et de planification, les méthodes comptables, les rapports financiers, ainsi que les registres et documents comptables</w:t>
            </w:r>
            <w:r w:rsidRPr="00A12600">
              <w:rPr>
                <w:rFonts w:asciiTheme="minorHAnsi" w:hAnsiTheme="minorHAnsi" w:cstheme="minorHAnsi"/>
                <w:bCs/>
                <w:sz w:val="18"/>
                <w:szCs w:val="18"/>
                <w:lang w:val="fr-CH"/>
              </w:rPr>
              <w:t>.</w:t>
            </w:r>
          </w:p>
        </w:tc>
        <w:tc>
          <w:tcPr>
            <w:tcW w:w="1134" w:type="dxa"/>
          </w:tcPr>
          <w:p w14:paraId="09E54421"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Plan de travail annuel </w:t>
            </w:r>
          </w:p>
        </w:tc>
        <w:tc>
          <w:tcPr>
            <w:tcW w:w="1276" w:type="dxa"/>
          </w:tcPr>
          <w:p w14:paraId="3B736155"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Appels de fonds </w:t>
            </w:r>
          </w:p>
        </w:tc>
        <w:tc>
          <w:tcPr>
            <w:tcW w:w="1134" w:type="dxa"/>
          </w:tcPr>
          <w:p w14:paraId="5469CE52" w14:textId="77777777" w:rsidR="00CA5E9B" w:rsidRPr="00A12600" w:rsidRDefault="00CA5E9B" w:rsidP="00A5496C">
            <w:pPr>
              <w:pStyle w:val="ListParagraph"/>
              <w:widowControl w:val="0"/>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Deux cours de formation avec 115 participants</w:t>
            </w:r>
          </w:p>
        </w:tc>
        <w:tc>
          <w:tcPr>
            <w:tcW w:w="2693" w:type="dxa"/>
          </w:tcPr>
          <w:p w14:paraId="7A1D14D3"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Les Correspondants nationaux ont suivi une formation sur l’élaboration de projets UNOPS</w:t>
            </w:r>
          </w:p>
          <w:p w14:paraId="48B4D837"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Données collectées pour mettre à jour les FDR (Niger et Guinée)</w:t>
            </w:r>
          </w:p>
        </w:tc>
        <w:tc>
          <w:tcPr>
            <w:tcW w:w="1134" w:type="dxa"/>
          </w:tcPr>
          <w:p w14:paraId="5CD78FAB" w14:textId="77777777" w:rsidR="00CA5E9B" w:rsidRPr="00A12600" w:rsidRDefault="00CA5E9B" w:rsidP="00A5496C">
            <w:pPr>
              <w:ind w:left="0" w:firstLine="0"/>
              <w:outlineLvl w:val="1"/>
              <w:rPr>
                <w:rFonts w:asciiTheme="minorHAnsi" w:hAnsiTheme="minorHAnsi" w:cstheme="minorHAnsi"/>
                <w:bCs/>
                <w:sz w:val="18"/>
                <w:szCs w:val="18"/>
                <w:highlight w:val="yellow"/>
                <w:lang w:val="fr-CH"/>
              </w:rPr>
            </w:pPr>
            <w:r w:rsidRPr="00A12600">
              <w:rPr>
                <w:rFonts w:asciiTheme="minorHAnsi" w:hAnsiTheme="minorHAnsi" w:cstheme="minorHAnsi"/>
                <w:sz w:val="18"/>
                <w:szCs w:val="18"/>
                <w:lang w:val="fr-CH"/>
              </w:rPr>
              <w:t>Manque de fonds, capacité technique faible</w:t>
            </w:r>
          </w:p>
        </w:tc>
      </w:tr>
      <w:tr w:rsidR="00CA5E9B" w:rsidRPr="00D52AF4" w14:paraId="46AF8F49" w14:textId="77777777" w:rsidTr="00A5496C">
        <w:tc>
          <w:tcPr>
            <w:tcW w:w="1418" w:type="dxa"/>
          </w:tcPr>
          <w:p w14:paraId="6B63AEF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Initiative régionale Ramsar pour la conservation et l’utilisation </w:t>
            </w:r>
            <w:r w:rsidRPr="00A12600">
              <w:rPr>
                <w:rFonts w:asciiTheme="minorHAnsi" w:hAnsiTheme="minorHAnsi" w:cstheme="minorHAnsi"/>
                <w:bCs/>
                <w:sz w:val="18"/>
                <w:szCs w:val="18"/>
                <w:lang w:val="fr-CH"/>
              </w:rPr>
              <w:lastRenderedPageBreak/>
              <w:t>rationnelle des zones humides des Hautes Andes (HAW), 2005</w:t>
            </w:r>
          </w:p>
        </w:tc>
        <w:tc>
          <w:tcPr>
            <w:tcW w:w="993" w:type="dxa"/>
          </w:tcPr>
          <w:p w14:paraId="6A3C7A4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lastRenderedPageBreak/>
              <w:t>8</w:t>
            </w:r>
          </w:p>
        </w:tc>
        <w:tc>
          <w:tcPr>
            <w:tcW w:w="992" w:type="dxa"/>
          </w:tcPr>
          <w:p w14:paraId="2D2C886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Oui</w:t>
            </w:r>
          </w:p>
        </w:tc>
        <w:tc>
          <w:tcPr>
            <w:tcW w:w="2268" w:type="dxa"/>
          </w:tcPr>
          <w:p w14:paraId="2079CC9C"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Le Comité de coordination (Correspondants nationaux des pays membres) tient des réunions annuelles pour suivre la mise en œuvre de la </w:t>
            </w:r>
            <w:r w:rsidRPr="00A12600">
              <w:rPr>
                <w:rFonts w:asciiTheme="minorHAnsi" w:hAnsiTheme="minorHAnsi" w:cstheme="minorHAnsi"/>
                <w:bCs/>
                <w:sz w:val="18"/>
                <w:szCs w:val="18"/>
                <w:lang w:val="fr-CH"/>
              </w:rPr>
              <w:lastRenderedPageBreak/>
              <w:t xml:space="preserve">stratégie et de son plan d’action.  </w:t>
            </w:r>
          </w:p>
        </w:tc>
        <w:tc>
          <w:tcPr>
            <w:tcW w:w="1276" w:type="dxa"/>
          </w:tcPr>
          <w:p w14:paraId="7BAB3371"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lastRenderedPageBreak/>
              <w:t>Apporte un soutien au Comité de coordination</w:t>
            </w:r>
          </w:p>
        </w:tc>
        <w:tc>
          <w:tcPr>
            <w:tcW w:w="1559" w:type="dxa"/>
          </w:tcPr>
          <w:p w14:paraId="71E16DC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Comité de coordination (de précédentes allocations du Comité permanent </w:t>
            </w:r>
            <w:r w:rsidRPr="00A12600">
              <w:rPr>
                <w:rFonts w:asciiTheme="minorHAnsi" w:hAnsiTheme="minorHAnsi" w:cstheme="minorHAnsi"/>
                <w:bCs/>
                <w:sz w:val="18"/>
                <w:szCs w:val="18"/>
                <w:lang w:val="fr-CH"/>
              </w:rPr>
              <w:lastRenderedPageBreak/>
              <w:t xml:space="preserve">ont été administrées par le Secrétariat sur décision du Comité de coordination).  </w:t>
            </w:r>
          </w:p>
        </w:tc>
        <w:tc>
          <w:tcPr>
            <w:tcW w:w="1134" w:type="dxa"/>
          </w:tcPr>
          <w:p w14:paraId="703D9BE5"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lastRenderedPageBreak/>
              <w:t xml:space="preserve">Plan de travail annuel et Plan stratégique harmonisés avec le Plan </w:t>
            </w:r>
            <w:r w:rsidRPr="00A12600">
              <w:rPr>
                <w:rFonts w:asciiTheme="minorHAnsi" w:hAnsiTheme="minorHAnsi" w:cstheme="minorHAnsi"/>
                <w:bCs/>
                <w:sz w:val="18"/>
                <w:szCs w:val="18"/>
                <w:lang w:val="fr-CH"/>
              </w:rPr>
              <w:lastRenderedPageBreak/>
              <w:t xml:space="preserve">stratégique de la Convention  </w:t>
            </w:r>
          </w:p>
          <w:p w14:paraId="0692A558" w14:textId="77777777" w:rsidR="00CA5E9B" w:rsidRPr="00A12600" w:rsidRDefault="00CA5E9B" w:rsidP="00A5496C">
            <w:pPr>
              <w:ind w:left="0" w:firstLine="0"/>
              <w:outlineLvl w:val="1"/>
              <w:rPr>
                <w:rFonts w:asciiTheme="minorHAnsi" w:hAnsiTheme="minorHAnsi" w:cstheme="minorHAnsi"/>
                <w:bCs/>
                <w:sz w:val="18"/>
                <w:szCs w:val="18"/>
                <w:lang w:val="fr-CH"/>
              </w:rPr>
            </w:pPr>
          </w:p>
        </w:tc>
        <w:tc>
          <w:tcPr>
            <w:tcW w:w="1276" w:type="dxa"/>
          </w:tcPr>
          <w:p w14:paraId="42DDCBE7"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lastRenderedPageBreak/>
              <w:t xml:space="preserve">Stratégie de mobilisation des ressources et appels de fonds </w:t>
            </w:r>
          </w:p>
        </w:tc>
        <w:tc>
          <w:tcPr>
            <w:tcW w:w="1134" w:type="dxa"/>
          </w:tcPr>
          <w:p w14:paraId="51E439D4" w14:textId="77777777" w:rsidR="00CA5E9B" w:rsidRPr="00A12600" w:rsidRDefault="00CA5E9B" w:rsidP="00A5496C">
            <w:pPr>
              <w:ind w:left="0" w:firstLine="0"/>
              <w:rPr>
                <w:rFonts w:asciiTheme="minorHAnsi" w:hAnsiTheme="minorHAnsi" w:cstheme="minorHAnsi"/>
                <w:bCs/>
                <w:sz w:val="18"/>
                <w:szCs w:val="18"/>
                <w:lang w:val="fr-CH"/>
              </w:rPr>
            </w:pPr>
            <w:r w:rsidRPr="00A12600">
              <w:rPr>
                <w:rFonts w:asciiTheme="minorHAnsi" w:hAnsiTheme="minorHAnsi" w:cstheme="minorHAnsi"/>
                <w:sz w:val="18"/>
                <w:szCs w:val="18"/>
                <w:lang w:val="fr-CH"/>
              </w:rPr>
              <w:t xml:space="preserve">Renforcement des capacités par la conception et l’exécution de </w:t>
            </w:r>
            <w:r w:rsidRPr="00A12600">
              <w:rPr>
                <w:rFonts w:asciiTheme="minorHAnsi" w:hAnsiTheme="minorHAnsi" w:cstheme="minorHAnsi"/>
                <w:sz w:val="18"/>
                <w:szCs w:val="18"/>
                <w:lang w:val="fr-CH"/>
              </w:rPr>
              <w:lastRenderedPageBreak/>
              <w:t xml:space="preserve">cours de formation ou d’ateliers </w:t>
            </w:r>
          </w:p>
        </w:tc>
        <w:tc>
          <w:tcPr>
            <w:tcW w:w="2693" w:type="dxa"/>
          </w:tcPr>
          <w:p w14:paraId="3B8B5CD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lastRenderedPageBreak/>
              <w:t>- Réunion régionale annuelle de l’ERHAA</w:t>
            </w:r>
          </w:p>
          <w:p w14:paraId="6C75BAB5"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 Révision et ajustement des propositions de projets régionaux et de renforcement des capacités </w:t>
            </w:r>
          </w:p>
        </w:tc>
        <w:tc>
          <w:tcPr>
            <w:tcW w:w="1134" w:type="dxa"/>
          </w:tcPr>
          <w:p w14:paraId="7B88B5B3"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Aucune information</w:t>
            </w:r>
          </w:p>
        </w:tc>
      </w:tr>
      <w:tr w:rsidR="00CA5E9B" w:rsidRPr="00D52AF4" w14:paraId="3678357B" w14:textId="77777777" w:rsidTr="00A5496C">
        <w:tc>
          <w:tcPr>
            <w:tcW w:w="1418" w:type="dxa"/>
          </w:tcPr>
          <w:p w14:paraId="5818B5B7"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Initiative régionale Ramsar pour la conservation et l’utilisation rationnelle du bassin du Río de la Plata, 2009</w:t>
            </w:r>
          </w:p>
        </w:tc>
        <w:tc>
          <w:tcPr>
            <w:tcW w:w="993" w:type="dxa"/>
          </w:tcPr>
          <w:p w14:paraId="4700114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5</w:t>
            </w:r>
          </w:p>
        </w:tc>
        <w:tc>
          <w:tcPr>
            <w:tcW w:w="992" w:type="dxa"/>
          </w:tcPr>
          <w:p w14:paraId="68A3F542"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Oui</w:t>
            </w:r>
          </w:p>
        </w:tc>
        <w:tc>
          <w:tcPr>
            <w:tcW w:w="2268" w:type="dxa"/>
          </w:tcPr>
          <w:p w14:paraId="7504D9B6"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Le Comité de coordination (pays membres) en tant qu’organe de gouvernance examine les progrès chaque année.</w:t>
            </w:r>
          </w:p>
        </w:tc>
        <w:tc>
          <w:tcPr>
            <w:tcW w:w="1276" w:type="dxa"/>
          </w:tcPr>
          <w:p w14:paraId="56211B2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Apporte un soutien au Comité de coordination</w:t>
            </w:r>
          </w:p>
        </w:tc>
        <w:tc>
          <w:tcPr>
            <w:tcW w:w="1559" w:type="dxa"/>
          </w:tcPr>
          <w:p w14:paraId="4F1C2AC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Comité de coordination (de précédentes allocations du Comité permanent ont été administrées par le Secrétariat sur décision du Comité de coordination)</w:t>
            </w:r>
          </w:p>
        </w:tc>
        <w:tc>
          <w:tcPr>
            <w:tcW w:w="1134" w:type="dxa"/>
          </w:tcPr>
          <w:p w14:paraId="06A2965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Plan de travail annuel et Plan stratégique harmonisés avec le Plan stratégique de la Convention </w:t>
            </w:r>
          </w:p>
          <w:p w14:paraId="266E9DB0" w14:textId="77777777" w:rsidR="00CA5E9B" w:rsidRPr="00A12600" w:rsidRDefault="00CA5E9B" w:rsidP="00A5496C">
            <w:pPr>
              <w:ind w:left="0" w:firstLine="0"/>
              <w:jc w:val="right"/>
              <w:outlineLvl w:val="1"/>
              <w:rPr>
                <w:rFonts w:asciiTheme="minorHAnsi" w:hAnsiTheme="minorHAnsi" w:cstheme="minorHAnsi"/>
                <w:bCs/>
                <w:sz w:val="18"/>
                <w:szCs w:val="18"/>
                <w:lang w:val="fr-CH"/>
              </w:rPr>
            </w:pPr>
          </w:p>
        </w:tc>
        <w:tc>
          <w:tcPr>
            <w:tcW w:w="1276" w:type="dxa"/>
          </w:tcPr>
          <w:p w14:paraId="7CA43C1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Stratégie de mobilisation des ressources et appels de fonds </w:t>
            </w:r>
          </w:p>
        </w:tc>
        <w:tc>
          <w:tcPr>
            <w:tcW w:w="1134" w:type="dxa"/>
          </w:tcPr>
          <w:p w14:paraId="43A2C97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Cours de formation avec 90 participants</w:t>
            </w:r>
          </w:p>
        </w:tc>
        <w:tc>
          <w:tcPr>
            <w:tcW w:w="2693" w:type="dxa"/>
          </w:tcPr>
          <w:p w14:paraId="571815E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Renforcement des capacités de gestion des zones humides dans les pays membres</w:t>
            </w:r>
          </w:p>
          <w:p w14:paraId="520DFF4F" w14:textId="77777777" w:rsidR="00CA5E9B" w:rsidRPr="00A12600" w:rsidRDefault="00CA5E9B" w:rsidP="00A5496C">
            <w:pPr>
              <w:ind w:left="0" w:firstLine="0"/>
              <w:outlineLvl w:val="1"/>
              <w:rPr>
                <w:rFonts w:asciiTheme="minorHAnsi" w:hAnsiTheme="minorHAnsi" w:cstheme="minorHAnsi"/>
                <w:bCs/>
                <w:sz w:val="18"/>
                <w:szCs w:val="18"/>
                <w:lang w:val="fr-CH"/>
              </w:rPr>
            </w:pPr>
          </w:p>
          <w:p w14:paraId="7E086E36" w14:textId="77777777" w:rsidR="00CA5E9B" w:rsidRPr="00A12600" w:rsidRDefault="00CA5E9B" w:rsidP="00A5496C">
            <w:pPr>
              <w:ind w:left="0" w:firstLine="0"/>
              <w:outlineLvl w:val="1"/>
              <w:rPr>
                <w:rFonts w:asciiTheme="minorHAnsi" w:hAnsiTheme="minorHAnsi" w:cstheme="minorHAnsi"/>
                <w:bCs/>
                <w:sz w:val="18"/>
                <w:szCs w:val="18"/>
                <w:lang w:val="fr-CH"/>
              </w:rPr>
            </w:pPr>
          </w:p>
          <w:p w14:paraId="2478F8C4" w14:textId="77777777" w:rsidR="00CA5E9B" w:rsidRPr="00A12600" w:rsidRDefault="00CA5E9B" w:rsidP="00A5496C">
            <w:pPr>
              <w:ind w:left="0" w:firstLine="0"/>
              <w:outlineLvl w:val="1"/>
              <w:rPr>
                <w:rFonts w:asciiTheme="minorHAnsi" w:hAnsiTheme="minorHAnsi" w:cstheme="minorHAnsi"/>
                <w:bCs/>
                <w:sz w:val="18"/>
                <w:szCs w:val="18"/>
                <w:lang w:val="fr-CH"/>
              </w:rPr>
            </w:pPr>
          </w:p>
        </w:tc>
        <w:tc>
          <w:tcPr>
            <w:tcW w:w="1134" w:type="dxa"/>
          </w:tcPr>
          <w:p w14:paraId="4FEC474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Aucune information</w:t>
            </w:r>
          </w:p>
        </w:tc>
      </w:tr>
      <w:tr w:rsidR="00CA5E9B" w:rsidRPr="00D26183" w14:paraId="2F367DA8" w14:textId="77777777" w:rsidTr="00A5496C">
        <w:tc>
          <w:tcPr>
            <w:tcW w:w="1418" w:type="dxa"/>
          </w:tcPr>
          <w:p w14:paraId="3CA887B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Initiative régionale Ramsar pour les zones humides des Caraïbes (CariWet),</w:t>
            </w:r>
          </w:p>
          <w:p w14:paraId="286BAE75" w14:textId="77777777" w:rsidR="00CA5E9B" w:rsidRPr="00A12600" w:rsidRDefault="00CA5E9B" w:rsidP="00A5496C">
            <w:pPr>
              <w:ind w:left="0" w:firstLine="0"/>
              <w:outlineLvl w:val="1"/>
              <w:rPr>
                <w:rFonts w:asciiTheme="minorHAnsi" w:hAnsiTheme="minorHAnsi" w:cstheme="minorHAnsi"/>
                <w:b/>
                <w:bCs/>
                <w:sz w:val="18"/>
                <w:szCs w:val="18"/>
                <w:lang w:val="fr-CH"/>
              </w:rPr>
            </w:pPr>
            <w:r w:rsidRPr="00A12600">
              <w:rPr>
                <w:rFonts w:asciiTheme="minorHAnsi" w:hAnsiTheme="minorHAnsi" w:cstheme="minorHAnsi"/>
                <w:bCs/>
                <w:sz w:val="18"/>
                <w:szCs w:val="18"/>
                <w:lang w:val="fr-CH"/>
              </w:rPr>
              <w:t>2009</w:t>
            </w:r>
            <w:r w:rsidRPr="00A12600">
              <w:rPr>
                <w:rFonts w:asciiTheme="minorHAnsi" w:hAnsiTheme="minorHAnsi" w:cstheme="minorHAnsi"/>
                <w:bCs/>
                <w:sz w:val="18"/>
                <w:szCs w:val="18"/>
                <w:lang w:val="fr-CH"/>
              </w:rPr>
              <w:tab/>
            </w:r>
          </w:p>
          <w:p w14:paraId="461087B5" w14:textId="77777777" w:rsidR="00CA5E9B" w:rsidRPr="00A12600" w:rsidRDefault="00CA5E9B" w:rsidP="00A5496C">
            <w:pPr>
              <w:ind w:left="0" w:firstLine="0"/>
              <w:outlineLvl w:val="1"/>
              <w:rPr>
                <w:rFonts w:asciiTheme="minorHAnsi" w:hAnsiTheme="minorHAnsi" w:cstheme="minorHAnsi"/>
                <w:b/>
                <w:bCs/>
                <w:sz w:val="18"/>
                <w:szCs w:val="18"/>
                <w:lang w:val="fr-CH"/>
              </w:rPr>
            </w:pPr>
          </w:p>
        </w:tc>
        <w:tc>
          <w:tcPr>
            <w:tcW w:w="993" w:type="dxa"/>
          </w:tcPr>
          <w:p w14:paraId="0333165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14 (11 Parties contractantes, </w:t>
            </w:r>
          </w:p>
          <w:p w14:paraId="59ED4E3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3 territoires d’outre-mer)</w:t>
            </w:r>
          </w:p>
        </w:tc>
        <w:tc>
          <w:tcPr>
            <w:tcW w:w="992" w:type="dxa"/>
          </w:tcPr>
          <w:p w14:paraId="7FDF684E"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Oui</w:t>
            </w:r>
          </w:p>
        </w:tc>
        <w:tc>
          <w:tcPr>
            <w:tcW w:w="2268" w:type="dxa"/>
          </w:tcPr>
          <w:p w14:paraId="38B169A1" w14:textId="6D83090E"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Le Comité de l’Initiative régionale</w:t>
            </w:r>
            <w:r w:rsidR="007C4430">
              <w:rPr>
                <w:rFonts w:asciiTheme="minorHAnsi" w:hAnsiTheme="minorHAnsi" w:cstheme="minorHAnsi"/>
                <w:bCs/>
                <w:sz w:val="18"/>
                <w:szCs w:val="18"/>
                <w:lang w:val="fr-CH"/>
              </w:rPr>
              <w:t xml:space="preserve"> Ramsar</w:t>
            </w:r>
            <w:r w:rsidRPr="00A12600">
              <w:rPr>
                <w:rFonts w:asciiTheme="minorHAnsi" w:hAnsiTheme="minorHAnsi" w:cstheme="minorHAnsi"/>
                <w:bCs/>
                <w:sz w:val="18"/>
                <w:szCs w:val="18"/>
                <w:lang w:val="fr-CH"/>
              </w:rPr>
              <w:t xml:space="preserve"> est coordonné par 2 pays membres et inclut chacune des Parties contractantes membres de l’I</w:t>
            </w:r>
            <w:r w:rsidR="007C4430">
              <w:rPr>
                <w:rFonts w:asciiTheme="minorHAnsi" w:hAnsiTheme="minorHAnsi" w:cstheme="minorHAnsi"/>
                <w:bCs/>
                <w:sz w:val="18"/>
                <w:szCs w:val="18"/>
                <w:lang w:val="fr-CH"/>
              </w:rPr>
              <w:t>RR</w:t>
            </w:r>
            <w:r w:rsidRPr="00A12600">
              <w:rPr>
                <w:rFonts w:asciiTheme="minorHAnsi" w:hAnsiTheme="minorHAnsi" w:cstheme="minorHAnsi"/>
                <w:bCs/>
                <w:sz w:val="18"/>
                <w:szCs w:val="18"/>
                <w:lang w:val="fr-CH"/>
              </w:rPr>
              <w:t xml:space="preserve">, le Secrétariat Ramsar et les représentants sous-régionaux au Comité permanent pour les Caraïbes (passés, présents et futurs).  </w:t>
            </w:r>
          </w:p>
        </w:tc>
        <w:tc>
          <w:tcPr>
            <w:tcW w:w="1276" w:type="dxa"/>
          </w:tcPr>
          <w:p w14:paraId="092E118B" w14:textId="254E4A4C"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Membre du Comité de l’I</w:t>
            </w:r>
            <w:r w:rsidR="007C4430">
              <w:rPr>
                <w:rFonts w:asciiTheme="minorHAnsi" w:hAnsiTheme="minorHAnsi" w:cstheme="minorHAnsi"/>
                <w:bCs/>
                <w:sz w:val="18"/>
                <w:szCs w:val="18"/>
                <w:lang w:val="fr-CH"/>
              </w:rPr>
              <w:t>RR</w:t>
            </w:r>
            <w:r w:rsidRPr="00A12600">
              <w:rPr>
                <w:rFonts w:asciiTheme="minorHAnsi" w:hAnsiTheme="minorHAnsi" w:cstheme="minorHAnsi"/>
                <w:bCs/>
                <w:sz w:val="18"/>
                <w:szCs w:val="18"/>
                <w:lang w:val="fr-CH"/>
              </w:rPr>
              <w:t xml:space="preserve">, apporte un soutien  </w:t>
            </w:r>
          </w:p>
        </w:tc>
        <w:tc>
          <w:tcPr>
            <w:tcW w:w="1559" w:type="dxa"/>
          </w:tcPr>
          <w:p w14:paraId="4763C2FC"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Comité de coordination (de précédentes allocations du Comité permanent ont été administrées par le Secrétariat sur décision du Comité de coordination)</w:t>
            </w:r>
          </w:p>
        </w:tc>
        <w:tc>
          <w:tcPr>
            <w:tcW w:w="1134" w:type="dxa"/>
          </w:tcPr>
          <w:p w14:paraId="593C0DF2"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Plan de travail annuel et Plan stratégique harmonisés avec le Plan stratégique de la Convention </w:t>
            </w:r>
          </w:p>
          <w:p w14:paraId="6FEFD2EE"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p>
        </w:tc>
        <w:tc>
          <w:tcPr>
            <w:tcW w:w="1276" w:type="dxa"/>
          </w:tcPr>
          <w:p w14:paraId="5E7BE261"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Stratégie de mobilisation des ressources et appels de fonds </w:t>
            </w:r>
          </w:p>
        </w:tc>
        <w:tc>
          <w:tcPr>
            <w:tcW w:w="1134" w:type="dxa"/>
          </w:tcPr>
          <w:p w14:paraId="51A88F0F"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t xml:space="preserve">Renforcement des capacités au moyen d’ateliers </w:t>
            </w:r>
          </w:p>
        </w:tc>
        <w:tc>
          <w:tcPr>
            <w:tcW w:w="2693" w:type="dxa"/>
          </w:tcPr>
          <w:p w14:paraId="4A851AE6"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Projet IKI : Ajustements et désignation du personnel et du siège du projet</w:t>
            </w:r>
          </w:p>
        </w:tc>
        <w:tc>
          <w:tcPr>
            <w:tcW w:w="1134" w:type="dxa"/>
          </w:tcPr>
          <w:p w14:paraId="6F65CB55"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t xml:space="preserve"> Faible engagement de certaines Parties contractantes</w:t>
            </w:r>
          </w:p>
        </w:tc>
      </w:tr>
      <w:tr w:rsidR="00CA5E9B" w:rsidRPr="00D52AF4" w14:paraId="4030C088" w14:textId="77777777" w:rsidTr="00A5496C">
        <w:trPr>
          <w:cantSplit/>
        </w:trPr>
        <w:tc>
          <w:tcPr>
            <w:tcW w:w="1418" w:type="dxa"/>
          </w:tcPr>
          <w:p w14:paraId="587F6095"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lastRenderedPageBreak/>
              <w:t>Initiative régionale Ramsar pour la conservation et l’utilisation rationnelle des mangroves et des récifs coralliens, 2009</w:t>
            </w:r>
          </w:p>
        </w:tc>
        <w:tc>
          <w:tcPr>
            <w:tcW w:w="993" w:type="dxa"/>
          </w:tcPr>
          <w:p w14:paraId="29A92A11"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14</w:t>
            </w:r>
          </w:p>
          <w:p w14:paraId="59BFA444" w14:textId="77777777" w:rsidR="00CA5E9B" w:rsidRPr="00A12600" w:rsidRDefault="00CA5E9B" w:rsidP="00A5496C">
            <w:pPr>
              <w:ind w:left="0" w:firstLine="0"/>
              <w:outlineLvl w:val="1"/>
              <w:rPr>
                <w:rFonts w:asciiTheme="minorHAnsi" w:hAnsiTheme="minorHAnsi" w:cstheme="minorHAnsi"/>
                <w:bCs/>
                <w:sz w:val="18"/>
                <w:szCs w:val="18"/>
                <w:lang w:val="fr-CH"/>
              </w:rPr>
            </w:pPr>
          </w:p>
        </w:tc>
        <w:tc>
          <w:tcPr>
            <w:tcW w:w="992" w:type="dxa"/>
          </w:tcPr>
          <w:p w14:paraId="280DB99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Oui</w:t>
            </w:r>
          </w:p>
        </w:tc>
        <w:tc>
          <w:tcPr>
            <w:tcW w:w="2268" w:type="dxa"/>
          </w:tcPr>
          <w:p w14:paraId="3195BD7C" w14:textId="5554329B"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Le Comité de coordination de l’I</w:t>
            </w:r>
            <w:r w:rsidR="007C4430">
              <w:rPr>
                <w:rFonts w:asciiTheme="minorHAnsi" w:hAnsiTheme="minorHAnsi" w:cstheme="minorHAnsi"/>
                <w:bCs/>
                <w:sz w:val="18"/>
                <w:szCs w:val="18"/>
                <w:lang w:val="fr-CH"/>
              </w:rPr>
              <w:t>RR</w:t>
            </w:r>
            <w:r w:rsidRPr="00A12600">
              <w:rPr>
                <w:rFonts w:asciiTheme="minorHAnsi" w:hAnsiTheme="minorHAnsi" w:cstheme="minorHAnsi"/>
                <w:bCs/>
                <w:sz w:val="18"/>
                <w:szCs w:val="18"/>
                <w:lang w:val="fr-CH"/>
              </w:rPr>
              <w:t xml:space="preserve"> est dirigé par deux pays membres et comprend toutes les Parties contractantes avec le soutien du Secrétariat. </w:t>
            </w:r>
          </w:p>
        </w:tc>
        <w:tc>
          <w:tcPr>
            <w:tcW w:w="1276" w:type="dxa"/>
          </w:tcPr>
          <w:p w14:paraId="5892F98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Apporte un soutien au Comité régional</w:t>
            </w:r>
          </w:p>
        </w:tc>
        <w:tc>
          <w:tcPr>
            <w:tcW w:w="1559" w:type="dxa"/>
          </w:tcPr>
          <w:p w14:paraId="197C0584"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Comité de coordination (de précédentes allocations du Comité permanent ont été administrées par le Secrétariat sur décision du Comité de coordination)</w:t>
            </w:r>
          </w:p>
        </w:tc>
        <w:tc>
          <w:tcPr>
            <w:tcW w:w="1134" w:type="dxa"/>
          </w:tcPr>
          <w:p w14:paraId="45EC5F63"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Plan de travail annuel et Plan stratégique harmonisés avec le Plan stratégique de la Convention </w:t>
            </w:r>
          </w:p>
          <w:p w14:paraId="181428EB" w14:textId="77777777" w:rsidR="00CA5E9B" w:rsidRPr="00A12600" w:rsidRDefault="00CA5E9B" w:rsidP="00A5496C">
            <w:pPr>
              <w:ind w:left="0" w:firstLine="0"/>
              <w:outlineLvl w:val="1"/>
              <w:rPr>
                <w:rFonts w:asciiTheme="minorHAnsi" w:hAnsiTheme="minorHAnsi" w:cstheme="minorHAnsi"/>
                <w:bCs/>
                <w:sz w:val="18"/>
                <w:szCs w:val="18"/>
                <w:lang w:val="fr-CH"/>
              </w:rPr>
            </w:pPr>
          </w:p>
        </w:tc>
        <w:tc>
          <w:tcPr>
            <w:tcW w:w="1276" w:type="dxa"/>
          </w:tcPr>
          <w:p w14:paraId="58726B94"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Stratégie de mobilisation des ressources et appels de fonds </w:t>
            </w:r>
          </w:p>
        </w:tc>
        <w:tc>
          <w:tcPr>
            <w:tcW w:w="1134" w:type="dxa"/>
          </w:tcPr>
          <w:p w14:paraId="3895ED0D" w14:textId="77777777" w:rsidR="00CA5E9B" w:rsidRPr="00A12600" w:rsidRDefault="00CA5E9B" w:rsidP="00A5496C">
            <w:pPr>
              <w:widowControl w:val="0"/>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t>Renforcement des capacités au moyen d’ateliers</w:t>
            </w:r>
          </w:p>
        </w:tc>
        <w:tc>
          <w:tcPr>
            <w:tcW w:w="2693" w:type="dxa"/>
          </w:tcPr>
          <w:p w14:paraId="6AB3CED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Préparation d’un portefeuille de projets régionaux afin de trouver des sources de financement</w:t>
            </w:r>
          </w:p>
          <w:p w14:paraId="0F139E2C"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Réunion annuelle</w:t>
            </w:r>
          </w:p>
          <w:p w14:paraId="7EA7C610" w14:textId="77777777" w:rsidR="00CA5E9B" w:rsidRPr="00A12600" w:rsidRDefault="00CA5E9B" w:rsidP="00A5496C">
            <w:pPr>
              <w:pStyle w:val="ListParagraph"/>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 Participation à Ocean Community on Mangroves à Montréal </w:t>
            </w:r>
          </w:p>
        </w:tc>
        <w:tc>
          <w:tcPr>
            <w:tcW w:w="1134" w:type="dxa"/>
          </w:tcPr>
          <w:p w14:paraId="056649F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Manque de financement </w:t>
            </w:r>
          </w:p>
        </w:tc>
      </w:tr>
      <w:tr w:rsidR="00CA5E9B" w:rsidRPr="00D26183" w14:paraId="25ACCFDF" w14:textId="77777777" w:rsidTr="00A5496C">
        <w:tc>
          <w:tcPr>
            <w:tcW w:w="1418" w:type="dxa"/>
          </w:tcPr>
          <w:p w14:paraId="2956EA8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Partenariat pour la voie de migration Asie de l’Est-Australasie, 2006</w:t>
            </w:r>
          </w:p>
        </w:tc>
        <w:tc>
          <w:tcPr>
            <w:tcW w:w="993" w:type="dxa"/>
          </w:tcPr>
          <w:p w14:paraId="06706E67"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18</w:t>
            </w:r>
          </w:p>
        </w:tc>
        <w:tc>
          <w:tcPr>
            <w:tcW w:w="992" w:type="dxa"/>
          </w:tcPr>
          <w:p w14:paraId="224816B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Non (</w:t>
            </w:r>
            <w:r w:rsidRPr="00A12600">
              <w:rPr>
                <w:rFonts w:asciiTheme="minorHAnsi" w:hAnsiTheme="minorHAnsi" w:cstheme="minorHAnsi"/>
                <w:bCs/>
                <w:spacing w:val="-4"/>
                <w:sz w:val="18"/>
                <w:szCs w:val="18"/>
                <w:lang w:val="fr-CH"/>
              </w:rPr>
              <w:t>information</w:t>
            </w:r>
            <w:r w:rsidRPr="00A12600">
              <w:rPr>
                <w:rFonts w:asciiTheme="minorHAnsi" w:hAnsiTheme="minorHAnsi" w:cstheme="minorHAnsi"/>
                <w:bCs/>
                <w:sz w:val="18"/>
                <w:szCs w:val="18"/>
                <w:lang w:val="fr-CH"/>
              </w:rPr>
              <w:t xml:space="preserve"> structurelle sur leur site web)</w:t>
            </w:r>
          </w:p>
        </w:tc>
        <w:tc>
          <w:tcPr>
            <w:tcW w:w="2268" w:type="dxa"/>
          </w:tcPr>
          <w:p w14:paraId="429C7E9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Le Comité de gestion de l’EAAFP fournit des orientations générales politiques, opérationnelles et financières au Secrétariat de l’EAAFP. Une réunion du Partenariat a lieu chaque année pour superviser sa mise en œuvre.</w:t>
            </w:r>
          </w:p>
        </w:tc>
        <w:tc>
          <w:tcPr>
            <w:tcW w:w="1276" w:type="dxa"/>
          </w:tcPr>
          <w:p w14:paraId="08B22AD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Partenaire</w:t>
            </w:r>
          </w:p>
        </w:tc>
        <w:tc>
          <w:tcPr>
            <w:tcW w:w="1559" w:type="dxa"/>
          </w:tcPr>
          <w:p w14:paraId="36228A32"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Rapport à la Réunion des partenaires (MOP), responsable financier en poste</w:t>
            </w:r>
          </w:p>
        </w:tc>
        <w:tc>
          <w:tcPr>
            <w:tcW w:w="1134" w:type="dxa"/>
          </w:tcPr>
          <w:p w14:paraId="661C5EF4"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Plan de travail annuel et Plan stratégique harmonisés avec le Plan stratégique de la Convention </w:t>
            </w:r>
          </w:p>
          <w:p w14:paraId="697398B8" w14:textId="77777777" w:rsidR="00CA5E9B" w:rsidRPr="00A12600" w:rsidRDefault="00CA5E9B" w:rsidP="00A5496C">
            <w:pPr>
              <w:ind w:left="0" w:firstLine="0"/>
              <w:jc w:val="right"/>
              <w:outlineLvl w:val="1"/>
              <w:rPr>
                <w:rFonts w:asciiTheme="minorHAnsi" w:eastAsiaTheme="minorEastAsia" w:hAnsiTheme="minorHAnsi" w:cstheme="minorHAnsi"/>
                <w:bCs/>
                <w:sz w:val="18"/>
                <w:szCs w:val="18"/>
                <w:lang w:val="fr-CH" w:eastAsia="ja-JP"/>
              </w:rPr>
            </w:pPr>
          </w:p>
        </w:tc>
        <w:tc>
          <w:tcPr>
            <w:tcW w:w="1276" w:type="dxa"/>
          </w:tcPr>
          <w:p w14:paraId="12B6C222"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Stratégie de mobilisation des ressources et appels de fonds</w:t>
            </w:r>
          </w:p>
        </w:tc>
        <w:tc>
          <w:tcPr>
            <w:tcW w:w="1134" w:type="dxa"/>
          </w:tcPr>
          <w:p w14:paraId="08424C6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8 cours de formation avec 375 participants de 16 pays </w:t>
            </w:r>
          </w:p>
        </w:tc>
        <w:tc>
          <w:tcPr>
            <w:tcW w:w="2693" w:type="dxa"/>
          </w:tcPr>
          <w:p w14:paraId="727A9C4E"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Développement d’un réseau de sites de la voie de migration (4 sites inscrits)</w:t>
            </w:r>
          </w:p>
          <w:p w14:paraId="64CB4AB4"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CESP sur les oiseaux d’eau migrateurs et leurs habitats (bulletin d’information, réseaux sociaux, Journée mondiale des zones humides)</w:t>
            </w:r>
          </w:p>
          <w:p w14:paraId="65FDCAA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Recherche, suivi, production de connaissances et renforcement des capacités (programme annuel de petites subventions, événement du 10e anniversaire)</w:t>
            </w:r>
          </w:p>
          <w:p w14:paraId="5454851E"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Approches de la conservation à l’échelle des voies de migration (facilitateur du groupe de travail de l’UICN sur la mer Jaune)</w:t>
            </w:r>
          </w:p>
          <w:p w14:paraId="4983B3E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Rédaction d’un plan EAAFP de mobilisation des ressources</w:t>
            </w:r>
          </w:p>
        </w:tc>
        <w:tc>
          <w:tcPr>
            <w:tcW w:w="1134" w:type="dxa"/>
          </w:tcPr>
          <w:p w14:paraId="5C9A77BE"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Restrictions imposées par la COVID-19,</w:t>
            </w:r>
          </w:p>
          <w:p w14:paraId="2CF09C66"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t>Faible engagement de certaines Parties contractantes</w:t>
            </w:r>
          </w:p>
        </w:tc>
      </w:tr>
      <w:tr w:rsidR="00CA5E9B" w:rsidRPr="00D26183" w14:paraId="20B14C01" w14:textId="77777777" w:rsidTr="00A5496C">
        <w:trPr>
          <w:cantSplit/>
        </w:trPr>
        <w:tc>
          <w:tcPr>
            <w:tcW w:w="1418" w:type="dxa"/>
          </w:tcPr>
          <w:p w14:paraId="71AF572E" w14:textId="4414D1F5"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lastRenderedPageBreak/>
              <w:t xml:space="preserve">Initiative </w:t>
            </w:r>
            <w:r w:rsidR="00D02D0C" w:rsidRPr="00A12600">
              <w:rPr>
                <w:rFonts w:asciiTheme="minorHAnsi" w:hAnsiTheme="minorHAnsi" w:cstheme="minorHAnsi"/>
                <w:bCs/>
                <w:sz w:val="18"/>
                <w:szCs w:val="18"/>
                <w:lang w:val="fr-CH"/>
              </w:rPr>
              <w:t xml:space="preserve">régionale Ramsar </w:t>
            </w:r>
            <w:r w:rsidRPr="00A12600">
              <w:rPr>
                <w:rFonts w:asciiTheme="minorHAnsi" w:hAnsiTheme="minorHAnsi" w:cstheme="minorHAnsi"/>
                <w:bCs/>
                <w:sz w:val="18"/>
                <w:szCs w:val="18"/>
                <w:lang w:val="fr-CH"/>
              </w:rPr>
              <w:t>pour les zones humides méditerranéennes (MedWet),</w:t>
            </w:r>
          </w:p>
          <w:p w14:paraId="6EB07040"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1991</w:t>
            </w:r>
          </w:p>
        </w:tc>
        <w:tc>
          <w:tcPr>
            <w:tcW w:w="993" w:type="dxa"/>
          </w:tcPr>
          <w:p w14:paraId="01CF40B6"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27</w:t>
            </w:r>
          </w:p>
        </w:tc>
        <w:tc>
          <w:tcPr>
            <w:tcW w:w="992" w:type="dxa"/>
          </w:tcPr>
          <w:p w14:paraId="06F24A8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Oui</w:t>
            </w:r>
          </w:p>
        </w:tc>
        <w:tc>
          <w:tcPr>
            <w:tcW w:w="2268" w:type="dxa"/>
          </w:tcPr>
          <w:p w14:paraId="1821F0AB" w14:textId="1E454D9D"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w:t>
            </w:r>
            <w:r w:rsidR="007C4430">
              <w:rPr>
                <w:rFonts w:asciiTheme="minorHAnsi" w:hAnsiTheme="minorHAnsi" w:cstheme="minorHAnsi"/>
                <w:bCs/>
                <w:sz w:val="18"/>
                <w:szCs w:val="18"/>
                <w:lang w:val="fr-CH"/>
              </w:rPr>
              <w:t>IRR</w:t>
            </w:r>
            <w:r w:rsidRPr="00A12600">
              <w:rPr>
                <w:rFonts w:asciiTheme="minorHAnsi" w:hAnsiTheme="minorHAnsi" w:cstheme="minorHAnsi"/>
                <w:bCs/>
                <w:sz w:val="18"/>
                <w:szCs w:val="18"/>
                <w:lang w:val="fr-CH"/>
              </w:rPr>
              <w:t xml:space="preserve"> comprend : le Comité pour les zones humides méditerranéennes (MedWet/Com) ; le Groupe de pilotage de MedWet ; le Réseau scientifique et technique de MedWet ; le Secrétariat MedWet. </w:t>
            </w:r>
          </w:p>
          <w:p w14:paraId="691A8F80" w14:textId="61095D14"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MedWet/Com est chargé de superviser la mise en œuvre de l’</w:t>
            </w:r>
            <w:r w:rsidR="007C4430">
              <w:rPr>
                <w:rFonts w:asciiTheme="minorHAnsi" w:hAnsiTheme="minorHAnsi" w:cstheme="minorHAnsi"/>
                <w:bCs/>
                <w:sz w:val="18"/>
                <w:szCs w:val="18"/>
                <w:lang w:val="fr-CH"/>
              </w:rPr>
              <w:t>IRR</w:t>
            </w:r>
            <w:r w:rsidRPr="00A12600">
              <w:rPr>
                <w:rFonts w:asciiTheme="minorHAnsi" w:hAnsiTheme="minorHAnsi" w:cstheme="minorHAnsi"/>
                <w:bCs/>
                <w:sz w:val="18"/>
                <w:szCs w:val="18"/>
                <w:lang w:val="fr-CH"/>
              </w:rPr>
              <w:t xml:space="preserve">, y compris l’approbation des documents stratégiques, du budget annuel et des rapports financiers vérifiés.  </w:t>
            </w:r>
          </w:p>
        </w:tc>
        <w:tc>
          <w:tcPr>
            <w:tcW w:w="1276" w:type="dxa"/>
          </w:tcPr>
          <w:p w14:paraId="3B0005B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Membre du Groupe de pilotage</w:t>
            </w:r>
          </w:p>
        </w:tc>
        <w:tc>
          <w:tcPr>
            <w:tcW w:w="1559" w:type="dxa"/>
          </w:tcPr>
          <w:p w14:paraId="0AE8286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Le Secrétariat MedWet administre les budgets approuvés et soumet le rapport financier annuel au Groupe de pilotage de MedWet et à MedWet/Com.  </w:t>
            </w:r>
          </w:p>
        </w:tc>
        <w:tc>
          <w:tcPr>
            <w:tcW w:w="1134" w:type="dxa"/>
          </w:tcPr>
          <w:p w14:paraId="0762D8F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Plan de travail annuel et Plan stratégique doivent être mis à jour en conformité avec le Plan stratégique de la Convention  </w:t>
            </w:r>
          </w:p>
          <w:p w14:paraId="762AB553" w14:textId="77777777" w:rsidR="00CA5E9B" w:rsidRPr="00A12600" w:rsidRDefault="00CA5E9B" w:rsidP="00A5496C">
            <w:pPr>
              <w:ind w:left="0" w:firstLine="0"/>
              <w:outlineLvl w:val="1"/>
              <w:rPr>
                <w:rFonts w:asciiTheme="minorHAnsi" w:hAnsiTheme="minorHAnsi" w:cstheme="minorHAnsi"/>
                <w:bCs/>
                <w:sz w:val="18"/>
                <w:szCs w:val="18"/>
                <w:lang w:val="fr-CH"/>
              </w:rPr>
            </w:pPr>
          </w:p>
        </w:tc>
        <w:tc>
          <w:tcPr>
            <w:tcW w:w="1276" w:type="dxa"/>
          </w:tcPr>
          <w:p w14:paraId="5F7B2E6E"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Appels de fonds </w:t>
            </w:r>
          </w:p>
        </w:tc>
        <w:tc>
          <w:tcPr>
            <w:tcW w:w="1134" w:type="dxa"/>
          </w:tcPr>
          <w:p w14:paraId="13B126C7"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t xml:space="preserve">Renforcement des capacités au moyen de la formation et d’ateliers </w:t>
            </w:r>
          </w:p>
        </w:tc>
        <w:tc>
          <w:tcPr>
            <w:tcW w:w="2693" w:type="dxa"/>
          </w:tcPr>
          <w:p w14:paraId="0E295A97"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 Atelier/programme de formation sur l’évaluation socio-économique des services écosystémiques </w:t>
            </w:r>
          </w:p>
          <w:p w14:paraId="6385127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Création d’un groupe de travail sur les politiques</w:t>
            </w:r>
          </w:p>
          <w:p w14:paraId="0322679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Conservation et gestion efficace du réseau de sites Ramsar (création d’un réseau de gestionnaires de sites)</w:t>
            </w:r>
          </w:p>
          <w:p w14:paraId="59ED48E6"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Promotion de l’utilisation rationnelle des zones humides (soutien au label Ville des Zones Humides accréditée, pour la mise à jour des inventaires nationaux</w:t>
            </w:r>
          </w:p>
          <w:p w14:paraId="7F12841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Amélioration de l’application de la Convention de Ramsar (coordination et renforcement du Réseau scientifique et technique de MedWet</w:t>
            </w:r>
          </w:p>
          <w:p w14:paraId="04630DE0" w14:textId="2E5E87C7" w:rsidR="00CA5E9B" w:rsidRPr="00A12600" w:rsidRDefault="00CA5E9B" w:rsidP="00CB0B04">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Communication à travers la publication d’un bulletin d’information mensuel, Journée mondiale des zones humides, préparation d’un programme de renforcement des capacités de 3</w:t>
            </w:r>
            <w:r w:rsidR="00CB0B04" w:rsidRPr="00A12600">
              <w:rPr>
                <w:rFonts w:asciiTheme="minorHAnsi" w:hAnsiTheme="minorHAnsi" w:cstheme="minorHAnsi"/>
                <w:bCs/>
                <w:sz w:val="18"/>
                <w:szCs w:val="18"/>
                <w:lang w:val="fr-CH"/>
              </w:rPr>
              <w:t> </w:t>
            </w:r>
            <w:r w:rsidRPr="00A12600">
              <w:rPr>
                <w:rFonts w:asciiTheme="minorHAnsi" w:hAnsiTheme="minorHAnsi" w:cstheme="minorHAnsi"/>
                <w:bCs/>
                <w:sz w:val="18"/>
                <w:szCs w:val="18"/>
                <w:lang w:val="fr-CH"/>
              </w:rPr>
              <w:t>ans sur la collecte de fonds)</w:t>
            </w:r>
          </w:p>
        </w:tc>
        <w:tc>
          <w:tcPr>
            <w:tcW w:w="1134" w:type="dxa"/>
          </w:tcPr>
          <w:p w14:paraId="67180CD6"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Restrictions imposées par la COVID-19</w:t>
            </w:r>
          </w:p>
        </w:tc>
      </w:tr>
      <w:tr w:rsidR="00CA5E9B" w:rsidRPr="00D26183" w14:paraId="640B9CA4" w14:textId="77777777" w:rsidTr="00A5496C">
        <w:tc>
          <w:tcPr>
            <w:tcW w:w="1418" w:type="dxa"/>
          </w:tcPr>
          <w:p w14:paraId="4CBD892C" w14:textId="675BB418" w:rsidR="00CA5E9B" w:rsidRPr="00A12600" w:rsidRDefault="00D02D0C" w:rsidP="00A5496C">
            <w:pPr>
              <w:ind w:left="0" w:firstLine="0"/>
              <w:outlineLvl w:val="1"/>
              <w:rPr>
                <w:rFonts w:asciiTheme="minorHAnsi" w:hAnsiTheme="minorHAnsi" w:cstheme="minorHAnsi"/>
                <w:bCs/>
                <w:sz w:val="18"/>
                <w:szCs w:val="18"/>
                <w:lang w:val="fr-CH"/>
              </w:rPr>
            </w:pPr>
            <w:r w:rsidRPr="00A12600">
              <w:rPr>
                <w:rFonts w:cs="Calibri"/>
                <w:bCs/>
                <w:spacing w:val="-4"/>
                <w:sz w:val="18"/>
                <w:szCs w:val="20"/>
                <w:lang w:val="fr-FR"/>
              </w:rPr>
              <w:t>Initiative régionale Ramsar pour les</w:t>
            </w:r>
            <w:r w:rsidR="00CA5E9B" w:rsidRPr="00A12600">
              <w:rPr>
                <w:rFonts w:asciiTheme="minorHAnsi" w:hAnsiTheme="minorHAnsi" w:cstheme="minorHAnsi"/>
                <w:bCs/>
                <w:sz w:val="18"/>
                <w:szCs w:val="18"/>
                <w:lang w:val="fr-CH"/>
              </w:rPr>
              <w:t xml:space="preserve"> zones humides des Carpates (CWI), 2006</w:t>
            </w:r>
          </w:p>
        </w:tc>
        <w:tc>
          <w:tcPr>
            <w:tcW w:w="993" w:type="dxa"/>
          </w:tcPr>
          <w:p w14:paraId="1E44296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7</w:t>
            </w:r>
          </w:p>
        </w:tc>
        <w:tc>
          <w:tcPr>
            <w:tcW w:w="992" w:type="dxa"/>
          </w:tcPr>
          <w:p w14:paraId="37F5857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Oui</w:t>
            </w:r>
          </w:p>
        </w:tc>
        <w:tc>
          <w:tcPr>
            <w:tcW w:w="2268" w:type="dxa"/>
          </w:tcPr>
          <w:p w14:paraId="610E551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L’organe d’exécution de la CWI est un Conseil composé des Correspondants de chaque membre. Il élit un président chargé de diriger les procédures, et se réunit périodiquement.  . </w:t>
            </w:r>
          </w:p>
        </w:tc>
        <w:tc>
          <w:tcPr>
            <w:tcW w:w="1276" w:type="dxa"/>
          </w:tcPr>
          <w:p w14:paraId="7DE4116C"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Contribue aux travaux du Conseil</w:t>
            </w:r>
          </w:p>
        </w:tc>
        <w:tc>
          <w:tcPr>
            <w:tcW w:w="1559" w:type="dxa"/>
          </w:tcPr>
          <w:p w14:paraId="317D5EE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Aucune information détaillée</w:t>
            </w:r>
          </w:p>
        </w:tc>
        <w:tc>
          <w:tcPr>
            <w:tcW w:w="1134" w:type="dxa"/>
          </w:tcPr>
          <w:p w14:paraId="31AEE21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Plan de travail annuel et Plan stratégique harmonisés avec le Plan stratégique de la Convention </w:t>
            </w:r>
          </w:p>
          <w:p w14:paraId="1D247735" w14:textId="77777777" w:rsidR="00CA5E9B" w:rsidRPr="00A12600" w:rsidRDefault="00CA5E9B" w:rsidP="00A5496C">
            <w:pPr>
              <w:ind w:left="0" w:firstLine="0"/>
              <w:outlineLvl w:val="1"/>
              <w:rPr>
                <w:rFonts w:asciiTheme="minorHAnsi" w:hAnsiTheme="minorHAnsi" w:cstheme="minorHAnsi"/>
                <w:bCs/>
                <w:sz w:val="18"/>
                <w:szCs w:val="18"/>
                <w:lang w:val="fr-CH"/>
              </w:rPr>
            </w:pPr>
          </w:p>
        </w:tc>
        <w:tc>
          <w:tcPr>
            <w:tcW w:w="1276" w:type="dxa"/>
          </w:tcPr>
          <w:p w14:paraId="1AFDE07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lastRenderedPageBreak/>
              <w:t>Appels de fonds</w:t>
            </w:r>
          </w:p>
        </w:tc>
        <w:tc>
          <w:tcPr>
            <w:tcW w:w="1134" w:type="dxa"/>
          </w:tcPr>
          <w:p w14:paraId="18999951"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Cours de formation avec 11 participants régionaux</w:t>
            </w:r>
          </w:p>
        </w:tc>
        <w:tc>
          <w:tcPr>
            <w:tcW w:w="2693" w:type="dxa"/>
          </w:tcPr>
          <w:p w14:paraId="579B689B"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 Réseaux écologiques et gestion des sites (participation à des projets liés aux problèmes de connectivité des zones humides, inscription de sites Ramsar (7 sites en Ukraine))</w:t>
            </w:r>
          </w:p>
          <w:p w14:paraId="0008D449"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 xml:space="preserve">- Prévention des dommages environnementaux (consultations </w:t>
            </w:r>
            <w:r w:rsidRPr="00A12600">
              <w:rPr>
                <w:rFonts w:asciiTheme="minorHAnsi" w:hAnsiTheme="minorHAnsi" w:cstheme="minorHAnsi"/>
                <w:bCs/>
                <w:spacing w:val="-4"/>
                <w:sz w:val="18"/>
                <w:szCs w:val="18"/>
                <w:lang w:val="fr-CH"/>
              </w:rPr>
              <w:lastRenderedPageBreak/>
              <w:t>avec les partenaires à propos de la construction du barrage de Basca Mare)</w:t>
            </w:r>
          </w:p>
          <w:p w14:paraId="6DC49D0E"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 Conservation et restauration des zones humides (participation à un atelier sur les tourbières)</w:t>
            </w:r>
          </w:p>
          <w:p w14:paraId="2ACA0631"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 Changement climatique (participation à la réunion du Groupe de travail sur le changement climatique, discussion sur les priorités des projets)</w:t>
            </w:r>
          </w:p>
          <w:p w14:paraId="235C60B1"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Recherche, suivi et système d’information (participation à un atelier sur l’échange systématique et les sciences dans les prises de décisions, participation au projet Central parks)</w:t>
            </w:r>
          </w:p>
          <w:p w14:paraId="29F62671" w14:textId="77777777" w:rsidR="00CA5E9B" w:rsidRPr="00A12600" w:rsidRDefault="00CA5E9B" w:rsidP="00A5496C">
            <w:pPr>
              <w:ind w:left="0" w:firstLine="0"/>
              <w:outlineLvl w:val="1"/>
              <w:rPr>
                <w:rFonts w:asciiTheme="minorHAnsi" w:hAnsiTheme="minorHAnsi" w:cstheme="minorHAnsi"/>
                <w:bCs/>
                <w:spacing w:val="-4"/>
                <w:sz w:val="18"/>
                <w:szCs w:val="18"/>
                <w:lang w:val="fr-CH"/>
              </w:rPr>
            </w:pPr>
            <w:r w:rsidRPr="00A12600">
              <w:rPr>
                <w:rFonts w:asciiTheme="minorHAnsi" w:hAnsiTheme="minorHAnsi" w:cstheme="minorHAnsi"/>
                <w:bCs/>
                <w:spacing w:val="-4"/>
                <w:sz w:val="18"/>
                <w:szCs w:val="18"/>
                <w:lang w:val="fr-CH"/>
              </w:rPr>
              <w:t>- CESP (site web mis à jour, promotion de la CWI par les médias, présentation de la CWI à la réunion du Comité Ramsar slovaque, consultation sur le programme de formation avec le Ministère tchèque de l’environnement)</w:t>
            </w:r>
          </w:p>
        </w:tc>
        <w:tc>
          <w:tcPr>
            <w:tcW w:w="1134" w:type="dxa"/>
          </w:tcPr>
          <w:p w14:paraId="632D831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lastRenderedPageBreak/>
              <w:t>Manque de financement et faible engagement de certaines Parties contractantes</w:t>
            </w:r>
          </w:p>
        </w:tc>
      </w:tr>
      <w:tr w:rsidR="00CA5E9B" w:rsidRPr="00D52AF4" w14:paraId="7010A225" w14:textId="77777777" w:rsidTr="00A5496C">
        <w:tc>
          <w:tcPr>
            <w:tcW w:w="1418" w:type="dxa"/>
          </w:tcPr>
          <w:p w14:paraId="2C8526C2" w14:textId="2331F28C" w:rsidR="00CA5E9B" w:rsidRPr="00A12600" w:rsidRDefault="00D02D0C" w:rsidP="00A5496C">
            <w:pPr>
              <w:ind w:left="0" w:firstLine="0"/>
              <w:outlineLvl w:val="1"/>
              <w:rPr>
                <w:rFonts w:asciiTheme="minorHAnsi" w:hAnsiTheme="minorHAnsi" w:cstheme="minorHAnsi"/>
                <w:bCs/>
                <w:sz w:val="18"/>
                <w:szCs w:val="18"/>
                <w:lang w:val="fr-CH"/>
              </w:rPr>
            </w:pPr>
            <w:r w:rsidRPr="00A12600">
              <w:rPr>
                <w:rFonts w:cs="Calibri"/>
                <w:bCs/>
                <w:spacing w:val="-4"/>
                <w:sz w:val="18"/>
                <w:szCs w:val="20"/>
                <w:lang w:val="fr-FR"/>
              </w:rPr>
              <w:t>Initiative régionale Ramsar pour les</w:t>
            </w:r>
            <w:r w:rsidR="00CA5E9B" w:rsidRPr="00A12600">
              <w:rPr>
                <w:rFonts w:asciiTheme="minorHAnsi" w:hAnsiTheme="minorHAnsi" w:cstheme="minorHAnsi"/>
                <w:bCs/>
                <w:sz w:val="18"/>
                <w:szCs w:val="18"/>
                <w:lang w:val="fr-CH"/>
              </w:rPr>
              <w:t xml:space="preserve"> zones humides nordiques</w:t>
            </w:r>
            <w:r w:rsidRPr="00A12600">
              <w:rPr>
                <w:rFonts w:asciiTheme="minorHAnsi" w:hAnsiTheme="minorHAnsi" w:cstheme="minorHAnsi"/>
                <w:bCs/>
                <w:sz w:val="18"/>
                <w:szCs w:val="18"/>
                <w:lang w:val="fr-CH"/>
              </w:rPr>
              <w:t>-</w:t>
            </w:r>
            <w:r w:rsidR="00CA5E9B" w:rsidRPr="00A12600">
              <w:rPr>
                <w:rFonts w:asciiTheme="minorHAnsi" w:hAnsiTheme="minorHAnsi" w:cstheme="minorHAnsi"/>
                <w:bCs/>
                <w:sz w:val="18"/>
                <w:szCs w:val="18"/>
                <w:lang w:val="fr-CH"/>
              </w:rPr>
              <w:t xml:space="preserve"> baltiques (NorBalWet), 2005</w:t>
            </w:r>
          </w:p>
        </w:tc>
        <w:tc>
          <w:tcPr>
            <w:tcW w:w="993" w:type="dxa"/>
          </w:tcPr>
          <w:p w14:paraId="0B2C9887"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9</w:t>
            </w:r>
          </w:p>
        </w:tc>
        <w:tc>
          <w:tcPr>
            <w:tcW w:w="992" w:type="dxa"/>
          </w:tcPr>
          <w:p w14:paraId="48E4216C"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Oui</w:t>
            </w:r>
          </w:p>
        </w:tc>
        <w:tc>
          <w:tcPr>
            <w:tcW w:w="2268" w:type="dxa"/>
          </w:tcPr>
          <w:p w14:paraId="72E316C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Le Groupe de coordination est composé des Correspondants nationaux Ramsar de chaque pays participant, et constitue l’organe de décision.  </w:t>
            </w:r>
          </w:p>
        </w:tc>
        <w:tc>
          <w:tcPr>
            <w:tcW w:w="1276" w:type="dxa"/>
          </w:tcPr>
          <w:p w14:paraId="0CEDDBB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Membre du groupe de coordination</w:t>
            </w:r>
          </w:p>
        </w:tc>
        <w:tc>
          <w:tcPr>
            <w:tcW w:w="1559" w:type="dxa"/>
          </w:tcPr>
          <w:p w14:paraId="1C13967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Le pays hôte fournit un appui administratif</w:t>
            </w:r>
          </w:p>
        </w:tc>
        <w:tc>
          <w:tcPr>
            <w:tcW w:w="1134" w:type="dxa"/>
          </w:tcPr>
          <w:p w14:paraId="3680EF0F"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Plan de travail annuel et Plan stratégique harmonisés avec le Plan stratégique de la Convention </w:t>
            </w:r>
          </w:p>
          <w:p w14:paraId="0B5FEE64" w14:textId="77777777" w:rsidR="00CA5E9B" w:rsidRPr="00A12600" w:rsidRDefault="00CA5E9B" w:rsidP="00A5496C">
            <w:pPr>
              <w:ind w:left="0" w:firstLine="0"/>
              <w:outlineLvl w:val="1"/>
              <w:rPr>
                <w:rFonts w:asciiTheme="minorHAnsi" w:hAnsiTheme="minorHAnsi" w:cstheme="minorHAnsi"/>
                <w:bCs/>
                <w:sz w:val="18"/>
                <w:szCs w:val="18"/>
                <w:lang w:val="fr-CH"/>
              </w:rPr>
            </w:pPr>
          </w:p>
        </w:tc>
        <w:tc>
          <w:tcPr>
            <w:tcW w:w="1276" w:type="dxa"/>
          </w:tcPr>
          <w:p w14:paraId="7A4920EE"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Appels de fonds </w:t>
            </w:r>
          </w:p>
        </w:tc>
        <w:tc>
          <w:tcPr>
            <w:tcW w:w="1134" w:type="dxa"/>
          </w:tcPr>
          <w:p w14:paraId="628149E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t xml:space="preserve">Renforcement des capacités au moyen d’ateliers et de formation </w:t>
            </w:r>
          </w:p>
        </w:tc>
        <w:tc>
          <w:tcPr>
            <w:tcW w:w="2693" w:type="dxa"/>
          </w:tcPr>
          <w:p w14:paraId="14FD6EC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Coordination des réunions</w:t>
            </w:r>
          </w:p>
          <w:p w14:paraId="59906B50"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Mise à jour du site Web</w:t>
            </w:r>
          </w:p>
          <w:p w14:paraId="1471C8C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Communications (événements publics)</w:t>
            </w:r>
          </w:p>
        </w:tc>
        <w:tc>
          <w:tcPr>
            <w:tcW w:w="1134" w:type="dxa"/>
          </w:tcPr>
          <w:p w14:paraId="6C308FFF" w14:textId="77777777" w:rsidR="00CA5E9B" w:rsidRPr="00A12600" w:rsidRDefault="00CA5E9B" w:rsidP="00A5496C">
            <w:pPr>
              <w:ind w:left="0" w:firstLine="0"/>
              <w:outlineLvl w:val="1"/>
              <w:rPr>
                <w:rFonts w:asciiTheme="minorHAnsi" w:hAnsiTheme="minorHAnsi" w:cstheme="minorHAnsi"/>
                <w:sz w:val="18"/>
                <w:szCs w:val="18"/>
                <w:lang w:val="fr-CH"/>
              </w:rPr>
            </w:pPr>
            <w:r w:rsidRPr="00A12600">
              <w:rPr>
                <w:rFonts w:asciiTheme="minorHAnsi" w:hAnsiTheme="minorHAnsi" w:cstheme="minorHAnsi"/>
                <w:sz w:val="18"/>
                <w:szCs w:val="18"/>
                <w:lang w:val="fr-CH"/>
              </w:rPr>
              <w:t>Faible engagement de certaines Parties contractantes,</w:t>
            </w:r>
          </w:p>
          <w:p w14:paraId="1E1126B2"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t xml:space="preserve">manque de projets communs </w:t>
            </w:r>
          </w:p>
          <w:p w14:paraId="1306344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 </w:t>
            </w:r>
          </w:p>
        </w:tc>
      </w:tr>
      <w:tr w:rsidR="00CA5E9B" w:rsidRPr="00D26183" w14:paraId="55F9B5F5" w14:textId="77777777" w:rsidTr="00A5496C">
        <w:tc>
          <w:tcPr>
            <w:tcW w:w="1418" w:type="dxa"/>
          </w:tcPr>
          <w:p w14:paraId="4929462C"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lastRenderedPageBreak/>
              <w:t>Initiative régionale Ramsar pour les zones humides côtières de la mer Noire et de la mer d’Azov (BlackSeaWet), 2007</w:t>
            </w:r>
          </w:p>
        </w:tc>
        <w:tc>
          <w:tcPr>
            <w:tcW w:w="993" w:type="dxa"/>
          </w:tcPr>
          <w:p w14:paraId="4F75F301"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7</w:t>
            </w:r>
          </w:p>
        </w:tc>
        <w:tc>
          <w:tcPr>
            <w:tcW w:w="992" w:type="dxa"/>
          </w:tcPr>
          <w:p w14:paraId="7AF85237"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Oui</w:t>
            </w:r>
          </w:p>
        </w:tc>
        <w:tc>
          <w:tcPr>
            <w:tcW w:w="2268" w:type="dxa"/>
          </w:tcPr>
          <w:p w14:paraId="2376F48E"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Les instances d’exécution sont : l’Organe de gestion, l’Unité de coordination et les groupes de travail nationaux. Les responsabilités de l’Organe de gestion comprennent la prise de décisions stratégiques, ainsi que l’approbation et le suivi des plans de travail annuels.</w:t>
            </w:r>
          </w:p>
        </w:tc>
        <w:tc>
          <w:tcPr>
            <w:tcW w:w="1276" w:type="dxa"/>
          </w:tcPr>
          <w:p w14:paraId="2590A6B5"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Membre de l’organe de gestion</w:t>
            </w:r>
          </w:p>
        </w:tc>
        <w:tc>
          <w:tcPr>
            <w:tcW w:w="1559" w:type="dxa"/>
          </w:tcPr>
          <w:p w14:paraId="39582D4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Aucune information détaillée</w:t>
            </w:r>
          </w:p>
        </w:tc>
        <w:tc>
          <w:tcPr>
            <w:tcW w:w="1134" w:type="dxa"/>
          </w:tcPr>
          <w:p w14:paraId="06CE714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Plan de travail annuel</w:t>
            </w:r>
          </w:p>
        </w:tc>
        <w:tc>
          <w:tcPr>
            <w:tcW w:w="1276" w:type="dxa"/>
          </w:tcPr>
          <w:p w14:paraId="38DCCB9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Aucune information</w:t>
            </w:r>
          </w:p>
        </w:tc>
        <w:tc>
          <w:tcPr>
            <w:tcW w:w="1134" w:type="dxa"/>
          </w:tcPr>
          <w:p w14:paraId="097B6A67" w14:textId="77777777" w:rsidR="00CA5E9B" w:rsidRPr="00A12600" w:rsidRDefault="00CA5E9B" w:rsidP="00A5496C">
            <w:pPr>
              <w:pStyle w:val="ListParagraph"/>
              <w:widowControl w:val="0"/>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t xml:space="preserve">Renforcement des capacités au moyen d’ateliers et de formation </w:t>
            </w:r>
          </w:p>
        </w:tc>
        <w:tc>
          <w:tcPr>
            <w:tcW w:w="2693" w:type="dxa"/>
          </w:tcPr>
          <w:p w14:paraId="5EAD9F46"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Gestion et coordination de l’Unité de BlackSeaWet (6e réunion)</w:t>
            </w:r>
          </w:p>
          <w:p w14:paraId="45C42090"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Sensibilisation du public (diffusion d’informations, organisation d’événements conjoints à l’occasion de la Journée mondiale des zones humides)</w:t>
            </w:r>
          </w:p>
          <w:p w14:paraId="10220FE1"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Échange d’informations sur l’évaluation des services écosystémiques, la restauration du régime hydraulique et des caractéristiques écologiques des zones humides, et les espèces exotiques envahissantes</w:t>
            </w:r>
          </w:p>
          <w:p w14:paraId="05C7DCDF"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Élaboration et promotion de propositions de projets</w:t>
            </w:r>
          </w:p>
        </w:tc>
        <w:tc>
          <w:tcPr>
            <w:tcW w:w="1134" w:type="dxa"/>
          </w:tcPr>
          <w:p w14:paraId="5F70F7FB" w14:textId="35C24A58" w:rsidR="00CA5E9B" w:rsidRPr="00A12600" w:rsidRDefault="00CA5E9B" w:rsidP="00A5496C">
            <w:pPr>
              <w:ind w:left="0" w:firstLine="0"/>
              <w:outlineLvl w:val="1"/>
              <w:rPr>
                <w:rFonts w:asciiTheme="minorHAnsi" w:hAnsiTheme="minorHAnsi" w:cstheme="minorHAnsi"/>
                <w:sz w:val="18"/>
                <w:szCs w:val="18"/>
                <w:lang w:val="fr-CH"/>
              </w:rPr>
            </w:pPr>
            <w:r w:rsidRPr="00A12600">
              <w:rPr>
                <w:rFonts w:asciiTheme="minorHAnsi" w:hAnsiTheme="minorHAnsi" w:cstheme="minorHAnsi"/>
                <w:sz w:val="18"/>
                <w:szCs w:val="18"/>
                <w:lang w:val="fr-CH"/>
              </w:rPr>
              <w:t>Manque de financement</w:t>
            </w:r>
            <w:r w:rsidR="00CB0B04" w:rsidRPr="00A12600">
              <w:rPr>
                <w:rFonts w:asciiTheme="minorHAnsi" w:hAnsiTheme="minorHAnsi" w:cstheme="minorHAnsi"/>
                <w:sz w:val="18"/>
                <w:szCs w:val="18"/>
                <w:lang w:val="fr-CH"/>
              </w:rPr>
              <w:t xml:space="preserve"> </w:t>
            </w:r>
            <w:r w:rsidRPr="00A12600">
              <w:rPr>
                <w:rFonts w:asciiTheme="minorHAnsi" w:hAnsiTheme="minorHAnsi" w:cstheme="minorHAnsi"/>
                <w:sz w:val="18"/>
                <w:szCs w:val="18"/>
                <w:lang w:val="fr-CH"/>
              </w:rPr>
              <w:t>et</w:t>
            </w:r>
          </w:p>
          <w:p w14:paraId="0BE62F07" w14:textId="77777777" w:rsidR="00CA5E9B" w:rsidRPr="00A12600" w:rsidRDefault="00CA5E9B" w:rsidP="00A5496C">
            <w:pPr>
              <w:ind w:left="0" w:firstLine="0"/>
              <w:outlineLvl w:val="1"/>
              <w:rPr>
                <w:rFonts w:asciiTheme="minorHAnsi" w:hAnsiTheme="minorHAnsi" w:cstheme="minorHAnsi"/>
                <w:sz w:val="18"/>
                <w:szCs w:val="18"/>
                <w:lang w:val="fr-CH"/>
              </w:rPr>
            </w:pPr>
            <w:r w:rsidRPr="00A12600">
              <w:rPr>
                <w:rFonts w:asciiTheme="minorHAnsi" w:hAnsiTheme="minorHAnsi" w:cstheme="minorHAnsi"/>
                <w:sz w:val="18"/>
                <w:szCs w:val="18"/>
                <w:lang w:val="fr-CH"/>
              </w:rPr>
              <w:t xml:space="preserve">faible capacité RH des correspondants ou IRR </w:t>
            </w:r>
          </w:p>
          <w:p w14:paraId="18A6E707" w14:textId="77777777" w:rsidR="00CA5E9B" w:rsidRPr="00A12600" w:rsidRDefault="00CA5E9B" w:rsidP="00A5496C">
            <w:pPr>
              <w:ind w:left="0" w:firstLine="0"/>
              <w:outlineLvl w:val="1"/>
              <w:rPr>
                <w:rFonts w:asciiTheme="minorHAnsi" w:hAnsiTheme="minorHAnsi" w:cstheme="minorHAnsi"/>
                <w:bCs/>
                <w:sz w:val="18"/>
                <w:szCs w:val="18"/>
                <w:lang w:val="fr-CH"/>
              </w:rPr>
            </w:pPr>
          </w:p>
        </w:tc>
      </w:tr>
      <w:tr w:rsidR="00CA5E9B" w:rsidRPr="00D26183" w14:paraId="4DB00319" w14:textId="77777777" w:rsidTr="00A5496C">
        <w:trPr>
          <w:cantSplit/>
        </w:trPr>
        <w:tc>
          <w:tcPr>
            <w:tcW w:w="1418" w:type="dxa"/>
          </w:tcPr>
          <w:p w14:paraId="67C65D9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Initiative régionale Ramsar pour le bassin du fleuve Sénégal (SenegalWet), 2016</w:t>
            </w:r>
          </w:p>
        </w:tc>
        <w:tc>
          <w:tcPr>
            <w:tcW w:w="993" w:type="dxa"/>
          </w:tcPr>
          <w:p w14:paraId="4001E8D6"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4</w:t>
            </w:r>
          </w:p>
        </w:tc>
        <w:tc>
          <w:tcPr>
            <w:tcW w:w="992" w:type="dxa"/>
          </w:tcPr>
          <w:p w14:paraId="244E384E" w14:textId="7F4E540A"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Oui (Statuts et </w:t>
            </w:r>
            <w:r w:rsidR="00B0386B" w:rsidRPr="00A12600">
              <w:rPr>
                <w:rFonts w:asciiTheme="minorHAnsi" w:hAnsiTheme="minorHAnsi" w:cstheme="minorHAnsi"/>
                <w:bCs/>
                <w:sz w:val="18"/>
                <w:szCs w:val="18"/>
                <w:lang w:val="fr-CH"/>
              </w:rPr>
              <w:t>règlement</w:t>
            </w:r>
            <w:r w:rsidRPr="00A12600">
              <w:rPr>
                <w:rFonts w:asciiTheme="minorHAnsi" w:hAnsiTheme="minorHAnsi" w:cstheme="minorHAnsi"/>
                <w:bCs/>
                <w:sz w:val="18"/>
                <w:szCs w:val="18"/>
                <w:lang w:val="fr-CH"/>
              </w:rPr>
              <w:t xml:space="preserve"> interne)</w:t>
            </w:r>
          </w:p>
        </w:tc>
        <w:tc>
          <w:tcPr>
            <w:tcW w:w="2268" w:type="dxa"/>
          </w:tcPr>
          <w:p w14:paraId="67D2C4A7" w14:textId="43F9F882"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Les organes de gouvernance sont : la Commission, le Conseil d’administration et le </w:t>
            </w:r>
            <w:r w:rsidR="00A12600">
              <w:rPr>
                <w:rFonts w:asciiTheme="minorHAnsi" w:hAnsiTheme="minorHAnsi" w:cstheme="minorHAnsi"/>
                <w:bCs/>
                <w:sz w:val="18"/>
                <w:szCs w:val="18"/>
                <w:lang w:val="fr-CH"/>
              </w:rPr>
              <w:t>s</w:t>
            </w:r>
            <w:r w:rsidRPr="00A12600">
              <w:rPr>
                <w:rFonts w:asciiTheme="minorHAnsi" w:hAnsiTheme="minorHAnsi" w:cstheme="minorHAnsi"/>
                <w:bCs/>
                <w:sz w:val="18"/>
                <w:szCs w:val="18"/>
                <w:lang w:val="fr-CH"/>
              </w:rPr>
              <w:t>ecrétariat de l’</w:t>
            </w:r>
            <w:r w:rsidR="00A12600">
              <w:rPr>
                <w:rFonts w:asciiTheme="minorHAnsi" w:hAnsiTheme="minorHAnsi" w:cstheme="minorHAnsi"/>
                <w:bCs/>
                <w:sz w:val="18"/>
                <w:szCs w:val="18"/>
                <w:lang w:val="fr-CH"/>
              </w:rPr>
              <w:t>IRR</w:t>
            </w:r>
            <w:r w:rsidRPr="00A12600">
              <w:rPr>
                <w:rFonts w:asciiTheme="minorHAnsi" w:hAnsiTheme="minorHAnsi" w:cstheme="minorHAnsi"/>
                <w:bCs/>
                <w:sz w:val="18"/>
                <w:szCs w:val="18"/>
                <w:lang w:val="fr-CH"/>
              </w:rPr>
              <w:t xml:space="preserve">. </w:t>
            </w:r>
          </w:p>
          <w:p w14:paraId="1BCF1CFA" w14:textId="453E3D6A"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Les responsabilités de la Commission comprennent la prise de décisions sur l’orientation de l’I</w:t>
            </w:r>
            <w:r w:rsidR="00A12600">
              <w:rPr>
                <w:rFonts w:asciiTheme="minorHAnsi" w:hAnsiTheme="minorHAnsi" w:cstheme="minorHAnsi"/>
                <w:bCs/>
                <w:sz w:val="18"/>
                <w:szCs w:val="18"/>
                <w:lang w:val="fr-CH"/>
              </w:rPr>
              <w:t>RR</w:t>
            </w:r>
            <w:r w:rsidRPr="00A12600">
              <w:rPr>
                <w:rFonts w:asciiTheme="minorHAnsi" w:hAnsiTheme="minorHAnsi" w:cstheme="minorHAnsi"/>
                <w:bCs/>
                <w:sz w:val="18"/>
                <w:szCs w:val="18"/>
                <w:lang w:val="fr-CH"/>
              </w:rPr>
              <w:t xml:space="preserve">, l’approbation des stratégies, du programme et du plan de travail, ainsi que le contrôle des ressources financières.  </w:t>
            </w:r>
          </w:p>
        </w:tc>
        <w:tc>
          <w:tcPr>
            <w:tcW w:w="1276" w:type="dxa"/>
          </w:tcPr>
          <w:p w14:paraId="7397624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Aucune information détaillée</w:t>
            </w:r>
          </w:p>
        </w:tc>
        <w:tc>
          <w:tcPr>
            <w:tcW w:w="1559" w:type="dxa"/>
          </w:tcPr>
          <w:p w14:paraId="11A25E98" w14:textId="24398179" w:rsidR="00CA5E9B" w:rsidRPr="00A12600" w:rsidRDefault="00CA5E9B" w:rsidP="00B0386B">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Gérée par un coordonnateur </w:t>
            </w:r>
          </w:p>
        </w:tc>
        <w:tc>
          <w:tcPr>
            <w:tcW w:w="1134" w:type="dxa"/>
          </w:tcPr>
          <w:p w14:paraId="1D13990E"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Plan de travail annuel et Plan stratégique harmonisés avec le Plan stratégique de la Convention </w:t>
            </w:r>
          </w:p>
          <w:p w14:paraId="13E36B88" w14:textId="77777777" w:rsidR="00CA5E9B" w:rsidRPr="00A12600" w:rsidRDefault="00CA5E9B" w:rsidP="00A5496C">
            <w:pPr>
              <w:ind w:left="0" w:firstLine="0"/>
              <w:jc w:val="right"/>
              <w:outlineLvl w:val="1"/>
              <w:rPr>
                <w:rFonts w:asciiTheme="minorHAnsi" w:hAnsiTheme="minorHAnsi" w:cstheme="minorHAnsi"/>
                <w:bCs/>
                <w:sz w:val="18"/>
                <w:szCs w:val="18"/>
                <w:lang w:val="fr-CH"/>
              </w:rPr>
            </w:pPr>
          </w:p>
        </w:tc>
        <w:tc>
          <w:tcPr>
            <w:tcW w:w="1276" w:type="dxa"/>
          </w:tcPr>
          <w:p w14:paraId="16A0F1C9"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Stratégie de mobilisation des ressources </w:t>
            </w:r>
          </w:p>
        </w:tc>
        <w:tc>
          <w:tcPr>
            <w:tcW w:w="1134" w:type="dxa"/>
          </w:tcPr>
          <w:p w14:paraId="37687A65"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t xml:space="preserve">Renforcement des capacités au moyen d’ateliers et de formation </w:t>
            </w:r>
          </w:p>
        </w:tc>
        <w:tc>
          <w:tcPr>
            <w:tcW w:w="2693" w:type="dxa"/>
          </w:tcPr>
          <w:p w14:paraId="3E2C4E62"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 Réunion de revitalisation et de planification de SenegalWet à Nouakchott (juillet 2019) </w:t>
            </w:r>
          </w:p>
          <w:p w14:paraId="44C7C956"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 Réunion du conseil de gouvernance à Dakar (novembre 2019) </w:t>
            </w:r>
          </w:p>
          <w:p w14:paraId="3F83C9E0"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Sessions de formation pour R-METT au Mali et en Guinée</w:t>
            </w:r>
          </w:p>
          <w:p w14:paraId="3DE463D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Sessions de formation sur le SISR</w:t>
            </w:r>
          </w:p>
        </w:tc>
        <w:tc>
          <w:tcPr>
            <w:tcW w:w="1134" w:type="dxa"/>
          </w:tcPr>
          <w:p w14:paraId="7DD774FD"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t>Manque de financement et</w:t>
            </w:r>
            <w:r w:rsidRPr="00A12600">
              <w:rPr>
                <w:rFonts w:asciiTheme="minorHAnsi" w:hAnsiTheme="minorHAnsi" w:cstheme="minorHAnsi"/>
                <w:bCs/>
                <w:sz w:val="18"/>
                <w:szCs w:val="18"/>
                <w:lang w:val="fr-CH"/>
              </w:rPr>
              <w:t xml:space="preserve"> Changement de président de l’organe directeur et de coordinateur de cette IRR</w:t>
            </w:r>
          </w:p>
        </w:tc>
      </w:tr>
      <w:tr w:rsidR="00CA5E9B" w:rsidRPr="00D26183" w14:paraId="53CFC6DC" w14:textId="77777777" w:rsidTr="00A5496C">
        <w:tc>
          <w:tcPr>
            <w:tcW w:w="1418" w:type="dxa"/>
          </w:tcPr>
          <w:p w14:paraId="7473B337"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Initiative régionale Ramsar pour la conservation et l’utilisation </w:t>
            </w:r>
            <w:r w:rsidRPr="00A12600">
              <w:rPr>
                <w:rFonts w:asciiTheme="minorHAnsi" w:hAnsiTheme="minorHAnsi" w:cstheme="minorHAnsi"/>
                <w:bCs/>
                <w:sz w:val="18"/>
                <w:szCs w:val="18"/>
                <w:lang w:val="fr-CH"/>
              </w:rPr>
              <w:lastRenderedPageBreak/>
              <w:t>durable des zones humides du bassin de l’Amazone, 2016</w:t>
            </w:r>
          </w:p>
        </w:tc>
        <w:tc>
          <w:tcPr>
            <w:tcW w:w="993" w:type="dxa"/>
          </w:tcPr>
          <w:p w14:paraId="15AF3CB8"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lastRenderedPageBreak/>
              <w:t>7</w:t>
            </w:r>
          </w:p>
        </w:tc>
        <w:tc>
          <w:tcPr>
            <w:tcW w:w="992" w:type="dxa"/>
          </w:tcPr>
          <w:p w14:paraId="7EB91C5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Oui</w:t>
            </w:r>
          </w:p>
        </w:tc>
        <w:tc>
          <w:tcPr>
            <w:tcW w:w="2268" w:type="dxa"/>
          </w:tcPr>
          <w:p w14:paraId="1E81D422" w14:textId="209EF43C"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L’I</w:t>
            </w:r>
            <w:r w:rsidR="00A12600">
              <w:rPr>
                <w:rFonts w:asciiTheme="minorHAnsi" w:hAnsiTheme="minorHAnsi" w:cstheme="minorHAnsi"/>
                <w:bCs/>
                <w:sz w:val="18"/>
                <w:szCs w:val="18"/>
                <w:lang w:val="fr-CH"/>
              </w:rPr>
              <w:t>RR</w:t>
            </w:r>
            <w:r w:rsidRPr="00A12600">
              <w:rPr>
                <w:rFonts w:asciiTheme="minorHAnsi" w:hAnsiTheme="minorHAnsi" w:cstheme="minorHAnsi"/>
                <w:bCs/>
                <w:sz w:val="18"/>
                <w:szCs w:val="18"/>
                <w:lang w:val="fr-CH"/>
              </w:rPr>
              <w:t xml:space="preserve"> est coordonnée par le Comité de coordination dont les membres sont les Correspondants nationaux Ramsar.</w:t>
            </w:r>
          </w:p>
        </w:tc>
        <w:tc>
          <w:tcPr>
            <w:tcW w:w="1276" w:type="dxa"/>
          </w:tcPr>
          <w:p w14:paraId="75B3E69A"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Le Secrétariat Ramsar soutient l’organe de gouvernance</w:t>
            </w:r>
          </w:p>
        </w:tc>
        <w:tc>
          <w:tcPr>
            <w:tcW w:w="1559" w:type="dxa"/>
          </w:tcPr>
          <w:p w14:paraId="11A2A260" w14:textId="02C27B98"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Gérée par le Secrétariat Ramsar conformément </w:t>
            </w:r>
            <w:r w:rsidR="00B0386B" w:rsidRPr="00A12600">
              <w:rPr>
                <w:rFonts w:asciiTheme="minorHAnsi" w:hAnsiTheme="minorHAnsi" w:cstheme="minorHAnsi"/>
                <w:bCs/>
                <w:sz w:val="18"/>
                <w:szCs w:val="18"/>
                <w:lang w:val="fr-CH"/>
              </w:rPr>
              <w:t>aux décisions du Coordon</w:t>
            </w:r>
            <w:r w:rsidRPr="00A12600">
              <w:rPr>
                <w:rFonts w:asciiTheme="minorHAnsi" w:hAnsiTheme="minorHAnsi" w:cstheme="minorHAnsi"/>
                <w:bCs/>
                <w:sz w:val="18"/>
                <w:szCs w:val="18"/>
                <w:lang w:val="fr-CH"/>
              </w:rPr>
              <w:t xml:space="preserve">nateur de </w:t>
            </w:r>
            <w:r w:rsidRPr="00A12600">
              <w:rPr>
                <w:rFonts w:asciiTheme="minorHAnsi" w:hAnsiTheme="minorHAnsi" w:cstheme="minorHAnsi"/>
                <w:bCs/>
                <w:sz w:val="18"/>
                <w:szCs w:val="18"/>
                <w:lang w:val="fr-CH"/>
              </w:rPr>
              <w:lastRenderedPageBreak/>
              <w:t>l’I</w:t>
            </w:r>
            <w:r w:rsidR="00A12600">
              <w:rPr>
                <w:rFonts w:asciiTheme="minorHAnsi" w:hAnsiTheme="minorHAnsi" w:cstheme="minorHAnsi"/>
                <w:bCs/>
                <w:sz w:val="18"/>
                <w:szCs w:val="18"/>
                <w:lang w:val="fr-CH"/>
              </w:rPr>
              <w:t>RR</w:t>
            </w:r>
          </w:p>
        </w:tc>
        <w:tc>
          <w:tcPr>
            <w:tcW w:w="1134" w:type="dxa"/>
          </w:tcPr>
          <w:p w14:paraId="273BFD17"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lastRenderedPageBreak/>
              <w:t xml:space="preserve">Plan de travail annuel et Plan stratégique harmonisés avec le Plan </w:t>
            </w:r>
            <w:r w:rsidRPr="00A12600">
              <w:rPr>
                <w:rFonts w:asciiTheme="minorHAnsi" w:hAnsiTheme="minorHAnsi" w:cstheme="minorHAnsi"/>
                <w:bCs/>
                <w:sz w:val="18"/>
                <w:szCs w:val="18"/>
                <w:lang w:val="fr-CH"/>
              </w:rPr>
              <w:lastRenderedPageBreak/>
              <w:t xml:space="preserve">stratégique de la Convention </w:t>
            </w:r>
          </w:p>
          <w:p w14:paraId="43692862" w14:textId="77777777" w:rsidR="00CA5E9B" w:rsidRPr="00A12600" w:rsidRDefault="00CA5E9B" w:rsidP="00A5496C">
            <w:pPr>
              <w:ind w:left="0" w:firstLine="0"/>
              <w:outlineLvl w:val="1"/>
              <w:rPr>
                <w:rFonts w:asciiTheme="minorHAnsi" w:hAnsiTheme="minorHAnsi" w:cstheme="minorHAnsi"/>
                <w:bCs/>
                <w:sz w:val="18"/>
                <w:szCs w:val="18"/>
                <w:lang w:val="fr-CH"/>
              </w:rPr>
            </w:pPr>
          </w:p>
        </w:tc>
        <w:tc>
          <w:tcPr>
            <w:tcW w:w="1276" w:type="dxa"/>
          </w:tcPr>
          <w:p w14:paraId="343F06F4"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lastRenderedPageBreak/>
              <w:t xml:space="preserve">Appels de fonds </w:t>
            </w:r>
          </w:p>
        </w:tc>
        <w:tc>
          <w:tcPr>
            <w:tcW w:w="1134" w:type="dxa"/>
          </w:tcPr>
          <w:p w14:paraId="70FA7FD3"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sz w:val="18"/>
                <w:szCs w:val="18"/>
                <w:lang w:val="fr-CH"/>
              </w:rPr>
              <w:t xml:space="preserve">Renforcement des capacités au moyen d’ateliers </w:t>
            </w:r>
          </w:p>
        </w:tc>
        <w:tc>
          <w:tcPr>
            <w:tcW w:w="2693" w:type="dxa"/>
          </w:tcPr>
          <w:p w14:paraId="5506C2E7" w14:textId="5C8B7768"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Préparation de la 4</w:t>
            </w:r>
            <w:r w:rsidRPr="00A12600">
              <w:rPr>
                <w:rFonts w:asciiTheme="minorHAnsi" w:hAnsiTheme="minorHAnsi" w:cstheme="minorHAnsi"/>
                <w:bCs/>
                <w:sz w:val="18"/>
                <w:szCs w:val="18"/>
                <w:vertAlign w:val="superscript"/>
                <w:lang w:val="fr-CH"/>
              </w:rPr>
              <w:t>e</w:t>
            </w:r>
            <w:r w:rsidRPr="00A12600">
              <w:rPr>
                <w:rFonts w:asciiTheme="minorHAnsi" w:hAnsiTheme="minorHAnsi" w:cstheme="minorHAnsi"/>
                <w:bCs/>
                <w:sz w:val="18"/>
                <w:szCs w:val="18"/>
                <w:lang w:val="fr-CH"/>
              </w:rPr>
              <w:t xml:space="preserve"> réunion de cette </w:t>
            </w:r>
            <w:r w:rsidR="007C4430">
              <w:rPr>
                <w:rFonts w:asciiTheme="minorHAnsi" w:hAnsiTheme="minorHAnsi" w:cstheme="minorHAnsi"/>
                <w:bCs/>
                <w:sz w:val="18"/>
                <w:szCs w:val="18"/>
                <w:lang w:val="fr-CH"/>
              </w:rPr>
              <w:t>IRR</w:t>
            </w:r>
          </w:p>
          <w:p w14:paraId="7F6FFE7E"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xml:space="preserve">- Préparation et finalisation de la proposition de projet dans le cadre du programme régional FEM-7 </w:t>
            </w:r>
            <w:r w:rsidRPr="00A12600">
              <w:rPr>
                <w:rFonts w:asciiTheme="minorHAnsi" w:hAnsiTheme="minorHAnsi" w:cstheme="minorHAnsi"/>
                <w:bCs/>
                <w:sz w:val="18"/>
                <w:szCs w:val="18"/>
                <w:lang w:val="fr-CH"/>
              </w:rPr>
              <w:lastRenderedPageBreak/>
              <w:t>Sustainable Amazonian countries</w:t>
            </w:r>
          </w:p>
          <w:p w14:paraId="06831B2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t>- Approbation du logo</w:t>
            </w:r>
          </w:p>
        </w:tc>
        <w:tc>
          <w:tcPr>
            <w:tcW w:w="1134" w:type="dxa"/>
          </w:tcPr>
          <w:p w14:paraId="6EB5E99B" w14:textId="77777777" w:rsidR="00CA5E9B" w:rsidRPr="00A12600" w:rsidRDefault="00CA5E9B" w:rsidP="00A5496C">
            <w:pPr>
              <w:ind w:left="0" w:firstLine="0"/>
              <w:outlineLvl w:val="1"/>
              <w:rPr>
                <w:rFonts w:asciiTheme="minorHAnsi" w:hAnsiTheme="minorHAnsi" w:cstheme="minorHAnsi"/>
                <w:bCs/>
                <w:sz w:val="18"/>
                <w:szCs w:val="18"/>
                <w:lang w:val="fr-CH"/>
              </w:rPr>
            </w:pPr>
            <w:r w:rsidRPr="00A12600">
              <w:rPr>
                <w:rFonts w:asciiTheme="minorHAnsi" w:hAnsiTheme="minorHAnsi" w:cstheme="minorHAnsi"/>
                <w:bCs/>
                <w:sz w:val="18"/>
                <w:szCs w:val="18"/>
                <w:lang w:val="fr-CH"/>
              </w:rPr>
              <w:lastRenderedPageBreak/>
              <w:t>Restrictions imposées par la COVID-19</w:t>
            </w:r>
          </w:p>
        </w:tc>
      </w:tr>
      <w:tr w:rsidR="00CA5E9B" w:rsidRPr="00D26183" w14:paraId="57FD8B38" w14:textId="77777777" w:rsidTr="00A5496C">
        <w:tc>
          <w:tcPr>
            <w:tcW w:w="1418" w:type="dxa"/>
          </w:tcPr>
          <w:p w14:paraId="650CC0CF"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Initiative régionale Ramsar pour l’Asie centrale (RRI-CA), 2016</w:t>
            </w:r>
          </w:p>
        </w:tc>
        <w:tc>
          <w:tcPr>
            <w:tcW w:w="993" w:type="dxa"/>
          </w:tcPr>
          <w:p w14:paraId="354DABB4"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4</w:t>
            </w:r>
          </w:p>
        </w:tc>
        <w:tc>
          <w:tcPr>
            <w:tcW w:w="992" w:type="dxa"/>
          </w:tcPr>
          <w:p w14:paraId="7FC0DE72"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Non</w:t>
            </w:r>
          </w:p>
        </w:tc>
        <w:tc>
          <w:tcPr>
            <w:tcW w:w="2268" w:type="dxa"/>
          </w:tcPr>
          <w:p w14:paraId="2522B540"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L’organe de décision est le Comité de coordination, qui est composé de trois membres principaux et de six membres suppléants des pays membres.</w:t>
            </w:r>
          </w:p>
        </w:tc>
        <w:tc>
          <w:tcPr>
            <w:tcW w:w="1276" w:type="dxa"/>
          </w:tcPr>
          <w:p w14:paraId="3F901910"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Aucune information détaillée</w:t>
            </w:r>
          </w:p>
        </w:tc>
        <w:tc>
          <w:tcPr>
            <w:tcW w:w="1559" w:type="dxa"/>
          </w:tcPr>
          <w:p w14:paraId="161E593A"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Secrétaire technique de l’IRR Asie centrale (basé au CAREC)</w:t>
            </w:r>
          </w:p>
        </w:tc>
        <w:tc>
          <w:tcPr>
            <w:tcW w:w="1134" w:type="dxa"/>
          </w:tcPr>
          <w:p w14:paraId="2551B474"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 xml:space="preserve">Plan de travail annuel et Plan stratégique harmonisés avec le Plan stratégique de la Convention </w:t>
            </w:r>
          </w:p>
          <w:p w14:paraId="4A848A53" w14:textId="77777777" w:rsidR="00CA5E9B" w:rsidRPr="0051301D" w:rsidRDefault="00CA5E9B" w:rsidP="00A5496C">
            <w:pPr>
              <w:ind w:left="0" w:firstLine="0"/>
              <w:jc w:val="right"/>
              <w:outlineLvl w:val="1"/>
              <w:rPr>
                <w:rFonts w:asciiTheme="minorHAnsi" w:hAnsiTheme="minorHAnsi" w:cstheme="minorHAnsi"/>
                <w:bCs/>
                <w:sz w:val="18"/>
                <w:szCs w:val="18"/>
                <w:lang w:val="fr-CH"/>
              </w:rPr>
            </w:pPr>
          </w:p>
        </w:tc>
        <w:tc>
          <w:tcPr>
            <w:tcW w:w="1276" w:type="dxa"/>
          </w:tcPr>
          <w:p w14:paraId="59BB773B"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Appels de fonds</w:t>
            </w:r>
          </w:p>
        </w:tc>
        <w:tc>
          <w:tcPr>
            <w:tcW w:w="1134" w:type="dxa"/>
          </w:tcPr>
          <w:p w14:paraId="07D9ED8D"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4 cours de formation avec 375 participants de 15 pays</w:t>
            </w:r>
          </w:p>
        </w:tc>
        <w:tc>
          <w:tcPr>
            <w:tcW w:w="2693" w:type="dxa"/>
          </w:tcPr>
          <w:p w14:paraId="4E7AE8E7"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 Renforcement des capacités des différents membres (évaluation rapide des zones humides, dialogue initial avec les pays membres potentiels)</w:t>
            </w:r>
          </w:p>
          <w:p w14:paraId="5C45C5FA"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 xml:space="preserve">- Promotion de la RRI-CA et de ses buts et plans (production d’un calendrier, événements de la Journée mondiale des zones humides) </w:t>
            </w:r>
          </w:p>
          <w:p w14:paraId="7BC8DC69"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 Élaboration de projets régionaux</w:t>
            </w:r>
          </w:p>
        </w:tc>
        <w:tc>
          <w:tcPr>
            <w:tcW w:w="1134" w:type="dxa"/>
          </w:tcPr>
          <w:p w14:paraId="63BCAB1E" w14:textId="77777777" w:rsidR="00CA5E9B" w:rsidRPr="0051301D" w:rsidRDefault="00CA5E9B" w:rsidP="00A5496C">
            <w:pPr>
              <w:ind w:left="0" w:firstLine="0"/>
              <w:outlineLvl w:val="1"/>
              <w:rPr>
                <w:rFonts w:asciiTheme="minorHAnsi" w:hAnsiTheme="minorHAnsi" w:cstheme="minorHAnsi"/>
                <w:bCs/>
                <w:spacing w:val="-4"/>
                <w:sz w:val="18"/>
                <w:szCs w:val="18"/>
                <w:lang w:val="fr-CH"/>
              </w:rPr>
            </w:pPr>
            <w:r w:rsidRPr="0051301D">
              <w:rPr>
                <w:rFonts w:asciiTheme="minorHAnsi" w:hAnsiTheme="minorHAnsi" w:cstheme="minorHAnsi"/>
                <w:bCs/>
                <w:spacing w:val="-4"/>
                <w:sz w:val="18"/>
                <w:szCs w:val="18"/>
                <w:lang w:val="fr-CH"/>
              </w:rPr>
              <w:t xml:space="preserve">Ressources financières limitées, </w:t>
            </w:r>
            <w:r w:rsidRPr="0051301D">
              <w:rPr>
                <w:rFonts w:asciiTheme="minorHAnsi" w:hAnsiTheme="minorHAnsi" w:cstheme="minorHAnsi"/>
                <w:bCs/>
                <w:sz w:val="18"/>
                <w:szCs w:val="18"/>
                <w:lang w:val="fr-CH"/>
              </w:rPr>
              <w:t>Restrictions imposées par la COVID-19</w:t>
            </w:r>
          </w:p>
        </w:tc>
      </w:tr>
      <w:tr w:rsidR="00CA5E9B" w:rsidRPr="00D26183" w14:paraId="6AE035AE" w14:textId="77777777" w:rsidTr="00A5496C">
        <w:tc>
          <w:tcPr>
            <w:tcW w:w="1418" w:type="dxa"/>
          </w:tcPr>
          <w:p w14:paraId="34D2BDB5"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Initiative régionale Ramsar indo-birmane (IBRRI), 2016</w:t>
            </w:r>
          </w:p>
        </w:tc>
        <w:tc>
          <w:tcPr>
            <w:tcW w:w="993" w:type="dxa"/>
          </w:tcPr>
          <w:p w14:paraId="13C4A4D8"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5</w:t>
            </w:r>
          </w:p>
        </w:tc>
        <w:tc>
          <w:tcPr>
            <w:tcW w:w="992" w:type="dxa"/>
          </w:tcPr>
          <w:p w14:paraId="79F4AF02"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Non (</w:t>
            </w:r>
            <w:r w:rsidRPr="0051301D">
              <w:rPr>
                <w:rFonts w:asciiTheme="minorHAnsi" w:hAnsiTheme="minorHAnsi" w:cstheme="minorHAnsi"/>
                <w:bCs/>
                <w:spacing w:val="-4"/>
                <w:sz w:val="18"/>
                <w:szCs w:val="18"/>
                <w:lang w:val="fr-CH"/>
              </w:rPr>
              <w:t>information</w:t>
            </w:r>
            <w:r w:rsidRPr="0051301D">
              <w:rPr>
                <w:rFonts w:asciiTheme="minorHAnsi" w:hAnsiTheme="minorHAnsi" w:cstheme="minorHAnsi"/>
                <w:bCs/>
                <w:sz w:val="18"/>
                <w:szCs w:val="18"/>
                <w:lang w:val="fr-CH"/>
              </w:rPr>
              <w:t xml:space="preserve"> structurelle sur le site web)</w:t>
            </w:r>
          </w:p>
        </w:tc>
        <w:tc>
          <w:tcPr>
            <w:tcW w:w="2268" w:type="dxa"/>
          </w:tcPr>
          <w:p w14:paraId="3AEAD6F0" w14:textId="692E29F6"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Le Comité directeur, qui est composé des autorités administratives Ramsar des pays membres, supervise le fonctionnement de l’I</w:t>
            </w:r>
            <w:r w:rsidR="00A12600" w:rsidRPr="0051301D">
              <w:rPr>
                <w:rFonts w:asciiTheme="minorHAnsi" w:hAnsiTheme="minorHAnsi" w:cstheme="minorHAnsi"/>
                <w:bCs/>
                <w:sz w:val="18"/>
                <w:szCs w:val="18"/>
                <w:lang w:val="fr-CH"/>
              </w:rPr>
              <w:t>RR</w:t>
            </w:r>
            <w:r w:rsidRPr="0051301D">
              <w:rPr>
                <w:rFonts w:asciiTheme="minorHAnsi" w:hAnsiTheme="minorHAnsi" w:cstheme="minorHAnsi"/>
                <w:bCs/>
                <w:sz w:val="18"/>
                <w:szCs w:val="18"/>
                <w:lang w:val="fr-CH"/>
              </w:rPr>
              <w:t xml:space="preserve">. </w:t>
            </w:r>
          </w:p>
        </w:tc>
        <w:tc>
          <w:tcPr>
            <w:tcW w:w="1276" w:type="dxa"/>
          </w:tcPr>
          <w:p w14:paraId="5E448EBA"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Observateur</w:t>
            </w:r>
          </w:p>
        </w:tc>
        <w:tc>
          <w:tcPr>
            <w:tcW w:w="1559" w:type="dxa"/>
          </w:tcPr>
          <w:p w14:paraId="072451BC"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Gérée par le Bureau régional de l’UICN pour l’Asie / Administrateur principal de Programme pour l’UICN</w:t>
            </w:r>
          </w:p>
        </w:tc>
        <w:tc>
          <w:tcPr>
            <w:tcW w:w="1134" w:type="dxa"/>
          </w:tcPr>
          <w:p w14:paraId="17605CCF"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 xml:space="preserve">Plan de travail annuel et Plan stratégique harmonisés avec le Plan stratégique de la Convention </w:t>
            </w:r>
          </w:p>
          <w:p w14:paraId="66D53DEC" w14:textId="77777777" w:rsidR="00CA5E9B" w:rsidRPr="0051301D" w:rsidRDefault="00CA5E9B" w:rsidP="00A5496C">
            <w:pPr>
              <w:ind w:left="0" w:firstLine="0"/>
              <w:jc w:val="right"/>
              <w:outlineLvl w:val="1"/>
              <w:rPr>
                <w:rFonts w:asciiTheme="minorHAnsi" w:hAnsiTheme="minorHAnsi" w:cstheme="minorHAnsi"/>
                <w:bCs/>
                <w:sz w:val="18"/>
                <w:szCs w:val="18"/>
                <w:lang w:val="fr-CH"/>
              </w:rPr>
            </w:pPr>
          </w:p>
        </w:tc>
        <w:tc>
          <w:tcPr>
            <w:tcW w:w="1276" w:type="dxa"/>
          </w:tcPr>
          <w:p w14:paraId="1DB586F0"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Appels de fonds</w:t>
            </w:r>
          </w:p>
        </w:tc>
        <w:tc>
          <w:tcPr>
            <w:tcW w:w="1134" w:type="dxa"/>
          </w:tcPr>
          <w:p w14:paraId="580676DC" w14:textId="0A28568D" w:rsidR="00CA5E9B" w:rsidRPr="0051301D" w:rsidRDefault="00CA5E9B" w:rsidP="00A5496C">
            <w:pPr>
              <w:pStyle w:val="ListParagraph"/>
              <w:widowControl w:val="0"/>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 xml:space="preserve">10 cours de formation avec 215 participants dont 95 participants </w:t>
            </w:r>
            <w:r w:rsidR="00D02D0C" w:rsidRPr="0051301D">
              <w:rPr>
                <w:rFonts w:asciiTheme="minorHAnsi" w:hAnsiTheme="minorHAnsi" w:cstheme="minorHAnsi"/>
                <w:bCs/>
                <w:sz w:val="18"/>
                <w:szCs w:val="18"/>
                <w:lang w:val="fr-CH"/>
              </w:rPr>
              <w:t>spécialisés</w:t>
            </w:r>
            <w:r w:rsidRPr="0051301D">
              <w:rPr>
                <w:rFonts w:asciiTheme="minorHAnsi" w:hAnsiTheme="minorHAnsi" w:cstheme="minorHAnsi"/>
                <w:bCs/>
                <w:sz w:val="18"/>
                <w:szCs w:val="18"/>
                <w:lang w:val="fr-CH"/>
              </w:rPr>
              <w:t xml:space="preserve"> et 120 représentants de communautés locales </w:t>
            </w:r>
          </w:p>
        </w:tc>
        <w:tc>
          <w:tcPr>
            <w:tcW w:w="2693" w:type="dxa"/>
          </w:tcPr>
          <w:p w14:paraId="0B0AAF51"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 Lancement du plan stratégique de l’IBRRI</w:t>
            </w:r>
          </w:p>
          <w:p w14:paraId="33F45E4A"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 Activités de formation (dialogue sur les politiques des zones humides, évaluation participative de l’efficacité de la gestion, formation au journalisme citoyen)</w:t>
            </w:r>
          </w:p>
          <w:p w14:paraId="40D208A3" w14:textId="77777777" w:rsidR="00CA5E9B" w:rsidRPr="0051301D" w:rsidRDefault="00CA5E9B" w:rsidP="00A5496C">
            <w:pPr>
              <w:ind w:left="0" w:firstLine="0"/>
              <w:outlineLvl w:val="1"/>
              <w:rPr>
                <w:rFonts w:asciiTheme="minorHAnsi" w:hAnsiTheme="minorHAnsi" w:cstheme="minorHAnsi"/>
                <w:bCs/>
                <w:sz w:val="18"/>
                <w:szCs w:val="18"/>
                <w:highlight w:val="yellow"/>
                <w:lang w:val="fr-CH"/>
              </w:rPr>
            </w:pPr>
            <w:r w:rsidRPr="0051301D">
              <w:rPr>
                <w:rFonts w:asciiTheme="minorHAnsi" w:hAnsiTheme="minorHAnsi" w:cstheme="minorHAnsi"/>
                <w:bCs/>
                <w:sz w:val="18"/>
                <w:szCs w:val="18"/>
                <w:lang w:val="fr-CH"/>
              </w:rPr>
              <w:t>- Activités de CESP (octroi d’une petite subvention aux gouvernements locaux, publication d’informations sur le Web) et événement lié à la Journée mondiale des zones humides</w:t>
            </w:r>
          </w:p>
        </w:tc>
        <w:tc>
          <w:tcPr>
            <w:tcW w:w="1134" w:type="dxa"/>
          </w:tcPr>
          <w:p w14:paraId="54A22131" w14:textId="77777777" w:rsidR="00CA5E9B" w:rsidRPr="0051301D" w:rsidRDefault="00CA5E9B" w:rsidP="00A5496C">
            <w:pPr>
              <w:ind w:left="0" w:firstLine="0"/>
              <w:outlineLvl w:val="1"/>
              <w:rPr>
                <w:rFonts w:asciiTheme="minorHAnsi" w:hAnsiTheme="minorHAnsi" w:cstheme="minorHAnsi"/>
                <w:bCs/>
                <w:sz w:val="18"/>
                <w:szCs w:val="18"/>
                <w:lang w:val="fr-CH"/>
              </w:rPr>
            </w:pPr>
            <w:r w:rsidRPr="0051301D">
              <w:rPr>
                <w:rFonts w:asciiTheme="minorHAnsi" w:hAnsiTheme="minorHAnsi" w:cstheme="minorHAnsi"/>
                <w:bCs/>
                <w:sz w:val="18"/>
                <w:szCs w:val="18"/>
                <w:lang w:val="fr-CH"/>
              </w:rPr>
              <w:t xml:space="preserve">Restrictions imposées par la COVID-19 </w:t>
            </w:r>
          </w:p>
        </w:tc>
      </w:tr>
    </w:tbl>
    <w:p w14:paraId="36784F18" w14:textId="77777777" w:rsidR="00CA5E9B" w:rsidRPr="002430D2" w:rsidRDefault="00CA5E9B" w:rsidP="00A5496C">
      <w:pPr>
        <w:ind w:left="0" w:firstLine="0"/>
        <w:rPr>
          <w:rFonts w:asciiTheme="minorHAnsi" w:hAnsiTheme="minorHAnsi" w:cstheme="minorHAnsi"/>
          <w:b/>
          <w:lang w:val="fr-FR"/>
        </w:rPr>
      </w:pPr>
    </w:p>
    <w:p w14:paraId="075106A5" w14:textId="77777777" w:rsidR="00343353" w:rsidRPr="00760B39" w:rsidRDefault="00343353" w:rsidP="007B25EA">
      <w:pPr>
        <w:ind w:left="0" w:firstLine="0"/>
        <w:rPr>
          <w:rFonts w:asciiTheme="minorHAnsi" w:hAnsiTheme="minorHAnsi" w:cstheme="minorHAnsi"/>
          <w:b/>
          <w:lang w:val="fr-FR"/>
        </w:rPr>
      </w:pPr>
    </w:p>
    <w:sectPr w:rsidR="00343353" w:rsidRPr="00760B39" w:rsidSect="00A5496C">
      <w:footerReference w:type="default" r:id="rId2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35CAA" w14:textId="77777777" w:rsidR="00F35D80" w:rsidRDefault="00F35D80">
      <w:r>
        <w:separator/>
      </w:r>
    </w:p>
  </w:endnote>
  <w:endnote w:type="continuationSeparator" w:id="0">
    <w:p w14:paraId="61DA6580" w14:textId="77777777" w:rsidR="00F35D80" w:rsidRDefault="00F3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580A" w14:textId="4B12905F" w:rsidR="00F35D80" w:rsidRDefault="00F35D80" w:rsidP="002137E0">
    <w:pPr>
      <w:pStyle w:val="Header"/>
      <w:rPr>
        <w:noProof/>
      </w:rPr>
    </w:pPr>
    <w:r>
      <w:rPr>
        <w:sz w:val="20"/>
        <w:szCs w:val="20"/>
        <w:lang w:val="fr-FR"/>
      </w:rPr>
      <w:t>SC59 Doc.21.2</w:t>
    </w:r>
    <w:r>
      <w:rPr>
        <w:lang w:val="fr-FR"/>
      </w:rPr>
      <w:tab/>
    </w:r>
    <w:r>
      <w:rPr>
        <w:lang w:val="fr-FR"/>
      </w:rP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D26183">
          <w:rPr>
            <w:noProof/>
            <w:sz w:val="20"/>
            <w:szCs w:val="20"/>
          </w:rPr>
          <w:t>6</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E5BA" w14:textId="0C8B3BD2" w:rsidR="00F35D80" w:rsidRDefault="00F35D80" w:rsidP="007839B1">
    <w:pPr>
      <w:pStyle w:val="Header"/>
      <w:tabs>
        <w:tab w:val="clear" w:pos="9026"/>
        <w:tab w:val="right" w:pos="14742"/>
      </w:tabs>
      <w:ind w:left="-426"/>
      <w:rPr>
        <w:noProof/>
      </w:rPr>
    </w:pPr>
    <w:r>
      <w:rPr>
        <w:sz w:val="20"/>
        <w:szCs w:val="20"/>
        <w:lang w:val="fr-FR"/>
      </w:rPr>
      <w:t>SC59 Doc.21.2</w:t>
    </w:r>
    <w:r>
      <w:rPr>
        <w:lang w:val="fr-FR"/>
      </w:rPr>
      <w:tab/>
    </w:r>
    <w:r>
      <w:rPr>
        <w:lang w:val="fr-FR"/>
      </w:rPr>
      <w:tab/>
    </w:r>
    <w:sdt>
      <w:sdtPr>
        <w:id w:val="1951358688"/>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D26183">
          <w:rPr>
            <w:noProof/>
            <w:sz w:val="20"/>
            <w:szCs w:val="20"/>
          </w:rPr>
          <w:t>17</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C156" w14:textId="77777777" w:rsidR="00F35D80" w:rsidRDefault="00F35D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B3D2D" w14:textId="1D6079DC" w:rsidR="00F35D80" w:rsidRDefault="00F35D80" w:rsidP="002137E0">
    <w:pPr>
      <w:pStyle w:val="Header"/>
      <w:rPr>
        <w:noProof/>
      </w:rPr>
    </w:pPr>
    <w:r>
      <w:rPr>
        <w:sz w:val="20"/>
        <w:szCs w:val="20"/>
      </w:rPr>
      <w:t>SC59 Doc.21.2</w:t>
    </w:r>
    <w:r>
      <w:tab/>
    </w:r>
    <w:r>
      <w:tab/>
    </w:r>
    <w:sdt>
      <w:sdtPr>
        <w:id w:val="-876929808"/>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D26183">
          <w:rPr>
            <w:noProof/>
            <w:sz w:val="20"/>
            <w:szCs w:val="20"/>
          </w:rPr>
          <w:t>21</w:t>
        </w:r>
        <w:r w:rsidRPr="00F344DE">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0254" w14:textId="77777777" w:rsidR="00F35D80" w:rsidRDefault="00F35D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BFF0C" w14:textId="3F8E503F" w:rsidR="00F35D80" w:rsidRDefault="00F35D80" w:rsidP="00CA5E9B">
    <w:pPr>
      <w:pStyle w:val="Header"/>
      <w:tabs>
        <w:tab w:val="clear" w:pos="9026"/>
        <w:tab w:val="right" w:pos="14884"/>
      </w:tabs>
      <w:ind w:left="-426"/>
      <w:rPr>
        <w:noProof/>
      </w:rPr>
    </w:pPr>
    <w:r>
      <w:rPr>
        <w:sz w:val="20"/>
        <w:szCs w:val="20"/>
      </w:rPr>
      <w:t>SC59 Doc.21.2</w:t>
    </w:r>
    <w:r>
      <w:tab/>
    </w:r>
    <w:r>
      <w:tab/>
    </w:r>
    <w:sdt>
      <w:sdtPr>
        <w:id w:val="634761151"/>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D26183">
          <w:rPr>
            <w:noProof/>
            <w:sz w:val="20"/>
            <w:szCs w:val="20"/>
          </w:rPr>
          <w:t>32</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72456" w14:textId="77777777" w:rsidR="00F35D80" w:rsidRDefault="00F35D80">
      <w:r>
        <w:separator/>
      </w:r>
    </w:p>
  </w:footnote>
  <w:footnote w:type="continuationSeparator" w:id="0">
    <w:p w14:paraId="333AA1F9" w14:textId="77777777" w:rsidR="00F35D80" w:rsidRDefault="00F35D80">
      <w:r>
        <w:continuationSeparator/>
      </w:r>
    </w:p>
  </w:footnote>
  <w:footnote w:id="1">
    <w:p w14:paraId="3C298734" w14:textId="1F425A2B" w:rsidR="00D26183" w:rsidRDefault="00D26183">
      <w:pPr>
        <w:pStyle w:val="FootnoteText"/>
      </w:pPr>
      <w:r>
        <w:rPr>
          <w:rStyle w:val="FootnoteReference"/>
        </w:rPr>
        <w:footnoteRef/>
      </w:r>
      <w:r>
        <w:t xml:space="preserve"> </w:t>
      </w:r>
      <w:hyperlink r:id="rId1" w:history="1">
        <w:r w:rsidRPr="00A274B1">
          <w:rPr>
            <w:rStyle w:val="Hyperlink"/>
          </w:rPr>
          <w:t>https://www.ramsar.org/sites/default/files/documents/library/sc58-22.2_secretariat_report_rris_f.pdf</w:t>
        </w:r>
      </w:hyperlink>
      <w:r>
        <w:t xml:space="preserve"> </w:t>
      </w:r>
      <w:bookmarkStart w:id="3" w:name="_GoBack"/>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C6FB1" w14:textId="77777777" w:rsidR="00F35D80" w:rsidRDefault="00F35D80">
    <w:pPr>
      <w:pStyle w:val="Header"/>
    </w:pPr>
  </w:p>
  <w:p w14:paraId="47F5C2BA" w14:textId="77777777" w:rsidR="00F35D80" w:rsidRDefault="00F35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18090" w14:textId="77777777" w:rsidR="00F35D80" w:rsidRDefault="00F35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6C614" w14:textId="77777777" w:rsidR="00F35D80" w:rsidRDefault="00F35D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89D0" w14:textId="77777777" w:rsidR="00F35D80" w:rsidRDefault="00F35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FBD"/>
    <w:multiLevelType w:val="hybridMultilevel"/>
    <w:tmpl w:val="62B05F28"/>
    <w:lvl w:ilvl="0" w:tplc="9CCE1EF0">
      <w:start w:val="13"/>
      <w:numFmt w:val="decimal"/>
      <w:lvlText w:val="%1."/>
      <w:lvlJc w:val="left"/>
      <w:pPr>
        <w:ind w:left="720" w:hanging="360"/>
      </w:pPr>
      <w:rPr>
        <w:rFonts w:hint="default"/>
        <w:b w:val="0"/>
      </w:rPr>
    </w:lvl>
    <w:lvl w:ilvl="1" w:tplc="5808922A" w:tentative="1">
      <w:start w:val="1"/>
      <w:numFmt w:val="lowerLetter"/>
      <w:lvlText w:val="%2."/>
      <w:lvlJc w:val="left"/>
      <w:pPr>
        <w:ind w:left="1440" w:hanging="360"/>
      </w:pPr>
    </w:lvl>
    <w:lvl w:ilvl="2" w:tplc="CC8001DC" w:tentative="1">
      <w:start w:val="1"/>
      <w:numFmt w:val="lowerRoman"/>
      <w:lvlText w:val="%3."/>
      <w:lvlJc w:val="right"/>
      <w:pPr>
        <w:ind w:left="2160" w:hanging="180"/>
      </w:pPr>
    </w:lvl>
    <w:lvl w:ilvl="3" w:tplc="AFEEE208" w:tentative="1">
      <w:start w:val="1"/>
      <w:numFmt w:val="decimal"/>
      <w:lvlText w:val="%4."/>
      <w:lvlJc w:val="left"/>
      <w:pPr>
        <w:ind w:left="2880" w:hanging="360"/>
      </w:pPr>
    </w:lvl>
    <w:lvl w:ilvl="4" w:tplc="EE78278A" w:tentative="1">
      <w:start w:val="1"/>
      <w:numFmt w:val="lowerLetter"/>
      <w:lvlText w:val="%5."/>
      <w:lvlJc w:val="left"/>
      <w:pPr>
        <w:ind w:left="3600" w:hanging="360"/>
      </w:pPr>
    </w:lvl>
    <w:lvl w:ilvl="5" w:tplc="1C6801D0" w:tentative="1">
      <w:start w:val="1"/>
      <w:numFmt w:val="lowerRoman"/>
      <w:lvlText w:val="%6."/>
      <w:lvlJc w:val="right"/>
      <w:pPr>
        <w:ind w:left="4320" w:hanging="180"/>
      </w:pPr>
    </w:lvl>
    <w:lvl w:ilvl="6" w:tplc="00BED658" w:tentative="1">
      <w:start w:val="1"/>
      <w:numFmt w:val="decimal"/>
      <w:lvlText w:val="%7."/>
      <w:lvlJc w:val="left"/>
      <w:pPr>
        <w:ind w:left="5040" w:hanging="360"/>
      </w:pPr>
    </w:lvl>
    <w:lvl w:ilvl="7" w:tplc="98128E18" w:tentative="1">
      <w:start w:val="1"/>
      <w:numFmt w:val="lowerLetter"/>
      <w:lvlText w:val="%8."/>
      <w:lvlJc w:val="left"/>
      <w:pPr>
        <w:ind w:left="5760" w:hanging="360"/>
      </w:pPr>
    </w:lvl>
    <w:lvl w:ilvl="8" w:tplc="A2A878C4" w:tentative="1">
      <w:start w:val="1"/>
      <w:numFmt w:val="lowerRoman"/>
      <w:lvlText w:val="%9."/>
      <w:lvlJc w:val="right"/>
      <w:pPr>
        <w:ind w:left="6480" w:hanging="180"/>
      </w:pPr>
    </w:lvl>
  </w:abstractNum>
  <w:abstractNum w:abstractNumId="1" w15:restartNumberingAfterBreak="0">
    <w:nsid w:val="10B94E0C"/>
    <w:multiLevelType w:val="hybridMultilevel"/>
    <w:tmpl w:val="E206B082"/>
    <w:lvl w:ilvl="0" w:tplc="C8281D88">
      <w:start w:val="1"/>
      <w:numFmt w:val="bullet"/>
      <w:lvlText w:val=""/>
      <w:lvlJc w:val="left"/>
      <w:pPr>
        <w:ind w:left="720" w:hanging="360"/>
      </w:pPr>
      <w:rPr>
        <w:rFonts w:ascii="Symbol" w:hAnsi="Symbol" w:hint="default"/>
      </w:rPr>
    </w:lvl>
    <w:lvl w:ilvl="1" w:tplc="53567064" w:tentative="1">
      <w:start w:val="1"/>
      <w:numFmt w:val="lowerLetter"/>
      <w:lvlText w:val="%2."/>
      <w:lvlJc w:val="left"/>
      <w:pPr>
        <w:ind w:left="1440" w:hanging="360"/>
      </w:pPr>
    </w:lvl>
    <w:lvl w:ilvl="2" w:tplc="2236F8CA" w:tentative="1">
      <w:start w:val="1"/>
      <w:numFmt w:val="lowerRoman"/>
      <w:lvlText w:val="%3."/>
      <w:lvlJc w:val="right"/>
      <w:pPr>
        <w:ind w:left="2160" w:hanging="180"/>
      </w:pPr>
    </w:lvl>
    <w:lvl w:ilvl="3" w:tplc="EACE89A2" w:tentative="1">
      <w:start w:val="1"/>
      <w:numFmt w:val="decimal"/>
      <w:lvlText w:val="%4."/>
      <w:lvlJc w:val="left"/>
      <w:pPr>
        <w:ind w:left="2880" w:hanging="360"/>
      </w:pPr>
    </w:lvl>
    <w:lvl w:ilvl="4" w:tplc="784462D8" w:tentative="1">
      <w:start w:val="1"/>
      <w:numFmt w:val="lowerLetter"/>
      <w:lvlText w:val="%5."/>
      <w:lvlJc w:val="left"/>
      <w:pPr>
        <w:ind w:left="3600" w:hanging="360"/>
      </w:pPr>
    </w:lvl>
    <w:lvl w:ilvl="5" w:tplc="7ABE467E" w:tentative="1">
      <w:start w:val="1"/>
      <w:numFmt w:val="lowerRoman"/>
      <w:lvlText w:val="%6."/>
      <w:lvlJc w:val="right"/>
      <w:pPr>
        <w:ind w:left="4320" w:hanging="180"/>
      </w:pPr>
    </w:lvl>
    <w:lvl w:ilvl="6" w:tplc="DA1AD250" w:tentative="1">
      <w:start w:val="1"/>
      <w:numFmt w:val="decimal"/>
      <w:lvlText w:val="%7."/>
      <w:lvlJc w:val="left"/>
      <w:pPr>
        <w:ind w:left="5040" w:hanging="360"/>
      </w:pPr>
    </w:lvl>
    <w:lvl w:ilvl="7" w:tplc="C3CAB8DE" w:tentative="1">
      <w:start w:val="1"/>
      <w:numFmt w:val="lowerLetter"/>
      <w:lvlText w:val="%8."/>
      <w:lvlJc w:val="left"/>
      <w:pPr>
        <w:ind w:left="5760" w:hanging="360"/>
      </w:pPr>
    </w:lvl>
    <w:lvl w:ilvl="8" w:tplc="B76637EA" w:tentative="1">
      <w:start w:val="1"/>
      <w:numFmt w:val="lowerRoman"/>
      <w:lvlText w:val="%9."/>
      <w:lvlJc w:val="right"/>
      <w:pPr>
        <w:ind w:left="6480" w:hanging="180"/>
      </w:pPr>
    </w:lvl>
  </w:abstractNum>
  <w:abstractNum w:abstractNumId="2" w15:restartNumberingAfterBreak="0">
    <w:nsid w:val="11B44FD6"/>
    <w:multiLevelType w:val="hybridMultilevel"/>
    <w:tmpl w:val="2D22E918"/>
    <w:lvl w:ilvl="0" w:tplc="B0A65B48">
      <w:start w:val="1"/>
      <w:numFmt w:val="bullet"/>
      <w:lvlText w:val="-"/>
      <w:lvlJc w:val="left"/>
      <w:pPr>
        <w:ind w:left="720" w:hanging="360"/>
      </w:pPr>
      <w:rPr>
        <w:rFonts w:ascii="Calibri" w:eastAsiaTheme="minorEastAsi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B6BDA"/>
    <w:multiLevelType w:val="hybridMultilevel"/>
    <w:tmpl w:val="031A6EBC"/>
    <w:lvl w:ilvl="0" w:tplc="A71E9B62">
      <w:start w:val="1"/>
      <w:numFmt w:val="decimal"/>
      <w:lvlText w:val="%1."/>
      <w:lvlJc w:val="left"/>
      <w:pPr>
        <w:ind w:left="928"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54A37"/>
    <w:multiLevelType w:val="hybridMultilevel"/>
    <w:tmpl w:val="BAD295DA"/>
    <w:lvl w:ilvl="0" w:tplc="84762D44">
      <w:start w:val="1"/>
      <w:numFmt w:val="decimal"/>
      <w:lvlText w:val="%1."/>
      <w:lvlJc w:val="left"/>
      <w:pPr>
        <w:ind w:left="720" w:hanging="360"/>
      </w:pPr>
    </w:lvl>
    <w:lvl w:ilvl="1" w:tplc="0406B3DA" w:tentative="1">
      <w:start w:val="1"/>
      <w:numFmt w:val="lowerLetter"/>
      <w:lvlText w:val="%2."/>
      <w:lvlJc w:val="left"/>
      <w:pPr>
        <w:ind w:left="1440" w:hanging="360"/>
      </w:pPr>
    </w:lvl>
    <w:lvl w:ilvl="2" w:tplc="5558ACF4" w:tentative="1">
      <w:start w:val="1"/>
      <w:numFmt w:val="lowerRoman"/>
      <w:lvlText w:val="%3."/>
      <w:lvlJc w:val="right"/>
      <w:pPr>
        <w:ind w:left="2160" w:hanging="180"/>
      </w:pPr>
    </w:lvl>
    <w:lvl w:ilvl="3" w:tplc="79D67020" w:tentative="1">
      <w:start w:val="1"/>
      <w:numFmt w:val="decimal"/>
      <w:lvlText w:val="%4."/>
      <w:lvlJc w:val="left"/>
      <w:pPr>
        <w:ind w:left="2880" w:hanging="360"/>
      </w:pPr>
    </w:lvl>
    <w:lvl w:ilvl="4" w:tplc="1A7682F6" w:tentative="1">
      <w:start w:val="1"/>
      <w:numFmt w:val="lowerLetter"/>
      <w:lvlText w:val="%5."/>
      <w:lvlJc w:val="left"/>
      <w:pPr>
        <w:ind w:left="3600" w:hanging="360"/>
      </w:pPr>
    </w:lvl>
    <w:lvl w:ilvl="5" w:tplc="B194ECCA" w:tentative="1">
      <w:start w:val="1"/>
      <w:numFmt w:val="lowerRoman"/>
      <w:lvlText w:val="%6."/>
      <w:lvlJc w:val="right"/>
      <w:pPr>
        <w:ind w:left="4320" w:hanging="180"/>
      </w:pPr>
    </w:lvl>
    <w:lvl w:ilvl="6" w:tplc="A978DCDA" w:tentative="1">
      <w:start w:val="1"/>
      <w:numFmt w:val="decimal"/>
      <w:lvlText w:val="%7."/>
      <w:lvlJc w:val="left"/>
      <w:pPr>
        <w:ind w:left="5040" w:hanging="360"/>
      </w:pPr>
    </w:lvl>
    <w:lvl w:ilvl="7" w:tplc="4AF4C372" w:tentative="1">
      <w:start w:val="1"/>
      <w:numFmt w:val="lowerLetter"/>
      <w:lvlText w:val="%8."/>
      <w:lvlJc w:val="left"/>
      <w:pPr>
        <w:ind w:left="5760" w:hanging="360"/>
      </w:pPr>
    </w:lvl>
    <w:lvl w:ilvl="8" w:tplc="A71C5A78" w:tentative="1">
      <w:start w:val="1"/>
      <w:numFmt w:val="lowerRoman"/>
      <w:lvlText w:val="%9."/>
      <w:lvlJc w:val="right"/>
      <w:pPr>
        <w:ind w:left="6480" w:hanging="180"/>
      </w:pPr>
    </w:lvl>
  </w:abstractNum>
  <w:abstractNum w:abstractNumId="5" w15:restartNumberingAfterBreak="0">
    <w:nsid w:val="19690C2F"/>
    <w:multiLevelType w:val="hybridMultilevel"/>
    <w:tmpl w:val="9D30E284"/>
    <w:lvl w:ilvl="0" w:tplc="DB8417F6">
      <w:start w:val="1"/>
      <w:numFmt w:val="decimal"/>
      <w:lvlText w:val="%1."/>
      <w:lvlJc w:val="left"/>
      <w:pPr>
        <w:ind w:left="720" w:hanging="360"/>
      </w:pPr>
      <w:rPr>
        <w:rFonts w:hint="default"/>
      </w:rPr>
    </w:lvl>
    <w:lvl w:ilvl="1" w:tplc="7FB83AD6" w:tentative="1">
      <w:start w:val="1"/>
      <w:numFmt w:val="lowerLetter"/>
      <w:lvlText w:val="%2."/>
      <w:lvlJc w:val="left"/>
      <w:pPr>
        <w:ind w:left="1440" w:hanging="360"/>
      </w:pPr>
    </w:lvl>
    <w:lvl w:ilvl="2" w:tplc="73F62AFC" w:tentative="1">
      <w:start w:val="1"/>
      <w:numFmt w:val="lowerRoman"/>
      <w:lvlText w:val="%3."/>
      <w:lvlJc w:val="right"/>
      <w:pPr>
        <w:ind w:left="2160" w:hanging="180"/>
      </w:pPr>
    </w:lvl>
    <w:lvl w:ilvl="3" w:tplc="8C24A2DC" w:tentative="1">
      <w:start w:val="1"/>
      <w:numFmt w:val="decimal"/>
      <w:lvlText w:val="%4."/>
      <w:lvlJc w:val="left"/>
      <w:pPr>
        <w:ind w:left="2880" w:hanging="360"/>
      </w:pPr>
    </w:lvl>
    <w:lvl w:ilvl="4" w:tplc="3DC2BD76" w:tentative="1">
      <w:start w:val="1"/>
      <w:numFmt w:val="lowerLetter"/>
      <w:lvlText w:val="%5."/>
      <w:lvlJc w:val="left"/>
      <w:pPr>
        <w:ind w:left="3600" w:hanging="360"/>
      </w:pPr>
    </w:lvl>
    <w:lvl w:ilvl="5" w:tplc="EEA003E4" w:tentative="1">
      <w:start w:val="1"/>
      <w:numFmt w:val="lowerRoman"/>
      <w:lvlText w:val="%6."/>
      <w:lvlJc w:val="right"/>
      <w:pPr>
        <w:ind w:left="4320" w:hanging="180"/>
      </w:pPr>
    </w:lvl>
    <w:lvl w:ilvl="6" w:tplc="C40208CE" w:tentative="1">
      <w:start w:val="1"/>
      <w:numFmt w:val="decimal"/>
      <w:lvlText w:val="%7."/>
      <w:lvlJc w:val="left"/>
      <w:pPr>
        <w:ind w:left="5040" w:hanging="360"/>
      </w:pPr>
    </w:lvl>
    <w:lvl w:ilvl="7" w:tplc="122436F8" w:tentative="1">
      <w:start w:val="1"/>
      <w:numFmt w:val="lowerLetter"/>
      <w:lvlText w:val="%8."/>
      <w:lvlJc w:val="left"/>
      <w:pPr>
        <w:ind w:left="5760" w:hanging="360"/>
      </w:pPr>
    </w:lvl>
    <w:lvl w:ilvl="8" w:tplc="2382897A" w:tentative="1">
      <w:start w:val="1"/>
      <w:numFmt w:val="lowerRoman"/>
      <w:lvlText w:val="%9."/>
      <w:lvlJc w:val="right"/>
      <w:pPr>
        <w:ind w:left="6480" w:hanging="180"/>
      </w:pPr>
    </w:lvl>
  </w:abstractNum>
  <w:abstractNum w:abstractNumId="6" w15:restartNumberingAfterBreak="0">
    <w:nsid w:val="1D446D20"/>
    <w:multiLevelType w:val="hybridMultilevel"/>
    <w:tmpl w:val="74764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8F2FAB"/>
    <w:multiLevelType w:val="hybridMultilevel"/>
    <w:tmpl w:val="073016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85785E"/>
    <w:multiLevelType w:val="hybridMultilevel"/>
    <w:tmpl w:val="F2FAECCA"/>
    <w:lvl w:ilvl="0" w:tplc="BF32970C">
      <w:start w:val="3"/>
      <w:numFmt w:val="decimal"/>
      <w:lvlText w:val="%1."/>
      <w:lvlJc w:val="left"/>
      <w:pPr>
        <w:ind w:left="720" w:hanging="360"/>
      </w:pPr>
      <w:rPr>
        <w:rFonts w:hint="default"/>
      </w:rPr>
    </w:lvl>
    <w:lvl w:ilvl="1" w:tplc="0C289EAC">
      <w:start w:val="1"/>
      <w:numFmt w:val="lowerLetter"/>
      <w:lvlText w:val="%2."/>
      <w:lvlJc w:val="left"/>
      <w:pPr>
        <w:ind w:left="1440" w:hanging="360"/>
      </w:pPr>
    </w:lvl>
    <w:lvl w:ilvl="2" w:tplc="944C8E1C" w:tentative="1">
      <w:start w:val="1"/>
      <w:numFmt w:val="lowerRoman"/>
      <w:lvlText w:val="%3."/>
      <w:lvlJc w:val="right"/>
      <w:pPr>
        <w:ind w:left="2160" w:hanging="180"/>
      </w:pPr>
    </w:lvl>
    <w:lvl w:ilvl="3" w:tplc="68F88214" w:tentative="1">
      <w:start w:val="1"/>
      <w:numFmt w:val="decimal"/>
      <w:lvlText w:val="%4."/>
      <w:lvlJc w:val="left"/>
      <w:pPr>
        <w:ind w:left="2880" w:hanging="360"/>
      </w:pPr>
    </w:lvl>
    <w:lvl w:ilvl="4" w:tplc="AC92D8F0" w:tentative="1">
      <w:start w:val="1"/>
      <w:numFmt w:val="lowerLetter"/>
      <w:lvlText w:val="%5."/>
      <w:lvlJc w:val="left"/>
      <w:pPr>
        <w:ind w:left="3600" w:hanging="360"/>
      </w:pPr>
    </w:lvl>
    <w:lvl w:ilvl="5" w:tplc="1616CF5A" w:tentative="1">
      <w:start w:val="1"/>
      <w:numFmt w:val="lowerRoman"/>
      <w:lvlText w:val="%6."/>
      <w:lvlJc w:val="right"/>
      <w:pPr>
        <w:ind w:left="4320" w:hanging="180"/>
      </w:pPr>
    </w:lvl>
    <w:lvl w:ilvl="6" w:tplc="5B8432D0" w:tentative="1">
      <w:start w:val="1"/>
      <w:numFmt w:val="decimal"/>
      <w:lvlText w:val="%7."/>
      <w:lvlJc w:val="left"/>
      <w:pPr>
        <w:ind w:left="5040" w:hanging="360"/>
      </w:pPr>
    </w:lvl>
    <w:lvl w:ilvl="7" w:tplc="CC2E7DDC" w:tentative="1">
      <w:start w:val="1"/>
      <w:numFmt w:val="lowerLetter"/>
      <w:lvlText w:val="%8."/>
      <w:lvlJc w:val="left"/>
      <w:pPr>
        <w:ind w:left="5760" w:hanging="360"/>
      </w:pPr>
    </w:lvl>
    <w:lvl w:ilvl="8" w:tplc="D9C85CB8" w:tentative="1">
      <w:start w:val="1"/>
      <w:numFmt w:val="lowerRoman"/>
      <w:lvlText w:val="%9."/>
      <w:lvlJc w:val="right"/>
      <w:pPr>
        <w:ind w:left="6480" w:hanging="180"/>
      </w:pPr>
    </w:lvl>
  </w:abstractNum>
  <w:abstractNum w:abstractNumId="9" w15:restartNumberingAfterBreak="0">
    <w:nsid w:val="35FC3C11"/>
    <w:multiLevelType w:val="hybridMultilevel"/>
    <w:tmpl w:val="3CA03FAC"/>
    <w:lvl w:ilvl="0" w:tplc="B0A65B48">
      <w:start w:val="1"/>
      <w:numFmt w:val="bullet"/>
      <w:lvlText w:val="-"/>
      <w:lvlJc w:val="left"/>
      <w:pPr>
        <w:ind w:left="1080" w:hanging="360"/>
      </w:pPr>
      <w:rPr>
        <w:rFonts w:ascii="Calibri" w:eastAsiaTheme="minorEastAsia"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B4558F"/>
    <w:multiLevelType w:val="hybridMultilevel"/>
    <w:tmpl w:val="4F5C09F8"/>
    <w:lvl w:ilvl="0" w:tplc="0B749B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82B77"/>
    <w:multiLevelType w:val="hybridMultilevel"/>
    <w:tmpl w:val="D820F2AE"/>
    <w:lvl w:ilvl="0" w:tplc="F5DA748E">
      <w:start w:val="1"/>
      <w:numFmt w:val="lowerRoman"/>
      <w:lvlText w:val="%1)"/>
      <w:lvlJc w:val="left"/>
      <w:pPr>
        <w:ind w:left="1080" w:hanging="720"/>
      </w:pPr>
      <w:rPr>
        <w:rFonts w:cs="Calibri" w:hint="default"/>
      </w:rPr>
    </w:lvl>
    <w:lvl w:ilvl="1" w:tplc="03289380" w:tentative="1">
      <w:start w:val="1"/>
      <w:numFmt w:val="lowerLetter"/>
      <w:lvlText w:val="%2."/>
      <w:lvlJc w:val="left"/>
      <w:pPr>
        <w:ind w:left="1440" w:hanging="360"/>
      </w:pPr>
    </w:lvl>
    <w:lvl w:ilvl="2" w:tplc="3D08A596" w:tentative="1">
      <w:start w:val="1"/>
      <w:numFmt w:val="lowerRoman"/>
      <w:lvlText w:val="%3."/>
      <w:lvlJc w:val="right"/>
      <w:pPr>
        <w:ind w:left="2160" w:hanging="180"/>
      </w:pPr>
    </w:lvl>
    <w:lvl w:ilvl="3" w:tplc="00D07E8C" w:tentative="1">
      <w:start w:val="1"/>
      <w:numFmt w:val="decimal"/>
      <w:lvlText w:val="%4."/>
      <w:lvlJc w:val="left"/>
      <w:pPr>
        <w:ind w:left="2880" w:hanging="360"/>
      </w:pPr>
    </w:lvl>
    <w:lvl w:ilvl="4" w:tplc="62E8EEE4" w:tentative="1">
      <w:start w:val="1"/>
      <w:numFmt w:val="lowerLetter"/>
      <w:lvlText w:val="%5."/>
      <w:lvlJc w:val="left"/>
      <w:pPr>
        <w:ind w:left="3600" w:hanging="360"/>
      </w:pPr>
    </w:lvl>
    <w:lvl w:ilvl="5" w:tplc="3182B1AE" w:tentative="1">
      <w:start w:val="1"/>
      <w:numFmt w:val="lowerRoman"/>
      <w:lvlText w:val="%6."/>
      <w:lvlJc w:val="right"/>
      <w:pPr>
        <w:ind w:left="4320" w:hanging="180"/>
      </w:pPr>
    </w:lvl>
    <w:lvl w:ilvl="6" w:tplc="145A0E9A" w:tentative="1">
      <w:start w:val="1"/>
      <w:numFmt w:val="decimal"/>
      <w:lvlText w:val="%7."/>
      <w:lvlJc w:val="left"/>
      <w:pPr>
        <w:ind w:left="5040" w:hanging="360"/>
      </w:pPr>
    </w:lvl>
    <w:lvl w:ilvl="7" w:tplc="9744B5DC" w:tentative="1">
      <w:start w:val="1"/>
      <w:numFmt w:val="lowerLetter"/>
      <w:lvlText w:val="%8."/>
      <w:lvlJc w:val="left"/>
      <w:pPr>
        <w:ind w:left="5760" w:hanging="360"/>
      </w:pPr>
    </w:lvl>
    <w:lvl w:ilvl="8" w:tplc="6554E0A8" w:tentative="1">
      <w:start w:val="1"/>
      <w:numFmt w:val="lowerRoman"/>
      <w:lvlText w:val="%9."/>
      <w:lvlJc w:val="right"/>
      <w:pPr>
        <w:ind w:left="6480" w:hanging="180"/>
      </w:pPr>
    </w:lvl>
  </w:abstractNum>
  <w:abstractNum w:abstractNumId="12" w15:restartNumberingAfterBreak="0">
    <w:nsid w:val="3DC91952"/>
    <w:multiLevelType w:val="hybridMultilevel"/>
    <w:tmpl w:val="85326AE0"/>
    <w:lvl w:ilvl="0" w:tplc="4BC09218">
      <w:start w:val="1"/>
      <w:numFmt w:val="decimal"/>
      <w:lvlText w:val="%1."/>
      <w:lvlJc w:val="left"/>
      <w:pPr>
        <w:ind w:left="1004" w:hanging="360"/>
      </w:pPr>
      <w:rPr>
        <w:rFonts w:hint="default"/>
      </w:rPr>
    </w:lvl>
    <w:lvl w:ilvl="1" w:tplc="50A8BE1C">
      <w:start w:val="1"/>
      <w:numFmt w:val="lowerLetter"/>
      <w:lvlText w:val="%2."/>
      <w:lvlJc w:val="left"/>
      <w:pPr>
        <w:ind w:left="1724" w:hanging="360"/>
      </w:pPr>
    </w:lvl>
    <w:lvl w:ilvl="2" w:tplc="A880B3A2" w:tentative="1">
      <w:start w:val="1"/>
      <w:numFmt w:val="lowerRoman"/>
      <w:lvlText w:val="%3."/>
      <w:lvlJc w:val="right"/>
      <w:pPr>
        <w:ind w:left="2444" w:hanging="180"/>
      </w:pPr>
    </w:lvl>
    <w:lvl w:ilvl="3" w:tplc="C114B15C" w:tentative="1">
      <w:start w:val="1"/>
      <w:numFmt w:val="decimal"/>
      <w:lvlText w:val="%4."/>
      <w:lvlJc w:val="left"/>
      <w:pPr>
        <w:ind w:left="3164" w:hanging="360"/>
      </w:pPr>
    </w:lvl>
    <w:lvl w:ilvl="4" w:tplc="CC24F988" w:tentative="1">
      <w:start w:val="1"/>
      <w:numFmt w:val="lowerLetter"/>
      <w:lvlText w:val="%5."/>
      <w:lvlJc w:val="left"/>
      <w:pPr>
        <w:ind w:left="3884" w:hanging="360"/>
      </w:pPr>
    </w:lvl>
    <w:lvl w:ilvl="5" w:tplc="61CA0A46" w:tentative="1">
      <w:start w:val="1"/>
      <w:numFmt w:val="lowerRoman"/>
      <w:lvlText w:val="%6."/>
      <w:lvlJc w:val="right"/>
      <w:pPr>
        <w:ind w:left="4604" w:hanging="180"/>
      </w:pPr>
    </w:lvl>
    <w:lvl w:ilvl="6" w:tplc="89EEF170" w:tentative="1">
      <w:start w:val="1"/>
      <w:numFmt w:val="decimal"/>
      <w:lvlText w:val="%7."/>
      <w:lvlJc w:val="left"/>
      <w:pPr>
        <w:ind w:left="5324" w:hanging="360"/>
      </w:pPr>
    </w:lvl>
    <w:lvl w:ilvl="7" w:tplc="EE025B8C" w:tentative="1">
      <w:start w:val="1"/>
      <w:numFmt w:val="lowerLetter"/>
      <w:lvlText w:val="%8."/>
      <w:lvlJc w:val="left"/>
      <w:pPr>
        <w:ind w:left="6044" w:hanging="360"/>
      </w:pPr>
    </w:lvl>
    <w:lvl w:ilvl="8" w:tplc="6A768BCE" w:tentative="1">
      <w:start w:val="1"/>
      <w:numFmt w:val="lowerRoman"/>
      <w:lvlText w:val="%9."/>
      <w:lvlJc w:val="right"/>
      <w:pPr>
        <w:ind w:left="6764" w:hanging="180"/>
      </w:pPr>
    </w:lvl>
  </w:abstractNum>
  <w:abstractNum w:abstractNumId="13" w15:restartNumberingAfterBreak="0">
    <w:nsid w:val="50825F6D"/>
    <w:multiLevelType w:val="hybridMultilevel"/>
    <w:tmpl w:val="868083E0"/>
    <w:lvl w:ilvl="0" w:tplc="FFA8759A">
      <w:numFmt w:val="bullet"/>
      <w:lvlText w:val="-"/>
      <w:lvlJc w:val="left"/>
      <w:pPr>
        <w:ind w:left="720" w:hanging="360"/>
      </w:pPr>
      <w:rPr>
        <w:rFonts w:ascii="Calibri" w:eastAsia="Calibri" w:hAnsi="Calibri" w:cs="Calibri" w:hint="default"/>
      </w:rPr>
    </w:lvl>
    <w:lvl w:ilvl="1" w:tplc="F4A0380E" w:tentative="1">
      <w:start w:val="1"/>
      <w:numFmt w:val="bullet"/>
      <w:lvlText w:val="o"/>
      <w:lvlJc w:val="left"/>
      <w:pPr>
        <w:ind w:left="1440" w:hanging="360"/>
      </w:pPr>
      <w:rPr>
        <w:rFonts w:ascii="Courier New" w:hAnsi="Courier New" w:cs="Courier New" w:hint="default"/>
      </w:rPr>
    </w:lvl>
    <w:lvl w:ilvl="2" w:tplc="E9EEE304" w:tentative="1">
      <w:start w:val="1"/>
      <w:numFmt w:val="bullet"/>
      <w:lvlText w:val=""/>
      <w:lvlJc w:val="left"/>
      <w:pPr>
        <w:ind w:left="2160" w:hanging="360"/>
      </w:pPr>
      <w:rPr>
        <w:rFonts w:ascii="Wingdings" w:hAnsi="Wingdings" w:hint="default"/>
      </w:rPr>
    </w:lvl>
    <w:lvl w:ilvl="3" w:tplc="ACC6D76A" w:tentative="1">
      <w:start w:val="1"/>
      <w:numFmt w:val="bullet"/>
      <w:lvlText w:val=""/>
      <w:lvlJc w:val="left"/>
      <w:pPr>
        <w:ind w:left="2880" w:hanging="360"/>
      </w:pPr>
      <w:rPr>
        <w:rFonts w:ascii="Symbol" w:hAnsi="Symbol" w:hint="default"/>
      </w:rPr>
    </w:lvl>
    <w:lvl w:ilvl="4" w:tplc="B6C6562E" w:tentative="1">
      <w:start w:val="1"/>
      <w:numFmt w:val="bullet"/>
      <w:lvlText w:val="o"/>
      <w:lvlJc w:val="left"/>
      <w:pPr>
        <w:ind w:left="3600" w:hanging="360"/>
      </w:pPr>
      <w:rPr>
        <w:rFonts w:ascii="Courier New" w:hAnsi="Courier New" w:cs="Courier New" w:hint="default"/>
      </w:rPr>
    </w:lvl>
    <w:lvl w:ilvl="5" w:tplc="974CA718" w:tentative="1">
      <w:start w:val="1"/>
      <w:numFmt w:val="bullet"/>
      <w:lvlText w:val=""/>
      <w:lvlJc w:val="left"/>
      <w:pPr>
        <w:ind w:left="4320" w:hanging="360"/>
      </w:pPr>
      <w:rPr>
        <w:rFonts w:ascii="Wingdings" w:hAnsi="Wingdings" w:hint="default"/>
      </w:rPr>
    </w:lvl>
    <w:lvl w:ilvl="6" w:tplc="F416A618" w:tentative="1">
      <w:start w:val="1"/>
      <w:numFmt w:val="bullet"/>
      <w:lvlText w:val=""/>
      <w:lvlJc w:val="left"/>
      <w:pPr>
        <w:ind w:left="5040" w:hanging="360"/>
      </w:pPr>
      <w:rPr>
        <w:rFonts w:ascii="Symbol" w:hAnsi="Symbol" w:hint="default"/>
      </w:rPr>
    </w:lvl>
    <w:lvl w:ilvl="7" w:tplc="7F2419C8" w:tentative="1">
      <w:start w:val="1"/>
      <w:numFmt w:val="bullet"/>
      <w:lvlText w:val="o"/>
      <w:lvlJc w:val="left"/>
      <w:pPr>
        <w:ind w:left="5760" w:hanging="360"/>
      </w:pPr>
      <w:rPr>
        <w:rFonts w:ascii="Courier New" w:hAnsi="Courier New" w:cs="Courier New" w:hint="default"/>
      </w:rPr>
    </w:lvl>
    <w:lvl w:ilvl="8" w:tplc="88E2E6A8" w:tentative="1">
      <w:start w:val="1"/>
      <w:numFmt w:val="bullet"/>
      <w:lvlText w:val=""/>
      <w:lvlJc w:val="left"/>
      <w:pPr>
        <w:ind w:left="6480" w:hanging="360"/>
      </w:pPr>
      <w:rPr>
        <w:rFonts w:ascii="Wingdings" w:hAnsi="Wingdings" w:hint="default"/>
      </w:rPr>
    </w:lvl>
  </w:abstractNum>
  <w:abstractNum w:abstractNumId="14" w15:restartNumberingAfterBreak="0">
    <w:nsid w:val="54144B0F"/>
    <w:multiLevelType w:val="hybridMultilevel"/>
    <w:tmpl w:val="8B407BFE"/>
    <w:lvl w:ilvl="0" w:tplc="EB467994">
      <w:start w:val="1"/>
      <w:numFmt w:val="lowerLetter"/>
      <w:lvlText w:val="%1."/>
      <w:lvlJc w:val="left"/>
      <w:pPr>
        <w:ind w:left="945" w:hanging="360"/>
      </w:pPr>
    </w:lvl>
    <w:lvl w:ilvl="1" w:tplc="90825FEE" w:tentative="1">
      <w:start w:val="1"/>
      <w:numFmt w:val="lowerLetter"/>
      <w:lvlText w:val="%2."/>
      <w:lvlJc w:val="left"/>
      <w:pPr>
        <w:ind w:left="1665" w:hanging="360"/>
      </w:pPr>
    </w:lvl>
    <w:lvl w:ilvl="2" w:tplc="BF50FD76" w:tentative="1">
      <w:start w:val="1"/>
      <w:numFmt w:val="lowerRoman"/>
      <w:lvlText w:val="%3."/>
      <w:lvlJc w:val="right"/>
      <w:pPr>
        <w:ind w:left="2385" w:hanging="180"/>
      </w:pPr>
    </w:lvl>
    <w:lvl w:ilvl="3" w:tplc="2A08FC12" w:tentative="1">
      <w:start w:val="1"/>
      <w:numFmt w:val="decimal"/>
      <w:lvlText w:val="%4."/>
      <w:lvlJc w:val="left"/>
      <w:pPr>
        <w:ind w:left="3105" w:hanging="360"/>
      </w:pPr>
    </w:lvl>
    <w:lvl w:ilvl="4" w:tplc="E0DC012C" w:tentative="1">
      <w:start w:val="1"/>
      <w:numFmt w:val="lowerLetter"/>
      <w:lvlText w:val="%5."/>
      <w:lvlJc w:val="left"/>
      <w:pPr>
        <w:ind w:left="3825" w:hanging="360"/>
      </w:pPr>
    </w:lvl>
    <w:lvl w:ilvl="5" w:tplc="4A921C6C" w:tentative="1">
      <w:start w:val="1"/>
      <w:numFmt w:val="lowerRoman"/>
      <w:lvlText w:val="%6."/>
      <w:lvlJc w:val="right"/>
      <w:pPr>
        <w:ind w:left="4545" w:hanging="180"/>
      </w:pPr>
    </w:lvl>
    <w:lvl w:ilvl="6" w:tplc="BC244528" w:tentative="1">
      <w:start w:val="1"/>
      <w:numFmt w:val="decimal"/>
      <w:lvlText w:val="%7."/>
      <w:lvlJc w:val="left"/>
      <w:pPr>
        <w:ind w:left="5265" w:hanging="360"/>
      </w:pPr>
    </w:lvl>
    <w:lvl w:ilvl="7" w:tplc="5F2C9C22" w:tentative="1">
      <w:start w:val="1"/>
      <w:numFmt w:val="lowerLetter"/>
      <w:lvlText w:val="%8."/>
      <w:lvlJc w:val="left"/>
      <w:pPr>
        <w:ind w:left="5985" w:hanging="360"/>
      </w:pPr>
    </w:lvl>
    <w:lvl w:ilvl="8" w:tplc="3F2E4CE2" w:tentative="1">
      <w:start w:val="1"/>
      <w:numFmt w:val="lowerRoman"/>
      <w:lvlText w:val="%9."/>
      <w:lvlJc w:val="right"/>
      <w:pPr>
        <w:ind w:left="6705" w:hanging="180"/>
      </w:pPr>
    </w:lvl>
  </w:abstractNum>
  <w:abstractNum w:abstractNumId="15" w15:restartNumberingAfterBreak="0">
    <w:nsid w:val="54F73E3C"/>
    <w:multiLevelType w:val="hybridMultilevel"/>
    <w:tmpl w:val="031A6EBC"/>
    <w:lvl w:ilvl="0" w:tplc="A71E9B62">
      <w:start w:val="1"/>
      <w:numFmt w:val="decimal"/>
      <w:lvlText w:val="%1."/>
      <w:lvlJc w:val="left"/>
      <w:pPr>
        <w:ind w:left="928"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7E1C93"/>
    <w:multiLevelType w:val="hybridMultilevel"/>
    <w:tmpl w:val="D59E96D6"/>
    <w:lvl w:ilvl="0" w:tplc="72D24114">
      <w:start w:val="1"/>
      <w:numFmt w:val="bullet"/>
      <w:lvlText w:val=""/>
      <w:lvlJc w:val="left"/>
      <w:pPr>
        <w:ind w:left="720" w:hanging="360"/>
      </w:pPr>
      <w:rPr>
        <w:rFonts w:ascii="Symbol" w:hAnsi="Symbol" w:hint="default"/>
      </w:rPr>
    </w:lvl>
    <w:lvl w:ilvl="1" w:tplc="07CA30DE" w:tentative="1">
      <w:start w:val="1"/>
      <w:numFmt w:val="bullet"/>
      <w:lvlText w:val="o"/>
      <w:lvlJc w:val="left"/>
      <w:pPr>
        <w:ind w:left="1440" w:hanging="360"/>
      </w:pPr>
      <w:rPr>
        <w:rFonts w:ascii="Courier New" w:hAnsi="Courier New" w:cs="Courier New" w:hint="default"/>
      </w:rPr>
    </w:lvl>
    <w:lvl w:ilvl="2" w:tplc="1534EF54" w:tentative="1">
      <w:start w:val="1"/>
      <w:numFmt w:val="bullet"/>
      <w:lvlText w:val=""/>
      <w:lvlJc w:val="left"/>
      <w:pPr>
        <w:ind w:left="2160" w:hanging="360"/>
      </w:pPr>
      <w:rPr>
        <w:rFonts w:ascii="Wingdings" w:hAnsi="Wingdings" w:hint="default"/>
      </w:rPr>
    </w:lvl>
    <w:lvl w:ilvl="3" w:tplc="2AD2151E" w:tentative="1">
      <w:start w:val="1"/>
      <w:numFmt w:val="bullet"/>
      <w:lvlText w:val=""/>
      <w:lvlJc w:val="left"/>
      <w:pPr>
        <w:ind w:left="2880" w:hanging="360"/>
      </w:pPr>
      <w:rPr>
        <w:rFonts w:ascii="Symbol" w:hAnsi="Symbol" w:hint="default"/>
      </w:rPr>
    </w:lvl>
    <w:lvl w:ilvl="4" w:tplc="8FB8EE9A" w:tentative="1">
      <w:start w:val="1"/>
      <w:numFmt w:val="bullet"/>
      <w:lvlText w:val="o"/>
      <w:lvlJc w:val="left"/>
      <w:pPr>
        <w:ind w:left="3600" w:hanging="360"/>
      </w:pPr>
      <w:rPr>
        <w:rFonts w:ascii="Courier New" w:hAnsi="Courier New" w:cs="Courier New" w:hint="default"/>
      </w:rPr>
    </w:lvl>
    <w:lvl w:ilvl="5" w:tplc="4212FC46" w:tentative="1">
      <w:start w:val="1"/>
      <w:numFmt w:val="bullet"/>
      <w:lvlText w:val=""/>
      <w:lvlJc w:val="left"/>
      <w:pPr>
        <w:ind w:left="4320" w:hanging="360"/>
      </w:pPr>
      <w:rPr>
        <w:rFonts w:ascii="Wingdings" w:hAnsi="Wingdings" w:hint="default"/>
      </w:rPr>
    </w:lvl>
    <w:lvl w:ilvl="6" w:tplc="D2E89576" w:tentative="1">
      <w:start w:val="1"/>
      <w:numFmt w:val="bullet"/>
      <w:lvlText w:val=""/>
      <w:lvlJc w:val="left"/>
      <w:pPr>
        <w:ind w:left="5040" w:hanging="360"/>
      </w:pPr>
      <w:rPr>
        <w:rFonts w:ascii="Symbol" w:hAnsi="Symbol" w:hint="default"/>
      </w:rPr>
    </w:lvl>
    <w:lvl w:ilvl="7" w:tplc="51C8EA9C" w:tentative="1">
      <w:start w:val="1"/>
      <w:numFmt w:val="bullet"/>
      <w:lvlText w:val="o"/>
      <w:lvlJc w:val="left"/>
      <w:pPr>
        <w:ind w:left="5760" w:hanging="360"/>
      </w:pPr>
      <w:rPr>
        <w:rFonts w:ascii="Courier New" w:hAnsi="Courier New" w:cs="Courier New" w:hint="default"/>
      </w:rPr>
    </w:lvl>
    <w:lvl w:ilvl="8" w:tplc="2AF210B4" w:tentative="1">
      <w:start w:val="1"/>
      <w:numFmt w:val="bullet"/>
      <w:lvlText w:val=""/>
      <w:lvlJc w:val="left"/>
      <w:pPr>
        <w:ind w:left="6480" w:hanging="360"/>
      </w:pPr>
      <w:rPr>
        <w:rFonts w:ascii="Wingdings" w:hAnsi="Wingdings" w:hint="default"/>
      </w:rPr>
    </w:lvl>
  </w:abstractNum>
  <w:abstractNum w:abstractNumId="17" w15:restartNumberingAfterBreak="0">
    <w:nsid w:val="562F0BCF"/>
    <w:multiLevelType w:val="hybridMultilevel"/>
    <w:tmpl w:val="4C92DC2C"/>
    <w:lvl w:ilvl="0" w:tplc="1070F40A">
      <w:start w:val="4"/>
      <w:numFmt w:val="lowerLetter"/>
      <w:lvlText w:val="%1."/>
      <w:lvlJc w:val="left"/>
      <w:pPr>
        <w:ind w:left="720" w:hanging="360"/>
      </w:pPr>
      <w:rPr>
        <w:rFonts w:hint="default"/>
      </w:rPr>
    </w:lvl>
    <w:lvl w:ilvl="1" w:tplc="C7521F6E" w:tentative="1">
      <w:start w:val="1"/>
      <w:numFmt w:val="lowerLetter"/>
      <w:lvlText w:val="%2."/>
      <w:lvlJc w:val="left"/>
      <w:pPr>
        <w:ind w:left="1440" w:hanging="360"/>
      </w:pPr>
    </w:lvl>
    <w:lvl w:ilvl="2" w:tplc="0C1012C6" w:tentative="1">
      <w:start w:val="1"/>
      <w:numFmt w:val="lowerRoman"/>
      <w:lvlText w:val="%3."/>
      <w:lvlJc w:val="right"/>
      <w:pPr>
        <w:ind w:left="2160" w:hanging="180"/>
      </w:pPr>
    </w:lvl>
    <w:lvl w:ilvl="3" w:tplc="967C7DC4" w:tentative="1">
      <w:start w:val="1"/>
      <w:numFmt w:val="decimal"/>
      <w:lvlText w:val="%4."/>
      <w:lvlJc w:val="left"/>
      <w:pPr>
        <w:ind w:left="2880" w:hanging="360"/>
      </w:pPr>
    </w:lvl>
    <w:lvl w:ilvl="4" w:tplc="4AAE7D1C" w:tentative="1">
      <w:start w:val="1"/>
      <w:numFmt w:val="lowerLetter"/>
      <w:lvlText w:val="%5."/>
      <w:lvlJc w:val="left"/>
      <w:pPr>
        <w:ind w:left="3600" w:hanging="360"/>
      </w:pPr>
    </w:lvl>
    <w:lvl w:ilvl="5" w:tplc="0FFEE21A" w:tentative="1">
      <w:start w:val="1"/>
      <w:numFmt w:val="lowerRoman"/>
      <w:lvlText w:val="%6."/>
      <w:lvlJc w:val="right"/>
      <w:pPr>
        <w:ind w:left="4320" w:hanging="180"/>
      </w:pPr>
    </w:lvl>
    <w:lvl w:ilvl="6" w:tplc="AB021D1A" w:tentative="1">
      <w:start w:val="1"/>
      <w:numFmt w:val="decimal"/>
      <w:lvlText w:val="%7."/>
      <w:lvlJc w:val="left"/>
      <w:pPr>
        <w:ind w:left="5040" w:hanging="360"/>
      </w:pPr>
    </w:lvl>
    <w:lvl w:ilvl="7" w:tplc="C1520ED8" w:tentative="1">
      <w:start w:val="1"/>
      <w:numFmt w:val="lowerLetter"/>
      <w:lvlText w:val="%8."/>
      <w:lvlJc w:val="left"/>
      <w:pPr>
        <w:ind w:left="5760" w:hanging="360"/>
      </w:pPr>
    </w:lvl>
    <w:lvl w:ilvl="8" w:tplc="EA847778" w:tentative="1">
      <w:start w:val="1"/>
      <w:numFmt w:val="lowerRoman"/>
      <w:lvlText w:val="%9."/>
      <w:lvlJc w:val="right"/>
      <w:pPr>
        <w:ind w:left="6480" w:hanging="180"/>
      </w:pPr>
    </w:lvl>
  </w:abstractNum>
  <w:abstractNum w:abstractNumId="18" w15:restartNumberingAfterBreak="0">
    <w:nsid w:val="57B44DC3"/>
    <w:multiLevelType w:val="hybridMultilevel"/>
    <w:tmpl w:val="16040A90"/>
    <w:lvl w:ilvl="0" w:tplc="05025FFC">
      <w:start w:val="1"/>
      <w:numFmt w:val="decimal"/>
      <w:lvlText w:val="%1."/>
      <w:lvlJc w:val="left"/>
      <w:pPr>
        <w:ind w:left="720" w:hanging="360"/>
      </w:pPr>
      <w:rPr>
        <w:rFonts w:hint="default"/>
      </w:rPr>
    </w:lvl>
    <w:lvl w:ilvl="1" w:tplc="9B381B6C">
      <w:start w:val="1"/>
      <w:numFmt w:val="lowerLetter"/>
      <w:lvlText w:val="%2."/>
      <w:lvlJc w:val="left"/>
      <w:pPr>
        <w:ind w:left="1440" w:hanging="360"/>
      </w:pPr>
    </w:lvl>
    <w:lvl w:ilvl="2" w:tplc="4830C718" w:tentative="1">
      <w:start w:val="1"/>
      <w:numFmt w:val="lowerRoman"/>
      <w:lvlText w:val="%3."/>
      <w:lvlJc w:val="right"/>
      <w:pPr>
        <w:ind w:left="2160" w:hanging="180"/>
      </w:pPr>
    </w:lvl>
    <w:lvl w:ilvl="3" w:tplc="654ED990" w:tentative="1">
      <w:start w:val="1"/>
      <w:numFmt w:val="decimal"/>
      <w:lvlText w:val="%4."/>
      <w:lvlJc w:val="left"/>
      <w:pPr>
        <w:ind w:left="2880" w:hanging="360"/>
      </w:pPr>
    </w:lvl>
    <w:lvl w:ilvl="4" w:tplc="2092C158" w:tentative="1">
      <w:start w:val="1"/>
      <w:numFmt w:val="lowerLetter"/>
      <w:lvlText w:val="%5."/>
      <w:lvlJc w:val="left"/>
      <w:pPr>
        <w:ind w:left="3600" w:hanging="360"/>
      </w:pPr>
    </w:lvl>
    <w:lvl w:ilvl="5" w:tplc="D7BCF4F0" w:tentative="1">
      <w:start w:val="1"/>
      <w:numFmt w:val="lowerRoman"/>
      <w:lvlText w:val="%6."/>
      <w:lvlJc w:val="right"/>
      <w:pPr>
        <w:ind w:left="4320" w:hanging="180"/>
      </w:pPr>
    </w:lvl>
    <w:lvl w:ilvl="6" w:tplc="65EC7032" w:tentative="1">
      <w:start w:val="1"/>
      <w:numFmt w:val="decimal"/>
      <w:lvlText w:val="%7."/>
      <w:lvlJc w:val="left"/>
      <w:pPr>
        <w:ind w:left="5040" w:hanging="360"/>
      </w:pPr>
    </w:lvl>
    <w:lvl w:ilvl="7" w:tplc="A3B24C8C" w:tentative="1">
      <w:start w:val="1"/>
      <w:numFmt w:val="lowerLetter"/>
      <w:lvlText w:val="%8."/>
      <w:lvlJc w:val="left"/>
      <w:pPr>
        <w:ind w:left="5760" w:hanging="360"/>
      </w:pPr>
    </w:lvl>
    <w:lvl w:ilvl="8" w:tplc="F282FEF2" w:tentative="1">
      <w:start w:val="1"/>
      <w:numFmt w:val="lowerRoman"/>
      <w:lvlText w:val="%9."/>
      <w:lvlJc w:val="right"/>
      <w:pPr>
        <w:ind w:left="6480" w:hanging="180"/>
      </w:pPr>
    </w:lvl>
  </w:abstractNum>
  <w:abstractNum w:abstractNumId="19" w15:restartNumberingAfterBreak="0">
    <w:nsid w:val="5D391349"/>
    <w:multiLevelType w:val="hybridMultilevel"/>
    <w:tmpl w:val="100C01AC"/>
    <w:lvl w:ilvl="0" w:tplc="416A11D2">
      <w:start w:val="1"/>
      <w:numFmt w:val="lowerLetter"/>
      <w:lvlText w:val="%1."/>
      <w:lvlJc w:val="left"/>
      <w:pPr>
        <w:ind w:left="720" w:hanging="360"/>
      </w:pPr>
      <w:rPr>
        <w:rFonts w:hint="default"/>
        <w:b w:val="0"/>
      </w:rPr>
    </w:lvl>
    <w:lvl w:ilvl="1" w:tplc="E55EEDAE" w:tentative="1">
      <w:start w:val="1"/>
      <w:numFmt w:val="lowerLetter"/>
      <w:lvlText w:val="%2."/>
      <w:lvlJc w:val="left"/>
      <w:pPr>
        <w:ind w:left="1440" w:hanging="360"/>
      </w:pPr>
    </w:lvl>
    <w:lvl w:ilvl="2" w:tplc="DE04FE3C" w:tentative="1">
      <w:start w:val="1"/>
      <w:numFmt w:val="lowerRoman"/>
      <w:lvlText w:val="%3."/>
      <w:lvlJc w:val="right"/>
      <w:pPr>
        <w:ind w:left="2160" w:hanging="180"/>
      </w:pPr>
    </w:lvl>
    <w:lvl w:ilvl="3" w:tplc="E3A60F86" w:tentative="1">
      <w:start w:val="1"/>
      <w:numFmt w:val="decimal"/>
      <w:lvlText w:val="%4."/>
      <w:lvlJc w:val="left"/>
      <w:pPr>
        <w:ind w:left="2880" w:hanging="360"/>
      </w:pPr>
    </w:lvl>
    <w:lvl w:ilvl="4" w:tplc="00063C94" w:tentative="1">
      <w:start w:val="1"/>
      <w:numFmt w:val="lowerLetter"/>
      <w:lvlText w:val="%5."/>
      <w:lvlJc w:val="left"/>
      <w:pPr>
        <w:ind w:left="3600" w:hanging="360"/>
      </w:pPr>
    </w:lvl>
    <w:lvl w:ilvl="5" w:tplc="503EB696" w:tentative="1">
      <w:start w:val="1"/>
      <w:numFmt w:val="lowerRoman"/>
      <w:lvlText w:val="%6."/>
      <w:lvlJc w:val="right"/>
      <w:pPr>
        <w:ind w:left="4320" w:hanging="180"/>
      </w:pPr>
    </w:lvl>
    <w:lvl w:ilvl="6" w:tplc="316C72D8" w:tentative="1">
      <w:start w:val="1"/>
      <w:numFmt w:val="decimal"/>
      <w:lvlText w:val="%7."/>
      <w:lvlJc w:val="left"/>
      <w:pPr>
        <w:ind w:left="5040" w:hanging="360"/>
      </w:pPr>
    </w:lvl>
    <w:lvl w:ilvl="7" w:tplc="38C41476" w:tentative="1">
      <w:start w:val="1"/>
      <w:numFmt w:val="lowerLetter"/>
      <w:lvlText w:val="%8."/>
      <w:lvlJc w:val="left"/>
      <w:pPr>
        <w:ind w:left="5760" w:hanging="360"/>
      </w:pPr>
    </w:lvl>
    <w:lvl w:ilvl="8" w:tplc="35D82C9E" w:tentative="1">
      <w:start w:val="1"/>
      <w:numFmt w:val="lowerRoman"/>
      <w:lvlText w:val="%9."/>
      <w:lvlJc w:val="right"/>
      <w:pPr>
        <w:ind w:left="6480" w:hanging="180"/>
      </w:pPr>
    </w:lvl>
  </w:abstractNum>
  <w:abstractNum w:abstractNumId="20" w15:restartNumberingAfterBreak="0">
    <w:nsid w:val="5DB400CC"/>
    <w:multiLevelType w:val="hybridMultilevel"/>
    <w:tmpl w:val="73D88EA2"/>
    <w:lvl w:ilvl="0" w:tplc="F78EA906">
      <w:start w:val="1"/>
      <w:numFmt w:val="decimal"/>
      <w:lvlText w:val="%1."/>
      <w:lvlJc w:val="left"/>
      <w:pPr>
        <w:ind w:left="720" w:hanging="360"/>
      </w:pPr>
      <w:rPr>
        <w:rFonts w:hint="default"/>
        <w:b w:val="0"/>
      </w:rPr>
    </w:lvl>
    <w:lvl w:ilvl="1" w:tplc="E16A47CE" w:tentative="1">
      <w:start w:val="1"/>
      <w:numFmt w:val="lowerLetter"/>
      <w:lvlText w:val="%2."/>
      <w:lvlJc w:val="left"/>
      <w:pPr>
        <w:ind w:left="1440" w:hanging="360"/>
      </w:pPr>
    </w:lvl>
    <w:lvl w:ilvl="2" w:tplc="26A29980" w:tentative="1">
      <w:start w:val="1"/>
      <w:numFmt w:val="lowerRoman"/>
      <w:lvlText w:val="%3."/>
      <w:lvlJc w:val="right"/>
      <w:pPr>
        <w:ind w:left="2160" w:hanging="180"/>
      </w:pPr>
    </w:lvl>
    <w:lvl w:ilvl="3" w:tplc="5E6CC9B2" w:tentative="1">
      <w:start w:val="1"/>
      <w:numFmt w:val="decimal"/>
      <w:lvlText w:val="%4."/>
      <w:lvlJc w:val="left"/>
      <w:pPr>
        <w:ind w:left="2880" w:hanging="360"/>
      </w:pPr>
    </w:lvl>
    <w:lvl w:ilvl="4" w:tplc="33C0A04C" w:tentative="1">
      <w:start w:val="1"/>
      <w:numFmt w:val="lowerLetter"/>
      <w:lvlText w:val="%5."/>
      <w:lvlJc w:val="left"/>
      <w:pPr>
        <w:ind w:left="3600" w:hanging="360"/>
      </w:pPr>
    </w:lvl>
    <w:lvl w:ilvl="5" w:tplc="26A4E53C" w:tentative="1">
      <w:start w:val="1"/>
      <w:numFmt w:val="lowerRoman"/>
      <w:lvlText w:val="%6."/>
      <w:lvlJc w:val="right"/>
      <w:pPr>
        <w:ind w:left="4320" w:hanging="180"/>
      </w:pPr>
    </w:lvl>
    <w:lvl w:ilvl="6" w:tplc="DCFC721A" w:tentative="1">
      <w:start w:val="1"/>
      <w:numFmt w:val="decimal"/>
      <w:lvlText w:val="%7."/>
      <w:lvlJc w:val="left"/>
      <w:pPr>
        <w:ind w:left="5040" w:hanging="360"/>
      </w:pPr>
    </w:lvl>
    <w:lvl w:ilvl="7" w:tplc="E0081FFE" w:tentative="1">
      <w:start w:val="1"/>
      <w:numFmt w:val="lowerLetter"/>
      <w:lvlText w:val="%8."/>
      <w:lvlJc w:val="left"/>
      <w:pPr>
        <w:ind w:left="5760" w:hanging="360"/>
      </w:pPr>
    </w:lvl>
    <w:lvl w:ilvl="8" w:tplc="970E5FC0" w:tentative="1">
      <w:start w:val="1"/>
      <w:numFmt w:val="lowerRoman"/>
      <w:lvlText w:val="%9."/>
      <w:lvlJc w:val="right"/>
      <w:pPr>
        <w:ind w:left="6480" w:hanging="180"/>
      </w:pPr>
    </w:lvl>
  </w:abstractNum>
  <w:abstractNum w:abstractNumId="21" w15:restartNumberingAfterBreak="0">
    <w:nsid w:val="67C40A77"/>
    <w:multiLevelType w:val="hybridMultilevel"/>
    <w:tmpl w:val="40242490"/>
    <w:lvl w:ilvl="0" w:tplc="1E7266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1921DE"/>
    <w:multiLevelType w:val="hybridMultilevel"/>
    <w:tmpl w:val="05C00962"/>
    <w:lvl w:ilvl="0" w:tplc="6F5C8CEA">
      <w:start w:val="1"/>
      <w:numFmt w:val="lowerLetter"/>
      <w:lvlText w:val="%1."/>
      <w:lvlJc w:val="left"/>
      <w:pPr>
        <w:ind w:left="720" w:hanging="360"/>
      </w:pPr>
    </w:lvl>
    <w:lvl w:ilvl="1" w:tplc="98E285B2" w:tentative="1">
      <w:start w:val="1"/>
      <w:numFmt w:val="lowerLetter"/>
      <w:lvlText w:val="%2."/>
      <w:lvlJc w:val="left"/>
      <w:pPr>
        <w:ind w:left="1440" w:hanging="360"/>
      </w:pPr>
    </w:lvl>
    <w:lvl w:ilvl="2" w:tplc="7BE21124" w:tentative="1">
      <w:start w:val="1"/>
      <w:numFmt w:val="lowerRoman"/>
      <w:lvlText w:val="%3."/>
      <w:lvlJc w:val="right"/>
      <w:pPr>
        <w:ind w:left="2160" w:hanging="180"/>
      </w:pPr>
    </w:lvl>
    <w:lvl w:ilvl="3" w:tplc="10D070EC" w:tentative="1">
      <w:start w:val="1"/>
      <w:numFmt w:val="decimal"/>
      <w:lvlText w:val="%4."/>
      <w:lvlJc w:val="left"/>
      <w:pPr>
        <w:ind w:left="2880" w:hanging="360"/>
      </w:pPr>
    </w:lvl>
    <w:lvl w:ilvl="4" w:tplc="99168540" w:tentative="1">
      <w:start w:val="1"/>
      <w:numFmt w:val="lowerLetter"/>
      <w:lvlText w:val="%5."/>
      <w:lvlJc w:val="left"/>
      <w:pPr>
        <w:ind w:left="3600" w:hanging="360"/>
      </w:pPr>
    </w:lvl>
    <w:lvl w:ilvl="5" w:tplc="83EA1172" w:tentative="1">
      <w:start w:val="1"/>
      <w:numFmt w:val="lowerRoman"/>
      <w:lvlText w:val="%6."/>
      <w:lvlJc w:val="right"/>
      <w:pPr>
        <w:ind w:left="4320" w:hanging="180"/>
      </w:pPr>
    </w:lvl>
    <w:lvl w:ilvl="6" w:tplc="A052DF58" w:tentative="1">
      <w:start w:val="1"/>
      <w:numFmt w:val="decimal"/>
      <w:lvlText w:val="%7."/>
      <w:lvlJc w:val="left"/>
      <w:pPr>
        <w:ind w:left="5040" w:hanging="360"/>
      </w:pPr>
    </w:lvl>
    <w:lvl w:ilvl="7" w:tplc="B4F6B0BE" w:tentative="1">
      <w:start w:val="1"/>
      <w:numFmt w:val="lowerLetter"/>
      <w:lvlText w:val="%8."/>
      <w:lvlJc w:val="left"/>
      <w:pPr>
        <w:ind w:left="5760" w:hanging="360"/>
      </w:pPr>
    </w:lvl>
    <w:lvl w:ilvl="8" w:tplc="12ACBF7E" w:tentative="1">
      <w:start w:val="1"/>
      <w:numFmt w:val="lowerRoman"/>
      <w:lvlText w:val="%9."/>
      <w:lvlJc w:val="right"/>
      <w:pPr>
        <w:ind w:left="6480" w:hanging="180"/>
      </w:pPr>
    </w:lvl>
  </w:abstractNum>
  <w:num w:numId="1">
    <w:abstractNumId w:val="20"/>
  </w:num>
  <w:num w:numId="2">
    <w:abstractNumId w:val="11"/>
  </w:num>
  <w:num w:numId="3">
    <w:abstractNumId w:val="1"/>
  </w:num>
  <w:num w:numId="4">
    <w:abstractNumId w:val="12"/>
  </w:num>
  <w:num w:numId="5">
    <w:abstractNumId w:val="19"/>
  </w:num>
  <w:num w:numId="6">
    <w:abstractNumId w:val="13"/>
  </w:num>
  <w:num w:numId="7">
    <w:abstractNumId w:val="18"/>
  </w:num>
  <w:num w:numId="8">
    <w:abstractNumId w:val="8"/>
  </w:num>
  <w:num w:numId="9">
    <w:abstractNumId w:val="14"/>
  </w:num>
  <w:num w:numId="10">
    <w:abstractNumId w:val="22"/>
  </w:num>
  <w:num w:numId="11">
    <w:abstractNumId w:val="17"/>
  </w:num>
  <w:num w:numId="12">
    <w:abstractNumId w:val="5"/>
  </w:num>
  <w:num w:numId="13">
    <w:abstractNumId w:val="16"/>
  </w:num>
  <w:num w:numId="14">
    <w:abstractNumId w:val="0"/>
  </w:num>
  <w:num w:numId="15">
    <w:abstractNumId w:val="4"/>
  </w:num>
  <w:num w:numId="16">
    <w:abstractNumId w:val="6"/>
  </w:num>
  <w:num w:numId="17">
    <w:abstractNumId w:val="7"/>
  </w:num>
  <w:num w:numId="18">
    <w:abstractNumId w:val="9"/>
  </w:num>
  <w:num w:numId="19">
    <w:abstractNumId w:val="21"/>
  </w:num>
  <w:num w:numId="20">
    <w:abstractNumId w:val="15"/>
  </w:num>
  <w:num w:numId="21">
    <w:abstractNumId w:val="2"/>
  </w:num>
  <w:num w:numId="22">
    <w:abstractNumId w:val="10"/>
  </w:num>
  <w:num w:numId="2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06B4B"/>
    <w:rsid w:val="00006F89"/>
    <w:rsid w:val="00013EDB"/>
    <w:rsid w:val="00014168"/>
    <w:rsid w:val="000146C8"/>
    <w:rsid w:val="00014A99"/>
    <w:rsid w:val="00017A16"/>
    <w:rsid w:val="0002174F"/>
    <w:rsid w:val="000255D9"/>
    <w:rsid w:val="00026077"/>
    <w:rsid w:val="00026E09"/>
    <w:rsid w:val="000276B1"/>
    <w:rsid w:val="000279EE"/>
    <w:rsid w:val="000355B3"/>
    <w:rsid w:val="00037CE0"/>
    <w:rsid w:val="00045331"/>
    <w:rsid w:val="0004699B"/>
    <w:rsid w:val="00053929"/>
    <w:rsid w:val="00053DF1"/>
    <w:rsid w:val="000548D1"/>
    <w:rsid w:val="00061FA1"/>
    <w:rsid w:val="00062029"/>
    <w:rsid w:val="00065BBF"/>
    <w:rsid w:val="0007070B"/>
    <w:rsid w:val="00070EC5"/>
    <w:rsid w:val="0007221F"/>
    <w:rsid w:val="000728D3"/>
    <w:rsid w:val="00073A39"/>
    <w:rsid w:val="00073B21"/>
    <w:rsid w:val="00074DE8"/>
    <w:rsid w:val="00085A29"/>
    <w:rsid w:val="00091847"/>
    <w:rsid w:val="000928F7"/>
    <w:rsid w:val="0009297E"/>
    <w:rsid w:val="00094794"/>
    <w:rsid w:val="00095994"/>
    <w:rsid w:val="000A0C7D"/>
    <w:rsid w:val="000A15F3"/>
    <w:rsid w:val="000A2600"/>
    <w:rsid w:val="000A3228"/>
    <w:rsid w:val="000A3E3E"/>
    <w:rsid w:val="000A5D69"/>
    <w:rsid w:val="000B0220"/>
    <w:rsid w:val="000B0E69"/>
    <w:rsid w:val="000B2532"/>
    <w:rsid w:val="000B3EC6"/>
    <w:rsid w:val="000C165B"/>
    <w:rsid w:val="000C2489"/>
    <w:rsid w:val="000C4A48"/>
    <w:rsid w:val="000C4EFE"/>
    <w:rsid w:val="000C5B09"/>
    <w:rsid w:val="000C7041"/>
    <w:rsid w:val="000C71B2"/>
    <w:rsid w:val="000D4075"/>
    <w:rsid w:val="000D5C76"/>
    <w:rsid w:val="000D6EA3"/>
    <w:rsid w:val="000E09A3"/>
    <w:rsid w:val="000E2FA0"/>
    <w:rsid w:val="000E2FE4"/>
    <w:rsid w:val="000E3498"/>
    <w:rsid w:val="000E47E9"/>
    <w:rsid w:val="000E6547"/>
    <w:rsid w:val="000E7248"/>
    <w:rsid w:val="000F310B"/>
    <w:rsid w:val="000F5130"/>
    <w:rsid w:val="000F766A"/>
    <w:rsid w:val="00100997"/>
    <w:rsid w:val="00113B59"/>
    <w:rsid w:val="001155A7"/>
    <w:rsid w:val="001163C4"/>
    <w:rsid w:val="00120684"/>
    <w:rsid w:val="0012096C"/>
    <w:rsid w:val="0012171B"/>
    <w:rsid w:val="001232EE"/>
    <w:rsid w:val="00125014"/>
    <w:rsid w:val="001264E2"/>
    <w:rsid w:val="00127828"/>
    <w:rsid w:val="0013422F"/>
    <w:rsid w:val="00134547"/>
    <w:rsid w:val="00142825"/>
    <w:rsid w:val="0014546C"/>
    <w:rsid w:val="0015078F"/>
    <w:rsid w:val="00155954"/>
    <w:rsid w:val="001603B9"/>
    <w:rsid w:val="001603CA"/>
    <w:rsid w:val="00161BDA"/>
    <w:rsid w:val="00165D9E"/>
    <w:rsid w:val="00170ACA"/>
    <w:rsid w:val="00171618"/>
    <w:rsid w:val="00171B44"/>
    <w:rsid w:val="001801F7"/>
    <w:rsid w:val="00180336"/>
    <w:rsid w:val="001819B1"/>
    <w:rsid w:val="00185D0F"/>
    <w:rsid w:val="00187E6D"/>
    <w:rsid w:val="00190133"/>
    <w:rsid w:val="00195FF2"/>
    <w:rsid w:val="001A2D10"/>
    <w:rsid w:val="001A5E96"/>
    <w:rsid w:val="001B2553"/>
    <w:rsid w:val="001B5844"/>
    <w:rsid w:val="001C19BA"/>
    <w:rsid w:val="001C20B9"/>
    <w:rsid w:val="001C5CEA"/>
    <w:rsid w:val="001C5E41"/>
    <w:rsid w:val="001C6A70"/>
    <w:rsid w:val="001C77BC"/>
    <w:rsid w:val="001D0F3E"/>
    <w:rsid w:val="001D243A"/>
    <w:rsid w:val="001D48BB"/>
    <w:rsid w:val="001D6606"/>
    <w:rsid w:val="001E00E3"/>
    <w:rsid w:val="001E315F"/>
    <w:rsid w:val="001E3B21"/>
    <w:rsid w:val="001E60A5"/>
    <w:rsid w:val="001F1506"/>
    <w:rsid w:val="001F2349"/>
    <w:rsid w:val="002005D2"/>
    <w:rsid w:val="0020298B"/>
    <w:rsid w:val="002030A1"/>
    <w:rsid w:val="002040FC"/>
    <w:rsid w:val="00205622"/>
    <w:rsid w:val="00206111"/>
    <w:rsid w:val="002114FC"/>
    <w:rsid w:val="002137E0"/>
    <w:rsid w:val="00214374"/>
    <w:rsid w:val="00215DAF"/>
    <w:rsid w:val="00217015"/>
    <w:rsid w:val="002203CE"/>
    <w:rsid w:val="00223263"/>
    <w:rsid w:val="00224254"/>
    <w:rsid w:val="00224E93"/>
    <w:rsid w:val="002311E1"/>
    <w:rsid w:val="00234EDF"/>
    <w:rsid w:val="00243419"/>
    <w:rsid w:val="00246211"/>
    <w:rsid w:val="00247AE7"/>
    <w:rsid w:val="00251389"/>
    <w:rsid w:val="002513CB"/>
    <w:rsid w:val="00252DD9"/>
    <w:rsid w:val="00255991"/>
    <w:rsid w:val="002656ED"/>
    <w:rsid w:val="002741AC"/>
    <w:rsid w:val="00275F13"/>
    <w:rsid w:val="002819C0"/>
    <w:rsid w:val="00282A6C"/>
    <w:rsid w:val="00285376"/>
    <w:rsid w:val="00292391"/>
    <w:rsid w:val="002930A6"/>
    <w:rsid w:val="00293919"/>
    <w:rsid w:val="002942F9"/>
    <w:rsid w:val="00295556"/>
    <w:rsid w:val="00295BB5"/>
    <w:rsid w:val="0029646B"/>
    <w:rsid w:val="002967BE"/>
    <w:rsid w:val="002A5A4D"/>
    <w:rsid w:val="002A6AB8"/>
    <w:rsid w:val="002B26BD"/>
    <w:rsid w:val="002B4262"/>
    <w:rsid w:val="002B6506"/>
    <w:rsid w:val="002C219F"/>
    <w:rsid w:val="002C261A"/>
    <w:rsid w:val="002C2926"/>
    <w:rsid w:val="002C4120"/>
    <w:rsid w:val="002C6869"/>
    <w:rsid w:val="002D0A6F"/>
    <w:rsid w:val="002D1A80"/>
    <w:rsid w:val="002D1B7F"/>
    <w:rsid w:val="002D211D"/>
    <w:rsid w:val="002D27FE"/>
    <w:rsid w:val="002D5A4D"/>
    <w:rsid w:val="002E0A85"/>
    <w:rsid w:val="002E0FE8"/>
    <w:rsid w:val="002E22A0"/>
    <w:rsid w:val="002E22AF"/>
    <w:rsid w:val="002E691B"/>
    <w:rsid w:val="002F1162"/>
    <w:rsid w:val="002F1B9E"/>
    <w:rsid w:val="002F2FD5"/>
    <w:rsid w:val="002F36F5"/>
    <w:rsid w:val="002F56EB"/>
    <w:rsid w:val="002F6155"/>
    <w:rsid w:val="002F738A"/>
    <w:rsid w:val="002F757C"/>
    <w:rsid w:val="00307FEE"/>
    <w:rsid w:val="00310627"/>
    <w:rsid w:val="0032316C"/>
    <w:rsid w:val="00323DA5"/>
    <w:rsid w:val="00324398"/>
    <w:rsid w:val="00325293"/>
    <w:rsid w:val="0032675E"/>
    <w:rsid w:val="0033551F"/>
    <w:rsid w:val="0033757A"/>
    <w:rsid w:val="00340771"/>
    <w:rsid w:val="00343353"/>
    <w:rsid w:val="00346D55"/>
    <w:rsid w:val="003474A8"/>
    <w:rsid w:val="003476E2"/>
    <w:rsid w:val="00350212"/>
    <w:rsid w:val="00351F46"/>
    <w:rsid w:val="00352EFE"/>
    <w:rsid w:val="0035473A"/>
    <w:rsid w:val="00360D50"/>
    <w:rsid w:val="003612BE"/>
    <w:rsid w:val="00365440"/>
    <w:rsid w:val="00371BB6"/>
    <w:rsid w:val="00372083"/>
    <w:rsid w:val="00375AFB"/>
    <w:rsid w:val="0038187A"/>
    <w:rsid w:val="00384FC3"/>
    <w:rsid w:val="0038615B"/>
    <w:rsid w:val="003861D9"/>
    <w:rsid w:val="003863E1"/>
    <w:rsid w:val="003923C0"/>
    <w:rsid w:val="0039311C"/>
    <w:rsid w:val="0039556A"/>
    <w:rsid w:val="00396EC9"/>
    <w:rsid w:val="003A3804"/>
    <w:rsid w:val="003A3A58"/>
    <w:rsid w:val="003A52BE"/>
    <w:rsid w:val="003A5866"/>
    <w:rsid w:val="003A5FB5"/>
    <w:rsid w:val="003A6E9F"/>
    <w:rsid w:val="003A71CC"/>
    <w:rsid w:val="003C2D9F"/>
    <w:rsid w:val="003C5254"/>
    <w:rsid w:val="003C6F24"/>
    <w:rsid w:val="003D2EF2"/>
    <w:rsid w:val="003D4CD6"/>
    <w:rsid w:val="003E2588"/>
    <w:rsid w:val="003E27DA"/>
    <w:rsid w:val="003E5317"/>
    <w:rsid w:val="003E613D"/>
    <w:rsid w:val="003E61FD"/>
    <w:rsid w:val="003E6FC2"/>
    <w:rsid w:val="003F2DEF"/>
    <w:rsid w:val="003F4C1B"/>
    <w:rsid w:val="00400F34"/>
    <w:rsid w:val="004063BA"/>
    <w:rsid w:val="0040748D"/>
    <w:rsid w:val="00415C75"/>
    <w:rsid w:val="00420F85"/>
    <w:rsid w:val="004212BF"/>
    <w:rsid w:val="004228C7"/>
    <w:rsid w:val="00423C59"/>
    <w:rsid w:val="0042798B"/>
    <w:rsid w:val="00434913"/>
    <w:rsid w:val="00440686"/>
    <w:rsid w:val="00440B4E"/>
    <w:rsid w:val="00441B2B"/>
    <w:rsid w:val="00441FE0"/>
    <w:rsid w:val="00445EBA"/>
    <w:rsid w:val="00447433"/>
    <w:rsid w:val="004474F8"/>
    <w:rsid w:val="0045325D"/>
    <w:rsid w:val="00453B60"/>
    <w:rsid w:val="004629B7"/>
    <w:rsid w:val="00465E25"/>
    <w:rsid w:val="00477550"/>
    <w:rsid w:val="00477E90"/>
    <w:rsid w:val="00483FB6"/>
    <w:rsid w:val="004844A8"/>
    <w:rsid w:val="0048574C"/>
    <w:rsid w:val="00496803"/>
    <w:rsid w:val="004A3741"/>
    <w:rsid w:val="004A409E"/>
    <w:rsid w:val="004A69BA"/>
    <w:rsid w:val="004B2171"/>
    <w:rsid w:val="004B2D8D"/>
    <w:rsid w:val="004B6510"/>
    <w:rsid w:val="004B6688"/>
    <w:rsid w:val="004B6B9E"/>
    <w:rsid w:val="004C01FD"/>
    <w:rsid w:val="004C089D"/>
    <w:rsid w:val="004C0E62"/>
    <w:rsid w:val="004C423F"/>
    <w:rsid w:val="004C6DE7"/>
    <w:rsid w:val="004D39F1"/>
    <w:rsid w:val="004E0A84"/>
    <w:rsid w:val="004E33E2"/>
    <w:rsid w:val="004F168D"/>
    <w:rsid w:val="004F173B"/>
    <w:rsid w:val="004F43E0"/>
    <w:rsid w:val="004F56D9"/>
    <w:rsid w:val="004F6363"/>
    <w:rsid w:val="004F68E9"/>
    <w:rsid w:val="004F7B62"/>
    <w:rsid w:val="00500E25"/>
    <w:rsid w:val="005015A8"/>
    <w:rsid w:val="0051172C"/>
    <w:rsid w:val="00511D20"/>
    <w:rsid w:val="0051301D"/>
    <w:rsid w:val="00516305"/>
    <w:rsid w:val="005163A3"/>
    <w:rsid w:val="0051775F"/>
    <w:rsid w:val="00521B60"/>
    <w:rsid w:val="00522BC7"/>
    <w:rsid w:val="005244A4"/>
    <w:rsid w:val="005244C2"/>
    <w:rsid w:val="00526404"/>
    <w:rsid w:val="00527783"/>
    <w:rsid w:val="00530490"/>
    <w:rsid w:val="00533F37"/>
    <w:rsid w:val="00534BAC"/>
    <w:rsid w:val="00535FD2"/>
    <w:rsid w:val="005410C9"/>
    <w:rsid w:val="0054133E"/>
    <w:rsid w:val="005450F6"/>
    <w:rsid w:val="00546DEE"/>
    <w:rsid w:val="005610FB"/>
    <w:rsid w:val="00562DBE"/>
    <w:rsid w:val="0056314F"/>
    <w:rsid w:val="0057392D"/>
    <w:rsid w:val="00573B83"/>
    <w:rsid w:val="0057544E"/>
    <w:rsid w:val="00576931"/>
    <w:rsid w:val="005814B5"/>
    <w:rsid w:val="00582775"/>
    <w:rsid w:val="00585009"/>
    <w:rsid w:val="005870CC"/>
    <w:rsid w:val="00590835"/>
    <w:rsid w:val="00591094"/>
    <w:rsid w:val="005948A7"/>
    <w:rsid w:val="00597BA1"/>
    <w:rsid w:val="005A5DDC"/>
    <w:rsid w:val="005B2948"/>
    <w:rsid w:val="005B3026"/>
    <w:rsid w:val="005C49AB"/>
    <w:rsid w:val="005C6980"/>
    <w:rsid w:val="005C7FD9"/>
    <w:rsid w:val="005D2B35"/>
    <w:rsid w:val="005D3DEE"/>
    <w:rsid w:val="005D3E9D"/>
    <w:rsid w:val="005F0080"/>
    <w:rsid w:val="005F1AAC"/>
    <w:rsid w:val="005F3662"/>
    <w:rsid w:val="005F58B7"/>
    <w:rsid w:val="005F5D95"/>
    <w:rsid w:val="005F65D3"/>
    <w:rsid w:val="006012AC"/>
    <w:rsid w:val="00602C9B"/>
    <w:rsid w:val="00603189"/>
    <w:rsid w:val="0060657C"/>
    <w:rsid w:val="006153F8"/>
    <w:rsid w:val="006227CB"/>
    <w:rsid w:val="006232F7"/>
    <w:rsid w:val="00624073"/>
    <w:rsid w:val="006256D3"/>
    <w:rsid w:val="00626884"/>
    <w:rsid w:val="00627BB7"/>
    <w:rsid w:val="00631810"/>
    <w:rsid w:val="00632704"/>
    <w:rsid w:val="00637A42"/>
    <w:rsid w:val="00643661"/>
    <w:rsid w:val="00644A13"/>
    <w:rsid w:val="00644CDD"/>
    <w:rsid w:val="006450BD"/>
    <w:rsid w:val="006471FA"/>
    <w:rsid w:val="00647229"/>
    <w:rsid w:val="00647E73"/>
    <w:rsid w:val="00647F7A"/>
    <w:rsid w:val="0065136E"/>
    <w:rsid w:val="0066479C"/>
    <w:rsid w:val="0066534B"/>
    <w:rsid w:val="0067067A"/>
    <w:rsid w:val="00670D71"/>
    <w:rsid w:val="006714A3"/>
    <w:rsid w:val="006906CC"/>
    <w:rsid w:val="00697189"/>
    <w:rsid w:val="006A3988"/>
    <w:rsid w:val="006A4507"/>
    <w:rsid w:val="006A7BB3"/>
    <w:rsid w:val="006C700A"/>
    <w:rsid w:val="006C7279"/>
    <w:rsid w:val="006C7EE1"/>
    <w:rsid w:val="006D16A4"/>
    <w:rsid w:val="006D465E"/>
    <w:rsid w:val="006D5E6F"/>
    <w:rsid w:val="006E01CE"/>
    <w:rsid w:val="006E1332"/>
    <w:rsid w:val="006E2239"/>
    <w:rsid w:val="006E7DCE"/>
    <w:rsid w:val="006F33CC"/>
    <w:rsid w:val="00700EC2"/>
    <w:rsid w:val="00704449"/>
    <w:rsid w:val="007050FF"/>
    <w:rsid w:val="00706F12"/>
    <w:rsid w:val="00710F19"/>
    <w:rsid w:val="00714AB7"/>
    <w:rsid w:val="00722C1D"/>
    <w:rsid w:val="00723155"/>
    <w:rsid w:val="00724161"/>
    <w:rsid w:val="00725952"/>
    <w:rsid w:val="0073189A"/>
    <w:rsid w:val="00733AFD"/>
    <w:rsid w:val="0073651B"/>
    <w:rsid w:val="00741120"/>
    <w:rsid w:val="00745514"/>
    <w:rsid w:val="00746DB9"/>
    <w:rsid w:val="007511E2"/>
    <w:rsid w:val="0075212A"/>
    <w:rsid w:val="00752764"/>
    <w:rsid w:val="007607E1"/>
    <w:rsid w:val="00760B39"/>
    <w:rsid w:val="00763D7F"/>
    <w:rsid w:val="00766962"/>
    <w:rsid w:val="00767040"/>
    <w:rsid w:val="007712CA"/>
    <w:rsid w:val="0077288E"/>
    <w:rsid w:val="007731A6"/>
    <w:rsid w:val="00775287"/>
    <w:rsid w:val="00776612"/>
    <w:rsid w:val="0078217C"/>
    <w:rsid w:val="007832FF"/>
    <w:rsid w:val="007839B1"/>
    <w:rsid w:val="0079041E"/>
    <w:rsid w:val="0079081D"/>
    <w:rsid w:val="0079095F"/>
    <w:rsid w:val="00790A65"/>
    <w:rsid w:val="0079242A"/>
    <w:rsid w:val="007A28D0"/>
    <w:rsid w:val="007A3180"/>
    <w:rsid w:val="007A6A48"/>
    <w:rsid w:val="007A6E19"/>
    <w:rsid w:val="007B06A0"/>
    <w:rsid w:val="007B23D5"/>
    <w:rsid w:val="007B25EA"/>
    <w:rsid w:val="007B4C71"/>
    <w:rsid w:val="007B668F"/>
    <w:rsid w:val="007B6D26"/>
    <w:rsid w:val="007C15CE"/>
    <w:rsid w:val="007C4430"/>
    <w:rsid w:val="007D1DDF"/>
    <w:rsid w:val="007D33F4"/>
    <w:rsid w:val="007D5D07"/>
    <w:rsid w:val="007D760F"/>
    <w:rsid w:val="007E135E"/>
    <w:rsid w:val="007E44ED"/>
    <w:rsid w:val="007E47DA"/>
    <w:rsid w:val="007F0F45"/>
    <w:rsid w:val="007F2852"/>
    <w:rsid w:val="007F32C0"/>
    <w:rsid w:val="007F3ABE"/>
    <w:rsid w:val="007F59EA"/>
    <w:rsid w:val="00801A13"/>
    <w:rsid w:val="008055E6"/>
    <w:rsid w:val="00807F74"/>
    <w:rsid w:val="008119F7"/>
    <w:rsid w:val="008122DA"/>
    <w:rsid w:val="00814334"/>
    <w:rsid w:val="008155A5"/>
    <w:rsid w:val="00822790"/>
    <w:rsid w:val="00825CCD"/>
    <w:rsid w:val="00825EAE"/>
    <w:rsid w:val="0082606E"/>
    <w:rsid w:val="00831A2F"/>
    <w:rsid w:val="008328E9"/>
    <w:rsid w:val="008352A8"/>
    <w:rsid w:val="00835BCB"/>
    <w:rsid w:val="00835CDC"/>
    <w:rsid w:val="00837599"/>
    <w:rsid w:val="00841C81"/>
    <w:rsid w:val="00844FD7"/>
    <w:rsid w:val="00850501"/>
    <w:rsid w:val="00850B09"/>
    <w:rsid w:val="00852594"/>
    <w:rsid w:val="00853240"/>
    <w:rsid w:val="00857746"/>
    <w:rsid w:val="00860AAE"/>
    <w:rsid w:val="00861060"/>
    <w:rsid w:val="00862D24"/>
    <w:rsid w:val="00863204"/>
    <w:rsid w:val="00863B9D"/>
    <w:rsid w:val="00863BE6"/>
    <w:rsid w:val="00867304"/>
    <w:rsid w:val="008705D2"/>
    <w:rsid w:val="008712A6"/>
    <w:rsid w:val="008728CC"/>
    <w:rsid w:val="008775BC"/>
    <w:rsid w:val="00877B9A"/>
    <w:rsid w:val="00881917"/>
    <w:rsid w:val="00882F1B"/>
    <w:rsid w:val="00883288"/>
    <w:rsid w:val="0088387F"/>
    <w:rsid w:val="00884231"/>
    <w:rsid w:val="0088672D"/>
    <w:rsid w:val="00893E3B"/>
    <w:rsid w:val="00897B83"/>
    <w:rsid w:val="008A2530"/>
    <w:rsid w:val="008A53CA"/>
    <w:rsid w:val="008A694E"/>
    <w:rsid w:val="008A70CE"/>
    <w:rsid w:val="008B0784"/>
    <w:rsid w:val="008B382D"/>
    <w:rsid w:val="008C25E4"/>
    <w:rsid w:val="008C2DAE"/>
    <w:rsid w:val="008C466F"/>
    <w:rsid w:val="008C59EB"/>
    <w:rsid w:val="008D27A5"/>
    <w:rsid w:val="008D715D"/>
    <w:rsid w:val="008D716C"/>
    <w:rsid w:val="008D7F21"/>
    <w:rsid w:val="008E025F"/>
    <w:rsid w:val="008E74E7"/>
    <w:rsid w:val="008E7E12"/>
    <w:rsid w:val="008F0951"/>
    <w:rsid w:val="008F211B"/>
    <w:rsid w:val="008F3358"/>
    <w:rsid w:val="008F6A50"/>
    <w:rsid w:val="008F79B0"/>
    <w:rsid w:val="009018C4"/>
    <w:rsid w:val="009059A9"/>
    <w:rsid w:val="00905FFC"/>
    <w:rsid w:val="0090617C"/>
    <w:rsid w:val="00913505"/>
    <w:rsid w:val="00914DE6"/>
    <w:rsid w:val="0091520A"/>
    <w:rsid w:val="00916E99"/>
    <w:rsid w:val="00921972"/>
    <w:rsid w:val="009227A6"/>
    <w:rsid w:val="0092327E"/>
    <w:rsid w:val="0092515E"/>
    <w:rsid w:val="00933F2E"/>
    <w:rsid w:val="00936CF6"/>
    <w:rsid w:val="0093703F"/>
    <w:rsid w:val="00937DFB"/>
    <w:rsid w:val="00940781"/>
    <w:rsid w:val="00942FBD"/>
    <w:rsid w:val="00943DB9"/>
    <w:rsid w:val="00945C73"/>
    <w:rsid w:val="009460DB"/>
    <w:rsid w:val="0094770B"/>
    <w:rsid w:val="00950BF7"/>
    <w:rsid w:val="0095590A"/>
    <w:rsid w:val="00957D25"/>
    <w:rsid w:val="00957D3A"/>
    <w:rsid w:val="009614E6"/>
    <w:rsid w:val="00961D40"/>
    <w:rsid w:val="00962C6F"/>
    <w:rsid w:val="009670AC"/>
    <w:rsid w:val="009729A7"/>
    <w:rsid w:val="0097575D"/>
    <w:rsid w:val="0097683D"/>
    <w:rsid w:val="0097776B"/>
    <w:rsid w:val="00977B6A"/>
    <w:rsid w:val="00981284"/>
    <w:rsid w:val="0098168E"/>
    <w:rsid w:val="009837E7"/>
    <w:rsid w:val="009856AF"/>
    <w:rsid w:val="00986AE6"/>
    <w:rsid w:val="00990323"/>
    <w:rsid w:val="00992403"/>
    <w:rsid w:val="009979C9"/>
    <w:rsid w:val="009A1374"/>
    <w:rsid w:val="009A6C40"/>
    <w:rsid w:val="009B128A"/>
    <w:rsid w:val="009B1AB5"/>
    <w:rsid w:val="009B2267"/>
    <w:rsid w:val="009B6123"/>
    <w:rsid w:val="009B71A8"/>
    <w:rsid w:val="009C37B8"/>
    <w:rsid w:val="009C74A7"/>
    <w:rsid w:val="009C79BE"/>
    <w:rsid w:val="009D19DA"/>
    <w:rsid w:val="009D2A9C"/>
    <w:rsid w:val="009D3E39"/>
    <w:rsid w:val="009D4072"/>
    <w:rsid w:val="009E093E"/>
    <w:rsid w:val="009E0AE8"/>
    <w:rsid w:val="009E28A0"/>
    <w:rsid w:val="009E5374"/>
    <w:rsid w:val="009F1393"/>
    <w:rsid w:val="009F345D"/>
    <w:rsid w:val="009F6A97"/>
    <w:rsid w:val="00A02B42"/>
    <w:rsid w:val="00A11097"/>
    <w:rsid w:val="00A12600"/>
    <w:rsid w:val="00A13218"/>
    <w:rsid w:val="00A14222"/>
    <w:rsid w:val="00A209CC"/>
    <w:rsid w:val="00A227A3"/>
    <w:rsid w:val="00A22EB9"/>
    <w:rsid w:val="00A255E8"/>
    <w:rsid w:val="00A25CD8"/>
    <w:rsid w:val="00A3211F"/>
    <w:rsid w:val="00A35666"/>
    <w:rsid w:val="00A35E9E"/>
    <w:rsid w:val="00A37EC1"/>
    <w:rsid w:val="00A425AC"/>
    <w:rsid w:val="00A431E1"/>
    <w:rsid w:val="00A43B37"/>
    <w:rsid w:val="00A47C30"/>
    <w:rsid w:val="00A47C94"/>
    <w:rsid w:val="00A52A68"/>
    <w:rsid w:val="00A5496C"/>
    <w:rsid w:val="00A60B73"/>
    <w:rsid w:val="00A613D6"/>
    <w:rsid w:val="00A637B6"/>
    <w:rsid w:val="00A64AF0"/>
    <w:rsid w:val="00A67C25"/>
    <w:rsid w:val="00A70712"/>
    <w:rsid w:val="00A7352D"/>
    <w:rsid w:val="00A778D7"/>
    <w:rsid w:val="00A7792F"/>
    <w:rsid w:val="00A77F8A"/>
    <w:rsid w:val="00A80080"/>
    <w:rsid w:val="00A83411"/>
    <w:rsid w:val="00A8498C"/>
    <w:rsid w:val="00A867E5"/>
    <w:rsid w:val="00A95A4D"/>
    <w:rsid w:val="00A966DC"/>
    <w:rsid w:val="00AA02D4"/>
    <w:rsid w:val="00AA03C2"/>
    <w:rsid w:val="00AA4B08"/>
    <w:rsid w:val="00AB0DE9"/>
    <w:rsid w:val="00AB13ED"/>
    <w:rsid w:val="00AB24A9"/>
    <w:rsid w:val="00AB4951"/>
    <w:rsid w:val="00AB4BE0"/>
    <w:rsid w:val="00AB5F8D"/>
    <w:rsid w:val="00AB7531"/>
    <w:rsid w:val="00AB7935"/>
    <w:rsid w:val="00AB7E7D"/>
    <w:rsid w:val="00AC0B05"/>
    <w:rsid w:val="00AC1DDC"/>
    <w:rsid w:val="00AC5DC7"/>
    <w:rsid w:val="00AD0755"/>
    <w:rsid w:val="00AD539F"/>
    <w:rsid w:val="00AD7337"/>
    <w:rsid w:val="00AD73A1"/>
    <w:rsid w:val="00AE22CD"/>
    <w:rsid w:val="00AE2647"/>
    <w:rsid w:val="00AE3A61"/>
    <w:rsid w:val="00AE5631"/>
    <w:rsid w:val="00AE7CFF"/>
    <w:rsid w:val="00AF2577"/>
    <w:rsid w:val="00AF2CA1"/>
    <w:rsid w:val="00AF4D20"/>
    <w:rsid w:val="00AF6404"/>
    <w:rsid w:val="00AF7357"/>
    <w:rsid w:val="00B02F8B"/>
    <w:rsid w:val="00B0386B"/>
    <w:rsid w:val="00B039F6"/>
    <w:rsid w:val="00B03B7F"/>
    <w:rsid w:val="00B14358"/>
    <w:rsid w:val="00B15A60"/>
    <w:rsid w:val="00B210E9"/>
    <w:rsid w:val="00B23274"/>
    <w:rsid w:val="00B26696"/>
    <w:rsid w:val="00B315A0"/>
    <w:rsid w:val="00B34A18"/>
    <w:rsid w:val="00B36C02"/>
    <w:rsid w:val="00B420C9"/>
    <w:rsid w:val="00B468CE"/>
    <w:rsid w:val="00B46B68"/>
    <w:rsid w:val="00B501BB"/>
    <w:rsid w:val="00B510CB"/>
    <w:rsid w:val="00B532F0"/>
    <w:rsid w:val="00B53EC3"/>
    <w:rsid w:val="00B5497F"/>
    <w:rsid w:val="00B56B49"/>
    <w:rsid w:val="00B579CB"/>
    <w:rsid w:val="00B605D1"/>
    <w:rsid w:val="00B626CD"/>
    <w:rsid w:val="00B637B9"/>
    <w:rsid w:val="00B65D72"/>
    <w:rsid w:val="00B664E7"/>
    <w:rsid w:val="00B70083"/>
    <w:rsid w:val="00B7019F"/>
    <w:rsid w:val="00B703A4"/>
    <w:rsid w:val="00B72913"/>
    <w:rsid w:val="00B757F8"/>
    <w:rsid w:val="00B75CD7"/>
    <w:rsid w:val="00B83EF9"/>
    <w:rsid w:val="00B86363"/>
    <w:rsid w:val="00B86ACE"/>
    <w:rsid w:val="00B87EB1"/>
    <w:rsid w:val="00B935B2"/>
    <w:rsid w:val="00BA0035"/>
    <w:rsid w:val="00BA66E2"/>
    <w:rsid w:val="00BB108F"/>
    <w:rsid w:val="00BB2011"/>
    <w:rsid w:val="00BB28F6"/>
    <w:rsid w:val="00BC1044"/>
    <w:rsid w:val="00BC2609"/>
    <w:rsid w:val="00BC3692"/>
    <w:rsid w:val="00BC51C9"/>
    <w:rsid w:val="00BC5783"/>
    <w:rsid w:val="00BD044A"/>
    <w:rsid w:val="00BD11E7"/>
    <w:rsid w:val="00BD3797"/>
    <w:rsid w:val="00BD4FD4"/>
    <w:rsid w:val="00BE1D64"/>
    <w:rsid w:val="00BE2535"/>
    <w:rsid w:val="00BE3101"/>
    <w:rsid w:val="00BE6B49"/>
    <w:rsid w:val="00BF1A39"/>
    <w:rsid w:val="00C00DF5"/>
    <w:rsid w:val="00C0528F"/>
    <w:rsid w:val="00C12E8A"/>
    <w:rsid w:val="00C13145"/>
    <w:rsid w:val="00C1660A"/>
    <w:rsid w:val="00C1734F"/>
    <w:rsid w:val="00C20858"/>
    <w:rsid w:val="00C22FC5"/>
    <w:rsid w:val="00C3462B"/>
    <w:rsid w:val="00C417DD"/>
    <w:rsid w:val="00C450CC"/>
    <w:rsid w:val="00C45525"/>
    <w:rsid w:val="00C519EB"/>
    <w:rsid w:val="00C51C78"/>
    <w:rsid w:val="00C52930"/>
    <w:rsid w:val="00C53A7C"/>
    <w:rsid w:val="00C54848"/>
    <w:rsid w:val="00C573E0"/>
    <w:rsid w:val="00C5791E"/>
    <w:rsid w:val="00C57BD3"/>
    <w:rsid w:val="00C61794"/>
    <w:rsid w:val="00C62745"/>
    <w:rsid w:val="00C679FD"/>
    <w:rsid w:val="00C817CB"/>
    <w:rsid w:val="00C81B5E"/>
    <w:rsid w:val="00C842CB"/>
    <w:rsid w:val="00C87258"/>
    <w:rsid w:val="00C87D53"/>
    <w:rsid w:val="00C90491"/>
    <w:rsid w:val="00C9345E"/>
    <w:rsid w:val="00C939B9"/>
    <w:rsid w:val="00C96A36"/>
    <w:rsid w:val="00C96A9B"/>
    <w:rsid w:val="00CA2A01"/>
    <w:rsid w:val="00CA30CE"/>
    <w:rsid w:val="00CA5E9B"/>
    <w:rsid w:val="00CB01FF"/>
    <w:rsid w:val="00CB0B04"/>
    <w:rsid w:val="00CB2782"/>
    <w:rsid w:val="00CB35D9"/>
    <w:rsid w:val="00CB3FC3"/>
    <w:rsid w:val="00CC19B6"/>
    <w:rsid w:val="00CC2342"/>
    <w:rsid w:val="00CC5C99"/>
    <w:rsid w:val="00CE7257"/>
    <w:rsid w:val="00CE750F"/>
    <w:rsid w:val="00CE7D8E"/>
    <w:rsid w:val="00CF0C08"/>
    <w:rsid w:val="00CF15EA"/>
    <w:rsid w:val="00CF21E1"/>
    <w:rsid w:val="00CF2C9B"/>
    <w:rsid w:val="00D01D35"/>
    <w:rsid w:val="00D02D0C"/>
    <w:rsid w:val="00D05019"/>
    <w:rsid w:val="00D077A0"/>
    <w:rsid w:val="00D154CC"/>
    <w:rsid w:val="00D160CB"/>
    <w:rsid w:val="00D20C19"/>
    <w:rsid w:val="00D245A1"/>
    <w:rsid w:val="00D26183"/>
    <w:rsid w:val="00D27D68"/>
    <w:rsid w:val="00D36608"/>
    <w:rsid w:val="00D40E8F"/>
    <w:rsid w:val="00D415E2"/>
    <w:rsid w:val="00D42055"/>
    <w:rsid w:val="00D4236E"/>
    <w:rsid w:val="00D44CFA"/>
    <w:rsid w:val="00D51185"/>
    <w:rsid w:val="00D52103"/>
    <w:rsid w:val="00D52AF4"/>
    <w:rsid w:val="00D647C3"/>
    <w:rsid w:val="00D66836"/>
    <w:rsid w:val="00D66E77"/>
    <w:rsid w:val="00D70325"/>
    <w:rsid w:val="00D7118E"/>
    <w:rsid w:val="00D712EF"/>
    <w:rsid w:val="00D71AFF"/>
    <w:rsid w:val="00D75F2D"/>
    <w:rsid w:val="00D8148B"/>
    <w:rsid w:val="00D83A79"/>
    <w:rsid w:val="00D90353"/>
    <w:rsid w:val="00D91F58"/>
    <w:rsid w:val="00D9633A"/>
    <w:rsid w:val="00D965BC"/>
    <w:rsid w:val="00D976FA"/>
    <w:rsid w:val="00DA1C9D"/>
    <w:rsid w:val="00DA2A32"/>
    <w:rsid w:val="00DA2FCF"/>
    <w:rsid w:val="00DA47AD"/>
    <w:rsid w:val="00DA4F24"/>
    <w:rsid w:val="00DA61E2"/>
    <w:rsid w:val="00DA6B5A"/>
    <w:rsid w:val="00DA7954"/>
    <w:rsid w:val="00DA7E51"/>
    <w:rsid w:val="00DB046D"/>
    <w:rsid w:val="00DB6E05"/>
    <w:rsid w:val="00DB70E5"/>
    <w:rsid w:val="00DC06BD"/>
    <w:rsid w:val="00DC1970"/>
    <w:rsid w:val="00DC469E"/>
    <w:rsid w:val="00DD0FA1"/>
    <w:rsid w:val="00DD23FA"/>
    <w:rsid w:val="00DD3CC2"/>
    <w:rsid w:val="00DD53C4"/>
    <w:rsid w:val="00DD7045"/>
    <w:rsid w:val="00DD781C"/>
    <w:rsid w:val="00DE10D8"/>
    <w:rsid w:val="00DE225A"/>
    <w:rsid w:val="00DE37AE"/>
    <w:rsid w:val="00DE3825"/>
    <w:rsid w:val="00DF0F68"/>
    <w:rsid w:val="00DF19EA"/>
    <w:rsid w:val="00DF233F"/>
    <w:rsid w:val="00DF2386"/>
    <w:rsid w:val="00DF4895"/>
    <w:rsid w:val="00DF4985"/>
    <w:rsid w:val="00DF515F"/>
    <w:rsid w:val="00DF7A0F"/>
    <w:rsid w:val="00DF7FE7"/>
    <w:rsid w:val="00E034F1"/>
    <w:rsid w:val="00E03E05"/>
    <w:rsid w:val="00E06CCE"/>
    <w:rsid w:val="00E1000B"/>
    <w:rsid w:val="00E1055B"/>
    <w:rsid w:val="00E23C5F"/>
    <w:rsid w:val="00E271DE"/>
    <w:rsid w:val="00E34FAB"/>
    <w:rsid w:val="00E35A34"/>
    <w:rsid w:val="00E361B2"/>
    <w:rsid w:val="00E3735B"/>
    <w:rsid w:val="00E43199"/>
    <w:rsid w:val="00E44DA1"/>
    <w:rsid w:val="00E44DA4"/>
    <w:rsid w:val="00E46367"/>
    <w:rsid w:val="00E46BDB"/>
    <w:rsid w:val="00E50451"/>
    <w:rsid w:val="00E52457"/>
    <w:rsid w:val="00E542A8"/>
    <w:rsid w:val="00E566F2"/>
    <w:rsid w:val="00E60E83"/>
    <w:rsid w:val="00E638C0"/>
    <w:rsid w:val="00E63F0B"/>
    <w:rsid w:val="00E6619F"/>
    <w:rsid w:val="00E7024C"/>
    <w:rsid w:val="00E74827"/>
    <w:rsid w:val="00E924F7"/>
    <w:rsid w:val="00E9551D"/>
    <w:rsid w:val="00E9622D"/>
    <w:rsid w:val="00EA0547"/>
    <w:rsid w:val="00EA1C19"/>
    <w:rsid w:val="00EA2B87"/>
    <w:rsid w:val="00EA3A7F"/>
    <w:rsid w:val="00EA5DAF"/>
    <w:rsid w:val="00EA67BA"/>
    <w:rsid w:val="00EC301E"/>
    <w:rsid w:val="00EC7067"/>
    <w:rsid w:val="00ED0E7F"/>
    <w:rsid w:val="00ED34F6"/>
    <w:rsid w:val="00ED53FA"/>
    <w:rsid w:val="00ED5B5E"/>
    <w:rsid w:val="00EE0A55"/>
    <w:rsid w:val="00EE258D"/>
    <w:rsid w:val="00EE3DCD"/>
    <w:rsid w:val="00EE4959"/>
    <w:rsid w:val="00EF03B2"/>
    <w:rsid w:val="00EF0FCF"/>
    <w:rsid w:val="00EF131B"/>
    <w:rsid w:val="00EF36DC"/>
    <w:rsid w:val="00F000BB"/>
    <w:rsid w:val="00F03F01"/>
    <w:rsid w:val="00F049BC"/>
    <w:rsid w:val="00F06653"/>
    <w:rsid w:val="00F078F1"/>
    <w:rsid w:val="00F07BA1"/>
    <w:rsid w:val="00F1023D"/>
    <w:rsid w:val="00F119C1"/>
    <w:rsid w:val="00F1411D"/>
    <w:rsid w:val="00F14389"/>
    <w:rsid w:val="00F218BA"/>
    <w:rsid w:val="00F25328"/>
    <w:rsid w:val="00F30253"/>
    <w:rsid w:val="00F31212"/>
    <w:rsid w:val="00F32D03"/>
    <w:rsid w:val="00F34351"/>
    <w:rsid w:val="00F344DE"/>
    <w:rsid w:val="00F35D80"/>
    <w:rsid w:val="00F44B4D"/>
    <w:rsid w:val="00F472DD"/>
    <w:rsid w:val="00F5593D"/>
    <w:rsid w:val="00F55C90"/>
    <w:rsid w:val="00F62656"/>
    <w:rsid w:val="00F7010C"/>
    <w:rsid w:val="00F72C9B"/>
    <w:rsid w:val="00F732F2"/>
    <w:rsid w:val="00F73E71"/>
    <w:rsid w:val="00F75D95"/>
    <w:rsid w:val="00F77705"/>
    <w:rsid w:val="00F77973"/>
    <w:rsid w:val="00F77FBE"/>
    <w:rsid w:val="00F85E30"/>
    <w:rsid w:val="00F90E04"/>
    <w:rsid w:val="00F931CD"/>
    <w:rsid w:val="00F95934"/>
    <w:rsid w:val="00F95970"/>
    <w:rsid w:val="00F97BD7"/>
    <w:rsid w:val="00F97DCC"/>
    <w:rsid w:val="00FA3499"/>
    <w:rsid w:val="00FA5B6E"/>
    <w:rsid w:val="00FA5E39"/>
    <w:rsid w:val="00FB0091"/>
    <w:rsid w:val="00FB0E2D"/>
    <w:rsid w:val="00FB5D41"/>
    <w:rsid w:val="00FC450F"/>
    <w:rsid w:val="00FC60AD"/>
    <w:rsid w:val="00FC7A2C"/>
    <w:rsid w:val="00FD0828"/>
    <w:rsid w:val="00FD27E3"/>
    <w:rsid w:val="00FD2F94"/>
    <w:rsid w:val="00FD3599"/>
    <w:rsid w:val="00FE05BB"/>
    <w:rsid w:val="00FE54BD"/>
    <w:rsid w:val="00FF27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666BF5"/>
  <w15:docId w15:val="{A9813CBE-B427-496E-91A6-77E33439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99"/>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733AFD"/>
    <w:pPr>
      <w:widowControl w:val="0"/>
      <w:ind w:left="102" w:firstLine="0"/>
    </w:pPr>
    <w:rPr>
      <w:rFonts w:cstheme="minorBidi"/>
      <w:lang w:val="en-US"/>
    </w:rPr>
  </w:style>
  <w:style w:type="character" w:customStyle="1" w:styleId="BodyTextChar">
    <w:name w:val="Body Text Char"/>
    <w:basedOn w:val="DefaultParagraphFont"/>
    <w:link w:val="BodyText"/>
    <w:uiPriority w:val="1"/>
    <w:rsid w:val="00733AFD"/>
    <w:rPr>
      <w:rFonts w:ascii="Calibri" w:eastAsia="Calibri" w:hAnsi="Calibri"/>
      <w:lang w:val="en-US"/>
    </w:rPr>
  </w:style>
  <w:style w:type="character" w:styleId="FollowedHyperlink">
    <w:name w:val="FollowedHyperlink"/>
    <w:basedOn w:val="DefaultParagraphFont"/>
    <w:uiPriority w:val="99"/>
    <w:semiHidden/>
    <w:unhideWhenUsed/>
    <w:rsid w:val="001217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fr/activite/initiatives-regionales-ramsa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document/consultants-ramsar-regional-initiatives-rris-assessment-2016-2019"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ramsar.org/fr/document/resolution-xiii9-les-initiatives-regionales-ramsar-2019-2021"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ramsar.org/fr/search?sort=field_sort_date&amp;order=desc&amp;f%5B0%5D=field_tag_body_event%3A593&amp;f%5B1%5D=field_sort_date%3A2021&amp;search_api_views_fulltext"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documents/library/sc58-22.2_secretariat_report_rris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C3D4-21A3-49CF-B5F2-073D9B6F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11169</Words>
  <Characters>63664</Characters>
  <Application>Microsoft Office Word</Application>
  <DocSecurity>0</DocSecurity>
  <Lines>530</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74684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5</cp:revision>
  <cp:lastPrinted>2020-03-10T14:10:00Z</cp:lastPrinted>
  <dcterms:created xsi:type="dcterms:W3CDTF">2021-06-10T10:07:00Z</dcterms:created>
  <dcterms:modified xsi:type="dcterms:W3CDTF">2021-06-11T08:18:00Z</dcterms:modified>
</cp:coreProperties>
</file>