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731BE" w14:textId="74697C59" w:rsidR="009C2848" w:rsidRPr="006060F1" w:rsidRDefault="00A65B62"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val="es-ES" w:eastAsia="en-GB"/>
        </w:rPr>
      </w:pPr>
      <w:r w:rsidRPr="006060F1">
        <w:rPr>
          <w:rFonts w:eastAsia="Times New Roman" w:cstheme="minorHAnsi"/>
          <w:bCs/>
          <w:lang w:val="es-ES" w:eastAsia="en-GB"/>
        </w:rPr>
        <w:t>LA CONVENCIÓN SOBRE LOS HUMEDALES</w:t>
      </w:r>
    </w:p>
    <w:p w14:paraId="3FD0F2C6" w14:textId="1156110C" w:rsidR="009D0450" w:rsidRPr="006060F1" w:rsidRDefault="009D0450"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val="es-ES" w:eastAsia="en-GB"/>
        </w:rPr>
      </w:pPr>
      <w:r w:rsidRPr="006060F1">
        <w:rPr>
          <w:rFonts w:eastAsia="Times New Roman" w:cstheme="minorHAnsi"/>
          <w:bCs/>
          <w:lang w:val="es-ES" w:eastAsia="en-GB"/>
        </w:rPr>
        <w:t>Re</w:t>
      </w:r>
      <w:r w:rsidR="00A65B62" w:rsidRPr="006060F1">
        <w:rPr>
          <w:rFonts w:eastAsia="Times New Roman" w:cstheme="minorHAnsi"/>
          <w:bCs/>
          <w:lang w:val="es-ES" w:eastAsia="en-GB"/>
        </w:rPr>
        <w:t>anudación de la reunión</w:t>
      </w:r>
    </w:p>
    <w:p w14:paraId="3F1C0530" w14:textId="61ED32F4" w:rsidR="009C2848" w:rsidRPr="006060F1"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val="es-ES" w:eastAsia="en-GB"/>
        </w:rPr>
      </w:pPr>
      <w:r w:rsidRPr="006060F1">
        <w:rPr>
          <w:rFonts w:eastAsia="Times New Roman" w:cstheme="minorHAnsi"/>
          <w:bCs/>
          <w:lang w:val="es-ES" w:eastAsia="en-GB"/>
        </w:rPr>
        <w:t>5</w:t>
      </w:r>
      <w:r w:rsidR="00376618" w:rsidRPr="006060F1">
        <w:rPr>
          <w:rFonts w:eastAsia="Times New Roman" w:cstheme="minorHAnsi"/>
          <w:bCs/>
          <w:lang w:val="es-ES" w:eastAsia="en-GB"/>
        </w:rPr>
        <w:t>9</w:t>
      </w:r>
      <w:r w:rsidR="00A65B62" w:rsidRPr="006060F1">
        <w:rPr>
          <w:rFonts w:eastAsia="Times New Roman" w:cstheme="minorHAnsi"/>
          <w:bCs/>
          <w:lang w:val="es-ES" w:eastAsia="en-GB"/>
        </w:rPr>
        <w:t>ª Reunión del Comité Permanente</w:t>
      </w:r>
    </w:p>
    <w:p w14:paraId="30FFE100" w14:textId="6FAA585D" w:rsidR="009C2848" w:rsidRPr="006060F1"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lang w:val="es-ES" w:eastAsia="en-GB"/>
        </w:rPr>
      </w:pPr>
      <w:r w:rsidRPr="006060F1">
        <w:rPr>
          <w:rFonts w:eastAsia="Times New Roman" w:cstheme="minorHAnsi"/>
          <w:bCs/>
          <w:lang w:val="es-ES" w:eastAsia="en-GB"/>
        </w:rPr>
        <w:t>Gland</w:t>
      </w:r>
      <w:r w:rsidR="00A65B62" w:rsidRPr="006060F1">
        <w:rPr>
          <w:rFonts w:eastAsia="Times New Roman" w:cstheme="minorHAnsi"/>
          <w:bCs/>
          <w:lang w:val="es-ES" w:eastAsia="en-GB"/>
        </w:rPr>
        <w:t xml:space="preserve">, Suiza, </w:t>
      </w:r>
      <w:r w:rsidRPr="006060F1">
        <w:rPr>
          <w:rFonts w:eastAsia="Times New Roman" w:cstheme="minorHAnsi"/>
          <w:bCs/>
          <w:lang w:val="es-ES" w:eastAsia="en-GB"/>
        </w:rPr>
        <w:t>2</w:t>
      </w:r>
      <w:r w:rsidR="0039225B" w:rsidRPr="006060F1">
        <w:rPr>
          <w:rFonts w:eastAsia="Times New Roman" w:cstheme="minorHAnsi"/>
          <w:bCs/>
          <w:lang w:val="es-ES" w:eastAsia="en-GB"/>
        </w:rPr>
        <w:t>3</w:t>
      </w:r>
      <w:r w:rsidR="00A65B62" w:rsidRPr="006060F1">
        <w:rPr>
          <w:rFonts w:eastAsia="Times New Roman" w:cstheme="minorHAnsi"/>
          <w:bCs/>
          <w:lang w:val="es-ES" w:eastAsia="en-GB"/>
        </w:rPr>
        <w:t xml:space="preserve"> a </w:t>
      </w:r>
      <w:r w:rsidR="00376618" w:rsidRPr="006060F1">
        <w:rPr>
          <w:rFonts w:eastAsia="Times New Roman" w:cstheme="minorHAnsi"/>
          <w:bCs/>
          <w:lang w:val="es-ES" w:eastAsia="en-GB"/>
        </w:rPr>
        <w:t>2</w:t>
      </w:r>
      <w:r w:rsidR="00617103" w:rsidRPr="006060F1">
        <w:rPr>
          <w:rFonts w:eastAsia="Times New Roman" w:cstheme="minorHAnsi"/>
          <w:bCs/>
          <w:lang w:val="es-ES" w:eastAsia="en-GB"/>
        </w:rPr>
        <w:t>7</w:t>
      </w:r>
      <w:r w:rsidRPr="006060F1">
        <w:rPr>
          <w:rFonts w:eastAsia="Times New Roman" w:cstheme="minorHAnsi"/>
          <w:bCs/>
          <w:lang w:val="es-ES" w:eastAsia="en-GB"/>
        </w:rPr>
        <w:t xml:space="preserve"> </w:t>
      </w:r>
      <w:r w:rsidR="00A65B62" w:rsidRPr="006060F1">
        <w:rPr>
          <w:rFonts w:eastAsia="Times New Roman" w:cstheme="minorHAnsi"/>
          <w:bCs/>
          <w:lang w:val="es-ES" w:eastAsia="en-GB"/>
        </w:rPr>
        <w:t>de junio de</w:t>
      </w:r>
      <w:r w:rsidR="001E050F" w:rsidRPr="006060F1">
        <w:rPr>
          <w:rFonts w:eastAsia="Times New Roman" w:cstheme="minorHAnsi"/>
          <w:bCs/>
          <w:lang w:val="es-ES" w:eastAsia="en-GB"/>
        </w:rPr>
        <w:t xml:space="preserve"> </w:t>
      </w:r>
      <w:r w:rsidRPr="006060F1">
        <w:rPr>
          <w:rFonts w:eastAsia="Times New Roman" w:cstheme="minorHAnsi"/>
          <w:bCs/>
          <w:lang w:val="es-ES" w:eastAsia="en-GB"/>
        </w:rPr>
        <w:t>202</w:t>
      </w:r>
      <w:r w:rsidR="00617103" w:rsidRPr="006060F1">
        <w:rPr>
          <w:rFonts w:eastAsia="Times New Roman" w:cstheme="minorHAnsi"/>
          <w:bCs/>
          <w:lang w:val="es-ES" w:eastAsia="en-GB"/>
        </w:rPr>
        <w:t>2</w:t>
      </w:r>
    </w:p>
    <w:p w14:paraId="63677951" w14:textId="77777777" w:rsidR="009C2848" w:rsidRPr="006060F1" w:rsidRDefault="009C2848" w:rsidP="00AC0464">
      <w:pPr>
        <w:spacing w:after="0" w:line="240" w:lineRule="auto"/>
        <w:jc w:val="both"/>
        <w:rPr>
          <w:rFonts w:eastAsia="Times New Roman" w:cstheme="minorHAnsi"/>
          <w:sz w:val="24"/>
          <w:szCs w:val="24"/>
          <w:lang w:val="es-ES" w:eastAsia="en-GB"/>
        </w:rPr>
      </w:pPr>
    </w:p>
    <w:p w14:paraId="13A5FABC" w14:textId="77777777" w:rsidR="009C2848" w:rsidRPr="006060F1" w:rsidRDefault="009C2848" w:rsidP="00AC0464">
      <w:pPr>
        <w:spacing w:after="0" w:line="240" w:lineRule="auto"/>
        <w:jc w:val="both"/>
        <w:rPr>
          <w:rFonts w:eastAsia="Times New Roman" w:cstheme="minorHAnsi"/>
          <w:sz w:val="24"/>
          <w:szCs w:val="24"/>
          <w:lang w:val="es-ES" w:eastAsia="en-GB"/>
        </w:rPr>
      </w:pPr>
    </w:p>
    <w:p w14:paraId="6190BDC2" w14:textId="1C2751D4" w:rsidR="009C2848" w:rsidRPr="006060F1" w:rsidRDefault="009C2848" w:rsidP="00AC0464">
      <w:pPr>
        <w:spacing w:after="0" w:line="240" w:lineRule="auto"/>
        <w:jc w:val="right"/>
        <w:rPr>
          <w:rFonts w:eastAsia="Times New Roman" w:cstheme="minorHAnsi"/>
          <w:b/>
          <w:sz w:val="28"/>
          <w:szCs w:val="28"/>
          <w:lang w:val="es-ES" w:eastAsia="en-GB"/>
        </w:rPr>
      </w:pPr>
      <w:r w:rsidRPr="006060F1">
        <w:rPr>
          <w:rFonts w:eastAsia="Times New Roman" w:cstheme="minorHAnsi"/>
          <w:b/>
          <w:sz w:val="28"/>
          <w:szCs w:val="28"/>
          <w:lang w:val="es-ES" w:eastAsia="en-GB"/>
        </w:rPr>
        <w:t>SC5</w:t>
      </w:r>
      <w:r w:rsidR="00C90D45" w:rsidRPr="006060F1">
        <w:rPr>
          <w:rFonts w:eastAsia="Times New Roman" w:cstheme="minorHAnsi"/>
          <w:b/>
          <w:sz w:val="28"/>
          <w:szCs w:val="28"/>
          <w:lang w:val="es-ES" w:eastAsia="en-GB"/>
        </w:rPr>
        <w:t>9</w:t>
      </w:r>
      <w:r w:rsidR="006D7358" w:rsidRPr="006060F1">
        <w:rPr>
          <w:rFonts w:eastAsia="Times New Roman" w:cstheme="minorHAnsi"/>
          <w:b/>
          <w:sz w:val="28"/>
          <w:szCs w:val="28"/>
          <w:lang w:val="es-ES" w:eastAsia="en-GB"/>
        </w:rPr>
        <w:t>/2022</w:t>
      </w:r>
      <w:r w:rsidRPr="006060F1">
        <w:rPr>
          <w:rFonts w:eastAsia="Times New Roman" w:cstheme="minorHAnsi"/>
          <w:b/>
          <w:sz w:val="28"/>
          <w:szCs w:val="28"/>
          <w:lang w:val="es-ES" w:eastAsia="en-GB"/>
        </w:rPr>
        <w:t xml:space="preserve"> Doc.</w:t>
      </w:r>
      <w:r w:rsidR="006D0E5D" w:rsidRPr="006060F1">
        <w:rPr>
          <w:rFonts w:eastAsia="Times New Roman" w:cstheme="minorHAnsi"/>
          <w:b/>
          <w:sz w:val="28"/>
          <w:szCs w:val="28"/>
          <w:lang w:val="es-ES" w:eastAsia="en-GB"/>
        </w:rPr>
        <w:t>16</w:t>
      </w:r>
    </w:p>
    <w:p w14:paraId="08CCB5EA" w14:textId="77777777" w:rsidR="009C2848" w:rsidRPr="006060F1" w:rsidRDefault="009C2848" w:rsidP="00AC0464">
      <w:pPr>
        <w:spacing w:after="0" w:line="240" w:lineRule="auto"/>
        <w:jc w:val="right"/>
        <w:rPr>
          <w:rFonts w:eastAsia="Times New Roman" w:cstheme="minorHAnsi"/>
          <w:b/>
          <w:sz w:val="28"/>
          <w:szCs w:val="28"/>
          <w:lang w:val="es-ES" w:eastAsia="en-GB"/>
        </w:rPr>
      </w:pPr>
    </w:p>
    <w:p w14:paraId="5AA85570" w14:textId="77777777" w:rsidR="00E624D9" w:rsidRPr="006060F1" w:rsidRDefault="00A65B62" w:rsidP="00AC0464">
      <w:pPr>
        <w:autoSpaceDE w:val="0"/>
        <w:autoSpaceDN w:val="0"/>
        <w:adjustRightInd w:val="0"/>
        <w:spacing w:after="0" w:line="240" w:lineRule="auto"/>
        <w:jc w:val="center"/>
        <w:rPr>
          <w:rFonts w:ascii="Calibri" w:hAnsi="Calibri" w:cs="Calibri"/>
          <w:b/>
          <w:bCs/>
          <w:sz w:val="28"/>
          <w:szCs w:val="28"/>
          <w:lang w:val="es-ES"/>
        </w:rPr>
      </w:pPr>
      <w:r w:rsidRPr="006060F1">
        <w:rPr>
          <w:rFonts w:cstheme="minorHAnsi"/>
          <w:b/>
          <w:bCs/>
          <w:color w:val="000000"/>
          <w:sz w:val="28"/>
          <w:szCs w:val="28"/>
          <w:lang w:val="es-ES"/>
        </w:rPr>
        <w:t xml:space="preserve">Actualización sobre </w:t>
      </w:r>
      <w:r w:rsidR="00E624D9" w:rsidRPr="006060F1">
        <w:rPr>
          <w:rFonts w:cstheme="minorHAnsi"/>
          <w:b/>
          <w:bCs/>
          <w:color w:val="000000"/>
          <w:sz w:val="28"/>
          <w:szCs w:val="28"/>
          <w:lang w:val="es-ES"/>
        </w:rPr>
        <w:t xml:space="preserve">la mejora de la visibilidad de la Convención y de las sinergias con otros </w:t>
      </w:r>
      <w:r w:rsidR="00E624D9" w:rsidRPr="006060F1">
        <w:rPr>
          <w:rFonts w:ascii="Calibri" w:hAnsi="Calibri" w:cs="Calibri"/>
          <w:b/>
          <w:bCs/>
          <w:sz w:val="28"/>
          <w:szCs w:val="28"/>
          <w:lang w:val="es-ES"/>
        </w:rPr>
        <w:t>acuerdos multilaterales sobre el medio ambiente</w:t>
      </w:r>
    </w:p>
    <w:p w14:paraId="306B7DD8" w14:textId="7250E7E0" w:rsidR="009C2848" w:rsidRPr="006060F1" w:rsidRDefault="00E624D9" w:rsidP="00AC0464">
      <w:pPr>
        <w:autoSpaceDE w:val="0"/>
        <w:autoSpaceDN w:val="0"/>
        <w:adjustRightInd w:val="0"/>
        <w:spacing w:after="0" w:line="240" w:lineRule="auto"/>
        <w:jc w:val="center"/>
        <w:rPr>
          <w:rFonts w:cstheme="minorHAnsi"/>
          <w:b/>
          <w:color w:val="000000"/>
          <w:sz w:val="28"/>
          <w:szCs w:val="24"/>
          <w:lang w:val="es-ES"/>
        </w:rPr>
      </w:pPr>
      <w:r w:rsidRPr="006060F1">
        <w:rPr>
          <w:rFonts w:ascii="Calibri" w:hAnsi="Calibri" w:cs="Calibri"/>
          <w:b/>
          <w:bCs/>
          <w:sz w:val="28"/>
          <w:szCs w:val="28"/>
          <w:lang w:val="es-ES"/>
        </w:rPr>
        <w:t>e instituciones internacionales</w:t>
      </w:r>
    </w:p>
    <w:p w14:paraId="26C784E9" w14:textId="77777777" w:rsidR="009C2848" w:rsidRPr="006060F1" w:rsidRDefault="009C2848" w:rsidP="00AC0464">
      <w:pPr>
        <w:spacing w:after="0" w:line="240" w:lineRule="auto"/>
        <w:jc w:val="both"/>
        <w:rPr>
          <w:rFonts w:eastAsia="Times New Roman" w:cstheme="minorHAnsi"/>
          <w:b/>
          <w:sz w:val="28"/>
          <w:szCs w:val="24"/>
          <w:lang w:val="es-ES" w:eastAsia="en-GB"/>
        </w:rPr>
      </w:pPr>
    </w:p>
    <w:p w14:paraId="4F42B663" w14:textId="77777777" w:rsidR="009C2848" w:rsidRPr="006060F1" w:rsidRDefault="009C2848" w:rsidP="009C2848">
      <w:pPr>
        <w:autoSpaceDE w:val="0"/>
        <w:autoSpaceDN w:val="0"/>
        <w:adjustRightInd w:val="0"/>
        <w:spacing w:after="0" w:line="240" w:lineRule="auto"/>
        <w:ind w:left="357" w:hanging="357"/>
        <w:jc w:val="both"/>
        <w:rPr>
          <w:rFonts w:cstheme="minorHAnsi"/>
          <w:lang w:val="es-ES"/>
        </w:rPr>
      </w:pPr>
      <w:r w:rsidRPr="006060F1">
        <w:rPr>
          <w:rFonts w:eastAsia="Times New Roman" w:cstheme="minorHAnsi"/>
          <w:noProof/>
          <w:lang w:eastAsia="en-GB"/>
        </w:rPr>
        <mc:AlternateContent>
          <mc:Choice Requires="wps">
            <w:drawing>
              <wp:inline distT="0" distB="0" distL="0" distR="0" wp14:anchorId="0A4D4371" wp14:editId="1A498C6F">
                <wp:extent cx="5854535" cy="3766457"/>
                <wp:effectExtent l="0" t="0" r="13335" b="2476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3766457"/>
                        </a:xfrm>
                        <a:prstGeom prst="rect">
                          <a:avLst/>
                        </a:prstGeom>
                        <a:solidFill>
                          <a:srgbClr val="FFFFFF"/>
                        </a:solidFill>
                        <a:ln w="9525">
                          <a:solidFill>
                            <a:srgbClr val="000000"/>
                          </a:solidFill>
                          <a:miter lim="800000"/>
                          <a:headEnd/>
                          <a:tailEnd/>
                        </a:ln>
                      </wps:spPr>
                      <wps:txbx>
                        <w:txbxContent>
                          <w:p w14:paraId="410FD682" w14:textId="17978750" w:rsidR="002A7D94" w:rsidRPr="006060F1" w:rsidRDefault="002A7D94" w:rsidP="009C2848">
                            <w:pPr>
                              <w:rPr>
                                <w:rFonts w:ascii="Calibri" w:hAnsi="Calibri"/>
                                <w:b/>
                                <w:bCs/>
                                <w:lang w:val="es-ES"/>
                              </w:rPr>
                            </w:pPr>
                            <w:r w:rsidRPr="006060F1">
                              <w:rPr>
                                <w:rFonts w:ascii="Calibri" w:hAnsi="Calibri"/>
                                <w:b/>
                                <w:bCs/>
                                <w:lang w:val="es-ES"/>
                              </w:rPr>
                              <w:t>Ac</w:t>
                            </w:r>
                            <w:r w:rsidR="00E624D9" w:rsidRPr="006060F1">
                              <w:rPr>
                                <w:rFonts w:ascii="Calibri" w:hAnsi="Calibri"/>
                                <w:b/>
                                <w:bCs/>
                                <w:lang w:val="es-ES"/>
                              </w:rPr>
                              <w:t>ciones solicitadas</w:t>
                            </w:r>
                            <w:r w:rsidRPr="006060F1">
                              <w:rPr>
                                <w:rFonts w:ascii="Calibri" w:hAnsi="Calibri"/>
                                <w:b/>
                                <w:bCs/>
                                <w:lang w:val="es-ES"/>
                              </w:rPr>
                              <w:t>:</w:t>
                            </w:r>
                          </w:p>
                          <w:p w14:paraId="17A5170A" w14:textId="52A7FDF8" w:rsidR="002A7D94" w:rsidRPr="006060F1" w:rsidRDefault="002A7D94" w:rsidP="009C2848">
                            <w:pPr>
                              <w:ind w:hanging="73"/>
                              <w:rPr>
                                <w:lang w:val="es-ES"/>
                              </w:rPr>
                            </w:pPr>
                            <w:r w:rsidRPr="006060F1">
                              <w:rPr>
                                <w:lang w:val="es-ES"/>
                              </w:rPr>
                              <w:t xml:space="preserve"> </w:t>
                            </w:r>
                            <w:r w:rsidR="00E624D9" w:rsidRPr="006060F1">
                              <w:rPr>
                                <w:lang w:val="es-ES"/>
                              </w:rPr>
                              <w:t xml:space="preserve">Se invita al </w:t>
                            </w:r>
                            <w:r w:rsidR="00A65B62" w:rsidRPr="006060F1">
                              <w:rPr>
                                <w:lang w:val="es-ES"/>
                              </w:rPr>
                              <w:t>Comité Permanente</w:t>
                            </w:r>
                            <w:r w:rsidRPr="006060F1">
                              <w:rPr>
                                <w:lang w:val="es-ES"/>
                              </w:rPr>
                              <w:t xml:space="preserve"> </w:t>
                            </w:r>
                            <w:r w:rsidR="00E624D9" w:rsidRPr="006060F1">
                              <w:rPr>
                                <w:lang w:val="es-ES"/>
                              </w:rPr>
                              <w:t>a hacer lo siguiente</w:t>
                            </w:r>
                            <w:r w:rsidRPr="006060F1">
                              <w:rPr>
                                <w:lang w:val="es-ES"/>
                              </w:rPr>
                              <w:t xml:space="preserve">: </w:t>
                            </w:r>
                          </w:p>
                          <w:p w14:paraId="33719DFF" w14:textId="05B48206" w:rsidR="002A7D94" w:rsidRPr="006060F1" w:rsidRDefault="001B3544" w:rsidP="001B3544">
                            <w:pPr>
                              <w:pStyle w:val="ListParagraph"/>
                              <w:ind w:left="425" w:hanging="425"/>
                              <w:jc w:val="left"/>
                              <w:rPr>
                                <w:rFonts w:cs="Garamond"/>
                                <w:i/>
                                <w:lang w:val="es-ES"/>
                              </w:rPr>
                            </w:pPr>
                            <w:r w:rsidRPr="006060F1">
                              <w:rPr>
                                <w:rFonts w:asciiTheme="minorHAnsi" w:hAnsiTheme="minorHAnsi"/>
                                <w:lang w:val="es-ES"/>
                              </w:rPr>
                              <w:t>i.</w:t>
                            </w:r>
                            <w:r w:rsidRPr="006060F1">
                              <w:rPr>
                                <w:rFonts w:asciiTheme="minorHAnsi" w:hAnsiTheme="minorHAnsi"/>
                                <w:lang w:val="es-ES"/>
                              </w:rPr>
                              <w:tab/>
                            </w:r>
                            <w:r w:rsidR="00E624D9" w:rsidRPr="006060F1">
                              <w:rPr>
                                <w:rFonts w:asciiTheme="minorHAnsi" w:hAnsiTheme="minorHAnsi"/>
                                <w:lang w:val="es-ES"/>
                              </w:rPr>
                              <w:t xml:space="preserve">tomar nota de los avances en la aplicación de la Resolución XIII.7, </w:t>
                            </w:r>
                            <w:r w:rsidR="00E624D9" w:rsidRPr="006060F1">
                              <w:rPr>
                                <w:rFonts w:asciiTheme="minorHAnsi" w:eastAsiaTheme="minorHAnsi" w:hAnsiTheme="minorHAnsi" w:cs="Garamond"/>
                                <w:i/>
                                <w:lang w:val="es-ES"/>
                              </w:rPr>
                              <w:t>Mejora de la visibilidad de la Convención y de las sinergias con otros acuerdos multilaterales sobre el medio ambiente e instituciones internacionales</w:t>
                            </w:r>
                            <w:r w:rsidR="00E624D9" w:rsidRPr="006060F1">
                              <w:rPr>
                                <w:rFonts w:asciiTheme="minorHAnsi" w:eastAsiaTheme="minorHAnsi" w:hAnsiTheme="minorHAnsi" w:cs="Garamond"/>
                                <w:lang w:val="es-ES"/>
                              </w:rPr>
                              <w:t>;</w:t>
                            </w:r>
                            <w:r w:rsidR="00E624D9" w:rsidRPr="006060F1">
                              <w:rPr>
                                <w:rFonts w:asciiTheme="minorHAnsi" w:eastAsiaTheme="minorHAnsi" w:hAnsiTheme="minorHAnsi" w:cs="Garamond"/>
                                <w:i/>
                                <w:lang w:val="es-ES"/>
                              </w:rPr>
                              <w:t xml:space="preserve"> </w:t>
                            </w:r>
                          </w:p>
                          <w:p w14:paraId="28C6FE6E" w14:textId="77777777" w:rsidR="002A7D94" w:rsidRPr="006060F1" w:rsidRDefault="002A7D94" w:rsidP="00AC0464">
                            <w:pPr>
                              <w:spacing w:after="0" w:line="240" w:lineRule="auto"/>
                              <w:ind w:left="425" w:hanging="425"/>
                              <w:rPr>
                                <w:rFonts w:cs="Garamond"/>
                                <w:i/>
                                <w:lang w:val="es-ES"/>
                              </w:rPr>
                            </w:pPr>
                          </w:p>
                          <w:p w14:paraId="751B7DAD" w14:textId="76E22C4E" w:rsidR="002A7D94" w:rsidRPr="006060F1" w:rsidRDefault="002A7D94" w:rsidP="00AC0464">
                            <w:pPr>
                              <w:spacing w:after="0" w:line="240" w:lineRule="auto"/>
                              <w:ind w:left="425" w:hanging="425"/>
                              <w:rPr>
                                <w:lang w:val="es-ES"/>
                              </w:rPr>
                            </w:pPr>
                            <w:r w:rsidRPr="006060F1">
                              <w:rPr>
                                <w:rFonts w:cs="Garamond"/>
                                <w:lang w:val="es-ES"/>
                              </w:rPr>
                              <w:t>ii.</w:t>
                            </w:r>
                            <w:r w:rsidRPr="006060F1">
                              <w:rPr>
                                <w:rFonts w:cs="Garamond"/>
                                <w:lang w:val="es-ES"/>
                              </w:rPr>
                              <w:tab/>
                              <w:t>t</w:t>
                            </w:r>
                            <w:r w:rsidR="001B3544" w:rsidRPr="006060F1">
                              <w:rPr>
                                <w:rFonts w:cs="Garamond"/>
                                <w:lang w:val="es-ES"/>
                              </w:rPr>
                              <w:t xml:space="preserve">omar nota del </w:t>
                            </w:r>
                            <w:r w:rsidRPr="006060F1">
                              <w:rPr>
                                <w:rFonts w:cs="Garamond"/>
                                <w:lang w:val="es-ES"/>
                              </w:rPr>
                              <w:t>document</w:t>
                            </w:r>
                            <w:r w:rsidR="001B3544" w:rsidRPr="006060F1">
                              <w:rPr>
                                <w:rFonts w:cs="Garamond"/>
                                <w:lang w:val="es-ES"/>
                              </w:rPr>
                              <w:t>o</w:t>
                            </w:r>
                            <w:r w:rsidRPr="006060F1">
                              <w:rPr>
                                <w:rFonts w:cs="Garamond"/>
                                <w:lang w:val="es-ES"/>
                              </w:rPr>
                              <w:t xml:space="preserve"> SC58</w:t>
                            </w:r>
                            <w:r w:rsidR="007521EC" w:rsidRPr="006060F1">
                              <w:rPr>
                                <w:rFonts w:cs="Garamond"/>
                                <w:lang w:val="es-ES"/>
                              </w:rPr>
                              <w:t xml:space="preserve"> Doc.</w:t>
                            </w:r>
                            <w:r w:rsidRPr="006060F1">
                              <w:rPr>
                                <w:rFonts w:cs="Garamond"/>
                                <w:lang w:val="es-ES"/>
                              </w:rPr>
                              <w:t xml:space="preserve">18 </w:t>
                            </w:r>
                            <w:r w:rsidR="001B3544" w:rsidRPr="006060F1">
                              <w:rPr>
                                <w:rFonts w:cs="Garamond"/>
                                <w:lang w:val="es-ES"/>
                              </w:rPr>
                              <w:t xml:space="preserve">y brindar orientaciones a la Secretaría sobre el plan para reforzar las sinergias con otros AMMA y las contribuciones al marco de la diversidad biológica posterior a 2020 con arreglo a la Resolución </w:t>
                            </w:r>
                            <w:r w:rsidRPr="006060F1">
                              <w:rPr>
                                <w:rFonts w:cstheme="minorHAnsi"/>
                                <w:lang w:val="es-ES"/>
                              </w:rPr>
                              <w:t>XIII.7;</w:t>
                            </w:r>
                          </w:p>
                          <w:p w14:paraId="0B708C3C" w14:textId="77777777" w:rsidR="002A7D94" w:rsidRPr="006060F1" w:rsidRDefault="002A7D94" w:rsidP="00AC0464">
                            <w:pPr>
                              <w:pStyle w:val="ListParagraph"/>
                              <w:ind w:left="425" w:hanging="425"/>
                              <w:rPr>
                                <w:rFonts w:asciiTheme="minorHAnsi" w:hAnsiTheme="minorHAnsi"/>
                                <w:lang w:val="es-ES"/>
                              </w:rPr>
                            </w:pPr>
                          </w:p>
                          <w:p w14:paraId="3AB14D22" w14:textId="0E4781A9" w:rsidR="002A7D94" w:rsidRPr="006060F1" w:rsidRDefault="002A7D94" w:rsidP="00B125BC">
                            <w:pPr>
                              <w:spacing w:after="0" w:line="240" w:lineRule="auto"/>
                              <w:ind w:left="425" w:hanging="425"/>
                              <w:rPr>
                                <w:rFonts w:eastAsia="MS Mincho" w:cstheme="minorHAnsi"/>
                                <w:lang w:val="es-ES" w:eastAsia="ja-JP"/>
                              </w:rPr>
                            </w:pPr>
                            <w:r w:rsidRPr="006060F1">
                              <w:rPr>
                                <w:rFonts w:eastAsia="MS Mincho" w:cstheme="minorHAnsi"/>
                                <w:lang w:val="es-ES" w:eastAsia="ja-JP"/>
                              </w:rPr>
                              <w:t>iii.</w:t>
                            </w:r>
                            <w:r w:rsidRPr="006060F1">
                              <w:rPr>
                                <w:rFonts w:eastAsia="MS Mincho" w:cstheme="minorHAnsi"/>
                                <w:lang w:val="es-ES" w:eastAsia="ja-JP"/>
                              </w:rPr>
                              <w:tab/>
                              <w:t>t</w:t>
                            </w:r>
                            <w:r w:rsidR="001B3544" w:rsidRPr="006060F1">
                              <w:rPr>
                                <w:rFonts w:eastAsia="MS Mincho" w:cstheme="minorHAnsi"/>
                                <w:lang w:val="es-ES" w:eastAsia="ja-JP"/>
                              </w:rPr>
                              <w:t xml:space="preserve">omar nota del examen del quinto Plan de Trabajo Conjunto </w:t>
                            </w:r>
                            <w:r w:rsidRPr="006060F1">
                              <w:rPr>
                                <w:rFonts w:eastAsia="MS Mincho" w:cstheme="minorHAnsi"/>
                                <w:lang w:val="es-ES" w:eastAsia="ja-JP"/>
                              </w:rPr>
                              <w:t xml:space="preserve">2011-2020 </w:t>
                            </w:r>
                            <w:r w:rsidR="007521EC" w:rsidRPr="006060F1">
                              <w:rPr>
                                <w:rFonts w:eastAsia="MS Mincho" w:cstheme="minorHAnsi"/>
                                <w:lang w:val="es-ES" w:eastAsia="ja-JP"/>
                              </w:rPr>
                              <w:t>(document</w:t>
                            </w:r>
                            <w:r w:rsidR="001B3544" w:rsidRPr="006060F1">
                              <w:rPr>
                                <w:rFonts w:eastAsia="MS Mincho" w:cstheme="minorHAnsi"/>
                                <w:lang w:val="es-ES" w:eastAsia="ja-JP"/>
                              </w:rPr>
                              <w:t xml:space="preserve">o </w:t>
                            </w:r>
                            <w:r w:rsidR="007521EC" w:rsidRPr="006060F1">
                              <w:rPr>
                                <w:rFonts w:eastAsia="MS Mincho" w:cstheme="minorHAnsi"/>
                                <w:lang w:val="es-ES" w:eastAsia="ja-JP"/>
                              </w:rPr>
                              <w:t xml:space="preserve">SC59 Doc.16.1) </w:t>
                            </w:r>
                            <w:r w:rsidR="001B3544" w:rsidRPr="006060F1">
                              <w:rPr>
                                <w:rFonts w:eastAsia="MS Mincho" w:cstheme="minorHAnsi"/>
                                <w:lang w:val="es-ES" w:eastAsia="ja-JP"/>
                              </w:rPr>
                              <w:t>entre las Secretarías de la Convención sobre los Humedales y el Convenio sobre la Diversidad Biológica</w:t>
                            </w:r>
                            <w:r w:rsidR="00B125BC" w:rsidRPr="006060F1">
                              <w:rPr>
                                <w:rFonts w:eastAsia="MS Mincho" w:cstheme="minorHAnsi"/>
                                <w:lang w:val="es-ES" w:eastAsia="ja-JP"/>
                              </w:rPr>
                              <w:t>, que sirve de base para la preparación de un plan de trabajo conjunto actualizado; y</w:t>
                            </w:r>
                          </w:p>
                          <w:p w14:paraId="31F00302" w14:textId="77777777" w:rsidR="00B125BC" w:rsidRPr="006060F1" w:rsidRDefault="00B125BC" w:rsidP="00B125BC">
                            <w:pPr>
                              <w:spacing w:after="0" w:line="240" w:lineRule="auto"/>
                              <w:ind w:left="425" w:hanging="425"/>
                              <w:rPr>
                                <w:lang w:val="es-ES"/>
                              </w:rPr>
                            </w:pPr>
                          </w:p>
                          <w:p w14:paraId="3EE8F1C9" w14:textId="30B9C0CC" w:rsidR="002A7D94" w:rsidRPr="008D2577" w:rsidRDefault="002A7D94" w:rsidP="008D2577">
                            <w:pPr>
                              <w:autoSpaceDE w:val="0"/>
                              <w:autoSpaceDN w:val="0"/>
                              <w:adjustRightInd w:val="0"/>
                              <w:spacing w:after="0" w:line="240" w:lineRule="auto"/>
                              <w:ind w:left="425" w:hanging="425"/>
                              <w:rPr>
                                <w:rFonts w:ascii="Calibri" w:hAnsi="Calibri" w:cs="Calibri"/>
                                <w:color w:val="000000" w:themeColor="text1"/>
                                <w:lang w:val="es-ES"/>
                              </w:rPr>
                            </w:pPr>
                            <w:r w:rsidRPr="006060F1">
                              <w:rPr>
                                <w:rFonts w:ascii="Calibri" w:hAnsi="Calibri" w:cs="Calibri"/>
                                <w:color w:val="000000"/>
                                <w:lang w:val="es-ES"/>
                              </w:rPr>
                              <w:t>iv.</w:t>
                            </w:r>
                            <w:r w:rsidRPr="006060F1">
                              <w:rPr>
                                <w:rFonts w:ascii="Calibri" w:hAnsi="Calibri" w:cs="Calibri"/>
                                <w:color w:val="000000"/>
                                <w:lang w:val="es-ES"/>
                              </w:rPr>
                              <w:tab/>
                            </w:r>
                            <w:r w:rsidR="00B125BC" w:rsidRPr="006060F1">
                              <w:rPr>
                                <w:rFonts w:ascii="Calibri" w:hAnsi="Calibri" w:cs="Calibri"/>
                                <w:color w:val="000000" w:themeColor="text1"/>
                                <w:lang w:val="es-ES"/>
                              </w:rPr>
                              <w:t xml:space="preserve">examinar el proyecto de resolución sobre la mejora de la visibilidad de la Convención y de las sinergias con otros AMMA </w:t>
                            </w:r>
                            <w:r w:rsidR="008D2577">
                              <w:rPr>
                                <w:rFonts w:ascii="Calibri" w:hAnsi="Calibri" w:cs="Calibri"/>
                                <w:color w:val="000000" w:themeColor="text1"/>
                                <w:lang w:val="es-ES"/>
                              </w:rPr>
                              <w:t xml:space="preserve">e </w:t>
                            </w:r>
                            <w:r w:rsidR="00B125BC" w:rsidRPr="006060F1">
                              <w:rPr>
                                <w:rFonts w:ascii="Calibri" w:hAnsi="Calibri" w:cs="Calibri"/>
                                <w:color w:val="000000" w:themeColor="text1"/>
                                <w:lang w:val="es-ES"/>
                              </w:rPr>
                              <w:t xml:space="preserve">instituciones internacionales que figura en el </w:t>
                            </w:r>
                            <w:r w:rsidR="00617103" w:rsidRPr="006060F1">
                              <w:rPr>
                                <w:rFonts w:ascii="Calibri" w:hAnsi="Calibri" w:cs="Calibri"/>
                                <w:color w:val="000000" w:themeColor="text1"/>
                                <w:lang w:val="es-ES"/>
                              </w:rPr>
                              <w:t>document</w:t>
                            </w:r>
                            <w:r w:rsidR="00B125BC" w:rsidRPr="006060F1">
                              <w:rPr>
                                <w:rFonts w:ascii="Calibri" w:hAnsi="Calibri" w:cs="Calibri"/>
                                <w:color w:val="000000" w:themeColor="text1"/>
                                <w:lang w:val="es-ES"/>
                              </w:rPr>
                              <w:t>o</w:t>
                            </w:r>
                            <w:r w:rsidR="00617103" w:rsidRPr="006060F1">
                              <w:rPr>
                                <w:rFonts w:ascii="Calibri" w:hAnsi="Calibri" w:cs="Calibri"/>
                                <w:color w:val="000000" w:themeColor="text1"/>
                                <w:lang w:val="es-ES"/>
                              </w:rPr>
                              <w:t xml:space="preserve"> SC59 Doc.16</w:t>
                            </w:r>
                            <w:r w:rsidR="00596D9D">
                              <w:rPr>
                                <w:rFonts w:ascii="Calibri" w:hAnsi="Calibri" w:cs="Calibri"/>
                                <w:color w:val="000000" w:themeColor="text1"/>
                                <w:lang w:val="es-ES"/>
                              </w:rPr>
                              <w:t xml:space="preserve"> (</w:t>
                            </w:r>
                            <w:hyperlink r:id="rId8" w:history="1">
                              <w:r w:rsidR="00596D9D" w:rsidRPr="00A03541">
                                <w:rPr>
                                  <w:rStyle w:val="Hyperlink"/>
                                  <w:rFonts w:ascii="Calibri" w:hAnsi="Calibri" w:cs="Calibri"/>
                                  <w:lang w:val="es-ES"/>
                                </w:rPr>
                                <w:t>https://www.ramsar.org/es/documento/sc59-doc16-mejora-de-la-visibilidad-de-la-convencion-y-de-las-sinergias-con-otros-acuerdos</w:t>
                              </w:r>
                            </w:hyperlink>
                            <w:r w:rsidR="00596D9D">
                              <w:rPr>
                                <w:rFonts w:ascii="Calibri" w:hAnsi="Calibri" w:cs="Calibri"/>
                                <w:color w:val="000000" w:themeColor="text1"/>
                                <w:lang w:val="es-ES"/>
                              </w:rPr>
                              <w:t>)</w:t>
                            </w:r>
                            <w:r w:rsidRPr="006060F1">
                              <w:rPr>
                                <w:rFonts w:ascii="Calibri" w:hAnsi="Calibri" w:cs="Calibri"/>
                                <w:color w:val="000000" w:themeColor="text1"/>
                                <w:lang w:val="es-ES"/>
                              </w:rPr>
                              <w:t xml:space="preserve">, </w:t>
                            </w:r>
                            <w:r w:rsidR="00B125BC" w:rsidRPr="006060F1">
                              <w:rPr>
                                <w:rFonts w:ascii="Calibri" w:hAnsi="Calibri" w:cs="Calibri"/>
                                <w:color w:val="000000" w:themeColor="text1"/>
                                <w:lang w:val="es-ES"/>
                              </w:rPr>
                              <w:t xml:space="preserve">que </w:t>
                            </w:r>
                            <w:r w:rsidR="00B125BC" w:rsidRPr="006060F1">
                              <w:rPr>
                                <w:rFonts w:ascii="Calibri" w:hAnsi="Calibri" w:cs="Calibri"/>
                                <w:color w:val="000000"/>
                                <w:lang w:val="es-ES"/>
                              </w:rPr>
                              <w:t xml:space="preserve">se examinará en la </w:t>
                            </w:r>
                            <w:r w:rsidRPr="006060F1">
                              <w:rPr>
                                <w:rFonts w:ascii="Calibri" w:hAnsi="Calibri" w:cs="Calibri"/>
                                <w:color w:val="000000"/>
                                <w:lang w:val="es-ES"/>
                              </w:rPr>
                              <w:t>14</w:t>
                            </w:r>
                            <w:r w:rsidR="00B125BC" w:rsidRPr="006060F1">
                              <w:rPr>
                                <w:rFonts w:ascii="Calibri" w:hAnsi="Calibri" w:cs="Calibri"/>
                                <w:color w:val="000000"/>
                                <w:lang w:val="es-ES"/>
                              </w:rPr>
                              <w:t>ª reunión de la Conferencia de las Partes Contratantes.</w:t>
                            </w:r>
                          </w:p>
                          <w:p w14:paraId="09907D18" w14:textId="77777777" w:rsidR="002A7D94" w:rsidRPr="006060F1" w:rsidRDefault="002A7D94" w:rsidP="00192D1F">
                            <w:pPr>
                              <w:rPr>
                                <w:lang w:val="es-ES"/>
                              </w:rPr>
                            </w:pPr>
                          </w:p>
                        </w:txbxContent>
                      </wps:txbx>
                      <wps:bodyPr rot="0" vert="horz" wrap="square" lIns="91440" tIns="45720" rIns="91440" bIns="45720" anchor="t" anchorCtr="0" upright="1">
                        <a:noAutofit/>
                      </wps:bodyPr>
                    </wps:wsp>
                  </a:graphicData>
                </a:graphic>
              </wp:inline>
            </w:drawing>
          </mc:Choice>
          <mc:Fallback>
            <w:pict>
              <v:shapetype w14:anchorId="0A4D4371" id="_x0000_t202" coordsize="21600,21600" o:spt="202" path="m,l,21600r21600,l21600,xe">
                <v:stroke joinstyle="miter"/>
                <v:path gradientshapeok="t" o:connecttype="rect"/>
              </v:shapetype>
              <v:shape id="Text Box 5" o:spid="_x0000_s1026" type="#_x0000_t202" style="width:461pt;height:2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">
                <v:textbox>
                  <w:txbxContent>
                    <w:p w14:paraId="410FD682" w14:textId="17978750" w:rsidR="002A7D94" w:rsidRPr="006060F1" w:rsidRDefault="002A7D94" w:rsidP="009C2848">
                      <w:pPr>
                        <w:rPr>
                          <w:rFonts w:ascii="Calibri" w:hAnsi="Calibri"/>
                          <w:b/>
                          <w:bCs/>
                          <w:lang w:val="es-ES"/>
                        </w:rPr>
                      </w:pPr>
                      <w:r w:rsidRPr="006060F1">
                        <w:rPr>
                          <w:rFonts w:ascii="Calibri" w:hAnsi="Calibri"/>
                          <w:b/>
                          <w:bCs/>
                          <w:lang w:val="es-ES"/>
                        </w:rPr>
                        <w:t>Ac</w:t>
                      </w:r>
                      <w:r w:rsidR="00E624D9" w:rsidRPr="006060F1">
                        <w:rPr>
                          <w:rFonts w:ascii="Calibri" w:hAnsi="Calibri"/>
                          <w:b/>
                          <w:bCs/>
                          <w:lang w:val="es-ES"/>
                        </w:rPr>
                        <w:t>ciones solicitadas</w:t>
                      </w:r>
                      <w:r w:rsidRPr="006060F1">
                        <w:rPr>
                          <w:rFonts w:ascii="Calibri" w:hAnsi="Calibri"/>
                          <w:b/>
                          <w:bCs/>
                          <w:lang w:val="es-ES"/>
                        </w:rPr>
                        <w:t>:</w:t>
                      </w:r>
                    </w:p>
                    <w:p w14:paraId="17A5170A" w14:textId="52A7FDF8" w:rsidR="002A7D94" w:rsidRPr="006060F1" w:rsidRDefault="002A7D94" w:rsidP="009C2848">
                      <w:pPr>
                        <w:ind w:hanging="73"/>
                        <w:rPr>
                          <w:lang w:val="es-ES"/>
                        </w:rPr>
                      </w:pPr>
                      <w:r w:rsidRPr="006060F1">
                        <w:rPr>
                          <w:lang w:val="es-ES"/>
                        </w:rPr>
                        <w:t xml:space="preserve"> </w:t>
                      </w:r>
                      <w:r w:rsidR="00E624D9" w:rsidRPr="006060F1">
                        <w:rPr>
                          <w:lang w:val="es-ES"/>
                        </w:rPr>
                        <w:t xml:space="preserve">Se invita al </w:t>
                      </w:r>
                      <w:r w:rsidR="00A65B62" w:rsidRPr="006060F1">
                        <w:rPr>
                          <w:lang w:val="es-ES"/>
                        </w:rPr>
                        <w:t>Comité Permanente</w:t>
                      </w:r>
                      <w:r w:rsidRPr="006060F1">
                        <w:rPr>
                          <w:lang w:val="es-ES"/>
                        </w:rPr>
                        <w:t xml:space="preserve"> </w:t>
                      </w:r>
                      <w:r w:rsidR="00E624D9" w:rsidRPr="006060F1">
                        <w:rPr>
                          <w:lang w:val="es-ES"/>
                        </w:rPr>
                        <w:t>a hacer lo siguiente</w:t>
                      </w:r>
                      <w:r w:rsidRPr="006060F1">
                        <w:rPr>
                          <w:lang w:val="es-ES"/>
                        </w:rPr>
                        <w:t xml:space="preserve">: </w:t>
                      </w:r>
                    </w:p>
                    <w:p w14:paraId="33719DFF" w14:textId="05B48206" w:rsidR="002A7D94" w:rsidRPr="006060F1" w:rsidRDefault="001B3544" w:rsidP="001B3544">
                      <w:pPr>
                        <w:pStyle w:val="ListParagraph"/>
                        <w:ind w:left="425" w:hanging="425"/>
                        <w:jc w:val="left"/>
                        <w:rPr>
                          <w:rFonts w:cs="Garamond"/>
                          <w:i/>
                          <w:lang w:val="es-ES"/>
                        </w:rPr>
                      </w:pPr>
                      <w:r w:rsidRPr="006060F1">
                        <w:rPr>
                          <w:rFonts w:asciiTheme="minorHAnsi" w:hAnsiTheme="minorHAnsi"/>
                          <w:lang w:val="es-ES"/>
                        </w:rPr>
                        <w:t>i.</w:t>
                      </w:r>
                      <w:r w:rsidRPr="006060F1">
                        <w:rPr>
                          <w:rFonts w:asciiTheme="minorHAnsi" w:hAnsiTheme="minorHAnsi"/>
                          <w:lang w:val="es-ES"/>
                        </w:rPr>
                        <w:tab/>
                      </w:r>
                      <w:r w:rsidR="00E624D9" w:rsidRPr="006060F1">
                        <w:rPr>
                          <w:rFonts w:asciiTheme="minorHAnsi" w:hAnsiTheme="minorHAnsi"/>
                          <w:lang w:val="es-ES"/>
                        </w:rPr>
                        <w:t xml:space="preserve">tomar nota de los avances en la aplicación de la Resolución XIII.7, </w:t>
                      </w:r>
                      <w:r w:rsidR="00E624D9" w:rsidRPr="006060F1">
                        <w:rPr>
                          <w:rFonts w:asciiTheme="minorHAnsi" w:eastAsiaTheme="minorHAnsi" w:hAnsiTheme="minorHAnsi" w:cs="Garamond"/>
                          <w:i/>
                          <w:lang w:val="es-ES"/>
                        </w:rPr>
                        <w:t>Mejora de la visibilidad de la Convención y de las sinergias con otros acuerdos multilaterales sobre el medio ambiente e instituciones internacionales</w:t>
                      </w:r>
                      <w:r w:rsidR="00E624D9" w:rsidRPr="006060F1">
                        <w:rPr>
                          <w:rFonts w:asciiTheme="minorHAnsi" w:eastAsiaTheme="minorHAnsi" w:hAnsiTheme="minorHAnsi" w:cs="Garamond"/>
                          <w:lang w:val="es-ES"/>
                        </w:rPr>
                        <w:t>;</w:t>
                      </w:r>
                      <w:r w:rsidR="00E624D9" w:rsidRPr="006060F1">
                        <w:rPr>
                          <w:rFonts w:asciiTheme="minorHAnsi" w:eastAsiaTheme="minorHAnsi" w:hAnsiTheme="minorHAnsi" w:cs="Garamond"/>
                          <w:i/>
                          <w:lang w:val="es-ES"/>
                        </w:rPr>
                        <w:t xml:space="preserve"> </w:t>
                      </w:r>
                    </w:p>
                    <w:p w14:paraId="28C6FE6E" w14:textId="77777777" w:rsidR="002A7D94" w:rsidRPr="006060F1" w:rsidRDefault="002A7D94" w:rsidP="00AC0464">
                      <w:pPr>
                        <w:spacing w:after="0" w:line="240" w:lineRule="auto"/>
                        <w:ind w:left="425" w:hanging="425"/>
                        <w:rPr>
                          <w:rFonts w:cs="Garamond"/>
                          <w:i/>
                          <w:lang w:val="es-ES"/>
                        </w:rPr>
                      </w:pPr>
                    </w:p>
                    <w:p w14:paraId="751B7DAD" w14:textId="76E22C4E" w:rsidR="002A7D94" w:rsidRPr="006060F1" w:rsidRDefault="002A7D94" w:rsidP="00AC0464">
                      <w:pPr>
                        <w:spacing w:after="0" w:line="240" w:lineRule="auto"/>
                        <w:ind w:left="425" w:hanging="425"/>
                        <w:rPr>
                          <w:lang w:val="es-ES"/>
                        </w:rPr>
                      </w:pPr>
                      <w:r w:rsidRPr="006060F1">
                        <w:rPr>
                          <w:rFonts w:cs="Garamond"/>
                          <w:lang w:val="es-ES"/>
                        </w:rPr>
                        <w:t>ii.</w:t>
                      </w:r>
                      <w:r w:rsidRPr="006060F1">
                        <w:rPr>
                          <w:rFonts w:cs="Garamond"/>
                          <w:lang w:val="es-ES"/>
                        </w:rPr>
                        <w:tab/>
                        <w:t>t</w:t>
                      </w:r>
                      <w:r w:rsidR="001B3544" w:rsidRPr="006060F1">
                        <w:rPr>
                          <w:rFonts w:cs="Garamond"/>
                          <w:lang w:val="es-ES"/>
                        </w:rPr>
                        <w:t xml:space="preserve">omar nota del </w:t>
                      </w:r>
                      <w:r w:rsidRPr="006060F1">
                        <w:rPr>
                          <w:rFonts w:cs="Garamond"/>
                          <w:lang w:val="es-ES"/>
                        </w:rPr>
                        <w:t>document</w:t>
                      </w:r>
                      <w:r w:rsidR="001B3544" w:rsidRPr="006060F1">
                        <w:rPr>
                          <w:rFonts w:cs="Garamond"/>
                          <w:lang w:val="es-ES"/>
                        </w:rPr>
                        <w:t>o</w:t>
                      </w:r>
                      <w:r w:rsidRPr="006060F1">
                        <w:rPr>
                          <w:rFonts w:cs="Garamond"/>
                          <w:lang w:val="es-ES"/>
                        </w:rPr>
                        <w:t xml:space="preserve"> SC58</w:t>
                      </w:r>
                      <w:r w:rsidR="007521EC" w:rsidRPr="006060F1">
                        <w:rPr>
                          <w:rFonts w:cs="Garamond"/>
                          <w:lang w:val="es-ES"/>
                        </w:rPr>
                        <w:t xml:space="preserve"> Doc.</w:t>
                      </w:r>
                      <w:r w:rsidRPr="006060F1">
                        <w:rPr>
                          <w:rFonts w:cs="Garamond"/>
                          <w:lang w:val="es-ES"/>
                        </w:rPr>
                        <w:t xml:space="preserve">18 </w:t>
                      </w:r>
                      <w:r w:rsidR="001B3544" w:rsidRPr="006060F1">
                        <w:rPr>
                          <w:rFonts w:cs="Garamond"/>
                          <w:lang w:val="es-ES"/>
                        </w:rPr>
                        <w:t xml:space="preserve">y brindar orientaciones a la Secretaría sobre el plan para reforzar las sinergias con otros AMMA y las contribuciones al marco de la diversidad biológica posterior a 2020 con arreglo a la Resolución </w:t>
                      </w:r>
                      <w:r w:rsidRPr="006060F1">
                        <w:rPr>
                          <w:rFonts w:cstheme="minorHAnsi"/>
                          <w:lang w:val="es-ES"/>
                        </w:rPr>
                        <w:t>XIII.7;</w:t>
                      </w:r>
                    </w:p>
                    <w:p w14:paraId="0B708C3C" w14:textId="77777777" w:rsidR="002A7D94" w:rsidRPr="006060F1" w:rsidRDefault="002A7D94" w:rsidP="00AC0464">
                      <w:pPr>
                        <w:pStyle w:val="ListParagraph"/>
                        <w:ind w:left="425" w:hanging="425"/>
                        <w:rPr>
                          <w:rFonts w:asciiTheme="minorHAnsi" w:hAnsiTheme="minorHAnsi"/>
                          <w:lang w:val="es-ES"/>
                        </w:rPr>
                      </w:pPr>
                    </w:p>
                    <w:p w14:paraId="3AB14D22" w14:textId="0E4781A9" w:rsidR="002A7D94" w:rsidRPr="006060F1" w:rsidRDefault="002A7D94" w:rsidP="00B125BC">
                      <w:pPr>
                        <w:spacing w:after="0" w:line="240" w:lineRule="auto"/>
                        <w:ind w:left="425" w:hanging="425"/>
                        <w:rPr>
                          <w:rFonts w:eastAsia="MS Mincho" w:cstheme="minorHAnsi"/>
                          <w:lang w:val="es-ES" w:eastAsia="ja-JP"/>
                        </w:rPr>
                      </w:pPr>
                      <w:r w:rsidRPr="006060F1">
                        <w:rPr>
                          <w:rFonts w:eastAsia="MS Mincho" w:cstheme="minorHAnsi"/>
                          <w:lang w:val="es-ES" w:eastAsia="ja-JP"/>
                        </w:rPr>
                        <w:t>iii.</w:t>
                      </w:r>
                      <w:r w:rsidRPr="006060F1">
                        <w:rPr>
                          <w:rFonts w:eastAsia="MS Mincho" w:cstheme="minorHAnsi"/>
                          <w:lang w:val="es-ES" w:eastAsia="ja-JP"/>
                        </w:rPr>
                        <w:tab/>
                        <w:t>t</w:t>
                      </w:r>
                      <w:r w:rsidR="001B3544" w:rsidRPr="006060F1">
                        <w:rPr>
                          <w:rFonts w:eastAsia="MS Mincho" w:cstheme="minorHAnsi"/>
                          <w:lang w:val="es-ES" w:eastAsia="ja-JP"/>
                        </w:rPr>
                        <w:t xml:space="preserve">omar nota del examen del quinto Plan de Trabajo Conjunto </w:t>
                      </w:r>
                      <w:r w:rsidRPr="006060F1">
                        <w:rPr>
                          <w:rFonts w:eastAsia="MS Mincho" w:cstheme="minorHAnsi"/>
                          <w:lang w:val="es-ES" w:eastAsia="ja-JP"/>
                        </w:rPr>
                        <w:t xml:space="preserve">2011-2020 </w:t>
                      </w:r>
                      <w:r w:rsidR="007521EC" w:rsidRPr="006060F1">
                        <w:rPr>
                          <w:rFonts w:eastAsia="MS Mincho" w:cstheme="minorHAnsi"/>
                          <w:lang w:val="es-ES" w:eastAsia="ja-JP"/>
                        </w:rPr>
                        <w:t>(document</w:t>
                      </w:r>
                      <w:r w:rsidR="001B3544" w:rsidRPr="006060F1">
                        <w:rPr>
                          <w:rFonts w:eastAsia="MS Mincho" w:cstheme="minorHAnsi"/>
                          <w:lang w:val="es-ES" w:eastAsia="ja-JP"/>
                        </w:rPr>
                        <w:t xml:space="preserve">o </w:t>
                      </w:r>
                      <w:r w:rsidR="007521EC" w:rsidRPr="006060F1">
                        <w:rPr>
                          <w:rFonts w:eastAsia="MS Mincho" w:cstheme="minorHAnsi"/>
                          <w:lang w:val="es-ES" w:eastAsia="ja-JP"/>
                        </w:rPr>
                        <w:t xml:space="preserve">SC59 Doc.16.1) </w:t>
                      </w:r>
                      <w:r w:rsidR="001B3544" w:rsidRPr="006060F1">
                        <w:rPr>
                          <w:rFonts w:eastAsia="MS Mincho" w:cstheme="minorHAnsi"/>
                          <w:lang w:val="es-ES" w:eastAsia="ja-JP"/>
                        </w:rPr>
                        <w:t>entre las Secretarías de la Convención sobre los Humedales y el Convenio sobre la Diversidad Biológica</w:t>
                      </w:r>
                      <w:r w:rsidR="00B125BC" w:rsidRPr="006060F1">
                        <w:rPr>
                          <w:rFonts w:eastAsia="MS Mincho" w:cstheme="minorHAnsi"/>
                          <w:lang w:val="es-ES" w:eastAsia="ja-JP"/>
                        </w:rPr>
                        <w:t>, que sirve de base para la preparación de un plan de trabajo conjunto actualizado; y</w:t>
                      </w:r>
                    </w:p>
                    <w:p w14:paraId="31F00302" w14:textId="77777777" w:rsidR="00B125BC" w:rsidRPr="006060F1" w:rsidRDefault="00B125BC" w:rsidP="00B125BC">
                      <w:pPr>
                        <w:spacing w:after="0" w:line="240" w:lineRule="auto"/>
                        <w:ind w:left="425" w:hanging="425"/>
                        <w:rPr>
                          <w:lang w:val="es-ES"/>
                        </w:rPr>
                      </w:pPr>
                    </w:p>
                    <w:p w14:paraId="3EE8F1C9" w14:textId="30B9C0CC" w:rsidR="002A7D94" w:rsidRPr="008D2577" w:rsidRDefault="002A7D94" w:rsidP="008D2577">
                      <w:pPr>
                        <w:autoSpaceDE w:val="0"/>
                        <w:autoSpaceDN w:val="0"/>
                        <w:adjustRightInd w:val="0"/>
                        <w:spacing w:after="0" w:line="240" w:lineRule="auto"/>
                        <w:ind w:left="425" w:hanging="425"/>
                        <w:rPr>
                          <w:rFonts w:ascii="Calibri" w:hAnsi="Calibri" w:cs="Calibri"/>
                          <w:color w:val="000000" w:themeColor="text1"/>
                          <w:lang w:val="es-ES"/>
                        </w:rPr>
                      </w:pPr>
                      <w:r w:rsidRPr="006060F1">
                        <w:rPr>
                          <w:rFonts w:ascii="Calibri" w:hAnsi="Calibri" w:cs="Calibri"/>
                          <w:color w:val="000000"/>
                          <w:lang w:val="es-ES"/>
                        </w:rPr>
                        <w:t>iv.</w:t>
                      </w:r>
                      <w:r w:rsidRPr="006060F1">
                        <w:rPr>
                          <w:rFonts w:ascii="Calibri" w:hAnsi="Calibri" w:cs="Calibri"/>
                          <w:color w:val="000000"/>
                          <w:lang w:val="es-ES"/>
                        </w:rPr>
                        <w:tab/>
                      </w:r>
                      <w:r w:rsidR="00B125BC" w:rsidRPr="006060F1">
                        <w:rPr>
                          <w:rFonts w:ascii="Calibri" w:hAnsi="Calibri" w:cs="Calibri"/>
                          <w:color w:val="000000" w:themeColor="text1"/>
                          <w:lang w:val="es-ES"/>
                        </w:rPr>
                        <w:t xml:space="preserve">examinar el proyecto de resolución sobre la mejora de la visibilidad de la Convención y de las sinergias con otros AMMA </w:t>
                      </w:r>
                      <w:r w:rsidR="008D2577">
                        <w:rPr>
                          <w:rFonts w:ascii="Calibri" w:hAnsi="Calibri" w:cs="Calibri"/>
                          <w:color w:val="000000" w:themeColor="text1"/>
                          <w:lang w:val="es-ES"/>
                        </w:rPr>
                        <w:t xml:space="preserve">e </w:t>
                      </w:r>
                      <w:r w:rsidR="00B125BC" w:rsidRPr="006060F1">
                        <w:rPr>
                          <w:rFonts w:ascii="Calibri" w:hAnsi="Calibri" w:cs="Calibri"/>
                          <w:color w:val="000000" w:themeColor="text1"/>
                          <w:lang w:val="es-ES"/>
                        </w:rPr>
                        <w:t xml:space="preserve">instituciones internacionales que figura en el </w:t>
                      </w:r>
                      <w:r w:rsidR="00617103" w:rsidRPr="006060F1">
                        <w:rPr>
                          <w:rFonts w:ascii="Calibri" w:hAnsi="Calibri" w:cs="Calibri"/>
                          <w:color w:val="000000" w:themeColor="text1"/>
                          <w:lang w:val="es-ES"/>
                        </w:rPr>
                        <w:t>document</w:t>
                      </w:r>
                      <w:r w:rsidR="00B125BC" w:rsidRPr="006060F1">
                        <w:rPr>
                          <w:rFonts w:ascii="Calibri" w:hAnsi="Calibri" w:cs="Calibri"/>
                          <w:color w:val="000000" w:themeColor="text1"/>
                          <w:lang w:val="es-ES"/>
                        </w:rPr>
                        <w:t>o</w:t>
                      </w:r>
                      <w:r w:rsidR="00617103" w:rsidRPr="006060F1">
                        <w:rPr>
                          <w:rFonts w:ascii="Calibri" w:hAnsi="Calibri" w:cs="Calibri"/>
                          <w:color w:val="000000" w:themeColor="text1"/>
                          <w:lang w:val="es-ES"/>
                        </w:rPr>
                        <w:t xml:space="preserve"> SC59 Doc.16</w:t>
                      </w:r>
                      <w:r w:rsidR="00596D9D">
                        <w:rPr>
                          <w:rFonts w:ascii="Calibri" w:hAnsi="Calibri" w:cs="Calibri"/>
                          <w:color w:val="000000" w:themeColor="text1"/>
                          <w:lang w:val="es-ES"/>
                        </w:rPr>
                        <w:t xml:space="preserve"> (</w:t>
                      </w:r>
                      <w:hyperlink r:id="rId9" w:history="1">
                        <w:r w:rsidR="00596D9D" w:rsidRPr="00A03541">
                          <w:rPr>
                            <w:rStyle w:val="Hyperlink"/>
                            <w:rFonts w:ascii="Calibri" w:hAnsi="Calibri" w:cs="Calibri"/>
                            <w:lang w:val="es-ES"/>
                          </w:rPr>
                          <w:t>https://www.ramsar.org/es/documento/sc59-doc16-mejora-de-la-visibilidad-de-la-convencion-y-de-las-sinergias-con-otros-acuerdos</w:t>
                        </w:r>
                      </w:hyperlink>
                      <w:r w:rsidR="00596D9D">
                        <w:rPr>
                          <w:rFonts w:ascii="Calibri" w:hAnsi="Calibri" w:cs="Calibri"/>
                          <w:color w:val="000000" w:themeColor="text1"/>
                          <w:lang w:val="es-ES"/>
                        </w:rPr>
                        <w:t>)</w:t>
                      </w:r>
                      <w:r w:rsidRPr="006060F1">
                        <w:rPr>
                          <w:rFonts w:ascii="Calibri" w:hAnsi="Calibri" w:cs="Calibri"/>
                          <w:color w:val="000000" w:themeColor="text1"/>
                          <w:lang w:val="es-ES"/>
                        </w:rPr>
                        <w:t xml:space="preserve">, </w:t>
                      </w:r>
                      <w:r w:rsidR="00B125BC" w:rsidRPr="006060F1">
                        <w:rPr>
                          <w:rFonts w:ascii="Calibri" w:hAnsi="Calibri" w:cs="Calibri"/>
                          <w:color w:val="000000" w:themeColor="text1"/>
                          <w:lang w:val="es-ES"/>
                        </w:rPr>
                        <w:t xml:space="preserve">que </w:t>
                      </w:r>
                      <w:r w:rsidR="00B125BC" w:rsidRPr="006060F1">
                        <w:rPr>
                          <w:rFonts w:ascii="Calibri" w:hAnsi="Calibri" w:cs="Calibri"/>
                          <w:color w:val="000000"/>
                          <w:lang w:val="es-ES"/>
                        </w:rPr>
                        <w:t xml:space="preserve">se examinará en la </w:t>
                      </w:r>
                      <w:r w:rsidRPr="006060F1">
                        <w:rPr>
                          <w:rFonts w:ascii="Calibri" w:hAnsi="Calibri" w:cs="Calibri"/>
                          <w:color w:val="000000"/>
                          <w:lang w:val="es-ES"/>
                        </w:rPr>
                        <w:t>14</w:t>
                      </w:r>
                      <w:r w:rsidR="00B125BC" w:rsidRPr="006060F1">
                        <w:rPr>
                          <w:rFonts w:ascii="Calibri" w:hAnsi="Calibri" w:cs="Calibri"/>
                          <w:color w:val="000000"/>
                          <w:lang w:val="es-ES"/>
                        </w:rPr>
                        <w:t>ª reunión de la Conferencia de las Partes Contratantes.</w:t>
                      </w:r>
                    </w:p>
                    <w:p w14:paraId="09907D18" w14:textId="77777777" w:rsidR="002A7D94" w:rsidRPr="006060F1" w:rsidRDefault="002A7D94" w:rsidP="00192D1F">
                      <w:pPr>
                        <w:rPr>
                          <w:lang w:val="es-ES"/>
                        </w:rPr>
                      </w:pPr>
                    </w:p>
                  </w:txbxContent>
                </v:textbox>
                <w10:anchorlock/>
              </v:shape>
            </w:pict>
          </mc:Fallback>
        </mc:AlternateContent>
      </w:r>
    </w:p>
    <w:p w14:paraId="4D5BC257" w14:textId="77777777" w:rsidR="009C2848" w:rsidRPr="006060F1" w:rsidRDefault="009C2848" w:rsidP="009C2848">
      <w:pPr>
        <w:autoSpaceDE w:val="0"/>
        <w:autoSpaceDN w:val="0"/>
        <w:adjustRightInd w:val="0"/>
        <w:spacing w:after="0" w:line="240" w:lineRule="auto"/>
        <w:ind w:left="357" w:hanging="357"/>
        <w:jc w:val="both"/>
        <w:rPr>
          <w:rFonts w:cstheme="minorHAnsi"/>
          <w:b/>
          <w:bCs/>
          <w:lang w:val="es-ES"/>
        </w:rPr>
      </w:pPr>
    </w:p>
    <w:p w14:paraId="543B5D4B" w14:textId="77777777" w:rsidR="009C2848" w:rsidRPr="006060F1" w:rsidRDefault="009C2848" w:rsidP="009C2848">
      <w:pPr>
        <w:autoSpaceDE w:val="0"/>
        <w:autoSpaceDN w:val="0"/>
        <w:adjustRightInd w:val="0"/>
        <w:spacing w:after="0" w:line="240" w:lineRule="auto"/>
        <w:ind w:left="357" w:hanging="357"/>
        <w:jc w:val="both"/>
        <w:rPr>
          <w:rFonts w:cstheme="minorHAnsi"/>
          <w:b/>
          <w:bCs/>
          <w:lang w:val="es-ES"/>
        </w:rPr>
      </w:pPr>
    </w:p>
    <w:p w14:paraId="0476F059" w14:textId="7F5ACB8A" w:rsidR="009C2848" w:rsidRPr="006060F1" w:rsidRDefault="00A65B62" w:rsidP="007D3790">
      <w:pPr>
        <w:autoSpaceDE w:val="0"/>
        <w:autoSpaceDN w:val="0"/>
        <w:adjustRightInd w:val="0"/>
        <w:spacing w:after="0" w:line="240" w:lineRule="auto"/>
        <w:ind w:left="357" w:hanging="357"/>
        <w:jc w:val="both"/>
        <w:rPr>
          <w:rFonts w:cstheme="minorHAnsi"/>
          <w:b/>
          <w:bCs/>
          <w:lang w:val="es-ES"/>
        </w:rPr>
      </w:pPr>
      <w:r w:rsidRPr="006060F1">
        <w:rPr>
          <w:rFonts w:cstheme="minorHAnsi"/>
          <w:b/>
          <w:bCs/>
          <w:lang w:val="es-ES"/>
        </w:rPr>
        <w:t>Antecedentes</w:t>
      </w:r>
    </w:p>
    <w:p w14:paraId="61EF4199" w14:textId="77777777" w:rsidR="009C2848" w:rsidRPr="006060F1" w:rsidRDefault="009C2848" w:rsidP="007D3790">
      <w:pPr>
        <w:autoSpaceDE w:val="0"/>
        <w:autoSpaceDN w:val="0"/>
        <w:adjustRightInd w:val="0"/>
        <w:spacing w:after="0" w:line="240" w:lineRule="auto"/>
        <w:ind w:left="426" w:hanging="426"/>
        <w:jc w:val="both"/>
        <w:rPr>
          <w:rFonts w:eastAsia="Times New Roman" w:cstheme="minorHAnsi"/>
          <w:lang w:val="es-ES" w:eastAsia="en-GB"/>
        </w:rPr>
      </w:pPr>
      <w:bookmarkStart w:id="0" w:name="_GoBack"/>
      <w:bookmarkEnd w:id="0"/>
    </w:p>
    <w:p w14:paraId="32B47E6C" w14:textId="5363E77C" w:rsidR="009C2848" w:rsidRPr="006060F1" w:rsidRDefault="009C2848" w:rsidP="007D3790">
      <w:pPr>
        <w:suppressAutoHyphens/>
        <w:spacing w:after="0" w:line="240" w:lineRule="auto"/>
        <w:ind w:left="425" w:hanging="425"/>
        <w:rPr>
          <w:rFonts w:eastAsia="Times New Roman" w:cstheme="minorHAnsi"/>
          <w:bCs/>
          <w:lang w:val="es-ES" w:eastAsia="en-GB"/>
        </w:rPr>
      </w:pPr>
      <w:r w:rsidRPr="006060F1">
        <w:rPr>
          <w:rFonts w:eastAsia="Times New Roman" w:cstheme="minorHAnsi"/>
          <w:bCs/>
          <w:lang w:val="es-ES" w:eastAsia="en-GB"/>
        </w:rPr>
        <w:t>1.</w:t>
      </w:r>
      <w:r w:rsidRPr="006060F1">
        <w:rPr>
          <w:rFonts w:eastAsia="Times New Roman" w:cstheme="minorHAnsi"/>
          <w:bCs/>
          <w:lang w:val="es-ES" w:eastAsia="en-GB"/>
        </w:rPr>
        <w:tab/>
      </w:r>
      <w:r w:rsidR="00B125BC" w:rsidRPr="006060F1">
        <w:rPr>
          <w:rFonts w:cstheme="minorHAnsi"/>
          <w:bCs/>
          <w:lang w:val="es-ES"/>
        </w:rPr>
        <w:t xml:space="preserve">En la Resolución XIII.7, </w:t>
      </w:r>
      <w:r w:rsidR="00B125BC" w:rsidRPr="006060F1">
        <w:rPr>
          <w:rFonts w:cs="Garamond"/>
          <w:i/>
          <w:lang w:val="es-ES"/>
        </w:rPr>
        <w:t>Mejora de la visibilidad de la Convención y de las sinergias con otros acuerdos multilaterales sobre el medio ambiente e instituciones internacionales</w:t>
      </w:r>
      <w:r w:rsidR="00B125BC" w:rsidRPr="006060F1">
        <w:rPr>
          <w:rFonts w:cstheme="minorHAnsi"/>
          <w:bCs/>
          <w:lang w:val="es-ES"/>
        </w:rPr>
        <w:t xml:space="preserve">, se encarga a la Secretaría que informe periódicamente al Comité Permanente sobre los progresos en la aplicación de esta resolución y la Resolución XI.6, </w:t>
      </w:r>
      <w:r w:rsidR="00B125BC" w:rsidRPr="006060F1">
        <w:rPr>
          <w:rFonts w:cstheme="minorHAnsi"/>
          <w:bCs/>
          <w:i/>
          <w:lang w:val="es-ES"/>
        </w:rPr>
        <w:t>Asociaciones de colaboración y sinergias con acuerdos multilaterales sobre el medio ambiente y otras instituciones.</w:t>
      </w:r>
      <w:r w:rsidRPr="006060F1">
        <w:rPr>
          <w:rFonts w:eastAsia="Times New Roman" w:cstheme="minorHAnsi"/>
          <w:bCs/>
          <w:lang w:val="es-ES" w:eastAsia="en-GB"/>
        </w:rPr>
        <w:t xml:space="preserve"> </w:t>
      </w:r>
    </w:p>
    <w:p w14:paraId="5162C808" w14:textId="77777777" w:rsidR="00B7760D" w:rsidRPr="006060F1" w:rsidRDefault="00B7760D" w:rsidP="007D3790">
      <w:pPr>
        <w:suppressAutoHyphens/>
        <w:spacing w:after="0" w:line="240" w:lineRule="auto"/>
        <w:ind w:left="425" w:hanging="425"/>
        <w:rPr>
          <w:rFonts w:eastAsia="Times New Roman" w:cstheme="minorHAnsi"/>
          <w:bCs/>
          <w:lang w:val="es-ES" w:eastAsia="en-GB"/>
        </w:rPr>
      </w:pPr>
    </w:p>
    <w:p w14:paraId="55A0A9BB" w14:textId="2FA68B4D" w:rsidR="009F5E4F" w:rsidRPr="006060F1" w:rsidRDefault="007D37D5" w:rsidP="007D3790">
      <w:pPr>
        <w:tabs>
          <w:tab w:val="left" w:pos="0"/>
        </w:tabs>
        <w:autoSpaceDE w:val="0"/>
        <w:autoSpaceDN w:val="0"/>
        <w:adjustRightInd w:val="0"/>
        <w:spacing w:after="0" w:line="240" w:lineRule="auto"/>
        <w:ind w:left="425" w:hanging="425"/>
        <w:rPr>
          <w:rFonts w:eastAsia="Times New Roman" w:cstheme="minorHAnsi"/>
          <w:lang w:val="es-ES" w:eastAsia="en-GB"/>
        </w:rPr>
      </w:pPr>
      <w:r w:rsidRPr="006060F1">
        <w:rPr>
          <w:rFonts w:eastAsia="Times New Roman" w:cstheme="minorHAnsi"/>
          <w:bCs/>
          <w:lang w:val="es-ES" w:eastAsia="en-GB"/>
        </w:rPr>
        <w:t>2.</w:t>
      </w:r>
      <w:r w:rsidR="00CC61EE" w:rsidRPr="006060F1">
        <w:rPr>
          <w:rFonts w:eastAsia="Times New Roman" w:cstheme="minorHAnsi"/>
          <w:bCs/>
          <w:lang w:val="es-ES" w:eastAsia="en-GB"/>
        </w:rPr>
        <w:tab/>
      </w:r>
      <w:r w:rsidR="00B125BC" w:rsidRPr="006060F1">
        <w:rPr>
          <w:rFonts w:eastAsia="Times New Roman" w:cstheme="minorHAnsi"/>
          <w:bCs/>
          <w:lang w:val="es-ES" w:eastAsia="en-GB"/>
        </w:rPr>
        <w:t xml:space="preserve">La Secretaría preparó los documentos </w:t>
      </w:r>
      <w:r w:rsidR="009F5E4F" w:rsidRPr="006060F1">
        <w:rPr>
          <w:rFonts w:eastAsia="Times New Roman" w:cstheme="minorHAnsi"/>
          <w:lang w:val="es-ES" w:eastAsia="en-GB"/>
        </w:rPr>
        <w:t>SC58</w:t>
      </w:r>
      <w:r w:rsidR="00DD3E67">
        <w:rPr>
          <w:rFonts w:eastAsia="Times New Roman" w:cstheme="minorHAnsi"/>
          <w:lang w:val="es-ES" w:eastAsia="en-GB"/>
        </w:rPr>
        <w:t xml:space="preserve"> Doc</w:t>
      </w:r>
      <w:r w:rsidR="00784E88" w:rsidRPr="006060F1">
        <w:rPr>
          <w:rFonts w:eastAsia="Times New Roman" w:cstheme="minorHAnsi"/>
          <w:lang w:val="es-ES" w:eastAsia="en-GB"/>
        </w:rPr>
        <w:t>18</w:t>
      </w:r>
      <w:r w:rsidR="0009108D" w:rsidRPr="006060F1">
        <w:rPr>
          <w:rStyle w:val="FootnoteReference"/>
          <w:rFonts w:eastAsia="Times New Roman" w:cstheme="minorHAnsi"/>
          <w:lang w:val="es-ES" w:eastAsia="en-GB"/>
        </w:rPr>
        <w:footnoteReference w:id="1"/>
      </w:r>
      <w:r w:rsidR="00CA5126" w:rsidRPr="006060F1">
        <w:rPr>
          <w:rFonts w:eastAsia="Times New Roman" w:cstheme="minorHAnsi"/>
          <w:bCs/>
          <w:lang w:val="es-ES" w:eastAsia="en-GB"/>
        </w:rPr>
        <w:t xml:space="preserve"> </w:t>
      </w:r>
      <w:r w:rsidR="00B125BC" w:rsidRPr="006060F1">
        <w:rPr>
          <w:rFonts w:eastAsia="Times New Roman" w:cstheme="minorHAnsi"/>
          <w:bCs/>
          <w:lang w:val="es-ES" w:eastAsia="en-GB"/>
        </w:rPr>
        <w:t>y</w:t>
      </w:r>
      <w:r w:rsidR="005D39DC" w:rsidRPr="006060F1">
        <w:rPr>
          <w:rFonts w:eastAsia="Times New Roman" w:cstheme="minorHAnsi"/>
          <w:bCs/>
          <w:lang w:val="es-ES" w:eastAsia="en-GB"/>
        </w:rPr>
        <w:t xml:space="preserve"> SC59</w:t>
      </w:r>
      <w:r w:rsidR="00DD3E67">
        <w:rPr>
          <w:rFonts w:eastAsia="Times New Roman" w:cstheme="minorHAnsi"/>
          <w:bCs/>
          <w:lang w:val="es-ES" w:eastAsia="en-GB"/>
        </w:rPr>
        <w:t xml:space="preserve"> Doc</w:t>
      </w:r>
      <w:r w:rsidR="005D39DC" w:rsidRPr="006060F1">
        <w:rPr>
          <w:rFonts w:eastAsia="Times New Roman" w:cstheme="minorHAnsi"/>
          <w:bCs/>
          <w:lang w:val="es-ES" w:eastAsia="en-GB"/>
        </w:rPr>
        <w:t>16</w:t>
      </w:r>
      <w:r w:rsidR="007D3790">
        <w:rPr>
          <w:rStyle w:val="FootnoteReference"/>
          <w:rFonts w:eastAsia="Times New Roman" w:cstheme="minorHAnsi"/>
          <w:bCs/>
          <w:lang w:val="es-ES" w:eastAsia="en-GB"/>
        </w:rPr>
        <w:footnoteReference w:id="2"/>
      </w:r>
      <w:r w:rsidR="00B125BC" w:rsidRPr="006060F1">
        <w:rPr>
          <w:rFonts w:eastAsia="Times New Roman" w:cstheme="minorHAnsi"/>
          <w:bCs/>
          <w:lang w:val="es-ES" w:eastAsia="en-GB"/>
        </w:rPr>
        <w:t xml:space="preserve">, </w:t>
      </w:r>
      <w:r w:rsidR="00B125BC" w:rsidRPr="006060F1">
        <w:rPr>
          <w:rFonts w:eastAsia="Times New Roman" w:cstheme="minorHAnsi"/>
          <w:bCs/>
          <w:i/>
          <w:iCs/>
          <w:lang w:val="es-ES" w:eastAsia="en-GB"/>
        </w:rPr>
        <w:t xml:space="preserve">Mejora de la visibilidad de la Convención y de las sinergias con otros acuerdos multilaterales sobre el medio ambiente y otras </w:t>
      </w:r>
      <w:r w:rsidR="00B125BC" w:rsidRPr="006060F1">
        <w:rPr>
          <w:rFonts w:eastAsia="Times New Roman" w:cstheme="minorHAnsi"/>
          <w:bCs/>
          <w:i/>
          <w:iCs/>
          <w:lang w:val="es-ES" w:eastAsia="en-GB"/>
        </w:rPr>
        <w:lastRenderedPageBreak/>
        <w:t>instituciones internacionales</w:t>
      </w:r>
      <w:r w:rsidR="004B34A8" w:rsidRPr="006060F1">
        <w:rPr>
          <w:rFonts w:eastAsia="Times New Roman" w:cstheme="minorHAnsi"/>
          <w:bCs/>
          <w:lang w:val="es-ES" w:eastAsia="en-GB"/>
        </w:rPr>
        <w:t xml:space="preserve">, sobre los progresos en la aplicación de las resoluciones </w:t>
      </w:r>
      <w:r w:rsidR="009F5E4F" w:rsidRPr="006060F1">
        <w:rPr>
          <w:rFonts w:eastAsia="Times New Roman" w:cstheme="minorHAnsi"/>
          <w:lang w:val="es-ES" w:eastAsia="en-GB"/>
        </w:rPr>
        <w:t>XIII.7</w:t>
      </w:r>
      <w:r w:rsidR="005D39DC" w:rsidRPr="006060F1">
        <w:rPr>
          <w:rFonts w:eastAsia="Times New Roman" w:cstheme="minorHAnsi"/>
          <w:lang w:val="es-ES" w:eastAsia="en-GB"/>
        </w:rPr>
        <w:t xml:space="preserve"> </w:t>
      </w:r>
      <w:r w:rsidR="004B34A8" w:rsidRPr="006060F1">
        <w:rPr>
          <w:rFonts w:eastAsia="Times New Roman" w:cstheme="minorHAnsi"/>
          <w:lang w:val="es-ES" w:eastAsia="en-GB"/>
        </w:rPr>
        <w:t>y</w:t>
      </w:r>
      <w:r w:rsidR="005D39DC" w:rsidRPr="006060F1">
        <w:rPr>
          <w:rFonts w:eastAsia="Times New Roman" w:cstheme="minorHAnsi"/>
          <w:lang w:val="es-ES" w:eastAsia="en-GB"/>
        </w:rPr>
        <w:t xml:space="preserve"> XI.6</w:t>
      </w:r>
      <w:r w:rsidR="001A0DB6" w:rsidRPr="006060F1">
        <w:rPr>
          <w:rFonts w:eastAsia="Times New Roman" w:cstheme="minorHAnsi"/>
          <w:lang w:val="es-ES" w:eastAsia="en-GB"/>
        </w:rPr>
        <w:t xml:space="preserve">. </w:t>
      </w:r>
      <w:r w:rsidR="00A65B62" w:rsidRPr="006060F1">
        <w:rPr>
          <w:rFonts w:eastAsia="Times New Roman" w:cstheme="minorHAnsi"/>
          <w:lang w:val="es-ES" w:eastAsia="en-GB"/>
        </w:rPr>
        <w:t xml:space="preserve">El Anexo </w:t>
      </w:r>
      <w:r w:rsidR="001A0DB6" w:rsidRPr="006060F1">
        <w:rPr>
          <w:rFonts w:eastAsia="Times New Roman" w:cstheme="minorHAnsi"/>
          <w:lang w:val="es-ES" w:eastAsia="en-GB"/>
        </w:rPr>
        <w:t xml:space="preserve">1 </w:t>
      </w:r>
      <w:r w:rsidR="00A65B62" w:rsidRPr="006060F1">
        <w:rPr>
          <w:rFonts w:eastAsia="Times New Roman" w:cstheme="minorHAnsi"/>
          <w:lang w:val="es-ES" w:eastAsia="en-GB"/>
        </w:rPr>
        <w:t xml:space="preserve">del documento </w:t>
      </w:r>
      <w:r w:rsidR="001A0DB6" w:rsidRPr="006060F1">
        <w:rPr>
          <w:rFonts w:eastAsia="Times New Roman" w:cstheme="minorHAnsi"/>
          <w:lang w:val="es-ES" w:eastAsia="en-GB"/>
        </w:rPr>
        <w:t>SC58-</w:t>
      </w:r>
      <w:r w:rsidR="00DD3E67">
        <w:rPr>
          <w:rFonts w:eastAsia="Times New Roman" w:cstheme="minorHAnsi"/>
          <w:lang w:val="es-ES" w:eastAsia="en-GB"/>
        </w:rPr>
        <w:t>Doc</w:t>
      </w:r>
      <w:r w:rsidR="001A0DB6" w:rsidRPr="006060F1">
        <w:rPr>
          <w:rFonts w:eastAsia="Times New Roman" w:cstheme="minorHAnsi"/>
          <w:lang w:val="es-ES" w:eastAsia="en-GB"/>
        </w:rPr>
        <w:t>18</w:t>
      </w:r>
      <w:r w:rsidR="00A65B62" w:rsidRPr="006060F1">
        <w:rPr>
          <w:rFonts w:eastAsia="Times New Roman" w:cstheme="minorHAnsi"/>
          <w:lang w:val="es-ES" w:eastAsia="en-GB"/>
        </w:rPr>
        <w:t xml:space="preserve"> contiene el plan para reforzar las sinergias con otros AMMA y las contribuciones al marco mundial de la diversidad biológica posterior a </w:t>
      </w:r>
      <w:r w:rsidR="001A0DB6" w:rsidRPr="006060F1">
        <w:rPr>
          <w:rFonts w:eastAsia="Times New Roman" w:cstheme="minorHAnsi"/>
          <w:lang w:val="es-ES" w:eastAsia="en-GB"/>
        </w:rPr>
        <w:t>2020</w:t>
      </w:r>
      <w:r w:rsidR="00A65B62" w:rsidRPr="006060F1">
        <w:rPr>
          <w:rFonts w:eastAsia="Times New Roman" w:cstheme="minorHAnsi"/>
          <w:lang w:val="es-ES" w:eastAsia="en-GB"/>
        </w:rPr>
        <w:t xml:space="preserve"> para que lo examine el Comité Permanente</w:t>
      </w:r>
      <w:r w:rsidR="001A0DB6" w:rsidRPr="006060F1">
        <w:rPr>
          <w:rFonts w:eastAsia="Times New Roman" w:cstheme="minorHAnsi"/>
          <w:lang w:val="es-ES" w:eastAsia="en-GB"/>
        </w:rPr>
        <w:t xml:space="preserve">. </w:t>
      </w:r>
      <w:r w:rsidR="00A65B62" w:rsidRPr="006060F1">
        <w:rPr>
          <w:rFonts w:eastAsia="Times New Roman" w:cstheme="minorHAnsi"/>
          <w:lang w:val="es-ES" w:eastAsia="en-GB"/>
        </w:rPr>
        <w:t xml:space="preserve">No obstante, estos documentos no </w:t>
      </w:r>
      <w:r w:rsidR="00462CDF" w:rsidRPr="006060F1">
        <w:rPr>
          <w:rFonts w:eastAsia="Times New Roman" w:cstheme="minorHAnsi"/>
          <w:lang w:val="es-ES" w:eastAsia="en-GB"/>
        </w:rPr>
        <w:t xml:space="preserve">se trataron en el proceso entre períodos de sesiones de la 58ª </w:t>
      </w:r>
      <w:r w:rsidR="004B34A8" w:rsidRPr="006060F1">
        <w:rPr>
          <w:rFonts w:eastAsia="Times New Roman" w:cstheme="minorHAnsi"/>
          <w:lang w:val="es-ES" w:eastAsia="en-GB"/>
        </w:rPr>
        <w:t xml:space="preserve">y la 59ª </w:t>
      </w:r>
      <w:r w:rsidR="00462CDF" w:rsidRPr="006060F1">
        <w:rPr>
          <w:rFonts w:eastAsia="Times New Roman" w:cstheme="minorHAnsi"/>
          <w:lang w:val="es-ES" w:eastAsia="en-GB"/>
        </w:rPr>
        <w:t>reuni</w:t>
      </w:r>
      <w:r w:rsidR="004B34A8" w:rsidRPr="006060F1">
        <w:rPr>
          <w:rFonts w:eastAsia="Times New Roman" w:cstheme="minorHAnsi"/>
          <w:lang w:val="es-ES" w:eastAsia="en-GB"/>
        </w:rPr>
        <w:t xml:space="preserve">ones del </w:t>
      </w:r>
      <w:r w:rsidR="00A65B62" w:rsidRPr="006060F1">
        <w:rPr>
          <w:rFonts w:eastAsia="Times New Roman" w:cstheme="minorHAnsi"/>
          <w:lang w:val="es-ES" w:eastAsia="en-GB"/>
        </w:rPr>
        <w:t>Comité Permanente</w:t>
      </w:r>
      <w:r w:rsidR="009F5E4F" w:rsidRPr="006060F1">
        <w:rPr>
          <w:rFonts w:eastAsia="Times New Roman" w:cstheme="minorHAnsi"/>
          <w:lang w:val="es-ES" w:eastAsia="en-GB"/>
        </w:rPr>
        <w:t xml:space="preserve"> </w:t>
      </w:r>
      <w:r w:rsidR="00462CDF" w:rsidRPr="006060F1">
        <w:rPr>
          <w:rFonts w:eastAsia="Times New Roman" w:cstheme="minorHAnsi"/>
          <w:lang w:val="es-ES" w:eastAsia="en-GB"/>
        </w:rPr>
        <w:t xml:space="preserve">en </w:t>
      </w:r>
      <w:r w:rsidR="004B34A8" w:rsidRPr="006060F1">
        <w:rPr>
          <w:rFonts w:eastAsia="Times New Roman" w:cstheme="minorHAnsi"/>
          <w:lang w:val="es-ES" w:eastAsia="en-GB"/>
        </w:rPr>
        <w:t xml:space="preserve">2020 y junio de </w:t>
      </w:r>
      <w:r w:rsidR="009F5E4F" w:rsidRPr="006060F1">
        <w:rPr>
          <w:rFonts w:eastAsia="Times New Roman" w:cstheme="minorHAnsi"/>
          <w:lang w:val="es-ES" w:eastAsia="en-GB"/>
        </w:rPr>
        <w:t>202</w:t>
      </w:r>
      <w:r w:rsidR="004B34A8" w:rsidRPr="006060F1">
        <w:rPr>
          <w:rFonts w:eastAsia="Times New Roman" w:cstheme="minorHAnsi"/>
          <w:lang w:val="es-ES" w:eastAsia="en-GB"/>
        </w:rPr>
        <w:t>1, respectivamente</w:t>
      </w:r>
      <w:r w:rsidR="0040386B" w:rsidRPr="006060F1">
        <w:rPr>
          <w:rFonts w:eastAsia="Times New Roman" w:cstheme="minorHAnsi"/>
          <w:lang w:val="es-ES" w:eastAsia="en-GB"/>
        </w:rPr>
        <w:t>.</w:t>
      </w:r>
    </w:p>
    <w:p w14:paraId="0F9C4813" w14:textId="50E36AC5" w:rsidR="00B7760D" w:rsidRPr="006060F1" w:rsidRDefault="002D69D7" w:rsidP="007D3790">
      <w:pPr>
        <w:suppressAutoHyphens/>
        <w:spacing w:after="0" w:line="240" w:lineRule="auto"/>
        <w:ind w:left="426"/>
        <w:rPr>
          <w:rFonts w:eastAsia="Times New Roman" w:cstheme="minorHAnsi"/>
          <w:lang w:val="es-ES" w:eastAsia="en-GB"/>
        </w:rPr>
      </w:pPr>
      <w:r w:rsidRPr="006060F1">
        <w:rPr>
          <w:rFonts w:eastAsia="Times New Roman" w:cstheme="minorHAnsi"/>
          <w:lang w:val="es-ES" w:eastAsia="en-GB"/>
        </w:rPr>
        <w:t xml:space="preserve"> </w:t>
      </w:r>
    </w:p>
    <w:p w14:paraId="0A6392D1" w14:textId="2C133EB3" w:rsidR="009C2848" w:rsidRPr="006060F1" w:rsidRDefault="007D37D5" w:rsidP="007D3790">
      <w:pPr>
        <w:tabs>
          <w:tab w:val="left" w:pos="0"/>
        </w:tabs>
        <w:autoSpaceDE w:val="0"/>
        <w:autoSpaceDN w:val="0"/>
        <w:adjustRightInd w:val="0"/>
        <w:spacing w:after="0" w:line="240" w:lineRule="auto"/>
        <w:ind w:left="425" w:hanging="425"/>
        <w:rPr>
          <w:rFonts w:eastAsia="Times New Roman" w:cstheme="minorHAnsi"/>
          <w:lang w:val="es-ES" w:eastAsia="en-GB"/>
        </w:rPr>
      </w:pPr>
      <w:r w:rsidRPr="006060F1">
        <w:rPr>
          <w:rFonts w:cstheme="minorHAnsi"/>
          <w:color w:val="000000"/>
          <w:lang w:val="es-ES"/>
        </w:rPr>
        <w:t>3</w:t>
      </w:r>
      <w:r w:rsidR="009C2848" w:rsidRPr="006060F1">
        <w:rPr>
          <w:rFonts w:cstheme="minorHAnsi"/>
          <w:color w:val="000000"/>
          <w:lang w:val="es-ES"/>
        </w:rPr>
        <w:t>.</w:t>
      </w:r>
      <w:r w:rsidR="009C2848" w:rsidRPr="006060F1">
        <w:rPr>
          <w:rFonts w:cstheme="minorHAnsi"/>
          <w:color w:val="000000"/>
          <w:lang w:val="es-ES"/>
        </w:rPr>
        <w:tab/>
      </w:r>
      <w:r w:rsidR="00462CDF" w:rsidRPr="006060F1">
        <w:rPr>
          <w:rFonts w:cstheme="minorHAnsi"/>
          <w:color w:val="000000"/>
          <w:lang w:val="es-ES"/>
        </w:rPr>
        <w:t xml:space="preserve">La presente actualización </w:t>
      </w:r>
      <w:r w:rsidR="004B34A8" w:rsidRPr="006060F1">
        <w:rPr>
          <w:rFonts w:cstheme="minorHAnsi"/>
          <w:color w:val="000000"/>
          <w:lang w:val="es-ES"/>
        </w:rPr>
        <w:t>describe</w:t>
      </w:r>
      <w:r w:rsidR="00462CDF" w:rsidRPr="006060F1">
        <w:rPr>
          <w:rFonts w:cstheme="minorHAnsi"/>
          <w:color w:val="000000"/>
          <w:lang w:val="es-ES"/>
        </w:rPr>
        <w:t xml:space="preserve"> las principales </w:t>
      </w:r>
      <w:r w:rsidR="006060F1" w:rsidRPr="006060F1">
        <w:rPr>
          <w:rFonts w:cstheme="minorHAnsi"/>
          <w:color w:val="000000"/>
          <w:lang w:val="es-ES"/>
        </w:rPr>
        <w:t>actividades</w:t>
      </w:r>
      <w:r w:rsidR="00462CDF" w:rsidRPr="006060F1">
        <w:rPr>
          <w:rFonts w:cstheme="minorHAnsi"/>
          <w:color w:val="000000"/>
          <w:lang w:val="es-ES"/>
        </w:rPr>
        <w:t xml:space="preserve"> realizadas desde la reunión </w:t>
      </w:r>
      <w:r w:rsidR="009C2848" w:rsidRPr="006060F1">
        <w:rPr>
          <w:rFonts w:eastAsia="Times New Roman" w:cstheme="minorHAnsi"/>
          <w:lang w:val="es-ES" w:eastAsia="en-GB"/>
        </w:rPr>
        <w:t>SC5</w:t>
      </w:r>
      <w:r w:rsidR="00BE2F24" w:rsidRPr="006060F1">
        <w:rPr>
          <w:rFonts w:eastAsia="Times New Roman" w:cstheme="minorHAnsi"/>
          <w:lang w:val="es-ES" w:eastAsia="en-GB"/>
        </w:rPr>
        <w:t xml:space="preserve">9 </w:t>
      </w:r>
      <w:r w:rsidR="004B34A8" w:rsidRPr="006060F1">
        <w:rPr>
          <w:rFonts w:cstheme="minorHAnsi"/>
          <w:color w:val="000000" w:themeColor="text1"/>
          <w:lang w:val="es-ES"/>
        </w:rPr>
        <w:t xml:space="preserve">con </w:t>
      </w:r>
      <w:r w:rsidR="004B34A8" w:rsidRPr="006060F1">
        <w:rPr>
          <w:rFonts w:cstheme="minorHAnsi"/>
          <w:lang w:val="es-ES"/>
        </w:rPr>
        <w:t>arreglo a las resoluciones XIII.7 y XI.6</w:t>
      </w:r>
      <w:r w:rsidR="004B34A8" w:rsidRPr="006060F1">
        <w:rPr>
          <w:rFonts w:eastAsia="Times New Roman" w:cstheme="minorHAnsi"/>
          <w:lang w:val="es-ES" w:eastAsia="en-GB"/>
        </w:rPr>
        <w:t xml:space="preserve"> </w:t>
      </w:r>
      <w:r w:rsidR="004B34A8" w:rsidRPr="006060F1">
        <w:rPr>
          <w:rFonts w:cstheme="minorHAnsi"/>
          <w:lang w:val="es-ES"/>
        </w:rPr>
        <w:t>y concretamente las actividades relacionadas con el Grupo de Enlace sobre la Diversidad Biológica (BLG) y la Plataforma Intergubernamental Científico-Normativa sobre Diversidad Biológica y Servicios de los Ecosistemas (</w:t>
      </w:r>
      <w:r w:rsidR="004B34A8" w:rsidRPr="006060F1">
        <w:rPr>
          <w:rFonts w:cstheme="minorHAnsi"/>
          <w:color w:val="000000" w:themeColor="text1"/>
          <w:lang w:val="es-ES"/>
        </w:rPr>
        <w:t>IPBES), así como los progresos realizados con los O</w:t>
      </w:r>
      <w:r w:rsidR="007B6216">
        <w:rPr>
          <w:rFonts w:cstheme="minorHAnsi"/>
          <w:color w:val="000000" w:themeColor="text1"/>
          <w:lang w:val="es-ES"/>
        </w:rPr>
        <w:t xml:space="preserve">bjetivos de Desarrollo </w:t>
      </w:r>
      <w:r w:rsidR="004B34A8" w:rsidRPr="006060F1">
        <w:rPr>
          <w:rFonts w:cstheme="minorHAnsi"/>
          <w:color w:val="000000" w:themeColor="text1"/>
          <w:lang w:val="es-ES"/>
        </w:rPr>
        <w:t>S</w:t>
      </w:r>
      <w:r w:rsidR="007B6216">
        <w:rPr>
          <w:rFonts w:cstheme="minorHAnsi"/>
          <w:color w:val="000000" w:themeColor="text1"/>
          <w:lang w:val="es-ES"/>
        </w:rPr>
        <w:t>ostenible</w:t>
      </w:r>
      <w:r w:rsidR="004B34A8" w:rsidRPr="006060F1">
        <w:rPr>
          <w:rFonts w:cstheme="minorHAnsi"/>
          <w:color w:val="000000" w:themeColor="text1"/>
          <w:lang w:val="es-ES"/>
        </w:rPr>
        <w:t>, los AMMA, el PNUMA y otras instituciones.</w:t>
      </w:r>
    </w:p>
    <w:p w14:paraId="1BE6B30F" w14:textId="77777777" w:rsidR="009C2848" w:rsidRPr="006060F1" w:rsidRDefault="009C2848" w:rsidP="007D3790">
      <w:pPr>
        <w:suppressAutoHyphens/>
        <w:spacing w:after="0" w:line="240" w:lineRule="auto"/>
        <w:ind w:left="425" w:hanging="425"/>
        <w:rPr>
          <w:rFonts w:eastAsia="Times New Roman" w:cstheme="minorHAnsi"/>
          <w:lang w:val="es-ES" w:eastAsia="en-GB"/>
        </w:rPr>
      </w:pPr>
    </w:p>
    <w:p w14:paraId="0F1A163A" w14:textId="77777777" w:rsidR="004B34A8" w:rsidRPr="006060F1" w:rsidRDefault="004B34A8" w:rsidP="007D3790">
      <w:pPr>
        <w:spacing w:after="0" w:line="240" w:lineRule="auto"/>
        <w:rPr>
          <w:rFonts w:cstheme="minorHAnsi"/>
          <w:b/>
          <w:lang w:val="es-ES"/>
        </w:rPr>
      </w:pPr>
      <w:r w:rsidRPr="006060F1">
        <w:rPr>
          <w:rFonts w:cstheme="minorHAnsi"/>
          <w:b/>
          <w:lang w:val="es-ES"/>
        </w:rPr>
        <w:t>Trabajo en el marco del Grupo de Enlace sobre la Diversidad Biológica (BLG)</w:t>
      </w:r>
    </w:p>
    <w:p w14:paraId="6129CA9B" w14:textId="77777777" w:rsidR="00314513" w:rsidRDefault="00314513" w:rsidP="007D3790">
      <w:pPr>
        <w:suppressAutoHyphens/>
        <w:spacing w:after="0" w:line="240" w:lineRule="auto"/>
        <w:ind w:left="425" w:hanging="425"/>
        <w:rPr>
          <w:rFonts w:eastAsia="Times New Roman" w:cstheme="minorHAnsi"/>
          <w:lang w:val="es-ES" w:eastAsia="en-GB"/>
        </w:rPr>
      </w:pPr>
    </w:p>
    <w:p w14:paraId="5AA1C4A0" w14:textId="25C3BCAC" w:rsidR="00EB7BD2" w:rsidRPr="006060F1" w:rsidRDefault="00EE3447" w:rsidP="007D3790">
      <w:pPr>
        <w:suppressAutoHyphens/>
        <w:spacing w:after="0" w:line="240" w:lineRule="auto"/>
        <w:ind w:left="425" w:hanging="425"/>
        <w:rPr>
          <w:rFonts w:eastAsia="Times New Roman" w:cstheme="minorHAnsi"/>
          <w:color w:val="000000" w:themeColor="text1"/>
          <w:lang w:val="es-ES" w:eastAsia="en-GB"/>
        </w:rPr>
      </w:pPr>
      <w:r w:rsidRPr="006060F1">
        <w:rPr>
          <w:rFonts w:eastAsia="Times New Roman" w:cstheme="minorHAnsi"/>
          <w:lang w:val="es-ES" w:eastAsia="en-GB"/>
        </w:rPr>
        <w:t>4</w:t>
      </w:r>
      <w:r w:rsidR="009C2848" w:rsidRPr="006060F1">
        <w:rPr>
          <w:rFonts w:eastAsia="Times New Roman" w:cstheme="minorHAnsi"/>
          <w:lang w:val="es-ES" w:eastAsia="en-GB"/>
        </w:rPr>
        <w:t>.</w:t>
      </w:r>
      <w:r w:rsidR="009C2848" w:rsidRPr="006060F1">
        <w:rPr>
          <w:rFonts w:eastAsia="Times New Roman" w:cstheme="minorHAnsi"/>
          <w:lang w:val="es-ES" w:eastAsia="en-GB"/>
        </w:rPr>
        <w:tab/>
      </w:r>
      <w:r w:rsidR="004B34A8" w:rsidRPr="006060F1">
        <w:rPr>
          <w:rFonts w:cstheme="minorHAnsi"/>
          <w:lang w:val="es-ES"/>
        </w:rPr>
        <w:t>La Secretaría ha seguido participando en las reuniones y actividades conjuntas del BLG con arreglo al plan de actividades conjuntas de este último</w:t>
      </w:r>
      <w:r w:rsidR="009C2848" w:rsidRPr="006060F1">
        <w:rPr>
          <w:rFonts w:eastAsia="Times New Roman" w:cstheme="minorHAnsi"/>
          <w:lang w:val="es-ES" w:eastAsia="en-GB"/>
        </w:rPr>
        <w:t xml:space="preserve">. </w:t>
      </w:r>
      <w:r w:rsidR="00462CDF" w:rsidRPr="006060F1">
        <w:rPr>
          <w:rFonts w:eastAsia="Times New Roman" w:cstheme="minorHAnsi"/>
          <w:lang w:val="es-ES" w:eastAsia="en-GB"/>
        </w:rPr>
        <w:t xml:space="preserve">La Secretaría participó en la reunión virtual del BLG el </w:t>
      </w:r>
      <w:r w:rsidR="00EB7BD2" w:rsidRPr="006060F1">
        <w:rPr>
          <w:rFonts w:eastAsia="Times New Roman" w:cstheme="minorHAnsi"/>
          <w:lang w:val="es-ES" w:eastAsia="en-GB"/>
        </w:rPr>
        <w:t xml:space="preserve">6 </w:t>
      </w:r>
      <w:r w:rsidR="00462CDF" w:rsidRPr="006060F1">
        <w:rPr>
          <w:rFonts w:eastAsia="Times New Roman" w:cstheme="minorHAnsi"/>
          <w:lang w:val="es-ES" w:eastAsia="en-GB"/>
        </w:rPr>
        <w:t xml:space="preserve">de octubre de </w:t>
      </w:r>
      <w:r w:rsidR="00EB7BD2" w:rsidRPr="006060F1">
        <w:rPr>
          <w:rFonts w:eastAsia="Times New Roman" w:cstheme="minorHAnsi"/>
          <w:lang w:val="es-ES" w:eastAsia="en-GB"/>
        </w:rPr>
        <w:t>2021</w:t>
      </w:r>
      <w:r w:rsidR="00462CDF" w:rsidRPr="006060F1">
        <w:rPr>
          <w:rFonts w:eastAsia="Times New Roman" w:cstheme="minorHAnsi"/>
          <w:lang w:val="es-ES" w:eastAsia="en-GB"/>
        </w:rPr>
        <w:t xml:space="preserve">, </w:t>
      </w:r>
      <w:r w:rsidR="008D2577">
        <w:rPr>
          <w:rFonts w:eastAsia="Times New Roman" w:cstheme="minorHAnsi"/>
          <w:lang w:val="es-ES" w:eastAsia="en-GB"/>
        </w:rPr>
        <w:t>centrada</w:t>
      </w:r>
      <w:r w:rsidR="00462CDF" w:rsidRPr="006060F1">
        <w:rPr>
          <w:rFonts w:eastAsia="Times New Roman" w:cstheme="minorHAnsi"/>
          <w:lang w:val="es-ES" w:eastAsia="en-GB"/>
        </w:rPr>
        <w:t xml:space="preserve"> </w:t>
      </w:r>
      <w:r w:rsidR="00462CDF" w:rsidRPr="006060F1">
        <w:rPr>
          <w:rFonts w:cstheme="minorHAnsi"/>
          <w:lang w:val="es-ES"/>
        </w:rPr>
        <w:t xml:space="preserve">en la </w:t>
      </w:r>
      <w:r w:rsidR="006060F1" w:rsidRPr="006060F1">
        <w:rPr>
          <w:rFonts w:cstheme="minorHAnsi"/>
          <w:lang w:val="es-ES"/>
        </w:rPr>
        <w:t>participación</w:t>
      </w:r>
      <w:r w:rsidR="00462CDF" w:rsidRPr="006060F1">
        <w:rPr>
          <w:rFonts w:cstheme="minorHAnsi"/>
          <w:lang w:val="es-ES"/>
        </w:rPr>
        <w:t xml:space="preserve"> en </w:t>
      </w:r>
      <w:r w:rsidR="00B70B14" w:rsidRPr="006060F1">
        <w:rPr>
          <w:rFonts w:cstheme="minorHAnsi"/>
          <w:lang w:val="es-ES"/>
        </w:rPr>
        <w:t>la</w:t>
      </w:r>
      <w:r w:rsidR="00462CDF" w:rsidRPr="006060F1">
        <w:rPr>
          <w:rFonts w:cstheme="minorHAnsi"/>
          <w:lang w:val="es-ES"/>
        </w:rPr>
        <w:t xml:space="preserve"> elaboración del marco mundial de la diversidad biológica posterior a </w:t>
      </w:r>
      <w:r w:rsidR="00EB7BD2" w:rsidRPr="006060F1">
        <w:rPr>
          <w:rFonts w:cstheme="minorHAnsi"/>
          <w:lang w:val="es-ES"/>
        </w:rPr>
        <w:t xml:space="preserve">2020, </w:t>
      </w:r>
      <w:r w:rsidR="008A5DE3" w:rsidRPr="006060F1">
        <w:rPr>
          <w:rFonts w:cstheme="minorHAnsi"/>
          <w:lang w:val="es-ES"/>
        </w:rPr>
        <w:t xml:space="preserve">la </w:t>
      </w:r>
      <w:r w:rsidR="00EB7BD2" w:rsidRPr="006060F1">
        <w:rPr>
          <w:rFonts w:cstheme="minorHAnsi"/>
          <w:lang w:val="es-ES"/>
        </w:rPr>
        <w:t xml:space="preserve">COP15 </w:t>
      </w:r>
      <w:r w:rsidR="008A5DE3" w:rsidRPr="006060F1">
        <w:rPr>
          <w:rFonts w:cstheme="minorHAnsi"/>
          <w:lang w:val="es-ES"/>
        </w:rPr>
        <w:t xml:space="preserve">del CDB y la </w:t>
      </w:r>
      <w:r w:rsidR="00EB7BD2" w:rsidRPr="006060F1">
        <w:rPr>
          <w:rFonts w:cstheme="minorHAnsi"/>
          <w:lang w:val="es-ES"/>
        </w:rPr>
        <w:t>COP26</w:t>
      </w:r>
      <w:r w:rsidR="00CD366B" w:rsidRPr="006060F1">
        <w:rPr>
          <w:rFonts w:cstheme="minorHAnsi"/>
          <w:lang w:val="es-ES"/>
        </w:rPr>
        <w:t xml:space="preserve"> de la CMNUCC. El BLG </w:t>
      </w:r>
      <w:r w:rsidR="00B70B14" w:rsidRPr="006060F1">
        <w:rPr>
          <w:rFonts w:cstheme="minorHAnsi"/>
          <w:lang w:val="es-ES"/>
        </w:rPr>
        <w:t>hizo</w:t>
      </w:r>
      <w:r w:rsidR="00CD366B" w:rsidRPr="006060F1">
        <w:rPr>
          <w:rFonts w:cstheme="minorHAnsi"/>
          <w:lang w:val="es-ES"/>
        </w:rPr>
        <w:t xml:space="preserve"> una declaración </w:t>
      </w:r>
      <w:r w:rsidR="00CD366B" w:rsidRPr="006060F1">
        <w:rPr>
          <w:rFonts w:cstheme="minorHAnsi"/>
          <w:color w:val="000000" w:themeColor="text1"/>
          <w:lang w:val="es-ES"/>
        </w:rPr>
        <w:t xml:space="preserve">conjunta el </w:t>
      </w:r>
      <w:r w:rsidR="00EB7BD2" w:rsidRPr="006060F1">
        <w:rPr>
          <w:rFonts w:cstheme="minorHAnsi"/>
          <w:bCs/>
          <w:color w:val="000000" w:themeColor="text1"/>
          <w:lang w:val="es-ES"/>
        </w:rPr>
        <w:t xml:space="preserve">12 </w:t>
      </w:r>
      <w:r w:rsidR="00CD366B" w:rsidRPr="006060F1">
        <w:rPr>
          <w:rFonts w:cstheme="minorHAnsi"/>
          <w:bCs/>
          <w:color w:val="000000" w:themeColor="text1"/>
          <w:lang w:val="es-ES"/>
        </w:rPr>
        <w:t xml:space="preserve">de octubre de </w:t>
      </w:r>
      <w:r w:rsidR="00EB7BD2" w:rsidRPr="006060F1">
        <w:rPr>
          <w:rFonts w:cstheme="minorHAnsi"/>
          <w:bCs/>
          <w:color w:val="000000" w:themeColor="text1"/>
          <w:lang w:val="es-ES"/>
        </w:rPr>
        <w:t xml:space="preserve">2021 </w:t>
      </w:r>
      <w:r w:rsidR="00CD366B" w:rsidRPr="006060F1">
        <w:rPr>
          <w:rFonts w:cstheme="minorHAnsi"/>
          <w:bCs/>
          <w:color w:val="000000" w:themeColor="text1"/>
          <w:lang w:val="es-ES"/>
        </w:rPr>
        <w:t>en</w:t>
      </w:r>
      <w:r w:rsidR="00B70B14" w:rsidRPr="006060F1">
        <w:rPr>
          <w:rFonts w:cstheme="minorHAnsi"/>
          <w:bCs/>
          <w:color w:val="000000" w:themeColor="text1"/>
          <w:lang w:val="es-ES"/>
        </w:rPr>
        <w:t xml:space="preserve"> el panel titulado</w:t>
      </w:r>
      <w:r w:rsidR="00CD366B" w:rsidRPr="006060F1">
        <w:rPr>
          <w:rFonts w:cstheme="minorHAnsi"/>
          <w:bCs/>
          <w:color w:val="000000" w:themeColor="text1"/>
          <w:lang w:val="es-ES"/>
        </w:rPr>
        <w:t xml:space="preserve"> </w:t>
      </w:r>
      <w:r w:rsidR="00EB7BD2" w:rsidRPr="006060F1">
        <w:rPr>
          <w:rFonts w:cstheme="minorHAnsi"/>
          <w:i/>
          <w:iCs/>
          <w:color w:val="000000" w:themeColor="text1"/>
          <w:lang w:val="es-ES"/>
        </w:rPr>
        <w:t>Promo</w:t>
      </w:r>
      <w:r w:rsidR="00B70B14" w:rsidRPr="006060F1">
        <w:rPr>
          <w:rFonts w:cstheme="minorHAnsi"/>
          <w:i/>
          <w:iCs/>
          <w:color w:val="000000" w:themeColor="text1"/>
          <w:lang w:val="es-ES"/>
        </w:rPr>
        <w:t xml:space="preserve">ver acciones sinérgicas para la diversidad biológica, el clima, la tierra y los océanos </w:t>
      </w:r>
      <w:r w:rsidR="00CD366B" w:rsidRPr="006060F1">
        <w:rPr>
          <w:rFonts w:cstheme="minorHAnsi"/>
          <w:color w:val="000000" w:themeColor="text1"/>
          <w:lang w:val="es-ES"/>
        </w:rPr>
        <w:t>en la</w:t>
      </w:r>
      <w:r w:rsidR="00CD366B" w:rsidRPr="006060F1">
        <w:rPr>
          <w:rFonts w:cstheme="minorHAnsi"/>
          <w:i/>
          <w:iCs/>
          <w:color w:val="000000" w:themeColor="text1"/>
          <w:lang w:val="es-ES"/>
        </w:rPr>
        <w:t xml:space="preserve"> </w:t>
      </w:r>
      <w:r w:rsidR="00B70B14" w:rsidRPr="006060F1">
        <w:rPr>
          <w:rFonts w:cstheme="minorHAnsi"/>
          <w:iCs/>
          <w:color w:val="000000" w:themeColor="text1"/>
          <w:lang w:val="es-ES"/>
        </w:rPr>
        <w:t>serie de sesiones de</w:t>
      </w:r>
      <w:r w:rsidR="00CD366B" w:rsidRPr="006060F1">
        <w:rPr>
          <w:rFonts w:cstheme="minorHAnsi"/>
          <w:iCs/>
          <w:color w:val="000000" w:themeColor="text1"/>
          <w:lang w:val="es-ES"/>
        </w:rPr>
        <w:t xml:space="preserve"> alto nivel de la decimoquinta reunión de la Conferencia de las Partes en el Convenio sobre la Diversidad Biológica </w:t>
      </w:r>
      <w:r w:rsidR="00EB7BD2" w:rsidRPr="006060F1">
        <w:rPr>
          <w:rFonts w:cstheme="minorHAnsi"/>
          <w:color w:val="000000" w:themeColor="text1"/>
          <w:lang w:val="es-ES"/>
        </w:rPr>
        <w:t>(1</w:t>
      </w:r>
      <w:r w:rsidR="00CD366B" w:rsidRPr="006060F1">
        <w:rPr>
          <w:rFonts w:cstheme="minorHAnsi"/>
          <w:color w:val="000000" w:themeColor="text1"/>
          <w:lang w:val="es-ES"/>
        </w:rPr>
        <w:t>ª parte</w:t>
      </w:r>
      <w:r w:rsidR="00EB7BD2" w:rsidRPr="006060F1">
        <w:rPr>
          <w:rFonts w:cstheme="minorHAnsi"/>
          <w:color w:val="000000" w:themeColor="text1"/>
          <w:lang w:val="es-ES"/>
        </w:rPr>
        <w:t>).</w:t>
      </w:r>
    </w:p>
    <w:p w14:paraId="1B5140FA" w14:textId="77777777" w:rsidR="00AC0464" w:rsidRPr="006060F1" w:rsidRDefault="00AC0464" w:rsidP="007D3790">
      <w:pPr>
        <w:suppressAutoHyphens/>
        <w:spacing w:after="0" w:line="240" w:lineRule="auto"/>
        <w:ind w:left="425" w:hanging="425"/>
        <w:rPr>
          <w:rFonts w:eastAsia="Times New Roman" w:cstheme="minorHAnsi"/>
          <w:b/>
          <w:lang w:val="es-ES" w:eastAsia="en-GB"/>
        </w:rPr>
      </w:pPr>
    </w:p>
    <w:p w14:paraId="15EEAF5A" w14:textId="77777777" w:rsidR="00B70B14" w:rsidRPr="006060F1" w:rsidRDefault="00B70B14" w:rsidP="007D3790">
      <w:pPr>
        <w:autoSpaceDE w:val="0"/>
        <w:autoSpaceDN w:val="0"/>
        <w:adjustRightInd w:val="0"/>
        <w:spacing w:after="0" w:line="240" w:lineRule="auto"/>
        <w:rPr>
          <w:rFonts w:cstheme="minorHAnsi"/>
          <w:b/>
          <w:lang w:val="es-ES"/>
        </w:rPr>
      </w:pPr>
      <w:r w:rsidRPr="006060F1">
        <w:rPr>
          <w:rFonts w:cstheme="minorHAnsi"/>
          <w:b/>
          <w:lang w:val="es-ES"/>
        </w:rPr>
        <w:t>Plataforma Intergubernamental sobre Diversidad Biológica y Servicios de los Ecosistemas</w:t>
      </w:r>
    </w:p>
    <w:p w14:paraId="2EAE17AB" w14:textId="77777777" w:rsidR="00314513" w:rsidRDefault="00314513" w:rsidP="007D3790">
      <w:pPr>
        <w:spacing w:after="0" w:line="240" w:lineRule="auto"/>
        <w:ind w:left="426" w:hanging="426"/>
        <w:rPr>
          <w:lang w:val="es-ES"/>
        </w:rPr>
      </w:pPr>
    </w:p>
    <w:p w14:paraId="2E0A4D80" w14:textId="45FA4ECE" w:rsidR="005E6F7A" w:rsidRPr="006060F1" w:rsidRDefault="00EE3447" w:rsidP="007D3790">
      <w:pPr>
        <w:spacing w:after="0" w:line="240" w:lineRule="auto"/>
        <w:ind w:left="426" w:hanging="426"/>
        <w:rPr>
          <w:lang w:val="es-ES"/>
        </w:rPr>
      </w:pPr>
      <w:r w:rsidRPr="006060F1">
        <w:rPr>
          <w:lang w:val="es-ES"/>
        </w:rPr>
        <w:t>5.</w:t>
      </w:r>
      <w:r w:rsidRPr="006060F1">
        <w:rPr>
          <w:lang w:val="es-ES"/>
        </w:rPr>
        <w:tab/>
      </w:r>
      <w:r w:rsidR="00B70B14" w:rsidRPr="006060F1">
        <w:rPr>
          <w:lang w:val="es-ES"/>
        </w:rPr>
        <w:t>P</w:t>
      </w:r>
      <w:r w:rsidR="00CD366B" w:rsidRPr="006060F1">
        <w:rPr>
          <w:lang w:val="es-ES"/>
        </w:rPr>
        <w:t xml:space="preserve">rosigue la cooperación con la Plataforma Intergubernamental Científico-Normativa sobre </w:t>
      </w:r>
      <w:r w:rsidR="00B70B14" w:rsidRPr="006060F1">
        <w:rPr>
          <w:lang w:val="es-ES"/>
        </w:rPr>
        <w:t>Diversidad Biológica</w:t>
      </w:r>
      <w:r w:rsidR="00CD366B" w:rsidRPr="006060F1">
        <w:rPr>
          <w:lang w:val="es-ES"/>
        </w:rPr>
        <w:t xml:space="preserve"> y Servicios de los Ecosistemas </w:t>
      </w:r>
      <w:r w:rsidR="005E6F7A" w:rsidRPr="006060F1">
        <w:rPr>
          <w:lang w:val="es-ES"/>
        </w:rPr>
        <w:t xml:space="preserve">(IPBES) </w:t>
      </w:r>
      <w:r w:rsidR="00CD366B" w:rsidRPr="006060F1">
        <w:rPr>
          <w:lang w:val="es-ES"/>
        </w:rPr>
        <w:t>en el contexto del memorando de entendimiento existente</w:t>
      </w:r>
      <w:r w:rsidR="00B70B14" w:rsidRPr="006060F1">
        <w:rPr>
          <w:lang w:val="es-ES"/>
        </w:rPr>
        <w:t xml:space="preserve">. </w:t>
      </w:r>
      <w:r w:rsidR="00CD366B" w:rsidRPr="006060F1">
        <w:rPr>
          <w:lang w:val="es-ES"/>
        </w:rPr>
        <w:t xml:space="preserve">La Secretaría participó en el </w:t>
      </w:r>
      <w:r w:rsidR="000F0640" w:rsidRPr="006060F1">
        <w:rPr>
          <w:lang w:val="es-ES"/>
        </w:rPr>
        <w:t>octavo período de sesiones del P</w:t>
      </w:r>
      <w:r w:rsidR="00CD366B" w:rsidRPr="006060F1">
        <w:rPr>
          <w:lang w:val="es-ES"/>
        </w:rPr>
        <w:t>lenario</w:t>
      </w:r>
      <w:r w:rsidR="000F0640" w:rsidRPr="006060F1">
        <w:rPr>
          <w:lang w:val="es-ES"/>
        </w:rPr>
        <w:t xml:space="preserve"> </w:t>
      </w:r>
      <w:r w:rsidR="00CD366B" w:rsidRPr="006060F1">
        <w:rPr>
          <w:lang w:val="es-ES"/>
        </w:rPr>
        <w:t xml:space="preserve">de la </w:t>
      </w:r>
      <w:r w:rsidR="005E6F7A" w:rsidRPr="006060F1">
        <w:rPr>
          <w:lang w:val="es-ES"/>
        </w:rPr>
        <w:t xml:space="preserve">IPBES, </w:t>
      </w:r>
      <w:r w:rsidR="00CD366B" w:rsidRPr="006060F1">
        <w:rPr>
          <w:lang w:val="es-ES"/>
        </w:rPr>
        <w:t xml:space="preserve">que se celebró de forma virtual del </w:t>
      </w:r>
      <w:r w:rsidR="005E6F7A" w:rsidRPr="006060F1">
        <w:rPr>
          <w:lang w:val="es-ES"/>
        </w:rPr>
        <w:t>14</w:t>
      </w:r>
      <w:r w:rsidR="00CD366B" w:rsidRPr="006060F1">
        <w:rPr>
          <w:lang w:val="es-ES"/>
        </w:rPr>
        <w:t xml:space="preserve"> al </w:t>
      </w:r>
      <w:r w:rsidR="005E6F7A" w:rsidRPr="006060F1">
        <w:rPr>
          <w:lang w:val="es-ES"/>
        </w:rPr>
        <w:t xml:space="preserve">24 </w:t>
      </w:r>
      <w:r w:rsidR="00CD366B" w:rsidRPr="006060F1">
        <w:rPr>
          <w:lang w:val="es-ES"/>
        </w:rPr>
        <w:t>de junio</w:t>
      </w:r>
      <w:r w:rsidR="007B6216">
        <w:rPr>
          <w:lang w:val="es-ES"/>
        </w:rPr>
        <w:t xml:space="preserve"> 2021</w:t>
      </w:r>
      <w:r w:rsidR="00CD366B" w:rsidRPr="006060F1">
        <w:rPr>
          <w:lang w:val="es-ES"/>
        </w:rPr>
        <w:t>. Se presentó una declaración destacando la importancia de</w:t>
      </w:r>
      <w:r w:rsidR="000F0640" w:rsidRPr="006060F1">
        <w:rPr>
          <w:lang w:val="es-ES"/>
        </w:rPr>
        <w:t xml:space="preserve"> las evaluaciones de los nexos y del</w:t>
      </w:r>
      <w:r w:rsidR="00CD366B" w:rsidRPr="006060F1">
        <w:rPr>
          <w:lang w:val="es-ES"/>
        </w:rPr>
        <w:t xml:space="preserve"> cambio transformador examinadas en la reunión, </w:t>
      </w:r>
      <w:r w:rsidR="006060F1" w:rsidRPr="006060F1">
        <w:rPr>
          <w:lang w:val="es-ES"/>
        </w:rPr>
        <w:t>poniendo</w:t>
      </w:r>
      <w:r w:rsidR="00CD366B" w:rsidRPr="006060F1">
        <w:rPr>
          <w:lang w:val="es-ES"/>
        </w:rPr>
        <w:t xml:space="preserve"> de relieve </w:t>
      </w:r>
      <w:r w:rsidR="000F0640" w:rsidRPr="006060F1">
        <w:rPr>
          <w:lang w:val="es-ES"/>
        </w:rPr>
        <w:t>que</w:t>
      </w:r>
      <w:r w:rsidR="00CD366B" w:rsidRPr="006060F1">
        <w:rPr>
          <w:lang w:val="es-ES"/>
        </w:rPr>
        <w:t xml:space="preserve"> los humedales interrelacionan la biodiversidad, el clima, el agua, </w:t>
      </w:r>
      <w:r w:rsidR="000F0640" w:rsidRPr="006060F1">
        <w:rPr>
          <w:lang w:val="es-ES"/>
        </w:rPr>
        <w:t>los</w:t>
      </w:r>
      <w:r w:rsidR="00CD366B" w:rsidRPr="006060F1">
        <w:rPr>
          <w:lang w:val="es-ES"/>
        </w:rPr>
        <w:t xml:space="preserve"> </w:t>
      </w:r>
      <w:r w:rsidR="006060F1" w:rsidRPr="006060F1">
        <w:rPr>
          <w:lang w:val="es-ES"/>
        </w:rPr>
        <w:t>alimentos</w:t>
      </w:r>
      <w:r w:rsidR="000F0640" w:rsidRPr="006060F1">
        <w:rPr>
          <w:lang w:val="es-ES"/>
        </w:rPr>
        <w:t xml:space="preserve">, </w:t>
      </w:r>
      <w:r w:rsidR="00CD366B" w:rsidRPr="006060F1">
        <w:rPr>
          <w:lang w:val="es-ES"/>
        </w:rPr>
        <w:t>la energía y la salud y</w:t>
      </w:r>
      <w:r w:rsidR="000F0640" w:rsidRPr="006060F1">
        <w:rPr>
          <w:lang w:val="es-ES"/>
        </w:rPr>
        <w:t xml:space="preserve"> que </w:t>
      </w:r>
      <w:r w:rsidR="00CD366B" w:rsidRPr="006060F1">
        <w:rPr>
          <w:lang w:val="es-ES"/>
        </w:rPr>
        <w:t xml:space="preserve">el reconocimiento de ello y del valor de los humedales para la sociedad son fundamentales para lograr un cambio transformador. La Presidencia del Grupo de Examen Científico y Técnico </w:t>
      </w:r>
      <w:r w:rsidR="005E6F7A" w:rsidRPr="006060F1">
        <w:rPr>
          <w:lang w:val="es-ES"/>
        </w:rPr>
        <w:t>(</w:t>
      </w:r>
      <w:r w:rsidR="00CD366B" w:rsidRPr="006060F1">
        <w:rPr>
          <w:lang w:val="es-ES"/>
        </w:rPr>
        <w:t>GECT</w:t>
      </w:r>
      <w:r w:rsidR="005E6F7A" w:rsidRPr="006060F1">
        <w:rPr>
          <w:lang w:val="es-ES"/>
        </w:rPr>
        <w:t xml:space="preserve">) </w:t>
      </w:r>
      <w:r w:rsidR="006060F1" w:rsidRPr="006060F1">
        <w:rPr>
          <w:lang w:val="es-ES"/>
        </w:rPr>
        <w:t>participó</w:t>
      </w:r>
      <w:r w:rsidR="00CD366B" w:rsidRPr="006060F1">
        <w:rPr>
          <w:lang w:val="es-ES"/>
        </w:rPr>
        <w:t xml:space="preserve"> en la reunión del </w:t>
      </w:r>
      <w:r w:rsidR="000F0640" w:rsidRPr="006060F1">
        <w:rPr>
          <w:lang w:val="es-ES"/>
        </w:rPr>
        <w:t xml:space="preserve">Grupo Multidisciplinario de Expertos </w:t>
      </w:r>
      <w:r w:rsidR="00CD366B" w:rsidRPr="006060F1">
        <w:rPr>
          <w:bCs/>
          <w:lang w:val="es-ES"/>
        </w:rPr>
        <w:t xml:space="preserve">de la </w:t>
      </w:r>
      <w:r w:rsidR="005E6F7A" w:rsidRPr="006060F1">
        <w:rPr>
          <w:bCs/>
          <w:lang w:val="es-ES"/>
        </w:rPr>
        <w:t xml:space="preserve">IPBES, </w:t>
      </w:r>
      <w:r w:rsidR="00CD366B" w:rsidRPr="006060F1">
        <w:rPr>
          <w:bCs/>
          <w:lang w:val="es-ES"/>
        </w:rPr>
        <w:t xml:space="preserve">que se celebró de forma </w:t>
      </w:r>
      <w:r w:rsidR="006060F1" w:rsidRPr="006060F1">
        <w:rPr>
          <w:bCs/>
          <w:lang w:val="es-ES"/>
        </w:rPr>
        <w:t>virtual</w:t>
      </w:r>
      <w:r w:rsidR="00CD366B" w:rsidRPr="006060F1">
        <w:rPr>
          <w:bCs/>
          <w:lang w:val="es-ES"/>
        </w:rPr>
        <w:t xml:space="preserve"> del </w:t>
      </w:r>
      <w:r w:rsidR="005E6F7A" w:rsidRPr="006060F1">
        <w:rPr>
          <w:lang w:val="es-ES"/>
        </w:rPr>
        <w:t>11</w:t>
      </w:r>
      <w:r w:rsidR="00CD366B" w:rsidRPr="006060F1">
        <w:rPr>
          <w:lang w:val="es-ES"/>
        </w:rPr>
        <w:t xml:space="preserve"> al </w:t>
      </w:r>
      <w:r w:rsidR="005E6F7A" w:rsidRPr="006060F1">
        <w:rPr>
          <w:lang w:val="es-ES"/>
        </w:rPr>
        <w:t xml:space="preserve">19 </w:t>
      </w:r>
      <w:r w:rsidR="00CD366B" w:rsidRPr="006060F1">
        <w:rPr>
          <w:lang w:val="es-ES"/>
        </w:rPr>
        <w:t xml:space="preserve">de octubre de </w:t>
      </w:r>
      <w:r w:rsidR="005E6F7A" w:rsidRPr="006060F1">
        <w:rPr>
          <w:lang w:val="es-ES"/>
        </w:rPr>
        <w:t xml:space="preserve">021. </w:t>
      </w:r>
    </w:p>
    <w:p w14:paraId="4099DACA" w14:textId="6E51F82E" w:rsidR="00E93B99" w:rsidRPr="006060F1" w:rsidRDefault="00E93B99" w:rsidP="007D3790">
      <w:pPr>
        <w:spacing w:after="0" w:line="240" w:lineRule="auto"/>
        <w:ind w:left="425" w:hanging="425"/>
        <w:rPr>
          <w:lang w:val="es-ES"/>
        </w:rPr>
      </w:pPr>
    </w:p>
    <w:p w14:paraId="521BA0AD" w14:textId="77777777" w:rsidR="000F0640" w:rsidRPr="006060F1" w:rsidRDefault="000F0640" w:rsidP="007D3790">
      <w:pPr>
        <w:spacing w:after="0" w:line="240" w:lineRule="auto"/>
        <w:rPr>
          <w:rFonts w:cstheme="minorHAnsi"/>
          <w:b/>
          <w:lang w:val="es-ES"/>
        </w:rPr>
      </w:pPr>
      <w:r w:rsidRPr="006060F1">
        <w:rPr>
          <w:rFonts w:cstheme="minorHAnsi"/>
          <w:b/>
          <w:lang w:val="es-ES"/>
        </w:rPr>
        <w:t>Cooperación con otros acuerdos multilaterales sobre el medio ambiente (AMMA)</w:t>
      </w:r>
    </w:p>
    <w:p w14:paraId="53CAD1B5" w14:textId="77777777" w:rsidR="00314513" w:rsidRDefault="00314513" w:rsidP="007D3790">
      <w:pPr>
        <w:suppressAutoHyphens/>
        <w:spacing w:after="0" w:line="240" w:lineRule="auto"/>
        <w:ind w:left="425" w:hanging="425"/>
        <w:rPr>
          <w:rFonts w:eastAsia="Times New Roman" w:cstheme="minorHAnsi"/>
          <w:lang w:val="es-ES" w:eastAsia="en-GB"/>
        </w:rPr>
      </w:pPr>
    </w:p>
    <w:p w14:paraId="280BF7DA" w14:textId="08DAFA8E" w:rsidR="009C2848" w:rsidRPr="007D3790" w:rsidRDefault="00EE3447" w:rsidP="007D3790">
      <w:pPr>
        <w:suppressAutoHyphens/>
        <w:spacing w:after="0" w:line="240" w:lineRule="auto"/>
        <w:ind w:left="425" w:hanging="425"/>
        <w:rPr>
          <w:rFonts w:eastAsia="Times New Roman" w:cstheme="minorHAnsi"/>
          <w:lang w:val="es-ES" w:eastAsia="en-GB"/>
        </w:rPr>
      </w:pPr>
      <w:r w:rsidRPr="006060F1">
        <w:rPr>
          <w:rFonts w:eastAsia="Times New Roman" w:cstheme="minorHAnsi"/>
          <w:lang w:val="es-ES" w:eastAsia="en-GB"/>
        </w:rPr>
        <w:t>6</w:t>
      </w:r>
      <w:r w:rsidR="009C2848" w:rsidRPr="006060F1">
        <w:rPr>
          <w:rFonts w:eastAsia="Times New Roman" w:cstheme="minorHAnsi"/>
          <w:lang w:val="es-ES" w:eastAsia="en-GB"/>
        </w:rPr>
        <w:t>.</w:t>
      </w:r>
      <w:r w:rsidR="009C2848" w:rsidRPr="006060F1">
        <w:rPr>
          <w:rFonts w:eastAsia="Times New Roman" w:cstheme="minorHAnsi"/>
          <w:lang w:val="es-ES" w:eastAsia="en-GB"/>
        </w:rPr>
        <w:tab/>
      </w:r>
      <w:r w:rsidR="000F0640" w:rsidRPr="006060F1">
        <w:rPr>
          <w:rFonts w:cstheme="minorHAnsi"/>
          <w:lang w:val="es-ES"/>
        </w:rPr>
        <w:t>La Secretaría sigue colaborando activamente con otros AMMA y concentra sus esfuerzos con arreglo al párrafo 44 de la Resolución XII.3 sobre la cooperación y las sinergias con las convenciones relacionadas con la biodiversidad.</w:t>
      </w:r>
      <w:r w:rsidR="009C2848" w:rsidRPr="006060F1">
        <w:rPr>
          <w:rFonts w:eastAsia="Times New Roman" w:cstheme="minorHAnsi"/>
          <w:color w:val="FF0000"/>
          <w:lang w:val="es-ES" w:eastAsia="en-GB"/>
        </w:rPr>
        <w:t xml:space="preserve"> </w:t>
      </w:r>
      <w:r w:rsidR="000F0640" w:rsidRPr="006060F1">
        <w:rPr>
          <w:rFonts w:cstheme="minorHAnsi"/>
          <w:lang w:val="es-ES"/>
        </w:rPr>
        <w:t xml:space="preserve">Se sigue colaborando con estos AMMA en otros ámbitos más concretos </w:t>
      </w:r>
      <w:r w:rsidR="000F0640" w:rsidRPr="006060F1">
        <w:rPr>
          <w:rFonts w:cstheme="minorHAnsi"/>
          <w:color w:val="000000" w:themeColor="text1"/>
          <w:lang w:val="es-ES"/>
        </w:rPr>
        <w:t>en el marco de los memorandos existentes</w:t>
      </w:r>
      <w:r w:rsidR="000F0640" w:rsidRPr="006060F1">
        <w:rPr>
          <w:rFonts w:eastAsia="Times New Roman" w:cstheme="minorHAnsi"/>
          <w:bCs/>
          <w:color w:val="000000" w:themeColor="text1"/>
          <w:lang w:val="es-ES" w:eastAsia="en-GB"/>
        </w:rPr>
        <w:t xml:space="preserve">, concretamente con el CDB, la </w:t>
      </w:r>
      <w:r w:rsidR="00967039" w:rsidRPr="006060F1">
        <w:rPr>
          <w:rFonts w:eastAsia="Times New Roman" w:cstheme="minorHAnsi"/>
          <w:bCs/>
          <w:color w:val="000000" w:themeColor="text1"/>
          <w:lang w:val="es-ES" w:eastAsia="en-GB"/>
        </w:rPr>
        <w:t>C</w:t>
      </w:r>
      <w:r w:rsidR="000F0640" w:rsidRPr="006060F1">
        <w:rPr>
          <w:rFonts w:eastAsia="Times New Roman" w:cstheme="minorHAnsi"/>
          <w:bCs/>
          <w:color w:val="000000" w:themeColor="text1"/>
          <w:lang w:val="es-ES" w:eastAsia="en-GB"/>
        </w:rPr>
        <w:t xml:space="preserve">MS y </w:t>
      </w:r>
      <w:r w:rsidR="00967039" w:rsidRPr="006060F1">
        <w:rPr>
          <w:rFonts w:eastAsia="Times New Roman" w:cstheme="minorHAnsi"/>
          <w:bCs/>
          <w:color w:val="000000" w:themeColor="text1"/>
          <w:lang w:val="es-ES" w:eastAsia="en-GB"/>
        </w:rPr>
        <w:t>la Convención del Patrimonio Mundial así como la CLD</w:t>
      </w:r>
      <w:r w:rsidR="009C2848" w:rsidRPr="006060F1">
        <w:rPr>
          <w:rFonts w:eastAsia="Times New Roman" w:cstheme="minorHAnsi"/>
          <w:bCs/>
          <w:color w:val="000000" w:themeColor="text1"/>
          <w:lang w:val="es-ES" w:eastAsia="en-GB"/>
        </w:rPr>
        <w:t>.</w:t>
      </w:r>
    </w:p>
    <w:p w14:paraId="6E301D6A" w14:textId="77777777" w:rsidR="009C2848" w:rsidRPr="006060F1" w:rsidRDefault="009C2848" w:rsidP="007D3790">
      <w:pPr>
        <w:suppressAutoHyphens/>
        <w:spacing w:after="0" w:line="240" w:lineRule="auto"/>
        <w:ind w:left="425" w:hanging="425"/>
        <w:rPr>
          <w:rFonts w:eastAsia="Times New Roman" w:cstheme="minorHAnsi"/>
          <w:lang w:val="es-ES" w:eastAsia="en-GB"/>
        </w:rPr>
      </w:pPr>
    </w:p>
    <w:p w14:paraId="46E566B1" w14:textId="09867D78" w:rsidR="009C2848" w:rsidRPr="007D3790" w:rsidRDefault="00EE3447" w:rsidP="007D3790">
      <w:pPr>
        <w:suppressAutoHyphens/>
        <w:spacing w:after="0" w:line="240" w:lineRule="auto"/>
        <w:ind w:left="425" w:hanging="425"/>
        <w:rPr>
          <w:rFonts w:eastAsia="Times New Roman" w:cstheme="minorHAnsi"/>
          <w:lang w:val="es-ES" w:eastAsia="en-GB"/>
        </w:rPr>
      </w:pPr>
      <w:r w:rsidRPr="006060F1">
        <w:rPr>
          <w:rFonts w:eastAsia="Times New Roman" w:cstheme="minorHAnsi"/>
          <w:lang w:val="es-ES" w:eastAsia="en-GB"/>
        </w:rPr>
        <w:t>7</w:t>
      </w:r>
      <w:r w:rsidR="009C2848" w:rsidRPr="006060F1">
        <w:rPr>
          <w:rFonts w:eastAsia="Times New Roman" w:cstheme="minorHAnsi"/>
          <w:lang w:val="es-ES" w:eastAsia="en-GB"/>
        </w:rPr>
        <w:t>.</w:t>
      </w:r>
      <w:r w:rsidR="009C2848" w:rsidRPr="006060F1">
        <w:rPr>
          <w:rFonts w:eastAsia="Times New Roman" w:cstheme="minorHAnsi"/>
          <w:lang w:val="es-ES" w:eastAsia="en-GB"/>
        </w:rPr>
        <w:tab/>
      </w:r>
      <w:r w:rsidR="00967039" w:rsidRPr="006060F1">
        <w:rPr>
          <w:rFonts w:cstheme="minorHAnsi"/>
          <w:color w:val="000000" w:themeColor="text1"/>
          <w:lang w:val="es-ES"/>
        </w:rPr>
        <w:t xml:space="preserve">De conformidad </w:t>
      </w:r>
      <w:r w:rsidR="00967039" w:rsidRPr="006060F1">
        <w:rPr>
          <w:rFonts w:cstheme="minorHAnsi"/>
          <w:lang w:val="es-ES"/>
        </w:rPr>
        <w:t>con el párrafo 23 de la Resolución XIII.7, en el Anexo 1 del documento SC58</w:t>
      </w:r>
      <w:r w:rsidR="007B6216">
        <w:rPr>
          <w:rFonts w:cstheme="minorHAnsi"/>
          <w:lang w:val="es-ES"/>
        </w:rPr>
        <w:t xml:space="preserve"> Doc</w:t>
      </w:r>
      <w:r w:rsidR="00967039" w:rsidRPr="006060F1">
        <w:rPr>
          <w:rFonts w:cstheme="minorHAnsi"/>
          <w:lang w:val="es-ES"/>
        </w:rPr>
        <w:t xml:space="preserve">18 se presenta un plan para reforzar las sinergias con </w:t>
      </w:r>
      <w:r w:rsidR="00967039" w:rsidRPr="006060F1">
        <w:rPr>
          <w:rFonts w:cstheme="minorHAnsi"/>
          <w:color w:val="000000" w:themeColor="text1"/>
          <w:lang w:val="es-ES"/>
        </w:rPr>
        <w:t>otros AMMA y las contribuciones de la Convención al marco mundial de la diversidad biológica posterior a 2020 de forma que el Comité Permanente lo examine y formule sus recomendaciones</w:t>
      </w:r>
      <w:r w:rsidR="00657CE9" w:rsidRPr="006060F1">
        <w:rPr>
          <w:rFonts w:eastAsia="Times New Roman" w:cstheme="minorHAnsi"/>
          <w:lang w:val="es-ES" w:eastAsia="en-GB"/>
        </w:rPr>
        <w:t xml:space="preserve">. </w:t>
      </w:r>
      <w:r w:rsidR="00CD366B" w:rsidRPr="006060F1">
        <w:rPr>
          <w:rFonts w:eastAsia="Times New Roman" w:cstheme="minorHAnsi"/>
          <w:lang w:val="es-ES" w:eastAsia="en-GB"/>
        </w:rPr>
        <w:t xml:space="preserve">No obstante, como se </w:t>
      </w:r>
      <w:r w:rsidR="00967039" w:rsidRPr="006060F1">
        <w:rPr>
          <w:rFonts w:eastAsia="Times New Roman" w:cstheme="minorHAnsi"/>
          <w:lang w:val="es-ES" w:eastAsia="en-GB"/>
        </w:rPr>
        <w:t>indica en párrafos anteriores,</w:t>
      </w:r>
      <w:r w:rsidR="00CD366B" w:rsidRPr="006060F1">
        <w:rPr>
          <w:rFonts w:eastAsia="Times New Roman" w:cstheme="minorHAnsi"/>
          <w:lang w:val="es-ES" w:eastAsia="en-GB"/>
        </w:rPr>
        <w:t xml:space="preserve"> </w:t>
      </w:r>
      <w:r w:rsidR="00967039" w:rsidRPr="006060F1">
        <w:rPr>
          <w:rFonts w:eastAsia="Times New Roman" w:cstheme="minorHAnsi"/>
          <w:lang w:val="es-ES" w:eastAsia="en-GB"/>
        </w:rPr>
        <w:t xml:space="preserve">estos documentos no se trataron en el proceso entre períodos de sesiones de la </w:t>
      </w:r>
      <w:r w:rsidR="00967039" w:rsidRPr="007D3790">
        <w:rPr>
          <w:rFonts w:eastAsia="Times New Roman" w:cstheme="minorHAnsi"/>
          <w:lang w:val="es-ES" w:eastAsia="en-GB"/>
        </w:rPr>
        <w:t>58ª y la 59ª reuniones del Comité Permanente en 2020 y junio de 2021, respectivamente</w:t>
      </w:r>
      <w:r w:rsidR="00657CE9" w:rsidRPr="007D3790">
        <w:rPr>
          <w:rFonts w:eastAsia="Times New Roman" w:cstheme="minorHAnsi"/>
          <w:lang w:val="es-ES" w:eastAsia="en-GB"/>
        </w:rPr>
        <w:t>.</w:t>
      </w:r>
      <w:r w:rsidR="003E4A19" w:rsidRPr="007D3790">
        <w:rPr>
          <w:rFonts w:eastAsia="Times New Roman" w:cstheme="minorHAnsi"/>
          <w:lang w:val="es-ES" w:eastAsia="en-GB"/>
        </w:rPr>
        <w:t xml:space="preserve"> </w:t>
      </w:r>
    </w:p>
    <w:p w14:paraId="69A15F74" w14:textId="77777777" w:rsidR="009C2848" w:rsidRPr="007D3790" w:rsidRDefault="009C2848" w:rsidP="007D3790">
      <w:pPr>
        <w:spacing w:after="0" w:line="240" w:lineRule="auto"/>
        <w:jc w:val="both"/>
        <w:rPr>
          <w:rFonts w:eastAsia="Times New Roman" w:cstheme="minorHAnsi"/>
          <w:b/>
          <w:lang w:val="es-ES" w:eastAsia="en-GB"/>
        </w:rPr>
      </w:pPr>
    </w:p>
    <w:p w14:paraId="6ED7C618" w14:textId="1A79F105" w:rsidR="009C2848" w:rsidRPr="007D3790" w:rsidRDefault="009C2848" w:rsidP="007D3790">
      <w:pPr>
        <w:spacing w:after="0" w:line="240" w:lineRule="auto"/>
        <w:contextualSpacing/>
        <w:rPr>
          <w:rFonts w:eastAsia="Calibri" w:cstheme="minorHAnsi"/>
          <w:i/>
          <w:lang w:val="es-ES"/>
        </w:rPr>
      </w:pPr>
      <w:r w:rsidRPr="007D3790">
        <w:rPr>
          <w:rFonts w:cstheme="minorHAnsi"/>
          <w:bCs/>
          <w:i/>
          <w:lang w:val="es-ES"/>
        </w:rPr>
        <w:t>Conven</w:t>
      </w:r>
      <w:r w:rsidR="00542C62" w:rsidRPr="007D3790">
        <w:rPr>
          <w:rFonts w:cstheme="minorHAnsi"/>
          <w:bCs/>
          <w:i/>
          <w:lang w:val="es-ES"/>
        </w:rPr>
        <w:t>io sobre la Diversidad Biológica</w:t>
      </w:r>
    </w:p>
    <w:p w14:paraId="66D78891" w14:textId="77777777" w:rsidR="009C2848" w:rsidRPr="007D3790" w:rsidRDefault="009C2848" w:rsidP="007D3790">
      <w:pPr>
        <w:spacing w:after="0" w:line="240" w:lineRule="auto"/>
        <w:contextualSpacing/>
        <w:rPr>
          <w:rFonts w:eastAsia="Calibri" w:cstheme="minorHAnsi"/>
          <w:lang w:val="es-ES"/>
        </w:rPr>
      </w:pPr>
    </w:p>
    <w:p w14:paraId="326CD931" w14:textId="33E4481E" w:rsidR="00F678E0" w:rsidRPr="006060F1" w:rsidRDefault="00EE3447" w:rsidP="007D3790">
      <w:pPr>
        <w:suppressAutoHyphens/>
        <w:spacing w:after="0" w:line="240" w:lineRule="auto"/>
        <w:ind w:left="425" w:hanging="425"/>
        <w:rPr>
          <w:lang w:val="es-ES"/>
        </w:rPr>
      </w:pPr>
      <w:r w:rsidRPr="007D3790">
        <w:rPr>
          <w:rFonts w:eastAsia="Times New Roman" w:cstheme="minorHAnsi"/>
          <w:lang w:val="es-ES" w:eastAsia="en-GB"/>
        </w:rPr>
        <w:t>8.</w:t>
      </w:r>
      <w:r w:rsidR="009C2848" w:rsidRPr="007D3790">
        <w:rPr>
          <w:rFonts w:eastAsia="Times New Roman" w:cstheme="minorHAnsi"/>
          <w:lang w:val="es-ES" w:eastAsia="en-GB"/>
        </w:rPr>
        <w:tab/>
      </w:r>
      <w:r w:rsidR="00967039" w:rsidRPr="007D3790">
        <w:rPr>
          <w:rFonts w:cstheme="minorHAnsi"/>
          <w:lang w:val="es-ES"/>
        </w:rPr>
        <w:t>La Secretaría ha seguido trabajando para reforzar la cooperación con el CDB, realizando aportaciones a distintos procesos</w:t>
      </w:r>
      <w:r w:rsidR="00967039" w:rsidRPr="006060F1">
        <w:rPr>
          <w:rFonts w:cstheme="minorHAnsi"/>
          <w:lang w:val="es-ES"/>
        </w:rPr>
        <w:t>, principalmente la preparación del marco mundial de la diversidad biológica posterior a 2020</w:t>
      </w:r>
      <w:r w:rsidR="0072768A" w:rsidRPr="006060F1">
        <w:rPr>
          <w:rFonts w:eastAsia="Times New Roman" w:cstheme="minorHAnsi"/>
          <w:lang w:val="es-ES" w:eastAsia="en-GB"/>
        </w:rPr>
        <w:t xml:space="preserve">. </w:t>
      </w:r>
      <w:r w:rsidR="00F822C3" w:rsidRPr="006060F1">
        <w:rPr>
          <w:rFonts w:eastAsia="Times New Roman" w:cstheme="minorHAnsi"/>
          <w:lang w:val="es-ES" w:eastAsia="en-GB"/>
        </w:rPr>
        <w:t xml:space="preserve">En este sentido, la Secretaría preparó un documento y lo compartió con todas las Partes Contratantes el </w:t>
      </w:r>
      <w:r w:rsidR="00735DD9" w:rsidRPr="006060F1">
        <w:rPr>
          <w:rFonts w:ascii="Calibri" w:hAnsi="Calibri" w:cs="Calibri"/>
          <w:lang w:val="es-ES"/>
        </w:rPr>
        <w:t xml:space="preserve">8 </w:t>
      </w:r>
      <w:r w:rsidR="00F822C3" w:rsidRPr="006060F1">
        <w:rPr>
          <w:rFonts w:ascii="Calibri" w:hAnsi="Calibri" w:cs="Calibri"/>
          <w:lang w:val="es-ES"/>
        </w:rPr>
        <w:t xml:space="preserve">de agosto de </w:t>
      </w:r>
      <w:r w:rsidR="00735DD9" w:rsidRPr="006060F1">
        <w:rPr>
          <w:rFonts w:ascii="Calibri" w:hAnsi="Calibri" w:cs="Calibri"/>
          <w:lang w:val="es-ES"/>
        </w:rPr>
        <w:t xml:space="preserve">2021 </w:t>
      </w:r>
      <w:r w:rsidR="00F822C3" w:rsidRPr="006060F1">
        <w:rPr>
          <w:rFonts w:ascii="Calibri" w:hAnsi="Calibri" w:cs="Calibri"/>
          <w:lang w:val="es-ES"/>
        </w:rPr>
        <w:t>poniendo de relieve l</w:t>
      </w:r>
      <w:r w:rsidR="00967039" w:rsidRPr="006060F1">
        <w:rPr>
          <w:rFonts w:ascii="Calibri" w:hAnsi="Calibri" w:cs="Calibri"/>
          <w:lang w:val="es-ES"/>
        </w:rPr>
        <w:t xml:space="preserve">as cuestiones </w:t>
      </w:r>
      <w:r w:rsidR="00F822C3" w:rsidRPr="006060F1">
        <w:rPr>
          <w:rFonts w:ascii="Calibri" w:hAnsi="Calibri" w:cs="Calibri"/>
          <w:lang w:val="es-ES"/>
        </w:rPr>
        <w:t>considerad</w:t>
      </w:r>
      <w:r w:rsidR="00967039" w:rsidRPr="006060F1">
        <w:rPr>
          <w:rFonts w:ascii="Calibri" w:hAnsi="Calibri" w:cs="Calibri"/>
          <w:lang w:val="es-ES"/>
        </w:rPr>
        <w:t>as</w:t>
      </w:r>
      <w:r w:rsidR="00F822C3" w:rsidRPr="006060F1">
        <w:rPr>
          <w:rFonts w:ascii="Calibri" w:hAnsi="Calibri" w:cs="Calibri"/>
          <w:lang w:val="es-ES"/>
        </w:rPr>
        <w:t xml:space="preserve"> como más pertinentes para la Convención </w:t>
      </w:r>
      <w:r w:rsidR="00967039" w:rsidRPr="006060F1">
        <w:rPr>
          <w:rFonts w:ascii="Calibri" w:hAnsi="Calibri" w:cs="Calibri"/>
          <w:lang w:val="es-ES"/>
        </w:rPr>
        <w:t>a fin de</w:t>
      </w:r>
      <w:r w:rsidR="00F822C3" w:rsidRPr="006060F1">
        <w:rPr>
          <w:rFonts w:ascii="Calibri" w:hAnsi="Calibri" w:cs="Calibri"/>
          <w:lang w:val="es-ES"/>
        </w:rPr>
        <w:t xml:space="preserve"> asegurarse de que las Partes que asistían a la tercera reunión del</w:t>
      </w:r>
      <w:r w:rsidR="00967039" w:rsidRPr="006060F1">
        <w:rPr>
          <w:rFonts w:ascii="Calibri" w:hAnsi="Calibri" w:cs="Calibri"/>
          <w:lang w:val="es-ES"/>
        </w:rPr>
        <w:t xml:space="preserve"> </w:t>
      </w:r>
      <w:r w:rsidR="00F822C3" w:rsidRPr="006060F1">
        <w:rPr>
          <w:rFonts w:ascii="Calibri" w:hAnsi="Calibri" w:cs="Calibri"/>
          <w:lang w:val="es-ES"/>
        </w:rPr>
        <w:t xml:space="preserve">grupo de trabajo de </w:t>
      </w:r>
      <w:r w:rsidR="00F822C3" w:rsidRPr="00CD54B7">
        <w:rPr>
          <w:rFonts w:ascii="Calibri" w:hAnsi="Calibri" w:cs="Calibri"/>
          <w:lang w:val="es-ES"/>
        </w:rPr>
        <w:t>composición</w:t>
      </w:r>
      <w:r w:rsidR="00F822C3" w:rsidRPr="006060F1">
        <w:rPr>
          <w:rFonts w:ascii="Calibri" w:hAnsi="Calibri" w:cs="Calibri"/>
          <w:lang w:val="es-ES"/>
        </w:rPr>
        <w:t xml:space="preserve"> abiert</w:t>
      </w:r>
      <w:r w:rsidR="00967039" w:rsidRPr="006060F1">
        <w:rPr>
          <w:rFonts w:ascii="Calibri" w:hAnsi="Calibri" w:cs="Calibri"/>
          <w:lang w:val="es-ES"/>
        </w:rPr>
        <w:t>a</w:t>
      </w:r>
      <w:r w:rsidR="00F822C3" w:rsidRPr="006060F1">
        <w:rPr>
          <w:rFonts w:ascii="Calibri" w:hAnsi="Calibri" w:cs="Calibri"/>
          <w:lang w:val="es-ES"/>
        </w:rPr>
        <w:t xml:space="preserve"> pudieran </w:t>
      </w:r>
      <w:r w:rsidR="00CD54B7">
        <w:rPr>
          <w:rFonts w:ascii="Calibri" w:hAnsi="Calibri" w:cs="Calibri"/>
          <w:lang w:val="es-ES"/>
        </w:rPr>
        <w:t>plasmar</w:t>
      </w:r>
      <w:r w:rsidR="00F822C3" w:rsidRPr="006060F1">
        <w:rPr>
          <w:rFonts w:ascii="Calibri" w:hAnsi="Calibri" w:cs="Calibri"/>
          <w:lang w:val="es-ES"/>
        </w:rPr>
        <w:t xml:space="preserve"> la importancia de los humedales. La Secretaría también recordó a las Partes </w:t>
      </w:r>
      <w:r w:rsidR="006060F1" w:rsidRPr="006060F1">
        <w:rPr>
          <w:rFonts w:ascii="Calibri" w:hAnsi="Calibri" w:cs="Calibri"/>
          <w:lang w:val="es-ES"/>
        </w:rPr>
        <w:t>Contratantes</w:t>
      </w:r>
      <w:r w:rsidR="00F822C3" w:rsidRPr="006060F1">
        <w:rPr>
          <w:rFonts w:ascii="Calibri" w:hAnsi="Calibri" w:cs="Calibri"/>
          <w:lang w:val="es-ES"/>
        </w:rPr>
        <w:t xml:space="preserve"> </w:t>
      </w:r>
      <w:r w:rsidR="007138A5" w:rsidRPr="006060F1">
        <w:rPr>
          <w:rFonts w:ascii="Calibri" w:hAnsi="Calibri" w:cs="Calibri"/>
          <w:lang w:val="es-ES"/>
        </w:rPr>
        <w:t>que</w:t>
      </w:r>
      <w:r w:rsidR="00F822C3" w:rsidRPr="006060F1">
        <w:rPr>
          <w:rFonts w:ascii="Calibri" w:hAnsi="Calibri" w:cs="Calibri"/>
          <w:lang w:val="es-ES"/>
        </w:rPr>
        <w:t xml:space="preserve"> el </w:t>
      </w:r>
      <w:r w:rsidR="00A65B62" w:rsidRPr="00CD54B7">
        <w:rPr>
          <w:rFonts w:ascii="Calibri" w:hAnsi="Calibri" w:cs="Calibri"/>
          <w:lang w:val="es-ES"/>
        </w:rPr>
        <w:t>Comité Permanente</w:t>
      </w:r>
      <w:r w:rsidR="00DC2D37" w:rsidRPr="00CD54B7">
        <w:rPr>
          <w:rFonts w:ascii="Calibri" w:hAnsi="Calibri" w:cs="Calibri"/>
          <w:lang w:val="es-ES"/>
        </w:rPr>
        <w:t xml:space="preserve"> (</w:t>
      </w:r>
      <w:r w:rsidR="006060F1" w:rsidRPr="00CD54B7">
        <w:rPr>
          <w:rFonts w:ascii="Calibri" w:hAnsi="Calibri" w:cs="Calibri"/>
          <w:lang w:val="es-ES"/>
        </w:rPr>
        <w:t>Decisión</w:t>
      </w:r>
      <w:r w:rsidR="00DC2D37" w:rsidRPr="00CD54B7">
        <w:rPr>
          <w:rFonts w:ascii="Calibri" w:hAnsi="Calibri" w:cs="Calibri"/>
          <w:lang w:val="es-ES"/>
        </w:rPr>
        <w:t xml:space="preserve"> SC57-26) </w:t>
      </w:r>
      <w:r w:rsidR="007138A5" w:rsidRPr="00CD54B7">
        <w:rPr>
          <w:rFonts w:ascii="Calibri" w:hAnsi="Calibri" w:cs="Calibri"/>
          <w:lang w:val="es-ES"/>
        </w:rPr>
        <w:t xml:space="preserve">alienta a dichas Partes a que, mediante sus coordinadores nacionales de Ramsar, establezcan contactos y trabajen con sus homólogos del Convenio sobre la Diversidad Biológica y participen en la preparación de sus posiciones nacionales en relación con el proceso del marco de la diversidad biológica posterior a 2020 del CDB, a fin de garantizar la </w:t>
      </w:r>
      <w:r w:rsidR="006060F1" w:rsidRPr="00CD54B7">
        <w:rPr>
          <w:rFonts w:ascii="Calibri" w:hAnsi="Calibri" w:cs="Calibri"/>
          <w:lang w:val="es-ES"/>
        </w:rPr>
        <w:t>inclusión</w:t>
      </w:r>
      <w:r w:rsidR="007138A5" w:rsidRPr="00CD54B7">
        <w:rPr>
          <w:rFonts w:ascii="Calibri" w:hAnsi="Calibri" w:cs="Calibri"/>
          <w:lang w:val="es-ES"/>
        </w:rPr>
        <w:t xml:space="preserve"> de elementos pertinentes para Ramsar en las posiciones de los países y las aportaciones al proceso del </w:t>
      </w:r>
      <w:r w:rsidR="006060F1" w:rsidRPr="00CD54B7">
        <w:rPr>
          <w:rFonts w:ascii="Calibri" w:hAnsi="Calibri" w:cs="Calibri"/>
          <w:lang w:val="es-ES"/>
        </w:rPr>
        <w:t>CDB</w:t>
      </w:r>
      <w:r w:rsidR="007138A5" w:rsidRPr="00CD54B7">
        <w:rPr>
          <w:rFonts w:ascii="Calibri" w:hAnsi="Calibri" w:cs="Calibri"/>
          <w:lang w:val="es-ES"/>
        </w:rPr>
        <w:t xml:space="preserve"> para elaborar el marco de la diversidad biológica </w:t>
      </w:r>
      <w:r w:rsidR="006060F1" w:rsidRPr="00CD54B7">
        <w:rPr>
          <w:rFonts w:ascii="Calibri" w:hAnsi="Calibri" w:cs="Calibri"/>
          <w:lang w:val="es-ES"/>
        </w:rPr>
        <w:t>posterior</w:t>
      </w:r>
      <w:r w:rsidR="007138A5" w:rsidRPr="00CD54B7">
        <w:rPr>
          <w:rFonts w:ascii="Calibri" w:hAnsi="Calibri" w:cs="Calibri"/>
          <w:lang w:val="es-ES"/>
        </w:rPr>
        <w:t xml:space="preserve"> a </w:t>
      </w:r>
      <w:r w:rsidR="00DC2D37" w:rsidRPr="00CD54B7">
        <w:rPr>
          <w:rFonts w:ascii="Calibri" w:hAnsi="Calibri" w:cs="Calibri"/>
          <w:lang w:val="es-ES"/>
        </w:rPr>
        <w:t>2020</w:t>
      </w:r>
      <w:r w:rsidR="00DC2D37" w:rsidRPr="006060F1">
        <w:rPr>
          <w:rFonts w:ascii="Calibri" w:hAnsi="Calibri" w:cs="Calibri"/>
          <w:lang w:val="es-ES"/>
        </w:rPr>
        <w:t>.</w:t>
      </w:r>
      <w:r w:rsidR="004B3FC0" w:rsidRPr="006060F1">
        <w:rPr>
          <w:rFonts w:ascii="Calibri" w:hAnsi="Calibri" w:cs="Calibri"/>
          <w:lang w:val="es-ES"/>
        </w:rPr>
        <w:t xml:space="preserve"> </w:t>
      </w:r>
      <w:r w:rsidR="00F822C3" w:rsidRPr="006060F1">
        <w:rPr>
          <w:rFonts w:ascii="Calibri" w:hAnsi="Calibri" w:cs="Calibri"/>
          <w:lang w:val="es-ES"/>
        </w:rPr>
        <w:t>Con e</w:t>
      </w:r>
      <w:r w:rsidR="007138A5" w:rsidRPr="006060F1">
        <w:rPr>
          <w:rFonts w:ascii="Calibri" w:hAnsi="Calibri" w:cs="Calibri"/>
          <w:lang w:val="es-ES"/>
        </w:rPr>
        <w:t>s</w:t>
      </w:r>
      <w:r w:rsidR="00F822C3" w:rsidRPr="006060F1">
        <w:rPr>
          <w:rFonts w:ascii="Calibri" w:hAnsi="Calibri" w:cs="Calibri"/>
          <w:lang w:val="es-ES"/>
        </w:rPr>
        <w:t xml:space="preserve">os elementos, la </w:t>
      </w:r>
      <w:r w:rsidR="006060F1" w:rsidRPr="006060F1">
        <w:rPr>
          <w:rFonts w:ascii="Calibri" w:hAnsi="Calibri" w:cs="Calibri"/>
          <w:lang w:val="es-ES"/>
        </w:rPr>
        <w:t>Secretaría</w:t>
      </w:r>
      <w:r w:rsidR="00F822C3" w:rsidRPr="006060F1">
        <w:rPr>
          <w:rFonts w:ascii="Calibri" w:hAnsi="Calibri" w:cs="Calibri"/>
          <w:lang w:val="es-ES"/>
        </w:rPr>
        <w:t xml:space="preserve"> realizó aportaciones a la tercera reunión del grupo de trabajo de </w:t>
      </w:r>
      <w:r w:rsidR="006060F1" w:rsidRPr="006060F1">
        <w:rPr>
          <w:rFonts w:ascii="Calibri" w:hAnsi="Calibri" w:cs="Calibri"/>
          <w:lang w:val="es-ES"/>
        </w:rPr>
        <w:t>composición</w:t>
      </w:r>
      <w:r w:rsidR="00F822C3" w:rsidRPr="006060F1">
        <w:rPr>
          <w:rFonts w:ascii="Calibri" w:hAnsi="Calibri" w:cs="Calibri"/>
          <w:lang w:val="es-ES"/>
        </w:rPr>
        <w:t xml:space="preserve"> abierta sobre el marco mundial de la Diversidad Biológica posterior a 2020</w:t>
      </w:r>
      <w:r w:rsidR="007138A5" w:rsidRPr="006060F1">
        <w:rPr>
          <w:rFonts w:ascii="Calibri" w:hAnsi="Calibri" w:cs="Calibri"/>
          <w:lang w:val="es-ES"/>
        </w:rPr>
        <w:t>, celebrada</w:t>
      </w:r>
      <w:r w:rsidR="00F822C3" w:rsidRPr="006060F1">
        <w:rPr>
          <w:rFonts w:ascii="Calibri" w:hAnsi="Calibri" w:cs="Calibri"/>
          <w:lang w:val="es-ES"/>
        </w:rPr>
        <w:t xml:space="preserve"> del 23 de agosto al </w:t>
      </w:r>
      <w:r w:rsidR="00F678E0" w:rsidRPr="006060F1">
        <w:rPr>
          <w:lang w:val="es-ES"/>
        </w:rPr>
        <w:t xml:space="preserve">3 </w:t>
      </w:r>
      <w:r w:rsidR="00F822C3" w:rsidRPr="006060F1">
        <w:rPr>
          <w:lang w:val="es-ES"/>
        </w:rPr>
        <w:t xml:space="preserve">de septiembre de </w:t>
      </w:r>
      <w:r w:rsidR="00F678E0" w:rsidRPr="006060F1">
        <w:rPr>
          <w:lang w:val="es-ES"/>
        </w:rPr>
        <w:t>2021</w:t>
      </w:r>
      <w:r w:rsidR="00CD54B7">
        <w:rPr>
          <w:lang w:val="es-ES"/>
        </w:rPr>
        <w:t>,</w:t>
      </w:r>
      <w:r w:rsidR="00F678E0" w:rsidRPr="006060F1">
        <w:rPr>
          <w:lang w:val="es-ES"/>
        </w:rPr>
        <w:t xml:space="preserve"> </w:t>
      </w:r>
      <w:r w:rsidR="00F822C3" w:rsidRPr="006060F1">
        <w:rPr>
          <w:lang w:val="es-ES"/>
        </w:rPr>
        <w:t xml:space="preserve">y </w:t>
      </w:r>
      <w:r w:rsidR="008877D7" w:rsidRPr="006060F1">
        <w:rPr>
          <w:lang w:val="es-ES"/>
        </w:rPr>
        <w:t>a</w:t>
      </w:r>
      <w:r w:rsidR="00F822C3" w:rsidRPr="006060F1">
        <w:rPr>
          <w:lang w:val="es-ES"/>
        </w:rPr>
        <w:t xml:space="preserve"> la </w:t>
      </w:r>
      <w:r w:rsidR="008877D7" w:rsidRPr="006060F1">
        <w:rPr>
          <w:lang w:val="es-ES"/>
        </w:rPr>
        <w:t>24ª</w:t>
      </w:r>
      <w:r w:rsidR="00F822C3" w:rsidRPr="006060F1">
        <w:rPr>
          <w:lang w:val="es-ES"/>
        </w:rPr>
        <w:t xml:space="preserve"> reunión del Órgano </w:t>
      </w:r>
      <w:r w:rsidR="006060F1" w:rsidRPr="006060F1">
        <w:rPr>
          <w:lang w:val="es-ES"/>
        </w:rPr>
        <w:t>Subsidiario</w:t>
      </w:r>
      <w:r w:rsidR="00F822C3" w:rsidRPr="006060F1">
        <w:rPr>
          <w:lang w:val="es-ES"/>
        </w:rPr>
        <w:t xml:space="preserve"> de Asesoramiento Científico, Técnico y Tecnológico </w:t>
      </w:r>
      <w:r w:rsidR="00F678E0" w:rsidRPr="006060F1">
        <w:rPr>
          <w:lang w:val="es-ES"/>
        </w:rPr>
        <w:t xml:space="preserve">(SBSTTA 24) </w:t>
      </w:r>
      <w:r w:rsidR="00F822C3" w:rsidRPr="006060F1">
        <w:rPr>
          <w:lang w:val="es-ES"/>
        </w:rPr>
        <w:t>y la</w:t>
      </w:r>
      <w:r w:rsidR="008877D7" w:rsidRPr="006060F1">
        <w:rPr>
          <w:lang w:val="es-ES"/>
        </w:rPr>
        <w:t xml:space="preserve"> 13ª</w:t>
      </w:r>
      <w:r w:rsidR="00F822C3" w:rsidRPr="006060F1">
        <w:rPr>
          <w:lang w:val="es-ES"/>
        </w:rPr>
        <w:t xml:space="preserve"> </w:t>
      </w:r>
      <w:r w:rsidR="006060F1" w:rsidRPr="006060F1">
        <w:rPr>
          <w:lang w:val="es-ES"/>
        </w:rPr>
        <w:t>reunión</w:t>
      </w:r>
      <w:r w:rsidR="008877D7" w:rsidRPr="006060F1">
        <w:rPr>
          <w:lang w:val="es-ES"/>
        </w:rPr>
        <w:t xml:space="preserve"> del Órgano Subsidiario sobre la Aplicación (</w:t>
      </w:r>
      <w:r w:rsidR="00F822C3" w:rsidRPr="006060F1">
        <w:rPr>
          <w:lang w:val="es-ES"/>
        </w:rPr>
        <w:t>S</w:t>
      </w:r>
      <w:r w:rsidR="00F678E0" w:rsidRPr="006060F1">
        <w:rPr>
          <w:lang w:val="es-ES"/>
        </w:rPr>
        <w:t>BI3</w:t>
      </w:r>
      <w:r w:rsidR="008877D7" w:rsidRPr="006060F1">
        <w:rPr>
          <w:lang w:val="es-ES"/>
        </w:rPr>
        <w:t>)</w:t>
      </w:r>
      <w:r w:rsidR="00F822C3" w:rsidRPr="006060F1">
        <w:rPr>
          <w:lang w:val="es-ES"/>
        </w:rPr>
        <w:t xml:space="preserve"> durante lo</w:t>
      </w:r>
      <w:r w:rsidR="008877D7" w:rsidRPr="006060F1">
        <w:rPr>
          <w:lang w:val="es-ES"/>
        </w:rPr>
        <w:t>s</w:t>
      </w:r>
      <w:r w:rsidR="00F822C3" w:rsidRPr="006060F1">
        <w:rPr>
          <w:lang w:val="es-ES"/>
        </w:rPr>
        <w:t xml:space="preserve"> meses de febrero, marzo, mayo y junio de</w:t>
      </w:r>
      <w:r w:rsidR="00F678E0" w:rsidRPr="006060F1">
        <w:rPr>
          <w:lang w:val="es-ES"/>
        </w:rPr>
        <w:t xml:space="preserve"> 2021.</w:t>
      </w:r>
    </w:p>
    <w:p w14:paraId="77E2480B" w14:textId="60FD311D" w:rsidR="00F678E0" w:rsidRPr="006060F1" w:rsidRDefault="00F678E0" w:rsidP="007D3790">
      <w:pPr>
        <w:suppressAutoHyphens/>
        <w:spacing w:after="0" w:line="240" w:lineRule="auto"/>
        <w:ind w:left="425" w:hanging="425"/>
        <w:rPr>
          <w:lang w:val="es-ES"/>
        </w:rPr>
      </w:pPr>
    </w:p>
    <w:p w14:paraId="354F499C" w14:textId="7112D686" w:rsidR="00A80A93" w:rsidRPr="006060F1" w:rsidRDefault="00EE3447" w:rsidP="007D3790">
      <w:pPr>
        <w:spacing w:after="0" w:line="240" w:lineRule="auto"/>
        <w:ind w:left="425" w:hanging="425"/>
        <w:rPr>
          <w:bCs/>
          <w:color w:val="000000" w:themeColor="text1"/>
          <w:lang w:val="es-ES"/>
        </w:rPr>
      </w:pPr>
      <w:r w:rsidRPr="006060F1">
        <w:rPr>
          <w:rFonts w:cstheme="minorHAnsi"/>
          <w:lang w:val="es-ES"/>
        </w:rPr>
        <w:t xml:space="preserve">9. </w:t>
      </w:r>
      <w:r w:rsidRPr="006060F1">
        <w:rPr>
          <w:rFonts w:cstheme="minorHAnsi"/>
          <w:lang w:val="es-ES"/>
        </w:rPr>
        <w:tab/>
      </w:r>
      <w:r w:rsidR="00FB08D6" w:rsidRPr="006060F1">
        <w:rPr>
          <w:rFonts w:cstheme="minorHAnsi"/>
          <w:lang w:val="es-ES"/>
        </w:rPr>
        <w:t xml:space="preserve">La Secretaria General </w:t>
      </w:r>
      <w:r w:rsidR="00906F8C" w:rsidRPr="006060F1">
        <w:rPr>
          <w:rFonts w:cstheme="minorHAnsi"/>
          <w:lang w:val="es-ES"/>
        </w:rPr>
        <w:t xml:space="preserve">realizó una declaración en video en la </w:t>
      </w:r>
      <w:r w:rsidR="008877D7" w:rsidRPr="006060F1">
        <w:rPr>
          <w:rFonts w:cstheme="minorHAnsi"/>
          <w:lang w:val="es-ES"/>
        </w:rPr>
        <w:t xml:space="preserve">serie de sesiones de alto nivel </w:t>
      </w:r>
      <w:r w:rsidR="00906F8C" w:rsidRPr="006060F1">
        <w:rPr>
          <w:rFonts w:cstheme="minorHAnsi"/>
          <w:lang w:val="es-ES"/>
        </w:rPr>
        <w:t xml:space="preserve">de la decimoquinta reunión de la </w:t>
      </w:r>
      <w:r w:rsidR="006060F1" w:rsidRPr="006060F1">
        <w:rPr>
          <w:rFonts w:cstheme="minorHAnsi"/>
          <w:lang w:val="es-ES"/>
        </w:rPr>
        <w:t>Conferencia</w:t>
      </w:r>
      <w:r w:rsidR="00906F8C" w:rsidRPr="006060F1">
        <w:rPr>
          <w:rFonts w:cstheme="minorHAnsi"/>
          <w:lang w:val="es-ES"/>
        </w:rPr>
        <w:t xml:space="preserve"> de las Partes en el Convenio sobre la Diversidad Biológica </w:t>
      </w:r>
      <w:r w:rsidR="00F678E0" w:rsidRPr="006060F1">
        <w:rPr>
          <w:lang w:val="es-ES"/>
        </w:rPr>
        <w:t>(</w:t>
      </w:r>
      <w:r w:rsidR="00906F8C" w:rsidRPr="006060F1">
        <w:rPr>
          <w:lang w:val="es-ES"/>
        </w:rPr>
        <w:t>1ª parte</w:t>
      </w:r>
      <w:r w:rsidR="00F678E0" w:rsidRPr="006060F1">
        <w:rPr>
          <w:lang w:val="es-ES"/>
        </w:rPr>
        <w:t xml:space="preserve">) </w:t>
      </w:r>
      <w:r w:rsidR="00906F8C" w:rsidRPr="006060F1">
        <w:rPr>
          <w:lang w:val="es-ES"/>
        </w:rPr>
        <w:t xml:space="preserve">el </w:t>
      </w:r>
      <w:r w:rsidR="00F678E0" w:rsidRPr="006060F1">
        <w:rPr>
          <w:lang w:val="es-ES"/>
        </w:rPr>
        <w:t xml:space="preserve">12 </w:t>
      </w:r>
      <w:r w:rsidR="00906F8C" w:rsidRPr="006060F1">
        <w:rPr>
          <w:lang w:val="es-ES"/>
        </w:rPr>
        <w:t xml:space="preserve">de octubre de </w:t>
      </w:r>
      <w:r w:rsidR="00F678E0" w:rsidRPr="006060F1">
        <w:rPr>
          <w:lang w:val="es-ES"/>
        </w:rPr>
        <w:t>2021</w:t>
      </w:r>
      <w:r w:rsidR="00042A06" w:rsidRPr="006060F1">
        <w:rPr>
          <w:lang w:val="es-ES"/>
        </w:rPr>
        <w:t xml:space="preserve"> </w:t>
      </w:r>
      <w:r w:rsidR="00906F8C" w:rsidRPr="006060F1">
        <w:rPr>
          <w:lang w:val="es-ES"/>
        </w:rPr>
        <w:t xml:space="preserve">y participó en </w:t>
      </w:r>
      <w:r w:rsidR="008877D7" w:rsidRPr="006060F1">
        <w:rPr>
          <w:lang w:val="es-ES"/>
        </w:rPr>
        <w:t xml:space="preserve">la reunión ejecutiva sobre la Conferencia de las Naciones Unidas sobre la Diversidad Biológica </w:t>
      </w:r>
      <w:r w:rsidR="00906F8C" w:rsidRPr="006060F1">
        <w:rPr>
          <w:rFonts w:cstheme="minorHAnsi"/>
          <w:lang w:val="es-ES"/>
        </w:rPr>
        <w:t xml:space="preserve">el </w:t>
      </w:r>
      <w:r w:rsidR="00042A06" w:rsidRPr="006060F1">
        <w:rPr>
          <w:rFonts w:cstheme="minorHAnsi"/>
          <w:lang w:val="es-ES"/>
        </w:rPr>
        <w:t xml:space="preserve">2 </w:t>
      </w:r>
      <w:r w:rsidR="00906F8C" w:rsidRPr="006060F1">
        <w:rPr>
          <w:rFonts w:cstheme="minorHAnsi"/>
          <w:lang w:val="es-ES"/>
        </w:rPr>
        <w:t xml:space="preserve">de noviembre de </w:t>
      </w:r>
      <w:r w:rsidR="00042A06" w:rsidRPr="006060F1">
        <w:rPr>
          <w:rFonts w:cstheme="minorHAnsi"/>
          <w:lang w:val="es-ES"/>
        </w:rPr>
        <w:t>2021 o</w:t>
      </w:r>
      <w:r w:rsidR="00906F8C" w:rsidRPr="006060F1">
        <w:rPr>
          <w:rFonts w:cstheme="minorHAnsi"/>
          <w:lang w:val="es-ES"/>
        </w:rPr>
        <w:t>rganizad</w:t>
      </w:r>
      <w:r w:rsidR="008877D7" w:rsidRPr="006060F1">
        <w:rPr>
          <w:rFonts w:cstheme="minorHAnsi"/>
          <w:lang w:val="es-ES"/>
        </w:rPr>
        <w:t>a</w:t>
      </w:r>
      <w:r w:rsidR="00906F8C" w:rsidRPr="006060F1">
        <w:rPr>
          <w:rFonts w:cstheme="minorHAnsi"/>
          <w:lang w:val="es-ES"/>
        </w:rPr>
        <w:t xml:space="preserve"> por </w:t>
      </w:r>
      <w:r w:rsidR="008877D7" w:rsidRPr="006060F1">
        <w:rPr>
          <w:rFonts w:cstheme="minorHAnsi"/>
          <w:lang w:val="es-ES"/>
        </w:rPr>
        <w:t xml:space="preserve">Geneva Network </w:t>
      </w:r>
      <w:r w:rsidR="00906F8C" w:rsidRPr="006060F1">
        <w:rPr>
          <w:rFonts w:cstheme="minorHAnsi"/>
          <w:lang w:val="es-ES"/>
        </w:rPr>
        <w:t xml:space="preserve">para poner de relieve los </w:t>
      </w:r>
      <w:r w:rsidR="006060F1" w:rsidRPr="006060F1">
        <w:rPr>
          <w:rFonts w:cstheme="minorHAnsi"/>
          <w:lang w:val="es-ES"/>
        </w:rPr>
        <w:t>resultados</w:t>
      </w:r>
      <w:r w:rsidR="00906F8C" w:rsidRPr="006060F1">
        <w:rPr>
          <w:rFonts w:cstheme="minorHAnsi"/>
          <w:lang w:val="es-ES"/>
        </w:rPr>
        <w:t xml:space="preserve"> de la 1ª parte de la </w:t>
      </w:r>
      <w:r w:rsidR="009E5F87" w:rsidRPr="006060F1">
        <w:rPr>
          <w:lang w:val="es-ES"/>
        </w:rPr>
        <w:t xml:space="preserve">Conferencia de las Naciones Unidas sobre la Diversidad Biológica </w:t>
      </w:r>
      <w:r w:rsidR="00906F8C" w:rsidRPr="006060F1">
        <w:rPr>
          <w:rFonts w:cstheme="minorHAnsi"/>
          <w:lang w:val="es-ES"/>
        </w:rPr>
        <w:t xml:space="preserve">y los próximos pasos para la segunda parte de la </w:t>
      </w:r>
      <w:r w:rsidR="009E5F87" w:rsidRPr="006060F1">
        <w:rPr>
          <w:rFonts w:cstheme="minorHAnsi"/>
          <w:lang w:val="es-ES"/>
        </w:rPr>
        <w:t>c</w:t>
      </w:r>
      <w:r w:rsidR="00906F8C" w:rsidRPr="006060F1">
        <w:rPr>
          <w:rFonts w:cstheme="minorHAnsi"/>
          <w:lang w:val="es-ES"/>
        </w:rPr>
        <w:t xml:space="preserve">onferencia, </w:t>
      </w:r>
      <w:r w:rsidR="009E5F87" w:rsidRPr="006060F1">
        <w:rPr>
          <w:rFonts w:cstheme="minorHAnsi"/>
          <w:lang w:val="es-ES"/>
        </w:rPr>
        <w:t>a</w:t>
      </w:r>
      <w:r w:rsidR="00906F8C" w:rsidRPr="006060F1">
        <w:rPr>
          <w:rFonts w:cstheme="minorHAnsi"/>
          <w:lang w:val="es-ES"/>
        </w:rPr>
        <w:t>sí como las reuniones de los órganos subsidiarios y del</w:t>
      </w:r>
      <w:r w:rsidR="009E5F87" w:rsidRPr="006060F1">
        <w:rPr>
          <w:rFonts w:cstheme="minorHAnsi"/>
          <w:lang w:val="es-ES"/>
        </w:rPr>
        <w:t xml:space="preserve"> </w:t>
      </w:r>
      <w:r w:rsidR="009E5F87" w:rsidRPr="006060F1">
        <w:rPr>
          <w:rFonts w:ascii="Calibri" w:hAnsi="Calibri" w:cs="Calibri"/>
          <w:lang w:val="es-ES"/>
        </w:rPr>
        <w:t xml:space="preserve">grupo de trabajo de </w:t>
      </w:r>
      <w:r w:rsidR="009E5F87" w:rsidRPr="00EE2137">
        <w:rPr>
          <w:rFonts w:ascii="Calibri" w:hAnsi="Calibri" w:cs="Calibri"/>
          <w:lang w:val="es-ES"/>
        </w:rPr>
        <w:t>composición</w:t>
      </w:r>
      <w:r w:rsidR="009E5F87" w:rsidRPr="006060F1">
        <w:rPr>
          <w:rFonts w:ascii="Calibri" w:hAnsi="Calibri" w:cs="Calibri"/>
          <w:lang w:val="es-ES"/>
        </w:rPr>
        <w:t xml:space="preserve"> abierta</w:t>
      </w:r>
      <w:r w:rsidR="00906F8C" w:rsidRPr="006060F1">
        <w:rPr>
          <w:rFonts w:cstheme="minorHAnsi"/>
          <w:lang w:val="es-ES"/>
        </w:rPr>
        <w:t xml:space="preserve"> </w:t>
      </w:r>
      <w:r w:rsidR="009E5F87" w:rsidRPr="006060F1">
        <w:rPr>
          <w:rFonts w:cstheme="minorHAnsi"/>
          <w:lang w:val="es-ES"/>
        </w:rPr>
        <w:t xml:space="preserve">sobre el marco mundial de la diversidad biológica </w:t>
      </w:r>
      <w:r w:rsidR="006060F1" w:rsidRPr="006060F1">
        <w:rPr>
          <w:rFonts w:cstheme="minorHAnsi"/>
          <w:lang w:val="es-ES"/>
        </w:rPr>
        <w:t>posterior</w:t>
      </w:r>
      <w:r w:rsidR="009E5F87" w:rsidRPr="006060F1">
        <w:rPr>
          <w:rFonts w:cstheme="minorHAnsi"/>
          <w:lang w:val="es-ES"/>
        </w:rPr>
        <w:t xml:space="preserve"> a 2020</w:t>
      </w:r>
      <w:r w:rsidR="00906F8C" w:rsidRPr="006060F1">
        <w:rPr>
          <w:bCs/>
          <w:lang w:val="es-ES"/>
        </w:rPr>
        <w:t xml:space="preserve">, cuya celebración está prevista de manera presencial en Ginebra en </w:t>
      </w:r>
      <w:r w:rsidR="00042A06" w:rsidRPr="006060F1">
        <w:rPr>
          <w:bCs/>
          <w:lang w:val="es-ES"/>
        </w:rPr>
        <w:t>2022</w:t>
      </w:r>
      <w:r w:rsidR="00A80A93" w:rsidRPr="006060F1">
        <w:rPr>
          <w:bCs/>
          <w:lang w:val="es-ES"/>
        </w:rPr>
        <w:t>.</w:t>
      </w:r>
      <w:r w:rsidR="00A80A93" w:rsidRPr="006060F1">
        <w:rPr>
          <w:lang w:val="es-ES"/>
        </w:rPr>
        <w:t xml:space="preserve"> </w:t>
      </w:r>
      <w:r w:rsidR="00906F8C" w:rsidRPr="006060F1">
        <w:rPr>
          <w:lang w:val="es-ES"/>
        </w:rPr>
        <w:t xml:space="preserve">La Secretaria </w:t>
      </w:r>
      <w:r w:rsidR="00A80A93" w:rsidRPr="006060F1">
        <w:rPr>
          <w:lang w:val="es-ES"/>
        </w:rPr>
        <w:t xml:space="preserve">General </w:t>
      </w:r>
      <w:r w:rsidR="009E5F87" w:rsidRPr="006060F1">
        <w:rPr>
          <w:lang w:val="es-ES"/>
        </w:rPr>
        <w:t>participó como oradora en el</w:t>
      </w:r>
      <w:r w:rsidR="00906F8C" w:rsidRPr="006060F1">
        <w:rPr>
          <w:lang w:val="es-ES"/>
        </w:rPr>
        <w:t xml:space="preserve"> evento paralelo organizado por el CDB en la </w:t>
      </w:r>
      <w:r w:rsidR="00833690" w:rsidRPr="006060F1">
        <w:rPr>
          <w:lang w:val="es-ES"/>
        </w:rPr>
        <w:t xml:space="preserve">COP26 </w:t>
      </w:r>
      <w:r w:rsidR="00906F8C" w:rsidRPr="006060F1">
        <w:rPr>
          <w:lang w:val="es-ES"/>
        </w:rPr>
        <w:t xml:space="preserve">del CMNUCC el </w:t>
      </w:r>
      <w:r w:rsidR="00833690" w:rsidRPr="006060F1">
        <w:rPr>
          <w:lang w:val="es-ES"/>
        </w:rPr>
        <w:t xml:space="preserve">6 </w:t>
      </w:r>
      <w:r w:rsidR="00906F8C" w:rsidRPr="006060F1">
        <w:rPr>
          <w:lang w:val="es-ES"/>
        </w:rPr>
        <w:t xml:space="preserve">de </w:t>
      </w:r>
      <w:r w:rsidR="00906F8C" w:rsidRPr="006060F1">
        <w:rPr>
          <w:color w:val="000000" w:themeColor="text1"/>
          <w:lang w:val="es-ES"/>
        </w:rPr>
        <w:t>noviembre</w:t>
      </w:r>
      <w:r w:rsidR="009E5F87" w:rsidRPr="006060F1">
        <w:rPr>
          <w:color w:val="000000" w:themeColor="text1"/>
          <w:lang w:val="es-ES"/>
        </w:rPr>
        <w:t xml:space="preserve"> titulado</w:t>
      </w:r>
      <w:r w:rsidR="00833690" w:rsidRPr="006060F1">
        <w:rPr>
          <w:color w:val="000000" w:themeColor="text1"/>
          <w:lang w:val="es-ES"/>
        </w:rPr>
        <w:t xml:space="preserve"> </w:t>
      </w:r>
      <w:r w:rsidR="00A80A93" w:rsidRPr="006060F1">
        <w:rPr>
          <w:i/>
          <w:color w:val="000000" w:themeColor="text1"/>
          <w:lang w:val="es-ES"/>
        </w:rPr>
        <w:t>CBD COP 15: Strengthening Synergies through the Post-2020 Global Biodiversity Framework and Promoting Transformational Change to Restore Balance with Nature</w:t>
      </w:r>
      <w:r w:rsidR="00A80A93" w:rsidRPr="006060F1">
        <w:rPr>
          <w:color w:val="000000" w:themeColor="text1"/>
          <w:lang w:val="es-ES"/>
        </w:rPr>
        <w:t xml:space="preserve"> </w:t>
      </w:r>
      <w:r w:rsidR="009E5F87" w:rsidRPr="006060F1">
        <w:rPr>
          <w:color w:val="000000" w:themeColor="text1"/>
          <w:lang w:val="es-ES"/>
        </w:rPr>
        <w:t>[COP 15 del CDB: Reforzar las sinergias mediante el marco mundial de la diversidad biológica posterior a 2020 y promover un cambio transformador para restaurar el equilibrio con la naturaleza]</w:t>
      </w:r>
      <w:r w:rsidR="00833690" w:rsidRPr="006060F1">
        <w:rPr>
          <w:color w:val="000000" w:themeColor="text1"/>
          <w:lang w:val="es-ES"/>
        </w:rPr>
        <w:t>.</w:t>
      </w:r>
      <w:r w:rsidR="00A80A93" w:rsidRPr="006060F1">
        <w:rPr>
          <w:color w:val="000000" w:themeColor="text1"/>
          <w:lang w:val="es-ES"/>
        </w:rPr>
        <w:t xml:space="preserve"> </w:t>
      </w:r>
    </w:p>
    <w:p w14:paraId="6C5212A1" w14:textId="77777777" w:rsidR="00F678E0" w:rsidRPr="006060F1" w:rsidRDefault="00F678E0" w:rsidP="007D3790">
      <w:pPr>
        <w:suppressAutoHyphens/>
        <w:spacing w:after="0" w:line="240" w:lineRule="auto"/>
        <w:ind w:left="425" w:hanging="425"/>
        <w:rPr>
          <w:rFonts w:eastAsia="Times New Roman" w:cstheme="minorHAnsi"/>
          <w:lang w:val="es-ES" w:eastAsia="en-GB"/>
        </w:rPr>
      </w:pPr>
    </w:p>
    <w:p w14:paraId="7FFAFF6D" w14:textId="4FA4F347" w:rsidR="00E10B6A" w:rsidRPr="00EE2137" w:rsidRDefault="00C52AE6" w:rsidP="007D3790">
      <w:pPr>
        <w:suppressAutoHyphens/>
        <w:spacing w:after="0" w:line="240" w:lineRule="auto"/>
        <w:ind w:left="425" w:hanging="425"/>
        <w:rPr>
          <w:rFonts w:eastAsia="Times New Roman" w:cstheme="minorHAnsi"/>
          <w:color w:val="000000" w:themeColor="text1"/>
          <w:lang w:val="es-ES" w:eastAsia="en-GB"/>
        </w:rPr>
      </w:pPr>
      <w:r w:rsidRPr="006060F1">
        <w:rPr>
          <w:rFonts w:eastAsia="Times New Roman" w:cstheme="minorHAnsi"/>
          <w:lang w:val="es-ES" w:eastAsia="en-GB"/>
        </w:rPr>
        <w:t>1</w:t>
      </w:r>
      <w:r w:rsidR="0006611C" w:rsidRPr="006060F1">
        <w:rPr>
          <w:rFonts w:eastAsia="Times New Roman" w:cstheme="minorHAnsi"/>
          <w:lang w:val="es-ES" w:eastAsia="en-GB"/>
        </w:rPr>
        <w:t>0</w:t>
      </w:r>
      <w:r w:rsidR="001D5297" w:rsidRPr="006060F1">
        <w:rPr>
          <w:rFonts w:eastAsia="Times New Roman" w:cstheme="minorHAnsi"/>
          <w:lang w:val="es-ES" w:eastAsia="en-GB"/>
        </w:rPr>
        <w:t>.</w:t>
      </w:r>
      <w:r w:rsidR="009C2848" w:rsidRPr="006060F1">
        <w:rPr>
          <w:rFonts w:eastAsia="Times New Roman" w:cstheme="minorHAnsi"/>
          <w:lang w:val="es-ES" w:eastAsia="en-GB"/>
        </w:rPr>
        <w:tab/>
      </w:r>
      <w:r w:rsidR="00906F8C" w:rsidRPr="00EE2137">
        <w:rPr>
          <w:rFonts w:eastAsia="Times New Roman" w:cstheme="minorHAnsi"/>
          <w:color w:val="000000" w:themeColor="text1"/>
          <w:lang w:val="es-ES" w:eastAsia="en-GB"/>
        </w:rPr>
        <w:t>Como se indic</w:t>
      </w:r>
      <w:r w:rsidR="005B25B2" w:rsidRPr="00EE2137">
        <w:rPr>
          <w:rFonts w:eastAsia="Times New Roman" w:cstheme="minorHAnsi"/>
          <w:color w:val="000000" w:themeColor="text1"/>
          <w:lang w:val="es-ES" w:eastAsia="en-GB"/>
        </w:rPr>
        <w:t>ó</w:t>
      </w:r>
      <w:r w:rsidR="00906F8C" w:rsidRPr="00EE2137">
        <w:rPr>
          <w:rFonts w:eastAsia="Times New Roman" w:cstheme="minorHAnsi"/>
          <w:color w:val="000000" w:themeColor="text1"/>
          <w:lang w:val="es-ES" w:eastAsia="en-GB"/>
        </w:rPr>
        <w:t xml:space="preserve"> en el documento </w:t>
      </w:r>
      <w:r w:rsidR="000F7CD2" w:rsidRPr="00EE2137">
        <w:rPr>
          <w:rFonts w:eastAsia="Times New Roman" w:cstheme="minorHAnsi"/>
          <w:color w:val="000000" w:themeColor="text1"/>
          <w:lang w:val="es-ES" w:eastAsia="en-GB"/>
        </w:rPr>
        <w:t xml:space="preserve">SC59 Doc.16 </w:t>
      </w:r>
      <w:r w:rsidR="00906F8C" w:rsidRPr="00EE2137">
        <w:rPr>
          <w:rFonts w:eastAsia="Times New Roman" w:cstheme="minorHAnsi"/>
          <w:color w:val="000000" w:themeColor="text1"/>
          <w:lang w:val="es-ES" w:eastAsia="en-GB"/>
        </w:rPr>
        <w:t>en</w:t>
      </w:r>
      <w:r w:rsidR="000F7CD2" w:rsidRPr="00EE2137">
        <w:rPr>
          <w:rFonts w:eastAsia="Times New Roman" w:cstheme="minorHAnsi"/>
          <w:color w:val="000000" w:themeColor="text1"/>
          <w:lang w:val="es-ES" w:eastAsia="en-GB"/>
        </w:rPr>
        <w:t xml:space="preserve"> 2021, </w:t>
      </w:r>
      <w:r w:rsidR="005B25B2" w:rsidRPr="00EE2137">
        <w:rPr>
          <w:rFonts w:eastAsia="Times New Roman" w:cstheme="minorHAnsi"/>
          <w:color w:val="000000" w:themeColor="text1"/>
          <w:lang w:val="es-ES" w:eastAsia="en-GB"/>
        </w:rPr>
        <w:t>l</w:t>
      </w:r>
      <w:r w:rsidR="005B25B2" w:rsidRPr="00EE2137">
        <w:rPr>
          <w:rFonts w:cstheme="minorHAnsi"/>
          <w:color w:val="000000" w:themeColor="text1"/>
          <w:lang w:val="es-ES"/>
        </w:rPr>
        <w:t xml:space="preserve">a Secretaría ha seguido trabajando con la Secretaría del CDB sobre la renovación del plan de trabajo </w:t>
      </w:r>
      <w:r w:rsidR="005B25B2" w:rsidRPr="006060F1">
        <w:rPr>
          <w:rFonts w:cstheme="minorHAnsi"/>
          <w:lang w:val="es-ES"/>
        </w:rPr>
        <w:t>conjunto</w:t>
      </w:r>
      <w:r w:rsidR="009C2848" w:rsidRPr="006060F1">
        <w:rPr>
          <w:rFonts w:eastAsia="Times New Roman" w:cstheme="minorHAnsi"/>
          <w:lang w:val="es-ES" w:eastAsia="en-GB"/>
        </w:rPr>
        <w:t>.</w:t>
      </w:r>
      <w:r w:rsidR="00407097" w:rsidRPr="006060F1">
        <w:rPr>
          <w:rFonts w:eastAsia="Times New Roman" w:cstheme="minorHAnsi"/>
          <w:lang w:val="es-ES" w:eastAsia="en-GB"/>
        </w:rPr>
        <w:t xml:space="preserve"> </w:t>
      </w:r>
      <w:r w:rsidR="005B25B2" w:rsidRPr="006060F1">
        <w:rPr>
          <w:rFonts w:eastAsia="Times New Roman" w:cstheme="minorHAnsi"/>
          <w:lang w:val="es-ES" w:eastAsia="en-GB"/>
        </w:rPr>
        <w:t xml:space="preserve">En el marco del examen del </w:t>
      </w:r>
      <w:r w:rsidR="006060F1" w:rsidRPr="006060F1">
        <w:rPr>
          <w:rFonts w:eastAsia="Times New Roman" w:cstheme="minorHAnsi"/>
          <w:lang w:val="es-ES" w:eastAsia="en-GB"/>
        </w:rPr>
        <w:t>quinto</w:t>
      </w:r>
      <w:r w:rsidR="005B25B2" w:rsidRPr="006060F1">
        <w:rPr>
          <w:rFonts w:eastAsia="Times New Roman" w:cstheme="minorHAnsi"/>
          <w:lang w:val="es-ES" w:eastAsia="en-GB"/>
        </w:rPr>
        <w:t xml:space="preserve"> plan de trabajo conjunto </w:t>
      </w:r>
      <w:r w:rsidR="007E57F8" w:rsidRPr="006060F1">
        <w:rPr>
          <w:rFonts w:eastAsia="Times New Roman" w:cstheme="minorHAnsi"/>
          <w:lang w:val="es-ES" w:eastAsia="en-GB"/>
        </w:rPr>
        <w:t>2011-2020</w:t>
      </w:r>
      <w:r w:rsidR="00E13FEC" w:rsidRPr="006060F1">
        <w:rPr>
          <w:rFonts w:eastAsia="Times New Roman" w:cstheme="minorHAnsi"/>
          <w:lang w:val="es-ES" w:eastAsia="en-GB"/>
        </w:rPr>
        <w:t>,</w:t>
      </w:r>
      <w:r w:rsidR="007E57F8" w:rsidRPr="006060F1">
        <w:rPr>
          <w:rFonts w:eastAsia="Times New Roman" w:cstheme="minorHAnsi"/>
          <w:lang w:val="es-ES" w:eastAsia="en-GB"/>
        </w:rPr>
        <w:t xml:space="preserve"> </w:t>
      </w:r>
      <w:r w:rsidR="005B25B2" w:rsidRPr="006060F1">
        <w:rPr>
          <w:rFonts w:eastAsia="Times New Roman" w:cstheme="minorHAnsi"/>
          <w:lang w:val="es-ES" w:eastAsia="en-GB"/>
        </w:rPr>
        <w:t xml:space="preserve">el 2 de noviembre de 2020 se envió una notificación </w:t>
      </w:r>
      <w:r w:rsidR="00EE2137">
        <w:rPr>
          <w:rFonts w:eastAsia="Times New Roman" w:cstheme="minorHAnsi"/>
          <w:lang w:val="es-ES" w:eastAsia="en-GB"/>
        </w:rPr>
        <w:t xml:space="preserve">preparada por </w:t>
      </w:r>
      <w:r w:rsidR="005B25B2" w:rsidRPr="006060F1">
        <w:rPr>
          <w:rFonts w:eastAsia="Times New Roman" w:cstheme="minorHAnsi"/>
          <w:lang w:val="es-ES" w:eastAsia="en-GB"/>
        </w:rPr>
        <w:t xml:space="preserve">ambas Secretarías invitando a las Partes y otros gobiernos a cumplimentar un cuestionario en línea para hacer un balance de los progresos realizados en la aplicación de sus actividades previstas en el quinto plan de </w:t>
      </w:r>
      <w:r w:rsidR="006060F1" w:rsidRPr="006060F1">
        <w:rPr>
          <w:rFonts w:eastAsia="Times New Roman" w:cstheme="minorHAnsi"/>
          <w:lang w:val="es-ES" w:eastAsia="en-GB"/>
        </w:rPr>
        <w:t>trabajo</w:t>
      </w:r>
      <w:r w:rsidR="005B25B2" w:rsidRPr="006060F1">
        <w:rPr>
          <w:rFonts w:eastAsia="Times New Roman" w:cstheme="minorHAnsi"/>
          <w:lang w:val="es-ES" w:eastAsia="en-GB"/>
        </w:rPr>
        <w:t xml:space="preserve"> conjunto. El examen preparado por las Secretarías de ambas convenciones brinda un resumen de los avances en la aplicación, señala las lecciones aprendidas y sirve de base para la </w:t>
      </w:r>
      <w:r w:rsidR="00EE2137">
        <w:rPr>
          <w:rFonts w:eastAsia="Times New Roman" w:cstheme="minorHAnsi"/>
          <w:lang w:val="es-ES" w:eastAsia="en-GB"/>
        </w:rPr>
        <w:t>elaboración</w:t>
      </w:r>
      <w:r w:rsidR="005B25B2" w:rsidRPr="006060F1">
        <w:rPr>
          <w:rFonts w:eastAsia="Times New Roman" w:cstheme="minorHAnsi"/>
          <w:lang w:val="es-ES" w:eastAsia="en-GB"/>
        </w:rPr>
        <w:t xml:space="preserve"> de un plan de </w:t>
      </w:r>
      <w:r w:rsidR="006060F1" w:rsidRPr="006060F1">
        <w:rPr>
          <w:rFonts w:eastAsia="Times New Roman" w:cstheme="minorHAnsi"/>
          <w:lang w:val="es-ES" w:eastAsia="en-GB"/>
        </w:rPr>
        <w:t>trabajo</w:t>
      </w:r>
      <w:r w:rsidR="005B25B2" w:rsidRPr="006060F1">
        <w:rPr>
          <w:rFonts w:eastAsia="Times New Roman" w:cstheme="minorHAnsi"/>
          <w:lang w:val="es-ES" w:eastAsia="en-GB"/>
        </w:rPr>
        <w:t xml:space="preserve"> conjunto q</w:t>
      </w:r>
      <w:r w:rsidR="00E43FBF" w:rsidRPr="006060F1">
        <w:rPr>
          <w:rFonts w:eastAsia="MS Mincho"/>
          <w:lang w:val="es-ES" w:eastAsia="ja-JP"/>
        </w:rPr>
        <w:t xml:space="preserve">ue también tendrá en cuenta el </w:t>
      </w:r>
      <w:r w:rsidR="005B25B2" w:rsidRPr="006060F1">
        <w:rPr>
          <w:rFonts w:eastAsia="MS Mincho"/>
          <w:lang w:val="es-ES" w:eastAsia="ja-JP"/>
        </w:rPr>
        <w:t>m</w:t>
      </w:r>
      <w:r w:rsidR="00E43FBF" w:rsidRPr="006060F1">
        <w:rPr>
          <w:rFonts w:eastAsia="MS Mincho"/>
          <w:lang w:val="es-ES" w:eastAsia="ja-JP"/>
        </w:rPr>
        <w:t xml:space="preserve">arco </w:t>
      </w:r>
      <w:r w:rsidR="006060F1" w:rsidRPr="006060F1">
        <w:rPr>
          <w:rFonts w:eastAsia="MS Mincho"/>
          <w:lang w:val="es-ES" w:eastAsia="ja-JP"/>
        </w:rPr>
        <w:t>mundial</w:t>
      </w:r>
      <w:r w:rsidR="00E43FBF" w:rsidRPr="006060F1">
        <w:rPr>
          <w:rFonts w:eastAsia="MS Mincho"/>
          <w:lang w:val="es-ES" w:eastAsia="ja-JP"/>
        </w:rPr>
        <w:t xml:space="preserve"> de la </w:t>
      </w:r>
      <w:r w:rsidR="005B25B2" w:rsidRPr="006060F1">
        <w:rPr>
          <w:rFonts w:eastAsia="MS Mincho"/>
          <w:lang w:val="es-ES" w:eastAsia="ja-JP"/>
        </w:rPr>
        <w:t>d</w:t>
      </w:r>
      <w:r w:rsidR="00E43FBF" w:rsidRPr="006060F1">
        <w:rPr>
          <w:rFonts w:eastAsia="MS Mincho"/>
          <w:lang w:val="es-ES" w:eastAsia="ja-JP"/>
        </w:rPr>
        <w:t xml:space="preserve">iversidad </w:t>
      </w:r>
      <w:r w:rsidR="005B25B2" w:rsidRPr="006060F1">
        <w:rPr>
          <w:rFonts w:eastAsia="MS Mincho"/>
          <w:lang w:val="es-ES" w:eastAsia="ja-JP"/>
        </w:rPr>
        <w:t>b</w:t>
      </w:r>
      <w:r w:rsidR="00E43FBF" w:rsidRPr="006060F1">
        <w:rPr>
          <w:rFonts w:eastAsia="MS Mincho"/>
          <w:lang w:val="es-ES" w:eastAsia="ja-JP"/>
        </w:rPr>
        <w:t xml:space="preserve">iológica </w:t>
      </w:r>
      <w:r w:rsidR="00E43FBF" w:rsidRPr="006060F1">
        <w:rPr>
          <w:rFonts w:eastAsia="MS Mincho"/>
          <w:lang w:val="es-ES" w:eastAsia="ja-JP"/>
        </w:rPr>
        <w:lastRenderedPageBreak/>
        <w:t xml:space="preserve">adoptado por la </w:t>
      </w:r>
      <w:r w:rsidR="00E43FBF" w:rsidRPr="00EE2137">
        <w:rPr>
          <w:rFonts w:eastAsia="MS Mincho"/>
          <w:color w:val="000000" w:themeColor="text1"/>
          <w:lang w:val="es-ES" w:eastAsia="ja-JP"/>
        </w:rPr>
        <w:t xml:space="preserve">decimoquinta reunión de la Conferencia de las Partes en el Convenio sobre la Diversidad Biológica. El examen se ha publicado como documento </w:t>
      </w:r>
      <w:r w:rsidR="007521EC" w:rsidRPr="00EE2137">
        <w:rPr>
          <w:rFonts w:eastAsia="MS Mincho" w:cstheme="minorHAnsi"/>
          <w:color w:val="000000" w:themeColor="text1"/>
          <w:lang w:val="es-ES" w:eastAsia="ja-JP"/>
        </w:rPr>
        <w:t>SC59 Doc.16.1</w:t>
      </w:r>
      <w:r w:rsidR="007521EC" w:rsidRPr="00EE2137">
        <w:rPr>
          <w:rStyle w:val="FootnoteReference"/>
          <w:rFonts w:eastAsia="MS Mincho" w:cstheme="minorHAnsi"/>
          <w:color w:val="000000" w:themeColor="text1"/>
          <w:lang w:val="es-ES" w:eastAsia="ja-JP"/>
        </w:rPr>
        <w:footnoteReference w:id="3"/>
      </w:r>
      <w:r w:rsidR="00DC189B" w:rsidRPr="00EE2137">
        <w:rPr>
          <w:rFonts w:eastAsia="MS Mincho"/>
          <w:color w:val="000000" w:themeColor="text1"/>
          <w:lang w:val="es-ES" w:eastAsia="ja-JP"/>
        </w:rPr>
        <w:t>.</w:t>
      </w:r>
    </w:p>
    <w:p w14:paraId="40BAFE16" w14:textId="77777777" w:rsidR="007E57F8" w:rsidRPr="006060F1" w:rsidRDefault="007E57F8" w:rsidP="007D3790">
      <w:pPr>
        <w:keepNext/>
        <w:spacing w:after="0" w:line="240" w:lineRule="auto"/>
        <w:rPr>
          <w:rFonts w:eastAsia="Times New Roman" w:cstheme="minorHAnsi"/>
          <w:i/>
          <w:lang w:val="es-ES" w:eastAsia="en-GB"/>
        </w:rPr>
      </w:pPr>
    </w:p>
    <w:p w14:paraId="055ADD45" w14:textId="4E81168D" w:rsidR="005B25B2" w:rsidRPr="00EE2137" w:rsidRDefault="005B25B2" w:rsidP="007D3790">
      <w:pPr>
        <w:keepNext/>
        <w:autoSpaceDE w:val="0"/>
        <w:autoSpaceDN w:val="0"/>
        <w:adjustRightInd w:val="0"/>
        <w:spacing w:after="0" w:line="240" w:lineRule="auto"/>
        <w:rPr>
          <w:rFonts w:cstheme="minorHAnsi"/>
          <w:i/>
          <w:color w:val="000000" w:themeColor="text1"/>
          <w:lang w:val="es-ES"/>
        </w:rPr>
      </w:pPr>
      <w:r w:rsidRPr="00EE2137">
        <w:rPr>
          <w:rFonts w:cstheme="minorHAnsi"/>
          <w:i/>
          <w:color w:val="000000" w:themeColor="text1"/>
          <w:lang w:val="es-ES"/>
        </w:rPr>
        <w:t>Convención sobre la conservación de las especies migratorias de animales silvestres (</w:t>
      </w:r>
      <w:r w:rsidR="006038D4" w:rsidRPr="00EE2137">
        <w:rPr>
          <w:rFonts w:cstheme="minorHAnsi"/>
          <w:i/>
          <w:color w:val="000000" w:themeColor="text1"/>
          <w:lang w:val="es-ES"/>
        </w:rPr>
        <w:t>CMS</w:t>
      </w:r>
      <w:r w:rsidRPr="00EE2137">
        <w:rPr>
          <w:rFonts w:cstheme="minorHAnsi"/>
          <w:i/>
          <w:color w:val="000000" w:themeColor="text1"/>
          <w:lang w:val="es-ES"/>
        </w:rPr>
        <w:t>)</w:t>
      </w:r>
    </w:p>
    <w:p w14:paraId="5294872A" w14:textId="77777777" w:rsidR="00314513" w:rsidRDefault="00314513" w:rsidP="007D3790">
      <w:pPr>
        <w:tabs>
          <w:tab w:val="left" w:pos="284"/>
        </w:tabs>
        <w:spacing w:after="0" w:line="240" w:lineRule="auto"/>
        <w:ind w:left="426" w:hanging="426"/>
        <w:rPr>
          <w:rFonts w:eastAsia="Times New Roman" w:cstheme="minorHAnsi"/>
          <w:color w:val="000000" w:themeColor="text1"/>
          <w:lang w:val="es-ES" w:eastAsia="en-GB"/>
        </w:rPr>
      </w:pPr>
    </w:p>
    <w:p w14:paraId="6E7F0785" w14:textId="4D766885" w:rsidR="00D84FF7" w:rsidRPr="006060F1" w:rsidRDefault="00A24287" w:rsidP="007D3790">
      <w:pPr>
        <w:tabs>
          <w:tab w:val="left" w:pos="284"/>
        </w:tabs>
        <w:spacing w:after="0" w:line="240" w:lineRule="auto"/>
        <w:ind w:left="426" w:hanging="426"/>
        <w:rPr>
          <w:lang w:val="es-ES"/>
        </w:rPr>
      </w:pPr>
      <w:r w:rsidRPr="00EE2137">
        <w:rPr>
          <w:rFonts w:eastAsia="Times New Roman" w:cstheme="minorHAnsi"/>
          <w:color w:val="000000" w:themeColor="text1"/>
          <w:lang w:val="es-ES" w:eastAsia="en-GB"/>
        </w:rPr>
        <w:t>1</w:t>
      </w:r>
      <w:r w:rsidR="0006611C" w:rsidRPr="00EE2137">
        <w:rPr>
          <w:rFonts w:eastAsia="Times New Roman" w:cstheme="minorHAnsi"/>
          <w:color w:val="000000" w:themeColor="text1"/>
          <w:lang w:val="es-ES" w:eastAsia="en-GB"/>
        </w:rPr>
        <w:t>1</w:t>
      </w:r>
      <w:r w:rsidR="009C2848" w:rsidRPr="00EE2137">
        <w:rPr>
          <w:rFonts w:eastAsia="Times New Roman" w:cstheme="minorHAnsi"/>
          <w:color w:val="000000" w:themeColor="text1"/>
          <w:lang w:val="es-ES" w:eastAsia="en-GB"/>
        </w:rPr>
        <w:t>.</w:t>
      </w:r>
      <w:r w:rsidRPr="00EE2137">
        <w:rPr>
          <w:rFonts w:eastAsia="Times New Roman" w:cstheme="minorHAnsi"/>
          <w:color w:val="000000" w:themeColor="text1"/>
          <w:lang w:val="es-ES" w:eastAsia="en-GB"/>
        </w:rPr>
        <w:tab/>
      </w:r>
      <w:bookmarkStart w:id="1" w:name="_Hlk52804242"/>
      <w:r w:rsidR="00B90919" w:rsidRPr="00EE2137">
        <w:rPr>
          <w:rFonts w:eastAsia="Times New Roman" w:cstheme="minorHAnsi"/>
          <w:color w:val="000000" w:themeColor="text1"/>
          <w:lang w:val="es-ES" w:eastAsia="en-GB"/>
        </w:rPr>
        <w:t xml:space="preserve">  </w:t>
      </w:r>
      <w:r w:rsidR="00A1506E" w:rsidRPr="00EE2137">
        <w:rPr>
          <w:rFonts w:eastAsia="Times New Roman" w:cstheme="minorHAnsi"/>
          <w:color w:val="000000" w:themeColor="text1"/>
          <w:lang w:val="es-ES" w:eastAsia="en-GB"/>
        </w:rPr>
        <w:t xml:space="preserve">La Resolución </w:t>
      </w:r>
      <w:r w:rsidR="0052733A" w:rsidRPr="00EE2137">
        <w:rPr>
          <w:bCs/>
          <w:color w:val="000000" w:themeColor="text1"/>
          <w:lang w:val="es-ES"/>
        </w:rPr>
        <w:t>XIII.20</w:t>
      </w:r>
      <w:r w:rsidR="00CD7BA6" w:rsidRPr="00EE2137">
        <w:rPr>
          <w:bCs/>
          <w:color w:val="000000" w:themeColor="text1"/>
          <w:lang w:val="es-ES"/>
        </w:rPr>
        <w:t xml:space="preserve">, </w:t>
      </w:r>
      <w:r w:rsidR="00CD7BA6" w:rsidRPr="00EE2137">
        <w:rPr>
          <w:bCs/>
          <w:i/>
          <w:iCs/>
          <w:color w:val="000000" w:themeColor="text1"/>
          <w:lang w:val="es-ES"/>
        </w:rPr>
        <w:t xml:space="preserve">Fomento de la conservación y el uso racional de los humedales intermareales y hábitats </w:t>
      </w:r>
      <w:r w:rsidR="006060F1" w:rsidRPr="00EE2137">
        <w:rPr>
          <w:bCs/>
          <w:i/>
          <w:iCs/>
          <w:color w:val="000000" w:themeColor="text1"/>
          <w:lang w:val="es-ES"/>
        </w:rPr>
        <w:t>ecológicamente</w:t>
      </w:r>
      <w:r w:rsidR="00CD7BA6" w:rsidRPr="00EE2137">
        <w:rPr>
          <w:bCs/>
          <w:i/>
          <w:iCs/>
          <w:color w:val="000000" w:themeColor="text1"/>
          <w:lang w:val="es-ES"/>
        </w:rPr>
        <w:t xml:space="preserve"> relacionados</w:t>
      </w:r>
      <w:r w:rsidR="00CD7BA6" w:rsidRPr="00EE2137">
        <w:rPr>
          <w:bCs/>
          <w:color w:val="000000" w:themeColor="text1"/>
          <w:lang w:val="es-ES"/>
        </w:rPr>
        <w:t>, pide a la Secretaría que estudie con otros acuerdos multilaterales sobre el medio ambiente e interesados la posibilidad de establecer un “foro costero” mundial formado por múltiples interesados directos</w:t>
      </w:r>
      <w:r w:rsidR="00A06231" w:rsidRPr="00EE2137">
        <w:rPr>
          <w:rFonts w:eastAsia="Times New Roman"/>
          <w:color w:val="000000" w:themeColor="text1"/>
          <w:lang w:val="es-ES"/>
        </w:rPr>
        <w:t xml:space="preserve">. </w:t>
      </w:r>
      <w:r w:rsidR="009C659F" w:rsidRPr="00EE2137">
        <w:rPr>
          <w:rFonts w:eastAsia="Times New Roman"/>
          <w:color w:val="000000" w:themeColor="text1"/>
          <w:lang w:val="es-ES"/>
        </w:rPr>
        <w:t xml:space="preserve">Se hace una petición similar en la Resolución </w:t>
      </w:r>
      <w:r w:rsidR="00BF6BED" w:rsidRPr="00EE2137">
        <w:rPr>
          <w:color w:val="000000" w:themeColor="text1"/>
          <w:lang w:val="es-ES"/>
        </w:rPr>
        <w:t>12.25</w:t>
      </w:r>
      <w:r w:rsidR="009C659F" w:rsidRPr="00EE2137">
        <w:rPr>
          <w:color w:val="000000" w:themeColor="text1"/>
          <w:lang w:val="es-ES"/>
        </w:rPr>
        <w:t xml:space="preserve"> de la </w:t>
      </w:r>
      <w:r w:rsidR="006038D4" w:rsidRPr="00EE2137">
        <w:rPr>
          <w:color w:val="000000" w:themeColor="text1"/>
          <w:lang w:val="es-ES"/>
        </w:rPr>
        <w:t>CMS</w:t>
      </w:r>
      <w:r w:rsidR="009C659F" w:rsidRPr="00EE2137">
        <w:rPr>
          <w:color w:val="000000" w:themeColor="text1"/>
          <w:lang w:val="es-ES"/>
        </w:rPr>
        <w:t xml:space="preserve">, </w:t>
      </w:r>
      <w:r w:rsidR="00CD7BA6" w:rsidRPr="00EE2137">
        <w:rPr>
          <w:i/>
          <w:iCs/>
          <w:color w:val="000000" w:themeColor="text1"/>
          <w:lang w:val="es-ES"/>
        </w:rPr>
        <w:t xml:space="preserve">Fomento </w:t>
      </w:r>
      <w:r w:rsidR="00CD7BA6" w:rsidRPr="00EE2137">
        <w:rPr>
          <w:i/>
          <w:iCs/>
          <w:lang w:val="es-ES"/>
        </w:rPr>
        <w:t xml:space="preserve">de la conservación de hábitats </w:t>
      </w:r>
      <w:r w:rsidR="006060F1" w:rsidRPr="00EE2137">
        <w:rPr>
          <w:i/>
          <w:iCs/>
          <w:lang w:val="es-ES"/>
        </w:rPr>
        <w:t>intermareales</w:t>
      </w:r>
      <w:r w:rsidR="00CD7BA6" w:rsidRPr="00EE2137">
        <w:rPr>
          <w:i/>
          <w:iCs/>
          <w:lang w:val="es-ES"/>
        </w:rPr>
        <w:t xml:space="preserve"> y costeros de otro tipo críticos para las especies </w:t>
      </w:r>
      <w:r w:rsidR="006060F1" w:rsidRPr="00EE2137">
        <w:rPr>
          <w:i/>
          <w:iCs/>
          <w:lang w:val="es-ES"/>
        </w:rPr>
        <w:t>migratorias</w:t>
      </w:r>
      <w:r w:rsidR="00BF6BED" w:rsidRPr="006060F1">
        <w:rPr>
          <w:lang w:val="es-ES"/>
        </w:rPr>
        <w:t>,</w:t>
      </w:r>
      <w:r w:rsidR="00CD7BA6" w:rsidRPr="006060F1">
        <w:rPr>
          <w:lang w:val="es-ES"/>
        </w:rPr>
        <w:t xml:space="preserve"> la </w:t>
      </w:r>
      <w:r w:rsidR="006060F1" w:rsidRPr="006060F1">
        <w:rPr>
          <w:lang w:val="es-ES"/>
        </w:rPr>
        <w:t>Decisión</w:t>
      </w:r>
      <w:r w:rsidR="00CD7BA6" w:rsidRPr="006060F1">
        <w:rPr>
          <w:lang w:val="es-ES"/>
        </w:rPr>
        <w:t xml:space="preserve"> </w:t>
      </w:r>
      <w:r w:rsidR="00BF6BED" w:rsidRPr="006060F1">
        <w:rPr>
          <w:lang w:val="es-ES"/>
        </w:rPr>
        <w:t>14/30</w:t>
      </w:r>
      <w:r w:rsidR="00CD7BA6" w:rsidRPr="006060F1">
        <w:rPr>
          <w:lang w:val="es-ES"/>
        </w:rPr>
        <w:t xml:space="preserve"> del CDB,</w:t>
      </w:r>
      <w:r w:rsidR="00BF6BED" w:rsidRPr="006060F1">
        <w:rPr>
          <w:lang w:val="es-ES"/>
        </w:rPr>
        <w:t xml:space="preserve"> </w:t>
      </w:r>
      <w:r w:rsidR="00BF6BED" w:rsidRPr="00EE2137">
        <w:rPr>
          <w:i/>
          <w:iCs/>
          <w:lang w:val="es-ES"/>
        </w:rPr>
        <w:t>Coopera</w:t>
      </w:r>
      <w:r w:rsidR="00AD0DCE" w:rsidRPr="00EE2137">
        <w:rPr>
          <w:i/>
          <w:iCs/>
          <w:lang w:val="es-ES"/>
        </w:rPr>
        <w:t xml:space="preserve">ción con otros convenios, organizaciones internacionales e </w:t>
      </w:r>
      <w:r w:rsidR="006060F1" w:rsidRPr="00EE2137">
        <w:rPr>
          <w:i/>
          <w:iCs/>
          <w:lang w:val="es-ES"/>
        </w:rPr>
        <w:t>iniciativas</w:t>
      </w:r>
      <w:r w:rsidR="00AD0DCE" w:rsidRPr="006060F1">
        <w:rPr>
          <w:lang w:val="es-ES"/>
        </w:rPr>
        <w:t xml:space="preserve">, </w:t>
      </w:r>
      <w:r w:rsidR="009C659F" w:rsidRPr="006060F1">
        <w:rPr>
          <w:lang w:val="es-ES"/>
        </w:rPr>
        <w:t>y</w:t>
      </w:r>
      <w:r w:rsidR="00EE2137">
        <w:rPr>
          <w:lang w:val="es-ES"/>
        </w:rPr>
        <w:t xml:space="preserve"> la</w:t>
      </w:r>
      <w:r w:rsidR="009C659F" w:rsidRPr="006060F1">
        <w:rPr>
          <w:lang w:val="es-ES"/>
        </w:rPr>
        <w:t xml:space="preserve"> </w:t>
      </w:r>
      <w:r w:rsidR="00EE2137" w:rsidRPr="00EE2137">
        <w:rPr>
          <w:lang w:val="es-ES"/>
        </w:rPr>
        <w:t>Resolución</w:t>
      </w:r>
      <w:r w:rsidR="00EE2137" w:rsidRPr="006060F1">
        <w:rPr>
          <w:lang w:val="es-ES"/>
        </w:rPr>
        <w:t xml:space="preserve"> 030</w:t>
      </w:r>
      <w:r w:rsidR="00EE2137">
        <w:rPr>
          <w:lang w:val="es-ES"/>
        </w:rPr>
        <w:t xml:space="preserve"> d</w:t>
      </w:r>
      <w:r w:rsidR="009C659F" w:rsidRPr="006060F1">
        <w:rPr>
          <w:lang w:val="es-ES"/>
        </w:rPr>
        <w:t>el Congreso Mundial de la Naturaleza de la UICN</w:t>
      </w:r>
      <w:r w:rsidR="00AD0DCE" w:rsidRPr="006060F1">
        <w:rPr>
          <w:lang w:val="es-ES"/>
        </w:rPr>
        <w:t xml:space="preserve">, </w:t>
      </w:r>
      <w:r w:rsidR="00AD0DCE" w:rsidRPr="00EE2137">
        <w:rPr>
          <w:i/>
          <w:iCs/>
          <w:lang w:val="es-ES"/>
        </w:rPr>
        <w:t xml:space="preserve">Mejorar la </w:t>
      </w:r>
      <w:r w:rsidR="006060F1" w:rsidRPr="00EE2137">
        <w:rPr>
          <w:i/>
          <w:iCs/>
          <w:lang w:val="es-ES"/>
        </w:rPr>
        <w:t>resiliencia</w:t>
      </w:r>
      <w:r w:rsidR="00AD0DCE" w:rsidRPr="00EE2137">
        <w:rPr>
          <w:i/>
          <w:iCs/>
          <w:lang w:val="es-ES"/>
        </w:rPr>
        <w:t xml:space="preserve"> de las zonas costeras frente al cambio climático, la crisis de la biodiversidad y el </w:t>
      </w:r>
      <w:r w:rsidR="006060F1" w:rsidRPr="00EE2137">
        <w:rPr>
          <w:i/>
          <w:iCs/>
          <w:lang w:val="es-ES"/>
        </w:rPr>
        <w:t>rápido</w:t>
      </w:r>
      <w:r w:rsidR="00AD0DCE" w:rsidRPr="00EE2137">
        <w:rPr>
          <w:i/>
          <w:iCs/>
          <w:lang w:val="es-ES"/>
        </w:rPr>
        <w:t xml:space="preserve"> desarrollo costero</w:t>
      </w:r>
      <w:r w:rsidR="00EE7C5E" w:rsidRPr="006060F1">
        <w:rPr>
          <w:lang w:val="es-ES"/>
        </w:rPr>
        <w:t>.</w:t>
      </w:r>
      <w:r w:rsidR="00BF6BED" w:rsidRPr="006060F1">
        <w:rPr>
          <w:lang w:val="es-ES"/>
        </w:rPr>
        <w:t xml:space="preserve"> </w:t>
      </w:r>
      <w:r w:rsidR="009C659F" w:rsidRPr="006060F1">
        <w:rPr>
          <w:lang w:val="es-ES"/>
        </w:rPr>
        <w:t>En este sentido</w:t>
      </w:r>
      <w:r w:rsidR="00AD0DCE" w:rsidRPr="006060F1">
        <w:rPr>
          <w:lang w:val="es-ES"/>
        </w:rPr>
        <w:t xml:space="preserve">, </w:t>
      </w:r>
      <w:r w:rsidR="009C659F" w:rsidRPr="006060F1">
        <w:rPr>
          <w:lang w:val="es-ES"/>
        </w:rPr>
        <w:t xml:space="preserve">la Secretaría ha participado como observadora en las consultas dirigidas por </w:t>
      </w:r>
      <w:r w:rsidR="00DD15ED" w:rsidRPr="006060F1">
        <w:rPr>
          <w:lang w:val="es-ES"/>
        </w:rPr>
        <w:t xml:space="preserve">Eco Foundation Global </w:t>
      </w:r>
      <w:r w:rsidR="00AD0DCE" w:rsidRPr="006060F1">
        <w:rPr>
          <w:lang w:val="es-ES"/>
        </w:rPr>
        <w:t>y</w:t>
      </w:r>
      <w:r w:rsidR="00DD15ED" w:rsidRPr="006060F1">
        <w:rPr>
          <w:lang w:val="es-ES"/>
        </w:rPr>
        <w:t xml:space="preserve"> RSPB</w:t>
      </w:r>
      <w:r w:rsidR="00EE2137">
        <w:rPr>
          <w:lang w:val="es-ES"/>
        </w:rPr>
        <w:t>-</w:t>
      </w:r>
      <w:r w:rsidR="00DD15ED" w:rsidRPr="006060F1">
        <w:rPr>
          <w:lang w:val="es-ES"/>
        </w:rPr>
        <w:t xml:space="preserve">BirdLife </w:t>
      </w:r>
      <w:r w:rsidR="009C659F" w:rsidRPr="006060F1">
        <w:rPr>
          <w:lang w:val="es-ES"/>
        </w:rPr>
        <w:t>en el Reino Unido en noviembre y diciembre de 2</w:t>
      </w:r>
      <w:r w:rsidR="00DD15ED" w:rsidRPr="006060F1">
        <w:rPr>
          <w:lang w:val="es-ES"/>
        </w:rPr>
        <w:t xml:space="preserve">021 </w:t>
      </w:r>
      <w:r w:rsidR="009C659F" w:rsidRPr="006060F1">
        <w:rPr>
          <w:lang w:val="es-ES"/>
        </w:rPr>
        <w:t xml:space="preserve">sobre la preparación de </w:t>
      </w:r>
      <w:r w:rsidR="00AD0DCE" w:rsidRPr="006060F1">
        <w:rPr>
          <w:lang w:val="es-ES"/>
        </w:rPr>
        <w:t xml:space="preserve">un foro mundial sobre costas y también ha estado en </w:t>
      </w:r>
      <w:r w:rsidR="006060F1" w:rsidRPr="006060F1">
        <w:rPr>
          <w:lang w:val="es-ES"/>
        </w:rPr>
        <w:t>contacto</w:t>
      </w:r>
      <w:r w:rsidR="00AD0DCE" w:rsidRPr="006060F1">
        <w:rPr>
          <w:lang w:val="es-ES"/>
        </w:rPr>
        <w:t xml:space="preserve"> </w:t>
      </w:r>
      <w:r w:rsidR="009C659F" w:rsidRPr="006060F1">
        <w:rPr>
          <w:lang w:val="es-ES"/>
        </w:rPr>
        <w:t>con las Secretarías de la CMS y el CDB para realizar aportaciones conjuntas a este proceso</w:t>
      </w:r>
      <w:r w:rsidR="00B90919" w:rsidRPr="006060F1">
        <w:rPr>
          <w:lang w:val="es-ES"/>
        </w:rPr>
        <w:t>.</w:t>
      </w:r>
      <w:r w:rsidR="00D84FF7" w:rsidRPr="006060F1">
        <w:rPr>
          <w:lang w:val="es-ES"/>
        </w:rPr>
        <w:t xml:space="preserve"> </w:t>
      </w:r>
    </w:p>
    <w:p w14:paraId="3ADDA35A" w14:textId="0BAB98F6" w:rsidR="00A06231" w:rsidRPr="006060F1" w:rsidRDefault="0006611C" w:rsidP="007D3790">
      <w:pPr>
        <w:tabs>
          <w:tab w:val="left" w:pos="142"/>
        </w:tabs>
        <w:suppressAutoHyphens/>
        <w:spacing w:after="0" w:line="240" w:lineRule="auto"/>
        <w:ind w:left="426" w:hanging="426"/>
        <w:rPr>
          <w:lang w:val="es-ES"/>
        </w:rPr>
      </w:pPr>
      <w:r w:rsidRPr="006060F1">
        <w:rPr>
          <w:lang w:val="es-ES"/>
        </w:rPr>
        <w:t>12.</w:t>
      </w:r>
      <w:r w:rsidR="009C659F" w:rsidRPr="006060F1">
        <w:rPr>
          <w:lang w:val="es-ES"/>
        </w:rPr>
        <w:t xml:space="preserve">  La Secretaría G</w:t>
      </w:r>
      <w:r w:rsidR="00C91418" w:rsidRPr="006060F1">
        <w:rPr>
          <w:lang w:val="es-ES"/>
        </w:rPr>
        <w:t xml:space="preserve">eneral </w:t>
      </w:r>
      <w:r w:rsidR="00AD0DCE" w:rsidRPr="006060F1">
        <w:rPr>
          <w:lang w:val="es-ES"/>
        </w:rPr>
        <w:t xml:space="preserve">transmitió un </w:t>
      </w:r>
      <w:r w:rsidR="00A3362D" w:rsidRPr="006060F1">
        <w:rPr>
          <w:lang w:val="es-ES"/>
        </w:rPr>
        <w:t>mensaj</w:t>
      </w:r>
      <w:r w:rsidR="009C659F" w:rsidRPr="006060F1">
        <w:rPr>
          <w:lang w:val="es-ES"/>
        </w:rPr>
        <w:t xml:space="preserve">e en video en la Ceremonia de Apertura del evento híbrido </w:t>
      </w:r>
      <w:r w:rsidR="00C91418" w:rsidRPr="00EE2137">
        <w:rPr>
          <w:i/>
          <w:iCs/>
          <w:lang w:val="es-ES"/>
        </w:rPr>
        <w:t>World Coastal Forum</w:t>
      </w:r>
      <w:r w:rsidR="00EE2137">
        <w:rPr>
          <w:lang w:val="es-ES"/>
        </w:rPr>
        <w:t xml:space="preserve"> </w:t>
      </w:r>
      <w:r w:rsidR="009C659F" w:rsidRPr="006060F1">
        <w:rPr>
          <w:lang w:val="es-ES"/>
        </w:rPr>
        <w:t xml:space="preserve">el </w:t>
      </w:r>
      <w:r w:rsidR="00C91418" w:rsidRPr="006060F1">
        <w:rPr>
          <w:lang w:val="es-ES"/>
        </w:rPr>
        <w:t xml:space="preserve">10 </w:t>
      </w:r>
      <w:r w:rsidR="009C659F" w:rsidRPr="006060F1">
        <w:rPr>
          <w:lang w:val="es-ES"/>
        </w:rPr>
        <w:t xml:space="preserve">de enero de </w:t>
      </w:r>
      <w:r w:rsidR="00C91418" w:rsidRPr="006060F1">
        <w:rPr>
          <w:lang w:val="es-ES"/>
        </w:rPr>
        <w:t xml:space="preserve">2022 </w:t>
      </w:r>
      <w:r w:rsidR="00A3362D" w:rsidRPr="006060F1">
        <w:rPr>
          <w:lang w:val="es-ES"/>
        </w:rPr>
        <w:t xml:space="preserve">en </w:t>
      </w:r>
      <w:r w:rsidR="00C91418" w:rsidRPr="006060F1">
        <w:rPr>
          <w:lang w:val="es-ES"/>
        </w:rPr>
        <w:t xml:space="preserve">Yancheng City, </w:t>
      </w:r>
      <w:r w:rsidR="009C659F" w:rsidRPr="006060F1">
        <w:rPr>
          <w:lang w:val="es-ES"/>
        </w:rPr>
        <w:t>Provincia de Jia</w:t>
      </w:r>
      <w:r w:rsidR="00C91418" w:rsidRPr="006060F1">
        <w:rPr>
          <w:lang w:val="es-ES"/>
        </w:rPr>
        <w:t xml:space="preserve">ngsu </w:t>
      </w:r>
      <w:r w:rsidR="009C659F" w:rsidRPr="006060F1">
        <w:rPr>
          <w:lang w:val="es-ES"/>
        </w:rPr>
        <w:t>(China) por invitación del Viceministro de Recursos Naturales de la República Popular China. La Secretaría seguirá participando en este proceso</w:t>
      </w:r>
      <w:r w:rsidR="00307E74" w:rsidRPr="006060F1">
        <w:rPr>
          <w:lang w:val="es-ES"/>
        </w:rPr>
        <w:t xml:space="preserve"> </w:t>
      </w:r>
      <w:r w:rsidR="009C659F" w:rsidRPr="006060F1">
        <w:rPr>
          <w:lang w:val="es-ES"/>
        </w:rPr>
        <w:t xml:space="preserve">en calidad de </w:t>
      </w:r>
      <w:r w:rsidR="00A3362D" w:rsidRPr="006060F1">
        <w:rPr>
          <w:lang w:val="es-ES"/>
        </w:rPr>
        <w:t xml:space="preserve">observadora, con arreglo a su mandato establecido en el </w:t>
      </w:r>
      <w:r w:rsidR="006060F1" w:rsidRPr="006060F1">
        <w:rPr>
          <w:lang w:val="es-ES"/>
        </w:rPr>
        <w:t>párrafo</w:t>
      </w:r>
      <w:r w:rsidR="00A3362D" w:rsidRPr="006060F1">
        <w:rPr>
          <w:lang w:val="es-ES"/>
        </w:rPr>
        <w:t xml:space="preserve"> 36 de</w:t>
      </w:r>
      <w:r w:rsidR="004B70A8" w:rsidRPr="006060F1">
        <w:rPr>
          <w:lang w:val="es-ES"/>
        </w:rPr>
        <w:t xml:space="preserve"> la </w:t>
      </w:r>
      <w:r w:rsidR="006060F1" w:rsidRPr="006060F1">
        <w:rPr>
          <w:lang w:val="es-ES"/>
        </w:rPr>
        <w:t>Resolución</w:t>
      </w:r>
      <w:r w:rsidR="0068470B" w:rsidRPr="006060F1">
        <w:rPr>
          <w:lang w:val="es-ES"/>
        </w:rPr>
        <w:t xml:space="preserve"> XIII.20</w:t>
      </w:r>
      <w:r w:rsidR="004B70A8" w:rsidRPr="006060F1">
        <w:rPr>
          <w:lang w:val="es-ES"/>
        </w:rPr>
        <w:t xml:space="preserve">, e informará al </w:t>
      </w:r>
      <w:r w:rsidR="00A65B62" w:rsidRPr="006060F1">
        <w:rPr>
          <w:lang w:val="es-ES"/>
        </w:rPr>
        <w:t>Comité Permanente</w:t>
      </w:r>
      <w:r w:rsidR="00FF693F" w:rsidRPr="006060F1">
        <w:rPr>
          <w:lang w:val="es-ES"/>
        </w:rPr>
        <w:t xml:space="preserve"> </w:t>
      </w:r>
      <w:r w:rsidR="004B70A8" w:rsidRPr="006060F1">
        <w:rPr>
          <w:lang w:val="es-ES"/>
        </w:rPr>
        <w:t xml:space="preserve">de cualquier </w:t>
      </w:r>
      <w:r w:rsidR="00307E74" w:rsidRPr="006060F1">
        <w:rPr>
          <w:lang w:val="es-ES"/>
        </w:rPr>
        <w:t>avance</w:t>
      </w:r>
      <w:r w:rsidR="0068470B" w:rsidRPr="006060F1">
        <w:rPr>
          <w:lang w:val="es-ES"/>
        </w:rPr>
        <w:t xml:space="preserve"> </w:t>
      </w:r>
      <w:r w:rsidR="004B70A8" w:rsidRPr="006060F1">
        <w:rPr>
          <w:lang w:val="es-ES"/>
        </w:rPr>
        <w:t>sobre esta cuestión</w:t>
      </w:r>
      <w:r w:rsidR="0068470B" w:rsidRPr="006060F1">
        <w:rPr>
          <w:lang w:val="es-ES"/>
        </w:rPr>
        <w:t xml:space="preserve">.  </w:t>
      </w:r>
    </w:p>
    <w:p w14:paraId="6615F0CC" w14:textId="3529FEEC" w:rsidR="00BF6BED" w:rsidRPr="006060F1" w:rsidRDefault="00BF6BED" w:rsidP="007D3790">
      <w:pPr>
        <w:tabs>
          <w:tab w:val="left" w:pos="0"/>
        </w:tabs>
        <w:suppressAutoHyphens/>
        <w:spacing w:after="0" w:line="240" w:lineRule="auto"/>
        <w:ind w:left="426" w:hanging="426"/>
        <w:rPr>
          <w:lang w:val="es-ES"/>
        </w:rPr>
      </w:pPr>
    </w:p>
    <w:bookmarkEnd w:id="1"/>
    <w:p w14:paraId="58ECDD82" w14:textId="77777777" w:rsidR="00307E74" w:rsidRPr="006060F1" w:rsidRDefault="00307E74" w:rsidP="007D3790">
      <w:pPr>
        <w:keepNext/>
        <w:spacing w:after="0" w:line="240" w:lineRule="auto"/>
        <w:ind w:left="425" w:hanging="425"/>
        <w:rPr>
          <w:rFonts w:cstheme="minorHAnsi"/>
          <w:i/>
          <w:color w:val="000000" w:themeColor="text1"/>
          <w:lang w:val="es-ES"/>
        </w:rPr>
      </w:pPr>
      <w:r w:rsidRPr="006060F1">
        <w:rPr>
          <w:rFonts w:cstheme="minorHAnsi"/>
          <w:i/>
          <w:color w:val="000000" w:themeColor="text1"/>
          <w:lang w:val="es-ES"/>
        </w:rPr>
        <w:t>Convención para la Protección del Patrimonio Mundial Cultural y Natural</w:t>
      </w:r>
    </w:p>
    <w:p w14:paraId="5BDC5AC2" w14:textId="77777777" w:rsidR="00314513" w:rsidRDefault="00314513" w:rsidP="007D3790">
      <w:pPr>
        <w:suppressAutoHyphens/>
        <w:spacing w:after="0" w:line="240" w:lineRule="auto"/>
        <w:ind w:left="425" w:hanging="425"/>
        <w:rPr>
          <w:rFonts w:eastAsia="Times New Roman" w:cstheme="minorHAnsi"/>
          <w:lang w:val="es-ES" w:eastAsia="en-GB"/>
        </w:rPr>
      </w:pPr>
    </w:p>
    <w:p w14:paraId="74739DFD" w14:textId="403211A9" w:rsidR="009C2848" w:rsidRPr="006060F1" w:rsidRDefault="00C52AE6" w:rsidP="007D3790">
      <w:pPr>
        <w:suppressAutoHyphens/>
        <w:spacing w:after="0" w:line="240" w:lineRule="auto"/>
        <w:ind w:left="425" w:hanging="425"/>
        <w:rPr>
          <w:rFonts w:eastAsia="Times New Roman" w:cstheme="minorHAnsi"/>
          <w:lang w:val="es-ES" w:eastAsia="en-GB"/>
        </w:rPr>
      </w:pPr>
      <w:r w:rsidRPr="006060F1">
        <w:rPr>
          <w:rFonts w:eastAsia="Times New Roman" w:cstheme="minorHAnsi"/>
          <w:lang w:val="es-ES" w:eastAsia="en-GB"/>
        </w:rPr>
        <w:t>1</w:t>
      </w:r>
      <w:r w:rsidR="0006611C" w:rsidRPr="006060F1">
        <w:rPr>
          <w:rFonts w:eastAsia="Times New Roman" w:cstheme="minorHAnsi"/>
          <w:lang w:val="es-ES" w:eastAsia="en-GB"/>
        </w:rPr>
        <w:t>3</w:t>
      </w:r>
      <w:r w:rsidR="009C2848" w:rsidRPr="006060F1">
        <w:rPr>
          <w:rFonts w:eastAsia="Times New Roman" w:cstheme="minorHAnsi"/>
          <w:lang w:val="es-ES" w:eastAsia="en-GB"/>
        </w:rPr>
        <w:t>.</w:t>
      </w:r>
      <w:r w:rsidR="009C2848" w:rsidRPr="006060F1">
        <w:rPr>
          <w:rFonts w:eastAsia="Times New Roman" w:cstheme="minorHAnsi"/>
          <w:lang w:val="es-ES" w:eastAsia="en-GB"/>
        </w:rPr>
        <w:tab/>
      </w:r>
      <w:r w:rsidR="004B70A8" w:rsidRPr="00EE2137">
        <w:rPr>
          <w:rFonts w:eastAsia="Times New Roman" w:cstheme="minorHAnsi"/>
          <w:color w:val="000000" w:themeColor="text1"/>
          <w:lang w:val="es-ES" w:eastAsia="en-GB"/>
        </w:rPr>
        <w:t>La</w:t>
      </w:r>
      <w:r w:rsidR="0064372C" w:rsidRPr="00EE2137">
        <w:rPr>
          <w:rFonts w:eastAsia="Times New Roman" w:cstheme="minorHAnsi"/>
          <w:color w:val="000000" w:themeColor="text1"/>
          <w:lang w:val="es-ES" w:eastAsia="en-GB"/>
        </w:rPr>
        <w:t xml:space="preserve"> Secretar</w:t>
      </w:r>
      <w:r w:rsidR="00EE2137">
        <w:rPr>
          <w:rFonts w:eastAsia="Times New Roman" w:cstheme="minorHAnsi"/>
          <w:color w:val="000000" w:themeColor="text1"/>
          <w:lang w:val="es-ES" w:eastAsia="en-GB"/>
        </w:rPr>
        <w:t>ía</w:t>
      </w:r>
      <w:r w:rsidR="0064372C" w:rsidRPr="00EE2137">
        <w:rPr>
          <w:rFonts w:eastAsia="Times New Roman" w:cstheme="minorHAnsi"/>
          <w:color w:val="000000" w:themeColor="text1"/>
          <w:lang w:val="es-ES" w:eastAsia="en-GB"/>
        </w:rPr>
        <w:t xml:space="preserve"> particip</w:t>
      </w:r>
      <w:r w:rsidR="00185E57" w:rsidRPr="00EE2137">
        <w:rPr>
          <w:rFonts w:eastAsia="Times New Roman" w:cstheme="minorHAnsi"/>
          <w:color w:val="000000" w:themeColor="text1"/>
          <w:lang w:val="es-ES" w:eastAsia="en-GB"/>
        </w:rPr>
        <w:t xml:space="preserve">ó en la </w:t>
      </w:r>
      <w:r w:rsidR="0064372C" w:rsidRPr="00EE2137">
        <w:rPr>
          <w:rFonts w:eastAsia="Times New Roman" w:cstheme="minorHAnsi"/>
          <w:color w:val="000000" w:themeColor="text1"/>
          <w:lang w:val="es-ES" w:eastAsia="en-GB"/>
        </w:rPr>
        <w:t>44</w:t>
      </w:r>
      <w:r w:rsidR="00185E57" w:rsidRPr="00EE2137">
        <w:rPr>
          <w:rFonts w:eastAsia="Times New Roman" w:cstheme="minorHAnsi"/>
          <w:color w:val="000000" w:themeColor="text1"/>
          <w:lang w:val="es-ES" w:eastAsia="en-GB"/>
        </w:rPr>
        <w:t xml:space="preserve">ª </w:t>
      </w:r>
      <w:r w:rsidR="00EE2137">
        <w:rPr>
          <w:rFonts w:eastAsia="Times New Roman" w:cstheme="minorHAnsi"/>
          <w:color w:val="000000" w:themeColor="text1"/>
          <w:lang w:val="es-ES" w:eastAsia="en-GB"/>
        </w:rPr>
        <w:t>sesión</w:t>
      </w:r>
      <w:r w:rsidR="00185E57" w:rsidRPr="00EE2137">
        <w:rPr>
          <w:rFonts w:eastAsia="Times New Roman" w:cstheme="minorHAnsi"/>
          <w:color w:val="000000" w:themeColor="text1"/>
          <w:lang w:val="es-ES" w:eastAsia="en-GB"/>
        </w:rPr>
        <w:t xml:space="preserve"> del Comité del Patrimonio Mundial del </w:t>
      </w:r>
      <w:r w:rsidR="0064372C" w:rsidRPr="00EE2137">
        <w:rPr>
          <w:rFonts w:eastAsia="Times New Roman" w:cstheme="minorHAnsi"/>
          <w:color w:val="000000" w:themeColor="text1"/>
          <w:lang w:val="es-ES" w:eastAsia="en-GB"/>
        </w:rPr>
        <w:t>16</w:t>
      </w:r>
      <w:r w:rsidR="00185E57" w:rsidRPr="00EE2137">
        <w:rPr>
          <w:rFonts w:eastAsia="Times New Roman" w:cstheme="minorHAnsi"/>
          <w:color w:val="000000" w:themeColor="text1"/>
          <w:lang w:val="es-ES" w:eastAsia="en-GB"/>
        </w:rPr>
        <w:t xml:space="preserve"> al </w:t>
      </w:r>
      <w:r w:rsidR="0064372C" w:rsidRPr="00EE2137">
        <w:rPr>
          <w:rFonts w:eastAsia="Times New Roman" w:cstheme="minorHAnsi"/>
          <w:color w:val="000000" w:themeColor="text1"/>
          <w:lang w:val="es-ES" w:eastAsia="en-GB"/>
        </w:rPr>
        <w:t>31</w:t>
      </w:r>
      <w:r w:rsidR="00185E57" w:rsidRPr="00EE2137">
        <w:rPr>
          <w:rFonts w:eastAsia="Times New Roman" w:cstheme="minorHAnsi"/>
          <w:color w:val="000000" w:themeColor="text1"/>
          <w:lang w:val="es-ES" w:eastAsia="en-GB"/>
        </w:rPr>
        <w:t xml:space="preserve"> de julio </w:t>
      </w:r>
      <w:r w:rsidR="0064372C" w:rsidRPr="00EE2137">
        <w:rPr>
          <w:rFonts w:eastAsia="Times New Roman" w:cstheme="minorHAnsi"/>
          <w:color w:val="000000" w:themeColor="text1"/>
          <w:lang w:val="es-ES" w:eastAsia="en-GB"/>
        </w:rPr>
        <w:t xml:space="preserve">2021 </w:t>
      </w:r>
      <w:r w:rsidR="00185E57" w:rsidRPr="00EE2137">
        <w:rPr>
          <w:rFonts w:eastAsia="Times New Roman" w:cstheme="minorHAnsi"/>
          <w:color w:val="000000" w:themeColor="text1"/>
          <w:lang w:val="es-ES" w:eastAsia="en-GB"/>
        </w:rPr>
        <w:t xml:space="preserve">y </w:t>
      </w:r>
      <w:r w:rsidR="00213BFC" w:rsidRPr="00EE2137">
        <w:rPr>
          <w:rFonts w:eastAsia="Times New Roman" w:cstheme="minorHAnsi"/>
          <w:color w:val="000000" w:themeColor="text1"/>
          <w:lang w:val="es-ES" w:eastAsia="en-GB"/>
        </w:rPr>
        <w:t xml:space="preserve">tomó nota </w:t>
      </w:r>
      <w:r w:rsidR="00213BFC" w:rsidRPr="006060F1">
        <w:rPr>
          <w:rFonts w:eastAsia="Times New Roman" w:cstheme="minorHAnsi"/>
          <w:lang w:val="es-ES" w:eastAsia="en-GB"/>
        </w:rPr>
        <w:t xml:space="preserve">con satisfacción de la inscripción </w:t>
      </w:r>
      <w:r w:rsidR="009469F1" w:rsidRPr="006060F1">
        <w:rPr>
          <w:rFonts w:eastAsia="Times New Roman" w:cstheme="minorHAnsi"/>
          <w:lang w:val="es-ES" w:eastAsia="en-GB"/>
        </w:rPr>
        <w:t>de</w:t>
      </w:r>
      <w:r w:rsidR="00844AE0">
        <w:rPr>
          <w:rFonts w:eastAsia="Times New Roman" w:cstheme="minorHAnsi"/>
          <w:lang w:val="es-ES" w:eastAsia="en-GB"/>
        </w:rPr>
        <w:t xml:space="preserve"> los sitios</w:t>
      </w:r>
      <w:r w:rsidR="009469F1" w:rsidRPr="006060F1">
        <w:rPr>
          <w:rFonts w:eastAsia="Times New Roman" w:cstheme="minorHAnsi"/>
          <w:lang w:val="es-ES" w:eastAsia="en-GB"/>
        </w:rPr>
        <w:t xml:space="preserve"> “</w:t>
      </w:r>
      <w:r w:rsidR="0064372C" w:rsidRPr="006060F1">
        <w:rPr>
          <w:rFonts w:eastAsia="Times New Roman" w:cstheme="minorHAnsi"/>
          <w:lang w:val="es-ES" w:eastAsia="en-GB"/>
        </w:rPr>
        <w:t>Getbol</w:t>
      </w:r>
      <w:r w:rsidR="00CB6384" w:rsidRPr="006060F1">
        <w:rPr>
          <w:rFonts w:eastAsia="Times New Roman" w:cstheme="minorHAnsi"/>
          <w:lang w:val="es-ES" w:eastAsia="en-GB"/>
        </w:rPr>
        <w:t xml:space="preserve">”, planicie intermareal en </w:t>
      </w:r>
      <w:r w:rsidR="00185E57" w:rsidRPr="006060F1">
        <w:rPr>
          <w:rFonts w:eastAsia="Times New Roman" w:cstheme="minorHAnsi"/>
          <w:lang w:val="es-ES" w:eastAsia="en-GB"/>
        </w:rPr>
        <w:t>la República de Corea</w:t>
      </w:r>
      <w:r w:rsidR="00844AE0">
        <w:rPr>
          <w:rFonts w:eastAsia="Times New Roman" w:cstheme="minorHAnsi"/>
          <w:lang w:val="es-ES" w:eastAsia="en-GB"/>
        </w:rPr>
        <w:t>,</w:t>
      </w:r>
      <w:r w:rsidR="00185E57" w:rsidRPr="006060F1">
        <w:rPr>
          <w:rFonts w:eastAsia="Times New Roman" w:cstheme="minorHAnsi"/>
          <w:lang w:val="es-ES" w:eastAsia="en-GB"/>
        </w:rPr>
        <w:t xml:space="preserve"> y </w:t>
      </w:r>
      <w:r w:rsidR="00CB6384" w:rsidRPr="006060F1">
        <w:rPr>
          <w:rFonts w:eastAsia="Times New Roman" w:cstheme="minorHAnsi"/>
          <w:lang w:val="es-ES" w:eastAsia="en-GB"/>
        </w:rPr>
        <w:t>Bosques pluviales y zonas húmedas de la Cólquida</w:t>
      </w:r>
      <w:r w:rsidR="00844AE0">
        <w:rPr>
          <w:rFonts w:eastAsia="Times New Roman" w:cstheme="minorHAnsi"/>
          <w:lang w:val="es-ES" w:eastAsia="en-GB"/>
        </w:rPr>
        <w:t xml:space="preserve"> </w:t>
      </w:r>
      <w:r w:rsidR="00185E57" w:rsidRPr="006060F1">
        <w:rPr>
          <w:rFonts w:eastAsia="Times New Roman" w:cstheme="minorHAnsi"/>
          <w:lang w:val="es-ES" w:eastAsia="en-GB"/>
        </w:rPr>
        <w:t>e</w:t>
      </w:r>
      <w:r w:rsidR="0064372C" w:rsidRPr="006060F1">
        <w:rPr>
          <w:rFonts w:eastAsia="Times New Roman" w:cstheme="minorHAnsi"/>
          <w:lang w:val="es-ES" w:eastAsia="en-GB"/>
        </w:rPr>
        <w:t xml:space="preserve">n Georgia </w:t>
      </w:r>
      <w:r w:rsidR="00185E57" w:rsidRPr="006060F1">
        <w:rPr>
          <w:rFonts w:eastAsia="Times New Roman" w:cstheme="minorHAnsi"/>
          <w:lang w:val="es-ES" w:eastAsia="en-GB"/>
        </w:rPr>
        <w:t>en la Lista de</w:t>
      </w:r>
      <w:r w:rsidR="00CB6384" w:rsidRPr="006060F1">
        <w:rPr>
          <w:rFonts w:eastAsia="Times New Roman" w:cstheme="minorHAnsi"/>
          <w:lang w:val="es-ES" w:eastAsia="en-GB"/>
        </w:rPr>
        <w:t xml:space="preserve"> bienes del</w:t>
      </w:r>
      <w:r w:rsidR="00185E57" w:rsidRPr="006060F1">
        <w:rPr>
          <w:rFonts w:eastAsia="Times New Roman" w:cstheme="minorHAnsi"/>
          <w:lang w:val="es-ES" w:eastAsia="en-GB"/>
        </w:rPr>
        <w:t xml:space="preserve"> Patrimonio Mundial</w:t>
      </w:r>
      <w:r w:rsidR="00CB6384" w:rsidRPr="006060F1">
        <w:rPr>
          <w:rFonts w:eastAsia="Times New Roman" w:cstheme="minorHAnsi"/>
          <w:lang w:val="es-ES" w:eastAsia="en-GB"/>
        </w:rPr>
        <w:t xml:space="preserve">. Estos sitios comprenden </w:t>
      </w:r>
      <w:r w:rsidR="00185E57" w:rsidRPr="006060F1">
        <w:rPr>
          <w:rFonts w:eastAsia="Times New Roman" w:cstheme="minorHAnsi"/>
          <w:lang w:val="es-ES" w:eastAsia="en-GB"/>
        </w:rPr>
        <w:t>cinco Humedales de Importancia Internacional. Se publicaron informes de las reuniones conjuntas celebradas a principios del año</w:t>
      </w:r>
      <w:r w:rsidR="0064372C" w:rsidRPr="006060F1">
        <w:rPr>
          <w:rFonts w:eastAsia="Times New Roman" w:cstheme="minorHAnsi"/>
          <w:lang w:val="es-ES" w:eastAsia="en-GB"/>
        </w:rPr>
        <w:t xml:space="preserve"> 2020 </w:t>
      </w:r>
      <w:r w:rsidR="00185E57" w:rsidRPr="006060F1">
        <w:rPr>
          <w:rFonts w:eastAsia="Times New Roman" w:cstheme="minorHAnsi"/>
          <w:lang w:val="es-ES" w:eastAsia="en-GB"/>
        </w:rPr>
        <w:t xml:space="preserve">sobre dos sitios incluidos en ambas convenciones, Venecia y su Laguna </w:t>
      </w:r>
      <w:r w:rsidR="00CB6384" w:rsidRPr="006060F1">
        <w:rPr>
          <w:rFonts w:eastAsia="Times New Roman" w:cstheme="minorHAnsi"/>
          <w:lang w:val="es-ES" w:eastAsia="en-GB"/>
        </w:rPr>
        <w:t>(</w:t>
      </w:r>
      <w:r w:rsidR="00185E57" w:rsidRPr="006060F1">
        <w:rPr>
          <w:rFonts w:eastAsia="Times New Roman" w:cstheme="minorHAnsi"/>
          <w:lang w:val="es-ES" w:eastAsia="en-GB"/>
        </w:rPr>
        <w:t>Italia</w:t>
      </w:r>
      <w:r w:rsidR="00CB6384" w:rsidRPr="006060F1">
        <w:rPr>
          <w:rFonts w:eastAsia="Times New Roman" w:cstheme="minorHAnsi"/>
          <w:lang w:val="es-ES" w:eastAsia="en-GB"/>
        </w:rPr>
        <w:t>)</w:t>
      </w:r>
      <w:r w:rsidR="00185E57" w:rsidRPr="006060F1">
        <w:rPr>
          <w:rFonts w:eastAsia="Times New Roman" w:cstheme="minorHAnsi"/>
          <w:lang w:val="es-ES" w:eastAsia="en-GB"/>
        </w:rPr>
        <w:t xml:space="preserve"> y Doñana </w:t>
      </w:r>
      <w:r w:rsidR="00CB6384" w:rsidRPr="006060F1">
        <w:rPr>
          <w:rFonts w:eastAsia="Times New Roman" w:cstheme="minorHAnsi"/>
          <w:lang w:val="es-ES" w:eastAsia="en-GB"/>
        </w:rPr>
        <w:t>(</w:t>
      </w:r>
      <w:r w:rsidR="00185E57" w:rsidRPr="006060F1">
        <w:rPr>
          <w:rFonts w:eastAsia="Times New Roman" w:cstheme="minorHAnsi"/>
          <w:lang w:val="es-ES" w:eastAsia="en-GB"/>
        </w:rPr>
        <w:t>España</w:t>
      </w:r>
      <w:r w:rsidR="00CB6384" w:rsidRPr="006060F1">
        <w:rPr>
          <w:rFonts w:eastAsia="Times New Roman" w:cstheme="minorHAnsi"/>
          <w:lang w:val="es-ES" w:eastAsia="en-GB"/>
        </w:rPr>
        <w:t>)</w:t>
      </w:r>
      <w:r w:rsidR="00185E57" w:rsidRPr="006060F1">
        <w:rPr>
          <w:rFonts w:eastAsia="Times New Roman" w:cstheme="minorHAnsi"/>
          <w:lang w:val="es-ES" w:eastAsia="en-GB"/>
        </w:rPr>
        <w:t xml:space="preserve"> en 2021.</w:t>
      </w:r>
    </w:p>
    <w:p w14:paraId="652C60E6" w14:textId="77777777" w:rsidR="00DA5E4B" w:rsidRPr="006060F1" w:rsidRDefault="00DA5E4B" w:rsidP="007D3790">
      <w:pPr>
        <w:suppressAutoHyphens/>
        <w:spacing w:after="0" w:line="240" w:lineRule="auto"/>
        <w:ind w:left="425" w:hanging="425"/>
        <w:rPr>
          <w:rFonts w:eastAsia="Times New Roman" w:cstheme="minorHAnsi"/>
          <w:lang w:val="es-ES" w:eastAsia="en-GB"/>
        </w:rPr>
      </w:pPr>
    </w:p>
    <w:p w14:paraId="53F7D8B7" w14:textId="77777777" w:rsidR="00CB6384" w:rsidRPr="006060F1" w:rsidRDefault="00CB6384" w:rsidP="007D3790">
      <w:pPr>
        <w:autoSpaceDE w:val="0"/>
        <w:autoSpaceDN w:val="0"/>
        <w:adjustRightInd w:val="0"/>
        <w:spacing w:after="0" w:line="240" w:lineRule="auto"/>
        <w:ind w:left="426" w:hanging="426"/>
        <w:jc w:val="both"/>
        <w:rPr>
          <w:rStyle w:val="intro-resume2"/>
          <w:rFonts w:eastAsia="Times New Roman"/>
          <w:bCs/>
          <w:sz w:val="22"/>
          <w:szCs w:val="22"/>
          <w:lang w:val="es-ES" w:eastAsia="en-GB"/>
        </w:rPr>
      </w:pPr>
      <w:r w:rsidRPr="006060F1">
        <w:rPr>
          <w:rStyle w:val="intro-resume2"/>
          <w:rFonts w:eastAsia="Times New Roman" w:cstheme="minorHAnsi"/>
          <w:i/>
          <w:sz w:val="22"/>
          <w:szCs w:val="22"/>
          <w:lang w:val="es-ES" w:eastAsia="en-GB"/>
        </w:rPr>
        <w:t>Convención Marco de las Naciones Unidas sobre el Cambio Climático</w:t>
      </w:r>
    </w:p>
    <w:p w14:paraId="7A1EB1C4" w14:textId="77777777" w:rsidR="009C2848" w:rsidRPr="006060F1" w:rsidRDefault="009C2848" w:rsidP="007D3790">
      <w:pPr>
        <w:keepNext/>
        <w:autoSpaceDE w:val="0"/>
        <w:autoSpaceDN w:val="0"/>
        <w:adjustRightInd w:val="0"/>
        <w:spacing w:after="0" w:line="240" w:lineRule="auto"/>
        <w:ind w:left="357" w:hanging="357"/>
        <w:jc w:val="both"/>
        <w:rPr>
          <w:rFonts w:eastAsia="Times New Roman" w:cstheme="minorHAnsi"/>
          <w:bCs/>
          <w:lang w:val="es-ES" w:eastAsia="en-GB"/>
        </w:rPr>
      </w:pPr>
    </w:p>
    <w:p w14:paraId="7EBB031B" w14:textId="1696A92A" w:rsidR="004A4010" w:rsidRPr="006060F1" w:rsidRDefault="0006611C" w:rsidP="007D3790">
      <w:pPr>
        <w:tabs>
          <w:tab w:val="left" w:pos="426"/>
        </w:tabs>
        <w:spacing w:after="0" w:line="240" w:lineRule="auto"/>
        <w:ind w:left="426" w:hanging="426"/>
        <w:rPr>
          <w:lang w:val="es-ES"/>
        </w:rPr>
      </w:pPr>
      <w:r w:rsidRPr="006060F1">
        <w:rPr>
          <w:rFonts w:eastAsia="Times New Roman" w:cstheme="minorHAnsi"/>
          <w:lang w:val="es-ES" w:eastAsia="en-GB"/>
        </w:rPr>
        <w:t>14</w:t>
      </w:r>
      <w:r w:rsidR="009C2848" w:rsidRPr="006060F1">
        <w:rPr>
          <w:rFonts w:eastAsia="Times New Roman" w:cstheme="minorHAnsi"/>
          <w:lang w:val="es-ES" w:eastAsia="en-GB"/>
        </w:rPr>
        <w:t>.</w:t>
      </w:r>
      <w:r w:rsidR="009C2848" w:rsidRPr="006060F1">
        <w:rPr>
          <w:rFonts w:eastAsia="Times New Roman" w:cstheme="minorHAnsi"/>
          <w:lang w:val="es-ES" w:eastAsia="en-GB"/>
        </w:rPr>
        <w:tab/>
      </w:r>
      <w:r w:rsidR="00185E57" w:rsidRPr="006060F1">
        <w:rPr>
          <w:lang w:val="es-ES"/>
        </w:rPr>
        <w:t>En el período previo a la COP 26 de la CMNUCC</w:t>
      </w:r>
      <w:r w:rsidR="00CB6384" w:rsidRPr="006060F1">
        <w:rPr>
          <w:lang w:val="es-ES"/>
        </w:rPr>
        <w:t>,</w:t>
      </w:r>
      <w:r w:rsidR="00185E57" w:rsidRPr="006060F1">
        <w:rPr>
          <w:lang w:val="es-ES"/>
        </w:rPr>
        <w:t xml:space="preserve"> la Secretaría preparó un </w:t>
      </w:r>
      <w:r w:rsidR="00CB6384" w:rsidRPr="006060F1">
        <w:rPr>
          <w:lang w:val="es-ES"/>
        </w:rPr>
        <w:t xml:space="preserve">informe </w:t>
      </w:r>
      <w:r w:rsidR="00844AE0">
        <w:rPr>
          <w:lang w:val="es-ES"/>
        </w:rPr>
        <w:t>(</w:t>
      </w:r>
      <w:r w:rsidR="00844AE0" w:rsidRPr="006060F1">
        <w:rPr>
          <w:lang w:val="es-ES"/>
        </w:rPr>
        <w:t>disponible en tres idiomas</w:t>
      </w:r>
      <w:r w:rsidR="00844AE0">
        <w:rPr>
          <w:lang w:val="es-ES"/>
        </w:rPr>
        <w:t>)</w:t>
      </w:r>
      <w:r w:rsidR="00844AE0" w:rsidRPr="006060F1">
        <w:rPr>
          <w:lang w:val="es-ES"/>
        </w:rPr>
        <w:t xml:space="preserve"> </w:t>
      </w:r>
      <w:r w:rsidR="00185E57" w:rsidRPr="006060F1">
        <w:rPr>
          <w:lang w:val="es-ES"/>
        </w:rPr>
        <w:t>sobre cómo aprovechar el uso racional</w:t>
      </w:r>
      <w:r w:rsidR="0064060D" w:rsidRPr="006060F1">
        <w:rPr>
          <w:lang w:val="es-ES"/>
        </w:rPr>
        <w:t xml:space="preserve">, la protección y </w:t>
      </w:r>
      <w:r w:rsidR="00CB6384" w:rsidRPr="006060F1">
        <w:rPr>
          <w:lang w:val="es-ES"/>
        </w:rPr>
        <w:t xml:space="preserve">la </w:t>
      </w:r>
      <w:r w:rsidR="0064060D" w:rsidRPr="006060F1">
        <w:rPr>
          <w:lang w:val="es-ES"/>
        </w:rPr>
        <w:t xml:space="preserve">restauración </w:t>
      </w:r>
      <w:r w:rsidR="00CB6384" w:rsidRPr="006060F1">
        <w:rPr>
          <w:lang w:val="es-ES"/>
        </w:rPr>
        <w:t xml:space="preserve">de los humedales </w:t>
      </w:r>
      <w:r w:rsidR="0064060D" w:rsidRPr="006060F1">
        <w:rPr>
          <w:lang w:val="es-ES"/>
        </w:rPr>
        <w:t xml:space="preserve">para obtener resultados en materia de cambio climático. La Secretaría coorganizó tres eventos durante la </w:t>
      </w:r>
      <w:r w:rsidR="004A4010" w:rsidRPr="006060F1">
        <w:rPr>
          <w:lang w:val="es-ES"/>
        </w:rPr>
        <w:t>COP 26</w:t>
      </w:r>
      <w:r w:rsidR="0064060D" w:rsidRPr="006060F1">
        <w:rPr>
          <w:lang w:val="es-ES"/>
        </w:rPr>
        <w:t xml:space="preserve"> </w:t>
      </w:r>
      <w:r w:rsidR="00DD2E62" w:rsidRPr="006060F1">
        <w:rPr>
          <w:lang w:val="es-ES"/>
        </w:rPr>
        <w:t xml:space="preserve">en los que se analizaban </w:t>
      </w:r>
      <w:r w:rsidR="0064060D" w:rsidRPr="006060F1">
        <w:rPr>
          <w:lang w:val="es-ES"/>
        </w:rPr>
        <w:t>distintos aspectos de las acciones en pro de los humedales para lograr resultados en materia de cambio climático</w:t>
      </w:r>
      <w:r w:rsidR="004A4010" w:rsidRPr="006060F1">
        <w:rPr>
          <w:lang w:val="es-ES"/>
        </w:rPr>
        <w:t xml:space="preserve">: </w:t>
      </w:r>
      <w:r w:rsidR="004A4010" w:rsidRPr="006060F1">
        <w:rPr>
          <w:i/>
          <w:lang w:val="es-ES"/>
        </w:rPr>
        <w:t>Financing Wetlands Conservation and Restoration for Climate Benefits – Challenges and Opportunities</w:t>
      </w:r>
      <w:r w:rsidR="00DD2E62" w:rsidRPr="006060F1">
        <w:rPr>
          <w:lang w:val="es-ES"/>
        </w:rPr>
        <w:t xml:space="preserve"> [Financiar la conservación y restauración de los humedales para lograr beneficios climáticos], </w:t>
      </w:r>
      <w:r w:rsidR="0064060D" w:rsidRPr="006060F1">
        <w:rPr>
          <w:lang w:val="es-ES"/>
        </w:rPr>
        <w:t xml:space="preserve">celebrado el </w:t>
      </w:r>
      <w:r w:rsidR="004A4010" w:rsidRPr="006060F1">
        <w:rPr>
          <w:lang w:val="es-ES"/>
        </w:rPr>
        <w:t xml:space="preserve">4 </w:t>
      </w:r>
      <w:r w:rsidR="0064060D" w:rsidRPr="006060F1">
        <w:rPr>
          <w:lang w:val="es-ES"/>
        </w:rPr>
        <w:t>de noviembre en el</w:t>
      </w:r>
      <w:r w:rsidR="004A4010" w:rsidRPr="006060F1">
        <w:rPr>
          <w:lang w:val="es-ES"/>
        </w:rPr>
        <w:t xml:space="preserve"> </w:t>
      </w:r>
      <w:r w:rsidR="00266E28">
        <w:rPr>
          <w:lang w:val="es-ES"/>
        </w:rPr>
        <w:t>pabellón de República de Corea</w:t>
      </w:r>
      <w:r w:rsidR="00DD2E62" w:rsidRPr="006060F1">
        <w:rPr>
          <w:lang w:val="es-ES"/>
        </w:rPr>
        <w:t>,</w:t>
      </w:r>
      <w:r w:rsidR="004A4010" w:rsidRPr="006060F1">
        <w:rPr>
          <w:lang w:val="es-ES"/>
        </w:rPr>
        <w:t xml:space="preserve"> </w:t>
      </w:r>
      <w:r w:rsidR="004A4010" w:rsidRPr="006060F1">
        <w:rPr>
          <w:i/>
          <w:lang w:val="es-ES"/>
        </w:rPr>
        <w:t>Partners for Wetlands: Decade for Wetland Restoration</w:t>
      </w:r>
      <w:r w:rsidR="00DD2E62" w:rsidRPr="006060F1">
        <w:rPr>
          <w:lang w:val="es-ES"/>
        </w:rPr>
        <w:t xml:space="preserve"> [Asociados en pro de los humedales: </w:t>
      </w:r>
      <w:r w:rsidR="00A76480">
        <w:rPr>
          <w:lang w:val="es-ES"/>
        </w:rPr>
        <w:t xml:space="preserve">El Decenio </w:t>
      </w:r>
      <w:r w:rsidR="00DD2E62" w:rsidRPr="006060F1">
        <w:rPr>
          <w:lang w:val="es-ES"/>
        </w:rPr>
        <w:t xml:space="preserve">de la </w:t>
      </w:r>
      <w:r w:rsidR="00A76480">
        <w:rPr>
          <w:lang w:val="es-ES"/>
        </w:rPr>
        <w:t>R</w:t>
      </w:r>
      <w:r w:rsidR="00DD2E62" w:rsidRPr="006060F1">
        <w:rPr>
          <w:lang w:val="es-ES"/>
        </w:rPr>
        <w:t xml:space="preserve">estauración de los </w:t>
      </w:r>
      <w:r w:rsidR="00A76480">
        <w:rPr>
          <w:lang w:val="es-ES"/>
        </w:rPr>
        <w:t>H</w:t>
      </w:r>
      <w:r w:rsidR="00DD2E62" w:rsidRPr="006060F1">
        <w:rPr>
          <w:lang w:val="es-ES"/>
        </w:rPr>
        <w:t xml:space="preserve">umedales], </w:t>
      </w:r>
      <w:r w:rsidR="006060F1" w:rsidRPr="006060F1">
        <w:rPr>
          <w:lang w:val="es-ES"/>
        </w:rPr>
        <w:t>celebrado</w:t>
      </w:r>
      <w:r w:rsidR="0064060D" w:rsidRPr="006060F1">
        <w:rPr>
          <w:lang w:val="es-ES"/>
        </w:rPr>
        <w:t xml:space="preserve"> el </w:t>
      </w:r>
      <w:r w:rsidR="004A4010" w:rsidRPr="006060F1">
        <w:rPr>
          <w:lang w:val="es-ES"/>
        </w:rPr>
        <w:t xml:space="preserve">8 </w:t>
      </w:r>
      <w:r w:rsidR="0064060D" w:rsidRPr="006060F1">
        <w:rPr>
          <w:lang w:val="es-ES"/>
        </w:rPr>
        <w:t xml:space="preserve">de noviembre en el </w:t>
      </w:r>
      <w:r w:rsidR="00266E28">
        <w:rPr>
          <w:lang w:val="es-ES"/>
        </w:rPr>
        <w:t>pabellón de Turberas</w:t>
      </w:r>
      <w:r w:rsidR="00A76480">
        <w:rPr>
          <w:lang w:val="es-ES"/>
        </w:rPr>
        <w:t xml:space="preserve">, </w:t>
      </w:r>
      <w:r w:rsidR="00556CDA" w:rsidRPr="006060F1">
        <w:rPr>
          <w:lang w:val="es-ES"/>
        </w:rPr>
        <w:t>y</w:t>
      </w:r>
      <w:r w:rsidR="004A4010" w:rsidRPr="006060F1">
        <w:rPr>
          <w:lang w:val="es-ES"/>
        </w:rPr>
        <w:t xml:space="preserve"> </w:t>
      </w:r>
      <w:r w:rsidR="004A4010" w:rsidRPr="006060F1">
        <w:rPr>
          <w:i/>
          <w:lang w:val="es-ES"/>
        </w:rPr>
        <w:t>Leveraging MEA synergies in Peatland protection and restoration for climate outcomes</w:t>
      </w:r>
      <w:r w:rsidR="00556CDA" w:rsidRPr="006060F1">
        <w:rPr>
          <w:lang w:val="es-ES"/>
        </w:rPr>
        <w:t xml:space="preserve"> [Aprovechar las </w:t>
      </w:r>
      <w:r w:rsidR="006060F1" w:rsidRPr="006060F1">
        <w:rPr>
          <w:lang w:val="es-ES"/>
        </w:rPr>
        <w:t>sinergias</w:t>
      </w:r>
      <w:r w:rsidR="00556CDA" w:rsidRPr="006060F1">
        <w:rPr>
          <w:lang w:val="es-ES"/>
        </w:rPr>
        <w:t xml:space="preserve"> entre los AMMA en protección y restauración de las turberas para </w:t>
      </w:r>
      <w:r w:rsidR="00556CDA" w:rsidRPr="006060F1">
        <w:rPr>
          <w:lang w:val="es-ES"/>
        </w:rPr>
        <w:lastRenderedPageBreak/>
        <w:t xml:space="preserve">lograr resultados climáticos], celebrado el </w:t>
      </w:r>
      <w:r w:rsidR="004A4010" w:rsidRPr="006060F1">
        <w:rPr>
          <w:lang w:val="es-ES"/>
        </w:rPr>
        <w:t xml:space="preserve">10 </w:t>
      </w:r>
      <w:r w:rsidR="00556CDA" w:rsidRPr="006060F1">
        <w:rPr>
          <w:lang w:val="es-ES"/>
        </w:rPr>
        <w:t xml:space="preserve">de noviembre, también en el </w:t>
      </w:r>
      <w:r w:rsidR="00266E28">
        <w:rPr>
          <w:lang w:val="es-ES"/>
        </w:rPr>
        <w:t>pabellón de las Turberas.</w:t>
      </w:r>
      <w:r w:rsidR="0064060D" w:rsidRPr="006060F1">
        <w:rPr>
          <w:lang w:val="es-ES"/>
        </w:rPr>
        <w:t xml:space="preserve"> El personal de la </w:t>
      </w:r>
      <w:r w:rsidR="006060F1" w:rsidRPr="006060F1">
        <w:rPr>
          <w:lang w:val="es-ES"/>
        </w:rPr>
        <w:t>Secretaría</w:t>
      </w:r>
      <w:r w:rsidR="0064060D" w:rsidRPr="006060F1">
        <w:rPr>
          <w:lang w:val="es-ES"/>
        </w:rPr>
        <w:t xml:space="preserve"> también realizó contribuciones a varios eventos organizados por las Partes Contratantes en la Convención y otros asociados, entre otras cosas sobre el papel de las turberas y el carbono azul en la adaptación</w:t>
      </w:r>
      <w:r w:rsidR="00556CDA" w:rsidRPr="006060F1">
        <w:rPr>
          <w:lang w:val="es-ES"/>
        </w:rPr>
        <w:t xml:space="preserve"> al cambio climático</w:t>
      </w:r>
      <w:r w:rsidR="0064060D" w:rsidRPr="006060F1">
        <w:rPr>
          <w:lang w:val="es-ES"/>
        </w:rPr>
        <w:t xml:space="preserve"> y </w:t>
      </w:r>
      <w:r w:rsidR="00556CDA" w:rsidRPr="006060F1">
        <w:rPr>
          <w:lang w:val="es-ES"/>
        </w:rPr>
        <w:t xml:space="preserve">la </w:t>
      </w:r>
      <w:r w:rsidR="0064060D" w:rsidRPr="006060F1">
        <w:rPr>
          <w:lang w:val="es-ES"/>
        </w:rPr>
        <w:t xml:space="preserve">mitigación </w:t>
      </w:r>
      <w:r w:rsidR="00556CDA" w:rsidRPr="006060F1">
        <w:rPr>
          <w:lang w:val="es-ES"/>
        </w:rPr>
        <w:t>de este</w:t>
      </w:r>
      <w:r w:rsidR="0064060D" w:rsidRPr="006060F1">
        <w:rPr>
          <w:lang w:val="es-ES"/>
        </w:rPr>
        <w:t xml:space="preserve">, los ecosistemas costeros, la </w:t>
      </w:r>
      <w:r w:rsidR="00556CDA" w:rsidRPr="006060F1">
        <w:rPr>
          <w:lang w:val="es-ES"/>
        </w:rPr>
        <w:t xml:space="preserve">administración del agua </w:t>
      </w:r>
      <w:r w:rsidR="0064060D" w:rsidRPr="006060F1">
        <w:rPr>
          <w:lang w:val="es-ES"/>
        </w:rPr>
        <w:t xml:space="preserve">y los </w:t>
      </w:r>
      <w:r w:rsidR="006060F1" w:rsidRPr="006060F1">
        <w:rPr>
          <w:lang w:val="es-ES"/>
        </w:rPr>
        <w:t>humedales</w:t>
      </w:r>
      <w:r w:rsidR="0064060D" w:rsidRPr="006060F1">
        <w:rPr>
          <w:lang w:val="es-ES"/>
        </w:rPr>
        <w:t xml:space="preserve"> transfronterizos.</w:t>
      </w:r>
    </w:p>
    <w:p w14:paraId="01F75780" w14:textId="77777777" w:rsidR="004A4010" w:rsidRPr="006060F1" w:rsidRDefault="004A4010" w:rsidP="007D3790">
      <w:pPr>
        <w:suppressAutoHyphens/>
        <w:spacing w:after="0" w:line="240" w:lineRule="auto"/>
        <w:ind w:left="425" w:hanging="425"/>
        <w:rPr>
          <w:rFonts w:eastAsia="Times New Roman" w:cstheme="minorHAnsi"/>
          <w:lang w:val="es-ES" w:eastAsia="en-GB"/>
        </w:rPr>
      </w:pPr>
    </w:p>
    <w:p w14:paraId="3CEF43A3" w14:textId="0D97A71D" w:rsidR="009C2848" w:rsidRPr="006060F1" w:rsidRDefault="0064060D" w:rsidP="007D3790">
      <w:pPr>
        <w:spacing w:after="0" w:line="240" w:lineRule="auto"/>
        <w:ind w:left="357" w:hanging="357"/>
        <w:jc w:val="both"/>
        <w:rPr>
          <w:rFonts w:eastAsia="Times New Roman" w:cstheme="minorHAnsi"/>
          <w:i/>
          <w:lang w:val="es-ES" w:eastAsia="en-GB"/>
        </w:rPr>
      </w:pPr>
      <w:r w:rsidRPr="006060F1">
        <w:rPr>
          <w:rFonts w:eastAsia="Times New Roman" w:cstheme="minorHAnsi"/>
          <w:i/>
          <w:lang w:val="es-ES" w:eastAsia="en-GB"/>
        </w:rPr>
        <w:t xml:space="preserve">Convención de las Naciones Unidas de Lucha </w:t>
      </w:r>
      <w:r w:rsidR="00A76480" w:rsidRPr="006060F1">
        <w:rPr>
          <w:rFonts w:eastAsia="Times New Roman" w:cstheme="minorHAnsi"/>
          <w:i/>
          <w:lang w:val="es-ES" w:eastAsia="en-GB"/>
        </w:rPr>
        <w:t>contra</w:t>
      </w:r>
      <w:r w:rsidRPr="006060F1">
        <w:rPr>
          <w:rFonts w:eastAsia="Times New Roman" w:cstheme="minorHAnsi"/>
          <w:i/>
          <w:lang w:val="es-ES" w:eastAsia="en-GB"/>
        </w:rPr>
        <w:t xml:space="preserve"> la Desertificació</w:t>
      </w:r>
      <w:r w:rsidR="009C2848" w:rsidRPr="006060F1">
        <w:rPr>
          <w:rFonts w:eastAsia="Times New Roman" w:cstheme="minorHAnsi"/>
          <w:i/>
          <w:lang w:val="es-ES" w:eastAsia="en-GB"/>
        </w:rPr>
        <w:t>n</w:t>
      </w:r>
    </w:p>
    <w:p w14:paraId="42029C08" w14:textId="77777777" w:rsidR="009C2848" w:rsidRPr="006060F1" w:rsidRDefault="009C2848" w:rsidP="007D3790">
      <w:pPr>
        <w:spacing w:after="0" w:line="240" w:lineRule="auto"/>
        <w:ind w:left="425" w:hanging="425"/>
        <w:jc w:val="both"/>
        <w:rPr>
          <w:rFonts w:eastAsia="Times New Roman" w:cstheme="minorHAnsi"/>
          <w:lang w:val="es-ES" w:eastAsia="en-GB"/>
        </w:rPr>
      </w:pPr>
    </w:p>
    <w:p w14:paraId="4E919B56" w14:textId="0E18817E" w:rsidR="00F65492" w:rsidRPr="006060F1" w:rsidRDefault="0006611C" w:rsidP="007D3790">
      <w:pPr>
        <w:spacing w:after="0" w:line="240" w:lineRule="auto"/>
        <w:ind w:left="426" w:hanging="426"/>
        <w:rPr>
          <w:lang w:val="es-ES"/>
        </w:rPr>
      </w:pPr>
      <w:r w:rsidRPr="006060F1">
        <w:rPr>
          <w:rFonts w:eastAsia="Times New Roman" w:cstheme="minorHAnsi"/>
          <w:lang w:val="es-ES" w:eastAsia="en-GB"/>
        </w:rPr>
        <w:t>15</w:t>
      </w:r>
      <w:r w:rsidR="009C2848" w:rsidRPr="006060F1">
        <w:rPr>
          <w:rFonts w:eastAsia="Times New Roman" w:cstheme="minorHAnsi"/>
          <w:lang w:val="es-ES" w:eastAsia="en-GB"/>
        </w:rPr>
        <w:t>.</w:t>
      </w:r>
      <w:r w:rsidR="00F65492" w:rsidRPr="006060F1">
        <w:rPr>
          <w:rFonts w:eastAsia="Times New Roman" w:cstheme="minorHAnsi"/>
          <w:lang w:val="es-ES" w:eastAsia="en-GB"/>
        </w:rPr>
        <w:t xml:space="preserve"> </w:t>
      </w:r>
      <w:r w:rsidR="00A65EBD" w:rsidRPr="006060F1">
        <w:rPr>
          <w:rFonts w:eastAsia="Times New Roman" w:cstheme="minorHAnsi"/>
          <w:lang w:val="es-ES" w:eastAsia="en-GB"/>
        </w:rPr>
        <w:t xml:space="preserve"> </w:t>
      </w:r>
      <w:r w:rsidR="0064060D" w:rsidRPr="006060F1">
        <w:rPr>
          <w:rFonts w:eastAsia="Times New Roman" w:cstheme="minorHAnsi"/>
          <w:lang w:val="es-ES" w:eastAsia="en-GB"/>
        </w:rPr>
        <w:t xml:space="preserve">La Secretaría participó en el taller </w:t>
      </w:r>
      <w:r w:rsidR="00F65492" w:rsidRPr="006060F1">
        <w:rPr>
          <w:bCs/>
          <w:i/>
          <w:lang w:val="es-ES"/>
        </w:rPr>
        <w:t xml:space="preserve">Optimizing the use of Sustainable Land Management, Ecosystem-based Adaptation and Ecosystem-based Disaster Risk Reduction to align </w:t>
      </w:r>
      <w:r w:rsidR="00F65492" w:rsidRPr="006060F1">
        <w:rPr>
          <w:bCs/>
          <w:lang w:val="es-ES"/>
        </w:rPr>
        <w:t xml:space="preserve">Nature-based Solutions </w:t>
      </w:r>
      <w:r w:rsidR="00F65492" w:rsidRPr="006060F1">
        <w:rPr>
          <w:bCs/>
          <w:i/>
          <w:lang w:val="es-ES"/>
        </w:rPr>
        <w:t>towards multi-goal oriented outcomes</w:t>
      </w:r>
      <w:r w:rsidR="00556CDA" w:rsidRPr="006060F1">
        <w:rPr>
          <w:bCs/>
          <w:lang w:val="es-ES"/>
        </w:rPr>
        <w:t xml:space="preserve"> [Optimizar el uso de la gestión sostenible de la tierra</w:t>
      </w:r>
      <w:r w:rsidR="007F748C">
        <w:rPr>
          <w:bCs/>
          <w:lang w:val="es-ES"/>
        </w:rPr>
        <w:t xml:space="preserve"> y</w:t>
      </w:r>
      <w:r w:rsidR="00556CDA" w:rsidRPr="006060F1">
        <w:rPr>
          <w:bCs/>
          <w:lang w:val="es-ES"/>
        </w:rPr>
        <w:t xml:space="preserve"> la adaptación y la reducción del riesgo de desastres basada</w:t>
      </w:r>
      <w:r w:rsidR="00446C0D" w:rsidRPr="006060F1">
        <w:rPr>
          <w:bCs/>
          <w:lang w:val="es-ES"/>
        </w:rPr>
        <w:t>s</w:t>
      </w:r>
      <w:r w:rsidR="00556CDA" w:rsidRPr="006060F1">
        <w:rPr>
          <w:bCs/>
          <w:lang w:val="es-ES"/>
        </w:rPr>
        <w:t xml:space="preserve"> en los ecosistemas para orientar las soluciones basadas en la naturaleza hacia resultados con metas claras], </w:t>
      </w:r>
      <w:r w:rsidR="0064060D" w:rsidRPr="006060F1">
        <w:rPr>
          <w:bCs/>
          <w:lang w:val="es-ES"/>
        </w:rPr>
        <w:t xml:space="preserve">que se celebró de forma virtual el 29 de julio de </w:t>
      </w:r>
      <w:r w:rsidR="00F65492" w:rsidRPr="006060F1">
        <w:rPr>
          <w:bCs/>
          <w:lang w:val="es-ES"/>
        </w:rPr>
        <w:t xml:space="preserve">2021. </w:t>
      </w:r>
      <w:r w:rsidR="0064060D" w:rsidRPr="006060F1">
        <w:rPr>
          <w:bCs/>
          <w:lang w:val="es-ES"/>
        </w:rPr>
        <w:t xml:space="preserve">El taller </w:t>
      </w:r>
      <w:r w:rsidR="00556CDA" w:rsidRPr="006060F1">
        <w:rPr>
          <w:bCs/>
          <w:lang w:val="es-ES"/>
        </w:rPr>
        <w:t xml:space="preserve">se organizó </w:t>
      </w:r>
      <w:r w:rsidR="0064060D" w:rsidRPr="006060F1">
        <w:rPr>
          <w:bCs/>
          <w:lang w:val="es-ES"/>
        </w:rPr>
        <w:t xml:space="preserve">en el marco de un proyecto financiado por la CLD y ejecutado por </w:t>
      </w:r>
      <w:r w:rsidR="00F65492" w:rsidRPr="006060F1">
        <w:rPr>
          <w:lang w:val="es-ES"/>
        </w:rPr>
        <w:t xml:space="preserve">UNU-EHS, </w:t>
      </w:r>
      <w:r w:rsidR="0064060D" w:rsidRPr="006060F1">
        <w:rPr>
          <w:lang w:val="es-ES"/>
        </w:rPr>
        <w:t xml:space="preserve">que dio lugar a la publicación del </w:t>
      </w:r>
      <w:r w:rsidR="006060F1" w:rsidRPr="006060F1">
        <w:rPr>
          <w:lang w:val="es-ES"/>
        </w:rPr>
        <w:t>informe</w:t>
      </w:r>
      <w:r w:rsidR="0064060D" w:rsidRPr="006060F1">
        <w:rPr>
          <w:lang w:val="es-ES"/>
        </w:rPr>
        <w:t xml:space="preserve"> </w:t>
      </w:r>
      <w:r w:rsidR="00F65492" w:rsidRPr="007F748C">
        <w:rPr>
          <w:bCs/>
          <w:i/>
          <w:iCs/>
          <w:lang w:val="es-ES"/>
        </w:rPr>
        <w:t>Coherence and Alignment among Sustainable Land Management, Ecosystem-based Adaptation, Ecosystem-based Disaster Risk Reduction and Nature-based Solutions</w:t>
      </w:r>
      <w:r w:rsidR="00446C0D" w:rsidRPr="006060F1">
        <w:rPr>
          <w:bCs/>
          <w:lang w:val="es-ES"/>
        </w:rPr>
        <w:t xml:space="preserve"> [Coherencia y armonización entre la gestión sostenible de la tierra, la adaptación y la reducción del riesgo de desastres basadas en los ecosistemas y las soluciones basadas en la naturaleza]</w:t>
      </w:r>
      <w:r w:rsidR="00F65492" w:rsidRPr="006060F1">
        <w:rPr>
          <w:bCs/>
          <w:lang w:val="es-ES"/>
        </w:rPr>
        <w:t xml:space="preserve">. </w:t>
      </w:r>
      <w:r w:rsidR="0064060D" w:rsidRPr="006060F1">
        <w:rPr>
          <w:bCs/>
          <w:lang w:val="es-ES"/>
        </w:rPr>
        <w:t xml:space="preserve">La Secretaría </w:t>
      </w:r>
      <w:r w:rsidR="00D723FE" w:rsidRPr="006060F1">
        <w:rPr>
          <w:bCs/>
          <w:lang w:val="es-ES"/>
        </w:rPr>
        <w:t xml:space="preserve">siguió </w:t>
      </w:r>
      <w:r w:rsidR="00446C0D" w:rsidRPr="006060F1">
        <w:rPr>
          <w:bCs/>
          <w:lang w:val="es-ES"/>
        </w:rPr>
        <w:t xml:space="preserve">cooperando con la </w:t>
      </w:r>
      <w:r w:rsidR="00D723FE" w:rsidRPr="006060F1">
        <w:rPr>
          <w:bCs/>
          <w:lang w:val="es-ES"/>
        </w:rPr>
        <w:t xml:space="preserve">CLD, </w:t>
      </w:r>
      <w:r w:rsidR="00446C0D" w:rsidRPr="006060F1">
        <w:rPr>
          <w:bCs/>
          <w:lang w:val="es-ES"/>
        </w:rPr>
        <w:t xml:space="preserve">por ejemplo con su interfaz entre ciencia y políticas, estudiando la </w:t>
      </w:r>
      <w:r w:rsidR="00D723FE" w:rsidRPr="006060F1">
        <w:rPr>
          <w:lang w:val="es-ES"/>
        </w:rPr>
        <w:t xml:space="preserve">colaboración potencial en las actividades pertinentes con arreglo al Anexo 1 del documento </w:t>
      </w:r>
      <w:r w:rsidR="00C41649" w:rsidRPr="006060F1">
        <w:rPr>
          <w:lang w:val="es-ES"/>
        </w:rPr>
        <w:t>SC58</w:t>
      </w:r>
      <w:r w:rsidR="0065551F">
        <w:rPr>
          <w:lang w:val="es-ES"/>
        </w:rPr>
        <w:t xml:space="preserve"> Doc</w:t>
      </w:r>
      <w:r w:rsidR="00C41649" w:rsidRPr="006060F1">
        <w:rPr>
          <w:lang w:val="es-ES"/>
        </w:rPr>
        <w:t>18</w:t>
      </w:r>
      <w:r w:rsidR="002C2AEB" w:rsidRPr="006060F1">
        <w:rPr>
          <w:lang w:val="es-ES"/>
        </w:rPr>
        <w:t xml:space="preserve">, incluidas las </w:t>
      </w:r>
      <w:r w:rsidR="00D723FE" w:rsidRPr="006060F1">
        <w:rPr>
          <w:lang w:val="es-ES"/>
        </w:rPr>
        <w:t xml:space="preserve">actividades del Grupo de Examen Científico y Técnico, y también en relación con </w:t>
      </w:r>
      <w:r w:rsidR="002C2AEB" w:rsidRPr="006060F1">
        <w:rPr>
          <w:lang w:val="es-ES"/>
        </w:rPr>
        <w:t xml:space="preserve">la Perspectiva mundial sobre los humedales: Edición especial de </w:t>
      </w:r>
      <w:r w:rsidR="00F65492" w:rsidRPr="006060F1">
        <w:rPr>
          <w:lang w:val="es-ES"/>
        </w:rPr>
        <w:t xml:space="preserve">2021 </w:t>
      </w:r>
      <w:r w:rsidR="00D723FE" w:rsidRPr="006060F1">
        <w:rPr>
          <w:lang w:val="es-ES"/>
        </w:rPr>
        <w:t xml:space="preserve">y </w:t>
      </w:r>
      <w:r w:rsidR="002C2AEB" w:rsidRPr="006060F1">
        <w:rPr>
          <w:lang w:val="es-ES"/>
        </w:rPr>
        <w:t>la Perspectiva Global de la Tierra (</w:t>
      </w:r>
      <w:r w:rsidR="00F65492" w:rsidRPr="006060F1">
        <w:rPr>
          <w:i/>
          <w:iCs/>
          <w:lang w:val="es-ES"/>
        </w:rPr>
        <w:t>Global Land Outlook</w:t>
      </w:r>
      <w:r w:rsidR="002C2AEB" w:rsidRPr="006060F1">
        <w:rPr>
          <w:lang w:val="es-ES"/>
        </w:rPr>
        <w:t>)</w:t>
      </w:r>
      <w:r w:rsidR="00F65492" w:rsidRPr="006060F1">
        <w:rPr>
          <w:lang w:val="es-ES"/>
        </w:rPr>
        <w:t xml:space="preserve">.  </w:t>
      </w:r>
    </w:p>
    <w:p w14:paraId="2997D0D2" w14:textId="6BDA6173" w:rsidR="009C2848" w:rsidRPr="006060F1" w:rsidRDefault="009C2848" w:rsidP="007D3790">
      <w:pPr>
        <w:suppressAutoHyphens/>
        <w:spacing w:after="0" w:line="240" w:lineRule="auto"/>
        <w:rPr>
          <w:rFonts w:eastAsia="Times New Roman" w:cstheme="minorHAnsi"/>
          <w:spacing w:val="-4"/>
          <w:lang w:val="es-ES" w:eastAsia="en-GB"/>
        </w:rPr>
      </w:pPr>
      <w:r w:rsidRPr="006060F1">
        <w:rPr>
          <w:rFonts w:eastAsia="Times New Roman" w:cstheme="minorHAnsi"/>
          <w:lang w:val="es-ES" w:eastAsia="en-GB"/>
        </w:rPr>
        <w:tab/>
      </w:r>
    </w:p>
    <w:p w14:paraId="0D97D2EF" w14:textId="77777777" w:rsidR="002C2AEB" w:rsidRPr="006060F1" w:rsidRDefault="002C2AEB" w:rsidP="007D3790">
      <w:pPr>
        <w:keepNext/>
        <w:spacing w:after="0" w:line="240" w:lineRule="auto"/>
        <w:rPr>
          <w:rFonts w:cstheme="minorHAnsi"/>
          <w:i/>
          <w:color w:val="000000" w:themeColor="text1"/>
          <w:spacing w:val="-4"/>
          <w:lang w:val="es-ES"/>
        </w:rPr>
      </w:pPr>
      <w:r w:rsidRPr="006060F1">
        <w:rPr>
          <w:rFonts w:cstheme="minorHAnsi"/>
          <w:i/>
          <w:color w:val="000000" w:themeColor="text1"/>
          <w:lang w:val="es-ES"/>
        </w:rPr>
        <w:t>Convenio sobre la Protección y Utilización de los Cursos de Agua Transfronterizos y de los Lagos Internacionales</w:t>
      </w:r>
    </w:p>
    <w:p w14:paraId="3ABBD113" w14:textId="77777777" w:rsidR="00314513" w:rsidRDefault="00314513" w:rsidP="007D3790">
      <w:pPr>
        <w:tabs>
          <w:tab w:val="left" w:pos="426"/>
        </w:tabs>
        <w:spacing w:after="0" w:line="240" w:lineRule="auto"/>
        <w:ind w:left="425" w:hanging="425"/>
        <w:rPr>
          <w:rFonts w:eastAsia="Times New Roman" w:cstheme="minorHAnsi"/>
          <w:lang w:val="es-ES" w:eastAsia="en-GB"/>
        </w:rPr>
      </w:pPr>
    </w:p>
    <w:p w14:paraId="57564883" w14:textId="651D93CB" w:rsidR="00F65492" w:rsidRPr="006060F1" w:rsidRDefault="0006611C" w:rsidP="007D3790">
      <w:pPr>
        <w:tabs>
          <w:tab w:val="left" w:pos="426"/>
        </w:tabs>
        <w:spacing w:after="0" w:line="240" w:lineRule="auto"/>
        <w:ind w:left="425" w:hanging="425"/>
        <w:rPr>
          <w:rFonts w:eastAsia="Times New Roman" w:cstheme="minorHAnsi"/>
          <w:lang w:val="es-ES" w:eastAsia="en-GB"/>
        </w:rPr>
      </w:pPr>
      <w:r w:rsidRPr="006060F1">
        <w:rPr>
          <w:rFonts w:eastAsia="Times New Roman" w:cstheme="minorHAnsi"/>
          <w:lang w:val="es-ES" w:eastAsia="en-GB"/>
        </w:rPr>
        <w:t>16.</w:t>
      </w:r>
      <w:r w:rsidR="009C2848" w:rsidRPr="006060F1">
        <w:rPr>
          <w:rFonts w:eastAsia="Times New Roman" w:cstheme="minorHAnsi"/>
          <w:lang w:val="es-ES" w:eastAsia="en-GB"/>
        </w:rPr>
        <w:tab/>
      </w:r>
      <w:r w:rsidR="00D723FE" w:rsidRPr="006060F1">
        <w:rPr>
          <w:rFonts w:eastAsia="Times New Roman" w:cstheme="minorHAnsi"/>
          <w:lang w:val="es-ES" w:eastAsia="en-GB"/>
        </w:rPr>
        <w:t xml:space="preserve">La </w:t>
      </w:r>
      <w:r w:rsidR="006060F1" w:rsidRPr="007F748C">
        <w:rPr>
          <w:rFonts w:eastAsia="Times New Roman" w:cstheme="minorHAnsi"/>
          <w:color w:val="000000" w:themeColor="text1"/>
          <w:lang w:val="es-ES" w:eastAsia="en-GB"/>
        </w:rPr>
        <w:t>Secretaría</w:t>
      </w:r>
      <w:r w:rsidR="00F65492" w:rsidRPr="007F748C">
        <w:rPr>
          <w:rFonts w:eastAsia="Times New Roman" w:cstheme="minorHAnsi"/>
          <w:color w:val="000000" w:themeColor="text1"/>
          <w:lang w:val="es-ES" w:eastAsia="en-GB"/>
        </w:rPr>
        <w:t xml:space="preserve"> </w:t>
      </w:r>
      <w:r w:rsidR="00F65492" w:rsidRPr="006060F1">
        <w:rPr>
          <w:rFonts w:eastAsia="Times New Roman" w:cstheme="minorHAnsi"/>
          <w:lang w:val="es-ES" w:eastAsia="en-GB"/>
        </w:rPr>
        <w:t>particip</w:t>
      </w:r>
      <w:r w:rsidR="00D723FE" w:rsidRPr="006060F1">
        <w:rPr>
          <w:rFonts w:eastAsia="Times New Roman" w:cstheme="minorHAnsi"/>
          <w:lang w:val="es-ES" w:eastAsia="en-GB"/>
        </w:rPr>
        <w:t xml:space="preserve">ó en la </w:t>
      </w:r>
      <w:r w:rsidR="00F65492" w:rsidRPr="006060F1">
        <w:rPr>
          <w:rFonts w:eastAsia="Times New Roman" w:cstheme="minorHAnsi"/>
          <w:lang w:val="es-ES" w:eastAsia="en-GB"/>
        </w:rPr>
        <w:t>9</w:t>
      </w:r>
      <w:r w:rsidR="00D723FE" w:rsidRPr="006060F1">
        <w:rPr>
          <w:rFonts w:eastAsia="Times New Roman" w:cstheme="minorHAnsi"/>
          <w:lang w:val="es-ES" w:eastAsia="en-GB"/>
        </w:rPr>
        <w:t xml:space="preserve">ª sesión de la Reunión de las Partes </w:t>
      </w:r>
      <w:r w:rsidR="002C2AEB" w:rsidRPr="006060F1">
        <w:rPr>
          <w:rFonts w:eastAsia="Times New Roman" w:cstheme="minorHAnsi"/>
          <w:lang w:val="es-ES" w:eastAsia="en-GB"/>
        </w:rPr>
        <w:t xml:space="preserve">en </w:t>
      </w:r>
      <w:r w:rsidR="00FD087F" w:rsidRPr="006060F1">
        <w:rPr>
          <w:rFonts w:eastAsia="Times New Roman" w:cstheme="minorHAnsi"/>
          <w:lang w:val="es-ES" w:eastAsia="en-GB"/>
        </w:rPr>
        <w:t xml:space="preserve">el Convenio sobre el Agua de las Naciones Unidas </w:t>
      </w:r>
      <w:r w:rsidR="00D723FE" w:rsidRPr="006060F1">
        <w:rPr>
          <w:rFonts w:eastAsia="Times New Roman" w:cstheme="minorHAnsi"/>
          <w:lang w:val="es-ES" w:eastAsia="en-GB"/>
        </w:rPr>
        <w:t xml:space="preserve">del </w:t>
      </w:r>
      <w:r w:rsidR="00F65492" w:rsidRPr="006060F1">
        <w:rPr>
          <w:lang w:val="es-ES"/>
        </w:rPr>
        <w:t>29</w:t>
      </w:r>
      <w:r w:rsidR="00D723FE" w:rsidRPr="006060F1">
        <w:rPr>
          <w:lang w:val="es-ES"/>
        </w:rPr>
        <w:t xml:space="preserve"> de septiembre al </w:t>
      </w:r>
      <w:r w:rsidR="00F65492" w:rsidRPr="006060F1">
        <w:rPr>
          <w:lang w:val="es-ES"/>
        </w:rPr>
        <w:t xml:space="preserve">1 </w:t>
      </w:r>
      <w:r w:rsidR="00D723FE" w:rsidRPr="006060F1">
        <w:rPr>
          <w:lang w:val="es-ES"/>
        </w:rPr>
        <w:t xml:space="preserve">de octubre de </w:t>
      </w:r>
      <w:r w:rsidR="00F65492" w:rsidRPr="006060F1">
        <w:rPr>
          <w:lang w:val="es-ES"/>
        </w:rPr>
        <w:t xml:space="preserve">2021, </w:t>
      </w:r>
      <w:r w:rsidR="00D723FE" w:rsidRPr="006060F1">
        <w:rPr>
          <w:lang w:val="es-ES"/>
        </w:rPr>
        <w:t xml:space="preserve">tomando nota de las oportunidades </w:t>
      </w:r>
      <w:r w:rsidR="00FD087F" w:rsidRPr="006060F1">
        <w:rPr>
          <w:lang w:val="es-ES"/>
        </w:rPr>
        <w:t xml:space="preserve">de </w:t>
      </w:r>
      <w:r w:rsidR="00D723FE" w:rsidRPr="006060F1">
        <w:rPr>
          <w:lang w:val="es-ES"/>
        </w:rPr>
        <w:t xml:space="preserve">sinergias y la </w:t>
      </w:r>
      <w:r w:rsidR="006060F1" w:rsidRPr="006060F1">
        <w:rPr>
          <w:lang w:val="es-ES"/>
        </w:rPr>
        <w:t>cooperación</w:t>
      </w:r>
      <w:r w:rsidR="00D723FE" w:rsidRPr="006060F1">
        <w:rPr>
          <w:lang w:val="es-ES"/>
        </w:rPr>
        <w:t xml:space="preserve"> en cuencas hidrográficas con programas activos de cooperación transfronteriza, en particular </w:t>
      </w:r>
      <w:r w:rsidR="00FD087F" w:rsidRPr="006060F1">
        <w:rPr>
          <w:lang w:val="es-ES"/>
        </w:rPr>
        <w:t xml:space="preserve">las que están a cargo de </w:t>
      </w:r>
      <w:r w:rsidR="00D723FE" w:rsidRPr="006060F1">
        <w:rPr>
          <w:lang w:val="es-ES"/>
        </w:rPr>
        <w:t>iniciativas regionales de Ramsar centradas en las cuencas de</w:t>
      </w:r>
      <w:r w:rsidR="00FD087F" w:rsidRPr="006060F1">
        <w:rPr>
          <w:lang w:val="es-ES"/>
        </w:rPr>
        <w:t xml:space="preserve"> los ríos</w:t>
      </w:r>
      <w:r w:rsidR="00D723FE" w:rsidRPr="006060F1">
        <w:rPr>
          <w:lang w:val="es-ES"/>
        </w:rPr>
        <w:t xml:space="preserve"> Amazonas, </w:t>
      </w:r>
      <w:r w:rsidR="00F65492" w:rsidRPr="006060F1">
        <w:rPr>
          <w:lang w:val="es-ES"/>
        </w:rPr>
        <w:t>Plata, N</w:t>
      </w:r>
      <w:r w:rsidR="00FD087F" w:rsidRPr="006060F1">
        <w:rPr>
          <w:lang w:val="es-ES"/>
        </w:rPr>
        <w:t>í</w:t>
      </w:r>
      <w:r w:rsidR="00F65492" w:rsidRPr="006060F1">
        <w:rPr>
          <w:lang w:val="es-ES"/>
        </w:rPr>
        <w:t xml:space="preserve">ger </w:t>
      </w:r>
      <w:r w:rsidR="00FD087F" w:rsidRPr="006060F1">
        <w:rPr>
          <w:lang w:val="es-ES"/>
        </w:rPr>
        <w:t>y</w:t>
      </w:r>
      <w:r w:rsidR="00F65492" w:rsidRPr="006060F1">
        <w:rPr>
          <w:lang w:val="es-ES"/>
        </w:rPr>
        <w:t xml:space="preserve"> Senegal</w:t>
      </w:r>
      <w:r w:rsidR="00FD087F" w:rsidRPr="006060F1">
        <w:rPr>
          <w:lang w:val="es-ES"/>
        </w:rPr>
        <w:t xml:space="preserve">, </w:t>
      </w:r>
      <w:r w:rsidR="00D723FE" w:rsidRPr="006060F1">
        <w:rPr>
          <w:lang w:val="es-ES"/>
        </w:rPr>
        <w:t xml:space="preserve">África </w:t>
      </w:r>
      <w:r w:rsidR="007905B7">
        <w:rPr>
          <w:lang w:val="es-ES"/>
        </w:rPr>
        <w:t>C</w:t>
      </w:r>
      <w:r w:rsidR="00D723FE" w:rsidRPr="006060F1">
        <w:rPr>
          <w:lang w:val="es-ES"/>
        </w:rPr>
        <w:t xml:space="preserve">entral y Oriental, Asia Central y Asia </w:t>
      </w:r>
      <w:r w:rsidR="006060F1" w:rsidRPr="006060F1">
        <w:rPr>
          <w:lang w:val="es-ES"/>
        </w:rPr>
        <w:t>Occidental</w:t>
      </w:r>
      <w:r w:rsidR="00F65492" w:rsidRPr="006060F1">
        <w:rPr>
          <w:lang w:val="es-ES"/>
        </w:rPr>
        <w:t>.</w:t>
      </w:r>
    </w:p>
    <w:p w14:paraId="42E0FFDD" w14:textId="77777777" w:rsidR="00F65492" w:rsidRPr="006060F1" w:rsidRDefault="00F65492" w:rsidP="007D3790">
      <w:pPr>
        <w:tabs>
          <w:tab w:val="left" w:pos="426"/>
        </w:tabs>
        <w:spacing w:after="0" w:line="240" w:lineRule="auto"/>
        <w:ind w:left="425" w:hanging="425"/>
        <w:rPr>
          <w:rFonts w:eastAsia="Times New Roman" w:cstheme="minorHAnsi"/>
          <w:lang w:val="es-ES" w:eastAsia="en-GB"/>
        </w:rPr>
      </w:pPr>
    </w:p>
    <w:p w14:paraId="4BC97EF6" w14:textId="61E8BA2B" w:rsidR="00FB5F08" w:rsidRPr="006060F1" w:rsidRDefault="00FD087F" w:rsidP="007D3790">
      <w:pPr>
        <w:tabs>
          <w:tab w:val="left" w:pos="426"/>
        </w:tabs>
        <w:spacing w:after="0" w:line="240" w:lineRule="auto"/>
        <w:ind w:left="426" w:hanging="426"/>
        <w:rPr>
          <w:rFonts w:cstheme="minorHAnsi"/>
          <w:bCs/>
          <w:i/>
          <w:lang w:val="es-ES"/>
        </w:rPr>
      </w:pPr>
      <w:r w:rsidRPr="006060F1">
        <w:rPr>
          <w:rFonts w:cstheme="minorHAnsi"/>
          <w:bCs/>
          <w:i/>
          <w:lang w:val="es-ES"/>
        </w:rPr>
        <w:t xml:space="preserve">Convención Interamericana para la Protección y Conservación de las Tortugas Marinas </w:t>
      </w:r>
      <w:r w:rsidR="002E2FD5" w:rsidRPr="006060F1">
        <w:rPr>
          <w:rFonts w:cstheme="minorHAnsi"/>
          <w:bCs/>
          <w:i/>
          <w:lang w:val="es-ES"/>
        </w:rPr>
        <w:t>(IAC)</w:t>
      </w:r>
    </w:p>
    <w:p w14:paraId="711E3542" w14:textId="77777777" w:rsidR="002A7D94" w:rsidRPr="006060F1" w:rsidRDefault="002A7D94" w:rsidP="007D3790">
      <w:pPr>
        <w:tabs>
          <w:tab w:val="left" w:pos="426"/>
        </w:tabs>
        <w:spacing w:after="0" w:line="240" w:lineRule="auto"/>
        <w:ind w:left="426" w:hanging="426"/>
        <w:rPr>
          <w:rFonts w:cstheme="minorHAnsi"/>
          <w:i/>
          <w:lang w:val="es-ES"/>
        </w:rPr>
      </w:pPr>
    </w:p>
    <w:p w14:paraId="1C65FFD3" w14:textId="7627BAA2" w:rsidR="002E2FD5" w:rsidRPr="006060F1" w:rsidRDefault="0006611C" w:rsidP="007D3790">
      <w:pPr>
        <w:tabs>
          <w:tab w:val="left" w:pos="426"/>
        </w:tabs>
        <w:spacing w:after="0" w:line="240" w:lineRule="auto"/>
        <w:ind w:left="426" w:hanging="426"/>
        <w:rPr>
          <w:rFonts w:cstheme="minorHAnsi"/>
          <w:lang w:val="es-ES"/>
        </w:rPr>
      </w:pPr>
      <w:r w:rsidRPr="006060F1">
        <w:rPr>
          <w:rFonts w:cstheme="minorHAnsi"/>
          <w:lang w:val="es-ES"/>
        </w:rPr>
        <w:t>17</w:t>
      </w:r>
      <w:r w:rsidR="00981D9A" w:rsidRPr="006060F1">
        <w:rPr>
          <w:rFonts w:cstheme="minorHAnsi"/>
          <w:lang w:val="es-ES"/>
        </w:rPr>
        <w:t>.</w:t>
      </w:r>
      <w:r w:rsidR="00981D9A" w:rsidRPr="006060F1">
        <w:rPr>
          <w:rFonts w:cstheme="minorHAnsi"/>
          <w:lang w:val="es-ES"/>
        </w:rPr>
        <w:tab/>
      </w:r>
      <w:r w:rsidR="00D723FE" w:rsidRPr="006060F1">
        <w:rPr>
          <w:rFonts w:cstheme="minorHAnsi"/>
          <w:lang w:val="es-ES"/>
        </w:rPr>
        <w:t xml:space="preserve">En el marco del memorando de entendimiento firmado en </w:t>
      </w:r>
      <w:r w:rsidR="007B0336" w:rsidRPr="006060F1">
        <w:rPr>
          <w:rFonts w:cstheme="minorHAnsi"/>
          <w:lang w:val="es-ES"/>
        </w:rPr>
        <w:t xml:space="preserve">2020 </w:t>
      </w:r>
      <w:r w:rsidR="00D723FE" w:rsidRPr="006060F1">
        <w:rPr>
          <w:rFonts w:cstheme="minorHAnsi"/>
          <w:lang w:val="es-ES"/>
        </w:rPr>
        <w:t xml:space="preserve">por la Secretaría de la Convención sobre los Humedales y la Secretaría </w:t>
      </w:r>
      <w:r w:rsidR="002E2FD5" w:rsidRPr="006060F1">
        <w:rPr>
          <w:rFonts w:cstheme="minorHAnsi"/>
          <w:i/>
          <w:lang w:val="es-ES"/>
        </w:rPr>
        <w:t>pro tempore</w:t>
      </w:r>
      <w:r w:rsidR="002E2FD5" w:rsidRPr="006060F1">
        <w:rPr>
          <w:rFonts w:cstheme="minorHAnsi"/>
          <w:lang w:val="es-ES"/>
        </w:rPr>
        <w:t xml:space="preserve"> </w:t>
      </w:r>
      <w:r w:rsidR="00D723FE" w:rsidRPr="006060F1">
        <w:rPr>
          <w:rFonts w:cstheme="minorHAnsi"/>
          <w:lang w:val="es-ES"/>
        </w:rPr>
        <w:t xml:space="preserve">de la </w:t>
      </w:r>
      <w:r w:rsidR="00762D11" w:rsidRPr="006060F1">
        <w:rPr>
          <w:rFonts w:cstheme="minorHAnsi"/>
          <w:bCs/>
          <w:iCs/>
          <w:lang w:val="es-ES"/>
        </w:rPr>
        <w:t xml:space="preserve">Convención Interamericana para la Protección y Conservación de las Tortugas Marinas, se sigue </w:t>
      </w:r>
      <w:r w:rsidR="00D723FE" w:rsidRPr="006060F1">
        <w:rPr>
          <w:rFonts w:cstheme="minorHAnsi"/>
          <w:lang w:val="es-ES"/>
        </w:rPr>
        <w:t xml:space="preserve">intercambiando información sobre actividades y </w:t>
      </w:r>
      <w:r w:rsidR="006060F1" w:rsidRPr="006060F1">
        <w:rPr>
          <w:rFonts w:cstheme="minorHAnsi"/>
          <w:lang w:val="es-ES"/>
        </w:rPr>
        <w:t>materiales</w:t>
      </w:r>
      <w:r w:rsidR="00D723FE" w:rsidRPr="006060F1">
        <w:rPr>
          <w:rFonts w:cstheme="minorHAnsi"/>
          <w:lang w:val="es-ES"/>
        </w:rPr>
        <w:t xml:space="preserve"> pertinentes para </w:t>
      </w:r>
      <w:r w:rsidR="006060F1" w:rsidRPr="006060F1">
        <w:rPr>
          <w:rFonts w:cstheme="minorHAnsi"/>
          <w:lang w:val="es-ES"/>
        </w:rPr>
        <w:t>permitir</w:t>
      </w:r>
      <w:r w:rsidR="00D723FE" w:rsidRPr="006060F1">
        <w:rPr>
          <w:rFonts w:cstheme="minorHAnsi"/>
          <w:lang w:val="es-ES"/>
        </w:rPr>
        <w:t xml:space="preserve"> la </w:t>
      </w:r>
      <w:r w:rsidR="00762D11" w:rsidRPr="006060F1">
        <w:rPr>
          <w:rFonts w:cstheme="minorHAnsi"/>
          <w:lang w:val="es-ES"/>
        </w:rPr>
        <w:t>inclusión</w:t>
      </w:r>
      <w:r w:rsidR="00D723FE" w:rsidRPr="006060F1">
        <w:rPr>
          <w:rFonts w:cstheme="minorHAnsi"/>
          <w:lang w:val="es-ES"/>
        </w:rPr>
        <w:t xml:space="preserve"> de Humedales de Importancia Internacional que sean importantes para las tortugas marinas</w:t>
      </w:r>
      <w:r w:rsidR="007B0336" w:rsidRPr="006060F1">
        <w:rPr>
          <w:rFonts w:cstheme="minorHAnsi"/>
          <w:lang w:val="es-ES"/>
        </w:rPr>
        <w:t xml:space="preserve">. </w:t>
      </w:r>
    </w:p>
    <w:p w14:paraId="4FDE46C7" w14:textId="43C7FA9D" w:rsidR="008E4A4B" w:rsidRPr="006060F1" w:rsidRDefault="008E4A4B" w:rsidP="007D3790">
      <w:pPr>
        <w:spacing w:after="0" w:line="240" w:lineRule="auto"/>
        <w:jc w:val="both"/>
        <w:rPr>
          <w:rFonts w:cstheme="minorHAnsi"/>
          <w:lang w:val="es-ES"/>
        </w:rPr>
      </w:pPr>
    </w:p>
    <w:p w14:paraId="36B11B1E" w14:textId="77777777" w:rsidR="00762D11" w:rsidRPr="006060F1" w:rsidRDefault="00762D11" w:rsidP="007D3790">
      <w:pPr>
        <w:spacing w:after="0" w:line="240" w:lineRule="auto"/>
        <w:rPr>
          <w:rFonts w:cstheme="minorHAnsi"/>
          <w:b/>
          <w:bCs/>
          <w:lang w:val="es-ES"/>
        </w:rPr>
      </w:pPr>
      <w:r w:rsidRPr="006060F1">
        <w:rPr>
          <w:rFonts w:cstheme="minorHAnsi"/>
          <w:b/>
          <w:bCs/>
          <w:lang w:val="es-ES"/>
        </w:rPr>
        <w:t>Objetivos de Desarrollo Sostenible</w:t>
      </w:r>
    </w:p>
    <w:p w14:paraId="50EB1DD3" w14:textId="77777777" w:rsidR="00314513" w:rsidRDefault="00314513" w:rsidP="007D3790">
      <w:pPr>
        <w:suppressAutoHyphens/>
        <w:spacing w:after="0" w:line="240" w:lineRule="auto"/>
        <w:ind w:left="425" w:hanging="425"/>
        <w:rPr>
          <w:rFonts w:eastAsia="Times New Roman" w:cstheme="minorHAnsi"/>
          <w:lang w:val="es-ES" w:eastAsia="en-GB"/>
        </w:rPr>
      </w:pPr>
    </w:p>
    <w:p w14:paraId="40661680" w14:textId="3E2FF587" w:rsidR="009C2848" w:rsidRPr="006060F1" w:rsidRDefault="0006611C" w:rsidP="007D3790">
      <w:pPr>
        <w:suppressAutoHyphens/>
        <w:spacing w:after="0" w:line="240" w:lineRule="auto"/>
        <w:ind w:left="425" w:hanging="425"/>
        <w:rPr>
          <w:rFonts w:cstheme="minorHAnsi"/>
          <w:color w:val="FF0000"/>
          <w:lang w:val="es-ES"/>
        </w:rPr>
      </w:pPr>
      <w:r w:rsidRPr="006060F1">
        <w:rPr>
          <w:rFonts w:eastAsia="Times New Roman" w:cstheme="minorHAnsi"/>
          <w:lang w:val="es-ES" w:eastAsia="en-GB"/>
        </w:rPr>
        <w:t>18</w:t>
      </w:r>
      <w:r w:rsidR="009C2848" w:rsidRPr="006060F1">
        <w:rPr>
          <w:rFonts w:eastAsia="Times New Roman" w:cstheme="minorHAnsi"/>
          <w:lang w:val="es-ES" w:eastAsia="en-GB"/>
        </w:rPr>
        <w:t>.</w:t>
      </w:r>
      <w:r w:rsidR="009C2848" w:rsidRPr="006060F1">
        <w:rPr>
          <w:rFonts w:eastAsia="Times New Roman" w:cstheme="minorHAnsi"/>
          <w:lang w:val="es-ES" w:eastAsia="en-GB"/>
        </w:rPr>
        <w:tab/>
      </w:r>
      <w:r w:rsidR="00C42C0B" w:rsidRPr="006060F1">
        <w:rPr>
          <w:rFonts w:cstheme="minorHAnsi"/>
          <w:lang w:val="es-ES"/>
        </w:rPr>
        <w:t xml:space="preserve">En cumplimiento de la </w:t>
      </w:r>
      <w:r w:rsidR="00C42C0B" w:rsidRPr="006060F1">
        <w:rPr>
          <w:rFonts w:cstheme="minorHAnsi"/>
          <w:color w:val="000000" w:themeColor="text1"/>
          <w:lang w:val="es-ES"/>
        </w:rPr>
        <w:t xml:space="preserve">Decisión </w:t>
      </w:r>
      <w:r w:rsidR="00C42C0B" w:rsidRPr="006060F1">
        <w:rPr>
          <w:rFonts w:cstheme="minorHAnsi"/>
          <w:lang w:val="es-ES"/>
        </w:rPr>
        <w:t xml:space="preserve">SC53-17 y la Resolución XIII.7, la Secretaría sigue participando en el trabajo en curso sobre los Objetivos de Desarrollo Sostenible (ODS), por ejemplo, en las </w:t>
      </w:r>
      <w:r w:rsidR="00C42C0B" w:rsidRPr="00AC4F60">
        <w:rPr>
          <w:rFonts w:cstheme="minorHAnsi"/>
          <w:color w:val="000000" w:themeColor="text1"/>
          <w:lang w:val="es-ES"/>
        </w:rPr>
        <w:t>reuniones del Grupo Interinstitucional de Expertos sobre los Indicadores de los Objetivos de Desarrollo Sostenible (IAEG-ODS) como cocustodia del indicador 6.6.1 del ODS 6 (</w:t>
      </w:r>
      <w:r w:rsidR="0086101C" w:rsidRPr="00AC4F60">
        <w:rPr>
          <w:rFonts w:cstheme="minorHAnsi"/>
          <w:color w:val="000000" w:themeColor="text1"/>
          <w:lang w:val="es-ES"/>
        </w:rPr>
        <w:t xml:space="preserve">sobre el </w:t>
      </w:r>
      <w:r w:rsidR="0086101C" w:rsidRPr="006060F1">
        <w:rPr>
          <w:rFonts w:cstheme="minorHAnsi"/>
          <w:lang w:val="es-ES"/>
        </w:rPr>
        <w:t>cambio en la extensión de los ecosistemas relacionados con el agua</w:t>
      </w:r>
      <w:r w:rsidR="0065551F">
        <w:rPr>
          <w:rFonts w:cstheme="minorHAnsi"/>
          <w:lang w:val="es-ES"/>
        </w:rPr>
        <w:t xml:space="preserve"> en el tiempo</w:t>
      </w:r>
      <w:r w:rsidR="0086101C" w:rsidRPr="006060F1">
        <w:rPr>
          <w:rFonts w:cstheme="minorHAnsi"/>
          <w:lang w:val="es-ES"/>
        </w:rPr>
        <w:t>).</w:t>
      </w:r>
    </w:p>
    <w:p w14:paraId="2779FA34" w14:textId="77777777" w:rsidR="009C2848" w:rsidRPr="006060F1" w:rsidRDefault="009C2848" w:rsidP="007D3790">
      <w:pPr>
        <w:spacing w:after="0" w:line="240" w:lineRule="auto"/>
        <w:ind w:left="425" w:hanging="425"/>
        <w:jc w:val="both"/>
        <w:rPr>
          <w:rFonts w:eastAsia="Times New Roman" w:cstheme="minorHAnsi"/>
          <w:lang w:val="es-ES" w:eastAsia="en-GB"/>
        </w:rPr>
      </w:pPr>
    </w:p>
    <w:p w14:paraId="78A0BCF3" w14:textId="7CD1EA39" w:rsidR="00F133D9" w:rsidRPr="006060F1" w:rsidRDefault="0006611C" w:rsidP="007D3790">
      <w:pPr>
        <w:spacing w:after="0" w:line="240" w:lineRule="auto"/>
        <w:ind w:left="425" w:hanging="425"/>
        <w:rPr>
          <w:lang w:val="es-ES"/>
        </w:rPr>
      </w:pPr>
      <w:r w:rsidRPr="006060F1">
        <w:rPr>
          <w:rFonts w:eastAsia="Times New Roman" w:cstheme="minorHAnsi"/>
          <w:lang w:val="es-ES" w:eastAsia="en-GB"/>
        </w:rPr>
        <w:lastRenderedPageBreak/>
        <w:t>19</w:t>
      </w:r>
      <w:r w:rsidR="009C2848" w:rsidRPr="006060F1">
        <w:rPr>
          <w:rFonts w:eastAsia="Times New Roman" w:cstheme="minorHAnsi"/>
          <w:lang w:val="es-ES" w:eastAsia="en-GB"/>
        </w:rPr>
        <w:t>.</w:t>
      </w:r>
      <w:r w:rsidR="009C2848" w:rsidRPr="006060F1">
        <w:rPr>
          <w:rFonts w:eastAsia="Times New Roman" w:cstheme="minorHAnsi"/>
          <w:lang w:val="es-ES" w:eastAsia="en-GB"/>
        </w:rPr>
        <w:tab/>
      </w:r>
      <w:r w:rsidR="00B05D79" w:rsidRPr="00AC4F60">
        <w:rPr>
          <w:rFonts w:cstheme="minorHAnsi"/>
          <w:color w:val="000000" w:themeColor="text1"/>
          <w:lang w:val="es-ES"/>
        </w:rPr>
        <w:t xml:space="preserve">En este contexto, la Secretaría participó en la </w:t>
      </w:r>
      <w:r w:rsidR="00E7324F" w:rsidRPr="00AC4F60">
        <w:rPr>
          <w:rFonts w:cstheme="minorHAnsi"/>
          <w:color w:val="000000" w:themeColor="text1"/>
          <w:lang w:val="es-ES"/>
        </w:rPr>
        <w:t xml:space="preserve">12ª </w:t>
      </w:r>
      <w:r w:rsidR="00B05D79" w:rsidRPr="00AC4F60">
        <w:rPr>
          <w:rFonts w:cstheme="minorHAnsi"/>
          <w:color w:val="000000" w:themeColor="text1"/>
          <w:lang w:val="es-ES"/>
        </w:rPr>
        <w:t>reuni</w:t>
      </w:r>
      <w:r w:rsidR="00E7324F" w:rsidRPr="00AC4F60">
        <w:rPr>
          <w:rFonts w:cstheme="minorHAnsi"/>
          <w:color w:val="000000" w:themeColor="text1"/>
          <w:lang w:val="es-ES"/>
        </w:rPr>
        <w:t>ón</w:t>
      </w:r>
      <w:r w:rsidR="00B05D79" w:rsidRPr="00AC4F60">
        <w:rPr>
          <w:rFonts w:cstheme="minorHAnsi"/>
          <w:color w:val="000000" w:themeColor="text1"/>
          <w:lang w:val="es-ES"/>
        </w:rPr>
        <w:t xml:space="preserve"> del</w:t>
      </w:r>
      <w:r w:rsidR="00E7324F" w:rsidRPr="00AC4F60">
        <w:rPr>
          <w:rFonts w:eastAsia="Times New Roman"/>
          <w:color w:val="000000" w:themeColor="text1"/>
          <w:lang w:val="es-ES" w:eastAsia="en-GB"/>
        </w:rPr>
        <w:t xml:space="preserve"> </w:t>
      </w:r>
      <w:r w:rsidR="0086101C" w:rsidRPr="00AC4F60">
        <w:rPr>
          <w:rFonts w:cstheme="minorHAnsi"/>
          <w:color w:val="000000" w:themeColor="text1"/>
          <w:lang w:val="es-ES"/>
        </w:rPr>
        <w:t>Grupo Interinstitucional de Expertos sobre los Indicadores de los Objetivos de Desarrollo Sostenible (IAEG-ODS)</w:t>
      </w:r>
      <w:r w:rsidR="00B05D79" w:rsidRPr="00AC4F60">
        <w:rPr>
          <w:rFonts w:cstheme="minorHAnsi"/>
          <w:color w:val="000000" w:themeColor="text1"/>
          <w:lang w:val="es-ES"/>
        </w:rPr>
        <w:t>, que tuv</w:t>
      </w:r>
      <w:r w:rsidR="00AC4F60">
        <w:rPr>
          <w:rFonts w:cstheme="minorHAnsi"/>
          <w:color w:val="000000" w:themeColor="text1"/>
          <w:lang w:val="es-ES"/>
        </w:rPr>
        <w:t xml:space="preserve">o </w:t>
      </w:r>
      <w:r w:rsidR="00B05D79" w:rsidRPr="00AC4F60">
        <w:rPr>
          <w:rFonts w:cstheme="minorHAnsi"/>
          <w:color w:val="000000" w:themeColor="text1"/>
          <w:lang w:val="es-ES"/>
        </w:rPr>
        <w:t xml:space="preserve">lugar </w:t>
      </w:r>
      <w:r w:rsidR="00E7324F" w:rsidRPr="00AC4F60">
        <w:rPr>
          <w:rFonts w:cstheme="minorHAnsi"/>
          <w:color w:val="000000" w:themeColor="text1"/>
          <w:lang w:val="es-ES"/>
        </w:rPr>
        <w:t xml:space="preserve">de forma virtual </w:t>
      </w:r>
      <w:r w:rsidR="00B05D79" w:rsidRPr="00AC4F60">
        <w:rPr>
          <w:rFonts w:cstheme="minorHAnsi"/>
          <w:color w:val="000000" w:themeColor="text1"/>
          <w:lang w:val="es-ES"/>
        </w:rPr>
        <w:t>del 2</w:t>
      </w:r>
      <w:r w:rsidR="00E7324F" w:rsidRPr="00AC4F60">
        <w:rPr>
          <w:rFonts w:cstheme="minorHAnsi"/>
          <w:color w:val="000000" w:themeColor="text1"/>
          <w:lang w:val="es-ES"/>
        </w:rPr>
        <w:t xml:space="preserve"> </w:t>
      </w:r>
      <w:r w:rsidR="00B05D79" w:rsidRPr="00AC4F60">
        <w:rPr>
          <w:rFonts w:cstheme="minorHAnsi"/>
          <w:color w:val="000000" w:themeColor="text1"/>
          <w:lang w:val="es-ES"/>
        </w:rPr>
        <w:t xml:space="preserve">al </w:t>
      </w:r>
      <w:r w:rsidR="00E7324F" w:rsidRPr="00AC4F60">
        <w:rPr>
          <w:rFonts w:cstheme="minorHAnsi"/>
          <w:color w:val="000000" w:themeColor="text1"/>
          <w:lang w:val="es-ES"/>
        </w:rPr>
        <w:t xml:space="preserve">4 de noviembre </w:t>
      </w:r>
      <w:r w:rsidR="00B05D79" w:rsidRPr="00AC4F60">
        <w:rPr>
          <w:rFonts w:cstheme="minorHAnsi"/>
          <w:color w:val="000000" w:themeColor="text1"/>
          <w:lang w:val="es-ES"/>
        </w:rPr>
        <w:t xml:space="preserve">de </w:t>
      </w:r>
      <w:r w:rsidR="00E7324F" w:rsidRPr="00AC4F60">
        <w:rPr>
          <w:rFonts w:cstheme="minorHAnsi"/>
          <w:color w:val="000000" w:themeColor="text1"/>
          <w:lang w:val="es-ES"/>
        </w:rPr>
        <w:t xml:space="preserve">2021. Los principales resultados de esta reunión fueron: </w:t>
      </w:r>
      <w:r w:rsidR="00F133D9" w:rsidRPr="00AC4F60">
        <w:rPr>
          <w:rFonts w:cstheme="minorHAnsi"/>
          <w:color w:val="000000" w:themeColor="text1"/>
          <w:lang w:val="es-ES"/>
        </w:rPr>
        <w:t>1) examen y actualización de la clasificación de</w:t>
      </w:r>
      <w:r w:rsidR="0086101C" w:rsidRPr="00AC4F60">
        <w:rPr>
          <w:rFonts w:cstheme="minorHAnsi"/>
          <w:color w:val="000000" w:themeColor="text1"/>
          <w:lang w:val="es-ES"/>
        </w:rPr>
        <w:t xml:space="preserve"> los</w:t>
      </w:r>
      <w:r w:rsidR="00F133D9" w:rsidRPr="00AC4F60">
        <w:rPr>
          <w:rFonts w:cstheme="minorHAnsi"/>
          <w:color w:val="000000" w:themeColor="text1"/>
          <w:lang w:val="es-ES"/>
        </w:rPr>
        <w:t xml:space="preserve"> indicadores</w:t>
      </w:r>
      <w:r w:rsidR="0086101C" w:rsidRPr="00AC4F60">
        <w:rPr>
          <w:rFonts w:cstheme="minorHAnsi"/>
          <w:color w:val="000000" w:themeColor="text1"/>
          <w:lang w:val="es-ES"/>
        </w:rPr>
        <w:t xml:space="preserve"> en niveles</w:t>
      </w:r>
      <w:r w:rsidR="00AC4F60">
        <w:rPr>
          <w:rFonts w:cstheme="minorHAnsi"/>
          <w:color w:val="000000" w:themeColor="text1"/>
          <w:lang w:val="es-ES"/>
        </w:rPr>
        <w:t>,</w:t>
      </w:r>
      <w:r w:rsidR="0086101C" w:rsidRPr="00AC4F60">
        <w:rPr>
          <w:rFonts w:cstheme="minorHAnsi"/>
          <w:color w:val="000000" w:themeColor="text1"/>
          <w:lang w:val="es-ES"/>
        </w:rPr>
        <w:t xml:space="preserve"> </w:t>
      </w:r>
      <w:r w:rsidR="00F133D9" w:rsidRPr="00AC4F60">
        <w:rPr>
          <w:color w:val="000000" w:themeColor="text1"/>
          <w:lang w:val="es-ES"/>
        </w:rPr>
        <w:t xml:space="preserve">ii) </w:t>
      </w:r>
      <w:r w:rsidR="0086101C" w:rsidRPr="00AC4F60">
        <w:rPr>
          <w:color w:val="000000" w:themeColor="text1"/>
          <w:lang w:val="es-ES"/>
        </w:rPr>
        <w:t xml:space="preserve">examen de las propuestas de perfeccionamiento del marco mundial de los ODS, </w:t>
      </w:r>
      <w:r w:rsidR="00F133D9" w:rsidRPr="00AC4F60">
        <w:rPr>
          <w:color w:val="000000" w:themeColor="text1"/>
          <w:lang w:val="es-ES"/>
        </w:rPr>
        <w:t xml:space="preserve">iii) </w:t>
      </w:r>
      <w:r w:rsidR="0086101C" w:rsidRPr="00AC4F60">
        <w:rPr>
          <w:color w:val="000000" w:themeColor="text1"/>
          <w:lang w:val="es-ES"/>
        </w:rPr>
        <w:t xml:space="preserve">debate sobre el trabajo </w:t>
      </w:r>
      <w:r w:rsidR="0086101C" w:rsidRPr="006060F1">
        <w:rPr>
          <w:lang w:val="es-ES"/>
        </w:rPr>
        <w:t xml:space="preserve">del subgrupo del </w:t>
      </w:r>
      <w:r w:rsidR="00F133D9" w:rsidRPr="006060F1">
        <w:rPr>
          <w:lang w:val="es-ES"/>
        </w:rPr>
        <w:t>IAEG-</w:t>
      </w:r>
      <w:r w:rsidR="0086101C" w:rsidRPr="006060F1">
        <w:rPr>
          <w:lang w:val="es-ES"/>
        </w:rPr>
        <w:t xml:space="preserve">ODS sobre el examen de los metadatos, iv) examen de la labor de los grupo de trabajo del IAEG-ODS, v) </w:t>
      </w:r>
      <w:r w:rsidR="002572F2" w:rsidRPr="006060F1">
        <w:rPr>
          <w:lang w:val="es-ES"/>
        </w:rPr>
        <w:t>intercambio de buenas prácticas sobre aplicación, seguimiento e informes sobre los ODS, incluidos los informes nacionales, regionales y mundiales sobre los ODS y vi) examen del plan de trabajo y los próximos pasos del IAEG-ODS</w:t>
      </w:r>
      <w:r w:rsidR="00F133D9" w:rsidRPr="006060F1">
        <w:rPr>
          <w:lang w:val="es-ES"/>
        </w:rPr>
        <w:t>.</w:t>
      </w:r>
    </w:p>
    <w:p w14:paraId="50AF2FB2" w14:textId="77777777" w:rsidR="00F133D9" w:rsidRPr="006060F1" w:rsidRDefault="00F133D9" w:rsidP="007D3790">
      <w:pPr>
        <w:spacing w:after="0" w:line="240" w:lineRule="auto"/>
        <w:ind w:left="425" w:hanging="425"/>
        <w:rPr>
          <w:lang w:val="es-ES"/>
        </w:rPr>
      </w:pPr>
    </w:p>
    <w:p w14:paraId="3EAF7836" w14:textId="4FC38F78" w:rsidR="001052EE" w:rsidRPr="006060F1" w:rsidRDefault="0006611C" w:rsidP="007D3790">
      <w:pPr>
        <w:spacing w:after="0" w:line="240" w:lineRule="auto"/>
        <w:ind w:left="426" w:hanging="426"/>
        <w:rPr>
          <w:lang w:val="es-ES"/>
        </w:rPr>
      </w:pPr>
      <w:r w:rsidRPr="006060F1">
        <w:rPr>
          <w:lang w:val="es-ES"/>
        </w:rPr>
        <w:t xml:space="preserve">20.   </w:t>
      </w:r>
      <w:r w:rsidR="002572F2" w:rsidRPr="006060F1">
        <w:rPr>
          <w:lang w:val="es-ES"/>
        </w:rPr>
        <w:t>Al igual que ocurrió con el Foro Político de Alto Nivel sobre el Desarrollo Sostenible</w:t>
      </w:r>
      <w:r w:rsidR="00CC352B" w:rsidRPr="006060F1">
        <w:rPr>
          <w:lang w:val="es-ES"/>
        </w:rPr>
        <w:t xml:space="preserve"> 2021,</w:t>
      </w:r>
      <w:r w:rsidR="002572F2" w:rsidRPr="006060F1">
        <w:rPr>
          <w:lang w:val="es-ES"/>
        </w:rPr>
        <w:t xml:space="preserve"> la Secretaría está preparando una línea argumental conjunta con el PNUMA para el </w:t>
      </w:r>
      <w:r w:rsidR="004E2A67" w:rsidRPr="006060F1">
        <w:rPr>
          <w:lang w:val="es-ES"/>
        </w:rPr>
        <w:t>informe</w:t>
      </w:r>
      <w:r w:rsidR="002572F2" w:rsidRPr="006060F1">
        <w:rPr>
          <w:lang w:val="es-ES"/>
        </w:rPr>
        <w:t xml:space="preserve"> del Secretario General de las Naciones Unidas al Foro Político de Alto Nivel en julio de 2022. La secretaría también sigue colaborando con ONU Agua sobre el programa de trabajo para el ODS </w:t>
      </w:r>
      <w:r w:rsidR="00CC352B" w:rsidRPr="006060F1">
        <w:rPr>
          <w:lang w:val="es-ES"/>
        </w:rPr>
        <w:t xml:space="preserve"> 6</w:t>
      </w:r>
      <w:r w:rsidR="00085324" w:rsidRPr="006060F1">
        <w:rPr>
          <w:lang w:val="es-ES"/>
        </w:rPr>
        <w:t xml:space="preserve">. </w:t>
      </w:r>
    </w:p>
    <w:p w14:paraId="0BA8EE24" w14:textId="77777777" w:rsidR="001052EE" w:rsidRPr="006060F1" w:rsidRDefault="001052EE" w:rsidP="007D3790">
      <w:pPr>
        <w:spacing w:after="0" w:line="240" w:lineRule="auto"/>
        <w:ind w:left="425"/>
        <w:rPr>
          <w:lang w:val="es-ES"/>
        </w:rPr>
      </w:pPr>
    </w:p>
    <w:p w14:paraId="27ED9274" w14:textId="46A952EB" w:rsidR="00E33BA8" w:rsidRPr="006060F1" w:rsidRDefault="0006611C" w:rsidP="007D3790">
      <w:pPr>
        <w:spacing w:after="0" w:line="240" w:lineRule="auto"/>
        <w:ind w:left="425" w:hanging="425"/>
        <w:rPr>
          <w:rFonts w:eastAsia="Times New Roman" w:cstheme="minorHAnsi"/>
          <w:lang w:val="es-ES" w:eastAsia="en-GB"/>
        </w:rPr>
      </w:pPr>
      <w:r w:rsidRPr="006060F1">
        <w:rPr>
          <w:rFonts w:cstheme="minorHAnsi"/>
          <w:lang w:val="es-ES"/>
        </w:rPr>
        <w:t>21.</w:t>
      </w:r>
      <w:r w:rsidRPr="006060F1">
        <w:rPr>
          <w:rFonts w:cstheme="minorHAnsi"/>
          <w:lang w:val="es-ES"/>
        </w:rPr>
        <w:tab/>
      </w:r>
      <w:r w:rsidR="002572F2" w:rsidRPr="006060F1">
        <w:rPr>
          <w:rFonts w:cstheme="minorHAnsi"/>
          <w:lang w:val="es-ES"/>
        </w:rPr>
        <w:t xml:space="preserve">De conformidad con la Resolución </w:t>
      </w:r>
      <w:r w:rsidR="001052EE" w:rsidRPr="006060F1">
        <w:rPr>
          <w:rFonts w:cstheme="minorHAnsi"/>
          <w:lang w:val="es-ES"/>
        </w:rPr>
        <w:t xml:space="preserve">XIII.7 </w:t>
      </w:r>
      <w:r w:rsidR="002572F2" w:rsidRPr="006060F1">
        <w:rPr>
          <w:rFonts w:cstheme="minorHAnsi"/>
          <w:lang w:val="es-ES"/>
        </w:rPr>
        <w:t xml:space="preserve">y la Decisión </w:t>
      </w:r>
      <w:r w:rsidR="001052EE" w:rsidRPr="006060F1">
        <w:rPr>
          <w:rFonts w:cstheme="minorHAnsi"/>
          <w:lang w:val="es-ES"/>
        </w:rPr>
        <w:t xml:space="preserve">SC57-47 </w:t>
      </w:r>
      <w:r w:rsidR="002572F2" w:rsidRPr="006060F1">
        <w:rPr>
          <w:rFonts w:cstheme="minorHAnsi"/>
          <w:lang w:val="es-ES"/>
        </w:rPr>
        <w:t xml:space="preserve">sobre los inventarios de humedales, la Secretaría sigue trabajando con las Partes </w:t>
      </w:r>
      <w:r w:rsidR="004E2A67" w:rsidRPr="006060F1">
        <w:rPr>
          <w:rFonts w:cstheme="minorHAnsi"/>
          <w:lang w:val="es-ES"/>
        </w:rPr>
        <w:t>Contratantes</w:t>
      </w:r>
      <w:r w:rsidR="002572F2" w:rsidRPr="006060F1">
        <w:rPr>
          <w:rFonts w:cstheme="minorHAnsi"/>
          <w:lang w:val="es-ES"/>
        </w:rPr>
        <w:t xml:space="preserve"> para finalizar y perfeccionar </w:t>
      </w:r>
      <w:r w:rsidR="004F22C7" w:rsidRPr="006060F1">
        <w:rPr>
          <w:rFonts w:cstheme="minorHAnsi"/>
          <w:lang w:val="es-ES"/>
        </w:rPr>
        <w:t xml:space="preserve">la información sobre la extensión de los </w:t>
      </w:r>
      <w:r w:rsidR="004E2A67" w:rsidRPr="006060F1">
        <w:rPr>
          <w:rFonts w:cstheme="minorHAnsi"/>
          <w:lang w:val="es-ES"/>
        </w:rPr>
        <w:t>humedales</w:t>
      </w:r>
      <w:r w:rsidR="004F22C7" w:rsidRPr="006060F1">
        <w:rPr>
          <w:rFonts w:cstheme="minorHAnsi"/>
          <w:lang w:val="es-ES"/>
        </w:rPr>
        <w:t xml:space="preserve"> que se </w:t>
      </w:r>
      <w:r w:rsidR="004E2A67" w:rsidRPr="006060F1">
        <w:rPr>
          <w:rFonts w:cstheme="minorHAnsi"/>
          <w:lang w:val="es-ES"/>
        </w:rPr>
        <w:t>presentó</w:t>
      </w:r>
      <w:r w:rsidR="004F22C7" w:rsidRPr="006060F1">
        <w:rPr>
          <w:rFonts w:cstheme="minorHAnsi"/>
          <w:lang w:val="es-ES"/>
        </w:rPr>
        <w:t xml:space="preserve"> en los informes nacionales. Se están haciendo más esfuerzos para </w:t>
      </w:r>
      <w:r w:rsidR="004E2A67" w:rsidRPr="006060F1">
        <w:rPr>
          <w:rFonts w:cstheme="minorHAnsi"/>
          <w:lang w:val="es-ES"/>
        </w:rPr>
        <w:t>ayudar</w:t>
      </w:r>
      <w:r w:rsidR="004F22C7" w:rsidRPr="006060F1">
        <w:rPr>
          <w:rFonts w:cstheme="minorHAnsi"/>
          <w:lang w:val="es-ES"/>
        </w:rPr>
        <w:t xml:space="preserve"> a las Partes Contratantes a elaborar inventarios de humedales y recopilar datos que faltan sobre la extensión de los humedales para informar sobre el indicador </w:t>
      </w:r>
      <w:r w:rsidR="001052EE" w:rsidRPr="006060F1">
        <w:rPr>
          <w:rFonts w:cstheme="minorHAnsi"/>
          <w:lang w:val="es-ES"/>
        </w:rPr>
        <w:t>6.6.1</w:t>
      </w:r>
      <w:r w:rsidR="004F22C7" w:rsidRPr="006060F1">
        <w:rPr>
          <w:rFonts w:cstheme="minorHAnsi"/>
          <w:lang w:val="es-ES"/>
        </w:rPr>
        <w:t xml:space="preserve"> del ODS 6. En este sentido, </w:t>
      </w:r>
      <w:r w:rsidR="004F22C7" w:rsidRPr="006060F1">
        <w:rPr>
          <w:rFonts w:eastAsia="Times New Roman" w:cstheme="minorHAnsi"/>
          <w:lang w:val="es-ES" w:eastAsia="en-GB"/>
        </w:rPr>
        <w:t>se incluye una descripción detallada de los avances en l</w:t>
      </w:r>
      <w:r w:rsidR="006D7B92" w:rsidRPr="006060F1">
        <w:rPr>
          <w:rFonts w:eastAsia="Times New Roman" w:cstheme="minorHAnsi"/>
          <w:lang w:val="es-ES" w:eastAsia="en-GB"/>
        </w:rPr>
        <w:t xml:space="preserve">a acción </w:t>
      </w:r>
      <w:r w:rsidR="004F22C7" w:rsidRPr="006060F1">
        <w:rPr>
          <w:rFonts w:eastAsia="Times New Roman" w:cstheme="minorHAnsi"/>
          <w:lang w:val="es-ES" w:eastAsia="en-GB"/>
        </w:rPr>
        <w:t xml:space="preserve">para </w:t>
      </w:r>
      <w:r w:rsidR="006D7B92" w:rsidRPr="006060F1">
        <w:rPr>
          <w:rFonts w:eastAsia="Times New Roman" w:cstheme="minorHAnsi"/>
          <w:lang w:val="es-ES" w:eastAsia="en-GB"/>
        </w:rPr>
        <w:t>acelerar el cumplimiento de los ODS “</w:t>
      </w:r>
      <w:r w:rsidR="006D7B92" w:rsidRPr="006060F1">
        <w:rPr>
          <w:rFonts w:cstheme="minorHAnsi"/>
          <w:lang w:val="es-ES"/>
        </w:rPr>
        <w:t>Inventarios de humedales para ayudar a las Partes Contratantes a alcanzar el indicador 6.6.1</w:t>
      </w:r>
      <w:r w:rsidR="009C2848" w:rsidRPr="006060F1">
        <w:rPr>
          <w:rFonts w:eastAsia="Times New Roman" w:cstheme="minorHAnsi"/>
          <w:lang w:val="es-ES" w:eastAsia="en-GB"/>
        </w:rPr>
        <w:t xml:space="preserve">” </w:t>
      </w:r>
      <w:r w:rsidR="004F22C7" w:rsidRPr="006060F1">
        <w:rPr>
          <w:rFonts w:eastAsia="Times New Roman" w:cstheme="minorHAnsi"/>
          <w:lang w:val="es-ES" w:eastAsia="en-GB"/>
        </w:rPr>
        <w:t>e</w:t>
      </w:r>
      <w:r w:rsidR="006D7B92" w:rsidRPr="006060F1">
        <w:rPr>
          <w:rFonts w:eastAsia="Times New Roman" w:cstheme="minorHAnsi"/>
          <w:lang w:val="es-ES" w:eastAsia="en-GB"/>
        </w:rPr>
        <w:t xml:space="preserve">n </w:t>
      </w:r>
      <w:r w:rsidR="004F22C7" w:rsidRPr="006060F1">
        <w:rPr>
          <w:rFonts w:eastAsia="Times New Roman" w:cstheme="minorHAnsi"/>
          <w:lang w:val="es-ES" w:eastAsia="en-GB"/>
        </w:rPr>
        <w:t xml:space="preserve">el marco del ODS </w:t>
      </w:r>
      <w:r w:rsidR="009C2848" w:rsidRPr="006060F1">
        <w:rPr>
          <w:rFonts w:eastAsia="Times New Roman" w:cstheme="minorHAnsi"/>
          <w:lang w:val="es-ES" w:eastAsia="en-GB"/>
        </w:rPr>
        <w:t>6</w:t>
      </w:r>
      <w:r w:rsidR="006D7B92" w:rsidRPr="006060F1">
        <w:rPr>
          <w:rFonts w:eastAsia="Times New Roman" w:cstheme="minorHAnsi"/>
          <w:lang w:val="es-ES" w:eastAsia="en-GB"/>
        </w:rPr>
        <w:t>,</w:t>
      </w:r>
      <w:r w:rsidR="009C2848" w:rsidRPr="006060F1">
        <w:rPr>
          <w:rFonts w:eastAsia="Times New Roman" w:cstheme="minorHAnsi"/>
          <w:lang w:val="es-ES" w:eastAsia="en-GB"/>
        </w:rPr>
        <w:t xml:space="preserve"> “</w:t>
      </w:r>
      <w:r w:rsidR="004F22C7" w:rsidRPr="006060F1">
        <w:rPr>
          <w:rFonts w:eastAsia="Times New Roman" w:cstheme="minorHAnsi"/>
          <w:lang w:val="es-ES" w:eastAsia="en-GB"/>
        </w:rPr>
        <w:t>Agua</w:t>
      </w:r>
      <w:r w:rsidR="006D7B92" w:rsidRPr="006060F1">
        <w:rPr>
          <w:rFonts w:eastAsia="Times New Roman" w:cstheme="minorHAnsi"/>
          <w:lang w:val="es-ES" w:eastAsia="en-GB"/>
        </w:rPr>
        <w:t xml:space="preserve"> limpia</w:t>
      </w:r>
      <w:r w:rsidR="004F22C7" w:rsidRPr="006060F1">
        <w:rPr>
          <w:rFonts w:eastAsia="Times New Roman" w:cstheme="minorHAnsi"/>
          <w:lang w:val="es-ES" w:eastAsia="en-GB"/>
        </w:rPr>
        <w:t xml:space="preserve"> y saneamiento”</w:t>
      </w:r>
      <w:r w:rsidR="006D7B92" w:rsidRPr="006060F1">
        <w:rPr>
          <w:rFonts w:eastAsia="Times New Roman" w:cstheme="minorHAnsi"/>
          <w:lang w:val="es-ES" w:eastAsia="en-GB"/>
        </w:rPr>
        <w:t xml:space="preserve"> </w:t>
      </w:r>
      <w:r w:rsidR="006D7B92" w:rsidRPr="006060F1">
        <w:rPr>
          <w:rFonts w:cstheme="minorHAnsi"/>
          <w:lang w:val="es-ES"/>
        </w:rPr>
        <w:t xml:space="preserve">en los </w:t>
      </w:r>
      <w:r w:rsidR="004E2A67" w:rsidRPr="006060F1">
        <w:rPr>
          <w:rFonts w:cstheme="minorHAnsi"/>
          <w:lang w:val="es-ES"/>
        </w:rPr>
        <w:t>documentos</w:t>
      </w:r>
      <w:r w:rsidR="006D7B92" w:rsidRPr="006060F1">
        <w:rPr>
          <w:rFonts w:cstheme="minorHAnsi"/>
          <w:lang w:val="es-ES"/>
        </w:rPr>
        <w:t xml:space="preserve"> </w:t>
      </w:r>
      <w:r w:rsidR="006D7B92" w:rsidRPr="006060F1">
        <w:rPr>
          <w:rFonts w:eastAsia="Times New Roman" w:cstheme="minorHAnsi"/>
          <w:lang w:val="es-ES" w:eastAsia="en-GB"/>
        </w:rPr>
        <w:t>SC58</w:t>
      </w:r>
      <w:r w:rsidR="0065551F">
        <w:rPr>
          <w:rFonts w:eastAsia="Times New Roman" w:cstheme="minorHAnsi"/>
          <w:lang w:val="es-ES" w:eastAsia="en-GB"/>
        </w:rPr>
        <w:t xml:space="preserve"> Doc</w:t>
      </w:r>
      <w:r w:rsidR="006D7B92" w:rsidRPr="006060F1">
        <w:rPr>
          <w:rFonts w:eastAsia="Times New Roman" w:cstheme="minorHAnsi"/>
          <w:lang w:val="es-ES" w:eastAsia="en-GB"/>
        </w:rPr>
        <w:t>9 y SC59</w:t>
      </w:r>
      <w:r w:rsidR="0065551F">
        <w:rPr>
          <w:rFonts w:eastAsia="Times New Roman" w:cstheme="minorHAnsi"/>
          <w:lang w:val="es-ES" w:eastAsia="en-GB"/>
        </w:rPr>
        <w:t xml:space="preserve"> Doc</w:t>
      </w:r>
      <w:r w:rsidR="006D7B92" w:rsidRPr="006060F1">
        <w:rPr>
          <w:rFonts w:eastAsia="Times New Roman" w:cstheme="minorHAnsi"/>
          <w:lang w:val="es-ES" w:eastAsia="en-GB"/>
        </w:rPr>
        <w:t xml:space="preserve">9, que no se trataron en la reunión SC59 en junio de 2021, y en la página dedicada a dichas </w:t>
      </w:r>
      <w:r w:rsidR="004E2A67" w:rsidRPr="006060F1">
        <w:rPr>
          <w:rFonts w:eastAsia="Times New Roman" w:cstheme="minorHAnsi"/>
          <w:lang w:val="es-ES" w:eastAsia="en-GB"/>
        </w:rPr>
        <w:t>acciones</w:t>
      </w:r>
      <w:r w:rsidR="006D7B92" w:rsidRPr="006060F1">
        <w:rPr>
          <w:rFonts w:eastAsia="Times New Roman" w:cstheme="minorHAnsi"/>
          <w:lang w:val="es-ES" w:eastAsia="en-GB"/>
        </w:rPr>
        <w:t xml:space="preserve"> de la Plataforma de Conocimiento de los ODS</w:t>
      </w:r>
      <w:r w:rsidR="009C2848" w:rsidRPr="006060F1">
        <w:rPr>
          <w:rFonts w:eastAsia="Times New Roman" w:cstheme="minorHAnsi"/>
          <w:vertAlign w:val="superscript"/>
          <w:lang w:val="es-ES" w:eastAsia="en-GB"/>
        </w:rPr>
        <w:footnoteReference w:id="4"/>
      </w:r>
      <w:r w:rsidRPr="006060F1">
        <w:rPr>
          <w:rFonts w:eastAsia="Times New Roman" w:cstheme="minorHAnsi"/>
          <w:lang w:val="es-ES" w:eastAsia="en-GB"/>
        </w:rPr>
        <w:t>.</w:t>
      </w:r>
    </w:p>
    <w:p w14:paraId="601832F2" w14:textId="77777777" w:rsidR="00AC19F6" w:rsidRPr="006060F1" w:rsidRDefault="00AC19F6" w:rsidP="007D3790">
      <w:pPr>
        <w:spacing w:after="0" w:line="240" w:lineRule="auto"/>
        <w:ind w:left="425" w:hanging="425"/>
        <w:jc w:val="both"/>
        <w:rPr>
          <w:rFonts w:eastAsia="Times New Roman" w:cstheme="minorHAnsi"/>
          <w:lang w:val="es-ES" w:eastAsia="en-GB"/>
        </w:rPr>
      </w:pPr>
    </w:p>
    <w:p w14:paraId="7A616540" w14:textId="5BFEBF01" w:rsidR="00B4567C" w:rsidRPr="006060F1" w:rsidRDefault="009C2848" w:rsidP="007D3790">
      <w:pPr>
        <w:tabs>
          <w:tab w:val="left" w:pos="426"/>
        </w:tabs>
        <w:suppressAutoHyphens/>
        <w:spacing w:after="0" w:line="240" w:lineRule="auto"/>
        <w:ind w:left="426" w:hanging="426"/>
        <w:rPr>
          <w:rFonts w:eastAsia="Times New Roman" w:cstheme="minorHAnsi"/>
          <w:lang w:val="es-ES" w:eastAsia="en-GB"/>
        </w:rPr>
      </w:pPr>
      <w:r w:rsidRPr="006060F1">
        <w:rPr>
          <w:rFonts w:eastAsia="Times New Roman" w:cstheme="minorHAnsi"/>
          <w:lang w:val="es-ES" w:eastAsia="en-GB"/>
        </w:rPr>
        <w:t>2</w:t>
      </w:r>
      <w:r w:rsidR="0006611C" w:rsidRPr="006060F1">
        <w:rPr>
          <w:rFonts w:eastAsia="Times New Roman" w:cstheme="minorHAnsi"/>
          <w:lang w:val="es-ES" w:eastAsia="en-GB"/>
        </w:rPr>
        <w:t>2</w:t>
      </w:r>
      <w:r w:rsidRPr="006060F1">
        <w:rPr>
          <w:rFonts w:eastAsia="Times New Roman" w:cstheme="minorHAnsi"/>
          <w:lang w:val="es-ES" w:eastAsia="en-GB"/>
        </w:rPr>
        <w:t>.</w:t>
      </w:r>
      <w:r w:rsidRPr="006060F1">
        <w:rPr>
          <w:rFonts w:eastAsia="Times New Roman" w:cstheme="minorHAnsi"/>
          <w:lang w:val="es-ES" w:eastAsia="en-GB"/>
        </w:rPr>
        <w:tab/>
      </w:r>
      <w:r w:rsidR="006D7B92" w:rsidRPr="006060F1">
        <w:rPr>
          <w:rFonts w:cstheme="minorHAnsi"/>
          <w:lang w:val="es-ES"/>
        </w:rPr>
        <w:t xml:space="preserve">En lo que respecta al logro del ODS 14, “Conservar y utilizar en forma sostenible los océanos, los mares y los recursos marinos para el desarrollo sostenible”, como se señaló en </w:t>
      </w:r>
      <w:r w:rsidR="004E2A67" w:rsidRPr="006060F1">
        <w:rPr>
          <w:rFonts w:cstheme="minorHAnsi"/>
          <w:lang w:val="es-ES"/>
        </w:rPr>
        <w:t>informes</w:t>
      </w:r>
      <w:r w:rsidR="006D7B92" w:rsidRPr="006060F1">
        <w:rPr>
          <w:rFonts w:cstheme="minorHAnsi"/>
          <w:lang w:val="es-ES"/>
        </w:rPr>
        <w:t xml:space="preserve"> anteriores, la Secretaria General es uno de los dos puntos focales de la Comunidad de Acción para los Océanos centrada en los manglares y participó en la serie de seminarios web </w:t>
      </w:r>
      <w:r w:rsidR="00B4567C" w:rsidRPr="00C9538B">
        <w:rPr>
          <w:rFonts w:cstheme="minorHAnsi"/>
          <w:bCs/>
          <w:i/>
          <w:iCs/>
          <w:color w:val="000000"/>
          <w:lang w:val="es-ES"/>
        </w:rPr>
        <w:t>Keeping the Momentum for Ocean Action</w:t>
      </w:r>
      <w:r w:rsidR="00C9538B">
        <w:rPr>
          <w:rFonts w:cstheme="minorHAnsi"/>
          <w:bCs/>
          <w:color w:val="000000"/>
          <w:lang w:val="es-ES"/>
        </w:rPr>
        <w:t xml:space="preserve"> </w:t>
      </w:r>
      <w:r w:rsidR="006D7B92" w:rsidRPr="006060F1">
        <w:rPr>
          <w:rFonts w:cstheme="minorHAnsi"/>
          <w:bCs/>
          <w:color w:val="000000"/>
          <w:lang w:val="es-ES"/>
        </w:rPr>
        <w:t xml:space="preserve">[Mantener el impulso para las acciones </w:t>
      </w:r>
      <w:r w:rsidR="00FC67BD" w:rsidRPr="006060F1">
        <w:rPr>
          <w:rFonts w:cstheme="minorHAnsi"/>
          <w:bCs/>
          <w:color w:val="000000"/>
          <w:lang w:val="es-ES"/>
        </w:rPr>
        <w:t xml:space="preserve">en favor de los océanos] para </w:t>
      </w:r>
      <w:r w:rsidR="00B4567C" w:rsidRPr="006060F1">
        <w:rPr>
          <w:rFonts w:cstheme="minorHAnsi"/>
          <w:bCs/>
          <w:color w:val="000000"/>
          <w:lang w:val="es-ES"/>
        </w:rPr>
        <w:t xml:space="preserve">2021 </w:t>
      </w:r>
      <w:r w:rsidR="00B4567C" w:rsidRPr="00C9538B">
        <w:rPr>
          <w:rFonts w:cstheme="minorHAnsi"/>
          <w:bCs/>
          <w:i/>
          <w:iCs/>
          <w:color w:val="000000"/>
          <w:lang w:val="es-ES"/>
        </w:rPr>
        <w:t>Implementing SDG 14 with the Communities of Ocean Action</w:t>
      </w:r>
      <w:r w:rsidR="00B4567C" w:rsidRPr="006060F1">
        <w:rPr>
          <w:rFonts w:cstheme="minorHAnsi"/>
          <w:bCs/>
          <w:color w:val="000000"/>
          <w:lang w:val="es-ES"/>
        </w:rPr>
        <w:t xml:space="preserve"> </w:t>
      </w:r>
      <w:r w:rsidR="00FC67BD" w:rsidRPr="006060F1">
        <w:rPr>
          <w:rFonts w:cstheme="minorHAnsi"/>
          <w:bCs/>
          <w:color w:val="000000"/>
          <w:lang w:val="es-ES"/>
        </w:rPr>
        <w:t xml:space="preserve">[Aplicar el ODS 14 con las Comunidades de </w:t>
      </w:r>
      <w:r w:rsidR="004E2A67" w:rsidRPr="006060F1">
        <w:rPr>
          <w:rFonts w:cstheme="minorHAnsi"/>
          <w:bCs/>
          <w:color w:val="000000"/>
          <w:lang w:val="es-ES"/>
        </w:rPr>
        <w:t>Acción</w:t>
      </w:r>
      <w:r w:rsidR="00FC67BD" w:rsidRPr="006060F1">
        <w:rPr>
          <w:rFonts w:cstheme="minorHAnsi"/>
          <w:bCs/>
          <w:color w:val="000000"/>
          <w:lang w:val="es-ES"/>
        </w:rPr>
        <w:t xml:space="preserve"> para los Océanos], organizad</w:t>
      </w:r>
      <w:r w:rsidR="004E2A67">
        <w:rPr>
          <w:rFonts w:cstheme="minorHAnsi"/>
          <w:bCs/>
          <w:color w:val="000000"/>
          <w:lang w:val="es-ES"/>
        </w:rPr>
        <w:t>o</w:t>
      </w:r>
      <w:r w:rsidR="00FC67BD" w:rsidRPr="006060F1">
        <w:rPr>
          <w:rFonts w:cstheme="minorHAnsi"/>
          <w:bCs/>
          <w:color w:val="000000"/>
          <w:lang w:val="es-ES"/>
        </w:rPr>
        <w:t>s por ONU DAES</w:t>
      </w:r>
      <w:r w:rsidR="00B4567C" w:rsidRPr="006060F1">
        <w:rPr>
          <w:rFonts w:cstheme="minorHAnsi"/>
          <w:lang w:val="es-ES"/>
        </w:rPr>
        <w:t xml:space="preserve">. </w:t>
      </w:r>
    </w:p>
    <w:p w14:paraId="509D5F31" w14:textId="0DEDC999" w:rsidR="00B4567C" w:rsidRPr="006060F1" w:rsidRDefault="00B4567C" w:rsidP="007D3790">
      <w:pPr>
        <w:suppressAutoHyphens/>
        <w:spacing w:after="0" w:line="240" w:lineRule="auto"/>
        <w:ind w:left="425" w:hanging="425"/>
        <w:rPr>
          <w:rFonts w:eastAsia="Times New Roman" w:cstheme="minorHAnsi"/>
          <w:lang w:val="es-ES" w:eastAsia="en-GB"/>
        </w:rPr>
      </w:pPr>
    </w:p>
    <w:p w14:paraId="2CAF07E9" w14:textId="72C161A3" w:rsidR="00806DF4" w:rsidRPr="006060F1" w:rsidRDefault="0006611C" w:rsidP="007D3790">
      <w:pPr>
        <w:suppressAutoHyphens/>
        <w:spacing w:after="0" w:line="240" w:lineRule="auto"/>
        <w:ind w:left="426" w:hanging="426"/>
        <w:rPr>
          <w:rFonts w:cstheme="minorHAnsi"/>
          <w:lang w:val="es-ES"/>
        </w:rPr>
      </w:pPr>
      <w:r w:rsidRPr="006060F1">
        <w:rPr>
          <w:rFonts w:cstheme="minorHAnsi"/>
          <w:lang w:val="es-ES"/>
        </w:rPr>
        <w:t xml:space="preserve">23.   </w:t>
      </w:r>
      <w:r w:rsidR="00FC67BD" w:rsidRPr="006060F1">
        <w:rPr>
          <w:rFonts w:cstheme="minorHAnsi"/>
          <w:lang w:val="es-ES"/>
        </w:rPr>
        <w:t xml:space="preserve">La Secretaria General pronunció un discurso en video el </w:t>
      </w:r>
      <w:r w:rsidR="00806DF4" w:rsidRPr="006060F1">
        <w:rPr>
          <w:rFonts w:cstheme="minorHAnsi"/>
          <w:lang w:val="es-ES"/>
        </w:rPr>
        <w:t xml:space="preserve">18 </w:t>
      </w:r>
      <w:r w:rsidR="00FC67BD" w:rsidRPr="006060F1">
        <w:rPr>
          <w:rFonts w:cstheme="minorHAnsi"/>
          <w:lang w:val="es-ES"/>
        </w:rPr>
        <w:t xml:space="preserve">de noviembre de </w:t>
      </w:r>
      <w:r w:rsidR="00B4567C" w:rsidRPr="006060F1">
        <w:rPr>
          <w:rFonts w:cstheme="minorHAnsi"/>
          <w:lang w:val="es-ES"/>
        </w:rPr>
        <w:t>2021</w:t>
      </w:r>
      <w:r w:rsidR="00806DF4" w:rsidRPr="006060F1">
        <w:rPr>
          <w:rFonts w:cstheme="minorHAnsi"/>
          <w:lang w:val="es-ES"/>
        </w:rPr>
        <w:t xml:space="preserve"> </w:t>
      </w:r>
      <w:r w:rsidR="00FC67BD" w:rsidRPr="006060F1">
        <w:rPr>
          <w:rFonts w:cstheme="minorHAnsi"/>
          <w:lang w:val="es-ES"/>
        </w:rPr>
        <w:t xml:space="preserve">en el evento </w:t>
      </w:r>
      <w:r w:rsidR="00806DF4" w:rsidRPr="00C9538B">
        <w:rPr>
          <w:rFonts w:cstheme="minorHAnsi"/>
          <w:i/>
          <w:iCs/>
          <w:lang w:val="es-ES"/>
        </w:rPr>
        <w:t>Starting at the Source to Save the Ocean</w:t>
      </w:r>
      <w:r w:rsidR="00FC67BD" w:rsidRPr="006060F1">
        <w:rPr>
          <w:rFonts w:cstheme="minorHAnsi"/>
          <w:lang w:val="es-ES"/>
        </w:rPr>
        <w:t xml:space="preserve"> [Empezar en la fuente para salvar los océanos], con otros responsables de organizaciones, por ejemplo, </w:t>
      </w:r>
      <w:r w:rsidR="00C9538B">
        <w:rPr>
          <w:rFonts w:cstheme="minorHAnsi"/>
          <w:lang w:val="es-ES"/>
        </w:rPr>
        <w:t xml:space="preserve">de </w:t>
      </w:r>
      <w:r w:rsidR="00FC67BD" w:rsidRPr="006060F1">
        <w:rPr>
          <w:rFonts w:cstheme="minorHAnsi"/>
          <w:lang w:val="es-ES"/>
        </w:rPr>
        <w:t>organismos de Naciones Unidas, para crear conciencia sobre enfoques desde la fuente hasta el mar a través de las redes sociales</w:t>
      </w:r>
      <w:r w:rsidR="00553ECB" w:rsidRPr="006060F1">
        <w:rPr>
          <w:rFonts w:cstheme="minorHAnsi"/>
          <w:lang w:val="es-ES"/>
        </w:rPr>
        <w:t xml:space="preserve">. </w:t>
      </w:r>
    </w:p>
    <w:p w14:paraId="3662E909" w14:textId="77777777" w:rsidR="00806DF4" w:rsidRPr="006060F1" w:rsidRDefault="00806DF4" w:rsidP="007D3790">
      <w:pPr>
        <w:suppressAutoHyphens/>
        <w:spacing w:after="0" w:line="240" w:lineRule="auto"/>
        <w:ind w:left="425" w:hanging="425"/>
        <w:rPr>
          <w:rFonts w:eastAsia="Times New Roman" w:cstheme="minorHAnsi"/>
          <w:lang w:val="es-ES" w:eastAsia="en-GB"/>
        </w:rPr>
      </w:pPr>
    </w:p>
    <w:p w14:paraId="65F2EAE0" w14:textId="406D2994" w:rsidR="00806DF4" w:rsidRPr="006060F1" w:rsidRDefault="0006611C" w:rsidP="007D3790">
      <w:pPr>
        <w:spacing w:after="0" w:line="240" w:lineRule="auto"/>
        <w:ind w:left="426" w:hanging="426"/>
        <w:rPr>
          <w:rFonts w:cstheme="minorHAnsi"/>
          <w:lang w:val="es-ES"/>
        </w:rPr>
      </w:pPr>
      <w:r w:rsidRPr="006060F1">
        <w:rPr>
          <w:rFonts w:cstheme="minorHAnsi"/>
          <w:lang w:val="es-ES"/>
        </w:rPr>
        <w:t xml:space="preserve">24. </w:t>
      </w:r>
      <w:r w:rsidRPr="006060F1">
        <w:rPr>
          <w:rFonts w:cstheme="minorHAnsi"/>
          <w:lang w:val="es-ES"/>
        </w:rPr>
        <w:tab/>
      </w:r>
      <w:r w:rsidR="00FC67BD" w:rsidRPr="006060F1">
        <w:rPr>
          <w:rFonts w:cstheme="minorHAnsi"/>
          <w:lang w:val="es-ES"/>
        </w:rPr>
        <w:t xml:space="preserve">En la sesión plenaria de clausura del Congreso Mundial de la Naturaleza de la UICN, titulada </w:t>
      </w:r>
      <w:r w:rsidR="00B4567C" w:rsidRPr="00C9538B">
        <w:rPr>
          <w:rFonts w:cstheme="minorHAnsi"/>
          <w:i/>
          <w:iCs/>
          <w:lang w:val="es-ES"/>
        </w:rPr>
        <w:t>A blue breakthrough</w:t>
      </w:r>
      <w:r w:rsidR="00F41673" w:rsidRPr="006060F1">
        <w:rPr>
          <w:rFonts w:cstheme="minorHAnsi"/>
          <w:lang w:val="es-ES"/>
        </w:rPr>
        <w:t xml:space="preserve"> [Un hito azul] el 7 de </w:t>
      </w:r>
      <w:r w:rsidR="004E2A67" w:rsidRPr="006060F1">
        <w:rPr>
          <w:rFonts w:cstheme="minorHAnsi"/>
          <w:lang w:val="es-ES"/>
        </w:rPr>
        <w:t>septiembre</w:t>
      </w:r>
      <w:r w:rsidR="00F41673" w:rsidRPr="006060F1">
        <w:rPr>
          <w:rFonts w:cstheme="minorHAnsi"/>
          <w:lang w:val="es-ES"/>
        </w:rPr>
        <w:t xml:space="preserve"> de </w:t>
      </w:r>
      <w:r w:rsidR="00B4567C" w:rsidRPr="006060F1">
        <w:rPr>
          <w:rFonts w:cstheme="minorHAnsi"/>
          <w:lang w:val="es-ES"/>
        </w:rPr>
        <w:t xml:space="preserve">2021, </w:t>
      </w:r>
      <w:r w:rsidR="00F41673" w:rsidRPr="006060F1">
        <w:rPr>
          <w:rFonts w:cstheme="minorHAnsi"/>
          <w:lang w:val="es-ES"/>
        </w:rPr>
        <w:t xml:space="preserve">la </w:t>
      </w:r>
      <w:r w:rsidR="004E2A67" w:rsidRPr="006060F1">
        <w:rPr>
          <w:rFonts w:cstheme="minorHAnsi"/>
          <w:lang w:val="es-ES"/>
        </w:rPr>
        <w:t>Secretaria</w:t>
      </w:r>
      <w:r w:rsidR="00F41673" w:rsidRPr="006060F1">
        <w:rPr>
          <w:rFonts w:cstheme="minorHAnsi"/>
          <w:lang w:val="es-ES"/>
        </w:rPr>
        <w:t xml:space="preserve"> General participó como oradora destacando la importancia de humedales sanos para la </w:t>
      </w:r>
      <w:r w:rsidR="004E2A67" w:rsidRPr="006060F1">
        <w:rPr>
          <w:rFonts w:cstheme="minorHAnsi"/>
          <w:lang w:val="es-ES"/>
        </w:rPr>
        <w:t>salud</w:t>
      </w:r>
      <w:r w:rsidR="00F41673" w:rsidRPr="006060F1">
        <w:rPr>
          <w:rFonts w:cstheme="minorHAnsi"/>
          <w:lang w:val="es-ES"/>
        </w:rPr>
        <w:t xml:space="preserve"> de los océanos, el trabajo realizado en la Convención sobre los Humedales para consagrar el concepto de “uso racional” y el compromiso de las Partes </w:t>
      </w:r>
      <w:r w:rsidR="004E2A67" w:rsidRPr="006060F1">
        <w:rPr>
          <w:rFonts w:cstheme="minorHAnsi"/>
          <w:lang w:val="es-ES"/>
        </w:rPr>
        <w:t>Contratantes</w:t>
      </w:r>
      <w:r w:rsidR="00F41673" w:rsidRPr="006060F1">
        <w:rPr>
          <w:rFonts w:cstheme="minorHAnsi"/>
          <w:lang w:val="es-ES"/>
        </w:rPr>
        <w:t xml:space="preserve"> para mantener la salud de los ecosistemas como la clave para el bienestar humano, el almacenamiento de carbono, la reducción del riesgo de desastres y los beneficios para la biodiversidad.</w:t>
      </w:r>
    </w:p>
    <w:p w14:paraId="44F3CC19" w14:textId="77777777" w:rsidR="00947D80" w:rsidRPr="006060F1" w:rsidRDefault="00947D80" w:rsidP="007D3790">
      <w:pPr>
        <w:suppressAutoHyphens/>
        <w:spacing w:after="0" w:line="240" w:lineRule="auto"/>
        <w:ind w:left="425" w:hanging="425"/>
        <w:rPr>
          <w:rFonts w:eastAsia="Times New Roman" w:cstheme="minorHAnsi"/>
          <w:lang w:val="es-ES" w:eastAsia="en-GB"/>
        </w:rPr>
      </w:pPr>
    </w:p>
    <w:p w14:paraId="7A6E5675" w14:textId="4A812886" w:rsidR="009C2848" w:rsidRPr="006060F1" w:rsidRDefault="00F41673" w:rsidP="007D3790">
      <w:pPr>
        <w:spacing w:after="0" w:line="240" w:lineRule="auto"/>
        <w:rPr>
          <w:rFonts w:eastAsia="Times New Roman" w:cstheme="minorHAnsi"/>
          <w:b/>
          <w:bCs/>
          <w:lang w:val="es-ES" w:eastAsia="en-GB"/>
        </w:rPr>
      </w:pPr>
      <w:r w:rsidRPr="006060F1">
        <w:rPr>
          <w:rFonts w:cstheme="minorHAnsi"/>
          <w:b/>
          <w:bCs/>
          <w:color w:val="000000" w:themeColor="text1"/>
          <w:lang w:val="es-ES"/>
        </w:rPr>
        <w:lastRenderedPageBreak/>
        <w:t xml:space="preserve">Medidas para reforzar </w:t>
      </w:r>
      <w:r w:rsidRPr="006060F1">
        <w:rPr>
          <w:rFonts w:cstheme="minorHAnsi"/>
          <w:b/>
          <w:bCs/>
          <w:lang w:val="es-ES"/>
        </w:rPr>
        <w:t xml:space="preserve">la cooperación con el Programa de las Naciones Unidas para el Medio Ambiente y otras instituciones internacionales </w:t>
      </w:r>
    </w:p>
    <w:p w14:paraId="1B34D22E" w14:textId="77777777" w:rsidR="00314513" w:rsidRDefault="00314513" w:rsidP="007D3790">
      <w:pPr>
        <w:suppressAutoHyphens/>
        <w:spacing w:after="0" w:line="240" w:lineRule="auto"/>
        <w:ind w:left="425" w:hanging="425"/>
        <w:rPr>
          <w:rFonts w:eastAsia="Times New Roman" w:cstheme="minorHAnsi"/>
          <w:lang w:val="es-ES" w:eastAsia="en-GB"/>
        </w:rPr>
      </w:pPr>
    </w:p>
    <w:p w14:paraId="75F7AE94" w14:textId="63A3BA74" w:rsidR="009C2848" w:rsidRPr="006060F1" w:rsidRDefault="0006611C" w:rsidP="007D3790">
      <w:pPr>
        <w:suppressAutoHyphens/>
        <w:spacing w:after="0" w:line="240" w:lineRule="auto"/>
        <w:ind w:left="425" w:hanging="425"/>
        <w:rPr>
          <w:rFonts w:eastAsia="Times New Roman" w:cstheme="minorHAnsi"/>
          <w:lang w:val="es-ES" w:eastAsia="en-GB"/>
        </w:rPr>
      </w:pPr>
      <w:r w:rsidRPr="006060F1">
        <w:rPr>
          <w:rFonts w:eastAsia="Times New Roman" w:cstheme="minorHAnsi"/>
          <w:lang w:val="es-ES" w:eastAsia="en-GB"/>
        </w:rPr>
        <w:t>25</w:t>
      </w:r>
      <w:r w:rsidR="009C2848" w:rsidRPr="006060F1">
        <w:rPr>
          <w:rFonts w:eastAsia="Times New Roman" w:cstheme="minorHAnsi"/>
          <w:lang w:val="es-ES" w:eastAsia="en-GB"/>
        </w:rPr>
        <w:t>.</w:t>
      </w:r>
      <w:r w:rsidR="009C2848" w:rsidRPr="006060F1">
        <w:rPr>
          <w:rFonts w:eastAsia="Times New Roman" w:cstheme="minorHAnsi"/>
          <w:lang w:val="es-ES" w:eastAsia="en-GB"/>
        </w:rPr>
        <w:tab/>
      </w:r>
      <w:r w:rsidR="00F41673" w:rsidRPr="006060F1">
        <w:rPr>
          <w:rFonts w:cstheme="minorHAnsi"/>
          <w:lang w:val="es-ES"/>
        </w:rPr>
        <w:t>Como se indicó en informes anteriores al Comité Permanente, la Secretaría sigue trabajando para reforzar la cooperación con los organismos de las Naciones Unidas y otras instituciones internacionales</w:t>
      </w:r>
      <w:r w:rsidR="009C2848" w:rsidRPr="006060F1">
        <w:rPr>
          <w:rFonts w:eastAsia="Times New Roman" w:cstheme="minorHAnsi"/>
          <w:lang w:val="es-ES" w:eastAsia="en-GB"/>
        </w:rPr>
        <w:t>.</w:t>
      </w:r>
    </w:p>
    <w:p w14:paraId="35CEB703" w14:textId="77777777" w:rsidR="001F4FA6" w:rsidRPr="006060F1" w:rsidRDefault="001F4FA6" w:rsidP="007D3790">
      <w:pPr>
        <w:spacing w:after="0" w:line="240" w:lineRule="auto"/>
        <w:ind w:left="425" w:hanging="425"/>
        <w:rPr>
          <w:rFonts w:eastAsia="Times New Roman" w:cstheme="minorHAnsi"/>
          <w:i/>
          <w:lang w:val="es-ES" w:eastAsia="en-GB"/>
        </w:rPr>
      </w:pPr>
    </w:p>
    <w:p w14:paraId="03A79DD7" w14:textId="77777777" w:rsidR="00F41673" w:rsidRPr="006060F1" w:rsidRDefault="00F41673" w:rsidP="007D3790">
      <w:pPr>
        <w:spacing w:after="0" w:line="240" w:lineRule="auto"/>
        <w:ind w:left="425" w:hanging="425"/>
        <w:rPr>
          <w:rFonts w:cstheme="minorHAnsi"/>
          <w:i/>
          <w:color w:val="000000" w:themeColor="text1"/>
          <w:lang w:val="es-ES"/>
        </w:rPr>
      </w:pPr>
      <w:r w:rsidRPr="006060F1">
        <w:rPr>
          <w:rFonts w:cstheme="minorHAnsi"/>
          <w:i/>
          <w:color w:val="000000" w:themeColor="text1"/>
          <w:lang w:val="es-ES"/>
        </w:rPr>
        <w:t>Grupo de Gestión Ambiental</w:t>
      </w:r>
    </w:p>
    <w:p w14:paraId="0A9D713F" w14:textId="77777777" w:rsidR="00314513" w:rsidRDefault="00314513" w:rsidP="007D3790">
      <w:pPr>
        <w:autoSpaceDE w:val="0"/>
        <w:autoSpaceDN w:val="0"/>
        <w:adjustRightInd w:val="0"/>
        <w:spacing w:after="0" w:line="240" w:lineRule="auto"/>
        <w:ind w:left="426" w:hanging="426"/>
        <w:rPr>
          <w:rFonts w:eastAsia="Times New Roman" w:cstheme="minorHAnsi"/>
          <w:lang w:val="es-ES" w:eastAsia="en-GB"/>
        </w:rPr>
      </w:pPr>
    </w:p>
    <w:p w14:paraId="39832291" w14:textId="295DB2B4" w:rsidR="001F4FA6" w:rsidRPr="006060F1" w:rsidRDefault="00981447" w:rsidP="007D3790">
      <w:pPr>
        <w:autoSpaceDE w:val="0"/>
        <w:autoSpaceDN w:val="0"/>
        <w:adjustRightInd w:val="0"/>
        <w:spacing w:after="0" w:line="240" w:lineRule="auto"/>
        <w:ind w:left="426" w:hanging="426"/>
        <w:rPr>
          <w:lang w:val="es-ES"/>
        </w:rPr>
      </w:pPr>
      <w:r w:rsidRPr="006060F1">
        <w:rPr>
          <w:rFonts w:eastAsia="Times New Roman" w:cstheme="minorHAnsi"/>
          <w:lang w:val="es-ES" w:eastAsia="en-GB"/>
        </w:rPr>
        <w:t>26</w:t>
      </w:r>
      <w:r w:rsidR="009C2848" w:rsidRPr="006060F1">
        <w:rPr>
          <w:rFonts w:eastAsia="Times New Roman" w:cstheme="minorHAnsi"/>
          <w:lang w:val="es-ES" w:eastAsia="en-GB"/>
        </w:rPr>
        <w:t>.</w:t>
      </w:r>
      <w:r w:rsidR="009C2848" w:rsidRPr="006060F1">
        <w:rPr>
          <w:rFonts w:eastAsia="Times New Roman" w:cstheme="minorHAnsi"/>
          <w:lang w:val="es-ES" w:eastAsia="en-GB"/>
        </w:rPr>
        <w:tab/>
      </w:r>
      <w:r w:rsidR="00F41673" w:rsidRPr="006060F1">
        <w:rPr>
          <w:rFonts w:eastAsia="Times New Roman" w:cstheme="minorHAnsi"/>
          <w:lang w:val="es-ES" w:eastAsia="en-GB"/>
        </w:rPr>
        <w:t xml:space="preserve">La Secretaría sigue </w:t>
      </w:r>
      <w:r w:rsidR="004E2A67" w:rsidRPr="006060F1">
        <w:rPr>
          <w:rFonts w:eastAsia="Times New Roman" w:cstheme="minorHAnsi"/>
          <w:lang w:val="es-ES" w:eastAsia="en-GB"/>
        </w:rPr>
        <w:t>participando</w:t>
      </w:r>
      <w:r w:rsidR="00F41673" w:rsidRPr="006060F1">
        <w:rPr>
          <w:rFonts w:eastAsia="Times New Roman" w:cstheme="minorHAnsi"/>
          <w:lang w:val="es-ES" w:eastAsia="en-GB"/>
        </w:rPr>
        <w:t xml:space="preserve"> en el trabajo en curso del Grupo de Gestión Ambiental. La Secretaria General </w:t>
      </w:r>
      <w:r w:rsidR="004E2A67" w:rsidRPr="006060F1">
        <w:rPr>
          <w:rFonts w:eastAsia="Times New Roman" w:cstheme="minorHAnsi"/>
          <w:lang w:val="es-ES" w:eastAsia="en-GB"/>
        </w:rPr>
        <w:t>participó</w:t>
      </w:r>
      <w:r w:rsidR="00F41673" w:rsidRPr="006060F1">
        <w:rPr>
          <w:rFonts w:eastAsia="Times New Roman" w:cstheme="minorHAnsi"/>
          <w:lang w:val="es-ES" w:eastAsia="en-GB"/>
        </w:rPr>
        <w:t xml:space="preserve"> en la 27ª reunión de</w:t>
      </w:r>
      <w:r w:rsidR="00F00A92" w:rsidRPr="006060F1">
        <w:rPr>
          <w:rFonts w:eastAsia="Times New Roman" w:cstheme="minorHAnsi"/>
          <w:lang w:val="es-ES" w:eastAsia="en-GB"/>
        </w:rPr>
        <w:t xml:space="preserve">l personal superior del Grupo de Gestión Ambiental (GCA) de las Naciones Unidas, que se celebró de forma </w:t>
      </w:r>
      <w:r w:rsidR="002F6635">
        <w:rPr>
          <w:rFonts w:eastAsia="Times New Roman" w:cstheme="minorHAnsi"/>
          <w:lang w:val="es-ES" w:eastAsia="en-GB"/>
        </w:rPr>
        <w:t>virtual</w:t>
      </w:r>
      <w:r w:rsidR="00F00A92" w:rsidRPr="006060F1">
        <w:rPr>
          <w:rFonts w:eastAsia="Times New Roman" w:cstheme="minorHAnsi"/>
          <w:lang w:val="es-ES" w:eastAsia="en-GB"/>
        </w:rPr>
        <w:t xml:space="preserve"> el </w:t>
      </w:r>
      <w:r w:rsidR="002E1B93" w:rsidRPr="006060F1">
        <w:rPr>
          <w:rFonts w:cstheme="minorHAnsi"/>
          <w:lang w:val="es-ES"/>
        </w:rPr>
        <w:t>7</w:t>
      </w:r>
      <w:r w:rsidR="00605CF9" w:rsidRPr="006060F1">
        <w:rPr>
          <w:rFonts w:cstheme="minorHAnsi"/>
          <w:lang w:val="es-ES"/>
        </w:rPr>
        <w:t xml:space="preserve"> </w:t>
      </w:r>
      <w:r w:rsidR="00F00A92" w:rsidRPr="006060F1">
        <w:rPr>
          <w:rFonts w:cstheme="minorHAnsi"/>
          <w:lang w:val="es-ES"/>
        </w:rPr>
        <w:t>de octubre de 20</w:t>
      </w:r>
      <w:r w:rsidR="00605CF9" w:rsidRPr="006060F1">
        <w:rPr>
          <w:rFonts w:cstheme="minorHAnsi"/>
          <w:lang w:val="es-ES"/>
        </w:rPr>
        <w:t>2</w:t>
      </w:r>
      <w:r w:rsidR="002E1B93" w:rsidRPr="006060F1">
        <w:rPr>
          <w:rFonts w:cstheme="minorHAnsi"/>
          <w:lang w:val="es-ES"/>
        </w:rPr>
        <w:t>1</w:t>
      </w:r>
      <w:r w:rsidR="00FE479C">
        <w:rPr>
          <w:rFonts w:cstheme="minorHAnsi"/>
          <w:lang w:val="es-ES"/>
        </w:rPr>
        <w:t xml:space="preserve">. En ella se </w:t>
      </w:r>
      <w:r w:rsidR="004E2A67" w:rsidRPr="006060F1">
        <w:rPr>
          <w:rFonts w:cstheme="minorHAnsi"/>
          <w:lang w:val="es-ES"/>
        </w:rPr>
        <w:t>estableció</w:t>
      </w:r>
      <w:r w:rsidR="00F00A92" w:rsidRPr="006060F1">
        <w:rPr>
          <w:rFonts w:cstheme="minorHAnsi"/>
          <w:lang w:val="es-ES"/>
        </w:rPr>
        <w:t xml:space="preserve"> un Grupo de Gestión Temática del GCA sobre Biodiversidad para facilitar y permitir un enfoque y un </w:t>
      </w:r>
      <w:r w:rsidR="004E2A67" w:rsidRPr="006060F1">
        <w:rPr>
          <w:rFonts w:cstheme="minorHAnsi"/>
          <w:lang w:val="es-ES"/>
        </w:rPr>
        <w:t>apoyo</w:t>
      </w:r>
      <w:r w:rsidR="00F00A92" w:rsidRPr="006060F1">
        <w:rPr>
          <w:rFonts w:cstheme="minorHAnsi"/>
          <w:lang w:val="es-ES"/>
        </w:rPr>
        <w:t xml:space="preserve"> optimizados a la aplicación del marco mundial de la diversidad biológica posterior a 2020, el Enfoque Común para la Biodiversidad </w:t>
      </w:r>
      <w:r w:rsidR="00F00A92" w:rsidRPr="006060F1">
        <w:rPr>
          <w:lang w:val="es-ES"/>
        </w:rPr>
        <w:t xml:space="preserve">de </w:t>
      </w:r>
      <w:r w:rsidR="00FE479C">
        <w:rPr>
          <w:lang w:val="es-ES"/>
        </w:rPr>
        <w:t>la ONU</w:t>
      </w:r>
      <w:r w:rsidR="00F00A92" w:rsidRPr="006060F1">
        <w:rPr>
          <w:lang w:val="es-ES"/>
        </w:rPr>
        <w:t xml:space="preserve"> y el Decenio de las Naciones Unidas sobre la </w:t>
      </w:r>
      <w:r w:rsidR="004E2A67" w:rsidRPr="006060F1">
        <w:rPr>
          <w:lang w:val="es-ES"/>
        </w:rPr>
        <w:t>Restauración</w:t>
      </w:r>
      <w:r w:rsidR="00F00A92" w:rsidRPr="006060F1">
        <w:rPr>
          <w:lang w:val="es-ES"/>
        </w:rPr>
        <w:t xml:space="preserve"> de los Ecosistemas</w:t>
      </w:r>
    </w:p>
    <w:p w14:paraId="7BF57AA2" w14:textId="6BC5459F" w:rsidR="0094492C" w:rsidRPr="006060F1" w:rsidRDefault="0094492C" w:rsidP="007D3790">
      <w:pPr>
        <w:autoSpaceDE w:val="0"/>
        <w:autoSpaceDN w:val="0"/>
        <w:adjustRightInd w:val="0"/>
        <w:spacing w:after="0" w:line="240" w:lineRule="auto"/>
        <w:ind w:left="426" w:hanging="426"/>
        <w:rPr>
          <w:lang w:val="es-ES"/>
        </w:rPr>
      </w:pPr>
    </w:p>
    <w:p w14:paraId="6CA8730B" w14:textId="480430AF" w:rsidR="0094492C" w:rsidRPr="006060F1" w:rsidRDefault="00981447" w:rsidP="007D3790">
      <w:pPr>
        <w:autoSpaceDE w:val="0"/>
        <w:autoSpaceDN w:val="0"/>
        <w:adjustRightInd w:val="0"/>
        <w:spacing w:after="0" w:line="240" w:lineRule="auto"/>
        <w:ind w:left="426" w:hanging="426"/>
        <w:rPr>
          <w:rFonts w:eastAsia="Times New Roman" w:cstheme="minorHAnsi"/>
          <w:lang w:val="es-ES" w:eastAsia="en-GB"/>
        </w:rPr>
      </w:pPr>
      <w:r w:rsidRPr="006060F1">
        <w:rPr>
          <w:rFonts w:eastAsia="Times New Roman" w:cstheme="minorHAnsi"/>
          <w:lang w:val="es-ES" w:eastAsia="en-GB"/>
        </w:rPr>
        <w:t xml:space="preserve">27.   </w:t>
      </w:r>
      <w:r w:rsidR="00F00A92" w:rsidRPr="006060F1">
        <w:rPr>
          <w:rFonts w:eastAsia="Times New Roman" w:cstheme="minorHAnsi"/>
          <w:lang w:val="es-ES" w:eastAsia="en-GB"/>
        </w:rPr>
        <w:t xml:space="preserve">La Secretaría </w:t>
      </w:r>
      <w:r w:rsidR="004E2A67" w:rsidRPr="006060F1">
        <w:rPr>
          <w:rFonts w:eastAsia="Times New Roman" w:cstheme="minorHAnsi"/>
          <w:lang w:val="es-ES" w:eastAsia="en-GB"/>
        </w:rPr>
        <w:t>participó</w:t>
      </w:r>
      <w:r w:rsidR="00F00A92" w:rsidRPr="006060F1">
        <w:rPr>
          <w:rFonts w:eastAsia="Times New Roman" w:cstheme="minorHAnsi"/>
          <w:lang w:val="es-ES" w:eastAsia="en-GB"/>
        </w:rPr>
        <w:t xml:space="preserve"> en la preparación del </w:t>
      </w:r>
      <w:r w:rsidR="004E2A67" w:rsidRPr="006060F1">
        <w:rPr>
          <w:rFonts w:eastAsia="Times New Roman" w:cstheme="minorHAnsi"/>
          <w:lang w:val="es-ES" w:eastAsia="en-GB"/>
        </w:rPr>
        <w:t>informe</w:t>
      </w:r>
      <w:r w:rsidR="00F00A92" w:rsidRPr="006060F1">
        <w:rPr>
          <w:rFonts w:eastAsia="Times New Roman" w:cstheme="minorHAnsi"/>
          <w:lang w:val="es-ES" w:eastAsia="en-GB"/>
        </w:rPr>
        <w:t xml:space="preserve"> general sobre las actividades e iniciativas de las Naciones Unidas relacionadas con la basura marina y los microplásticos encargado por el GCA, poniendo de relieve que la basura marina y los microplásticos son transportados hacia los mares y océanos principalmente a </w:t>
      </w:r>
      <w:r w:rsidR="004E2A67" w:rsidRPr="006060F1">
        <w:rPr>
          <w:rFonts w:eastAsia="Times New Roman" w:cstheme="minorHAnsi"/>
          <w:lang w:val="es-ES" w:eastAsia="en-GB"/>
        </w:rPr>
        <w:t>través</w:t>
      </w:r>
      <w:r w:rsidR="00F00A92" w:rsidRPr="006060F1">
        <w:rPr>
          <w:rFonts w:eastAsia="Times New Roman" w:cstheme="minorHAnsi"/>
          <w:lang w:val="es-ES" w:eastAsia="en-GB"/>
        </w:rPr>
        <w:t xml:space="preserve"> de humedales continentales y costeros</w:t>
      </w:r>
      <w:r w:rsidR="00FE479C">
        <w:rPr>
          <w:rFonts w:eastAsia="Times New Roman" w:cstheme="minorHAnsi"/>
          <w:lang w:val="es-ES" w:eastAsia="en-GB"/>
        </w:rPr>
        <w:t>,</w:t>
      </w:r>
      <w:r w:rsidR="00F00A92" w:rsidRPr="006060F1">
        <w:rPr>
          <w:rFonts w:eastAsia="Times New Roman" w:cstheme="minorHAnsi"/>
          <w:lang w:val="es-ES" w:eastAsia="en-GB"/>
        </w:rPr>
        <w:t xml:space="preserve"> que deben convertirse en parte de </w:t>
      </w:r>
      <w:r w:rsidR="004E2A67" w:rsidRPr="006060F1">
        <w:rPr>
          <w:rFonts w:eastAsia="Times New Roman" w:cstheme="minorHAnsi"/>
          <w:lang w:val="es-ES" w:eastAsia="en-GB"/>
        </w:rPr>
        <w:t>las</w:t>
      </w:r>
      <w:r w:rsidR="00F00A92" w:rsidRPr="006060F1">
        <w:rPr>
          <w:rFonts w:eastAsia="Times New Roman" w:cstheme="minorHAnsi"/>
          <w:lang w:val="es-ES" w:eastAsia="en-GB"/>
        </w:rPr>
        <w:t xml:space="preserve"> soluciones para </w:t>
      </w:r>
      <w:r w:rsidR="004E2A67" w:rsidRPr="006060F1">
        <w:rPr>
          <w:rFonts w:eastAsia="Times New Roman" w:cstheme="minorHAnsi"/>
          <w:lang w:val="es-ES" w:eastAsia="en-GB"/>
        </w:rPr>
        <w:t>reducir</w:t>
      </w:r>
      <w:r w:rsidR="00F00A92" w:rsidRPr="006060F1">
        <w:rPr>
          <w:rFonts w:eastAsia="Times New Roman" w:cstheme="minorHAnsi"/>
          <w:lang w:val="es-ES" w:eastAsia="en-GB"/>
        </w:rPr>
        <w:t xml:space="preserve"> esa </w:t>
      </w:r>
      <w:r w:rsidR="004E2A67" w:rsidRPr="006060F1">
        <w:rPr>
          <w:rFonts w:eastAsia="Times New Roman" w:cstheme="minorHAnsi"/>
          <w:lang w:val="es-ES" w:eastAsia="en-GB"/>
        </w:rPr>
        <w:t>contaminación</w:t>
      </w:r>
      <w:r w:rsidR="00F00A92" w:rsidRPr="006060F1">
        <w:rPr>
          <w:rFonts w:eastAsia="Times New Roman" w:cstheme="minorHAnsi"/>
          <w:lang w:val="es-ES" w:eastAsia="en-GB"/>
        </w:rPr>
        <w:t>.</w:t>
      </w:r>
    </w:p>
    <w:p w14:paraId="0A0CC38D" w14:textId="77777777" w:rsidR="0094492C" w:rsidRPr="006060F1" w:rsidRDefault="0094492C" w:rsidP="007D3790">
      <w:pPr>
        <w:autoSpaceDE w:val="0"/>
        <w:autoSpaceDN w:val="0"/>
        <w:adjustRightInd w:val="0"/>
        <w:spacing w:after="0" w:line="240" w:lineRule="auto"/>
        <w:ind w:left="426" w:hanging="426"/>
        <w:rPr>
          <w:lang w:val="es-ES"/>
        </w:rPr>
      </w:pPr>
    </w:p>
    <w:p w14:paraId="10FDA929" w14:textId="77777777" w:rsidR="006011A5" w:rsidRPr="006060F1" w:rsidRDefault="006011A5" w:rsidP="007D3790">
      <w:pPr>
        <w:autoSpaceDE w:val="0"/>
        <w:autoSpaceDN w:val="0"/>
        <w:adjustRightInd w:val="0"/>
        <w:spacing w:after="0" w:line="240" w:lineRule="auto"/>
        <w:ind w:left="426" w:hanging="426"/>
        <w:rPr>
          <w:rFonts w:cstheme="minorHAnsi"/>
          <w:i/>
          <w:lang w:val="es-ES"/>
        </w:rPr>
      </w:pPr>
      <w:r w:rsidRPr="006060F1">
        <w:rPr>
          <w:rFonts w:cstheme="minorHAnsi"/>
          <w:i/>
          <w:lang w:val="es-ES"/>
        </w:rPr>
        <w:t>Colaboración con el PNUMA</w:t>
      </w:r>
    </w:p>
    <w:p w14:paraId="3384BF18" w14:textId="77777777" w:rsidR="00314513" w:rsidRDefault="00314513" w:rsidP="007D3790">
      <w:pPr>
        <w:suppressAutoHyphens/>
        <w:spacing w:after="0" w:line="240" w:lineRule="auto"/>
        <w:ind w:left="425" w:hanging="425"/>
        <w:rPr>
          <w:rFonts w:eastAsia="Times New Roman" w:cstheme="minorHAnsi"/>
          <w:lang w:val="es-ES" w:eastAsia="en-GB"/>
        </w:rPr>
      </w:pPr>
    </w:p>
    <w:p w14:paraId="64C34AFA" w14:textId="10AC0D3E" w:rsidR="009C2848" w:rsidRPr="006060F1" w:rsidRDefault="00981447" w:rsidP="007D3790">
      <w:pPr>
        <w:suppressAutoHyphens/>
        <w:spacing w:after="0" w:line="240" w:lineRule="auto"/>
        <w:ind w:left="425" w:hanging="425"/>
        <w:rPr>
          <w:rFonts w:eastAsia="Times New Roman" w:cstheme="minorHAnsi"/>
          <w:color w:val="000000"/>
          <w:lang w:val="es-ES" w:eastAsia="en-GB"/>
        </w:rPr>
      </w:pPr>
      <w:r w:rsidRPr="006060F1">
        <w:rPr>
          <w:rFonts w:eastAsia="Times New Roman" w:cstheme="minorHAnsi"/>
          <w:lang w:val="es-ES" w:eastAsia="en-GB"/>
        </w:rPr>
        <w:t>28</w:t>
      </w:r>
      <w:r w:rsidR="009C2848" w:rsidRPr="006060F1">
        <w:rPr>
          <w:rFonts w:eastAsia="Times New Roman" w:cstheme="minorHAnsi"/>
          <w:lang w:val="es-ES" w:eastAsia="en-GB"/>
        </w:rPr>
        <w:t>.</w:t>
      </w:r>
      <w:r w:rsidR="009C2848" w:rsidRPr="006060F1">
        <w:rPr>
          <w:rFonts w:eastAsia="Times New Roman" w:cstheme="minorHAnsi"/>
          <w:lang w:val="es-ES" w:eastAsia="en-GB"/>
        </w:rPr>
        <w:tab/>
      </w:r>
      <w:r w:rsidR="006011A5" w:rsidRPr="006060F1">
        <w:rPr>
          <w:rFonts w:cstheme="minorHAnsi"/>
          <w:color w:val="000000"/>
          <w:lang w:val="es-ES"/>
        </w:rPr>
        <w:t>La Secretaría y el PNUMA siguen llevando a cabo actividades de cooperación para promover las sinergias y mejorar la aplicación de la Convención</w:t>
      </w:r>
      <w:r w:rsidR="006011A5" w:rsidRPr="006060F1">
        <w:rPr>
          <w:rFonts w:eastAsia="Times New Roman" w:cstheme="minorHAnsi"/>
          <w:color w:val="000000"/>
          <w:lang w:val="es-ES" w:eastAsia="en-GB"/>
        </w:rPr>
        <w:t xml:space="preserve"> y se están tomando medidas para renovar el memorando de entendimiento</w:t>
      </w:r>
      <w:r w:rsidR="009C2848" w:rsidRPr="006060F1">
        <w:rPr>
          <w:rFonts w:eastAsia="Times New Roman" w:cstheme="minorHAnsi"/>
          <w:color w:val="000000"/>
          <w:lang w:val="es-ES" w:eastAsia="en-GB"/>
        </w:rPr>
        <w:t xml:space="preserve">. </w:t>
      </w:r>
    </w:p>
    <w:p w14:paraId="33203B94" w14:textId="77777777" w:rsidR="0062622F" w:rsidRPr="006060F1" w:rsidRDefault="0062622F" w:rsidP="007D3790">
      <w:pPr>
        <w:suppressAutoHyphens/>
        <w:spacing w:after="0" w:line="240" w:lineRule="auto"/>
        <w:ind w:left="425" w:hanging="425"/>
        <w:rPr>
          <w:rFonts w:eastAsia="Times New Roman" w:cstheme="minorHAnsi"/>
          <w:color w:val="000000"/>
          <w:lang w:val="es-ES" w:eastAsia="en-GB"/>
        </w:rPr>
      </w:pPr>
    </w:p>
    <w:p w14:paraId="56C61154" w14:textId="0E121EB5" w:rsidR="009C2848" w:rsidRPr="006060F1" w:rsidRDefault="00981447" w:rsidP="007D3790">
      <w:pPr>
        <w:tabs>
          <w:tab w:val="left" w:pos="426"/>
        </w:tabs>
        <w:autoSpaceDE w:val="0"/>
        <w:autoSpaceDN w:val="0"/>
        <w:adjustRightInd w:val="0"/>
        <w:spacing w:after="0" w:line="240" w:lineRule="auto"/>
        <w:ind w:left="426" w:hanging="426"/>
        <w:rPr>
          <w:rFonts w:eastAsia="Times New Roman" w:cstheme="minorHAnsi"/>
          <w:color w:val="000000"/>
          <w:lang w:val="es-ES" w:eastAsia="en-GB"/>
        </w:rPr>
      </w:pPr>
      <w:r w:rsidRPr="006060F1">
        <w:rPr>
          <w:rFonts w:eastAsia="Times New Roman" w:cstheme="minorHAnsi"/>
          <w:color w:val="000000"/>
          <w:lang w:val="es-ES" w:eastAsia="en-GB"/>
        </w:rPr>
        <w:t>29</w:t>
      </w:r>
      <w:r w:rsidR="00FD2EFA" w:rsidRPr="006060F1">
        <w:rPr>
          <w:rFonts w:eastAsia="Times New Roman" w:cstheme="minorHAnsi"/>
          <w:color w:val="000000"/>
          <w:lang w:val="es-ES" w:eastAsia="en-GB"/>
        </w:rPr>
        <w:t>.</w:t>
      </w:r>
      <w:r w:rsidR="00FD2EFA" w:rsidRPr="006060F1">
        <w:rPr>
          <w:rFonts w:eastAsia="Times New Roman" w:cstheme="minorHAnsi"/>
          <w:color w:val="000000"/>
          <w:lang w:val="es-ES" w:eastAsia="en-GB"/>
        </w:rPr>
        <w:tab/>
      </w:r>
      <w:r w:rsidR="006011A5" w:rsidRPr="006060F1">
        <w:rPr>
          <w:rFonts w:cstheme="minorHAnsi"/>
          <w:color w:val="000000"/>
          <w:lang w:val="es-ES"/>
        </w:rPr>
        <w:t>La Convención sobre los Humedales, como cocustodia junto con el PNUMA del indicador 6.6.1 de los ODS, “</w:t>
      </w:r>
      <w:r w:rsidR="006011A5" w:rsidRPr="006060F1">
        <w:rPr>
          <w:rFonts w:cstheme="minorHAnsi"/>
          <w:lang w:val="es-ES"/>
        </w:rPr>
        <w:t>Cambio en la extensión de los ecosistemas relacionados con el agua a lo largo del tiempo</w:t>
      </w:r>
      <w:r w:rsidR="006011A5" w:rsidRPr="006060F1">
        <w:rPr>
          <w:rFonts w:cstheme="minorHAnsi"/>
          <w:color w:val="000000"/>
          <w:lang w:val="es-ES"/>
        </w:rPr>
        <w:t xml:space="preserve">”, preparó </w:t>
      </w:r>
      <w:r w:rsidR="00FE479C">
        <w:rPr>
          <w:rFonts w:cstheme="minorHAnsi"/>
          <w:color w:val="000000"/>
          <w:lang w:val="es-ES"/>
        </w:rPr>
        <w:t xml:space="preserve">una línea </w:t>
      </w:r>
      <w:r w:rsidR="004E2A67" w:rsidRPr="006060F1">
        <w:rPr>
          <w:rFonts w:cstheme="minorHAnsi"/>
          <w:color w:val="000000"/>
          <w:lang w:val="es-ES"/>
        </w:rPr>
        <w:t>argumental</w:t>
      </w:r>
      <w:r w:rsidR="006011A5" w:rsidRPr="006060F1">
        <w:rPr>
          <w:rFonts w:cstheme="minorHAnsi"/>
          <w:color w:val="000000"/>
          <w:lang w:val="es-ES"/>
        </w:rPr>
        <w:t xml:space="preserve"> conjunt</w:t>
      </w:r>
      <w:r w:rsidR="00FE479C">
        <w:rPr>
          <w:rFonts w:cstheme="minorHAnsi"/>
          <w:color w:val="000000"/>
          <w:lang w:val="es-ES"/>
        </w:rPr>
        <w:t>a</w:t>
      </w:r>
      <w:r w:rsidR="006011A5" w:rsidRPr="006060F1">
        <w:rPr>
          <w:rFonts w:cstheme="minorHAnsi"/>
          <w:color w:val="000000"/>
          <w:lang w:val="es-ES"/>
        </w:rPr>
        <w:t xml:space="preserve"> con el PNUMA para el informe del Secretario General de las Naciones Unidas sobre los ODS para el foro político de alto nivel en julio de 2022.</w:t>
      </w:r>
    </w:p>
    <w:p w14:paraId="07939D22" w14:textId="77777777" w:rsidR="009C2848" w:rsidRPr="006060F1" w:rsidRDefault="009C2848" w:rsidP="007D3790">
      <w:pPr>
        <w:suppressAutoHyphens/>
        <w:spacing w:after="0" w:line="240" w:lineRule="auto"/>
        <w:ind w:left="425" w:hanging="425"/>
        <w:rPr>
          <w:rFonts w:eastAsia="Times New Roman" w:cstheme="minorHAnsi"/>
          <w:color w:val="000000"/>
          <w:lang w:val="es-ES" w:eastAsia="en-GB"/>
        </w:rPr>
      </w:pPr>
    </w:p>
    <w:p w14:paraId="44FFDE1E" w14:textId="000CACB6" w:rsidR="009C2848" w:rsidRPr="006060F1" w:rsidRDefault="009C2848" w:rsidP="007D3790">
      <w:pPr>
        <w:suppressAutoHyphens/>
        <w:spacing w:after="0" w:line="240" w:lineRule="auto"/>
        <w:ind w:left="425" w:hanging="425"/>
        <w:rPr>
          <w:rFonts w:eastAsia="Times New Roman" w:cstheme="minorHAnsi"/>
          <w:color w:val="000000"/>
          <w:lang w:val="es-ES" w:eastAsia="en-GB"/>
        </w:rPr>
      </w:pPr>
      <w:r w:rsidRPr="006060F1">
        <w:rPr>
          <w:rFonts w:eastAsia="Times New Roman" w:cstheme="minorHAnsi"/>
          <w:color w:val="000000"/>
          <w:lang w:val="es-ES" w:eastAsia="en-GB"/>
        </w:rPr>
        <w:t>3</w:t>
      </w:r>
      <w:r w:rsidR="00981447" w:rsidRPr="006060F1">
        <w:rPr>
          <w:rFonts w:eastAsia="Times New Roman" w:cstheme="minorHAnsi"/>
          <w:color w:val="000000"/>
          <w:lang w:val="es-ES" w:eastAsia="en-GB"/>
        </w:rPr>
        <w:t>0</w:t>
      </w:r>
      <w:r w:rsidRPr="006060F1">
        <w:rPr>
          <w:rFonts w:eastAsia="Times New Roman" w:cstheme="minorHAnsi"/>
          <w:color w:val="000000"/>
          <w:lang w:val="es-ES" w:eastAsia="en-GB"/>
        </w:rPr>
        <w:t>.</w:t>
      </w:r>
      <w:r w:rsidRPr="006060F1">
        <w:rPr>
          <w:rFonts w:eastAsia="Times New Roman" w:cstheme="minorHAnsi"/>
          <w:color w:val="000000"/>
          <w:lang w:val="es-ES" w:eastAsia="en-GB"/>
        </w:rPr>
        <w:tab/>
      </w:r>
      <w:r w:rsidR="006011A5" w:rsidRPr="006060F1">
        <w:rPr>
          <w:rFonts w:cstheme="minorHAnsi"/>
          <w:color w:val="000000"/>
          <w:lang w:val="es-ES"/>
        </w:rPr>
        <w:t xml:space="preserve">La Secretaría sigue participando en el proyecto de sinergias </w:t>
      </w:r>
      <w:r w:rsidR="006011A5" w:rsidRPr="006060F1">
        <w:rPr>
          <w:rFonts w:cstheme="minorHAnsi"/>
          <w:i/>
          <w:color w:val="000000"/>
          <w:lang w:val="es-ES"/>
        </w:rPr>
        <w:t>Realizing Synergies for Biodiversity</w:t>
      </w:r>
      <w:r w:rsidR="006011A5" w:rsidRPr="006060F1">
        <w:rPr>
          <w:rFonts w:cstheme="minorHAnsi"/>
          <w:color w:val="000000"/>
          <w:lang w:val="es-ES"/>
        </w:rPr>
        <w:t xml:space="preserve"> [Lograr sinergias para la biodiversidad], dirigido por el PNUMA, en el que participan las demás convenciones relacionadas con la biodiversidad, respondiendo a la resolución </w:t>
      </w:r>
      <w:r w:rsidRPr="006060F1">
        <w:rPr>
          <w:rFonts w:eastAsia="Times New Roman" w:cstheme="minorHAnsi"/>
          <w:color w:val="000000"/>
          <w:lang w:val="es-ES" w:eastAsia="en-GB"/>
        </w:rPr>
        <w:t>2/17</w:t>
      </w:r>
      <w:r w:rsidR="006011A5" w:rsidRPr="006060F1">
        <w:rPr>
          <w:rFonts w:cstheme="minorHAnsi"/>
          <w:color w:val="000000"/>
          <w:lang w:val="es-ES"/>
        </w:rPr>
        <w:t xml:space="preserve"> de la Asamblea de las Naciones Unidas para el Medio Ambiente</w:t>
      </w:r>
      <w:r w:rsidRPr="006060F1">
        <w:rPr>
          <w:rFonts w:eastAsia="Times New Roman" w:cstheme="minorHAnsi"/>
          <w:color w:val="000000"/>
          <w:lang w:val="es-ES" w:eastAsia="en-GB"/>
        </w:rPr>
        <w:t xml:space="preserve">. </w:t>
      </w:r>
    </w:p>
    <w:p w14:paraId="254EDFEE" w14:textId="0AD4C8BE" w:rsidR="00F57B2D" w:rsidRPr="006060F1" w:rsidRDefault="00F57B2D" w:rsidP="007D3790">
      <w:pPr>
        <w:suppressAutoHyphens/>
        <w:spacing w:after="0" w:line="240" w:lineRule="auto"/>
        <w:ind w:left="425" w:hanging="425"/>
        <w:rPr>
          <w:rFonts w:eastAsia="Times New Roman" w:cstheme="minorHAnsi"/>
          <w:color w:val="000000"/>
          <w:lang w:val="es-ES" w:eastAsia="en-GB"/>
        </w:rPr>
      </w:pPr>
    </w:p>
    <w:p w14:paraId="24C19745" w14:textId="559A5D4A" w:rsidR="0056447C" w:rsidRPr="006060F1" w:rsidRDefault="00981447" w:rsidP="007D3790">
      <w:pPr>
        <w:spacing w:after="0" w:line="240" w:lineRule="auto"/>
        <w:ind w:left="426" w:hanging="426"/>
        <w:rPr>
          <w:sz w:val="21"/>
          <w:szCs w:val="21"/>
          <w:lang w:val="es-ES"/>
        </w:rPr>
      </w:pPr>
      <w:r w:rsidRPr="006060F1">
        <w:rPr>
          <w:rFonts w:eastAsia="Times New Roman" w:cstheme="minorHAnsi"/>
          <w:color w:val="000000"/>
          <w:lang w:val="es-ES" w:eastAsia="en-GB"/>
        </w:rPr>
        <w:t xml:space="preserve">31.   </w:t>
      </w:r>
      <w:r w:rsidR="006011A5" w:rsidRPr="006060F1">
        <w:rPr>
          <w:rFonts w:eastAsia="Times New Roman" w:cstheme="minorHAnsi"/>
          <w:color w:val="000000"/>
          <w:lang w:val="es-ES" w:eastAsia="en-GB"/>
        </w:rPr>
        <w:t>La Secretaría</w:t>
      </w:r>
      <w:r w:rsidR="00F57B2D" w:rsidRPr="006060F1">
        <w:rPr>
          <w:rFonts w:eastAsia="Times New Roman" w:cstheme="minorHAnsi"/>
          <w:color w:val="000000"/>
          <w:lang w:val="es-ES" w:eastAsia="en-GB"/>
        </w:rPr>
        <w:t xml:space="preserve"> particip</w:t>
      </w:r>
      <w:r w:rsidR="006011A5" w:rsidRPr="006060F1">
        <w:rPr>
          <w:rFonts w:eastAsia="Times New Roman" w:cstheme="minorHAnsi"/>
          <w:color w:val="000000"/>
          <w:lang w:val="es-ES" w:eastAsia="en-GB"/>
        </w:rPr>
        <w:t xml:space="preserve">ó como oradora en el curso interactivo en línea sobre la aplicación de los acuerdos </w:t>
      </w:r>
      <w:r w:rsidR="004E2A67" w:rsidRPr="006060F1">
        <w:rPr>
          <w:rFonts w:eastAsia="Times New Roman" w:cstheme="minorHAnsi"/>
          <w:color w:val="000000"/>
          <w:lang w:val="es-ES" w:eastAsia="en-GB"/>
        </w:rPr>
        <w:t>multilaterales</w:t>
      </w:r>
      <w:r w:rsidR="006011A5" w:rsidRPr="006060F1">
        <w:rPr>
          <w:rFonts w:eastAsia="Times New Roman" w:cstheme="minorHAnsi"/>
          <w:color w:val="000000"/>
          <w:lang w:val="es-ES" w:eastAsia="en-GB"/>
        </w:rPr>
        <w:t xml:space="preserve"> sobre el medio ambiente organizado por el PNUMA y el </w:t>
      </w:r>
      <w:r w:rsidR="00935D19" w:rsidRPr="00DB452F">
        <w:rPr>
          <w:rFonts w:eastAsia="Times New Roman" w:cstheme="minorHAnsi"/>
          <w:color w:val="000000"/>
          <w:lang w:val="es-ES" w:eastAsia="en-GB"/>
        </w:rPr>
        <w:t>Center for Governance and Sustainability</w:t>
      </w:r>
      <w:r w:rsidR="00935D19" w:rsidRPr="006060F1">
        <w:rPr>
          <w:rFonts w:eastAsia="Times New Roman" w:cstheme="minorHAnsi"/>
          <w:color w:val="000000"/>
          <w:lang w:val="es-ES" w:eastAsia="en-GB"/>
        </w:rPr>
        <w:t xml:space="preserve"> </w:t>
      </w:r>
      <w:r w:rsidR="006011A5" w:rsidRPr="006060F1">
        <w:rPr>
          <w:rFonts w:eastAsia="Times New Roman" w:cstheme="minorHAnsi"/>
          <w:color w:val="000000"/>
          <w:lang w:val="es-ES" w:eastAsia="en-GB"/>
        </w:rPr>
        <w:t>de la Universidad de M</w:t>
      </w:r>
      <w:r w:rsidR="00F57B2D" w:rsidRPr="006060F1">
        <w:rPr>
          <w:rFonts w:cstheme="minorHAnsi"/>
          <w:bCs/>
          <w:lang w:val="es-ES"/>
        </w:rPr>
        <w:t xml:space="preserve">assachusetts </w:t>
      </w:r>
      <w:r w:rsidR="006011A5" w:rsidRPr="006060F1">
        <w:rPr>
          <w:rFonts w:cstheme="minorHAnsi"/>
          <w:bCs/>
          <w:lang w:val="es-ES"/>
        </w:rPr>
        <w:t xml:space="preserve">en </w:t>
      </w:r>
      <w:r w:rsidR="00F57B2D" w:rsidRPr="006060F1">
        <w:rPr>
          <w:rFonts w:cstheme="minorHAnsi"/>
          <w:bCs/>
          <w:lang w:val="es-ES"/>
        </w:rPr>
        <w:t>Boston</w:t>
      </w:r>
      <w:r w:rsidR="00935D19" w:rsidRPr="006060F1">
        <w:rPr>
          <w:rFonts w:cstheme="minorHAnsi"/>
          <w:bCs/>
          <w:lang w:val="es-ES"/>
        </w:rPr>
        <w:t xml:space="preserve"> </w:t>
      </w:r>
      <w:r w:rsidR="006011A5" w:rsidRPr="006060F1">
        <w:rPr>
          <w:rFonts w:cstheme="minorHAnsi"/>
          <w:bCs/>
          <w:lang w:val="es-ES"/>
        </w:rPr>
        <w:t xml:space="preserve">los días </w:t>
      </w:r>
      <w:r w:rsidR="0056447C" w:rsidRPr="006060F1">
        <w:rPr>
          <w:rFonts w:cstheme="minorHAnsi"/>
          <w:bCs/>
          <w:lang w:val="es-ES"/>
        </w:rPr>
        <w:t>30</w:t>
      </w:r>
      <w:r w:rsidR="006011A5" w:rsidRPr="006060F1">
        <w:rPr>
          <w:rFonts w:cstheme="minorHAnsi"/>
          <w:bCs/>
          <w:lang w:val="es-ES"/>
        </w:rPr>
        <w:t xml:space="preserve"> de noviembre y</w:t>
      </w:r>
      <w:r w:rsidR="0056447C" w:rsidRPr="006060F1">
        <w:rPr>
          <w:rFonts w:cstheme="minorHAnsi"/>
          <w:bCs/>
          <w:lang w:val="es-ES"/>
        </w:rPr>
        <w:t xml:space="preserve"> 7 </w:t>
      </w:r>
      <w:r w:rsidR="006011A5" w:rsidRPr="006060F1">
        <w:rPr>
          <w:rFonts w:cstheme="minorHAnsi"/>
          <w:bCs/>
          <w:lang w:val="es-ES"/>
        </w:rPr>
        <w:t>de diciembre de</w:t>
      </w:r>
      <w:r w:rsidR="0056447C" w:rsidRPr="006060F1">
        <w:rPr>
          <w:rFonts w:cstheme="minorHAnsi"/>
          <w:bCs/>
          <w:lang w:val="es-ES"/>
        </w:rPr>
        <w:t xml:space="preserve"> 2021 </w:t>
      </w:r>
      <w:r w:rsidR="006011A5" w:rsidRPr="006060F1">
        <w:rPr>
          <w:rFonts w:cstheme="minorHAnsi"/>
          <w:bCs/>
          <w:lang w:val="es-ES"/>
        </w:rPr>
        <w:t xml:space="preserve">y </w:t>
      </w:r>
      <w:r w:rsidR="0056447C" w:rsidRPr="006060F1">
        <w:rPr>
          <w:rFonts w:cstheme="minorHAnsi"/>
          <w:bCs/>
          <w:lang w:val="es-ES"/>
        </w:rPr>
        <w:t xml:space="preserve">8 </w:t>
      </w:r>
      <w:r w:rsidR="006011A5" w:rsidRPr="006060F1">
        <w:rPr>
          <w:rFonts w:cstheme="minorHAnsi"/>
          <w:bCs/>
          <w:lang w:val="es-ES"/>
        </w:rPr>
        <w:t>de febrero de</w:t>
      </w:r>
      <w:r w:rsidR="0056447C" w:rsidRPr="006060F1">
        <w:rPr>
          <w:rFonts w:cstheme="minorHAnsi"/>
          <w:bCs/>
          <w:lang w:val="es-ES"/>
        </w:rPr>
        <w:t xml:space="preserve"> 2022</w:t>
      </w:r>
      <w:r w:rsidR="006011A5" w:rsidRPr="006060F1">
        <w:rPr>
          <w:rFonts w:cstheme="minorHAnsi"/>
          <w:bCs/>
          <w:lang w:val="es-ES"/>
        </w:rPr>
        <w:t>, centrado en los países de la región de Oriente Medio y el Magreb.</w:t>
      </w:r>
    </w:p>
    <w:p w14:paraId="2A7F9F6D" w14:textId="430E7DE3" w:rsidR="0056447C" w:rsidRPr="006060F1" w:rsidRDefault="0056447C" w:rsidP="007D3790">
      <w:pPr>
        <w:suppressAutoHyphens/>
        <w:spacing w:after="0" w:line="240" w:lineRule="auto"/>
        <w:ind w:left="425" w:hanging="425"/>
        <w:rPr>
          <w:rFonts w:eastAsia="Times New Roman" w:cstheme="minorHAnsi"/>
          <w:color w:val="000000"/>
          <w:lang w:val="es-ES" w:eastAsia="en-GB"/>
        </w:rPr>
      </w:pPr>
      <w:r w:rsidRPr="006060F1">
        <w:rPr>
          <w:rFonts w:cstheme="minorHAnsi"/>
          <w:bCs/>
          <w:lang w:val="es-ES"/>
        </w:rPr>
        <w:t xml:space="preserve"> </w:t>
      </w:r>
    </w:p>
    <w:p w14:paraId="2A8D70A3" w14:textId="2834A174" w:rsidR="000D6E87" w:rsidRDefault="009C2848" w:rsidP="007D3790">
      <w:pPr>
        <w:suppressAutoHyphens/>
        <w:spacing w:after="0" w:line="240" w:lineRule="auto"/>
        <w:ind w:left="425" w:hanging="425"/>
        <w:rPr>
          <w:highlight w:val="yellow"/>
          <w:lang w:val="es-ES"/>
        </w:rPr>
      </w:pPr>
      <w:r w:rsidRPr="006060F1">
        <w:rPr>
          <w:rFonts w:eastAsia="Times New Roman" w:cstheme="minorHAnsi"/>
          <w:color w:val="000000"/>
          <w:lang w:val="es-ES" w:eastAsia="en-GB"/>
        </w:rPr>
        <w:t>3</w:t>
      </w:r>
      <w:r w:rsidR="00981447" w:rsidRPr="006060F1">
        <w:rPr>
          <w:rFonts w:eastAsia="Times New Roman" w:cstheme="minorHAnsi"/>
          <w:color w:val="000000"/>
          <w:lang w:val="es-ES" w:eastAsia="en-GB"/>
        </w:rPr>
        <w:t>2</w:t>
      </w:r>
      <w:r w:rsidRPr="006060F1">
        <w:rPr>
          <w:rFonts w:eastAsia="Times New Roman" w:cstheme="minorHAnsi"/>
          <w:color w:val="000000"/>
          <w:lang w:val="es-ES" w:eastAsia="en-GB"/>
        </w:rPr>
        <w:t>.</w:t>
      </w:r>
      <w:r w:rsidRPr="006060F1">
        <w:rPr>
          <w:rFonts w:eastAsia="Times New Roman" w:cstheme="minorHAnsi"/>
          <w:color w:val="000000"/>
          <w:lang w:val="es-ES" w:eastAsia="en-GB"/>
        </w:rPr>
        <w:tab/>
      </w:r>
      <w:r w:rsidR="006011A5" w:rsidRPr="00DB452F">
        <w:rPr>
          <w:rFonts w:eastAsia="Times New Roman" w:cstheme="minorHAnsi"/>
          <w:color w:val="000000"/>
          <w:lang w:val="es-ES" w:eastAsia="en-GB"/>
        </w:rPr>
        <w:t>La Secretaría</w:t>
      </w:r>
      <w:r w:rsidRPr="00DB452F">
        <w:rPr>
          <w:rFonts w:eastAsia="Times New Roman" w:cstheme="minorHAnsi"/>
          <w:color w:val="000000"/>
          <w:lang w:val="es-ES" w:eastAsia="en-GB"/>
        </w:rPr>
        <w:t xml:space="preserve"> </w:t>
      </w:r>
      <w:r w:rsidR="00AE3555" w:rsidRPr="00DB452F">
        <w:rPr>
          <w:rFonts w:cstheme="minorHAnsi"/>
          <w:color w:val="000000"/>
          <w:lang w:val="es-ES"/>
        </w:rPr>
        <w:t>siguió</w:t>
      </w:r>
      <w:r w:rsidR="00AE3555" w:rsidRPr="006060F1">
        <w:rPr>
          <w:rFonts w:cstheme="minorHAnsi"/>
          <w:color w:val="000000"/>
          <w:lang w:val="es-ES"/>
        </w:rPr>
        <w:t xml:space="preserve"> contribuyendo a la iniciativa InforMEA y participó en la</w:t>
      </w:r>
      <w:r w:rsidR="000D6E87">
        <w:rPr>
          <w:rFonts w:cstheme="minorHAnsi"/>
          <w:color w:val="000000"/>
          <w:lang w:val="es-ES"/>
        </w:rPr>
        <w:t xml:space="preserve"> décimo segunda  </w:t>
      </w:r>
      <w:r w:rsidR="00AE3555" w:rsidRPr="006060F1">
        <w:rPr>
          <w:rFonts w:cstheme="minorHAnsi"/>
          <w:color w:val="000000"/>
          <w:lang w:val="es-ES"/>
        </w:rPr>
        <w:t xml:space="preserve"> reunión virtual del Comité Directivo de esta el </w:t>
      </w:r>
      <w:r w:rsidR="000D6E87">
        <w:rPr>
          <w:rFonts w:cstheme="minorHAnsi"/>
          <w:color w:val="000000"/>
          <w:lang w:val="es-ES"/>
        </w:rPr>
        <w:t>1</w:t>
      </w:r>
      <w:r w:rsidR="00AE3555" w:rsidRPr="006060F1">
        <w:rPr>
          <w:rFonts w:cstheme="minorHAnsi"/>
          <w:color w:val="000000"/>
          <w:lang w:val="es-ES"/>
        </w:rPr>
        <w:t xml:space="preserve">6 de </w:t>
      </w:r>
      <w:r w:rsidR="004E2A67" w:rsidRPr="006060F1">
        <w:rPr>
          <w:rFonts w:cstheme="minorHAnsi"/>
          <w:color w:val="000000"/>
          <w:lang w:val="es-ES"/>
        </w:rPr>
        <w:t>noviembre</w:t>
      </w:r>
      <w:r w:rsidR="00AE3555" w:rsidRPr="006060F1">
        <w:rPr>
          <w:rFonts w:cstheme="minorHAnsi"/>
          <w:color w:val="000000"/>
          <w:lang w:val="es-ES"/>
        </w:rPr>
        <w:t xml:space="preserve"> de </w:t>
      </w:r>
      <w:r w:rsidR="00127675" w:rsidRPr="00363DEC">
        <w:rPr>
          <w:lang w:val="es-ES"/>
        </w:rPr>
        <w:t>202</w:t>
      </w:r>
      <w:r w:rsidR="000D6E87" w:rsidRPr="00363DEC">
        <w:rPr>
          <w:lang w:val="es-ES"/>
        </w:rPr>
        <w:t>1</w:t>
      </w:r>
      <w:r w:rsidR="00127675" w:rsidRPr="00363DEC">
        <w:rPr>
          <w:lang w:val="es-ES"/>
        </w:rPr>
        <w:t xml:space="preserve">. </w:t>
      </w:r>
      <w:r w:rsidR="000D6E87" w:rsidRPr="00363DEC">
        <w:rPr>
          <w:lang w:val="es-ES"/>
        </w:rPr>
        <w:t>La Secretaria contribuyó</w:t>
      </w:r>
      <w:r w:rsidR="000D6E87" w:rsidRPr="000D6E87">
        <w:rPr>
          <w:lang w:val="es-ES"/>
        </w:rPr>
        <w:t xml:space="preserve"> en temas que incluyen la implementación de API, la indexación semántica y el aprendizaje electrónico.</w:t>
      </w:r>
    </w:p>
    <w:p w14:paraId="1E3F3633" w14:textId="5BB01D66" w:rsidR="00590992" w:rsidRPr="006060F1" w:rsidRDefault="00590992" w:rsidP="007D3790">
      <w:pPr>
        <w:spacing w:after="0" w:line="240" w:lineRule="auto"/>
        <w:ind w:left="142"/>
        <w:rPr>
          <w:rFonts w:eastAsia="Times New Roman" w:cstheme="minorHAnsi"/>
          <w:color w:val="000000"/>
          <w:highlight w:val="yellow"/>
          <w:lang w:val="es-ES" w:eastAsia="en-GB"/>
        </w:rPr>
      </w:pPr>
    </w:p>
    <w:p w14:paraId="7889ACE0" w14:textId="409E6F26" w:rsidR="00222353" w:rsidRPr="006060F1" w:rsidRDefault="00D822C8" w:rsidP="007D3790">
      <w:pPr>
        <w:tabs>
          <w:tab w:val="left" w:pos="426"/>
        </w:tabs>
        <w:spacing w:after="0" w:line="240" w:lineRule="auto"/>
        <w:ind w:left="426" w:hanging="426"/>
        <w:rPr>
          <w:rFonts w:cstheme="minorHAnsi"/>
          <w:lang w:val="es-ES"/>
        </w:rPr>
      </w:pPr>
      <w:r w:rsidRPr="006060F1">
        <w:rPr>
          <w:rFonts w:cstheme="minorHAnsi"/>
          <w:lang w:val="es-ES"/>
        </w:rPr>
        <w:t>33.</w:t>
      </w:r>
      <w:r w:rsidRPr="006060F1">
        <w:rPr>
          <w:rFonts w:cstheme="minorHAnsi"/>
          <w:lang w:val="es-ES"/>
        </w:rPr>
        <w:tab/>
      </w:r>
      <w:r w:rsidR="00AE3555" w:rsidRPr="006060F1">
        <w:rPr>
          <w:rFonts w:cstheme="minorHAnsi"/>
          <w:lang w:val="es-ES"/>
        </w:rPr>
        <w:t xml:space="preserve">Se está preparando un curso introductorio sobre la Convención sobre los Humedales, que una vez finalizado se podrá descargar en el sitio web de la Convención. </w:t>
      </w:r>
      <w:r w:rsidR="00DB452F">
        <w:rPr>
          <w:rFonts w:cstheme="minorHAnsi"/>
          <w:lang w:val="es-ES"/>
        </w:rPr>
        <w:t>El</w:t>
      </w:r>
      <w:r w:rsidR="00AE3555" w:rsidRPr="006060F1">
        <w:rPr>
          <w:rFonts w:cstheme="minorHAnsi"/>
          <w:lang w:val="es-ES"/>
        </w:rPr>
        <w:t xml:space="preserve"> curso también estará </w:t>
      </w:r>
      <w:r w:rsidR="00AE3555" w:rsidRPr="006060F1">
        <w:rPr>
          <w:rFonts w:cstheme="minorHAnsi"/>
          <w:lang w:val="es-ES"/>
        </w:rPr>
        <w:lastRenderedPageBreak/>
        <w:t xml:space="preserve">disponible en la </w:t>
      </w:r>
      <w:r w:rsidR="004E2A67" w:rsidRPr="006060F1">
        <w:rPr>
          <w:rFonts w:cstheme="minorHAnsi"/>
          <w:lang w:val="es-ES"/>
        </w:rPr>
        <w:t>plataforma</w:t>
      </w:r>
      <w:r w:rsidR="00AE3555" w:rsidRPr="006060F1">
        <w:rPr>
          <w:rFonts w:cstheme="minorHAnsi"/>
          <w:lang w:val="es-ES"/>
        </w:rPr>
        <w:t xml:space="preserve"> de aprendizaje y conocimiento de </w:t>
      </w:r>
      <w:r w:rsidR="00222353" w:rsidRPr="006060F1">
        <w:rPr>
          <w:rFonts w:cstheme="minorHAnsi"/>
          <w:lang w:val="es-ES"/>
        </w:rPr>
        <w:t xml:space="preserve">InforMEA </w:t>
      </w:r>
      <w:r w:rsidR="00AE3555" w:rsidRPr="006060F1">
        <w:rPr>
          <w:rFonts w:cstheme="minorHAnsi"/>
          <w:lang w:val="es-ES"/>
        </w:rPr>
        <w:t xml:space="preserve">de las Naciones Unidas, que contine información y cursos introductorios sobre </w:t>
      </w:r>
      <w:r w:rsidR="00DB452F">
        <w:rPr>
          <w:rFonts w:cstheme="minorHAnsi"/>
          <w:lang w:val="es-ES"/>
        </w:rPr>
        <w:t>distintos</w:t>
      </w:r>
      <w:r w:rsidR="00AE3555" w:rsidRPr="006060F1">
        <w:rPr>
          <w:rFonts w:cstheme="minorHAnsi"/>
          <w:lang w:val="es-ES"/>
        </w:rPr>
        <w:t xml:space="preserve"> AMMA</w:t>
      </w:r>
      <w:r w:rsidR="00222353" w:rsidRPr="006060F1">
        <w:rPr>
          <w:rFonts w:cstheme="minorHAnsi"/>
          <w:lang w:val="es-ES"/>
        </w:rPr>
        <w:t>.</w:t>
      </w:r>
    </w:p>
    <w:p w14:paraId="30EC7D59" w14:textId="36F972A5" w:rsidR="0051310D" w:rsidRPr="006060F1" w:rsidRDefault="00813EBF" w:rsidP="007D3790">
      <w:pPr>
        <w:tabs>
          <w:tab w:val="left" w:pos="426"/>
        </w:tabs>
        <w:spacing w:after="0" w:line="240" w:lineRule="auto"/>
        <w:ind w:left="426" w:hanging="426"/>
        <w:rPr>
          <w:rFonts w:cstheme="minorHAnsi"/>
          <w:highlight w:val="yellow"/>
          <w:lang w:val="es-ES"/>
        </w:rPr>
      </w:pPr>
      <w:r w:rsidRPr="006060F1">
        <w:rPr>
          <w:rFonts w:eastAsia="Times New Roman" w:cstheme="minorHAnsi"/>
          <w:color w:val="000000"/>
          <w:lang w:val="es-ES" w:eastAsia="en-GB"/>
        </w:rPr>
        <w:t>3</w:t>
      </w:r>
      <w:r w:rsidR="00D822C8" w:rsidRPr="006060F1">
        <w:rPr>
          <w:rFonts w:eastAsia="Times New Roman" w:cstheme="minorHAnsi"/>
          <w:color w:val="000000"/>
          <w:lang w:val="es-ES" w:eastAsia="en-GB"/>
        </w:rPr>
        <w:t>4</w:t>
      </w:r>
      <w:r w:rsidRPr="006060F1">
        <w:rPr>
          <w:rFonts w:eastAsia="Times New Roman" w:cstheme="minorHAnsi"/>
          <w:color w:val="000000"/>
          <w:lang w:val="es-ES" w:eastAsia="en-GB"/>
        </w:rPr>
        <w:t>.</w:t>
      </w:r>
      <w:r w:rsidRPr="006060F1">
        <w:rPr>
          <w:rFonts w:eastAsia="Times New Roman" w:cstheme="minorHAnsi"/>
          <w:color w:val="000000"/>
          <w:lang w:val="es-ES" w:eastAsia="en-GB"/>
        </w:rPr>
        <w:tab/>
      </w:r>
      <w:r w:rsidR="00AE3555" w:rsidRPr="006060F1">
        <w:rPr>
          <w:rFonts w:eastAsia="Times New Roman" w:cstheme="minorHAnsi"/>
          <w:color w:val="000000"/>
          <w:lang w:val="es-ES" w:eastAsia="en-GB"/>
        </w:rPr>
        <w:t xml:space="preserve">Como asociado mundial del Decenio de las Naciones Unidas sobre la </w:t>
      </w:r>
      <w:r w:rsidR="004E2A67" w:rsidRPr="006060F1">
        <w:rPr>
          <w:rFonts w:eastAsia="Times New Roman" w:cstheme="minorHAnsi"/>
          <w:color w:val="000000"/>
          <w:lang w:val="es-ES" w:eastAsia="en-GB"/>
        </w:rPr>
        <w:t>Restauración</w:t>
      </w:r>
      <w:r w:rsidR="00AE3555" w:rsidRPr="006060F1">
        <w:rPr>
          <w:rFonts w:eastAsia="Times New Roman" w:cstheme="minorHAnsi"/>
          <w:color w:val="000000"/>
          <w:lang w:val="es-ES" w:eastAsia="en-GB"/>
        </w:rPr>
        <w:t xml:space="preserve"> </w:t>
      </w:r>
      <w:r w:rsidR="00AE3555" w:rsidRPr="006060F1">
        <w:rPr>
          <w:rFonts w:eastAsia="Times New Roman" w:cstheme="minorHAnsi"/>
          <w:color w:val="000000" w:themeColor="text1"/>
          <w:lang w:val="es-ES" w:eastAsia="en-GB"/>
        </w:rPr>
        <w:t xml:space="preserve">de </w:t>
      </w:r>
      <w:r w:rsidR="00AE3555" w:rsidRPr="006060F1">
        <w:rPr>
          <w:rFonts w:eastAsia="Times New Roman" w:cstheme="minorHAnsi"/>
          <w:color w:val="000000"/>
          <w:lang w:val="es-ES" w:eastAsia="en-GB"/>
        </w:rPr>
        <w:t xml:space="preserve">Ecosistemas, </w:t>
      </w:r>
      <w:r w:rsidR="006011A5" w:rsidRPr="006060F1">
        <w:rPr>
          <w:rFonts w:cstheme="minorHAnsi"/>
          <w:lang w:val="es-ES"/>
        </w:rPr>
        <w:t>la Secretaría</w:t>
      </w:r>
      <w:r w:rsidR="00765378" w:rsidRPr="006060F1">
        <w:rPr>
          <w:rFonts w:cstheme="minorHAnsi"/>
          <w:lang w:val="es-ES"/>
        </w:rPr>
        <w:t xml:space="preserve"> </w:t>
      </w:r>
      <w:r w:rsidR="00AE3555" w:rsidRPr="006060F1">
        <w:rPr>
          <w:rFonts w:cstheme="minorHAnsi"/>
          <w:lang w:val="es-ES"/>
        </w:rPr>
        <w:t xml:space="preserve">sigue participando activamente en esta agenda y </w:t>
      </w:r>
      <w:r w:rsidR="00DB452F">
        <w:rPr>
          <w:rFonts w:cstheme="minorHAnsi"/>
          <w:lang w:val="es-ES"/>
        </w:rPr>
        <w:t xml:space="preserve">en </w:t>
      </w:r>
      <w:r w:rsidR="00AE3555" w:rsidRPr="006060F1">
        <w:rPr>
          <w:rFonts w:cstheme="minorHAnsi"/>
          <w:lang w:val="es-ES"/>
        </w:rPr>
        <w:t xml:space="preserve">los grupos de trabajo del marco para el seguimiento </w:t>
      </w:r>
      <w:r w:rsidR="00363DEC">
        <w:rPr>
          <w:rFonts w:cstheme="minorHAnsi"/>
          <w:lang w:val="es-ES"/>
        </w:rPr>
        <w:t xml:space="preserve">de </w:t>
      </w:r>
      <w:r w:rsidR="00AE3555" w:rsidRPr="006060F1">
        <w:rPr>
          <w:rFonts w:cstheme="minorHAnsi"/>
          <w:lang w:val="es-ES"/>
        </w:rPr>
        <w:t xml:space="preserve">buenas </w:t>
      </w:r>
      <w:r w:rsidR="004E2A67" w:rsidRPr="006060F1">
        <w:rPr>
          <w:rFonts w:cstheme="minorHAnsi"/>
          <w:lang w:val="es-ES"/>
        </w:rPr>
        <w:t>prácticas</w:t>
      </w:r>
      <w:r w:rsidR="006A59E1" w:rsidRPr="006060F1">
        <w:rPr>
          <w:rFonts w:cstheme="minorHAnsi"/>
          <w:lang w:val="es-ES"/>
        </w:rPr>
        <w:t xml:space="preserve"> </w:t>
      </w:r>
      <w:r w:rsidR="00363DEC">
        <w:rPr>
          <w:rFonts w:cstheme="minorHAnsi"/>
          <w:lang w:val="es-ES"/>
        </w:rPr>
        <w:t xml:space="preserve">y </w:t>
      </w:r>
      <w:r w:rsidR="006A59E1" w:rsidRPr="006060F1">
        <w:rPr>
          <w:rFonts w:cstheme="minorHAnsi"/>
          <w:lang w:val="es-ES"/>
        </w:rPr>
        <w:t xml:space="preserve">en materia de </w:t>
      </w:r>
      <w:r w:rsidR="004E2A67" w:rsidRPr="006060F1">
        <w:rPr>
          <w:rFonts w:cstheme="minorHAnsi"/>
          <w:lang w:val="es-ES"/>
        </w:rPr>
        <w:t>ecosistemas</w:t>
      </w:r>
      <w:r w:rsidR="006A59E1" w:rsidRPr="006060F1">
        <w:rPr>
          <w:rFonts w:cstheme="minorHAnsi"/>
          <w:lang w:val="es-ES"/>
        </w:rPr>
        <w:t xml:space="preserve"> acuáticos y de transición. Estas actividades fundamentaron el examen del indicador 6.6.1 del ODS 6, “Cambio en la extensión de los </w:t>
      </w:r>
      <w:r w:rsidR="004E2A67" w:rsidRPr="006060F1">
        <w:rPr>
          <w:rFonts w:cstheme="minorHAnsi"/>
          <w:lang w:val="es-ES"/>
        </w:rPr>
        <w:t>ecosistemas</w:t>
      </w:r>
      <w:r w:rsidR="006A59E1" w:rsidRPr="006060F1">
        <w:rPr>
          <w:rFonts w:cstheme="minorHAnsi"/>
          <w:lang w:val="es-ES"/>
        </w:rPr>
        <w:t xml:space="preserve"> </w:t>
      </w:r>
      <w:r w:rsidR="004E2A67" w:rsidRPr="006060F1">
        <w:rPr>
          <w:rFonts w:cstheme="minorHAnsi"/>
          <w:lang w:val="es-ES"/>
        </w:rPr>
        <w:t>relacionados</w:t>
      </w:r>
      <w:r w:rsidR="006A59E1" w:rsidRPr="006060F1">
        <w:rPr>
          <w:rFonts w:cstheme="minorHAnsi"/>
          <w:lang w:val="es-ES"/>
        </w:rPr>
        <w:t xml:space="preserve"> con el agua a lo largo del tiempo”, del que la Convención es cocustodia, así como </w:t>
      </w:r>
      <w:r w:rsidR="00DB452F">
        <w:rPr>
          <w:rFonts w:cstheme="minorHAnsi"/>
          <w:lang w:val="es-ES"/>
        </w:rPr>
        <w:t xml:space="preserve">de </w:t>
      </w:r>
      <w:r w:rsidR="006A59E1" w:rsidRPr="006060F1">
        <w:rPr>
          <w:rFonts w:cstheme="minorHAnsi"/>
          <w:lang w:val="es-ES"/>
        </w:rPr>
        <w:t xml:space="preserve">varias metas del Cuarto Plan Estratégico de la Convención como </w:t>
      </w:r>
      <w:r w:rsidR="004E2A67" w:rsidRPr="006060F1">
        <w:rPr>
          <w:rFonts w:cstheme="minorHAnsi"/>
          <w:lang w:val="es-ES"/>
        </w:rPr>
        <w:t>indicadores</w:t>
      </w:r>
      <w:r w:rsidR="006A59E1" w:rsidRPr="006060F1">
        <w:rPr>
          <w:rFonts w:cstheme="minorHAnsi"/>
          <w:lang w:val="es-ES"/>
        </w:rPr>
        <w:t xml:space="preserve"> prioritarios del marco de seguimiento del Decenio de las Naciones Unidas. Para </w:t>
      </w:r>
      <w:r w:rsidR="00BA1859" w:rsidRPr="006060F1">
        <w:rPr>
          <w:rFonts w:cstheme="minorHAnsi"/>
          <w:lang w:val="es-ES"/>
        </w:rPr>
        <w:t>marcar el inicio del Decenio el 5 de junio de 2021, la Secretaría elaboró tres fichas que destacan el potencial sin explotar de los humedales para contribuir a los esfuerzos de restauración de las Partes Contra</w:t>
      </w:r>
      <w:r w:rsidR="004E2A67">
        <w:rPr>
          <w:rFonts w:cstheme="minorHAnsi"/>
          <w:lang w:val="es-ES"/>
        </w:rPr>
        <w:t>ta</w:t>
      </w:r>
      <w:r w:rsidR="00BA1859" w:rsidRPr="006060F1">
        <w:rPr>
          <w:rFonts w:cstheme="minorHAnsi"/>
          <w:lang w:val="es-ES"/>
        </w:rPr>
        <w:t xml:space="preserve">ntes, los responsables de políticas y los profesionales. Véase el enlace </w:t>
      </w:r>
      <w:hyperlink r:id="rId10" w:history="1">
        <w:r w:rsidR="007D3790" w:rsidRPr="007D3790">
          <w:rPr>
            <w:rStyle w:val="Hyperlink"/>
            <w:lang w:val="fr-FR"/>
          </w:rPr>
          <w:t>https://www.ramsar.org/es/documento/restauracion-de-los-humedales-liberar-el-potencial-desaprovechado-del-ecosistema-mas</w:t>
        </w:r>
      </w:hyperlink>
      <w:r w:rsidR="007D3790" w:rsidRPr="007D3790">
        <w:rPr>
          <w:lang w:val="fr-FR"/>
        </w:rPr>
        <w:t xml:space="preserve"> </w:t>
      </w:r>
      <w:r w:rsidR="002D69D7" w:rsidRPr="006060F1">
        <w:rPr>
          <w:rFonts w:cstheme="minorHAnsi"/>
          <w:highlight w:val="yellow"/>
          <w:lang w:val="es-ES"/>
        </w:rPr>
        <w:t xml:space="preserve"> </w:t>
      </w:r>
    </w:p>
    <w:p w14:paraId="7B917FD8" w14:textId="77777777" w:rsidR="0051310D" w:rsidRPr="006060F1" w:rsidRDefault="0051310D" w:rsidP="007D3790">
      <w:pPr>
        <w:suppressAutoHyphens/>
        <w:spacing w:after="0" w:line="240" w:lineRule="auto"/>
        <w:ind w:left="425" w:hanging="425"/>
        <w:rPr>
          <w:rFonts w:eastAsia="Times New Roman" w:cstheme="minorHAnsi"/>
          <w:color w:val="000000"/>
          <w:highlight w:val="yellow"/>
          <w:lang w:val="es-ES" w:eastAsia="en-GB"/>
        </w:rPr>
      </w:pPr>
    </w:p>
    <w:p w14:paraId="60BA6BE5" w14:textId="27906105" w:rsidR="006D7748" w:rsidRPr="006060F1" w:rsidRDefault="009F6F44" w:rsidP="007D3790">
      <w:pPr>
        <w:tabs>
          <w:tab w:val="left" w:pos="284"/>
          <w:tab w:val="left" w:pos="426"/>
        </w:tabs>
        <w:spacing w:after="0" w:line="240" w:lineRule="auto"/>
        <w:ind w:left="426" w:hanging="499"/>
        <w:rPr>
          <w:rFonts w:cstheme="minorHAnsi"/>
          <w:lang w:val="es-ES"/>
        </w:rPr>
      </w:pPr>
      <w:r w:rsidRPr="006060F1">
        <w:rPr>
          <w:rFonts w:cstheme="minorHAnsi"/>
          <w:lang w:val="es-ES"/>
        </w:rPr>
        <w:t>3</w:t>
      </w:r>
      <w:r w:rsidR="00D822C8" w:rsidRPr="006060F1">
        <w:rPr>
          <w:rFonts w:cstheme="minorHAnsi"/>
          <w:lang w:val="es-ES"/>
        </w:rPr>
        <w:t>5</w:t>
      </w:r>
      <w:r w:rsidR="00F3006D" w:rsidRPr="006060F1">
        <w:rPr>
          <w:rFonts w:cstheme="minorHAnsi"/>
          <w:lang w:val="es-ES"/>
        </w:rPr>
        <w:t>.</w:t>
      </w:r>
      <w:r w:rsidR="00F60271" w:rsidRPr="006060F1">
        <w:rPr>
          <w:rFonts w:cstheme="minorHAnsi"/>
          <w:lang w:val="es-ES"/>
        </w:rPr>
        <w:tab/>
      </w:r>
      <w:r w:rsidR="00F60271" w:rsidRPr="006060F1">
        <w:rPr>
          <w:rFonts w:cstheme="minorHAnsi"/>
          <w:lang w:val="es-ES"/>
        </w:rPr>
        <w:tab/>
      </w:r>
      <w:r w:rsidR="006011A5" w:rsidRPr="006060F1">
        <w:rPr>
          <w:rFonts w:cstheme="minorHAnsi"/>
          <w:lang w:val="es-ES"/>
        </w:rPr>
        <w:t>La Secretaría</w:t>
      </w:r>
      <w:r w:rsidR="006D7748" w:rsidRPr="006060F1">
        <w:rPr>
          <w:rFonts w:cstheme="minorHAnsi"/>
          <w:lang w:val="es-ES"/>
        </w:rPr>
        <w:t>,</w:t>
      </w:r>
      <w:r w:rsidR="00BA1859" w:rsidRPr="006060F1">
        <w:rPr>
          <w:rFonts w:cstheme="minorHAnsi"/>
          <w:lang w:val="es-ES"/>
        </w:rPr>
        <w:t xml:space="preserve"> como parte de la </w:t>
      </w:r>
      <w:r w:rsidR="006060F1" w:rsidRPr="006060F1">
        <w:rPr>
          <w:rFonts w:cstheme="minorHAnsi"/>
          <w:lang w:val="es-ES"/>
        </w:rPr>
        <w:t>Iniciativa</w:t>
      </w:r>
      <w:r w:rsidR="00BA1859" w:rsidRPr="006060F1">
        <w:rPr>
          <w:rFonts w:cstheme="minorHAnsi"/>
          <w:lang w:val="es-ES"/>
        </w:rPr>
        <w:t xml:space="preserve"> </w:t>
      </w:r>
      <w:r w:rsidR="004E2A67" w:rsidRPr="006060F1">
        <w:rPr>
          <w:rFonts w:cstheme="minorHAnsi"/>
          <w:lang w:val="es-ES"/>
        </w:rPr>
        <w:t>Mundial</w:t>
      </w:r>
      <w:r w:rsidR="00BA1859" w:rsidRPr="006060F1">
        <w:rPr>
          <w:rFonts w:cstheme="minorHAnsi"/>
          <w:lang w:val="es-ES"/>
        </w:rPr>
        <w:t xml:space="preserve"> para las Turberas, se unió al equipo de </w:t>
      </w:r>
      <w:r w:rsidR="004E2A67" w:rsidRPr="006060F1">
        <w:rPr>
          <w:rFonts w:cstheme="minorHAnsi"/>
          <w:lang w:val="es-ES"/>
        </w:rPr>
        <w:t>preparación</w:t>
      </w:r>
      <w:r w:rsidR="00BA1859" w:rsidRPr="006060F1">
        <w:rPr>
          <w:rFonts w:cstheme="minorHAnsi"/>
          <w:lang w:val="es-ES"/>
        </w:rPr>
        <w:t xml:space="preserve"> de la Evaluación Mundial sobre las Turberas, coordinada por el PNUMA-WCMC</w:t>
      </w:r>
      <w:r w:rsidR="00981447" w:rsidRPr="006060F1">
        <w:rPr>
          <w:rFonts w:cstheme="minorHAnsi"/>
          <w:lang w:val="es-ES"/>
        </w:rPr>
        <w:t>.</w:t>
      </w:r>
      <w:r w:rsidR="00E44AFD" w:rsidRPr="006060F1">
        <w:rPr>
          <w:rFonts w:cstheme="minorHAnsi"/>
          <w:lang w:val="es-ES"/>
        </w:rPr>
        <w:t xml:space="preserve"> </w:t>
      </w:r>
    </w:p>
    <w:p w14:paraId="6257B460" w14:textId="299265C5" w:rsidR="00FB5F08" w:rsidRPr="006060F1" w:rsidRDefault="00FB5F08" w:rsidP="007D3790">
      <w:pPr>
        <w:tabs>
          <w:tab w:val="left" w:pos="284"/>
          <w:tab w:val="left" w:pos="426"/>
        </w:tabs>
        <w:spacing w:after="0" w:line="240" w:lineRule="auto"/>
        <w:ind w:left="426" w:hanging="499"/>
        <w:rPr>
          <w:rFonts w:cstheme="minorHAnsi"/>
          <w:highlight w:val="yellow"/>
          <w:lang w:val="es-ES"/>
        </w:rPr>
      </w:pPr>
    </w:p>
    <w:p w14:paraId="228C17F2" w14:textId="77777777" w:rsidR="00BA1859" w:rsidRPr="006060F1" w:rsidRDefault="00BA1859" w:rsidP="007D3790">
      <w:pPr>
        <w:tabs>
          <w:tab w:val="left" w:pos="0"/>
        </w:tabs>
        <w:autoSpaceDE w:val="0"/>
        <w:autoSpaceDN w:val="0"/>
        <w:adjustRightInd w:val="0"/>
        <w:spacing w:after="0" w:line="240" w:lineRule="auto"/>
        <w:rPr>
          <w:rFonts w:cstheme="minorHAnsi"/>
          <w:i/>
          <w:lang w:val="es-ES"/>
        </w:rPr>
      </w:pPr>
      <w:r w:rsidRPr="006060F1">
        <w:rPr>
          <w:rFonts w:cstheme="minorHAnsi"/>
          <w:i/>
          <w:lang w:val="es-ES"/>
        </w:rPr>
        <w:t>Colaboración con las Organizaciones Internacionales Asociadas</w:t>
      </w:r>
    </w:p>
    <w:p w14:paraId="5D799141" w14:textId="77777777" w:rsidR="00314513" w:rsidRDefault="00314513" w:rsidP="007D3790">
      <w:pPr>
        <w:suppressAutoHyphens/>
        <w:spacing w:after="0" w:line="240" w:lineRule="auto"/>
        <w:ind w:left="425" w:hanging="425"/>
        <w:rPr>
          <w:rFonts w:eastAsia="Times New Roman" w:cstheme="minorHAnsi"/>
          <w:color w:val="000000"/>
          <w:lang w:val="es-ES" w:eastAsia="en-GB"/>
        </w:rPr>
      </w:pPr>
    </w:p>
    <w:p w14:paraId="7D09A620" w14:textId="365106AB" w:rsidR="00F24BA2" w:rsidRPr="006060F1" w:rsidRDefault="009F6F44" w:rsidP="007D3790">
      <w:pPr>
        <w:suppressAutoHyphens/>
        <w:spacing w:after="0" w:line="240" w:lineRule="auto"/>
        <w:ind w:left="425" w:hanging="425"/>
        <w:rPr>
          <w:rFonts w:eastAsia="Times New Roman" w:cstheme="minorHAnsi"/>
          <w:lang w:val="es-ES" w:eastAsia="en-GB"/>
        </w:rPr>
      </w:pPr>
      <w:r w:rsidRPr="006060F1">
        <w:rPr>
          <w:rFonts w:eastAsia="Times New Roman" w:cstheme="minorHAnsi"/>
          <w:color w:val="000000"/>
          <w:lang w:val="es-ES" w:eastAsia="en-GB"/>
        </w:rPr>
        <w:t>3</w:t>
      </w:r>
      <w:r w:rsidR="00D822C8" w:rsidRPr="006060F1">
        <w:rPr>
          <w:rFonts w:eastAsia="Times New Roman" w:cstheme="minorHAnsi"/>
          <w:color w:val="000000"/>
          <w:lang w:val="es-ES" w:eastAsia="en-GB"/>
        </w:rPr>
        <w:t>6</w:t>
      </w:r>
      <w:r w:rsidR="009C2848" w:rsidRPr="006060F1">
        <w:rPr>
          <w:rFonts w:eastAsia="Times New Roman" w:cstheme="minorHAnsi"/>
          <w:color w:val="000000"/>
          <w:lang w:val="es-ES" w:eastAsia="en-GB"/>
        </w:rPr>
        <w:t>.</w:t>
      </w:r>
      <w:r w:rsidR="009C2848" w:rsidRPr="006060F1">
        <w:rPr>
          <w:rFonts w:eastAsia="Times New Roman" w:cstheme="minorHAnsi"/>
          <w:color w:val="000000"/>
          <w:lang w:val="es-ES" w:eastAsia="en-GB"/>
        </w:rPr>
        <w:tab/>
      </w:r>
      <w:r w:rsidR="006011A5" w:rsidRPr="006060F1">
        <w:rPr>
          <w:rFonts w:cstheme="minorHAnsi"/>
          <w:lang w:val="es-ES"/>
        </w:rPr>
        <w:t>La Secretaría</w:t>
      </w:r>
      <w:r w:rsidR="007F752F" w:rsidRPr="006060F1">
        <w:rPr>
          <w:rFonts w:cstheme="minorHAnsi"/>
          <w:lang w:val="es-ES"/>
        </w:rPr>
        <w:t xml:space="preserve"> </w:t>
      </w:r>
      <w:r w:rsidR="00BA1859" w:rsidRPr="006060F1">
        <w:rPr>
          <w:rFonts w:cstheme="minorHAnsi"/>
          <w:lang w:val="es-ES"/>
        </w:rPr>
        <w:t xml:space="preserve">sigue reforzando su colaboración con las OIA. Se celebran videoconferencias periódicas con estas para examinar la aplicación de las actividades de colaboración conjuntas y el </w:t>
      </w:r>
      <w:r w:rsidR="006060F1" w:rsidRPr="006060F1">
        <w:rPr>
          <w:rFonts w:cstheme="minorHAnsi"/>
          <w:lang w:val="es-ES"/>
        </w:rPr>
        <w:t>memorando</w:t>
      </w:r>
      <w:r w:rsidR="00BA1859" w:rsidRPr="006060F1">
        <w:rPr>
          <w:rFonts w:cstheme="minorHAnsi"/>
          <w:lang w:val="es-ES"/>
        </w:rPr>
        <w:t xml:space="preserve"> de </w:t>
      </w:r>
      <w:r w:rsidR="006060F1" w:rsidRPr="006060F1">
        <w:rPr>
          <w:rFonts w:cstheme="minorHAnsi"/>
          <w:lang w:val="es-ES"/>
        </w:rPr>
        <w:t>entendimiento</w:t>
      </w:r>
      <w:r w:rsidR="00BA1859" w:rsidRPr="006060F1">
        <w:rPr>
          <w:rFonts w:cstheme="minorHAnsi"/>
          <w:lang w:val="es-ES"/>
        </w:rPr>
        <w:t xml:space="preserve"> renovado. Las OIA contribuyeron a la </w:t>
      </w:r>
      <w:r w:rsidR="004E2A67" w:rsidRPr="006060F1">
        <w:rPr>
          <w:rFonts w:cstheme="minorHAnsi"/>
          <w:lang w:val="es-ES"/>
        </w:rPr>
        <w:t>preparación</w:t>
      </w:r>
      <w:r w:rsidR="00BA1859" w:rsidRPr="006060F1">
        <w:rPr>
          <w:rFonts w:cstheme="minorHAnsi"/>
          <w:lang w:val="es-ES"/>
        </w:rPr>
        <w:t xml:space="preserve"> de la campaña del 50º aniversario y apoyaron activamente el Día Mundial de los Humedales </w:t>
      </w:r>
      <w:r w:rsidR="007F752F" w:rsidRPr="006060F1">
        <w:rPr>
          <w:rFonts w:cstheme="minorHAnsi"/>
          <w:lang w:val="es-ES"/>
        </w:rPr>
        <w:t xml:space="preserve">2022. </w:t>
      </w:r>
      <w:r w:rsidR="00F24BA2" w:rsidRPr="006060F1" w:rsidDel="00F24BA2">
        <w:rPr>
          <w:rFonts w:eastAsia="Times New Roman" w:cstheme="minorHAnsi"/>
          <w:lang w:val="es-ES" w:eastAsia="en-GB"/>
        </w:rPr>
        <w:t xml:space="preserve"> </w:t>
      </w:r>
    </w:p>
    <w:p w14:paraId="47521470" w14:textId="590DA58B" w:rsidR="006B31D7" w:rsidRPr="006060F1" w:rsidRDefault="006B31D7" w:rsidP="007D3790">
      <w:pPr>
        <w:suppressAutoHyphens/>
        <w:spacing w:after="0" w:line="240" w:lineRule="auto"/>
        <w:ind w:left="425" w:hanging="425"/>
        <w:rPr>
          <w:rFonts w:eastAsia="Times New Roman" w:cstheme="minorHAnsi"/>
          <w:highlight w:val="yellow"/>
          <w:lang w:val="es-ES" w:eastAsia="en-GB"/>
        </w:rPr>
      </w:pPr>
    </w:p>
    <w:p w14:paraId="5B9E79C3" w14:textId="2445E691" w:rsidR="00451F5F" w:rsidRPr="006060F1" w:rsidRDefault="007C2392" w:rsidP="007D3790">
      <w:pPr>
        <w:tabs>
          <w:tab w:val="left" w:pos="426"/>
        </w:tabs>
        <w:spacing w:after="0" w:line="240" w:lineRule="auto"/>
        <w:ind w:left="426" w:hanging="426"/>
        <w:rPr>
          <w:rFonts w:cstheme="minorHAnsi"/>
          <w:lang w:val="es-ES"/>
        </w:rPr>
      </w:pPr>
      <w:r w:rsidRPr="006060F1">
        <w:rPr>
          <w:rFonts w:cstheme="minorHAnsi"/>
          <w:lang w:val="es-ES"/>
        </w:rPr>
        <w:t>3</w:t>
      </w:r>
      <w:r w:rsidR="00D822C8" w:rsidRPr="006060F1">
        <w:rPr>
          <w:rFonts w:cstheme="minorHAnsi"/>
          <w:lang w:val="es-ES"/>
        </w:rPr>
        <w:t>7</w:t>
      </w:r>
      <w:r w:rsidRPr="006060F1">
        <w:rPr>
          <w:rFonts w:cstheme="minorHAnsi"/>
          <w:lang w:val="es-ES"/>
        </w:rPr>
        <w:t xml:space="preserve">.   </w:t>
      </w:r>
      <w:r w:rsidR="00BA1859" w:rsidRPr="006060F1">
        <w:rPr>
          <w:rFonts w:cstheme="minorHAnsi"/>
          <w:lang w:val="es-ES"/>
        </w:rPr>
        <w:t xml:space="preserve">La Secretaria </w:t>
      </w:r>
      <w:r w:rsidR="006060F1" w:rsidRPr="006060F1">
        <w:rPr>
          <w:rFonts w:cstheme="minorHAnsi"/>
          <w:lang w:val="es-ES"/>
        </w:rPr>
        <w:t>General</w:t>
      </w:r>
      <w:r w:rsidR="00BA1859" w:rsidRPr="006060F1">
        <w:rPr>
          <w:rFonts w:cstheme="minorHAnsi"/>
          <w:lang w:val="es-ES"/>
        </w:rPr>
        <w:t xml:space="preserve"> y miembros del </w:t>
      </w:r>
      <w:r w:rsidR="006060F1" w:rsidRPr="006060F1">
        <w:rPr>
          <w:rFonts w:cstheme="minorHAnsi"/>
          <w:lang w:val="es-ES"/>
        </w:rPr>
        <w:t>personal</w:t>
      </w:r>
      <w:r w:rsidR="00BA1859" w:rsidRPr="006060F1">
        <w:rPr>
          <w:rFonts w:cstheme="minorHAnsi"/>
          <w:lang w:val="es-ES"/>
        </w:rPr>
        <w:t xml:space="preserve"> de la </w:t>
      </w:r>
      <w:r w:rsidR="006060F1" w:rsidRPr="006060F1">
        <w:rPr>
          <w:rFonts w:cstheme="minorHAnsi"/>
          <w:lang w:val="es-ES"/>
        </w:rPr>
        <w:t>Secretaría</w:t>
      </w:r>
      <w:r w:rsidR="00BA1859" w:rsidRPr="006060F1">
        <w:rPr>
          <w:rFonts w:cstheme="minorHAnsi"/>
          <w:lang w:val="es-ES"/>
        </w:rPr>
        <w:t xml:space="preserve"> participaron activamente en el </w:t>
      </w:r>
      <w:r w:rsidR="006060F1" w:rsidRPr="006060F1">
        <w:rPr>
          <w:rFonts w:cstheme="minorHAnsi"/>
          <w:lang w:val="es-ES"/>
        </w:rPr>
        <w:t>Congreso</w:t>
      </w:r>
      <w:r w:rsidR="00BA1859" w:rsidRPr="006060F1">
        <w:rPr>
          <w:rFonts w:cstheme="minorHAnsi"/>
          <w:lang w:val="es-ES"/>
        </w:rPr>
        <w:t xml:space="preserve"> Mundial de la Naturaleza de la UICN, celebrado en Marsella (Francia) del 3 al 7 de </w:t>
      </w:r>
      <w:r w:rsidR="006060F1" w:rsidRPr="006060F1">
        <w:rPr>
          <w:rFonts w:cstheme="minorHAnsi"/>
          <w:lang w:val="es-ES"/>
        </w:rPr>
        <w:t>septiembre</w:t>
      </w:r>
      <w:r w:rsidR="00BA1859" w:rsidRPr="006060F1">
        <w:rPr>
          <w:rFonts w:cstheme="minorHAnsi"/>
          <w:lang w:val="es-ES"/>
        </w:rPr>
        <w:t xml:space="preserve"> de </w:t>
      </w:r>
      <w:r w:rsidR="00F601DD" w:rsidRPr="006060F1">
        <w:rPr>
          <w:lang w:val="es-ES"/>
        </w:rPr>
        <w:t>2021,</w:t>
      </w:r>
      <w:r w:rsidR="00BA1859" w:rsidRPr="006060F1">
        <w:rPr>
          <w:lang w:val="es-ES"/>
        </w:rPr>
        <w:t xml:space="preserve"> mediante contribuciones a sesiones presenciales y virtuales. La </w:t>
      </w:r>
      <w:r w:rsidR="006060F1" w:rsidRPr="006060F1">
        <w:rPr>
          <w:lang w:val="es-ES"/>
        </w:rPr>
        <w:t>Secretaria</w:t>
      </w:r>
      <w:r w:rsidR="00BA1859" w:rsidRPr="006060F1">
        <w:rPr>
          <w:lang w:val="es-ES"/>
        </w:rPr>
        <w:t xml:space="preserve"> General </w:t>
      </w:r>
      <w:r w:rsidR="006060F1" w:rsidRPr="006060F1">
        <w:rPr>
          <w:lang w:val="es-ES"/>
        </w:rPr>
        <w:t>participó</w:t>
      </w:r>
      <w:r w:rsidR="00BA1859" w:rsidRPr="006060F1">
        <w:rPr>
          <w:lang w:val="es-ES"/>
        </w:rPr>
        <w:t xml:space="preserve"> como oradora en los eventos organizados por la UICN </w:t>
      </w:r>
      <w:r w:rsidR="006B31D7" w:rsidRPr="00913F16">
        <w:rPr>
          <w:rFonts w:cstheme="minorHAnsi"/>
          <w:i/>
          <w:iCs/>
          <w:lang w:val="es-ES"/>
        </w:rPr>
        <w:t>Post-2020 Global Biodiversity Framework: Recipe for Success on 5 September 2021</w:t>
      </w:r>
      <w:r w:rsidR="00BA1859" w:rsidRPr="006060F1">
        <w:rPr>
          <w:rFonts w:cstheme="minorHAnsi"/>
          <w:lang w:val="es-ES"/>
        </w:rPr>
        <w:t xml:space="preserve"> [El marco mundial de la diversidad biológica posterior a 2020: la receta para el </w:t>
      </w:r>
      <w:r w:rsidR="006060F1" w:rsidRPr="006060F1">
        <w:rPr>
          <w:rFonts w:cstheme="minorHAnsi"/>
          <w:lang w:val="es-ES"/>
        </w:rPr>
        <w:t>éxito</w:t>
      </w:r>
      <w:r w:rsidR="00BA1859" w:rsidRPr="006060F1">
        <w:rPr>
          <w:rFonts w:cstheme="minorHAnsi"/>
          <w:lang w:val="es-ES"/>
        </w:rPr>
        <w:t xml:space="preserve"> el 5 de septiembre de 2021] y </w:t>
      </w:r>
      <w:r w:rsidR="00451F5F" w:rsidRPr="00913F16">
        <w:rPr>
          <w:rFonts w:cstheme="minorHAnsi"/>
          <w:i/>
          <w:iCs/>
          <w:lang w:val="es-ES"/>
        </w:rPr>
        <w:t>IUCN Global Species Action Plan: supporting implementation of the Post-2020 Global Biodiversity Framework through species conservation</w:t>
      </w:r>
      <w:r w:rsidR="00451F5F" w:rsidRPr="006060F1">
        <w:rPr>
          <w:rFonts w:cstheme="minorHAnsi"/>
          <w:lang w:val="es-ES"/>
        </w:rPr>
        <w:t xml:space="preserve"> </w:t>
      </w:r>
      <w:r w:rsidR="00BA1859" w:rsidRPr="006060F1">
        <w:rPr>
          <w:rFonts w:cstheme="minorHAnsi"/>
          <w:lang w:val="es-ES"/>
        </w:rPr>
        <w:t>[</w:t>
      </w:r>
      <w:r w:rsidR="00651F0D" w:rsidRPr="006060F1">
        <w:rPr>
          <w:rFonts w:cstheme="minorHAnsi"/>
          <w:lang w:val="es-ES"/>
        </w:rPr>
        <w:t xml:space="preserve">El plan de acción mundial para las especies de la UICN: apoyo a la ejecución del marco </w:t>
      </w:r>
      <w:r w:rsidR="006060F1" w:rsidRPr="006060F1">
        <w:rPr>
          <w:rFonts w:cstheme="minorHAnsi"/>
          <w:lang w:val="es-ES"/>
        </w:rPr>
        <w:t>mundial</w:t>
      </w:r>
      <w:r w:rsidR="00651F0D" w:rsidRPr="006060F1">
        <w:rPr>
          <w:rFonts w:cstheme="minorHAnsi"/>
          <w:lang w:val="es-ES"/>
        </w:rPr>
        <w:t xml:space="preserve"> de la diversidad biológica posterior a 2020 mediante la </w:t>
      </w:r>
      <w:r w:rsidR="006060F1" w:rsidRPr="006060F1">
        <w:rPr>
          <w:rFonts w:cstheme="minorHAnsi"/>
          <w:lang w:val="es-ES"/>
        </w:rPr>
        <w:t>conservación</w:t>
      </w:r>
      <w:r w:rsidR="00651F0D" w:rsidRPr="006060F1">
        <w:rPr>
          <w:rFonts w:cstheme="minorHAnsi"/>
          <w:lang w:val="es-ES"/>
        </w:rPr>
        <w:t xml:space="preserve"> de las especies] el </w:t>
      </w:r>
      <w:r w:rsidR="00451F5F" w:rsidRPr="006060F1">
        <w:rPr>
          <w:rFonts w:cstheme="minorHAnsi"/>
          <w:lang w:val="es-ES"/>
        </w:rPr>
        <w:t xml:space="preserve">6 </w:t>
      </w:r>
      <w:r w:rsidR="00651F0D" w:rsidRPr="006060F1">
        <w:rPr>
          <w:rFonts w:cstheme="minorHAnsi"/>
          <w:lang w:val="es-ES"/>
        </w:rPr>
        <w:t xml:space="preserve">de </w:t>
      </w:r>
      <w:r w:rsidR="006060F1" w:rsidRPr="006060F1">
        <w:rPr>
          <w:rFonts w:cstheme="minorHAnsi"/>
          <w:lang w:val="es-ES"/>
        </w:rPr>
        <w:t>septiembre</w:t>
      </w:r>
      <w:r w:rsidR="00651F0D" w:rsidRPr="006060F1">
        <w:rPr>
          <w:rFonts w:cstheme="minorHAnsi"/>
          <w:lang w:val="es-ES"/>
        </w:rPr>
        <w:t xml:space="preserve"> de </w:t>
      </w:r>
      <w:r w:rsidR="00451F5F" w:rsidRPr="006060F1">
        <w:rPr>
          <w:rFonts w:cstheme="minorHAnsi"/>
          <w:lang w:val="es-ES"/>
        </w:rPr>
        <w:t xml:space="preserve">2021. </w:t>
      </w:r>
      <w:r w:rsidR="006060F1" w:rsidRPr="006060F1">
        <w:rPr>
          <w:rFonts w:cstheme="minorHAnsi"/>
          <w:lang w:val="es-ES"/>
        </w:rPr>
        <w:t>Hizo</w:t>
      </w:r>
      <w:r w:rsidR="00651F0D" w:rsidRPr="006060F1">
        <w:rPr>
          <w:rFonts w:cstheme="minorHAnsi"/>
          <w:lang w:val="es-ES"/>
        </w:rPr>
        <w:t xml:space="preserve"> declaraciones en la sesión plenaria de apertura </w:t>
      </w:r>
      <w:r w:rsidR="00A51538" w:rsidRPr="00913F16">
        <w:rPr>
          <w:rFonts w:cstheme="minorHAnsi"/>
          <w:i/>
          <w:iCs/>
          <w:lang w:val="es-ES"/>
        </w:rPr>
        <w:t>Our Freshwater Global Risk: Taking Actions to Reverse the Trend</w:t>
      </w:r>
      <w:r w:rsidR="00A51538" w:rsidRPr="006060F1">
        <w:rPr>
          <w:rFonts w:cstheme="minorHAnsi"/>
          <w:lang w:val="es-ES"/>
        </w:rPr>
        <w:t xml:space="preserve"> </w:t>
      </w:r>
      <w:r w:rsidR="00651F0D" w:rsidRPr="006060F1">
        <w:rPr>
          <w:rFonts w:cstheme="minorHAnsi"/>
          <w:lang w:val="es-ES"/>
        </w:rPr>
        <w:t xml:space="preserve">[Nuestro riesgo mundial para el agua dulce: Actuar para invertir la tendencia] el </w:t>
      </w:r>
      <w:r w:rsidR="00A51538" w:rsidRPr="006060F1">
        <w:rPr>
          <w:rFonts w:cstheme="minorHAnsi"/>
          <w:lang w:val="es-ES"/>
        </w:rPr>
        <w:t xml:space="preserve">4 </w:t>
      </w:r>
      <w:r w:rsidR="00651F0D" w:rsidRPr="006060F1">
        <w:rPr>
          <w:rFonts w:cstheme="minorHAnsi"/>
          <w:lang w:val="es-ES"/>
        </w:rPr>
        <w:t xml:space="preserve">de </w:t>
      </w:r>
      <w:r w:rsidR="006060F1" w:rsidRPr="006060F1">
        <w:rPr>
          <w:rFonts w:cstheme="minorHAnsi"/>
          <w:lang w:val="es-ES"/>
        </w:rPr>
        <w:t>septiembre</w:t>
      </w:r>
      <w:r w:rsidR="00651F0D" w:rsidRPr="006060F1">
        <w:rPr>
          <w:rFonts w:cstheme="minorHAnsi"/>
          <w:lang w:val="es-ES"/>
        </w:rPr>
        <w:t xml:space="preserve"> de </w:t>
      </w:r>
      <w:r w:rsidR="00A51538" w:rsidRPr="006060F1">
        <w:rPr>
          <w:rFonts w:cstheme="minorHAnsi"/>
          <w:lang w:val="es-ES"/>
        </w:rPr>
        <w:t xml:space="preserve">2021 </w:t>
      </w:r>
      <w:r w:rsidR="00651F0D" w:rsidRPr="006060F1">
        <w:rPr>
          <w:rFonts w:cstheme="minorHAnsi"/>
          <w:lang w:val="es-ES"/>
        </w:rPr>
        <w:t xml:space="preserve">y la sesión plenaria de clausura titulada </w:t>
      </w:r>
      <w:r w:rsidR="00A51538" w:rsidRPr="006060F1">
        <w:rPr>
          <w:rFonts w:cstheme="minorHAnsi"/>
          <w:lang w:val="es-ES"/>
        </w:rPr>
        <w:t xml:space="preserve">“Deep Time 2029: </w:t>
      </w:r>
      <w:r w:rsidR="001819B5" w:rsidRPr="006060F1">
        <w:rPr>
          <w:rFonts w:cstheme="minorHAnsi"/>
          <w:lang w:val="es-ES"/>
        </w:rPr>
        <w:t>¿Qué debemos hacer ahora, en 2021, para abordar con éxito la emergencia de la naturaleza para 2050?</w:t>
      </w:r>
      <w:r w:rsidR="00A51538" w:rsidRPr="006060F1">
        <w:rPr>
          <w:rFonts w:cstheme="minorHAnsi"/>
          <w:lang w:val="es-ES"/>
        </w:rPr>
        <w:t xml:space="preserve">” </w:t>
      </w:r>
      <w:r w:rsidR="001819B5" w:rsidRPr="006060F1">
        <w:rPr>
          <w:rFonts w:cstheme="minorHAnsi"/>
          <w:lang w:val="es-ES"/>
        </w:rPr>
        <w:t xml:space="preserve">el </w:t>
      </w:r>
      <w:r w:rsidR="00A51538" w:rsidRPr="006060F1">
        <w:rPr>
          <w:rFonts w:cstheme="minorHAnsi"/>
          <w:lang w:val="es-ES"/>
        </w:rPr>
        <w:t xml:space="preserve">5 </w:t>
      </w:r>
      <w:r w:rsidR="001819B5" w:rsidRPr="006060F1">
        <w:rPr>
          <w:rFonts w:cstheme="minorHAnsi"/>
          <w:lang w:val="es-ES"/>
        </w:rPr>
        <w:t xml:space="preserve">de septiembre de </w:t>
      </w:r>
      <w:r w:rsidR="00A51538" w:rsidRPr="006060F1">
        <w:rPr>
          <w:rFonts w:cstheme="minorHAnsi"/>
          <w:lang w:val="es-ES"/>
        </w:rPr>
        <w:t>2021.</w:t>
      </w:r>
      <w:r w:rsidR="001819B5" w:rsidRPr="006060F1">
        <w:rPr>
          <w:rFonts w:cstheme="minorHAnsi"/>
          <w:lang w:val="es-ES"/>
        </w:rPr>
        <w:t xml:space="preserve"> La </w:t>
      </w:r>
      <w:r w:rsidR="004E2A67" w:rsidRPr="006060F1">
        <w:rPr>
          <w:rFonts w:cstheme="minorHAnsi"/>
          <w:lang w:val="es-ES"/>
        </w:rPr>
        <w:t>Secretaria</w:t>
      </w:r>
      <w:r w:rsidR="001819B5" w:rsidRPr="006060F1">
        <w:rPr>
          <w:rFonts w:cstheme="minorHAnsi"/>
          <w:lang w:val="es-ES"/>
        </w:rPr>
        <w:t xml:space="preserve"> </w:t>
      </w:r>
      <w:r w:rsidR="006B31D7" w:rsidRPr="006060F1">
        <w:rPr>
          <w:rFonts w:cstheme="minorHAnsi"/>
          <w:lang w:val="es-ES"/>
        </w:rPr>
        <w:t xml:space="preserve">General </w:t>
      </w:r>
      <w:r w:rsidR="001819B5" w:rsidRPr="006060F1">
        <w:rPr>
          <w:rFonts w:cstheme="minorHAnsi"/>
          <w:lang w:val="es-ES"/>
        </w:rPr>
        <w:t xml:space="preserve">también participó en una mesa redonda de alto nivel organizada por el Ministerio de Ecología en Francia el 5 de septiembre de </w:t>
      </w:r>
      <w:r w:rsidR="006B31D7" w:rsidRPr="006060F1">
        <w:rPr>
          <w:rFonts w:cstheme="minorHAnsi"/>
          <w:lang w:val="es-ES"/>
        </w:rPr>
        <w:t xml:space="preserve">2021, </w:t>
      </w:r>
      <w:r w:rsidR="001819B5" w:rsidRPr="006060F1">
        <w:rPr>
          <w:rFonts w:cstheme="minorHAnsi"/>
          <w:lang w:val="es-ES"/>
        </w:rPr>
        <w:t>estudiando cómo Francia y la Unión Europea puedan incrementar las acciones en favor de los humedales.</w:t>
      </w:r>
    </w:p>
    <w:p w14:paraId="10FDE631" w14:textId="29B16D28" w:rsidR="00F601DD" w:rsidRPr="006060F1" w:rsidRDefault="00F601DD" w:rsidP="007D3790">
      <w:pPr>
        <w:tabs>
          <w:tab w:val="left" w:pos="426"/>
        </w:tabs>
        <w:spacing w:after="0" w:line="240" w:lineRule="auto"/>
        <w:ind w:left="426" w:hanging="426"/>
        <w:rPr>
          <w:rFonts w:cstheme="minorHAnsi"/>
          <w:lang w:val="es-ES"/>
        </w:rPr>
      </w:pPr>
    </w:p>
    <w:p w14:paraId="3EB87C26" w14:textId="44C01D02" w:rsidR="00451F5F" w:rsidRPr="006060F1" w:rsidRDefault="007C2392" w:rsidP="007D3790">
      <w:pPr>
        <w:spacing w:after="0" w:line="240" w:lineRule="auto"/>
        <w:ind w:left="425" w:hanging="425"/>
        <w:rPr>
          <w:rFonts w:cstheme="minorHAnsi"/>
          <w:lang w:val="es-ES"/>
        </w:rPr>
      </w:pPr>
      <w:r w:rsidRPr="006060F1">
        <w:rPr>
          <w:rFonts w:cstheme="minorHAnsi"/>
          <w:lang w:val="es-ES"/>
        </w:rPr>
        <w:t>3</w:t>
      </w:r>
      <w:r w:rsidR="00D822C8" w:rsidRPr="006060F1">
        <w:rPr>
          <w:rFonts w:cstheme="minorHAnsi"/>
          <w:lang w:val="es-ES"/>
        </w:rPr>
        <w:t>8</w:t>
      </w:r>
      <w:r w:rsidRPr="006060F1">
        <w:rPr>
          <w:rFonts w:cstheme="minorHAnsi"/>
          <w:lang w:val="es-ES"/>
        </w:rPr>
        <w:t xml:space="preserve">.   </w:t>
      </w:r>
      <w:r w:rsidR="001819B5" w:rsidRPr="006060F1">
        <w:rPr>
          <w:rFonts w:cstheme="minorHAnsi"/>
          <w:lang w:val="es-ES"/>
        </w:rPr>
        <w:t xml:space="preserve">Las seis Organizaciones </w:t>
      </w:r>
      <w:r w:rsidR="006060F1" w:rsidRPr="006060F1">
        <w:rPr>
          <w:rFonts w:cstheme="minorHAnsi"/>
          <w:lang w:val="es-ES"/>
        </w:rPr>
        <w:t>Internacionales</w:t>
      </w:r>
      <w:r w:rsidR="001819B5" w:rsidRPr="006060F1">
        <w:rPr>
          <w:rFonts w:cstheme="minorHAnsi"/>
          <w:lang w:val="es-ES"/>
        </w:rPr>
        <w:t xml:space="preserve"> Asociadas (OIA) de la Convención en colaboración con la Secretaría organizaron en la COP 26 </w:t>
      </w:r>
      <w:r w:rsidR="004E2A67">
        <w:rPr>
          <w:rFonts w:cstheme="minorHAnsi"/>
          <w:lang w:val="es-ES"/>
        </w:rPr>
        <w:t xml:space="preserve">de la </w:t>
      </w:r>
      <w:r w:rsidR="001819B5" w:rsidRPr="006060F1">
        <w:rPr>
          <w:rFonts w:cstheme="minorHAnsi"/>
          <w:lang w:val="es-ES"/>
        </w:rPr>
        <w:t xml:space="preserve">CMNUCC el evento </w:t>
      </w:r>
      <w:r w:rsidR="00451F5F" w:rsidRPr="00913F16">
        <w:rPr>
          <w:rFonts w:cstheme="minorHAnsi"/>
          <w:i/>
          <w:iCs/>
          <w:lang w:val="es-ES"/>
        </w:rPr>
        <w:t>Partners for Wetlands: Decade for Wetland Restoration</w:t>
      </w:r>
      <w:r w:rsidR="00601816" w:rsidRPr="006060F1">
        <w:rPr>
          <w:rFonts w:cstheme="minorHAnsi"/>
          <w:lang w:val="es-ES"/>
        </w:rPr>
        <w:t xml:space="preserve"> [Asociados por los humedales: </w:t>
      </w:r>
      <w:r w:rsidR="00A76480">
        <w:rPr>
          <w:rFonts w:cstheme="minorHAnsi"/>
          <w:lang w:val="es-ES"/>
        </w:rPr>
        <w:t xml:space="preserve">El Decenio </w:t>
      </w:r>
      <w:r w:rsidR="00601816" w:rsidRPr="006060F1">
        <w:rPr>
          <w:rFonts w:cstheme="minorHAnsi"/>
          <w:lang w:val="es-ES"/>
        </w:rPr>
        <w:t xml:space="preserve">de la Restauración de los Humedales] el 8 de noviembre de 2021. En el evento se puso de relieve por qué es </w:t>
      </w:r>
      <w:r w:rsidR="004E2A67" w:rsidRPr="006060F1">
        <w:rPr>
          <w:rFonts w:cstheme="minorHAnsi"/>
          <w:lang w:val="es-ES"/>
        </w:rPr>
        <w:t>necesario</w:t>
      </w:r>
      <w:r w:rsidR="00601816" w:rsidRPr="006060F1">
        <w:rPr>
          <w:rFonts w:cstheme="minorHAnsi"/>
          <w:lang w:val="es-ES"/>
        </w:rPr>
        <w:t xml:space="preserve"> incrementar rápidamente la </w:t>
      </w:r>
      <w:r w:rsidR="004E2A67" w:rsidRPr="006060F1">
        <w:rPr>
          <w:rFonts w:cstheme="minorHAnsi"/>
          <w:lang w:val="es-ES"/>
        </w:rPr>
        <w:t>restauración</w:t>
      </w:r>
      <w:r w:rsidR="00601816" w:rsidRPr="006060F1">
        <w:rPr>
          <w:rFonts w:cstheme="minorHAnsi"/>
          <w:lang w:val="es-ES"/>
        </w:rPr>
        <w:t xml:space="preserve"> de los humedales para hacer frente a las crisis del cambio climático y la biodiversidad durante el Decenio de las Naciones Unidas sobre la </w:t>
      </w:r>
      <w:r w:rsidR="004E2A67" w:rsidRPr="006060F1">
        <w:rPr>
          <w:rFonts w:cstheme="minorHAnsi"/>
          <w:lang w:val="es-ES"/>
        </w:rPr>
        <w:t>Restauración</w:t>
      </w:r>
      <w:r w:rsidR="00601816" w:rsidRPr="006060F1">
        <w:rPr>
          <w:rFonts w:cstheme="minorHAnsi"/>
          <w:lang w:val="es-ES"/>
        </w:rPr>
        <w:t xml:space="preserve"> de los Ecosistemas y se mostró la voluntad que existe al respecto a partir de la Convención, los esfuerzos de las Partes y el trabajo de las OIA</w:t>
      </w:r>
      <w:r w:rsidR="006939F7" w:rsidRPr="006060F1">
        <w:rPr>
          <w:rFonts w:cstheme="minorHAnsi"/>
          <w:lang w:val="es-ES"/>
        </w:rPr>
        <w:t>.</w:t>
      </w:r>
    </w:p>
    <w:p w14:paraId="1A36461C" w14:textId="77777777" w:rsidR="00451F5F" w:rsidRPr="006060F1" w:rsidRDefault="00451F5F" w:rsidP="007D3790">
      <w:pPr>
        <w:spacing w:after="0" w:line="240" w:lineRule="auto"/>
        <w:ind w:left="357" w:hanging="357"/>
        <w:rPr>
          <w:rFonts w:cstheme="minorHAnsi"/>
          <w:lang w:val="es-ES"/>
        </w:rPr>
      </w:pPr>
    </w:p>
    <w:p w14:paraId="1372A4ED" w14:textId="77777777" w:rsidR="00601816" w:rsidRPr="006060F1" w:rsidRDefault="00601816" w:rsidP="007D3790">
      <w:pPr>
        <w:spacing w:after="0" w:line="240" w:lineRule="auto"/>
        <w:rPr>
          <w:rFonts w:cstheme="minorHAnsi"/>
          <w:i/>
          <w:lang w:val="es-ES"/>
        </w:rPr>
      </w:pPr>
      <w:r w:rsidRPr="006060F1">
        <w:rPr>
          <w:rFonts w:cstheme="minorHAnsi"/>
          <w:i/>
          <w:lang w:val="es-ES"/>
        </w:rPr>
        <w:t>Colaboración con la Unión Internacional para la Conservación de la Naturaleza</w:t>
      </w:r>
    </w:p>
    <w:p w14:paraId="24AEA343" w14:textId="77777777" w:rsidR="009C2848" w:rsidRPr="006060F1" w:rsidRDefault="009C2848" w:rsidP="007D3790">
      <w:pPr>
        <w:spacing w:after="0" w:line="240" w:lineRule="auto"/>
        <w:ind w:left="357" w:hanging="357"/>
        <w:rPr>
          <w:rFonts w:eastAsia="Times New Roman" w:cstheme="minorHAnsi"/>
          <w:i/>
          <w:lang w:val="es-ES" w:eastAsia="en-GB"/>
        </w:rPr>
      </w:pPr>
    </w:p>
    <w:p w14:paraId="2AF78757" w14:textId="178D13FB" w:rsidR="006C4DEE" w:rsidRPr="006060F1" w:rsidRDefault="007C2392" w:rsidP="007D3790">
      <w:pPr>
        <w:suppressAutoHyphens/>
        <w:spacing w:after="0" w:line="240" w:lineRule="auto"/>
        <w:ind w:left="425" w:hanging="425"/>
        <w:rPr>
          <w:rFonts w:eastAsia="Times New Roman" w:cstheme="minorHAnsi"/>
          <w:color w:val="000000"/>
          <w:lang w:val="es-ES" w:eastAsia="en-GB"/>
        </w:rPr>
      </w:pPr>
      <w:r w:rsidRPr="006060F1">
        <w:rPr>
          <w:rFonts w:eastAsia="Times New Roman" w:cstheme="minorHAnsi"/>
          <w:color w:val="000000"/>
          <w:lang w:val="es-ES" w:eastAsia="en-GB"/>
        </w:rPr>
        <w:t>3</w:t>
      </w:r>
      <w:r w:rsidR="00D822C8" w:rsidRPr="006060F1">
        <w:rPr>
          <w:rFonts w:eastAsia="Times New Roman" w:cstheme="minorHAnsi"/>
          <w:color w:val="000000"/>
          <w:lang w:val="es-ES" w:eastAsia="en-GB"/>
        </w:rPr>
        <w:t>9</w:t>
      </w:r>
      <w:r w:rsidR="009C2848" w:rsidRPr="006060F1">
        <w:rPr>
          <w:rFonts w:eastAsia="Times New Roman" w:cstheme="minorHAnsi"/>
          <w:color w:val="000000"/>
          <w:lang w:val="es-ES" w:eastAsia="en-GB"/>
        </w:rPr>
        <w:t>.</w:t>
      </w:r>
      <w:r w:rsidR="009C2848" w:rsidRPr="006060F1">
        <w:rPr>
          <w:rFonts w:eastAsia="Times New Roman" w:cstheme="minorHAnsi"/>
          <w:color w:val="000000"/>
          <w:lang w:val="es-ES" w:eastAsia="en-GB"/>
        </w:rPr>
        <w:tab/>
      </w:r>
      <w:r w:rsidR="00363DEC">
        <w:rPr>
          <w:rFonts w:eastAsia="Times New Roman" w:cstheme="minorHAnsi"/>
          <w:color w:val="000000"/>
          <w:lang w:val="es-ES" w:eastAsia="en-GB"/>
        </w:rPr>
        <w:t>L</w:t>
      </w:r>
      <w:r w:rsidR="00404BB6" w:rsidRPr="006060F1">
        <w:rPr>
          <w:rFonts w:cstheme="minorHAnsi"/>
          <w:lang w:val="es-ES"/>
        </w:rPr>
        <w:t xml:space="preserve">a Secretaría sigue colaborando estrechamente con la UICN a través de las reuniones anuales del Grupo de Enlace UICN/Ramsar para apoyar las actividades de la Secretaría en el marco del acuerdo de servicios entre la Convención y la UICN. También se organizan reuniones periódicas sobre los distintos ámbitos relacionados con el acuerdo de servicios, tales como </w:t>
      </w:r>
      <w:r w:rsidR="00404BB6" w:rsidRPr="006060F1">
        <w:rPr>
          <w:rFonts w:cstheme="minorHAnsi"/>
          <w:color w:val="000000"/>
          <w:lang w:val="es-ES"/>
        </w:rPr>
        <w:t>las finanzas y la contabilidad, las tecnologías de la información, la gestión de las instalaciones y los recursos humanos</w:t>
      </w:r>
      <w:r w:rsidR="00404BB6" w:rsidRPr="006060F1">
        <w:rPr>
          <w:rFonts w:eastAsia="Times New Roman" w:cstheme="minorHAnsi"/>
          <w:color w:val="000000"/>
          <w:lang w:val="es-ES" w:eastAsia="en-GB"/>
        </w:rPr>
        <w:t>.</w:t>
      </w:r>
    </w:p>
    <w:p w14:paraId="5F958FF3" w14:textId="77777777" w:rsidR="00921135" w:rsidRPr="006060F1" w:rsidRDefault="00921135" w:rsidP="007D3790">
      <w:pPr>
        <w:suppressAutoHyphens/>
        <w:spacing w:after="0" w:line="240" w:lineRule="auto"/>
        <w:ind w:left="425" w:hanging="425"/>
        <w:rPr>
          <w:rFonts w:eastAsia="Times New Roman" w:cstheme="minorHAnsi"/>
          <w:i/>
          <w:highlight w:val="yellow"/>
          <w:lang w:val="es-ES" w:eastAsia="en-GB"/>
        </w:rPr>
      </w:pPr>
    </w:p>
    <w:p w14:paraId="750FE5C0" w14:textId="6335A420" w:rsidR="006C4DEE" w:rsidRPr="006060F1" w:rsidRDefault="004E2A67" w:rsidP="007D3790">
      <w:pPr>
        <w:suppressAutoHyphens/>
        <w:spacing w:after="0" w:line="240" w:lineRule="auto"/>
        <w:ind w:left="425" w:hanging="425"/>
        <w:rPr>
          <w:rFonts w:eastAsia="Times New Roman" w:cstheme="minorHAnsi"/>
          <w:i/>
          <w:lang w:val="es-ES" w:eastAsia="en-GB"/>
        </w:rPr>
      </w:pPr>
      <w:r w:rsidRPr="006060F1">
        <w:rPr>
          <w:rFonts w:eastAsia="Times New Roman" w:cstheme="minorHAnsi"/>
          <w:i/>
          <w:lang w:val="es-ES" w:eastAsia="en-GB"/>
        </w:rPr>
        <w:t>Colaboración</w:t>
      </w:r>
      <w:r w:rsidR="00404BB6" w:rsidRPr="006060F1">
        <w:rPr>
          <w:rFonts w:eastAsia="Times New Roman" w:cstheme="minorHAnsi"/>
          <w:i/>
          <w:lang w:val="es-ES" w:eastAsia="en-GB"/>
        </w:rPr>
        <w:t xml:space="preserve"> con la Alianza </w:t>
      </w:r>
      <w:r w:rsidRPr="006060F1">
        <w:rPr>
          <w:rFonts w:eastAsia="Times New Roman" w:cstheme="minorHAnsi"/>
          <w:i/>
          <w:lang w:val="es-ES" w:eastAsia="en-GB"/>
        </w:rPr>
        <w:t>Internacional</w:t>
      </w:r>
      <w:r w:rsidR="00404BB6" w:rsidRPr="006060F1">
        <w:rPr>
          <w:rFonts w:eastAsia="Times New Roman" w:cstheme="minorHAnsi"/>
          <w:i/>
          <w:lang w:val="es-ES" w:eastAsia="en-GB"/>
        </w:rPr>
        <w:t xml:space="preserve"> de Carbono Azul </w:t>
      </w:r>
      <w:r w:rsidR="006C4DEE" w:rsidRPr="006060F1">
        <w:rPr>
          <w:rFonts w:cstheme="minorHAnsi"/>
          <w:i/>
          <w:shd w:val="clear" w:color="auto" w:fill="FFFFFF"/>
          <w:lang w:val="es-ES"/>
        </w:rPr>
        <w:t>(IPBC) </w:t>
      </w:r>
    </w:p>
    <w:p w14:paraId="7DEDEC16" w14:textId="77777777" w:rsidR="006C4DEE" w:rsidRPr="006060F1" w:rsidRDefault="006C4DEE" w:rsidP="007D3790">
      <w:pPr>
        <w:suppressAutoHyphens/>
        <w:spacing w:after="0" w:line="240" w:lineRule="auto"/>
        <w:ind w:left="425" w:hanging="425"/>
        <w:rPr>
          <w:rFonts w:eastAsia="Times New Roman" w:cstheme="minorHAnsi"/>
          <w:i/>
          <w:color w:val="000000"/>
          <w:lang w:val="es-ES" w:eastAsia="en-GB"/>
        </w:rPr>
      </w:pPr>
    </w:p>
    <w:p w14:paraId="5862FE85" w14:textId="0D1B3338" w:rsidR="00EE3447" w:rsidRPr="006060F1" w:rsidRDefault="00D822C8" w:rsidP="007D3790">
      <w:pPr>
        <w:tabs>
          <w:tab w:val="left" w:pos="426"/>
          <w:tab w:val="left" w:pos="7797"/>
        </w:tabs>
        <w:spacing w:after="0" w:line="240" w:lineRule="auto"/>
        <w:ind w:left="425" w:hanging="425"/>
        <w:rPr>
          <w:rFonts w:ascii="Calibri" w:hAnsi="Calibri"/>
          <w:b/>
          <w:bCs/>
          <w:sz w:val="24"/>
          <w:szCs w:val="24"/>
          <w:lang w:val="es-ES"/>
        </w:rPr>
      </w:pPr>
      <w:r w:rsidRPr="006060F1">
        <w:rPr>
          <w:lang w:val="es-ES"/>
        </w:rPr>
        <w:t>40</w:t>
      </w:r>
      <w:r w:rsidR="00F3006D" w:rsidRPr="006060F1">
        <w:rPr>
          <w:lang w:val="es-ES"/>
        </w:rPr>
        <w:t>.</w:t>
      </w:r>
      <w:r w:rsidR="00F3006D" w:rsidRPr="006060F1">
        <w:rPr>
          <w:lang w:val="es-ES"/>
        </w:rPr>
        <w:tab/>
      </w:r>
      <w:r w:rsidR="006011A5" w:rsidRPr="006060F1">
        <w:rPr>
          <w:lang w:val="es-ES"/>
        </w:rPr>
        <w:t>La Secretaría</w:t>
      </w:r>
      <w:r w:rsidR="006C4DEE" w:rsidRPr="006060F1">
        <w:rPr>
          <w:lang w:val="es-ES"/>
        </w:rPr>
        <w:t xml:space="preserve"> </w:t>
      </w:r>
      <w:r w:rsidR="00404BB6" w:rsidRPr="006060F1">
        <w:rPr>
          <w:lang w:val="es-ES"/>
        </w:rPr>
        <w:t xml:space="preserve">sigue colaborando con la </w:t>
      </w:r>
      <w:r w:rsidR="006C4DEE" w:rsidRPr="006060F1">
        <w:rPr>
          <w:lang w:val="es-ES"/>
        </w:rPr>
        <w:t>IPBC</w:t>
      </w:r>
      <w:r w:rsidR="00DA1FA6" w:rsidRPr="006060F1">
        <w:rPr>
          <w:lang w:val="es-ES"/>
        </w:rPr>
        <w:t xml:space="preserve">. </w:t>
      </w:r>
      <w:r w:rsidR="006011A5" w:rsidRPr="006060F1">
        <w:rPr>
          <w:lang w:val="es-ES"/>
        </w:rPr>
        <w:t>La Secretaría</w:t>
      </w:r>
      <w:r w:rsidR="00DA1FA6" w:rsidRPr="006060F1">
        <w:rPr>
          <w:lang w:val="es-ES"/>
        </w:rPr>
        <w:t xml:space="preserve"> particip</w:t>
      </w:r>
      <w:r w:rsidR="00404BB6" w:rsidRPr="006060F1">
        <w:rPr>
          <w:lang w:val="es-ES"/>
        </w:rPr>
        <w:t xml:space="preserve">ó en una reunión de diálogo de los asociados de la </w:t>
      </w:r>
      <w:r w:rsidR="00DA1FA6" w:rsidRPr="006060F1">
        <w:rPr>
          <w:lang w:val="es-ES"/>
        </w:rPr>
        <w:t xml:space="preserve">IPBC </w:t>
      </w:r>
      <w:r w:rsidR="00404BB6" w:rsidRPr="006060F1">
        <w:rPr>
          <w:lang w:val="es-ES"/>
        </w:rPr>
        <w:t xml:space="preserve">en abril de </w:t>
      </w:r>
      <w:r w:rsidR="00DA1FA6" w:rsidRPr="006060F1">
        <w:rPr>
          <w:lang w:val="es-ES"/>
        </w:rPr>
        <w:t xml:space="preserve">2021 </w:t>
      </w:r>
      <w:r w:rsidR="00404BB6" w:rsidRPr="006060F1">
        <w:rPr>
          <w:lang w:val="es-ES"/>
        </w:rPr>
        <w:t xml:space="preserve">y también en la </w:t>
      </w:r>
      <w:r w:rsidR="006060F1" w:rsidRPr="006060F1">
        <w:rPr>
          <w:lang w:val="es-ES"/>
        </w:rPr>
        <w:t>reunión</w:t>
      </w:r>
      <w:r w:rsidR="00404BB6" w:rsidRPr="006060F1">
        <w:rPr>
          <w:lang w:val="es-ES"/>
        </w:rPr>
        <w:t xml:space="preserve"> del </w:t>
      </w:r>
      <w:r w:rsidR="00F00833">
        <w:rPr>
          <w:lang w:val="es-ES"/>
        </w:rPr>
        <w:t>grupo de trabajo</w:t>
      </w:r>
      <w:r w:rsidR="00574068">
        <w:rPr>
          <w:lang w:val="es-ES"/>
        </w:rPr>
        <w:t xml:space="preserve"> (</w:t>
      </w:r>
      <w:r w:rsidR="00574068" w:rsidRPr="00574068">
        <w:rPr>
          <w:i/>
          <w:iCs/>
          <w:lang w:val="es-ES"/>
        </w:rPr>
        <w:t>Task Force</w:t>
      </w:r>
      <w:r w:rsidR="00574068">
        <w:rPr>
          <w:lang w:val="es-ES"/>
        </w:rPr>
        <w:t>)</w:t>
      </w:r>
      <w:r w:rsidR="00F00833">
        <w:rPr>
          <w:lang w:val="es-ES"/>
        </w:rPr>
        <w:t xml:space="preserve"> </w:t>
      </w:r>
      <w:r w:rsidR="00404BB6" w:rsidRPr="006060F1">
        <w:rPr>
          <w:lang w:val="es-ES"/>
        </w:rPr>
        <w:t xml:space="preserve">de la IPBC centrado en el carbono azul en los foros internacionales el </w:t>
      </w:r>
      <w:r w:rsidR="00DA1FA6" w:rsidRPr="006060F1">
        <w:rPr>
          <w:lang w:val="es-ES"/>
        </w:rPr>
        <w:t xml:space="preserve">15 </w:t>
      </w:r>
      <w:r w:rsidR="00404BB6" w:rsidRPr="006060F1">
        <w:rPr>
          <w:lang w:val="es-ES"/>
        </w:rPr>
        <w:t>de julio de</w:t>
      </w:r>
      <w:r w:rsidR="00DA1FA6" w:rsidRPr="006060F1">
        <w:rPr>
          <w:lang w:val="es-ES"/>
        </w:rPr>
        <w:t xml:space="preserve"> 2021, </w:t>
      </w:r>
      <w:r w:rsidR="00404BB6" w:rsidRPr="006060F1">
        <w:rPr>
          <w:lang w:val="es-ES"/>
        </w:rPr>
        <w:t xml:space="preserve">aportando información </w:t>
      </w:r>
      <w:r w:rsidR="00BD54B1" w:rsidRPr="006060F1">
        <w:rPr>
          <w:lang w:val="es-ES"/>
        </w:rPr>
        <w:t xml:space="preserve">y actualizaciones sobre el trabajo en el marco de la Convención en respuesta a la Resolución </w:t>
      </w:r>
      <w:r w:rsidR="00DA1FA6" w:rsidRPr="006060F1">
        <w:rPr>
          <w:lang w:val="es-ES"/>
        </w:rPr>
        <w:t xml:space="preserve">XIII.14, </w:t>
      </w:r>
      <w:r w:rsidR="00BD54B1" w:rsidRPr="006060F1">
        <w:rPr>
          <w:lang w:val="es-ES"/>
        </w:rPr>
        <w:t>inclu</w:t>
      </w:r>
      <w:r w:rsidR="00574068">
        <w:rPr>
          <w:lang w:val="es-ES"/>
        </w:rPr>
        <w:t>yendo</w:t>
      </w:r>
      <w:r w:rsidR="00BD54B1" w:rsidRPr="006060F1">
        <w:rPr>
          <w:lang w:val="es-ES"/>
        </w:rPr>
        <w:t xml:space="preserve"> los resultados de la labor del GECT e invitando a la </w:t>
      </w:r>
      <w:r w:rsidR="00DA1FA6" w:rsidRPr="006060F1">
        <w:rPr>
          <w:lang w:val="es-ES"/>
        </w:rPr>
        <w:t xml:space="preserve">IPBC </w:t>
      </w:r>
      <w:r w:rsidR="00BD54B1" w:rsidRPr="006060F1">
        <w:rPr>
          <w:lang w:val="es-ES"/>
        </w:rPr>
        <w:t xml:space="preserve">y sus asociados a apoyar la promoción. La </w:t>
      </w:r>
      <w:r w:rsidR="006011A5" w:rsidRPr="006060F1">
        <w:rPr>
          <w:lang w:val="es-ES"/>
        </w:rPr>
        <w:t>Secretaría</w:t>
      </w:r>
      <w:r w:rsidR="00DA1FA6" w:rsidRPr="006060F1">
        <w:rPr>
          <w:lang w:val="es-ES"/>
        </w:rPr>
        <w:t xml:space="preserve"> contribu</w:t>
      </w:r>
      <w:r w:rsidR="00BD54B1" w:rsidRPr="006060F1">
        <w:rPr>
          <w:lang w:val="es-ES"/>
        </w:rPr>
        <w:t xml:space="preserve">yó al informe de la </w:t>
      </w:r>
      <w:r w:rsidR="00DA1FA6" w:rsidRPr="006060F1">
        <w:rPr>
          <w:lang w:val="es-ES"/>
        </w:rPr>
        <w:t xml:space="preserve">IPBC </w:t>
      </w:r>
      <w:r w:rsidR="00BD54B1" w:rsidRPr="006060F1">
        <w:rPr>
          <w:lang w:val="es-ES"/>
        </w:rPr>
        <w:t xml:space="preserve">titulado </w:t>
      </w:r>
      <w:r w:rsidR="00DA1FA6" w:rsidRPr="007D3790">
        <w:rPr>
          <w:bCs/>
          <w:lang w:val="es-ES"/>
        </w:rPr>
        <w:t>Coastal Blu</w:t>
      </w:r>
      <w:r w:rsidR="00DA1FA6" w:rsidRPr="007D3790">
        <w:rPr>
          <w:bCs/>
          <w:lang w:val="es-ES"/>
        </w:rPr>
        <w:t>e</w:t>
      </w:r>
      <w:r w:rsidR="00DA1FA6" w:rsidRPr="007D3790">
        <w:rPr>
          <w:bCs/>
          <w:lang w:val="es-ES"/>
        </w:rPr>
        <w:t xml:space="preserve"> Carbon Ecosystems in International Frameworks and Conventions</w:t>
      </w:r>
      <w:r w:rsidR="00BD54B1" w:rsidRPr="006060F1">
        <w:rPr>
          <w:bCs/>
          <w:lang w:val="es-ES"/>
        </w:rPr>
        <w:t xml:space="preserve"> </w:t>
      </w:r>
      <w:r w:rsidR="007D3790" w:rsidRPr="006060F1">
        <w:rPr>
          <w:bCs/>
          <w:lang w:val="es-ES"/>
        </w:rPr>
        <w:t xml:space="preserve"> </w:t>
      </w:r>
      <w:r w:rsidR="00BD54B1" w:rsidRPr="006060F1">
        <w:rPr>
          <w:bCs/>
          <w:lang w:val="es-ES"/>
        </w:rPr>
        <w:t>[Ecosistemas costeros de carbono azul en los marcos y convenciones internacionales]</w:t>
      </w:r>
      <w:r w:rsidR="007D3790" w:rsidRPr="007D3790">
        <w:rPr>
          <w:rStyle w:val="FootnoteReference"/>
          <w:bCs/>
          <w:lang w:val="es-ES"/>
        </w:rPr>
        <w:t xml:space="preserve"> </w:t>
      </w:r>
      <w:r w:rsidR="007D3790">
        <w:rPr>
          <w:rStyle w:val="FootnoteReference"/>
          <w:bCs/>
          <w:lang w:val="es-ES"/>
        </w:rPr>
        <w:footnoteReference w:id="5"/>
      </w:r>
      <w:r w:rsidR="00BD54B1" w:rsidRPr="006060F1">
        <w:rPr>
          <w:bCs/>
          <w:lang w:val="es-ES"/>
        </w:rPr>
        <w:t xml:space="preserve"> publicado en </w:t>
      </w:r>
      <w:r w:rsidR="00DA1FA6" w:rsidRPr="006060F1">
        <w:rPr>
          <w:bCs/>
          <w:lang w:val="es-ES"/>
        </w:rPr>
        <w:t>2021</w:t>
      </w:r>
      <w:r w:rsidR="00574068">
        <w:rPr>
          <w:bCs/>
          <w:lang w:val="es-ES"/>
        </w:rPr>
        <w:t>,</w:t>
      </w:r>
      <w:r w:rsidR="00D370E5" w:rsidRPr="006060F1">
        <w:rPr>
          <w:bCs/>
          <w:lang w:val="es-ES"/>
        </w:rPr>
        <w:t xml:space="preserve"> </w:t>
      </w:r>
      <w:r w:rsidR="00BD54B1" w:rsidRPr="006060F1">
        <w:rPr>
          <w:bCs/>
          <w:lang w:val="es-ES"/>
        </w:rPr>
        <w:t>y participó como oradora en el evento paralelo de la IP</w:t>
      </w:r>
      <w:r w:rsidR="00D370E5" w:rsidRPr="006060F1">
        <w:rPr>
          <w:lang w:val="es-ES"/>
        </w:rPr>
        <w:t xml:space="preserve">BC </w:t>
      </w:r>
      <w:r w:rsidR="00D370E5" w:rsidRPr="006060F1">
        <w:rPr>
          <w:i/>
          <w:iCs/>
          <w:lang w:val="es-ES"/>
        </w:rPr>
        <w:t>Working together to deliver outcomes for climate, the environment and people</w:t>
      </w:r>
      <w:r w:rsidR="00BD54B1" w:rsidRPr="006060F1">
        <w:rPr>
          <w:lang w:val="es-ES"/>
        </w:rPr>
        <w:t xml:space="preserve"> [Trabajar juntos para obtener resultados para el clima, el medio ambiente y las personas] en la </w:t>
      </w:r>
      <w:r w:rsidR="00DA1FA6" w:rsidRPr="006060F1">
        <w:rPr>
          <w:lang w:val="es-ES"/>
        </w:rPr>
        <w:t>C</w:t>
      </w:r>
      <w:r w:rsidR="00D370E5" w:rsidRPr="006060F1">
        <w:rPr>
          <w:lang w:val="es-ES"/>
        </w:rPr>
        <w:t>O</w:t>
      </w:r>
      <w:r w:rsidR="00DA1FA6" w:rsidRPr="006060F1">
        <w:rPr>
          <w:lang w:val="es-ES"/>
        </w:rPr>
        <w:t>P26</w:t>
      </w:r>
      <w:r w:rsidR="00BD54B1" w:rsidRPr="006060F1">
        <w:rPr>
          <w:lang w:val="es-ES"/>
        </w:rPr>
        <w:t xml:space="preserve"> de la CMNUCC, celebrada el </w:t>
      </w:r>
      <w:r w:rsidR="00DA1FA6" w:rsidRPr="006060F1">
        <w:rPr>
          <w:lang w:val="es-ES"/>
        </w:rPr>
        <w:t xml:space="preserve">6 </w:t>
      </w:r>
      <w:r w:rsidR="00BD54B1" w:rsidRPr="006060F1">
        <w:rPr>
          <w:lang w:val="es-ES"/>
        </w:rPr>
        <w:t xml:space="preserve">de noviembre de </w:t>
      </w:r>
      <w:r w:rsidR="00DA1FA6" w:rsidRPr="006060F1">
        <w:rPr>
          <w:lang w:val="es-ES"/>
        </w:rPr>
        <w:t>202</w:t>
      </w:r>
      <w:r w:rsidR="00574068">
        <w:rPr>
          <w:lang w:val="es-ES"/>
        </w:rPr>
        <w:t>1.</w:t>
      </w:r>
    </w:p>
    <w:sectPr w:rsidR="00EE3447" w:rsidRPr="006060F1" w:rsidSect="002F62DC">
      <w:footerReference w:type="default" r:id="rId11"/>
      <w:type w:val="continuous"/>
      <w:pgSz w:w="11906" w:h="16838" w:code="9"/>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AFBE" w16cex:dateUtc="2022-04-13T19:36:00Z"/>
  <w16cex:commentExtensible w16cex:durableId="2609AFBF" w16cex:dateUtc="2022-04-17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CCF1E" w16cid:durableId="2609AFBE"/>
  <w16cid:commentId w16cid:paraId="29451168" w16cid:durableId="2609AF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E75E5" w14:textId="77777777" w:rsidR="00754592" w:rsidRDefault="00754592" w:rsidP="009C2848">
      <w:pPr>
        <w:spacing w:after="0" w:line="240" w:lineRule="auto"/>
      </w:pPr>
      <w:r>
        <w:separator/>
      </w:r>
    </w:p>
  </w:endnote>
  <w:endnote w:type="continuationSeparator" w:id="0">
    <w:p w14:paraId="7A41FAF1" w14:textId="77777777" w:rsidR="00754592" w:rsidRDefault="00754592" w:rsidP="009C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E9D3" w14:textId="647559D5" w:rsidR="002A7D94" w:rsidRPr="00ED605C" w:rsidRDefault="002A7D94">
    <w:pPr>
      <w:pStyle w:val="Footer"/>
      <w:rPr>
        <w:rFonts w:asciiTheme="minorHAnsi" w:hAnsiTheme="minorHAnsi" w:cstheme="minorHAnsi"/>
        <w:sz w:val="20"/>
        <w:szCs w:val="20"/>
      </w:rPr>
    </w:pPr>
    <w:r w:rsidRPr="00ED605C">
      <w:rPr>
        <w:rFonts w:asciiTheme="minorHAnsi" w:hAnsiTheme="minorHAnsi" w:cstheme="minorHAnsi"/>
        <w:sz w:val="20"/>
        <w:szCs w:val="20"/>
      </w:rPr>
      <w:t>SC5</w:t>
    </w:r>
    <w:r>
      <w:rPr>
        <w:rFonts w:asciiTheme="minorHAnsi" w:hAnsiTheme="minorHAnsi" w:cstheme="minorHAnsi"/>
        <w:sz w:val="20"/>
        <w:szCs w:val="20"/>
      </w:rPr>
      <w:t>9</w:t>
    </w:r>
    <w:r w:rsidR="006D7358">
      <w:rPr>
        <w:rFonts w:asciiTheme="minorHAnsi" w:hAnsiTheme="minorHAnsi" w:cstheme="minorHAnsi"/>
        <w:sz w:val="20"/>
        <w:szCs w:val="20"/>
      </w:rPr>
      <w:t>/2022</w:t>
    </w:r>
    <w:r w:rsidRPr="00ED605C">
      <w:rPr>
        <w:rFonts w:asciiTheme="minorHAnsi" w:hAnsiTheme="minorHAnsi" w:cstheme="minorHAnsi"/>
        <w:sz w:val="20"/>
        <w:szCs w:val="20"/>
      </w:rPr>
      <w:t xml:space="preserve"> Doc.1</w:t>
    </w:r>
    <w:r>
      <w:rPr>
        <w:rFonts w:asciiTheme="minorHAnsi" w:hAnsiTheme="minorHAnsi" w:cstheme="minorHAnsi"/>
        <w:sz w:val="20"/>
        <w:szCs w:val="20"/>
      </w:rPr>
      <w:t>6</w:t>
    </w:r>
    <w:r>
      <w:rPr>
        <w:rFonts w:asciiTheme="minorHAnsi" w:hAnsiTheme="minorHAnsi" w:cstheme="minorHAnsi"/>
        <w:sz w:val="20"/>
        <w:szCs w:val="20"/>
      </w:rPr>
      <w:tab/>
    </w:r>
    <w:r>
      <w:rPr>
        <w:rFonts w:asciiTheme="minorHAnsi" w:hAnsiTheme="minorHAnsi" w:cstheme="minorHAnsi"/>
        <w:sz w:val="20"/>
        <w:szCs w:val="20"/>
      </w:rPr>
      <w:tab/>
    </w:r>
    <w:r w:rsidRPr="00ED605C">
      <w:rPr>
        <w:rFonts w:asciiTheme="minorHAnsi" w:hAnsiTheme="minorHAnsi" w:cstheme="minorHAnsi"/>
        <w:sz w:val="20"/>
        <w:szCs w:val="20"/>
      </w:rPr>
      <w:fldChar w:fldCharType="begin"/>
    </w:r>
    <w:r w:rsidRPr="00ED605C">
      <w:rPr>
        <w:rFonts w:asciiTheme="minorHAnsi" w:hAnsiTheme="minorHAnsi" w:cstheme="minorHAnsi"/>
        <w:sz w:val="20"/>
        <w:szCs w:val="20"/>
      </w:rPr>
      <w:instrText xml:space="preserve"> PAGE   \* MERGEFORMAT </w:instrText>
    </w:r>
    <w:r w:rsidRPr="00ED605C">
      <w:rPr>
        <w:rFonts w:asciiTheme="minorHAnsi" w:hAnsiTheme="minorHAnsi" w:cstheme="minorHAnsi"/>
        <w:sz w:val="20"/>
        <w:szCs w:val="20"/>
      </w:rPr>
      <w:fldChar w:fldCharType="separate"/>
    </w:r>
    <w:r w:rsidR="00596D9D">
      <w:rPr>
        <w:rFonts w:asciiTheme="minorHAnsi" w:hAnsiTheme="minorHAnsi" w:cstheme="minorHAnsi"/>
        <w:noProof/>
        <w:sz w:val="20"/>
        <w:szCs w:val="20"/>
      </w:rPr>
      <w:t>2</w:t>
    </w:r>
    <w:r w:rsidRPr="00ED605C">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F680E" w14:textId="77777777" w:rsidR="00754592" w:rsidRDefault="00754592" w:rsidP="009C2848">
      <w:pPr>
        <w:spacing w:after="0" w:line="240" w:lineRule="auto"/>
      </w:pPr>
      <w:r>
        <w:separator/>
      </w:r>
    </w:p>
  </w:footnote>
  <w:footnote w:type="continuationSeparator" w:id="0">
    <w:p w14:paraId="2CD2335B" w14:textId="77777777" w:rsidR="00754592" w:rsidRDefault="00754592" w:rsidP="009C2848">
      <w:pPr>
        <w:spacing w:after="0" w:line="240" w:lineRule="auto"/>
      </w:pPr>
      <w:r>
        <w:continuationSeparator/>
      </w:r>
    </w:p>
  </w:footnote>
  <w:footnote w:id="1">
    <w:p w14:paraId="4130E71E" w14:textId="6D54BF5A" w:rsidR="002A7D94" w:rsidRPr="007D3790" w:rsidRDefault="002A7D94" w:rsidP="007D3790">
      <w:pPr>
        <w:pStyle w:val="FootnoteText"/>
        <w:ind w:left="0" w:firstLine="0"/>
        <w:jc w:val="left"/>
        <w:rPr>
          <w:rFonts w:asciiTheme="minorHAnsi" w:hAnsiTheme="minorHAnsi" w:cstheme="minorHAnsi"/>
        </w:rPr>
      </w:pPr>
      <w:r w:rsidRPr="007D3790">
        <w:rPr>
          <w:rStyle w:val="FootnoteReference"/>
          <w:rFonts w:asciiTheme="minorHAnsi" w:hAnsiTheme="minorHAnsi" w:cstheme="minorHAnsi"/>
        </w:rPr>
        <w:footnoteRef/>
      </w:r>
      <w:r w:rsidRPr="007D3790">
        <w:rPr>
          <w:rFonts w:asciiTheme="minorHAnsi" w:hAnsiTheme="minorHAnsi" w:cstheme="minorHAnsi"/>
        </w:rPr>
        <w:t xml:space="preserve"> </w:t>
      </w:r>
      <w:hyperlink r:id="rId1" w:history="1">
        <w:r w:rsidRPr="007D3790">
          <w:rPr>
            <w:rStyle w:val="Hyperlink"/>
            <w:rFonts w:asciiTheme="minorHAnsi" w:hAnsiTheme="minorHAnsi" w:cstheme="minorHAnsi"/>
          </w:rPr>
          <w:t>https://www.ramsar.org/document/sc58-doc18-enhancing-the-conventions-visibility-and-synergies-with-other-multilateral</w:t>
        </w:r>
      </w:hyperlink>
      <w:r w:rsidRPr="007D3790">
        <w:rPr>
          <w:rFonts w:asciiTheme="minorHAnsi" w:hAnsiTheme="minorHAnsi" w:cstheme="minorHAnsi"/>
        </w:rPr>
        <w:t xml:space="preserve"> </w:t>
      </w:r>
    </w:p>
  </w:footnote>
  <w:footnote w:id="2">
    <w:p w14:paraId="233ADFD1" w14:textId="2F49EF36" w:rsidR="007D3790" w:rsidRDefault="007D3790" w:rsidP="007D3790">
      <w:pPr>
        <w:pStyle w:val="FootnoteText"/>
        <w:ind w:left="0" w:firstLine="0"/>
        <w:jc w:val="left"/>
      </w:pPr>
      <w:r w:rsidRPr="007D3790">
        <w:rPr>
          <w:rStyle w:val="FootnoteReference"/>
          <w:rFonts w:asciiTheme="minorHAnsi" w:hAnsiTheme="minorHAnsi" w:cstheme="minorHAnsi"/>
        </w:rPr>
        <w:footnoteRef/>
      </w:r>
      <w:r>
        <w:rPr>
          <w:rFonts w:asciiTheme="minorHAnsi" w:hAnsiTheme="minorHAnsi" w:cstheme="minorHAnsi"/>
        </w:rPr>
        <w:t xml:space="preserve"> </w:t>
      </w:r>
      <w:hyperlink r:id="rId2" w:history="1">
        <w:r w:rsidRPr="007D3790">
          <w:rPr>
            <w:rStyle w:val="Hyperlink"/>
            <w:rFonts w:asciiTheme="minorHAnsi" w:hAnsiTheme="minorHAnsi" w:cstheme="minorHAnsi"/>
          </w:rPr>
          <w:t>https://www.ramsar.org/es/documento/sc59-doc16-mejora-de-la-visibilidad-de-la-convencion-y-de-las-sinergias-con-otros-acuerdos</w:t>
        </w:r>
      </w:hyperlink>
      <w:r w:rsidRPr="007D3790">
        <w:rPr>
          <w:rFonts w:asciiTheme="minorHAnsi" w:hAnsiTheme="minorHAnsi" w:cstheme="minorHAnsi"/>
        </w:rPr>
        <w:t xml:space="preserve"> </w:t>
      </w:r>
    </w:p>
  </w:footnote>
  <w:footnote w:id="3">
    <w:p w14:paraId="451CC285" w14:textId="1366FE35" w:rsidR="007521EC" w:rsidRPr="007521EC" w:rsidRDefault="007521EC" w:rsidP="007521EC">
      <w:pPr>
        <w:pStyle w:val="FootnoteText"/>
        <w:ind w:left="0" w:firstLine="0"/>
        <w:jc w:val="left"/>
        <w:rPr>
          <w:rFonts w:asciiTheme="minorHAnsi" w:hAnsiTheme="minorHAnsi" w:cstheme="minorHAnsi"/>
        </w:rPr>
      </w:pPr>
      <w:r w:rsidRPr="007521EC">
        <w:rPr>
          <w:rStyle w:val="FootnoteReference"/>
          <w:rFonts w:asciiTheme="minorHAnsi" w:hAnsiTheme="minorHAnsi" w:cstheme="minorHAnsi"/>
        </w:rPr>
        <w:footnoteRef/>
      </w:r>
      <w:r>
        <w:rPr>
          <w:rFonts w:asciiTheme="minorHAnsi" w:hAnsiTheme="minorHAnsi" w:cstheme="minorHAnsi"/>
        </w:rPr>
        <w:t xml:space="preserve"> </w:t>
      </w:r>
      <w:r w:rsidRPr="007521EC">
        <w:rPr>
          <w:rFonts w:asciiTheme="minorHAnsi" w:hAnsiTheme="minorHAnsi" w:cstheme="minorHAnsi"/>
        </w:rPr>
        <w:t>https://www.ramsar.org/document/sc59-doc161-review-of-the-fifth-joint-work-plan-between-the-convention-on-biological</w:t>
      </w:r>
    </w:p>
  </w:footnote>
  <w:footnote w:id="4">
    <w:p w14:paraId="103E15A4" w14:textId="77777777" w:rsidR="002A7D94" w:rsidRPr="0056096E" w:rsidRDefault="002A7D94" w:rsidP="009C2848">
      <w:pPr>
        <w:pStyle w:val="FootnoteText"/>
        <w:rPr>
          <w:rFonts w:asciiTheme="minorHAnsi" w:hAnsiTheme="minorHAnsi" w:cstheme="minorHAnsi"/>
        </w:rPr>
      </w:pPr>
      <w:r w:rsidRPr="0056096E">
        <w:rPr>
          <w:rStyle w:val="FootnoteReference"/>
          <w:rFonts w:asciiTheme="minorHAnsi" w:hAnsiTheme="minorHAnsi" w:cstheme="minorHAnsi"/>
        </w:rPr>
        <w:footnoteRef/>
      </w:r>
      <w:r w:rsidRPr="0056096E">
        <w:rPr>
          <w:rFonts w:asciiTheme="minorHAnsi" w:hAnsiTheme="minorHAnsi" w:cstheme="minorHAnsi"/>
        </w:rPr>
        <w:t xml:space="preserve"> </w:t>
      </w:r>
      <w:hyperlink r:id="rId3" w:history="1">
        <w:r w:rsidRPr="0056096E">
          <w:rPr>
            <w:rStyle w:val="Hyperlink"/>
            <w:rFonts w:asciiTheme="minorHAnsi" w:hAnsiTheme="minorHAnsi" w:cstheme="minorHAnsi"/>
          </w:rPr>
          <w:t>https://sustainabledevelopment.un.org/sdgactions</w:t>
        </w:r>
      </w:hyperlink>
    </w:p>
  </w:footnote>
  <w:footnote w:id="5">
    <w:p w14:paraId="1190FAEB" w14:textId="6D48CB60" w:rsidR="007D3790" w:rsidRPr="007D3790" w:rsidRDefault="007D3790" w:rsidP="007D3790">
      <w:pPr>
        <w:pStyle w:val="FootnoteText"/>
        <w:jc w:val="left"/>
        <w:rPr>
          <w:rFonts w:asciiTheme="minorHAnsi" w:hAnsiTheme="minorHAnsi" w:cstheme="minorHAnsi"/>
        </w:rPr>
      </w:pPr>
      <w:r w:rsidRPr="007D3790">
        <w:rPr>
          <w:rStyle w:val="FootnoteReference"/>
          <w:rFonts w:asciiTheme="minorHAnsi" w:hAnsiTheme="minorHAnsi" w:cstheme="minorHAnsi"/>
        </w:rPr>
        <w:footnoteRef/>
      </w:r>
      <w:r w:rsidRPr="007D3790">
        <w:rPr>
          <w:rFonts w:asciiTheme="minorHAnsi" w:hAnsiTheme="minorHAnsi" w:cstheme="minorHAnsi"/>
        </w:rPr>
        <w:t xml:space="preserve"> </w:t>
      </w:r>
      <w:hyperlink r:id="rId4" w:history="1">
        <w:r w:rsidRPr="007D3790">
          <w:rPr>
            <w:rStyle w:val="Hyperlink"/>
            <w:rFonts w:asciiTheme="minorHAnsi" w:hAnsiTheme="minorHAnsi" w:cstheme="minorHAnsi"/>
            <w:bCs/>
            <w:lang w:val="es-ES"/>
          </w:rPr>
          <w:t>Coastal Blue Carbon Ecosystems in International Frameworks and Conventions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DF7FB7"/>
    <w:multiLevelType w:val="hybridMultilevel"/>
    <w:tmpl w:val="AE7A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17"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21"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16"/>
  </w:num>
  <w:num w:numId="4">
    <w:abstractNumId w:val="12"/>
  </w:num>
  <w:num w:numId="5">
    <w:abstractNumId w:val="14"/>
  </w:num>
  <w:num w:numId="6">
    <w:abstractNumId w:val="4"/>
  </w:num>
  <w:num w:numId="7">
    <w:abstractNumId w:val="10"/>
  </w:num>
  <w:num w:numId="8">
    <w:abstractNumId w:val="0"/>
  </w:num>
  <w:num w:numId="9">
    <w:abstractNumId w:val="22"/>
  </w:num>
  <w:num w:numId="10">
    <w:abstractNumId w:val="15"/>
  </w:num>
  <w:num w:numId="11">
    <w:abstractNumId w:val="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13"/>
  </w:num>
  <w:num w:numId="16">
    <w:abstractNumId w:val="21"/>
  </w:num>
  <w:num w:numId="17">
    <w:abstractNumId w:val="18"/>
  </w:num>
  <w:num w:numId="18">
    <w:abstractNumId w:val="17"/>
  </w:num>
  <w:num w:numId="19">
    <w:abstractNumId w:val="7"/>
  </w:num>
  <w:num w:numId="20">
    <w:abstractNumId w:val="11"/>
  </w:num>
  <w:num w:numId="21">
    <w:abstractNumId w:val="1"/>
  </w:num>
  <w:num w:numId="22">
    <w:abstractNumId w:val="2"/>
  </w:num>
  <w:num w:numId="23">
    <w:abstractNumId w:val="2"/>
  </w:num>
  <w:num w:numId="24">
    <w:abstractNumId w:val="20"/>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GB"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n-GB" w:vendorID="64" w:dllVersion="131078" w:nlCheck="1" w:checkStyle="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48"/>
    <w:rsid w:val="00026F31"/>
    <w:rsid w:val="0003002C"/>
    <w:rsid w:val="000370C7"/>
    <w:rsid w:val="00042A06"/>
    <w:rsid w:val="0004432B"/>
    <w:rsid w:val="00047C49"/>
    <w:rsid w:val="00056467"/>
    <w:rsid w:val="00060299"/>
    <w:rsid w:val="0006611C"/>
    <w:rsid w:val="0007087A"/>
    <w:rsid w:val="00076F67"/>
    <w:rsid w:val="00084161"/>
    <w:rsid w:val="00085324"/>
    <w:rsid w:val="00085933"/>
    <w:rsid w:val="000864A8"/>
    <w:rsid w:val="0009108D"/>
    <w:rsid w:val="000A2113"/>
    <w:rsid w:val="000A6E89"/>
    <w:rsid w:val="000B439C"/>
    <w:rsid w:val="000B6488"/>
    <w:rsid w:val="000C4327"/>
    <w:rsid w:val="000D6E87"/>
    <w:rsid w:val="000E4A5A"/>
    <w:rsid w:val="000F0640"/>
    <w:rsid w:val="000F187D"/>
    <w:rsid w:val="000F7CD2"/>
    <w:rsid w:val="001052EE"/>
    <w:rsid w:val="001120D8"/>
    <w:rsid w:val="00115471"/>
    <w:rsid w:val="00127675"/>
    <w:rsid w:val="00142378"/>
    <w:rsid w:val="0014272D"/>
    <w:rsid w:val="00151B4D"/>
    <w:rsid w:val="00180147"/>
    <w:rsid w:val="001819B5"/>
    <w:rsid w:val="00185E57"/>
    <w:rsid w:val="00192513"/>
    <w:rsid w:val="00192D1F"/>
    <w:rsid w:val="00195B2F"/>
    <w:rsid w:val="001A02AE"/>
    <w:rsid w:val="001A0DB6"/>
    <w:rsid w:val="001A4350"/>
    <w:rsid w:val="001A4919"/>
    <w:rsid w:val="001B3544"/>
    <w:rsid w:val="001B6126"/>
    <w:rsid w:val="001C5FEF"/>
    <w:rsid w:val="001D1A71"/>
    <w:rsid w:val="001D5297"/>
    <w:rsid w:val="001E050F"/>
    <w:rsid w:val="001E0826"/>
    <w:rsid w:val="001E52F6"/>
    <w:rsid w:val="001F2B93"/>
    <w:rsid w:val="001F2D94"/>
    <w:rsid w:val="001F4FA6"/>
    <w:rsid w:val="002026A0"/>
    <w:rsid w:val="00206DD7"/>
    <w:rsid w:val="00213BFC"/>
    <w:rsid w:val="00222353"/>
    <w:rsid w:val="00226D5A"/>
    <w:rsid w:val="002346DD"/>
    <w:rsid w:val="00236CDF"/>
    <w:rsid w:val="00241417"/>
    <w:rsid w:val="00244A45"/>
    <w:rsid w:val="00246E13"/>
    <w:rsid w:val="002572F2"/>
    <w:rsid w:val="00266E28"/>
    <w:rsid w:val="00272DA9"/>
    <w:rsid w:val="00282CD4"/>
    <w:rsid w:val="00290422"/>
    <w:rsid w:val="002A7D94"/>
    <w:rsid w:val="002B7BA0"/>
    <w:rsid w:val="002C2416"/>
    <w:rsid w:val="002C2AEB"/>
    <w:rsid w:val="002D1BE4"/>
    <w:rsid w:val="002D69D7"/>
    <w:rsid w:val="002E1B93"/>
    <w:rsid w:val="002E2FD5"/>
    <w:rsid w:val="002E46DB"/>
    <w:rsid w:val="002F62DC"/>
    <w:rsid w:val="002F6635"/>
    <w:rsid w:val="00307B7E"/>
    <w:rsid w:val="00307E74"/>
    <w:rsid w:val="00314513"/>
    <w:rsid w:val="003147A7"/>
    <w:rsid w:val="0035108A"/>
    <w:rsid w:val="00363DEC"/>
    <w:rsid w:val="003673A1"/>
    <w:rsid w:val="00376618"/>
    <w:rsid w:val="00382471"/>
    <w:rsid w:val="00387CC8"/>
    <w:rsid w:val="0039225B"/>
    <w:rsid w:val="00392C20"/>
    <w:rsid w:val="003B2120"/>
    <w:rsid w:val="003E4A19"/>
    <w:rsid w:val="003F44C3"/>
    <w:rsid w:val="0040386B"/>
    <w:rsid w:val="00404BB6"/>
    <w:rsid w:val="00407097"/>
    <w:rsid w:val="004164E3"/>
    <w:rsid w:val="004210D2"/>
    <w:rsid w:val="00434B17"/>
    <w:rsid w:val="00446C0D"/>
    <w:rsid w:val="00451F5F"/>
    <w:rsid w:val="004524F8"/>
    <w:rsid w:val="00457D19"/>
    <w:rsid w:val="0046275D"/>
    <w:rsid w:val="00462CDF"/>
    <w:rsid w:val="00497AF8"/>
    <w:rsid w:val="004A4010"/>
    <w:rsid w:val="004B1D3D"/>
    <w:rsid w:val="004B2B5C"/>
    <w:rsid w:val="004B34A8"/>
    <w:rsid w:val="004B3CB7"/>
    <w:rsid w:val="004B3FC0"/>
    <w:rsid w:val="004B4177"/>
    <w:rsid w:val="004B70A8"/>
    <w:rsid w:val="004E1D32"/>
    <w:rsid w:val="004E2A67"/>
    <w:rsid w:val="004E7B33"/>
    <w:rsid w:val="004F0437"/>
    <w:rsid w:val="004F10F0"/>
    <w:rsid w:val="004F22C7"/>
    <w:rsid w:val="0051310D"/>
    <w:rsid w:val="00521575"/>
    <w:rsid w:val="005218BF"/>
    <w:rsid w:val="005227EF"/>
    <w:rsid w:val="0052733A"/>
    <w:rsid w:val="00542C62"/>
    <w:rsid w:val="00547AA7"/>
    <w:rsid w:val="00550AA7"/>
    <w:rsid w:val="005526E4"/>
    <w:rsid w:val="00553ECB"/>
    <w:rsid w:val="00556CDA"/>
    <w:rsid w:val="0056447C"/>
    <w:rsid w:val="00574068"/>
    <w:rsid w:val="00581B51"/>
    <w:rsid w:val="00590992"/>
    <w:rsid w:val="00593DE7"/>
    <w:rsid w:val="00596D9D"/>
    <w:rsid w:val="005B0FB5"/>
    <w:rsid w:val="005B25B2"/>
    <w:rsid w:val="005B69AE"/>
    <w:rsid w:val="005D39DC"/>
    <w:rsid w:val="005E27C0"/>
    <w:rsid w:val="005E6F7A"/>
    <w:rsid w:val="005F28BA"/>
    <w:rsid w:val="005F3347"/>
    <w:rsid w:val="006011A5"/>
    <w:rsid w:val="00601816"/>
    <w:rsid w:val="00603642"/>
    <w:rsid w:val="006038D4"/>
    <w:rsid w:val="00604B64"/>
    <w:rsid w:val="00604BEA"/>
    <w:rsid w:val="00605CF9"/>
    <w:rsid w:val="006060F1"/>
    <w:rsid w:val="00606C61"/>
    <w:rsid w:val="00612E05"/>
    <w:rsid w:val="006165F6"/>
    <w:rsid w:val="00617103"/>
    <w:rsid w:val="00621386"/>
    <w:rsid w:val="0062622F"/>
    <w:rsid w:val="00630166"/>
    <w:rsid w:val="0064060D"/>
    <w:rsid w:val="00642475"/>
    <w:rsid w:val="0064372C"/>
    <w:rsid w:val="00650451"/>
    <w:rsid w:val="00651F0D"/>
    <w:rsid w:val="006528D1"/>
    <w:rsid w:val="006538B8"/>
    <w:rsid w:val="0065474B"/>
    <w:rsid w:val="0065551F"/>
    <w:rsid w:val="00657CE9"/>
    <w:rsid w:val="006716C0"/>
    <w:rsid w:val="00674CBE"/>
    <w:rsid w:val="0068470B"/>
    <w:rsid w:val="00684F5B"/>
    <w:rsid w:val="00692166"/>
    <w:rsid w:val="006939F7"/>
    <w:rsid w:val="006978CC"/>
    <w:rsid w:val="006A28A0"/>
    <w:rsid w:val="006A337F"/>
    <w:rsid w:val="006A3C75"/>
    <w:rsid w:val="006A59E1"/>
    <w:rsid w:val="006B05D8"/>
    <w:rsid w:val="006B31D7"/>
    <w:rsid w:val="006C2C65"/>
    <w:rsid w:val="006C4DEE"/>
    <w:rsid w:val="006D0E5D"/>
    <w:rsid w:val="006D1481"/>
    <w:rsid w:val="006D7358"/>
    <w:rsid w:val="006D7748"/>
    <w:rsid w:val="006D7B92"/>
    <w:rsid w:val="00700845"/>
    <w:rsid w:val="0070110D"/>
    <w:rsid w:val="0070459C"/>
    <w:rsid w:val="00710105"/>
    <w:rsid w:val="007138A5"/>
    <w:rsid w:val="00725DEB"/>
    <w:rsid w:val="0072768A"/>
    <w:rsid w:val="00735DD9"/>
    <w:rsid w:val="007521EC"/>
    <w:rsid w:val="00754592"/>
    <w:rsid w:val="00757DED"/>
    <w:rsid w:val="00760384"/>
    <w:rsid w:val="00762D11"/>
    <w:rsid w:val="00765378"/>
    <w:rsid w:val="00784E88"/>
    <w:rsid w:val="007905B7"/>
    <w:rsid w:val="0079257F"/>
    <w:rsid w:val="00795F16"/>
    <w:rsid w:val="007B0336"/>
    <w:rsid w:val="007B6216"/>
    <w:rsid w:val="007B73E8"/>
    <w:rsid w:val="007C2392"/>
    <w:rsid w:val="007C709B"/>
    <w:rsid w:val="007D1E8C"/>
    <w:rsid w:val="007D3790"/>
    <w:rsid w:val="007D37D5"/>
    <w:rsid w:val="007E01C4"/>
    <w:rsid w:val="007E2451"/>
    <w:rsid w:val="007E3357"/>
    <w:rsid w:val="007E57F8"/>
    <w:rsid w:val="007F58BC"/>
    <w:rsid w:val="007F748C"/>
    <w:rsid w:val="007F752F"/>
    <w:rsid w:val="008056BC"/>
    <w:rsid w:val="0080625E"/>
    <w:rsid w:val="00806DF4"/>
    <w:rsid w:val="00813EBF"/>
    <w:rsid w:val="00817C10"/>
    <w:rsid w:val="00833690"/>
    <w:rsid w:val="00836F1F"/>
    <w:rsid w:val="00844542"/>
    <w:rsid w:val="00844AE0"/>
    <w:rsid w:val="00852C38"/>
    <w:rsid w:val="0086101C"/>
    <w:rsid w:val="00861EFD"/>
    <w:rsid w:val="0087137A"/>
    <w:rsid w:val="0087472D"/>
    <w:rsid w:val="008815A6"/>
    <w:rsid w:val="0088329E"/>
    <w:rsid w:val="008877D7"/>
    <w:rsid w:val="008A5DE3"/>
    <w:rsid w:val="008A6822"/>
    <w:rsid w:val="008B1347"/>
    <w:rsid w:val="008C0EF2"/>
    <w:rsid w:val="008C1F1F"/>
    <w:rsid w:val="008D2577"/>
    <w:rsid w:val="008D7E45"/>
    <w:rsid w:val="008E23D2"/>
    <w:rsid w:val="008E36F9"/>
    <w:rsid w:val="008E4A4B"/>
    <w:rsid w:val="008F5FED"/>
    <w:rsid w:val="008F6F80"/>
    <w:rsid w:val="008F7F43"/>
    <w:rsid w:val="00903BAE"/>
    <w:rsid w:val="00906F8C"/>
    <w:rsid w:val="00913F16"/>
    <w:rsid w:val="009178A1"/>
    <w:rsid w:val="00921135"/>
    <w:rsid w:val="00925DD9"/>
    <w:rsid w:val="00930398"/>
    <w:rsid w:val="0093126F"/>
    <w:rsid w:val="00932870"/>
    <w:rsid w:val="00935D19"/>
    <w:rsid w:val="00935F5E"/>
    <w:rsid w:val="00935F79"/>
    <w:rsid w:val="00943B75"/>
    <w:rsid w:val="009446DA"/>
    <w:rsid w:val="0094492C"/>
    <w:rsid w:val="009469F1"/>
    <w:rsid w:val="00947D80"/>
    <w:rsid w:val="009629A6"/>
    <w:rsid w:val="00967039"/>
    <w:rsid w:val="00967F4E"/>
    <w:rsid w:val="00980F95"/>
    <w:rsid w:val="00981447"/>
    <w:rsid w:val="00981D9A"/>
    <w:rsid w:val="00982CA9"/>
    <w:rsid w:val="009A028E"/>
    <w:rsid w:val="009A6948"/>
    <w:rsid w:val="009B4A2D"/>
    <w:rsid w:val="009C2848"/>
    <w:rsid w:val="009C659F"/>
    <w:rsid w:val="009D0450"/>
    <w:rsid w:val="009D1178"/>
    <w:rsid w:val="009D3F6F"/>
    <w:rsid w:val="009E5F87"/>
    <w:rsid w:val="009F5E4F"/>
    <w:rsid w:val="009F6F44"/>
    <w:rsid w:val="00A06231"/>
    <w:rsid w:val="00A1506E"/>
    <w:rsid w:val="00A176BF"/>
    <w:rsid w:val="00A24287"/>
    <w:rsid w:val="00A24B4F"/>
    <w:rsid w:val="00A3362D"/>
    <w:rsid w:val="00A41214"/>
    <w:rsid w:val="00A51538"/>
    <w:rsid w:val="00A558CD"/>
    <w:rsid w:val="00A65B62"/>
    <w:rsid w:val="00A65EBD"/>
    <w:rsid w:val="00A76480"/>
    <w:rsid w:val="00A80A93"/>
    <w:rsid w:val="00A86D46"/>
    <w:rsid w:val="00AA092C"/>
    <w:rsid w:val="00AA4F75"/>
    <w:rsid w:val="00AB76F9"/>
    <w:rsid w:val="00AC0464"/>
    <w:rsid w:val="00AC19F6"/>
    <w:rsid w:val="00AC3C00"/>
    <w:rsid w:val="00AC4F60"/>
    <w:rsid w:val="00AD0DCE"/>
    <w:rsid w:val="00AD1875"/>
    <w:rsid w:val="00AE3555"/>
    <w:rsid w:val="00AF4510"/>
    <w:rsid w:val="00B05D79"/>
    <w:rsid w:val="00B125BC"/>
    <w:rsid w:val="00B12A05"/>
    <w:rsid w:val="00B12FDF"/>
    <w:rsid w:val="00B14E60"/>
    <w:rsid w:val="00B23AED"/>
    <w:rsid w:val="00B355FE"/>
    <w:rsid w:val="00B417C3"/>
    <w:rsid w:val="00B4567C"/>
    <w:rsid w:val="00B62EC0"/>
    <w:rsid w:val="00B70B14"/>
    <w:rsid w:val="00B7760D"/>
    <w:rsid w:val="00B8463E"/>
    <w:rsid w:val="00B90919"/>
    <w:rsid w:val="00B923A7"/>
    <w:rsid w:val="00B93D93"/>
    <w:rsid w:val="00BA0FA7"/>
    <w:rsid w:val="00BA1859"/>
    <w:rsid w:val="00BB4E1E"/>
    <w:rsid w:val="00BC3BAB"/>
    <w:rsid w:val="00BC55A6"/>
    <w:rsid w:val="00BC6AA8"/>
    <w:rsid w:val="00BD2414"/>
    <w:rsid w:val="00BD54B1"/>
    <w:rsid w:val="00BE11D9"/>
    <w:rsid w:val="00BE2F24"/>
    <w:rsid w:val="00BF006A"/>
    <w:rsid w:val="00BF2827"/>
    <w:rsid w:val="00BF387A"/>
    <w:rsid w:val="00BF4907"/>
    <w:rsid w:val="00BF6BED"/>
    <w:rsid w:val="00C00740"/>
    <w:rsid w:val="00C41649"/>
    <w:rsid w:val="00C42C0B"/>
    <w:rsid w:val="00C52AE6"/>
    <w:rsid w:val="00C543FE"/>
    <w:rsid w:val="00C56C69"/>
    <w:rsid w:val="00C82CA9"/>
    <w:rsid w:val="00C8646A"/>
    <w:rsid w:val="00C90D45"/>
    <w:rsid w:val="00C9113E"/>
    <w:rsid w:val="00C91418"/>
    <w:rsid w:val="00C92904"/>
    <w:rsid w:val="00C9538B"/>
    <w:rsid w:val="00C95D56"/>
    <w:rsid w:val="00CA3A76"/>
    <w:rsid w:val="00CA5126"/>
    <w:rsid w:val="00CB1F87"/>
    <w:rsid w:val="00CB5EEF"/>
    <w:rsid w:val="00CB6384"/>
    <w:rsid w:val="00CC21DA"/>
    <w:rsid w:val="00CC352B"/>
    <w:rsid w:val="00CC61EE"/>
    <w:rsid w:val="00CD0D75"/>
    <w:rsid w:val="00CD366B"/>
    <w:rsid w:val="00CD54B7"/>
    <w:rsid w:val="00CD7BA6"/>
    <w:rsid w:val="00CE28B9"/>
    <w:rsid w:val="00CF4E8B"/>
    <w:rsid w:val="00D01152"/>
    <w:rsid w:val="00D03458"/>
    <w:rsid w:val="00D15F00"/>
    <w:rsid w:val="00D31EE9"/>
    <w:rsid w:val="00D32C41"/>
    <w:rsid w:val="00D36DB4"/>
    <w:rsid w:val="00D370E5"/>
    <w:rsid w:val="00D41DE7"/>
    <w:rsid w:val="00D50CB8"/>
    <w:rsid w:val="00D723FE"/>
    <w:rsid w:val="00D81A43"/>
    <w:rsid w:val="00D822C8"/>
    <w:rsid w:val="00D84FF7"/>
    <w:rsid w:val="00DA1FA6"/>
    <w:rsid w:val="00DA5E4B"/>
    <w:rsid w:val="00DB452F"/>
    <w:rsid w:val="00DB61D0"/>
    <w:rsid w:val="00DC189B"/>
    <w:rsid w:val="00DC2D37"/>
    <w:rsid w:val="00DC50A5"/>
    <w:rsid w:val="00DD15ED"/>
    <w:rsid w:val="00DD23F7"/>
    <w:rsid w:val="00DD2530"/>
    <w:rsid w:val="00DD2E62"/>
    <w:rsid w:val="00DD3E67"/>
    <w:rsid w:val="00E06383"/>
    <w:rsid w:val="00E10B6A"/>
    <w:rsid w:val="00E116C7"/>
    <w:rsid w:val="00E126CE"/>
    <w:rsid w:val="00E13FEC"/>
    <w:rsid w:val="00E31F4A"/>
    <w:rsid w:val="00E33BA8"/>
    <w:rsid w:val="00E414F9"/>
    <w:rsid w:val="00E43FBF"/>
    <w:rsid w:val="00E44AFD"/>
    <w:rsid w:val="00E624D9"/>
    <w:rsid w:val="00E66B18"/>
    <w:rsid w:val="00E7324F"/>
    <w:rsid w:val="00E93B99"/>
    <w:rsid w:val="00E97824"/>
    <w:rsid w:val="00EA7F4E"/>
    <w:rsid w:val="00EB6C48"/>
    <w:rsid w:val="00EB7BD2"/>
    <w:rsid w:val="00EC3EC8"/>
    <w:rsid w:val="00EE04C8"/>
    <w:rsid w:val="00EE2137"/>
    <w:rsid w:val="00EE3447"/>
    <w:rsid w:val="00EE7C5E"/>
    <w:rsid w:val="00EF71CC"/>
    <w:rsid w:val="00EF71D5"/>
    <w:rsid w:val="00EF7C90"/>
    <w:rsid w:val="00F00833"/>
    <w:rsid w:val="00F00A92"/>
    <w:rsid w:val="00F12F4F"/>
    <w:rsid w:val="00F133D9"/>
    <w:rsid w:val="00F24BA2"/>
    <w:rsid w:val="00F3006D"/>
    <w:rsid w:val="00F41673"/>
    <w:rsid w:val="00F544F8"/>
    <w:rsid w:val="00F54676"/>
    <w:rsid w:val="00F57B2D"/>
    <w:rsid w:val="00F601DD"/>
    <w:rsid w:val="00F60271"/>
    <w:rsid w:val="00F65492"/>
    <w:rsid w:val="00F678E0"/>
    <w:rsid w:val="00F71AC0"/>
    <w:rsid w:val="00F74173"/>
    <w:rsid w:val="00F822C3"/>
    <w:rsid w:val="00FA0E3F"/>
    <w:rsid w:val="00FA1A09"/>
    <w:rsid w:val="00FA63C8"/>
    <w:rsid w:val="00FB08D6"/>
    <w:rsid w:val="00FB0BF9"/>
    <w:rsid w:val="00FB47CB"/>
    <w:rsid w:val="00FB5F08"/>
    <w:rsid w:val="00FC67BD"/>
    <w:rsid w:val="00FD087F"/>
    <w:rsid w:val="00FD1246"/>
    <w:rsid w:val="00FD2EFA"/>
    <w:rsid w:val="00FD7F49"/>
    <w:rsid w:val="00FE0C6D"/>
    <w:rsid w:val="00FE37F3"/>
    <w:rsid w:val="00FE479C"/>
    <w:rsid w:val="00FF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9F6C"/>
  <w15:chartTrackingRefBased/>
  <w15:docId w15:val="{3D555B5C-7520-4FC7-BD24-28507B40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0">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9C2848"/>
    <w:rPr>
      <w:color w:val="0563C1" w:themeColor="hyperlink"/>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0"/>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0"/>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
    <w:name w:val="Heading4"/>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Mencinsinresolver1">
    <w:name w:val="Mención sin resolver1"/>
    <w:basedOn w:val="DefaultParagraphFont"/>
    <w:uiPriority w:val="99"/>
    <w:semiHidden/>
    <w:unhideWhenUsed/>
    <w:rsid w:val="002A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es/documento/sc59-doc16-mejora-de-la-visibilidad-de-la-convencion-y-de-las-sinergias-con-otros-acuerd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ramsar.org/es/documento/restauracion-de-los-humedales-liberar-el-potencial-desaprovechado-del-ecosistema-mas" TargetMode="External"/><Relationship Id="rId4" Type="http://schemas.openxmlformats.org/officeDocument/2006/relationships/settings" Target="settings.xml"/><Relationship Id="rId9" Type="http://schemas.openxmlformats.org/officeDocument/2006/relationships/hyperlink" Target="https://www.ramsar.org/es/documento/sc59-doc16-mejora-de-la-visibilidad-de-la-convencion-y-de-las-sinergias-con-otros-acuerd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ustainabledevelopment.un.org/sdgactions" TargetMode="External"/><Relationship Id="rId2" Type="http://schemas.openxmlformats.org/officeDocument/2006/relationships/hyperlink" Target="https://www.ramsar.org/es/documento/sc59-doc16-mejora-de-la-visibilidad-de-la-convencion-y-de-las-sinergias-con-otros-acuerdos" TargetMode="External"/><Relationship Id="rId1" Type="http://schemas.openxmlformats.org/officeDocument/2006/relationships/hyperlink" Target="https://www.ramsar.org/document/sc58-doc18-enhancing-the-conventions-visibility-and-synergies-with-other-multilateral" TargetMode="External"/><Relationship Id="rId4" Type="http://schemas.openxmlformats.org/officeDocument/2006/relationships/hyperlink" Target="https://bluecarbonpartnership.org/wp-content/uploads/2021/10/IPBC_Overview-Report-on-Coastal-Blue-Carbon-Ecosystems-in-International-Frameworks-and-Conventions_First_Edition_October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1935-7AE3-4DEA-90AC-0B12A8E3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4372</Words>
  <Characters>24922</Characters>
  <Application>Microsoft Office Word</Application>
  <DocSecurity>0</DocSecurity>
  <Lines>207</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3</cp:revision>
  <dcterms:created xsi:type="dcterms:W3CDTF">2022-04-22T11:31:00Z</dcterms:created>
  <dcterms:modified xsi:type="dcterms:W3CDTF">2022-04-22T11:34:00Z</dcterms:modified>
</cp:coreProperties>
</file>