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31BE" w14:textId="140C882D" w:rsid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THE CONVENTION ON WETLANDS</w:t>
      </w:r>
    </w:p>
    <w:p w14:paraId="3FD0F2C6" w14:textId="06AA1663" w:rsidR="009D0450" w:rsidRPr="009C2848" w:rsidRDefault="009D0450"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Pr>
          <w:rFonts w:eastAsia="Times New Roman" w:cstheme="minorHAnsi"/>
          <w:bCs/>
          <w:lang w:eastAsia="en-GB"/>
        </w:rPr>
        <w:t>Resumed session</w:t>
      </w:r>
    </w:p>
    <w:p w14:paraId="3F1C0530" w14:textId="77777777" w:rsidR="009C2848" w:rsidRP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5</w:t>
      </w:r>
      <w:r w:rsidR="00376618">
        <w:rPr>
          <w:rFonts w:eastAsia="Times New Roman" w:cstheme="minorHAnsi"/>
          <w:bCs/>
          <w:lang w:eastAsia="en-GB"/>
        </w:rPr>
        <w:t>9</w:t>
      </w:r>
      <w:r w:rsidRPr="009C2848">
        <w:rPr>
          <w:rFonts w:eastAsia="Times New Roman" w:cstheme="minorHAnsi"/>
          <w:bCs/>
          <w:lang w:eastAsia="en-GB"/>
        </w:rPr>
        <w:t>th Meeting of the Standing Committee</w:t>
      </w:r>
    </w:p>
    <w:p w14:paraId="30FFE100" w14:textId="266AD472" w:rsidR="009C2848" w:rsidRP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lang w:val="de-CH" w:eastAsia="en-GB"/>
        </w:rPr>
      </w:pPr>
      <w:r w:rsidRPr="009C2848">
        <w:rPr>
          <w:rFonts w:eastAsia="Times New Roman" w:cstheme="minorHAnsi"/>
          <w:bCs/>
          <w:lang w:val="de-CH" w:eastAsia="en-GB"/>
        </w:rPr>
        <w:t xml:space="preserve">Gland, Switzerland, </w:t>
      </w:r>
      <w:r w:rsidRPr="0039225B">
        <w:rPr>
          <w:rFonts w:eastAsia="Times New Roman" w:cstheme="minorHAnsi"/>
          <w:bCs/>
          <w:lang w:val="de-CH" w:eastAsia="en-GB"/>
        </w:rPr>
        <w:t>2</w:t>
      </w:r>
      <w:r w:rsidR="0039225B">
        <w:rPr>
          <w:rFonts w:eastAsia="Times New Roman" w:cstheme="minorHAnsi"/>
          <w:bCs/>
          <w:lang w:val="de-CH" w:eastAsia="en-GB"/>
        </w:rPr>
        <w:t>3</w:t>
      </w:r>
      <w:r w:rsidRPr="0039225B">
        <w:rPr>
          <w:rFonts w:eastAsia="Times New Roman" w:cstheme="minorHAnsi"/>
          <w:bCs/>
          <w:lang w:val="de-CH" w:eastAsia="en-GB"/>
        </w:rPr>
        <w:t>-</w:t>
      </w:r>
      <w:r w:rsidR="00376618" w:rsidRPr="0039225B">
        <w:rPr>
          <w:rFonts w:eastAsia="Times New Roman" w:cstheme="minorHAnsi"/>
          <w:bCs/>
          <w:lang w:val="de-CH" w:eastAsia="en-GB"/>
        </w:rPr>
        <w:t>2</w:t>
      </w:r>
      <w:r w:rsidR="00617103" w:rsidRPr="0039225B">
        <w:rPr>
          <w:rFonts w:eastAsia="Times New Roman" w:cstheme="minorHAnsi"/>
          <w:bCs/>
          <w:lang w:val="de-CH" w:eastAsia="en-GB"/>
        </w:rPr>
        <w:t>7</w:t>
      </w:r>
      <w:r w:rsidRPr="0039225B">
        <w:rPr>
          <w:rFonts w:eastAsia="Times New Roman" w:cstheme="minorHAnsi"/>
          <w:bCs/>
          <w:lang w:val="de-CH" w:eastAsia="en-GB"/>
        </w:rPr>
        <w:t xml:space="preserve"> </w:t>
      </w:r>
      <w:r w:rsidR="00376618" w:rsidRPr="0039225B">
        <w:rPr>
          <w:rFonts w:eastAsia="Times New Roman" w:cstheme="minorHAnsi"/>
          <w:bCs/>
          <w:lang w:val="de-CH" w:eastAsia="en-GB"/>
        </w:rPr>
        <w:t>June</w:t>
      </w:r>
      <w:r w:rsidR="001E050F" w:rsidRPr="0039225B">
        <w:rPr>
          <w:rFonts w:eastAsia="Times New Roman" w:cstheme="minorHAnsi"/>
          <w:bCs/>
          <w:lang w:val="de-CH" w:eastAsia="en-GB"/>
        </w:rPr>
        <w:t xml:space="preserve"> </w:t>
      </w:r>
      <w:r w:rsidRPr="0039225B">
        <w:rPr>
          <w:rFonts w:eastAsia="Times New Roman" w:cstheme="minorHAnsi"/>
          <w:bCs/>
          <w:lang w:val="de-CH" w:eastAsia="en-GB"/>
        </w:rPr>
        <w:t>202</w:t>
      </w:r>
      <w:r w:rsidR="00617103" w:rsidRPr="0039225B">
        <w:rPr>
          <w:rFonts w:eastAsia="Times New Roman" w:cstheme="minorHAnsi"/>
          <w:bCs/>
          <w:lang w:val="de-CH" w:eastAsia="en-GB"/>
        </w:rPr>
        <w:t>2</w:t>
      </w:r>
    </w:p>
    <w:p w14:paraId="63677951" w14:textId="77777777" w:rsidR="009C2848" w:rsidRPr="009C2848" w:rsidRDefault="009C2848" w:rsidP="00AC0464">
      <w:pPr>
        <w:spacing w:after="0" w:line="240" w:lineRule="auto"/>
        <w:jc w:val="both"/>
        <w:rPr>
          <w:rFonts w:eastAsia="Times New Roman" w:cstheme="minorHAnsi"/>
          <w:sz w:val="24"/>
          <w:szCs w:val="24"/>
          <w:lang w:val="de-CH" w:eastAsia="en-GB"/>
        </w:rPr>
      </w:pPr>
    </w:p>
    <w:p w14:paraId="13A5FABC" w14:textId="77777777" w:rsidR="009C2848" w:rsidRPr="009C2848" w:rsidRDefault="009C2848" w:rsidP="00AC0464">
      <w:pPr>
        <w:spacing w:after="0" w:line="240" w:lineRule="auto"/>
        <w:jc w:val="both"/>
        <w:rPr>
          <w:rFonts w:eastAsia="Times New Roman" w:cstheme="minorHAnsi"/>
          <w:sz w:val="24"/>
          <w:szCs w:val="24"/>
          <w:lang w:val="de-CH" w:eastAsia="en-GB"/>
        </w:rPr>
      </w:pPr>
    </w:p>
    <w:p w14:paraId="6190BDC2" w14:textId="1C2751D4" w:rsidR="009C2848" w:rsidRPr="009C2848" w:rsidRDefault="009C2848" w:rsidP="00AC0464">
      <w:pPr>
        <w:spacing w:after="0" w:line="240" w:lineRule="auto"/>
        <w:jc w:val="right"/>
        <w:rPr>
          <w:rFonts w:eastAsia="Times New Roman" w:cstheme="minorHAnsi"/>
          <w:b/>
          <w:sz w:val="28"/>
          <w:szCs w:val="28"/>
          <w:lang w:val="de-CH" w:eastAsia="en-GB"/>
        </w:rPr>
      </w:pPr>
      <w:r w:rsidRPr="009C2848">
        <w:rPr>
          <w:rFonts w:eastAsia="Times New Roman" w:cstheme="minorHAnsi"/>
          <w:b/>
          <w:sz w:val="28"/>
          <w:szCs w:val="28"/>
          <w:lang w:val="de-CH" w:eastAsia="en-GB"/>
        </w:rPr>
        <w:t>SC5</w:t>
      </w:r>
      <w:r w:rsidR="00C90D45">
        <w:rPr>
          <w:rFonts w:eastAsia="Times New Roman" w:cstheme="minorHAnsi"/>
          <w:b/>
          <w:sz w:val="28"/>
          <w:szCs w:val="28"/>
          <w:lang w:val="de-CH" w:eastAsia="en-GB"/>
        </w:rPr>
        <w:t>9</w:t>
      </w:r>
      <w:r w:rsidR="006D7358">
        <w:rPr>
          <w:rFonts w:eastAsia="Times New Roman" w:cstheme="minorHAnsi"/>
          <w:b/>
          <w:sz w:val="28"/>
          <w:szCs w:val="28"/>
          <w:lang w:val="de-CH" w:eastAsia="en-GB"/>
        </w:rPr>
        <w:t>/2022</w:t>
      </w:r>
      <w:r w:rsidRPr="009C2848">
        <w:rPr>
          <w:rFonts w:eastAsia="Times New Roman" w:cstheme="minorHAnsi"/>
          <w:b/>
          <w:sz w:val="28"/>
          <w:szCs w:val="28"/>
          <w:lang w:val="de-CH" w:eastAsia="en-GB"/>
        </w:rPr>
        <w:t xml:space="preserve"> </w:t>
      </w:r>
      <w:r w:rsidRPr="006D7358">
        <w:rPr>
          <w:rFonts w:eastAsia="Times New Roman" w:cstheme="minorHAnsi"/>
          <w:b/>
          <w:sz w:val="28"/>
          <w:szCs w:val="28"/>
          <w:lang w:val="de-CH" w:eastAsia="en-GB"/>
        </w:rPr>
        <w:t>Doc.</w:t>
      </w:r>
      <w:r w:rsidR="006D0E5D" w:rsidRPr="006D7358">
        <w:rPr>
          <w:rFonts w:eastAsia="Times New Roman" w:cstheme="minorHAnsi"/>
          <w:b/>
          <w:sz w:val="28"/>
          <w:szCs w:val="28"/>
          <w:lang w:val="de-CH" w:eastAsia="en-GB"/>
        </w:rPr>
        <w:t>16</w:t>
      </w:r>
    </w:p>
    <w:p w14:paraId="08CCB5EA" w14:textId="77777777" w:rsidR="009C2848" w:rsidRPr="009C2848" w:rsidRDefault="009C2848" w:rsidP="00AC0464">
      <w:pPr>
        <w:spacing w:after="0" w:line="240" w:lineRule="auto"/>
        <w:jc w:val="right"/>
        <w:rPr>
          <w:rFonts w:eastAsia="Times New Roman" w:cstheme="minorHAnsi"/>
          <w:b/>
          <w:sz w:val="28"/>
          <w:szCs w:val="28"/>
          <w:lang w:val="de-CH" w:eastAsia="en-GB"/>
        </w:rPr>
      </w:pPr>
    </w:p>
    <w:p w14:paraId="306B7DD8" w14:textId="15976B1C" w:rsidR="009C2848" w:rsidRPr="009C2848" w:rsidRDefault="001A0DB6" w:rsidP="00AC0464">
      <w:pPr>
        <w:autoSpaceDE w:val="0"/>
        <w:autoSpaceDN w:val="0"/>
        <w:adjustRightInd w:val="0"/>
        <w:spacing w:after="0" w:line="240" w:lineRule="auto"/>
        <w:jc w:val="center"/>
        <w:rPr>
          <w:rFonts w:cstheme="minorHAnsi"/>
          <w:b/>
          <w:color w:val="000000"/>
          <w:sz w:val="28"/>
          <w:szCs w:val="24"/>
        </w:rPr>
      </w:pPr>
      <w:r>
        <w:rPr>
          <w:rFonts w:cstheme="minorHAnsi"/>
          <w:b/>
          <w:bCs/>
          <w:color w:val="000000"/>
          <w:sz w:val="28"/>
          <w:szCs w:val="28"/>
        </w:rPr>
        <w:t xml:space="preserve">Update on </w:t>
      </w:r>
      <w:r w:rsidR="009C2848" w:rsidRPr="009C2848">
        <w:rPr>
          <w:rFonts w:cstheme="minorHAnsi"/>
          <w:b/>
          <w:bCs/>
          <w:color w:val="000000"/>
          <w:sz w:val="28"/>
          <w:szCs w:val="28"/>
        </w:rPr>
        <w:t>Enhancing the Convention</w:t>
      </w:r>
      <w:r w:rsidR="001E050F">
        <w:rPr>
          <w:rFonts w:cstheme="minorHAnsi"/>
          <w:b/>
          <w:bCs/>
          <w:color w:val="000000"/>
          <w:sz w:val="28"/>
          <w:szCs w:val="28"/>
        </w:rPr>
        <w:t>’</w:t>
      </w:r>
      <w:r w:rsidR="009C2848" w:rsidRPr="009C2848">
        <w:rPr>
          <w:rFonts w:cstheme="minorHAnsi"/>
          <w:b/>
          <w:bCs/>
          <w:color w:val="000000"/>
          <w:sz w:val="28"/>
          <w:szCs w:val="28"/>
        </w:rPr>
        <w:t>s visibility and synergies with other multilateral environmental agreements and other international institutions</w:t>
      </w:r>
    </w:p>
    <w:p w14:paraId="26C784E9" w14:textId="77777777" w:rsidR="009C2848" w:rsidRPr="009C2848" w:rsidRDefault="009C2848" w:rsidP="00AC0464">
      <w:pPr>
        <w:spacing w:after="0" w:line="240" w:lineRule="auto"/>
        <w:jc w:val="both"/>
        <w:rPr>
          <w:rFonts w:eastAsia="Times New Roman" w:cstheme="minorHAnsi"/>
          <w:b/>
          <w:sz w:val="28"/>
          <w:szCs w:val="24"/>
          <w:lang w:eastAsia="en-GB"/>
        </w:rPr>
      </w:pPr>
    </w:p>
    <w:p w14:paraId="4F42B663" w14:textId="77777777" w:rsidR="009C2848" w:rsidRPr="009C2848" w:rsidRDefault="009C2848" w:rsidP="009C2848">
      <w:pPr>
        <w:autoSpaceDE w:val="0"/>
        <w:autoSpaceDN w:val="0"/>
        <w:adjustRightInd w:val="0"/>
        <w:spacing w:after="0" w:line="240" w:lineRule="auto"/>
        <w:ind w:left="357" w:hanging="357"/>
        <w:jc w:val="both"/>
        <w:rPr>
          <w:rFonts w:cstheme="minorHAnsi"/>
        </w:rPr>
      </w:pPr>
      <w:r w:rsidRPr="009C2848">
        <w:rPr>
          <w:rFonts w:eastAsia="Times New Roman" w:cstheme="minorHAnsi"/>
          <w:noProof/>
          <w:lang w:eastAsia="en-GB"/>
        </w:rPr>
        <mc:AlternateContent>
          <mc:Choice Requires="wps">
            <w:drawing>
              <wp:inline distT="0" distB="0" distL="0" distR="0" wp14:anchorId="0A4D4371" wp14:editId="0A313187">
                <wp:extent cx="5854535" cy="3603172"/>
                <wp:effectExtent l="0" t="0" r="13335" b="1651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3603172"/>
                        </a:xfrm>
                        <a:prstGeom prst="rect">
                          <a:avLst/>
                        </a:prstGeom>
                        <a:solidFill>
                          <a:srgbClr val="FFFFFF"/>
                        </a:solidFill>
                        <a:ln w="9525">
                          <a:solidFill>
                            <a:srgbClr val="000000"/>
                          </a:solidFill>
                          <a:miter lim="800000"/>
                          <a:headEnd/>
                          <a:tailEnd/>
                        </a:ln>
                      </wps:spPr>
                      <wps:txbx>
                        <w:txbxContent>
                          <w:p w14:paraId="410FD682" w14:textId="77777777" w:rsidR="002B6D64" w:rsidRPr="00863119" w:rsidRDefault="002B6D64" w:rsidP="009C2848">
                            <w:pPr>
                              <w:rPr>
                                <w:rFonts w:ascii="Calibri" w:hAnsi="Calibri"/>
                                <w:b/>
                                <w:bCs/>
                              </w:rPr>
                            </w:pPr>
                            <w:r w:rsidRPr="00863119">
                              <w:rPr>
                                <w:rFonts w:ascii="Calibri" w:hAnsi="Calibri"/>
                                <w:b/>
                                <w:bCs/>
                              </w:rPr>
                              <w:t>Actions requested</w:t>
                            </w:r>
                            <w:r>
                              <w:rPr>
                                <w:rFonts w:ascii="Calibri" w:hAnsi="Calibri"/>
                                <w:b/>
                                <w:bCs/>
                              </w:rPr>
                              <w:t>:</w:t>
                            </w:r>
                          </w:p>
                          <w:p w14:paraId="17A5170A" w14:textId="77777777" w:rsidR="002B6D64" w:rsidRDefault="002B6D64" w:rsidP="009C2848">
                            <w:pPr>
                              <w:ind w:hanging="73"/>
                            </w:pPr>
                            <w:r>
                              <w:t xml:space="preserve"> </w:t>
                            </w:r>
                            <w:r w:rsidRPr="00863119">
                              <w:t>The Standing Committee is invited to</w:t>
                            </w:r>
                            <w:r>
                              <w:t>:</w:t>
                            </w:r>
                            <w:r w:rsidRPr="00863119">
                              <w:t xml:space="preserve"> </w:t>
                            </w:r>
                          </w:p>
                          <w:p w14:paraId="33719DFF" w14:textId="1D918735" w:rsidR="002B6D64" w:rsidRPr="00AC0464" w:rsidRDefault="002B6D64" w:rsidP="00AC0464">
                            <w:pPr>
                              <w:spacing w:after="0" w:line="240" w:lineRule="auto"/>
                              <w:ind w:left="425" w:hanging="425"/>
                              <w:rPr>
                                <w:rFonts w:cs="Garamond"/>
                                <w:i/>
                              </w:rPr>
                            </w:pPr>
                            <w:r>
                              <w:t>i.</w:t>
                            </w:r>
                            <w:r>
                              <w:tab/>
                            </w:r>
                            <w:r w:rsidRPr="00AC0464">
                              <w:t xml:space="preserve">take note of the progress in implementing Resolution XIII.7 </w:t>
                            </w:r>
                            <w:r w:rsidRPr="00AC0464">
                              <w:rPr>
                                <w:rFonts w:cstheme="minorHAnsi"/>
                                <w:bCs/>
                              </w:rPr>
                              <w:t xml:space="preserve">on </w:t>
                            </w:r>
                            <w:r w:rsidRPr="00AC0464">
                              <w:rPr>
                                <w:rFonts w:cs="Garamond"/>
                                <w:i/>
                              </w:rPr>
                              <w:t>Enhancing the Convention´s visibility and synergies with other multilateral environmental agreements and other international institutions</w:t>
                            </w:r>
                            <w:r w:rsidRPr="00AC0464">
                              <w:rPr>
                                <w:rFonts w:cs="Garamond"/>
                              </w:rPr>
                              <w:t xml:space="preserve">; </w:t>
                            </w:r>
                          </w:p>
                          <w:p w14:paraId="28C6FE6E" w14:textId="77777777" w:rsidR="002B6D64" w:rsidRPr="00192D1F" w:rsidRDefault="002B6D64" w:rsidP="00AC0464">
                            <w:pPr>
                              <w:spacing w:after="0" w:line="240" w:lineRule="auto"/>
                              <w:ind w:left="425" w:hanging="425"/>
                              <w:rPr>
                                <w:rFonts w:cs="Garamond"/>
                                <w:i/>
                              </w:rPr>
                            </w:pPr>
                          </w:p>
                          <w:p w14:paraId="751B7DAD" w14:textId="3A21113C" w:rsidR="002B6D64" w:rsidRPr="00AC0464" w:rsidRDefault="002B6D64" w:rsidP="00AC0464">
                            <w:pPr>
                              <w:spacing w:after="0" w:line="240" w:lineRule="auto"/>
                              <w:ind w:left="425" w:hanging="425"/>
                            </w:pPr>
                            <w:r>
                              <w:rPr>
                                <w:rFonts w:cs="Garamond"/>
                              </w:rPr>
                              <w:t>ii.</w:t>
                            </w:r>
                            <w:r>
                              <w:rPr>
                                <w:rFonts w:cs="Garamond"/>
                              </w:rPr>
                              <w:tab/>
                            </w:r>
                            <w:r w:rsidRPr="00AC0464">
                              <w:rPr>
                                <w:rFonts w:cs="Garamond"/>
                              </w:rPr>
                              <w:t>take note of document SC58</w:t>
                            </w:r>
                            <w:r>
                              <w:rPr>
                                <w:rFonts w:cs="Garamond"/>
                              </w:rPr>
                              <w:t xml:space="preserve"> Doc.</w:t>
                            </w:r>
                            <w:r w:rsidRPr="00AC0464">
                              <w:rPr>
                                <w:rFonts w:cs="Garamond"/>
                              </w:rPr>
                              <w:t xml:space="preserve">18 </w:t>
                            </w:r>
                            <w:r w:rsidRPr="00AC0464">
                              <w:rPr>
                                <w:rFonts w:cstheme="minorHAnsi"/>
                              </w:rPr>
                              <w:t xml:space="preserve">and provide guidance to the Secretariat on </w:t>
                            </w:r>
                            <w:r w:rsidRPr="00AC0464">
                              <w:rPr>
                                <w:rFonts w:cs="Garamond"/>
                              </w:rPr>
                              <w:t>the</w:t>
                            </w:r>
                            <w:r w:rsidRPr="00AC0464">
                              <w:rPr>
                                <w:rFonts w:cstheme="minorHAnsi"/>
                              </w:rPr>
                              <w:t xml:space="preserve"> plan to strengthen synergies with other MEAs and contributions to the post-2020 global biodiversity framework </w:t>
                            </w:r>
                            <w:r>
                              <w:rPr>
                                <w:rFonts w:cstheme="minorHAnsi"/>
                              </w:rPr>
                              <w:t>in accordance with Resolution XIII.7;</w:t>
                            </w:r>
                          </w:p>
                          <w:p w14:paraId="0B708C3C" w14:textId="77777777" w:rsidR="002B6D64" w:rsidRPr="00A24B4F" w:rsidRDefault="002B6D64" w:rsidP="00AC0464">
                            <w:pPr>
                              <w:pStyle w:val="ListParagraph"/>
                              <w:ind w:left="425" w:hanging="425"/>
                              <w:rPr>
                                <w:rFonts w:asciiTheme="minorHAnsi" w:hAnsiTheme="minorHAnsi"/>
                              </w:rPr>
                            </w:pPr>
                          </w:p>
                          <w:p w14:paraId="3B5D757A" w14:textId="37577F4E" w:rsidR="002B6D64" w:rsidRPr="00AC0464" w:rsidRDefault="002B6D64" w:rsidP="00AC0464">
                            <w:pPr>
                              <w:spacing w:after="0" w:line="240" w:lineRule="auto"/>
                              <w:ind w:left="425" w:hanging="425"/>
                              <w:rPr>
                                <w:rFonts w:cstheme="minorHAnsi"/>
                              </w:rPr>
                            </w:pPr>
                            <w:r>
                              <w:rPr>
                                <w:rFonts w:eastAsia="MS Mincho" w:cstheme="minorHAnsi"/>
                                <w:lang w:eastAsia="ja-JP"/>
                              </w:rPr>
                              <w:t>iii.</w:t>
                            </w:r>
                            <w:r>
                              <w:rPr>
                                <w:rFonts w:eastAsia="MS Mincho" w:cstheme="minorHAnsi"/>
                                <w:lang w:eastAsia="ja-JP"/>
                              </w:rPr>
                              <w:tab/>
                            </w:r>
                            <w:r w:rsidRPr="00AC0464">
                              <w:rPr>
                                <w:rFonts w:eastAsia="MS Mincho" w:cstheme="minorHAnsi"/>
                                <w:lang w:eastAsia="ja-JP"/>
                              </w:rPr>
                              <w:t xml:space="preserve">take note of the review of the fifth joint Work Plan 2011-2020 </w:t>
                            </w:r>
                            <w:r>
                              <w:rPr>
                                <w:rFonts w:eastAsia="MS Mincho" w:cstheme="minorHAnsi"/>
                                <w:lang w:eastAsia="ja-JP"/>
                              </w:rPr>
                              <w:t xml:space="preserve">(document SC59 Doc.16.1) </w:t>
                            </w:r>
                            <w:r w:rsidRPr="00AC0464">
                              <w:rPr>
                                <w:rFonts w:eastAsia="MS Mincho" w:cstheme="minorHAnsi"/>
                                <w:lang w:eastAsia="ja-JP"/>
                              </w:rPr>
                              <w:t>between the Secretariats of the Convention on Wetlands and the Convention on Biological Diversity that informs the preparation of an updated joint work plan</w:t>
                            </w:r>
                            <w:r>
                              <w:rPr>
                                <w:rFonts w:eastAsia="MS Mincho" w:cstheme="minorHAnsi"/>
                                <w:lang w:eastAsia="ja-JP"/>
                              </w:rPr>
                              <w:t>; and</w:t>
                            </w:r>
                          </w:p>
                          <w:p w14:paraId="3AB14D22" w14:textId="77777777" w:rsidR="002B6D64" w:rsidRPr="00CA5126" w:rsidRDefault="002B6D64" w:rsidP="00AC0464">
                            <w:pPr>
                              <w:pStyle w:val="ListParagraph"/>
                              <w:ind w:left="425" w:hanging="425"/>
                              <w:rPr>
                                <w:rFonts w:asciiTheme="minorHAnsi" w:hAnsiTheme="minorHAnsi"/>
                              </w:rPr>
                            </w:pPr>
                          </w:p>
                          <w:p w14:paraId="09907D18" w14:textId="1E2EDFF0" w:rsidR="002B6D64" w:rsidRPr="002014B8" w:rsidRDefault="002B6D64" w:rsidP="002014B8">
                            <w:p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iv.</w:t>
                            </w:r>
                            <w:r>
                              <w:rPr>
                                <w:rFonts w:ascii="Calibri" w:hAnsi="Calibri" w:cs="Calibri"/>
                                <w:color w:val="000000"/>
                              </w:rPr>
                              <w:tab/>
                              <w:t>review the draft r</w:t>
                            </w:r>
                            <w:r w:rsidRPr="00AC0464">
                              <w:rPr>
                                <w:rFonts w:ascii="Calibri" w:hAnsi="Calibri" w:cs="Calibri"/>
                                <w:color w:val="000000"/>
                              </w:rPr>
                              <w:t>esolution on enhancing the Convention’s visibility and synergies with other MEAs and other international institutions</w:t>
                            </w:r>
                            <w:r>
                              <w:rPr>
                                <w:rFonts w:ascii="Calibri" w:hAnsi="Calibri" w:cs="Calibri"/>
                                <w:color w:val="000000"/>
                              </w:rPr>
                              <w:t xml:space="preserve"> in document SC59 Doc.16</w:t>
                            </w:r>
                            <w:r w:rsidR="003E3316">
                              <w:rPr>
                                <w:rFonts w:ascii="Calibri" w:hAnsi="Calibri" w:cs="Calibri"/>
                                <w:color w:val="000000"/>
                              </w:rPr>
                              <w:t xml:space="preserve"> (</w:t>
                            </w:r>
                            <w:hyperlink r:id="rId8" w:history="1">
                              <w:r w:rsidR="003E3316" w:rsidRPr="00F130C9">
                                <w:rPr>
                                  <w:rStyle w:val="Hyperlink"/>
                                  <w:rFonts w:cstheme="minorHAnsi"/>
                                </w:rPr>
                                <w:t>https://www.ramsar.org/document/sc59-doc16-enhancing-the-conventions-visibility-and-synergies-with-other-multilateral</w:t>
                              </w:r>
                            </w:hyperlink>
                            <w:r w:rsidR="003E3316">
                              <w:rPr>
                                <w:rStyle w:val="Hyperlink"/>
                                <w:rFonts w:cstheme="minorHAnsi"/>
                              </w:rPr>
                              <w:t>)</w:t>
                            </w:r>
                            <w:r w:rsidRPr="00AC0464">
                              <w:rPr>
                                <w:rFonts w:ascii="Calibri" w:hAnsi="Calibri" w:cs="Calibri"/>
                                <w:color w:val="000000"/>
                              </w:rPr>
                              <w:t>, for consideration by the 14th meeting of the Conference of the Contra</w:t>
                            </w:r>
                            <w:r w:rsidR="002014B8">
                              <w:rPr>
                                <w:rFonts w:ascii="Calibri" w:hAnsi="Calibri" w:cs="Calibri"/>
                                <w:color w:val="000000"/>
                              </w:rPr>
                              <w:t xml:space="preserve">cting Parties. </w:t>
                            </w:r>
                          </w:p>
                        </w:txbxContent>
                      </wps:txbx>
                      <wps:bodyPr rot="0" vert="horz" wrap="square" lIns="91440" tIns="45720" rIns="91440" bIns="45720" anchor="t" anchorCtr="0" upright="1">
                        <a:noAutofit/>
                      </wps:bodyPr>
                    </wps:wsp>
                  </a:graphicData>
                </a:graphic>
              </wp:inline>
            </w:drawing>
          </mc:Choice>
          <mc:Fallback>
            <w:pict>
              <v:shapetype w14:anchorId="0A4D4371" id="_x0000_t202" coordsize="21600,21600" o:spt="202" path="m,l,21600r21600,l21600,xe">
                <v:stroke joinstyle="miter"/>
                <v:path gradientshapeok="t" o:connecttype="rect"/>
              </v:shapetype>
              <v:shape id="Text Box 5" o:spid="_x0000_s1026" type="#_x0000_t202" style="width:461pt;height:2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">
                <v:textbox>
                  <w:txbxContent>
                    <w:p w14:paraId="410FD682" w14:textId="77777777" w:rsidR="002B6D64" w:rsidRPr="00863119" w:rsidRDefault="002B6D64" w:rsidP="009C2848">
                      <w:pPr>
                        <w:rPr>
                          <w:rFonts w:ascii="Calibri" w:hAnsi="Calibri"/>
                          <w:b/>
                          <w:bCs/>
                        </w:rPr>
                      </w:pPr>
                      <w:r w:rsidRPr="00863119">
                        <w:rPr>
                          <w:rFonts w:ascii="Calibri" w:hAnsi="Calibri"/>
                          <w:b/>
                          <w:bCs/>
                        </w:rPr>
                        <w:t>Actions requested</w:t>
                      </w:r>
                      <w:r>
                        <w:rPr>
                          <w:rFonts w:ascii="Calibri" w:hAnsi="Calibri"/>
                          <w:b/>
                          <w:bCs/>
                        </w:rPr>
                        <w:t>:</w:t>
                      </w:r>
                    </w:p>
                    <w:p w14:paraId="17A5170A" w14:textId="77777777" w:rsidR="002B6D64" w:rsidRDefault="002B6D64" w:rsidP="009C2848">
                      <w:pPr>
                        <w:ind w:hanging="73"/>
                      </w:pPr>
                      <w:r>
                        <w:t xml:space="preserve"> </w:t>
                      </w:r>
                      <w:r w:rsidRPr="00863119">
                        <w:t>The Standing Committee is invited to</w:t>
                      </w:r>
                      <w:r>
                        <w:t>:</w:t>
                      </w:r>
                      <w:r w:rsidRPr="00863119">
                        <w:t xml:space="preserve"> </w:t>
                      </w:r>
                    </w:p>
                    <w:p w14:paraId="33719DFF" w14:textId="1D918735" w:rsidR="002B6D64" w:rsidRPr="00AC0464" w:rsidRDefault="002B6D64" w:rsidP="00AC0464">
                      <w:pPr>
                        <w:spacing w:after="0" w:line="240" w:lineRule="auto"/>
                        <w:ind w:left="425" w:hanging="425"/>
                        <w:rPr>
                          <w:rFonts w:cs="Garamond"/>
                          <w:i/>
                        </w:rPr>
                      </w:pPr>
                      <w:r>
                        <w:t>i.</w:t>
                      </w:r>
                      <w:r>
                        <w:tab/>
                      </w:r>
                      <w:r w:rsidRPr="00AC0464">
                        <w:t xml:space="preserve">take note of the progress in implementing Resolution XIII.7 </w:t>
                      </w:r>
                      <w:r w:rsidRPr="00AC0464">
                        <w:rPr>
                          <w:rFonts w:cstheme="minorHAnsi"/>
                          <w:bCs/>
                        </w:rPr>
                        <w:t xml:space="preserve">on </w:t>
                      </w:r>
                      <w:r w:rsidRPr="00AC0464">
                        <w:rPr>
                          <w:rFonts w:cs="Garamond"/>
                          <w:i/>
                        </w:rPr>
                        <w:t>Enhancing the Convention´s visibility and synergies with other multilateral environmental agreements and other international institutions</w:t>
                      </w:r>
                      <w:r w:rsidRPr="00AC0464">
                        <w:rPr>
                          <w:rFonts w:cs="Garamond"/>
                        </w:rPr>
                        <w:t xml:space="preserve">; </w:t>
                      </w:r>
                    </w:p>
                    <w:p w14:paraId="28C6FE6E" w14:textId="77777777" w:rsidR="002B6D64" w:rsidRPr="00192D1F" w:rsidRDefault="002B6D64" w:rsidP="00AC0464">
                      <w:pPr>
                        <w:spacing w:after="0" w:line="240" w:lineRule="auto"/>
                        <w:ind w:left="425" w:hanging="425"/>
                        <w:rPr>
                          <w:rFonts w:cs="Garamond"/>
                          <w:i/>
                        </w:rPr>
                      </w:pPr>
                    </w:p>
                    <w:p w14:paraId="751B7DAD" w14:textId="3A21113C" w:rsidR="002B6D64" w:rsidRPr="00AC0464" w:rsidRDefault="002B6D64" w:rsidP="00AC0464">
                      <w:pPr>
                        <w:spacing w:after="0" w:line="240" w:lineRule="auto"/>
                        <w:ind w:left="425" w:hanging="425"/>
                      </w:pPr>
                      <w:r>
                        <w:rPr>
                          <w:rFonts w:cs="Garamond"/>
                        </w:rPr>
                        <w:t>ii.</w:t>
                      </w:r>
                      <w:r>
                        <w:rPr>
                          <w:rFonts w:cs="Garamond"/>
                        </w:rPr>
                        <w:tab/>
                      </w:r>
                      <w:r w:rsidRPr="00AC0464">
                        <w:rPr>
                          <w:rFonts w:cs="Garamond"/>
                        </w:rPr>
                        <w:t>take note of document SC58</w:t>
                      </w:r>
                      <w:r>
                        <w:rPr>
                          <w:rFonts w:cs="Garamond"/>
                        </w:rPr>
                        <w:t xml:space="preserve"> Doc.</w:t>
                      </w:r>
                      <w:r w:rsidRPr="00AC0464">
                        <w:rPr>
                          <w:rFonts w:cs="Garamond"/>
                        </w:rPr>
                        <w:t xml:space="preserve">18 </w:t>
                      </w:r>
                      <w:r w:rsidRPr="00AC0464">
                        <w:rPr>
                          <w:rFonts w:cstheme="minorHAnsi"/>
                        </w:rPr>
                        <w:t xml:space="preserve">and provide guidance to the Secretariat on </w:t>
                      </w:r>
                      <w:r w:rsidRPr="00AC0464">
                        <w:rPr>
                          <w:rFonts w:cs="Garamond"/>
                        </w:rPr>
                        <w:t>the</w:t>
                      </w:r>
                      <w:r w:rsidRPr="00AC0464">
                        <w:rPr>
                          <w:rFonts w:cstheme="minorHAnsi"/>
                        </w:rPr>
                        <w:t xml:space="preserve"> plan to strengthen synergies with other MEAs and contributions to the post-2020 global biodiversity framework </w:t>
                      </w:r>
                      <w:r>
                        <w:rPr>
                          <w:rFonts w:cstheme="minorHAnsi"/>
                        </w:rPr>
                        <w:t>in accordance with Resolution XIII.7;</w:t>
                      </w:r>
                    </w:p>
                    <w:p w14:paraId="0B708C3C" w14:textId="77777777" w:rsidR="002B6D64" w:rsidRPr="00A24B4F" w:rsidRDefault="002B6D64" w:rsidP="00AC0464">
                      <w:pPr>
                        <w:pStyle w:val="ListParagraph"/>
                        <w:ind w:left="425" w:hanging="425"/>
                        <w:rPr>
                          <w:rFonts w:asciiTheme="minorHAnsi" w:hAnsiTheme="minorHAnsi"/>
                        </w:rPr>
                      </w:pPr>
                    </w:p>
                    <w:p w14:paraId="3B5D757A" w14:textId="37577F4E" w:rsidR="002B6D64" w:rsidRPr="00AC0464" w:rsidRDefault="002B6D64" w:rsidP="00AC0464">
                      <w:pPr>
                        <w:spacing w:after="0" w:line="240" w:lineRule="auto"/>
                        <w:ind w:left="425" w:hanging="425"/>
                        <w:rPr>
                          <w:rFonts w:cstheme="minorHAnsi"/>
                        </w:rPr>
                      </w:pPr>
                      <w:r>
                        <w:rPr>
                          <w:rFonts w:eastAsia="MS Mincho" w:cstheme="minorHAnsi"/>
                          <w:lang w:eastAsia="ja-JP"/>
                        </w:rPr>
                        <w:t>iii.</w:t>
                      </w:r>
                      <w:r>
                        <w:rPr>
                          <w:rFonts w:eastAsia="MS Mincho" w:cstheme="minorHAnsi"/>
                          <w:lang w:eastAsia="ja-JP"/>
                        </w:rPr>
                        <w:tab/>
                      </w:r>
                      <w:r w:rsidRPr="00AC0464">
                        <w:rPr>
                          <w:rFonts w:eastAsia="MS Mincho" w:cstheme="minorHAnsi"/>
                          <w:lang w:eastAsia="ja-JP"/>
                        </w:rPr>
                        <w:t xml:space="preserve">take note of the review of the fifth joint Work Plan 2011-2020 </w:t>
                      </w:r>
                      <w:r>
                        <w:rPr>
                          <w:rFonts w:eastAsia="MS Mincho" w:cstheme="minorHAnsi"/>
                          <w:lang w:eastAsia="ja-JP"/>
                        </w:rPr>
                        <w:t xml:space="preserve">(document SC59 Doc.16.1) </w:t>
                      </w:r>
                      <w:r w:rsidRPr="00AC0464">
                        <w:rPr>
                          <w:rFonts w:eastAsia="MS Mincho" w:cstheme="minorHAnsi"/>
                          <w:lang w:eastAsia="ja-JP"/>
                        </w:rPr>
                        <w:t>between the Secretariats of the Convention on Wetlands and the Convention on Biological Diversity that informs the preparation of an updated joint work plan</w:t>
                      </w:r>
                      <w:r>
                        <w:rPr>
                          <w:rFonts w:eastAsia="MS Mincho" w:cstheme="minorHAnsi"/>
                          <w:lang w:eastAsia="ja-JP"/>
                        </w:rPr>
                        <w:t>; and</w:t>
                      </w:r>
                    </w:p>
                    <w:p w14:paraId="3AB14D22" w14:textId="77777777" w:rsidR="002B6D64" w:rsidRPr="00CA5126" w:rsidRDefault="002B6D64" w:rsidP="00AC0464">
                      <w:pPr>
                        <w:pStyle w:val="ListParagraph"/>
                        <w:ind w:left="425" w:hanging="425"/>
                        <w:rPr>
                          <w:rFonts w:asciiTheme="minorHAnsi" w:hAnsiTheme="minorHAnsi"/>
                        </w:rPr>
                      </w:pPr>
                    </w:p>
                    <w:p w14:paraId="09907D18" w14:textId="1E2EDFF0" w:rsidR="002B6D64" w:rsidRPr="002014B8" w:rsidRDefault="002B6D64" w:rsidP="002014B8">
                      <w:p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iv.</w:t>
                      </w:r>
                      <w:r>
                        <w:rPr>
                          <w:rFonts w:ascii="Calibri" w:hAnsi="Calibri" w:cs="Calibri"/>
                          <w:color w:val="000000"/>
                        </w:rPr>
                        <w:tab/>
                        <w:t>review the draft r</w:t>
                      </w:r>
                      <w:r w:rsidRPr="00AC0464">
                        <w:rPr>
                          <w:rFonts w:ascii="Calibri" w:hAnsi="Calibri" w:cs="Calibri"/>
                          <w:color w:val="000000"/>
                        </w:rPr>
                        <w:t>esolution on enhancing the Convention’s visibility and synergies with other MEAs and other international institutions</w:t>
                      </w:r>
                      <w:r>
                        <w:rPr>
                          <w:rFonts w:ascii="Calibri" w:hAnsi="Calibri" w:cs="Calibri"/>
                          <w:color w:val="000000"/>
                        </w:rPr>
                        <w:t xml:space="preserve"> in document SC59 Doc.16</w:t>
                      </w:r>
                      <w:r w:rsidR="003E3316">
                        <w:rPr>
                          <w:rFonts w:ascii="Calibri" w:hAnsi="Calibri" w:cs="Calibri"/>
                          <w:color w:val="000000"/>
                        </w:rPr>
                        <w:t xml:space="preserve"> (</w:t>
                      </w:r>
                      <w:hyperlink r:id="rId9" w:history="1">
                        <w:r w:rsidR="003E3316" w:rsidRPr="00F130C9">
                          <w:rPr>
                            <w:rStyle w:val="Hyperlink"/>
                            <w:rFonts w:cstheme="minorHAnsi"/>
                          </w:rPr>
                          <w:t>https://www.ramsar.org/document/sc59-doc16-enhancing-the-conventions-visibility-and-synergies-with-other-multilateral</w:t>
                        </w:r>
                      </w:hyperlink>
                      <w:r w:rsidR="003E3316">
                        <w:rPr>
                          <w:rStyle w:val="Hyperlink"/>
                          <w:rFonts w:cstheme="minorHAnsi"/>
                        </w:rPr>
                        <w:t>)</w:t>
                      </w:r>
                      <w:r w:rsidRPr="00AC0464">
                        <w:rPr>
                          <w:rFonts w:ascii="Calibri" w:hAnsi="Calibri" w:cs="Calibri"/>
                          <w:color w:val="000000"/>
                        </w:rPr>
                        <w:t>, for consideration by the 14th meeting of the Conference of the Contra</w:t>
                      </w:r>
                      <w:r w:rsidR="002014B8">
                        <w:rPr>
                          <w:rFonts w:ascii="Calibri" w:hAnsi="Calibri" w:cs="Calibri"/>
                          <w:color w:val="000000"/>
                        </w:rPr>
                        <w:t xml:space="preserve">cting Parties. </w:t>
                      </w:r>
                    </w:p>
                  </w:txbxContent>
                </v:textbox>
                <w10:anchorlock/>
              </v:shape>
            </w:pict>
          </mc:Fallback>
        </mc:AlternateContent>
      </w:r>
    </w:p>
    <w:p w14:paraId="4D5BC257" w14:textId="77777777" w:rsidR="009C2848" w:rsidRPr="009C2848" w:rsidRDefault="009C2848" w:rsidP="009C2848">
      <w:pPr>
        <w:autoSpaceDE w:val="0"/>
        <w:autoSpaceDN w:val="0"/>
        <w:adjustRightInd w:val="0"/>
        <w:spacing w:after="0" w:line="240" w:lineRule="auto"/>
        <w:ind w:left="357" w:hanging="357"/>
        <w:jc w:val="both"/>
        <w:rPr>
          <w:rFonts w:cstheme="minorHAnsi"/>
          <w:b/>
          <w:bCs/>
        </w:rPr>
      </w:pPr>
    </w:p>
    <w:p w14:paraId="543B5D4B" w14:textId="77777777" w:rsidR="009C2848" w:rsidRPr="009C2848" w:rsidRDefault="009C2848" w:rsidP="009C2848">
      <w:pPr>
        <w:autoSpaceDE w:val="0"/>
        <w:autoSpaceDN w:val="0"/>
        <w:adjustRightInd w:val="0"/>
        <w:spacing w:after="0" w:line="240" w:lineRule="auto"/>
        <w:ind w:left="357" w:hanging="357"/>
        <w:jc w:val="both"/>
        <w:rPr>
          <w:rFonts w:cstheme="minorHAnsi"/>
          <w:b/>
          <w:bCs/>
        </w:rPr>
      </w:pPr>
    </w:p>
    <w:p w14:paraId="0476F059" w14:textId="77777777" w:rsidR="009C2848" w:rsidRPr="00CA3A5E" w:rsidRDefault="009C2848" w:rsidP="00EB5D3E">
      <w:pPr>
        <w:keepNext/>
        <w:spacing w:after="0" w:line="240" w:lineRule="auto"/>
        <w:ind w:left="357" w:hanging="357"/>
        <w:rPr>
          <w:rFonts w:cstheme="minorHAnsi"/>
          <w:b/>
          <w:bCs/>
        </w:rPr>
      </w:pPr>
      <w:r w:rsidRPr="00CA3A5E">
        <w:rPr>
          <w:rFonts w:cstheme="minorHAnsi"/>
          <w:b/>
          <w:bCs/>
        </w:rPr>
        <w:t xml:space="preserve">Background </w:t>
      </w:r>
    </w:p>
    <w:p w14:paraId="61EF4199" w14:textId="77777777" w:rsidR="009C2848" w:rsidRPr="00CA3A5E" w:rsidRDefault="009C2848" w:rsidP="00EB5D3E">
      <w:pPr>
        <w:keepNext/>
        <w:spacing w:after="0" w:line="240" w:lineRule="auto"/>
        <w:ind w:left="426" w:hanging="426"/>
        <w:rPr>
          <w:rFonts w:eastAsia="Times New Roman" w:cstheme="minorHAnsi"/>
          <w:lang w:eastAsia="en-GB"/>
        </w:rPr>
      </w:pPr>
    </w:p>
    <w:p w14:paraId="32B47E6C" w14:textId="77777777" w:rsidR="009C2848" w:rsidRPr="00CA3A5E" w:rsidRDefault="009C2848" w:rsidP="00CA3A5E">
      <w:pPr>
        <w:suppressAutoHyphens/>
        <w:spacing w:after="0" w:line="240" w:lineRule="auto"/>
        <w:ind w:left="425" w:hanging="425"/>
        <w:rPr>
          <w:rFonts w:eastAsia="Times New Roman" w:cstheme="minorHAnsi"/>
          <w:bCs/>
          <w:lang w:eastAsia="en-GB"/>
        </w:rPr>
      </w:pPr>
      <w:r w:rsidRPr="00CA3A5E">
        <w:rPr>
          <w:rFonts w:eastAsia="Times New Roman" w:cstheme="minorHAnsi"/>
          <w:bCs/>
          <w:lang w:eastAsia="en-GB"/>
        </w:rPr>
        <w:t>1.</w:t>
      </w:r>
      <w:r w:rsidRPr="00CA3A5E">
        <w:rPr>
          <w:rFonts w:eastAsia="Times New Roman" w:cstheme="minorHAnsi"/>
          <w:bCs/>
          <w:lang w:eastAsia="en-GB"/>
        </w:rPr>
        <w:tab/>
        <w:t xml:space="preserve">Resolution XIII.7 on </w:t>
      </w:r>
      <w:r w:rsidRPr="00CA3A5E">
        <w:rPr>
          <w:rFonts w:cstheme="minorHAnsi"/>
          <w:i/>
          <w:lang w:eastAsia="en-GB"/>
        </w:rPr>
        <w:t xml:space="preserve">Enhancing the Convention´s visibility and synergies with other multilateral environmental agreements and other international institutions </w:t>
      </w:r>
      <w:r w:rsidRPr="00CA3A5E">
        <w:rPr>
          <w:rFonts w:eastAsia="Times New Roman" w:cstheme="minorHAnsi"/>
          <w:bCs/>
          <w:lang w:eastAsia="en-GB"/>
        </w:rPr>
        <w:t xml:space="preserve">instructed the Secretariat to report regularly to the Standing Committee on progress in implementing this Resolution and Resolution XI.6 on </w:t>
      </w:r>
      <w:r w:rsidRPr="00CA3A5E">
        <w:rPr>
          <w:rFonts w:eastAsia="Times New Roman" w:cstheme="minorHAnsi"/>
          <w:bCs/>
          <w:i/>
          <w:lang w:eastAsia="en-GB"/>
        </w:rPr>
        <w:t>Partnership and synergies with Multilateral Environmental Agreements and other institutions</w:t>
      </w:r>
      <w:r w:rsidRPr="00CA3A5E">
        <w:rPr>
          <w:rFonts w:eastAsia="Times New Roman" w:cstheme="minorHAnsi"/>
          <w:bCs/>
          <w:lang w:eastAsia="en-GB"/>
        </w:rPr>
        <w:t xml:space="preserve">. </w:t>
      </w:r>
    </w:p>
    <w:p w14:paraId="5162C808" w14:textId="77777777" w:rsidR="00B7760D" w:rsidRPr="00CA3A5E" w:rsidRDefault="00B7760D" w:rsidP="00CA3A5E">
      <w:pPr>
        <w:suppressAutoHyphens/>
        <w:spacing w:after="0" w:line="240" w:lineRule="auto"/>
        <w:ind w:left="425" w:hanging="425"/>
        <w:rPr>
          <w:rFonts w:eastAsia="Times New Roman" w:cstheme="minorHAnsi"/>
          <w:bCs/>
          <w:lang w:eastAsia="en-GB"/>
        </w:rPr>
      </w:pPr>
    </w:p>
    <w:p w14:paraId="55A0A9BB" w14:textId="60CEDD95" w:rsidR="009F5E4F" w:rsidRPr="00CA3A5E" w:rsidRDefault="007D37D5" w:rsidP="00CA3A5E">
      <w:pPr>
        <w:tabs>
          <w:tab w:val="left" w:pos="0"/>
        </w:tabs>
        <w:autoSpaceDE w:val="0"/>
        <w:autoSpaceDN w:val="0"/>
        <w:adjustRightInd w:val="0"/>
        <w:spacing w:after="0" w:line="240" w:lineRule="auto"/>
        <w:ind w:left="425" w:hanging="425"/>
        <w:rPr>
          <w:rFonts w:eastAsia="Times New Roman" w:cstheme="minorHAnsi"/>
          <w:lang w:eastAsia="en-GB"/>
        </w:rPr>
      </w:pPr>
      <w:r w:rsidRPr="00CA3A5E">
        <w:rPr>
          <w:rFonts w:eastAsia="Times New Roman" w:cstheme="minorHAnsi"/>
          <w:bCs/>
          <w:lang w:eastAsia="en-GB"/>
        </w:rPr>
        <w:t>2.</w:t>
      </w:r>
      <w:r w:rsidR="00CC61EE" w:rsidRPr="00CA3A5E">
        <w:rPr>
          <w:rFonts w:eastAsia="Times New Roman" w:cstheme="minorHAnsi"/>
          <w:bCs/>
          <w:lang w:eastAsia="en-GB"/>
        </w:rPr>
        <w:tab/>
      </w:r>
      <w:r w:rsidR="00CA5126" w:rsidRPr="00CA3A5E">
        <w:rPr>
          <w:rFonts w:eastAsia="Times New Roman" w:cstheme="minorHAnsi"/>
          <w:bCs/>
          <w:lang w:eastAsia="en-GB"/>
        </w:rPr>
        <w:t>T</w:t>
      </w:r>
      <w:r w:rsidR="00B7760D" w:rsidRPr="00CA3A5E">
        <w:rPr>
          <w:rFonts w:eastAsia="Times New Roman" w:cstheme="minorHAnsi"/>
          <w:lang w:eastAsia="en-GB"/>
        </w:rPr>
        <w:t xml:space="preserve">he Secretariat prepared </w:t>
      </w:r>
      <w:r w:rsidR="00784E88" w:rsidRPr="00CA3A5E">
        <w:rPr>
          <w:rFonts w:eastAsia="Times New Roman" w:cstheme="minorHAnsi"/>
          <w:lang w:eastAsia="en-GB"/>
        </w:rPr>
        <w:t>document</w:t>
      </w:r>
      <w:r w:rsidR="005D39DC" w:rsidRPr="00CA3A5E">
        <w:rPr>
          <w:rFonts w:eastAsia="Times New Roman" w:cstheme="minorHAnsi"/>
          <w:lang w:eastAsia="en-GB"/>
        </w:rPr>
        <w:t>s</w:t>
      </w:r>
      <w:r w:rsidR="00784E88" w:rsidRPr="00CA3A5E">
        <w:rPr>
          <w:rFonts w:eastAsia="Times New Roman" w:cstheme="minorHAnsi"/>
          <w:lang w:eastAsia="en-GB"/>
        </w:rPr>
        <w:t xml:space="preserve"> </w:t>
      </w:r>
      <w:r w:rsidR="009F5E4F" w:rsidRPr="00CA3A5E">
        <w:rPr>
          <w:rFonts w:eastAsia="Times New Roman" w:cstheme="minorHAnsi"/>
          <w:lang w:eastAsia="en-GB"/>
        </w:rPr>
        <w:t>SC58</w:t>
      </w:r>
      <w:r w:rsidR="00F9170F" w:rsidRPr="00CA3A5E">
        <w:rPr>
          <w:rFonts w:eastAsia="Times New Roman" w:cstheme="minorHAnsi"/>
          <w:lang w:eastAsia="en-GB"/>
        </w:rPr>
        <w:t xml:space="preserve"> </w:t>
      </w:r>
      <w:r w:rsidR="00F9170F" w:rsidRPr="003910E6">
        <w:rPr>
          <w:rFonts w:eastAsia="Times New Roman" w:cstheme="minorHAnsi"/>
          <w:lang w:eastAsia="en-GB"/>
        </w:rPr>
        <w:t>Doc.</w:t>
      </w:r>
      <w:r w:rsidR="00784E88" w:rsidRPr="00CA3A5E">
        <w:rPr>
          <w:rFonts w:eastAsia="Times New Roman" w:cstheme="minorHAnsi"/>
          <w:lang w:eastAsia="en-GB"/>
        </w:rPr>
        <w:t>18</w:t>
      </w:r>
      <w:r w:rsidR="0009108D" w:rsidRPr="00CA3A5E">
        <w:rPr>
          <w:rStyle w:val="FootnoteReference"/>
          <w:rFonts w:eastAsia="Times New Roman" w:cstheme="minorHAnsi"/>
          <w:lang w:eastAsia="en-GB"/>
        </w:rPr>
        <w:footnoteReference w:id="1"/>
      </w:r>
      <w:r w:rsidR="00CA5126" w:rsidRPr="00CA3A5E">
        <w:rPr>
          <w:rFonts w:eastAsia="Times New Roman" w:cstheme="minorHAnsi"/>
          <w:bCs/>
          <w:lang w:eastAsia="en-GB"/>
        </w:rPr>
        <w:t xml:space="preserve"> </w:t>
      </w:r>
      <w:r w:rsidR="005D39DC" w:rsidRPr="00CA3A5E">
        <w:rPr>
          <w:rFonts w:eastAsia="Times New Roman" w:cstheme="minorHAnsi"/>
          <w:bCs/>
          <w:lang w:eastAsia="en-GB"/>
        </w:rPr>
        <w:t>and SC59</w:t>
      </w:r>
      <w:r w:rsidR="00F9170F" w:rsidRPr="00CA3A5E">
        <w:rPr>
          <w:rFonts w:eastAsia="Times New Roman" w:cstheme="minorHAnsi"/>
          <w:bCs/>
          <w:lang w:eastAsia="en-GB"/>
        </w:rPr>
        <w:t xml:space="preserve"> </w:t>
      </w:r>
      <w:r w:rsidR="00F9170F" w:rsidRPr="003910E6">
        <w:rPr>
          <w:rFonts w:eastAsia="Times New Roman" w:cstheme="minorHAnsi"/>
          <w:bCs/>
          <w:lang w:eastAsia="en-GB"/>
        </w:rPr>
        <w:t>Doc.</w:t>
      </w:r>
      <w:r w:rsidR="005D39DC" w:rsidRPr="00CA3A5E">
        <w:rPr>
          <w:rFonts w:eastAsia="Times New Roman" w:cstheme="minorHAnsi"/>
          <w:bCs/>
          <w:lang w:eastAsia="en-GB"/>
        </w:rPr>
        <w:t>16</w:t>
      </w:r>
      <w:r w:rsidR="00CA3A5E" w:rsidRPr="00CA3A5E">
        <w:rPr>
          <w:rStyle w:val="FootnoteReference"/>
          <w:rFonts w:eastAsia="Times New Roman" w:cstheme="minorHAnsi"/>
          <w:bCs/>
          <w:lang w:eastAsia="en-GB"/>
        </w:rPr>
        <w:footnoteReference w:id="2"/>
      </w:r>
      <w:r w:rsidR="005D39DC" w:rsidRPr="00CA3A5E">
        <w:rPr>
          <w:rFonts w:eastAsia="Times New Roman" w:cstheme="minorHAnsi"/>
          <w:bCs/>
          <w:lang w:eastAsia="en-GB"/>
        </w:rPr>
        <w:t xml:space="preserve"> </w:t>
      </w:r>
      <w:r w:rsidR="004210D2" w:rsidRPr="00CA3A5E">
        <w:rPr>
          <w:rFonts w:cstheme="minorHAnsi"/>
          <w:bCs/>
          <w:i/>
          <w:color w:val="000000"/>
        </w:rPr>
        <w:t>Enhancing the Convention</w:t>
      </w:r>
      <w:r w:rsidR="001E050F" w:rsidRPr="00CA3A5E">
        <w:rPr>
          <w:rFonts w:cstheme="minorHAnsi"/>
          <w:bCs/>
          <w:i/>
          <w:color w:val="000000"/>
        </w:rPr>
        <w:t>’</w:t>
      </w:r>
      <w:r w:rsidR="004210D2" w:rsidRPr="00CA3A5E">
        <w:rPr>
          <w:rFonts w:cstheme="minorHAnsi"/>
          <w:bCs/>
          <w:i/>
          <w:color w:val="000000"/>
        </w:rPr>
        <w:t>s visibility and synergies with other multilateral environmental agreements and other international institutions</w:t>
      </w:r>
      <w:r w:rsidR="004210D2" w:rsidRPr="00CA3A5E">
        <w:rPr>
          <w:rFonts w:cstheme="minorHAnsi"/>
          <w:bCs/>
          <w:color w:val="000000"/>
        </w:rPr>
        <w:t xml:space="preserve"> </w:t>
      </w:r>
      <w:r w:rsidR="009F5E4F" w:rsidRPr="00CA3A5E">
        <w:rPr>
          <w:rFonts w:eastAsia="Times New Roman" w:cstheme="minorHAnsi"/>
          <w:lang w:eastAsia="en-GB"/>
        </w:rPr>
        <w:t>with the progress in the implementation of Resolution XIII.7</w:t>
      </w:r>
      <w:r w:rsidR="005D39DC" w:rsidRPr="00CA3A5E">
        <w:rPr>
          <w:rFonts w:eastAsia="Times New Roman" w:cstheme="minorHAnsi"/>
          <w:lang w:eastAsia="en-GB"/>
        </w:rPr>
        <w:t xml:space="preserve"> and </w:t>
      </w:r>
      <w:r w:rsidR="005D39DC" w:rsidRPr="00CA3A5E">
        <w:rPr>
          <w:rFonts w:eastAsia="Times New Roman" w:cstheme="minorHAnsi"/>
          <w:lang w:eastAsia="en-GB"/>
        </w:rPr>
        <w:lastRenderedPageBreak/>
        <w:t>XI.6</w:t>
      </w:r>
      <w:r w:rsidR="001A0DB6" w:rsidRPr="00CA3A5E">
        <w:rPr>
          <w:rFonts w:eastAsia="Times New Roman" w:cstheme="minorHAnsi"/>
          <w:lang w:eastAsia="en-GB"/>
        </w:rPr>
        <w:t xml:space="preserve">. In Annex 1 of </w:t>
      </w:r>
      <w:r w:rsidR="00F9170F" w:rsidRPr="00CA3A5E">
        <w:rPr>
          <w:rFonts w:eastAsia="Times New Roman" w:cstheme="minorHAnsi"/>
          <w:lang w:eastAsia="en-GB"/>
        </w:rPr>
        <w:t xml:space="preserve">document </w:t>
      </w:r>
      <w:r w:rsidR="001A0DB6" w:rsidRPr="00CA3A5E">
        <w:rPr>
          <w:rFonts w:eastAsia="Times New Roman" w:cstheme="minorHAnsi"/>
          <w:lang w:eastAsia="en-GB"/>
        </w:rPr>
        <w:t>SC58</w:t>
      </w:r>
      <w:r w:rsidR="00F9170F" w:rsidRPr="00CA3A5E">
        <w:rPr>
          <w:rFonts w:eastAsia="Times New Roman" w:cstheme="minorHAnsi"/>
          <w:lang w:eastAsia="en-GB"/>
        </w:rPr>
        <w:t xml:space="preserve"> Doc.</w:t>
      </w:r>
      <w:r w:rsidR="001A0DB6" w:rsidRPr="00CA3A5E">
        <w:rPr>
          <w:rFonts w:eastAsia="Times New Roman" w:cstheme="minorHAnsi"/>
          <w:lang w:eastAsia="en-GB"/>
        </w:rPr>
        <w:t>18 is the plan to strength</w:t>
      </w:r>
      <w:r w:rsidR="00F9170F" w:rsidRPr="00CA3A5E">
        <w:rPr>
          <w:rFonts w:eastAsia="Times New Roman" w:cstheme="minorHAnsi"/>
          <w:lang w:eastAsia="en-GB"/>
        </w:rPr>
        <w:t>en</w:t>
      </w:r>
      <w:r w:rsidR="001A0DB6" w:rsidRPr="00CA3A5E">
        <w:rPr>
          <w:rFonts w:eastAsia="Times New Roman" w:cstheme="minorHAnsi"/>
          <w:lang w:eastAsia="en-GB"/>
        </w:rPr>
        <w:t xml:space="preserve"> synergies with other MEAs and contributions to the post-2020 global biodiversity framework</w:t>
      </w:r>
      <w:r w:rsidR="00F9170F" w:rsidRPr="00CA3A5E">
        <w:rPr>
          <w:rFonts w:eastAsia="Times New Roman" w:cstheme="minorHAnsi"/>
          <w:lang w:eastAsia="en-GB"/>
        </w:rPr>
        <w:t>,</w:t>
      </w:r>
      <w:r w:rsidR="001A0DB6" w:rsidRPr="00CA3A5E">
        <w:rPr>
          <w:rFonts w:eastAsia="Times New Roman" w:cstheme="minorHAnsi"/>
          <w:lang w:eastAsia="en-GB"/>
        </w:rPr>
        <w:t xml:space="preserve"> for </w:t>
      </w:r>
      <w:r w:rsidR="00F9170F" w:rsidRPr="00CA3A5E">
        <w:rPr>
          <w:rFonts w:eastAsia="Times New Roman" w:cstheme="minorHAnsi"/>
          <w:lang w:eastAsia="en-GB"/>
        </w:rPr>
        <w:t xml:space="preserve">consideration by the </w:t>
      </w:r>
      <w:r w:rsidR="001A0DB6" w:rsidRPr="00CA3A5E">
        <w:rPr>
          <w:rFonts w:eastAsia="Times New Roman" w:cstheme="minorHAnsi"/>
          <w:lang w:eastAsia="en-GB"/>
        </w:rPr>
        <w:t>Standing Committee. H</w:t>
      </w:r>
      <w:r w:rsidR="00657CE9" w:rsidRPr="00CA3A5E">
        <w:rPr>
          <w:rFonts w:eastAsia="Times New Roman" w:cstheme="minorHAnsi"/>
          <w:lang w:eastAsia="en-GB"/>
        </w:rPr>
        <w:t>owever</w:t>
      </w:r>
      <w:r w:rsidR="001A0DB6" w:rsidRPr="00CA3A5E">
        <w:rPr>
          <w:rFonts w:eastAsia="Times New Roman" w:cstheme="minorHAnsi"/>
          <w:lang w:eastAsia="en-GB"/>
        </w:rPr>
        <w:t>,</w:t>
      </w:r>
      <w:r w:rsidR="009F5E4F" w:rsidRPr="00CA3A5E">
        <w:rPr>
          <w:rFonts w:eastAsia="Times New Roman" w:cstheme="minorHAnsi"/>
          <w:lang w:eastAsia="en-GB"/>
        </w:rPr>
        <w:t xml:space="preserve"> th</w:t>
      </w:r>
      <w:r w:rsidR="00BE2F24" w:rsidRPr="00CA3A5E">
        <w:rPr>
          <w:rFonts w:eastAsia="Times New Roman" w:cstheme="minorHAnsi"/>
          <w:lang w:eastAsia="en-GB"/>
        </w:rPr>
        <w:t>ese</w:t>
      </w:r>
      <w:r w:rsidR="009F5E4F" w:rsidRPr="00CA3A5E">
        <w:rPr>
          <w:rFonts w:eastAsia="Times New Roman" w:cstheme="minorHAnsi"/>
          <w:lang w:eastAsia="en-GB"/>
        </w:rPr>
        <w:t xml:space="preserve"> document</w:t>
      </w:r>
      <w:r w:rsidR="00BE2F24" w:rsidRPr="00CA3A5E">
        <w:rPr>
          <w:rFonts w:eastAsia="Times New Roman" w:cstheme="minorHAnsi"/>
          <w:lang w:eastAsia="en-GB"/>
        </w:rPr>
        <w:t>s</w:t>
      </w:r>
      <w:r w:rsidR="009F5E4F" w:rsidRPr="00CA3A5E">
        <w:rPr>
          <w:rFonts w:eastAsia="Times New Roman" w:cstheme="minorHAnsi"/>
          <w:lang w:eastAsia="en-GB"/>
        </w:rPr>
        <w:t xml:space="preserve"> </w:t>
      </w:r>
      <w:r w:rsidR="00BE2F24" w:rsidRPr="00CA3A5E">
        <w:rPr>
          <w:rFonts w:eastAsia="Times New Roman" w:cstheme="minorHAnsi"/>
          <w:lang w:eastAsia="en-GB"/>
        </w:rPr>
        <w:t xml:space="preserve">were </w:t>
      </w:r>
      <w:r w:rsidR="009F5E4F" w:rsidRPr="00CA3A5E">
        <w:rPr>
          <w:rFonts w:eastAsia="Times New Roman" w:cstheme="minorHAnsi"/>
          <w:lang w:eastAsia="en-GB"/>
        </w:rPr>
        <w:t xml:space="preserve">not addressed </w:t>
      </w:r>
      <w:r w:rsidR="00F9170F" w:rsidRPr="00CA3A5E">
        <w:rPr>
          <w:rFonts w:eastAsia="Times New Roman" w:cstheme="minorHAnsi"/>
          <w:lang w:eastAsia="en-GB"/>
        </w:rPr>
        <w:t xml:space="preserve">during </w:t>
      </w:r>
      <w:r w:rsidR="009F5E4F" w:rsidRPr="00CA3A5E">
        <w:rPr>
          <w:rFonts w:eastAsia="Times New Roman" w:cstheme="minorHAnsi"/>
          <w:lang w:eastAsia="en-GB"/>
        </w:rPr>
        <w:t xml:space="preserve">the intersessional process of </w:t>
      </w:r>
      <w:r w:rsidR="00F9170F" w:rsidRPr="00CA3A5E">
        <w:rPr>
          <w:rFonts w:eastAsia="Times New Roman" w:cstheme="minorHAnsi"/>
          <w:lang w:eastAsia="en-GB"/>
        </w:rPr>
        <w:t xml:space="preserve">the 58th meeting of </w:t>
      </w:r>
      <w:r w:rsidR="009F5E4F" w:rsidRPr="00CA3A5E">
        <w:rPr>
          <w:rFonts w:eastAsia="Times New Roman" w:cstheme="minorHAnsi"/>
          <w:lang w:eastAsia="en-GB"/>
        </w:rPr>
        <w:t xml:space="preserve">Standing Committee </w:t>
      </w:r>
      <w:r w:rsidR="00F9170F" w:rsidRPr="00CA3A5E">
        <w:rPr>
          <w:rFonts w:eastAsia="Times New Roman" w:cstheme="minorHAnsi"/>
          <w:lang w:eastAsia="en-GB"/>
        </w:rPr>
        <w:t xml:space="preserve">(SC58) </w:t>
      </w:r>
      <w:r w:rsidR="009F5E4F" w:rsidRPr="00CA3A5E">
        <w:rPr>
          <w:rFonts w:eastAsia="Times New Roman" w:cstheme="minorHAnsi"/>
          <w:lang w:eastAsia="en-GB"/>
        </w:rPr>
        <w:t>in 2020</w:t>
      </w:r>
      <w:r w:rsidR="00BE2F24" w:rsidRPr="00CA3A5E">
        <w:rPr>
          <w:rFonts w:eastAsia="Times New Roman" w:cstheme="minorHAnsi"/>
          <w:lang w:eastAsia="en-GB"/>
        </w:rPr>
        <w:t xml:space="preserve"> </w:t>
      </w:r>
      <w:r w:rsidR="00F9170F" w:rsidRPr="00CA3A5E">
        <w:rPr>
          <w:rFonts w:eastAsia="Times New Roman" w:cstheme="minorHAnsi"/>
          <w:lang w:eastAsia="en-GB"/>
        </w:rPr>
        <w:t xml:space="preserve">or SC59 </w:t>
      </w:r>
      <w:r w:rsidR="00BE2F24" w:rsidRPr="00CA3A5E">
        <w:rPr>
          <w:rFonts w:eastAsia="Times New Roman" w:cstheme="minorHAnsi"/>
          <w:lang w:eastAsia="en-GB"/>
        </w:rPr>
        <w:t>in June 2021</w:t>
      </w:r>
      <w:r w:rsidR="0040386B" w:rsidRPr="00CA3A5E">
        <w:rPr>
          <w:rFonts w:eastAsia="Times New Roman" w:cstheme="minorHAnsi"/>
          <w:lang w:eastAsia="en-GB"/>
        </w:rPr>
        <w:t>.</w:t>
      </w:r>
    </w:p>
    <w:p w14:paraId="0F9C4813" w14:textId="58E5D39D" w:rsidR="00B7760D" w:rsidRPr="00CA3A5E" w:rsidRDefault="00B7760D" w:rsidP="00CA3A5E">
      <w:pPr>
        <w:suppressAutoHyphens/>
        <w:spacing w:after="0" w:line="240" w:lineRule="auto"/>
        <w:rPr>
          <w:rFonts w:eastAsia="Times New Roman" w:cstheme="minorHAnsi"/>
          <w:lang w:eastAsia="en-GB"/>
        </w:rPr>
      </w:pPr>
    </w:p>
    <w:p w14:paraId="0A6392D1" w14:textId="08725873" w:rsidR="009C2848" w:rsidRPr="00CA3A5E" w:rsidRDefault="007D37D5" w:rsidP="00CA3A5E">
      <w:pPr>
        <w:tabs>
          <w:tab w:val="left" w:pos="0"/>
        </w:tabs>
        <w:autoSpaceDE w:val="0"/>
        <w:autoSpaceDN w:val="0"/>
        <w:adjustRightInd w:val="0"/>
        <w:spacing w:after="0" w:line="240" w:lineRule="auto"/>
        <w:ind w:left="425" w:hanging="425"/>
        <w:rPr>
          <w:rFonts w:eastAsia="Times New Roman" w:cstheme="minorHAnsi"/>
          <w:lang w:eastAsia="en-GB"/>
        </w:rPr>
      </w:pPr>
      <w:r w:rsidRPr="00CA3A5E">
        <w:rPr>
          <w:rFonts w:cstheme="minorHAnsi"/>
          <w:color w:val="000000"/>
        </w:rPr>
        <w:t>3</w:t>
      </w:r>
      <w:r w:rsidR="009C2848" w:rsidRPr="00CA3A5E">
        <w:rPr>
          <w:rFonts w:cstheme="minorHAnsi"/>
          <w:color w:val="000000"/>
        </w:rPr>
        <w:t>.</w:t>
      </w:r>
      <w:r w:rsidR="009C2848" w:rsidRPr="00CA3A5E">
        <w:rPr>
          <w:rFonts w:cstheme="minorHAnsi"/>
          <w:color w:val="000000"/>
        </w:rPr>
        <w:tab/>
      </w:r>
      <w:r w:rsidR="00BE2F24" w:rsidRPr="00CA3A5E">
        <w:rPr>
          <w:rFonts w:cstheme="minorHAnsi"/>
          <w:color w:val="000000"/>
        </w:rPr>
        <w:t>T</w:t>
      </w:r>
      <w:r w:rsidR="009C2848" w:rsidRPr="00CA3A5E">
        <w:rPr>
          <w:rFonts w:eastAsia="Times New Roman" w:cstheme="minorHAnsi"/>
          <w:lang w:eastAsia="en-GB"/>
        </w:rPr>
        <w:t xml:space="preserve">his </w:t>
      </w:r>
      <w:r w:rsidR="001A0DB6" w:rsidRPr="00CA3A5E">
        <w:rPr>
          <w:rFonts w:eastAsia="Times New Roman" w:cstheme="minorHAnsi"/>
          <w:lang w:eastAsia="en-GB"/>
        </w:rPr>
        <w:t xml:space="preserve">update </w:t>
      </w:r>
      <w:r w:rsidR="009C2848" w:rsidRPr="00CA3A5E">
        <w:rPr>
          <w:rFonts w:eastAsia="Times New Roman" w:cstheme="minorHAnsi"/>
          <w:lang w:eastAsia="en-GB"/>
        </w:rPr>
        <w:t>report covers the main activities undertaken since SC5</w:t>
      </w:r>
      <w:r w:rsidR="00BE2F24" w:rsidRPr="00CA3A5E">
        <w:rPr>
          <w:rFonts w:eastAsia="Times New Roman" w:cstheme="minorHAnsi"/>
          <w:lang w:eastAsia="en-GB"/>
        </w:rPr>
        <w:t xml:space="preserve">9 </w:t>
      </w:r>
      <w:r w:rsidR="009C2848" w:rsidRPr="00CA3A5E">
        <w:rPr>
          <w:rFonts w:eastAsia="Times New Roman" w:cstheme="minorHAnsi"/>
          <w:lang w:eastAsia="en-GB"/>
        </w:rPr>
        <w:t xml:space="preserve">in accordance with Resolutions XIII.7 and XI.6, and specifically the activities related to the Biodiversity Liaison Group (BLG), the Intergovernmental Science-Policy Platform on Biodiversity and Ecosystem Services (IPBES), and the progress made </w:t>
      </w:r>
      <w:r w:rsidR="00F9170F" w:rsidRPr="00CA3A5E">
        <w:rPr>
          <w:rFonts w:eastAsia="Times New Roman" w:cstheme="minorHAnsi"/>
          <w:lang w:eastAsia="en-GB"/>
        </w:rPr>
        <w:t xml:space="preserve">on the </w:t>
      </w:r>
      <w:r w:rsidR="0006113B">
        <w:rPr>
          <w:rFonts w:eastAsia="Times New Roman" w:cstheme="minorHAnsi"/>
          <w:lang w:eastAsia="en-GB"/>
        </w:rPr>
        <w:t>S</w:t>
      </w:r>
      <w:r w:rsidR="00F9170F" w:rsidRPr="00CA3A5E">
        <w:rPr>
          <w:rFonts w:eastAsia="Times New Roman" w:cstheme="minorHAnsi"/>
          <w:lang w:eastAsia="en-GB"/>
        </w:rPr>
        <w:t>ustainable Development Goals (</w:t>
      </w:r>
      <w:r w:rsidR="009C2848" w:rsidRPr="00CA3A5E">
        <w:rPr>
          <w:rFonts w:eastAsia="Times New Roman" w:cstheme="minorHAnsi"/>
          <w:lang w:eastAsia="en-GB"/>
        </w:rPr>
        <w:t>SDGs</w:t>
      </w:r>
      <w:r w:rsidR="00F9170F" w:rsidRPr="00CA3A5E">
        <w:rPr>
          <w:rFonts w:eastAsia="Times New Roman" w:cstheme="minorHAnsi"/>
          <w:lang w:eastAsia="en-GB"/>
        </w:rPr>
        <w:t>)</w:t>
      </w:r>
      <w:r w:rsidR="009C2848" w:rsidRPr="00CA3A5E">
        <w:rPr>
          <w:rFonts w:eastAsia="Times New Roman" w:cstheme="minorHAnsi"/>
          <w:lang w:eastAsia="en-GB"/>
        </w:rPr>
        <w:t xml:space="preserve">, </w:t>
      </w:r>
      <w:r w:rsidR="00F9170F" w:rsidRPr="00CA3A5E">
        <w:rPr>
          <w:rFonts w:eastAsia="Times New Roman" w:cstheme="minorHAnsi"/>
          <w:lang w:eastAsia="en-GB"/>
        </w:rPr>
        <w:t xml:space="preserve">and with </w:t>
      </w:r>
      <w:r w:rsidR="009C2848" w:rsidRPr="00CA3A5E">
        <w:rPr>
          <w:rFonts w:eastAsia="Times New Roman" w:cstheme="minorHAnsi"/>
          <w:lang w:eastAsia="en-GB"/>
        </w:rPr>
        <w:t xml:space="preserve">MEAs, UNEP and other institutions. </w:t>
      </w:r>
    </w:p>
    <w:p w14:paraId="1BE6B30F" w14:textId="77777777" w:rsidR="009C2848" w:rsidRPr="00CA3A5E" w:rsidRDefault="009C2848" w:rsidP="00CA3A5E">
      <w:pPr>
        <w:suppressAutoHyphens/>
        <w:spacing w:after="0" w:line="240" w:lineRule="auto"/>
        <w:ind w:left="425" w:hanging="425"/>
        <w:rPr>
          <w:rFonts w:eastAsia="Times New Roman" w:cstheme="minorHAnsi"/>
          <w:lang w:eastAsia="en-GB"/>
        </w:rPr>
      </w:pPr>
    </w:p>
    <w:p w14:paraId="7C6FFEDE" w14:textId="77777777" w:rsidR="009C2848" w:rsidRPr="00CA3A5E" w:rsidRDefault="009C2848" w:rsidP="00EB5D3E">
      <w:pPr>
        <w:keepNext/>
        <w:spacing w:after="0" w:line="240" w:lineRule="auto"/>
        <w:ind w:left="357" w:hanging="357"/>
        <w:rPr>
          <w:rFonts w:eastAsia="Times New Roman" w:cstheme="minorHAnsi"/>
          <w:b/>
          <w:lang w:eastAsia="en-GB"/>
        </w:rPr>
      </w:pPr>
      <w:r w:rsidRPr="00CA3A5E">
        <w:rPr>
          <w:rFonts w:eastAsia="Times New Roman" w:cstheme="minorHAnsi"/>
          <w:b/>
          <w:lang w:eastAsia="en-GB"/>
        </w:rPr>
        <w:t xml:space="preserve">Work under the Biodiversity Liaison Group </w:t>
      </w:r>
    </w:p>
    <w:p w14:paraId="6F91823B" w14:textId="77777777" w:rsidR="009C2848" w:rsidRPr="00CA3A5E" w:rsidRDefault="009C2848" w:rsidP="00EB5D3E">
      <w:pPr>
        <w:keepNext/>
        <w:spacing w:after="0" w:line="240" w:lineRule="auto"/>
        <w:ind w:left="357" w:hanging="357"/>
        <w:rPr>
          <w:rFonts w:eastAsia="Times New Roman" w:cstheme="minorHAnsi"/>
          <w:lang w:eastAsia="en-GB"/>
        </w:rPr>
      </w:pPr>
    </w:p>
    <w:p w14:paraId="5AA1C4A0" w14:textId="65DAAF8E" w:rsidR="00EB7BD2" w:rsidRPr="00CA3A5E" w:rsidRDefault="00EE3447"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4</w:t>
      </w:r>
      <w:r w:rsidR="009C2848" w:rsidRPr="00CA3A5E">
        <w:rPr>
          <w:rFonts w:eastAsia="Times New Roman" w:cstheme="minorHAnsi"/>
          <w:lang w:eastAsia="en-GB"/>
        </w:rPr>
        <w:t>.</w:t>
      </w:r>
      <w:r w:rsidR="009C2848" w:rsidRPr="00CA3A5E">
        <w:rPr>
          <w:rFonts w:eastAsia="Times New Roman" w:cstheme="minorHAnsi"/>
          <w:lang w:eastAsia="en-GB"/>
        </w:rPr>
        <w:tab/>
        <w:t xml:space="preserve">The Secretariat has continued to participate in the meetings and joint actions of the BLG </w:t>
      </w:r>
      <w:r w:rsidR="00C73CEB" w:rsidRPr="00CA3A5E">
        <w:rPr>
          <w:rFonts w:eastAsia="Times New Roman" w:cstheme="minorHAnsi"/>
          <w:lang w:eastAsia="en-GB"/>
        </w:rPr>
        <w:t xml:space="preserve">in accordance with </w:t>
      </w:r>
      <w:r w:rsidR="009C2848" w:rsidRPr="00CA3A5E">
        <w:rPr>
          <w:rFonts w:eastAsia="Times New Roman" w:cstheme="minorHAnsi"/>
          <w:lang w:eastAsia="en-GB"/>
        </w:rPr>
        <w:t>the Group</w:t>
      </w:r>
      <w:r w:rsidR="001E050F" w:rsidRPr="00CA3A5E">
        <w:rPr>
          <w:rFonts w:eastAsia="Times New Roman" w:cstheme="minorHAnsi"/>
          <w:lang w:eastAsia="en-GB"/>
        </w:rPr>
        <w:t>’</w:t>
      </w:r>
      <w:r w:rsidR="009C2848" w:rsidRPr="00CA3A5E">
        <w:rPr>
          <w:rFonts w:eastAsia="Times New Roman" w:cstheme="minorHAnsi"/>
          <w:lang w:eastAsia="en-GB"/>
        </w:rPr>
        <w:t xml:space="preserve">s Plan for Joint Activities. The Secretariat participated in the </w:t>
      </w:r>
      <w:r w:rsidR="00076F67" w:rsidRPr="00CA3A5E">
        <w:rPr>
          <w:rFonts w:eastAsia="Times New Roman" w:cstheme="minorHAnsi"/>
          <w:lang w:eastAsia="en-GB"/>
        </w:rPr>
        <w:t xml:space="preserve">virtual </w:t>
      </w:r>
      <w:r w:rsidR="009C2848" w:rsidRPr="00CA3A5E">
        <w:rPr>
          <w:rFonts w:eastAsia="Times New Roman" w:cstheme="minorHAnsi"/>
          <w:lang w:eastAsia="en-GB"/>
        </w:rPr>
        <w:t xml:space="preserve">meeting of the BLG </w:t>
      </w:r>
      <w:r w:rsidR="00EB7BD2" w:rsidRPr="00CA3A5E">
        <w:rPr>
          <w:rFonts w:eastAsia="Times New Roman" w:cstheme="minorHAnsi"/>
          <w:lang w:eastAsia="en-GB"/>
        </w:rPr>
        <w:t xml:space="preserve">on 6 October 2021 </w:t>
      </w:r>
      <w:r w:rsidR="00EB7BD2" w:rsidRPr="00CA3A5E">
        <w:rPr>
          <w:rFonts w:cstheme="minorHAnsi"/>
          <w:lang w:val="en-US"/>
        </w:rPr>
        <w:t xml:space="preserve">with a major focus on engagement in the process for the development of the post-2020 global biodiversity framework, </w:t>
      </w:r>
      <w:r w:rsidR="00C73CEB" w:rsidRPr="00CA3A5E">
        <w:rPr>
          <w:rFonts w:cstheme="minorHAnsi"/>
          <w:bCs/>
        </w:rPr>
        <w:t>the</w:t>
      </w:r>
      <w:r w:rsidR="00C73CEB" w:rsidRPr="00CA3A5E">
        <w:rPr>
          <w:rFonts w:cstheme="minorHAnsi"/>
          <w:b/>
          <w:bCs/>
        </w:rPr>
        <w:t xml:space="preserve"> </w:t>
      </w:r>
      <w:r w:rsidR="00C73CEB" w:rsidRPr="00CA3A5E">
        <w:rPr>
          <w:rFonts w:cstheme="minorHAnsi"/>
        </w:rPr>
        <w:t>fifteenth meeting of the Conference of the Parties to the Convention on Biological Diversity</w:t>
      </w:r>
      <w:r w:rsidR="00C73CEB" w:rsidRPr="00CA3A5E">
        <w:rPr>
          <w:rFonts w:cstheme="minorHAnsi"/>
          <w:lang w:val="en-CA"/>
        </w:rPr>
        <w:t xml:space="preserve"> (</w:t>
      </w:r>
      <w:r w:rsidR="00EB7BD2" w:rsidRPr="00CA3A5E">
        <w:rPr>
          <w:rFonts w:cstheme="minorHAnsi"/>
          <w:lang w:val="en-US"/>
        </w:rPr>
        <w:t>CBD COP15</w:t>
      </w:r>
      <w:r w:rsidR="00C73CEB" w:rsidRPr="00CA3A5E">
        <w:rPr>
          <w:rFonts w:cstheme="minorHAnsi"/>
          <w:lang w:val="en-US"/>
        </w:rPr>
        <w:t>)</w:t>
      </w:r>
      <w:r w:rsidR="00EB7BD2" w:rsidRPr="00CA3A5E">
        <w:rPr>
          <w:rFonts w:cstheme="minorHAnsi"/>
          <w:lang w:val="en-US"/>
        </w:rPr>
        <w:t xml:space="preserve"> and COP26</w:t>
      </w:r>
      <w:r w:rsidR="00C73CEB" w:rsidRPr="00CA3A5E">
        <w:rPr>
          <w:rFonts w:cstheme="minorHAnsi"/>
          <w:lang w:val="en-US"/>
        </w:rPr>
        <w:t xml:space="preserve"> of the UN Framework Convention on Climate Change (UNFCCC)</w:t>
      </w:r>
      <w:r w:rsidR="00EB7BD2" w:rsidRPr="00CA3A5E">
        <w:rPr>
          <w:rFonts w:cstheme="minorHAnsi"/>
          <w:lang w:val="en-US"/>
        </w:rPr>
        <w:t xml:space="preserve">. </w:t>
      </w:r>
      <w:r w:rsidR="00EB7BD2" w:rsidRPr="00CA3A5E">
        <w:rPr>
          <w:rFonts w:cstheme="minorHAnsi"/>
          <w:lang w:val="en-CA"/>
        </w:rPr>
        <w:t xml:space="preserve">A joint statement of the </w:t>
      </w:r>
      <w:r w:rsidR="00EB7BD2" w:rsidRPr="00CA3A5E">
        <w:rPr>
          <w:rFonts w:cstheme="minorHAnsi"/>
          <w:lang w:val="en-US"/>
        </w:rPr>
        <w:t xml:space="preserve">BLG was delivered </w:t>
      </w:r>
      <w:r w:rsidR="00EB7BD2" w:rsidRPr="00CA3A5E">
        <w:rPr>
          <w:rFonts w:cstheme="minorHAnsi"/>
          <w:bCs/>
          <w:lang w:val="en-CA"/>
        </w:rPr>
        <w:t xml:space="preserve">on 12 October 2021 </w:t>
      </w:r>
      <w:r w:rsidR="00EB7BD2" w:rsidRPr="00CA3A5E">
        <w:rPr>
          <w:rFonts w:cstheme="minorHAnsi"/>
          <w:lang w:val="en-CA"/>
        </w:rPr>
        <w:t xml:space="preserve">at the Panel </w:t>
      </w:r>
      <w:r w:rsidR="00EB7BD2" w:rsidRPr="00CA3A5E">
        <w:rPr>
          <w:rFonts w:cstheme="minorHAnsi"/>
          <w:i/>
          <w:iCs/>
        </w:rPr>
        <w:t xml:space="preserve">Promoting synergistic action for biodiversity, climate, land and oceans </w:t>
      </w:r>
      <w:r w:rsidR="00EB7BD2" w:rsidRPr="00CA3A5E">
        <w:rPr>
          <w:rFonts w:cstheme="minorHAnsi"/>
          <w:iCs/>
        </w:rPr>
        <w:t xml:space="preserve">at the </w:t>
      </w:r>
      <w:r w:rsidR="00EB7BD2" w:rsidRPr="00CA3A5E">
        <w:rPr>
          <w:rFonts w:cstheme="minorHAnsi"/>
          <w:bCs/>
        </w:rPr>
        <w:t xml:space="preserve">High-Level Segment of </w:t>
      </w:r>
      <w:r w:rsidR="00C73CEB" w:rsidRPr="00CA3A5E">
        <w:rPr>
          <w:rFonts w:cstheme="minorHAnsi"/>
          <w:bCs/>
        </w:rPr>
        <w:t xml:space="preserve">CBD COP15 </w:t>
      </w:r>
      <w:r w:rsidR="00EB7BD2" w:rsidRPr="00CA3A5E">
        <w:rPr>
          <w:rFonts w:cstheme="minorHAnsi"/>
          <w:lang w:val="en-CA"/>
        </w:rPr>
        <w:t>(part 1).</w:t>
      </w:r>
    </w:p>
    <w:p w14:paraId="1B5140FA" w14:textId="77777777" w:rsidR="00AC0464" w:rsidRPr="00CA3A5E" w:rsidRDefault="00AC0464" w:rsidP="00CA3A5E">
      <w:pPr>
        <w:suppressAutoHyphens/>
        <w:spacing w:after="0" w:line="240" w:lineRule="auto"/>
        <w:ind w:left="425" w:hanging="425"/>
        <w:rPr>
          <w:rFonts w:eastAsia="Times New Roman" w:cstheme="minorHAnsi"/>
          <w:b/>
          <w:lang w:eastAsia="en-GB"/>
        </w:rPr>
      </w:pPr>
    </w:p>
    <w:p w14:paraId="66E81A69" w14:textId="56812B1D" w:rsidR="009C2848" w:rsidRPr="00CA3A5E" w:rsidRDefault="009C2848" w:rsidP="00EB5D3E">
      <w:pPr>
        <w:keepNext/>
        <w:spacing w:after="0" w:line="240" w:lineRule="auto"/>
        <w:rPr>
          <w:rFonts w:eastAsia="Times New Roman" w:cstheme="minorHAnsi"/>
          <w:b/>
          <w:lang w:eastAsia="en-GB"/>
        </w:rPr>
      </w:pPr>
      <w:r w:rsidRPr="00CA3A5E">
        <w:rPr>
          <w:rFonts w:eastAsia="Times New Roman" w:cstheme="minorHAnsi"/>
          <w:b/>
          <w:lang w:eastAsia="en-GB"/>
        </w:rPr>
        <w:t xml:space="preserve">Intergovernmental Platform on Biodiversity and Ecosystem Services </w:t>
      </w:r>
    </w:p>
    <w:p w14:paraId="714A0B21" w14:textId="77777777" w:rsidR="009C2848" w:rsidRPr="00CA3A5E" w:rsidRDefault="009C2848" w:rsidP="00EB5D3E">
      <w:pPr>
        <w:keepNext/>
        <w:spacing w:after="0" w:line="240" w:lineRule="auto"/>
        <w:ind w:left="357" w:hanging="357"/>
        <w:rPr>
          <w:rFonts w:eastAsia="Times New Roman" w:cstheme="minorHAnsi"/>
          <w:b/>
          <w:lang w:eastAsia="en-GB"/>
        </w:rPr>
      </w:pPr>
    </w:p>
    <w:p w14:paraId="2E0A4D80" w14:textId="38022A94" w:rsidR="005E6F7A" w:rsidRPr="00CA3A5E" w:rsidRDefault="00EE3447" w:rsidP="00CA3A5E">
      <w:pPr>
        <w:spacing w:after="0" w:line="240" w:lineRule="auto"/>
        <w:ind w:left="426" w:hanging="426"/>
        <w:rPr>
          <w:rFonts w:cstheme="minorHAnsi"/>
        </w:rPr>
      </w:pPr>
      <w:r w:rsidRPr="00CA3A5E">
        <w:rPr>
          <w:rFonts w:cstheme="minorHAnsi"/>
        </w:rPr>
        <w:t>5.</w:t>
      </w:r>
      <w:r w:rsidRPr="00CA3A5E">
        <w:rPr>
          <w:rFonts w:cstheme="minorHAnsi"/>
        </w:rPr>
        <w:tab/>
      </w:r>
      <w:r w:rsidR="005E6F7A" w:rsidRPr="00CA3A5E">
        <w:rPr>
          <w:rFonts w:cstheme="minorHAnsi"/>
        </w:rPr>
        <w:t xml:space="preserve">Cooperation with the Intergovernmental Science-Policy Platform on Biodiversity and Ecosystem Services (IPBES) continues in the context of the existing Memorandum of Cooperation. The Secretariat participated in the 8th Plenary of IPBES, held virtually </w:t>
      </w:r>
      <w:r w:rsidR="00072FD9" w:rsidRPr="00CA3A5E">
        <w:rPr>
          <w:rFonts w:cstheme="minorHAnsi"/>
        </w:rPr>
        <w:t xml:space="preserve">from </w:t>
      </w:r>
      <w:r w:rsidR="005E6F7A" w:rsidRPr="00CA3A5E">
        <w:rPr>
          <w:rFonts w:cstheme="minorHAnsi"/>
        </w:rPr>
        <w:t>14</w:t>
      </w:r>
      <w:r w:rsidR="00072FD9" w:rsidRPr="00CA3A5E">
        <w:rPr>
          <w:rFonts w:cstheme="minorHAnsi"/>
        </w:rPr>
        <w:t xml:space="preserve"> to </w:t>
      </w:r>
      <w:r w:rsidR="005E6F7A" w:rsidRPr="00CA3A5E">
        <w:rPr>
          <w:rFonts w:cstheme="minorHAnsi"/>
        </w:rPr>
        <w:t>24 June</w:t>
      </w:r>
      <w:r w:rsidR="00072FD9" w:rsidRPr="00CA3A5E">
        <w:rPr>
          <w:rFonts w:cstheme="minorHAnsi"/>
        </w:rPr>
        <w:t xml:space="preserve"> 2021</w:t>
      </w:r>
      <w:r w:rsidR="005E6F7A" w:rsidRPr="00CA3A5E">
        <w:rPr>
          <w:rFonts w:cstheme="minorHAnsi"/>
        </w:rPr>
        <w:t>.</w:t>
      </w:r>
      <w:r w:rsidR="00072FD9" w:rsidRPr="00CA3A5E">
        <w:rPr>
          <w:rFonts w:cstheme="minorHAnsi"/>
        </w:rPr>
        <w:t xml:space="preserve"> </w:t>
      </w:r>
      <w:r w:rsidR="005E6F7A" w:rsidRPr="00CA3A5E">
        <w:rPr>
          <w:rFonts w:cstheme="minorHAnsi"/>
        </w:rPr>
        <w:t xml:space="preserve">A statement was submitted, stressing the importance of the nexus assessment and transformative change assessment considered at the meeting, emphasizing how wetlands </w:t>
      </w:r>
      <w:r w:rsidR="005E6F7A" w:rsidRPr="00CA3A5E">
        <w:rPr>
          <w:rFonts w:cstheme="minorHAnsi"/>
          <w:lang w:val="en-US"/>
        </w:rPr>
        <w:t xml:space="preserve">interlink biodiversity, climate, water, food, energy and health, and how </w:t>
      </w:r>
      <w:r w:rsidR="005E6F7A" w:rsidRPr="00CA3A5E">
        <w:rPr>
          <w:rFonts w:cstheme="minorHAnsi"/>
        </w:rPr>
        <w:t xml:space="preserve">recognition of this and of the value of wetlands to society are key to achieving transformative change. The Chair of the Scientific and Technical Review Panel (STRP) participated in the </w:t>
      </w:r>
      <w:r w:rsidR="005E6F7A" w:rsidRPr="00CA3A5E">
        <w:rPr>
          <w:rFonts w:cstheme="minorHAnsi"/>
          <w:bCs/>
        </w:rPr>
        <w:t xml:space="preserve">meeting of the Multidisciplinary Expert Panel of IPBES, </w:t>
      </w:r>
      <w:r w:rsidR="005E6F7A" w:rsidRPr="00CA3A5E">
        <w:rPr>
          <w:rFonts w:cstheme="minorHAnsi"/>
        </w:rPr>
        <w:t xml:space="preserve">held virtually </w:t>
      </w:r>
      <w:r w:rsidR="00072FD9" w:rsidRPr="00CA3A5E">
        <w:rPr>
          <w:rFonts w:cstheme="minorHAnsi"/>
        </w:rPr>
        <w:t xml:space="preserve">from </w:t>
      </w:r>
      <w:r w:rsidR="005E6F7A" w:rsidRPr="00CA3A5E">
        <w:rPr>
          <w:rFonts w:cstheme="minorHAnsi"/>
        </w:rPr>
        <w:t>11</w:t>
      </w:r>
      <w:r w:rsidR="00072FD9" w:rsidRPr="00CA3A5E">
        <w:rPr>
          <w:rFonts w:cstheme="minorHAnsi"/>
        </w:rPr>
        <w:t xml:space="preserve"> to </w:t>
      </w:r>
      <w:r w:rsidR="005E6F7A" w:rsidRPr="00CA3A5E">
        <w:rPr>
          <w:rFonts w:cstheme="minorHAnsi"/>
        </w:rPr>
        <w:t xml:space="preserve">19 October 2021. </w:t>
      </w:r>
    </w:p>
    <w:p w14:paraId="4099DACA" w14:textId="6E51F82E" w:rsidR="00E93B99" w:rsidRPr="00CA3A5E" w:rsidRDefault="00E93B99" w:rsidP="00CA3A5E">
      <w:pPr>
        <w:spacing w:after="0" w:line="240" w:lineRule="auto"/>
        <w:ind w:left="425" w:hanging="425"/>
        <w:rPr>
          <w:rFonts w:cstheme="minorHAnsi"/>
        </w:rPr>
      </w:pPr>
    </w:p>
    <w:p w14:paraId="1ADE8CEF" w14:textId="77777777" w:rsidR="009C2848" w:rsidRPr="00CA3A5E" w:rsidRDefault="009C2848" w:rsidP="00EB5D3E">
      <w:pPr>
        <w:keepNext/>
        <w:spacing w:after="0" w:line="240" w:lineRule="auto"/>
        <w:ind w:left="357" w:hanging="357"/>
        <w:rPr>
          <w:rFonts w:eastAsia="Times New Roman" w:cstheme="minorHAnsi"/>
          <w:b/>
          <w:lang w:eastAsia="en-GB"/>
        </w:rPr>
      </w:pPr>
      <w:r w:rsidRPr="00CA3A5E">
        <w:rPr>
          <w:rFonts w:eastAsia="Times New Roman" w:cstheme="minorHAnsi"/>
          <w:b/>
          <w:lang w:eastAsia="en-GB"/>
        </w:rPr>
        <w:t>Cooperation with other multilateral environmental agreements</w:t>
      </w:r>
    </w:p>
    <w:p w14:paraId="09DE1659" w14:textId="77777777" w:rsidR="009C2848" w:rsidRPr="00CA3A5E" w:rsidRDefault="009C2848" w:rsidP="00EB5D3E">
      <w:pPr>
        <w:keepNext/>
        <w:suppressAutoHyphens/>
        <w:spacing w:after="0" w:line="240" w:lineRule="auto"/>
        <w:ind w:left="425" w:hanging="425"/>
        <w:rPr>
          <w:rFonts w:eastAsia="Times New Roman" w:cstheme="minorHAnsi"/>
          <w:lang w:eastAsia="en-GB"/>
        </w:rPr>
      </w:pPr>
    </w:p>
    <w:p w14:paraId="280BF7DA" w14:textId="5E8E82A4" w:rsidR="009C2848" w:rsidRPr="00CA3A5E" w:rsidRDefault="00EE3447"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6</w:t>
      </w:r>
      <w:r w:rsidR="009C2848" w:rsidRPr="00CA3A5E">
        <w:rPr>
          <w:rFonts w:eastAsia="Times New Roman" w:cstheme="minorHAnsi"/>
          <w:lang w:eastAsia="en-GB"/>
        </w:rPr>
        <w:t>.</w:t>
      </w:r>
      <w:r w:rsidR="009C2848" w:rsidRPr="00CA3A5E">
        <w:rPr>
          <w:rFonts w:eastAsia="Times New Roman" w:cstheme="minorHAnsi"/>
          <w:lang w:eastAsia="en-GB"/>
        </w:rPr>
        <w:tab/>
        <w:t>The Secretariat continues to collaborate actively with other MEAs, concentrat</w:t>
      </w:r>
      <w:r w:rsidR="00657CE9" w:rsidRPr="00CA3A5E">
        <w:rPr>
          <w:rFonts w:eastAsia="Times New Roman" w:cstheme="minorHAnsi"/>
          <w:lang w:eastAsia="en-GB"/>
        </w:rPr>
        <w:t xml:space="preserve">ing </w:t>
      </w:r>
      <w:r w:rsidR="009C2848" w:rsidRPr="00CA3A5E">
        <w:rPr>
          <w:rFonts w:eastAsia="Times New Roman" w:cstheme="minorHAnsi"/>
          <w:lang w:eastAsia="en-GB"/>
        </w:rPr>
        <w:t xml:space="preserve">its efforts in accordance with paragraph 44 of Resolution XII.3 on cooperation and synergies with the biodiversity-related Conventions. </w:t>
      </w:r>
      <w:r w:rsidR="009C2848" w:rsidRPr="00CA3A5E">
        <w:rPr>
          <w:rFonts w:eastAsia="Times New Roman" w:cstheme="minorHAnsi"/>
          <w:bCs/>
          <w:lang w:eastAsia="en-GB"/>
        </w:rPr>
        <w:t xml:space="preserve">More specific areas of cooperation </w:t>
      </w:r>
      <w:r w:rsidR="00657CE9" w:rsidRPr="00CA3A5E">
        <w:rPr>
          <w:rFonts w:eastAsia="Times New Roman" w:cstheme="minorHAnsi"/>
          <w:bCs/>
          <w:lang w:eastAsia="en-GB"/>
        </w:rPr>
        <w:t xml:space="preserve">continue </w:t>
      </w:r>
      <w:r w:rsidR="00072FD9" w:rsidRPr="00CA3A5E">
        <w:rPr>
          <w:rFonts w:eastAsia="Times New Roman" w:cstheme="minorHAnsi"/>
          <w:bCs/>
          <w:lang w:eastAsia="en-GB"/>
        </w:rPr>
        <w:t xml:space="preserve">to be </w:t>
      </w:r>
      <w:r w:rsidR="009C2848" w:rsidRPr="00CA3A5E">
        <w:rPr>
          <w:rFonts w:eastAsia="Times New Roman" w:cstheme="minorHAnsi"/>
          <w:bCs/>
          <w:lang w:eastAsia="en-GB"/>
        </w:rPr>
        <w:t>implemented with these MEAs within the existing memoranda</w:t>
      </w:r>
      <w:r w:rsidR="00072FD9" w:rsidRPr="00CA3A5E">
        <w:rPr>
          <w:rFonts w:eastAsia="Times New Roman" w:cstheme="minorHAnsi"/>
          <w:bCs/>
          <w:lang w:eastAsia="en-GB"/>
        </w:rPr>
        <w:t>,</w:t>
      </w:r>
      <w:r w:rsidR="003E4A19" w:rsidRPr="00CA3A5E">
        <w:rPr>
          <w:rFonts w:eastAsia="Times New Roman" w:cstheme="minorHAnsi"/>
          <w:bCs/>
          <w:lang w:eastAsia="en-GB"/>
        </w:rPr>
        <w:t xml:space="preserve"> in particular with the CBD, the </w:t>
      </w:r>
      <w:r w:rsidR="00072FD9" w:rsidRPr="00CA3A5E">
        <w:rPr>
          <w:rFonts w:eastAsia="Times New Roman" w:cstheme="minorHAnsi"/>
          <w:bCs/>
          <w:lang w:eastAsia="en-GB"/>
        </w:rPr>
        <w:t>Convention on Migratory Species</w:t>
      </w:r>
      <w:r w:rsidR="00CA3A5E" w:rsidRPr="00CA3A5E">
        <w:rPr>
          <w:rFonts w:eastAsia="Times New Roman" w:cstheme="minorHAnsi"/>
          <w:bCs/>
          <w:lang w:eastAsia="en-GB"/>
        </w:rPr>
        <w:t xml:space="preserve"> of Wild Animals</w:t>
      </w:r>
      <w:r w:rsidR="00072FD9" w:rsidRPr="00CA3A5E">
        <w:rPr>
          <w:rFonts w:eastAsia="Times New Roman" w:cstheme="minorHAnsi"/>
          <w:bCs/>
          <w:lang w:eastAsia="en-GB"/>
        </w:rPr>
        <w:t xml:space="preserve"> (</w:t>
      </w:r>
      <w:r w:rsidR="003E4A19" w:rsidRPr="00CA3A5E">
        <w:rPr>
          <w:rFonts w:eastAsia="Times New Roman" w:cstheme="minorHAnsi"/>
          <w:bCs/>
          <w:lang w:eastAsia="en-GB"/>
        </w:rPr>
        <w:t>CMS</w:t>
      </w:r>
      <w:r w:rsidR="00072FD9" w:rsidRPr="00CA3A5E">
        <w:rPr>
          <w:rFonts w:eastAsia="Times New Roman" w:cstheme="minorHAnsi"/>
          <w:bCs/>
          <w:lang w:eastAsia="en-GB"/>
        </w:rPr>
        <w:t>)</w:t>
      </w:r>
      <w:r w:rsidR="00195B2F" w:rsidRPr="00CA3A5E">
        <w:rPr>
          <w:rFonts w:eastAsia="Times New Roman" w:cstheme="minorHAnsi"/>
          <w:bCs/>
          <w:lang w:eastAsia="en-GB"/>
        </w:rPr>
        <w:t xml:space="preserve"> </w:t>
      </w:r>
      <w:r w:rsidR="0072768A" w:rsidRPr="00CA3A5E">
        <w:rPr>
          <w:rFonts w:eastAsia="Times New Roman" w:cstheme="minorHAnsi"/>
          <w:bCs/>
          <w:lang w:eastAsia="en-GB"/>
        </w:rPr>
        <w:t xml:space="preserve">and the </w:t>
      </w:r>
      <w:r w:rsidR="00072FD9" w:rsidRPr="00CA3A5E">
        <w:rPr>
          <w:rFonts w:eastAsia="Times New Roman" w:cstheme="minorHAnsi"/>
          <w:bCs/>
          <w:lang w:eastAsia="en-GB"/>
        </w:rPr>
        <w:t>World Heritage Convention (</w:t>
      </w:r>
      <w:r w:rsidR="003E4A19" w:rsidRPr="00CA3A5E">
        <w:rPr>
          <w:rFonts w:eastAsia="Times New Roman" w:cstheme="minorHAnsi"/>
          <w:bCs/>
          <w:lang w:eastAsia="en-GB"/>
        </w:rPr>
        <w:t>WHC</w:t>
      </w:r>
      <w:r w:rsidR="00072FD9" w:rsidRPr="00CA3A5E">
        <w:rPr>
          <w:rFonts w:eastAsia="Times New Roman" w:cstheme="minorHAnsi"/>
          <w:bCs/>
          <w:lang w:eastAsia="en-GB"/>
        </w:rPr>
        <w:t>)</w:t>
      </w:r>
      <w:r w:rsidR="003E4A19" w:rsidRPr="00CA3A5E">
        <w:rPr>
          <w:rFonts w:eastAsia="Times New Roman" w:cstheme="minorHAnsi"/>
          <w:bCs/>
          <w:lang w:eastAsia="en-GB"/>
        </w:rPr>
        <w:t xml:space="preserve"> as well as with the</w:t>
      </w:r>
      <w:r w:rsidR="00072FD9" w:rsidRPr="00CA3A5E">
        <w:rPr>
          <w:rFonts w:eastAsia="Times New Roman" w:cstheme="minorHAnsi"/>
          <w:bCs/>
          <w:lang w:eastAsia="en-GB"/>
        </w:rPr>
        <w:t xml:space="preserve"> UN Convention to Combat Desertification</w:t>
      </w:r>
      <w:r w:rsidR="003E4A19" w:rsidRPr="00CA3A5E">
        <w:rPr>
          <w:rFonts w:eastAsia="Times New Roman" w:cstheme="minorHAnsi"/>
          <w:bCs/>
          <w:lang w:eastAsia="en-GB"/>
        </w:rPr>
        <w:t xml:space="preserve"> </w:t>
      </w:r>
      <w:r w:rsidR="00072FD9" w:rsidRPr="00CA3A5E">
        <w:rPr>
          <w:rFonts w:eastAsia="Times New Roman" w:cstheme="minorHAnsi"/>
          <w:bCs/>
          <w:lang w:eastAsia="en-GB"/>
        </w:rPr>
        <w:t>(</w:t>
      </w:r>
      <w:r w:rsidR="003E4A19" w:rsidRPr="00CA3A5E">
        <w:rPr>
          <w:rFonts w:eastAsia="Times New Roman" w:cstheme="minorHAnsi"/>
          <w:bCs/>
          <w:lang w:eastAsia="en-GB"/>
        </w:rPr>
        <w:t>UNCCD</w:t>
      </w:r>
      <w:r w:rsidR="00072FD9" w:rsidRPr="00CA3A5E">
        <w:rPr>
          <w:rFonts w:eastAsia="Times New Roman" w:cstheme="minorHAnsi"/>
          <w:bCs/>
          <w:lang w:eastAsia="en-GB"/>
        </w:rPr>
        <w:t>)</w:t>
      </w:r>
      <w:r w:rsidR="009C2848" w:rsidRPr="00CA3A5E">
        <w:rPr>
          <w:rFonts w:eastAsia="Times New Roman" w:cstheme="minorHAnsi"/>
          <w:bCs/>
          <w:lang w:eastAsia="en-GB"/>
        </w:rPr>
        <w:t>.</w:t>
      </w:r>
    </w:p>
    <w:p w14:paraId="6E301D6A" w14:textId="77777777" w:rsidR="009C2848" w:rsidRPr="00CA3A5E" w:rsidRDefault="009C2848" w:rsidP="00CA3A5E">
      <w:pPr>
        <w:suppressAutoHyphens/>
        <w:spacing w:after="0" w:line="240" w:lineRule="auto"/>
        <w:ind w:left="425" w:hanging="425"/>
        <w:rPr>
          <w:rFonts w:eastAsia="Times New Roman" w:cstheme="minorHAnsi"/>
          <w:lang w:eastAsia="en-GB"/>
        </w:rPr>
      </w:pPr>
    </w:p>
    <w:p w14:paraId="46E566B1" w14:textId="0C2F832F" w:rsidR="009C2848" w:rsidRPr="00CA3A5E" w:rsidRDefault="00EE3447"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7</w:t>
      </w:r>
      <w:r w:rsidR="009C2848" w:rsidRPr="00CA3A5E">
        <w:rPr>
          <w:rFonts w:eastAsia="Times New Roman" w:cstheme="minorHAnsi"/>
          <w:lang w:eastAsia="en-GB"/>
        </w:rPr>
        <w:t>.</w:t>
      </w:r>
      <w:r w:rsidR="009C2848" w:rsidRPr="00CA3A5E">
        <w:rPr>
          <w:rFonts w:eastAsia="Times New Roman" w:cstheme="minorHAnsi"/>
          <w:lang w:eastAsia="en-GB"/>
        </w:rPr>
        <w:tab/>
        <w:t>In accordance with Paragraph 23 of Resolution XIII.7, a plan to strengthen synergies with other MEAs, and the Convention</w:t>
      </w:r>
      <w:r w:rsidR="001E050F" w:rsidRPr="00CA3A5E">
        <w:rPr>
          <w:rFonts w:eastAsia="Times New Roman" w:cstheme="minorHAnsi"/>
          <w:lang w:eastAsia="en-GB"/>
        </w:rPr>
        <w:t>’</w:t>
      </w:r>
      <w:r w:rsidR="009C2848" w:rsidRPr="00CA3A5E">
        <w:rPr>
          <w:rFonts w:eastAsia="Times New Roman" w:cstheme="minorHAnsi"/>
          <w:lang w:eastAsia="en-GB"/>
        </w:rPr>
        <w:t xml:space="preserve">s contributions to the post-2020 global biodiversity framework, </w:t>
      </w:r>
      <w:r w:rsidR="00663A5C" w:rsidRPr="00CA3A5E">
        <w:rPr>
          <w:rFonts w:eastAsia="Times New Roman" w:cstheme="minorHAnsi"/>
          <w:lang w:eastAsia="en-GB"/>
        </w:rPr>
        <w:t xml:space="preserve">was </w:t>
      </w:r>
      <w:r w:rsidR="008A6822" w:rsidRPr="00CA3A5E">
        <w:rPr>
          <w:rFonts w:eastAsia="Times New Roman" w:cstheme="minorHAnsi"/>
          <w:lang w:eastAsia="en-GB"/>
        </w:rPr>
        <w:t>presented</w:t>
      </w:r>
      <w:r w:rsidR="009C2848" w:rsidRPr="00CA3A5E">
        <w:rPr>
          <w:rFonts w:eastAsia="Times New Roman" w:cstheme="minorHAnsi"/>
          <w:lang w:eastAsia="en-GB"/>
        </w:rPr>
        <w:t xml:space="preserve"> in Annex 1</w:t>
      </w:r>
      <w:r w:rsidR="0072768A" w:rsidRPr="00CA3A5E">
        <w:rPr>
          <w:rFonts w:eastAsia="Times New Roman" w:cstheme="minorHAnsi"/>
          <w:lang w:eastAsia="en-GB"/>
        </w:rPr>
        <w:t xml:space="preserve"> </w:t>
      </w:r>
      <w:r w:rsidR="00195B2F" w:rsidRPr="00CA3A5E">
        <w:rPr>
          <w:rFonts w:eastAsia="Times New Roman" w:cstheme="minorHAnsi"/>
          <w:lang w:eastAsia="en-GB"/>
        </w:rPr>
        <w:t>of document SC58</w:t>
      </w:r>
      <w:r w:rsidR="002014B8">
        <w:rPr>
          <w:rFonts w:eastAsia="Times New Roman" w:cstheme="minorHAnsi"/>
          <w:lang w:eastAsia="en-GB"/>
        </w:rPr>
        <w:t xml:space="preserve"> Doc.</w:t>
      </w:r>
      <w:r w:rsidR="00195B2F" w:rsidRPr="00CA3A5E">
        <w:rPr>
          <w:rFonts w:eastAsia="Times New Roman" w:cstheme="minorHAnsi"/>
          <w:lang w:eastAsia="en-GB"/>
        </w:rPr>
        <w:t>18</w:t>
      </w:r>
      <w:r w:rsidR="0072768A" w:rsidRPr="00CA3A5E">
        <w:rPr>
          <w:rFonts w:eastAsia="Times New Roman" w:cstheme="minorHAnsi"/>
          <w:lang w:eastAsia="en-GB"/>
        </w:rPr>
        <w:t xml:space="preserve"> </w:t>
      </w:r>
      <w:r w:rsidR="009C2848" w:rsidRPr="00CA3A5E">
        <w:rPr>
          <w:rFonts w:eastAsia="Times New Roman" w:cstheme="minorHAnsi"/>
          <w:lang w:eastAsia="en-GB"/>
        </w:rPr>
        <w:t>for the consideration and advice of the Standing Committee</w:t>
      </w:r>
      <w:r w:rsidR="00657CE9" w:rsidRPr="00CA3A5E">
        <w:rPr>
          <w:rFonts w:eastAsia="Times New Roman" w:cstheme="minorHAnsi"/>
          <w:lang w:eastAsia="en-GB"/>
        </w:rPr>
        <w:t xml:space="preserve">. However, </w:t>
      </w:r>
      <w:r w:rsidR="0072768A" w:rsidRPr="00CA3A5E">
        <w:rPr>
          <w:rFonts w:eastAsia="Times New Roman" w:cstheme="minorHAnsi"/>
          <w:lang w:eastAsia="en-GB"/>
        </w:rPr>
        <w:t xml:space="preserve">as </w:t>
      </w:r>
      <w:r w:rsidR="003E4A19" w:rsidRPr="00CA3A5E">
        <w:rPr>
          <w:rFonts w:eastAsia="Times New Roman" w:cstheme="minorHAnsi"/>
          <w:lang w:eastAsia="en-GB"/>
        </w:rPr>
        <w:t>mentioned above</w:t>
      </w:r>
      <w:r w:rsidR="00663A5C" w:rsidRPr="00CA3A5E">
        <w:rPr>
          <w:rFonts w:eastAsia="Times New Roman" w:cstheme="minorHAnsi"/>
          <w:lang w:eastAsia="en-GB"/>
        </w:rPr>
        <w:t>,</w:t>
      </w:r>
      <w:r w:rsidR="00657CE9" w:rsidRPr="00CA3A5E">
        <w:rPr>
          <w:rFonts w:eastAsia="Times New Roman" w:cstheme="minorHAnsi"/>
          <w:lang w:eastAsia="en-GB"/>
        </w:rPr>
        <w:t xml:space="preserve"> these documents were not addressed </w:t>
      </w:r>
      <w:r w:rsidR="00663A5C" w:rsidRPr="00CA3A5E">
        <w:rPr>
          <w:rFonts w:eastAsia="Times New Roman" w:cstheme="minorHAnsi"/>
          <w:lang w:eastAsia="en-GB"/>
        </w:rPr>
        <w:t xml:space="preserve">during </w:t>
      </w:r>
      <w:r w:rsidR="00657CE9" w:rsidRPr="00CA3A5E">
        <w:rPr>
          <w:rFonts w:eastAsia="Times New Roman" w:cstheme="minorHAnsi"/>
          <w:lang w:eastAsia="en-GB"/>
        </w:rPr>
        <w:t xml:space="preserve">the intersessional process of </w:t>
      </w:r>
      <w:r w:rsidR="00663A5C" w:rsidRPr="00CA3A5E">
        <w:rPr>
          <w:rFonts w:eastAsia="Times New Roman" w:cstheme="minorHAnsi"/>
          <w:lang w:eastAsia="en-GB"/>
        </w:rPr>
        <w:t>SC</w:t>
      </w:r>
      <w:r w:rsidR="00657CE9" w:rsidRPr="00CA3A5E">
        <w:rPr>
          <w:rFonts w:eastAsia="Times New Roman" w:cstheme="minorHAnsi"/>
          <w:lang w:eastAsia="en-GB"/>
        </w:rPr>
        <w:t xml:space="preserve">58 in 2020 </w:t>
      </w:r>
      <w:r w:rsidR="00663A5C" w:rsidRPr="00CA3A5E">
        <w:rPr>
          <w:rFonts w:eastAsia="Times New Roman" w:cstheme="minorHAnsi"/>
          <w:lang w:eastAsia="en-GB"/>
        </w:rPr>
        <w:t>or SC</w:t>
      </w:r>
      <w:r w:rsidR="00657CE9" w:rsidRPr="00CA3A5E">
        <w:rPr>
          <w:rFonts w:eastAsia="Times New Roman" w:cstheme="minorHAnsi"/>
          <w:lang w:eastAsia="en-GB"/>
        </w:rPr>
        <w:t>59 in June 2021.</w:t>
      </w:r>
      <w:r w:rsidR="003E4A19" w:rsidRPr="00CA3A5E">
        <w:rPr>
          <w:rFonts w:eastAsia="Times New Roman" w:cstheme="minorHAnsi"/>
          <w:lang w:eastAsia="en-GB"/>
        </w:rPr>
        <w:t xml:space="preserve"> </w:t>
      </w:r>
    </w:p>
    <w:p w14:paraId="69A15F74" w14:textId="77777777" w:rsidR="009C2848" w:rsidRPr="00CA3A5E" w:rsidRDefault="009C2848" w:rsidP="00CA3A5E">
      <w:pPr>
        <w:spacing w:after="0" w:line="240" w:lineRule="auto"/>
        <w:rPr>
          <w:rFonts w:eastAsia="Times New Roman" w:cstheme="minorHAnsi"/>
          <w:b/>
          <w:lang w:eastAsia="en-GB"/>
        </w:rPr>
      </w:pPr>
    </w:p>
    <w:p w14:paraId="6ED7C618" w14:textId="77777777" w:rsidR="009C2848" w:rsidRPr="00CA3A5E" w:rsidRDefault="009C2848" w:rsidP="00CA3A5E">
      <w:pPr>
        <w:keepNext/>
        <w:spacing w:after="0" w:line="240" w:lineRule="auto"/>
        <w:contextualSpacing/>
        <w:rPr>
          <w:rFonts w:eastAsia="Calibri" w:cstheme="minorHAnsi"/>
          <w:i/>
        </w:rPr>
      </w:pPr>
      <w:r w:rsidRPr="00CA3A5E">
        <w:rPr>
          <w:rFonts w:cstheme="minorHAnsi"/>
          <w:bCs/>
          <w:i/>
        </w:rPr>
        <w:lastRenderedPageBreak/>
        <w:t>Convention on Biological Diversity</w:t>
      </w:r>
    </w:p>
    <w:p w14:paraId="66D78891" w14:textId="77777777" w:rsidR="009C2848" w:rsidRPr="00CA3A5E" w:rsidRDefault="009C2848" w:rsidP="00CA3A5E">
      <w:pPr>
        <w:keepNext/>
        <w:spacing w:after="0" w:line="240" w:lineRule="auto"/>
        <w:contextualSpacing/>
        <w:rPr>
          <w:rFonts w:eastAsia="Calibri" w:cstheme="minorHAnsi"/>
        </w:rPr>
      </w:pPr>
    </w:p>
    <w:p w14:paraId="326CD931" w14:textId="4A0810C0" w:rsidR="00F678E0" w:rsidRPr="00CA3A5E" w:rsidRDefault="00EE3447" w:rsidP="00CA3A5E">
      <w:pPr>
        <w:suppressAutoHyphens/>
        <w:spacing w:after="0" w:line="240" w:lineRule="auto"/>
        <w:ind w:left="425" w:hanging="425"/>
        <w:rPr>
          <w:rFonts w:cstheme="minorHAnsi"/>
        </w:rPr>
      </w:pPr>
      <w:r w:rsidRPr="00CA3A5E">
        <w:rPr>
          <w:rFonts w:eastAsia="Times New Roman" w:cstheme="minorHAnsi"/>
          <w:lang w:eastAsia="en-GB"/>
        </w:rPr>
        <w:t>8.</w:t>
      </w:r>
      <w:r w:rsidR="009C2848" w:rsidRPr="00CA3A5E">
        <w:rPr>
          <w:rFonts w:eastAsia="Times New Roman" w:cstheme="minorHAnsi"/>
          <w:lang w:eastAsia="en-GB"/>
        </w:rPr>
        <w:tab/>
        <w:t>The Secretariat has continued to work to strengthen collaboration with the CBD, providing inputs to different processes</w:t>
      </w:r>
      <w:r w:rsidR="0052478C" w:rsidRPr="00CA3A5E">
        <w:rPr>
          <w:rFonts w:eastAsia="Times New Roman" w:cstheme="minorHAnsi"/>
          <w:lang w:eastAsia="en-GB"/>
        </w:rPr>
        <w:t>,</w:t>
      </w:r>
      <w:r w:rsidR="009C2848" w:rsidRPr="00CA3A5E">
        <w:rPr>
          <w:rFonts w:eastAsia="Times New Roman" w:cstheme="minorHAnsi"/>
          <w:lang w:eastAsia="en-GB"/>
        </w:rPr>
        <w:t xml:space="preserve"> mainly on the preparation of the post-2020 global biodiversity framework</w:t>
      </w:r>
      <w:r w:rsidR="0072768A" w:rsidRPr="00CA3A5E">
        <w:rPr>
          <w:rFonts w:eastAsia="Times New Roman" w:cstheme="minorHAnsi"/>
          <w:lang w:eastAsia="en-GB"/>
        </w:rPr>
        <w:t xml:space="preserve">. In this regard, </w:t>
      </w:r>
      <w:r w:rsidR="00735DD9" w:rsidRPr="00CA3A5E">
        <w:rPr>
          <w:rFonts w:cstheme="minorHAnsi"/>
        </w:rPr>
        <w:t>the Secretariat prepared a document an</w:t>
      </w:r>
      <w:r w:rsidR="00DC2D37" w:rsidRPr="00CA3A5E">
        <w:rPr>
          <w:rFonts w:cstheme="minorHAnsi"/>
        </w:rPr>
        <w:t>d</w:t>
      </w:r>
      <w:r w:rsidR="00735DD9" w:rsidRPr="00CA3A5E">
        <w:rPr>
          <w:rFonts w:cstheme="minorHAnsi"/>
        </w:rPr>
        <w:t xml:space="preserve"> shared </w:t>
      </w:r>
      <w:r w:rsidR="00DC2D37" w:rsidRPr="00CA3A5E">
        <w:rPr>
          <w:rFonts w:cstheme="minorHAnsi"/>
        </w:rPr>
        <w:t xml:space="preserve">it </w:t>
      </w:r>
      <w:r w:rsidR="00735DD9" w:rsidRPr="00CA3A5E">
        <w:rPr>
          <w:rFonts w:cstheme="minorHAnsi"/>
        </w:rPr>
        <w:t xml:space="preserve">with all Contracting Parties on 8 August 2021 highlighting the issues identified as being most relevant to the Convention in order to ensure that Parties attending the third meeting of the Open-ended Working Group </w:t>
      </w:r>
      <w:r w:rsidR="0052478C" w:rsidRPr="00CA3A5E">
        <w:rPr>
          <w:rFonts w:cstheme="minorHAnsi"/>
        </w:rPr>
        <w:t xml:space="preserve">on the post-2020 Global Biodiversity Framework </w:t>
      </w:r>
      <w:r w:rsidR="00735DD9" w:rsidRPr="00CA3A5E">
        <w:rPr>
          <w:rFonts w:cstheme="minorHAnsi"/>
        </w:rPr>
        <w:t>could articulate the importance of wetlands. Th</w:t>
      </w:r>
      <w:r w:rsidR="00DC2D37" w:rsidRPr="00CA3A5E">
        <w:rPr>
          <w:rFonts w:cstheme="minorHAnsi"/>
        </w:rPr>
        <w:t xml:space="preserve">e Secretariat also </w:t>
      </w:r>
      <w:r w:rsidR="0052478C" w:rsidRPr="00CA3A5E">
        <w:rPr>
          <w:rFonts w:cstheme="minorHAnsi"/>
        </w:rPr>
        <w:t xml:space="preserve">sent a reminder to </w:t>
      </w:r>
      <w:r w:rsidR="00DC2D37" w:rsidRPr="00CA3A5E">
        <w:rPr>
          <w:rFonts w:cstheme="minorHAnsi"/>
        </w:rPr>
        <w:t xml:space="preserve">Contracting Parties on the Standing Committee (Decision SC57-26) encouraging Contracting Parties, through their Ramsar National Focal Points, to liaise and engage with their counterparts in the </w:t>
      </w:r>
      <w:r w:rsidR="0052478C" w:rsidRPr="00CA3A5E">
        <w:rPr>
          <w:rFonts w:cstheme="minorHAnsi"/>
        </w:rPr>
        <w:t>CBD</w:t>
      </w:r>
      <w:r w:rsidR="00DC2D37" w:rsidRPr="00CA3A5E">
        <w:rPr>
          <w:rFonts w:cstheme="minorHAnsi"/>
        </w:rPr>
        <w:t xml:space="preserve"> and to participate in the development of their national positions related to the CBD’s post-2020 global biodiversity framework process, in order to seek to ensure that Ramsar-relevant elements are included within country positions and submissions to the CBD process to develop the post-2020 global biodiversity framework.</w:t>
      </w:r>
      <w:r w:rsidR="004B3FC0" w:rsidRPr="00CA3A5E">
        <w:rPr>
          <w:rFonts w:cstheme="minorHAnsi"/>
        </w:rPr>
        <w:t xml:space="preserve"> </w:t>
      </w:r>
      <w:r w:rsidR="00042A06" w:rsidRPr="00CA3A5E">
        <w:rPr>
          <w:rFonts w:eastAsia="Times New Roman" w:cstheme="minorHAnsi"/>
          <w:lang w:eastAsia="en-GB"/>
        </w:rPr>
        <w:t xml:space="preserve">With </w:t>
      </w:r>
      <w:r w:rsidR="004B3FC0" w:rsidRPr="00CA3A5E">
        <w:rPr>
          <w:rFonts w:eastAsia="Times New Roman" w:cstheme="minorHAnsi"/>
          <w:lang w:eastAsia="en-GB"/>
        </w:rPr>
        <w:t xml:space="preserve">these </w:t>
      </w:r>
      <w:r w:rsidR="00042A06" w:rsidRPr="00CA3A5E">
        <w:rPr>
          <w:rFonts w:eastAsia="Times New Roman" w:cstheme="minorHAnsi"/>
          <w:lang w:eastAsia="en-GB"/>
        </w:rPr>
        <w:t>element</w:t>
      </w:r>
      <w:r w:rsidR="005F28BA" w:rsidRPr="00CA3A5E">
        <w:rPr>
          <w:rFonts w:eastAsia="Times New Roman" w:cstheme="minorHAnsi"/>
          <w:lang w:eastAsia="en-GB"/>
        </w:rPr>
        <w:t>s</w:t>
      </w:r>
      <w:r w:rsidR="00042A06" w:rsidRPr="00CA3A5E">
        <w:rPr>
          <w:rFonts w:eastAsia="Times New Roman" w:cstheme="minorHAnsi"/>
          <w:lang w:eastAsia="en-GB"/>
        </w:rPr>
        <w:t xml:space="preserve"> t</w:t>
      </w:r>
      <w:r w:rsidR="00F678E0" w:rsidRPr="00CA3A5E">
        <w:rPr>
          <w:rFonts w:eastAsia="Times New Roman" w:cstheme="minorHAnsi"/>
          <w:lang w:eastAsia="en-GB"/>
        </w:rPr>
        <w:t>he Secretariat provided inputs to the</w:t>
      </w:r>
      <w:r w:rsidR="00F678E0" w:rsidRPr="00CA3A5E">
        <w:rPr>
          <w:rFonts w:cstheme="minorHAnsi"/>
        </w:rPr>
        <w:t xml:space="preserve"> </w:t>
      </w:r>
      <w:r w:rsidR="0052478C" w:rsidRPr="00CA3A5E">
        <w:rPr>
          <w:rFonts w:cstheme="minorHAnsi"/>
        </w:rPr>
        <w:t xml:space="preserve">third </w:t>
      </w:r>
      <w:r w:rsidR="00F678E0" w:rsidRPr="00CA3A5E">
        <w:rPr>
          <w:rFonts w:cstheme="minorHAnsi"/>
        </w:rPr>
        <w:t>meeting of the Open</w:t>
      </w:r>
      <w:r w:rsidR="0052478C" w:rsidRPr="00CA3A5E">
        <w:rPr>
          <w:rFonts w:cstheme="minorHAnsi"/>
        </w:rPr>
        <w:t>-ended</w:t>
      </w:r>
      <w:r w:rsidR="00F678E0" w:rsidRPr="00CA3A5E">
        <w:rPr>
          <w:rFonts w:cstheme="minorHAnsi"/>
        </w:rPr>
        <w:t xml:space="preserve"> Working Group from 23 August to 3 September 2021 and at the twenty-fourth meeting of the Subsidiary Bod</w:t>
      </w:r>
      <w:r w:rsidR="0052478C" w:rsidRPr="00CA3A5E">
        <w:rPr>
          <w:rFonts w:cstheme="minorHAnsi"/>
        </w:rPr>
        <w:t>ies</w:t>
      </w:r>
      <w:r w:rsidR="00F678E0" w:rsidRPr="00CA3A5E">
        <w:rPr>
          <w:rFonts w:cstheme="minorHAnsi"/>
        </w:rPr>
        <w:t xml:space="preserve"> on Scientific, Technical and Technological Advice (SBSTTA24) and </w:t>
      </w:r>
      <w:r w:rsidR="0052478C" w:rsidRPr="00CA3A5E">
        <w:rPr>
          <w:rFonts w:cstheme="minorHAnsi"/>
        </w:rPr>
        <w:t>on Implementation (</w:t>
      </w:r>
      <w:r w:rsidR="00F678E0" w:rsidRPr="00CA3A5E">
        <w:rPr>
          <w:rFonts w:cstheme="minorHAnsi"/>
        </w:rPr>
        <w:t>SBI3</w:t>
      </w:r>
      <w:r w:rsidR="0052478C" w:rsidRPr="00CA3A5E">
        <w:rPr>
          <w:rFonts w:cstheme="minorHAnsi"/>
        </w:rPr>
        <w:t>)</w:t>
      </w:r>
      <w:r w:rsidR="00F678E0" w:rsidRPr="00CA3A5E">
        <w:rPr>
          <w:rFonts w:cstheme="minorHAnsi"/>
        </w:rPr>
        <w:t xml:space="preserve"> during February, March, May and June 2021.</w:t>
      </w:r>
    </w:p>
    <w:p w14:paraId="77E2480B" w14:textId="60FD311D" w:rsidR="00F678E0" w:rsidRPr="00CA3A5E" w:rsidRDefault="00F678E0" w:rsidP="00CA3A5E">
      <w:pPr>
        <w:suppressAutoHyphens/>
        <w:spacing w:after="0" w:line="240" w:lineRule="auto"/>
        <w:ind w:left="425" w:hanging="425"/>
        <w:rPr>
          <w:rFonts w:cstheme="minorHAnsi"/>
        </w:rPr>
      </w:pPr>
    </w:p>
    <w:p w14:paraId="354F499C" w14:textId="2EDCCFD7" w:rsidR="00A80A93" w:rsidRPr="00CA3A5E" w:rsidRDefault="0072338A" w:rsidP="00CA3A5E">
      <w:pPr>
        <w:spacing w:after="0" w:line="240" w:lineRule="auto"/>
        <w:ind w:left="425" w:hanging="425"/>
        <w:rPr>
          <w:rFonts w:cstheme="minorHAnsi"/>
          <w:bCs/>
        </w:rPr>
      </w:pPr>
      <w:r>
        <w:rPr>
          <w:rFonts w:cstheme="minorHAnsi"/>
          <w:lang w:val="en-CA"/>
        </w:rPr>
        <w:t>9.</w:t>
      </w:r>
      <w:r w:rsidR="00EE3447" w:rsidRPr="00CA3A5E">
        <w:rPr>
          <w:rFonts w:cstheme="minorHAnsi"/>
          <w:lang w:val="en-CA"/>
        </w:rPr>
        <w:tab/>
      </w:r>
      <w:r w:rsidR="00F678E0" w:rsidRPr="00CA3A5E">
        <w:rPr>
          <w:rFonts w:cstheme="minorHAnsi"/>
          <w:lang w:val="en-CA"/>
        </w:rPr>
        <w:t>The Secretary General delivered a video statement at the High</w:t>
      </w:r>
      <w:r w:rsidR="0052478C" w:rsidRPr="00CA3A5E">
        <w:rPr>
          <w:rFonts w:cstheme="minorHAnsi"/>
          <w:lang w:val="en-CA"/>
        </w:rPr>
        <w:t>-</w:t>
      </w:r>
      <w:r w:rsidR="00F678E0" w:rsidRPr="00CA3A5E">
        <w:rPr>
          <w:rFonts w:cstheme="minorHAnsi"/>
          <w:lang w:val="en-CA"/>
        </w:rPr>
        <w:t xml:space="preserve">Level </w:t>
      </w:r>
      <w:r w:rsidR="0052478C" w:rsidRPr="00CA3A5E">
        <w:rPr>
          <w:rFonts w:cstheme="minorHAnsi"/>
          <w:lang w:val="en-CA"/>
        </w:rPr>
        <w:t>S</w:t>
      </w:r>
      <w:r w:rsidR="00F678E0" w:rsidRPr="00CA3A5E">
        <w:rPr>
          <w:rFonts w:cstheme="minorHAnsi"/>
          <w:lang w:val="en-CA"/>
        </w:rPr>
        <w:t xml:space="preserve">egment of </w:t>
      </w:r>
      <w:r w:rsidR="0052478C" w:rsidRPr="00CA3A5E">
        <w:rPr>
          <w:rFonts w:cstheme="minorHAnsi"/>
          <w:lang w:val="en-CA"/>
        </w:rPr>
        <w:t>CBD COP15</w:t>
      </w:r>
      <w:r w:rsidR="00F678E0" w:rsidRPr="00CA3A5E">
        <w:rPr>
          <w:rFonts w:cstheme="minorHAnsi"/>
        </w:rPr>
        <w:t xml:space="preserve"> (part 1) on 12 October 2021</w:t>
      </w:r>
      <w:r w:rsidR="00042A06" w:rsidRPr="00CA3A5E">
        <w:rPr>
          <w:rFonts w:cstheme="minorHAnsi"/>
        </w:rPr>
        <w:t xml:space="preserve"> and participated </w:t>
      </w:r>
      <w:r w:rsidR="0052478C" w:rsidRPr="00CA3A5E">
        <w:rPr>
          <w:rFonts w:cstheme="minorHAnsi"/>
        </w:rPr>
        <w:t xml:space="preserve">in </w:t>
      </w:r>
      <w:r w:rsidR="00042A06" w:rsidRPr="00CA3A5E">
        <w:rPr>
          <w:rFonts w:cstheme="minorHAnsi"/>
        </w:rPr>
        <w:t xml:space="preserve">the Executive Briefing organized by the Geneva Network </w:t>
      </w:r>
      <w:r w:rsidR="002B09F3" w:rsidRPr="00CA3A5E">
        <w:rPr>
          <w:rFonts w:cstheme="minorHAnsi"/>
        </w:rPr>
        <w:t xml:space="preserve">on 2 November 2021 </w:t>
      </w:r>
      <w:r w:rsidR="00042A06" w:rsidRPr="00CA3A5E">
        <w:rPr>
          <w:rFonts w:cstheme="minorHAnsi"/>
        </w:rPr>
        <w:t>to highlight the outcomes of part 1 of</w:t>
      </w:r>
      <w:r w:rsidR="00CE6B7F">
        <w:rPr>
          <w:rFonts w:cstheme="minorHAnsi"/>
        </w:rPr>
        <w:t xml:space="preserve"> </w:t>
      </w:r>
      <w:r w:rsidR="0075040D">
        <w:rPr>
          <w:rFonts w:cstheme="minorHAnsi"/>
        </w:rPr>
        <w:t>CBD COP15</w:t>
      </w:r>
      <w:r w:rsidR="00CE6B7F">
        <w:rPr>
          <w:rFonts w:cstheme="minorHAnsi"/>
        </w:rPr>
        <w:t xml:space="preserve"> </w:t>
      </w:r>
      <w:r w:rsidR="00042A06" w:rsidRPr="00CA3A5E">
        <w:rPr>
          <w:rFonts w:cstheme="minorHAnsi"/>
        </w:rPr>
        <w:t xml:space="preserve"> and the next steps </w:t>
      </w:r>
      <w:r w:rsidR="00042A06" w:rsidRPr="00CA3A5E">
        <w:rPr>
          <w:rFonts w:cstheme="minorHAnsi"/>
          <w:bCs/>
        </w:rPr>
        <w:t>for the second part of the Conference, as well as the Subsidiary Bodies and Open-ended Working Group meetings, scheduled to take place in</w:t>
      </w:r>
      <w:r w:rsidR="002B09F3" w:rsidRPr="00CA3A5E">
        <w:rPr>
          <w:rFonts w:cstheme="minorHAnsi"/>
          <w:bCs/>
        </w:rPr>
        <w:t xml:space="preserve"> </w:t>
      </w:r>
      <w:r w:rsidR="00042A06" w:rsidRPr="00CA3A5E">
        <w:rPr>
          <w:rFonts w:cstheme="minorHAnsi"/>
          <w:bCs/>
        </w:rPr>
        <w:t>person in Geneva in 2022</w:t>
      </w:r>
      <w:r w:rsidR="00A80A93" w:rsidRPr="00CA3A5E">
        <w:rPr>
          <w:rFonts w:cstheme="minorHAnsi"/>
          <w:bCs/>
        </w:rPr>
        <w:t>.</w:t>
      </w:r>
      <w:r w:rsidR="00A80A93" w:rsidRPr="00CA3A5E">
        <w:rPr>
          <w:rFonts w:cstheme="minorHAnsi"/>
        </w:rPr>
        <w:t xml:space="preserve"> The Secretary General was </w:t>
      </w:r>
      <w:r w:rsidR="002B09F3" w:rsidRPr="00CA3A5E">
        <w:rPr>
          <w:rFonts w:cstheme="minorHAnsi"/>
        </w:rPr>
        <w:t xml:space="preserve">a </w:t>
      </w:r>
      <w:r w:rsidR="00861EFD" w:rsidRPr="00CA3A5E">
        <w:rPr>
          <w:rFonts w:cstheme="minorHAnsi"/>
        </w:rPr>
        <w:t xml:space="preserve">panellist </w:t>
      </w:r>
      <w:r w:rsidR="00A80A93" w:rsidRPr="00CA3A5E">
        <w:rPr>
          <w:rFonts w:cstheme="minorHAnsi"/>
        </w:rPr>
        <w:t xml:space="preserve">in </w:t>
      </w:r>
      <w:r w:rsidR="00833690" w:rsidRPr="00CA3A5E">
        <w:rPr>
          <w:rFonts w:cstheme="minorHAnsi"/>
        </w:rPr>
        <w:t>the s</w:t>
      </w:r>
      <w:r w:rsidR="00A80A93" w:rsidRPr="00CA3A5E">
        <w:rPr>
          <w:rFonts w:cstheme="minorHAnsi"/>
        </w:rPr>
        <w:t xml:space="preserve">ide event </w:t>
      </w:r>
      <w:r w:rsidR="00833690" w:rsidRPr="00CA3A5E">
        <w:rPr>
          <w:rFonts w:cstheme="minorHAnsi"/>
        </w:rPr>
        <w:t xml:space="preserve">organized by the CBD at UNFCCC COP26 on 6 November, </w:t>
      </w:r>
      <w:r w:rsidR="00A80A93" w:rsidRPr="00CA3A5E">
        <w:rPr>
          <w:rFonts w:cstheme="minorHAnsi"/>
          <w:i/>
        </w:rPr>
        <w:t>CBD COP 15: Strengthening Synergies through the Post-2020 Global Biodiversity Framework and Promoting Transformational Change to Restore Balance with Nature</w:t>
      </w:r>
      <w:r w:rsidR="00833690" w:rsidRPr="00CA3A5E">
        <w:rPr>
          <w:rFonts w:cstheme="minorHAnsi"/>
        </w:rPr>
        <w:t>.</w:t>
      </w:r>
      <w:r w:rsidR="00A80A93" w:rsidRPr="00CA3A5E">
        <w:rPr>
          <w:rFonts w:cstheme="minorHAnsi"/>
        </w:rPr>
        <w:t xml:space="preserve"> </w:t>
      </w:r>
    </w:p>
    <w:p w14:paraId="6C5212A1" w14:textId="77777777" w:rsidR="00F678E0" w:rsidRPr="00CA3A5E" w:rsidRDefault="00F678E0" w:rsidP="00CA3A5E">
      <w:pPr>
        <w:suppressAutoHyphens/>
        <w:spacing w:after="0" w:line="240" w:lineRule="auto"/>
        <w:ind w:left="425" w:hanging="425"/>
        <w:rPr>
          <w:rFonts w:eastAsia="Times New Roman" w:cstheme="minorHAnsi"/>
          <w:lang w:val="en-CA" w:eastAsia="en-GB"/>
        </w:rPr>
      </w:pPr>
    </w:p>
    <w:p w14:paraId="7FFAFF6D" w14:textId="2671EFE9" w:rsidR="00E10B6A" w:rsidRPr="00CA3A5E" w:rsidRDefault="00C52AE6"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1</w:t>
      </w:r>
      <w:r w:rsidR="0006611C" w:rsidRPr="00CA3A5E">
        <w:rPr>
          <w:rFonts w:eastAsia="Times New Roman" w:cstheme="minorHAnsi"/>
          <w:lang w:eastAsia="en-GB"/>
        </w:rPr>
        <w:t>0</w:t>
      </w:r>
      <w:r w:rsidR="001D5297" w:rsidRPr="00CA3A5E">
        <w:rPr>
          <w:rFonts w:eastAsia="Times New Roman" w:cstheme="minorHAnsi"/>
          <w:lang w:eastAsia="en-GB"/>
        </w:rPr>
        <w:t>.</w:t>
      </w:r>
      <w:r w:rsidR="009C2848" w:rsidRPr="00CA3A5E">
        <w:rPr>
          <w:rFonts w:eastAsia="Times New Roman" w:cstheme="minorHAnsi"/>
          <w:lang w:eastAsia="en-GB"/>
        </w:rPr>
        <w:tab/>
      </w:r>
      <w:r w:rsidR="00180147" w:rsidRPr="00CA3A5E">
        <w:rPr>
          <w:rFonts w:eastAsia="Times New Roman" w:cstheme="minorHAnsi"/>
          <w:lang w:eastAsia="en-GB"/>
        </w:rPr>
        <w:t xml:space="preserve">As noted in </w:t>
      </w:r>
      <w:r w:rsidR="000F7CD2" w:rsidRPr="00CA3A5E">
        <w:rPr>
          <w:rFonts w:eastAsia="Times New Roman" w:cstheme="minorHAnsi"/>
          <w:lang w:eastAsia="en-GB"/>
        </w:rPr>
        <w:t>document SC59 Doc.16 in 2021, t</w:t>
      </w:r>
      <w:r w:rsidR="009C2848" w:rsidRPr="00CA3A5E">
        <w:rPr>
          <w:rFonts w:eastAsia="Times New Roman" w:cstheme="minorHAnsi"/>
          <w:lang w:eastAsia="en-GB"/>
        </w:rPr>
        <w:t>he Secretariat has continued the discussions with the CBD Secretariat on the renewal of the</w:t>
      </w:r>
      <w:r w:rsidR="001E050F" w:rsidRPr="00CA3A5E">
        <w:rPr>
          <w:rFonts w:eastAsia="Times New Roman" w:cstheme="minorHAnsi"/>
          <w:lang w:eastAsia="en-GB"/>
        </w:rPr>
        <w:t xml:space="preserve"> </w:t>
      </w:r>
      <w:r w:rsidR="009C2848" w:rsidRPr="00CA3A5E">
        <w:rPr>
          <w:rFonts w:eastAsia="Times New Roman" w:cstheme="minorHAnsi"/>
          <w:lang w:eastAsia="en-GB"/>
        </w:rPr>
        <w:t>Joint Work Plan.</w:t>
      </w:r>
      <w:r w:rsidR="00407097" w:rsidRPr="00CA3A5E">
        <w:rPr>
          <w:rFonts w:eastAsia="Times New Roman" w:cstheme="minorHAnsi"/>
          <w:lang w:eastAsia="en-GB"/>
        </w:rPr>
        <w:t xml:space="preserve"> </w:t>
      </w:r>
      <w:r w:rsidR="007E57F8" w:rsidRPr="00CA3A5E">
        <w:rPr>
          <w:rFonts w:eastAsia="Times New Roman" w:cstheme="minorHAnsi"/>
          <w:lang w:eastAsia="en-GB"/>
        </w:rPr>
        <w:t xml:space="preserve">As part of the review of the </w:t>
      </w:r>
      <w:r w:rsidR="00FA67AD">
        <w:rPr>
          <w:rFonts w:eastAsia="Times New Roman" w:cstheme="minorHAnsi"/>
          <w:lang w:eastAsia="en-GB"/>
        </w:rPr>
        <w:t>F</w:t>
      </w:r>
      <w:r w:rsidR="00FA67AD" w:rsidRPr="00CA3A5E">
        <w:rPr>
          <w:rFonts w:eastAsia="Times New Roman" w:cstheme="minorHAnsi"/>
          <w:lang w:eastAsia="en-GB"/>
        </w:rPr>
        <w:t xml:space="preserve">ifth </w:t>
      </w:r>
      <w:r w:rsidR="00FA67AD">
        <w:rPr>
          <w:rFonts w:eastAsia="Times New Roman" w:cstheme="minorHAnsi"/>
          <w:lang w:eastAsia="en-GB"/>
        </w:rPr>
        <w:t>J</w:t>
      </w:r>
      <w:r w:rsidR="00FA67AD" w:rsidRPr="00CA3A5E">
        <w:rPr>
          <w:rFonts w:eastAsia="Times New Roman" w:cstheme="minorHAnsi"/>
          <w:lang w:eastAsia="en-GB"/>
        </w:rPr>
        <w:t xml:space="preserve">oint </w:t>
      </w:r>
      <w:r w:rsidR="00FA67AD">
        <w:rPr>
          <w:rFonts w:eastAsia="Times New Roman" w:cstheme="minorHAnsi"/>
          <w:lang w:eastAsia="en-GB"/>
        </w:rPr>
        <w:t>W</w:t>
      </w:r>
      <w:r w:rsidR="00FA67AD" w:rsidRPr="00CA3A5E">
        <w:rPr>
          <w:rFonts w:eastAsia="Times New Roman" w:cstheme="minorHAnsi"/>
          <w:lang w:eastAsia="en-GB"/>
        </w:rPr>
        <w:t xml:space="preserve">ork </w:t>
      </w:r>
      <w:r w:rsidR="00FA67AD">
        <w:rPr>
          <w:rFonts w:eastAsia="Times New Roman" w:cstheme="minorHAnsi"/>
          <w:lang w:eastAsia="en-GB"/>
        </w:rPr>
        <w:t>P</w:t>
      </w:r>
      <w:r w:rsidR="00FA67AD" w:rsidRPr="00CA3A5E">
        <w:rPr>
          <w:rFonts w:eastAsia="Times New Roman" w:cstheme="minorHAnsi"/>
          <w:lang w:eastAsia="en-GB"/>
        </w:rPr>
        <w:t>lan</w:t>
      </w:r>
      <w:r w:rsidR="007E57F8" w:rsidRPr="00CA3A5E">
        <w:rPr>
          <w:rFonts w:eastAsia="Times New Roman" w:cstheme="minorHAnsi"/>
          <w:lang w:eastAsia="en-GB"/>
        </w:rPr>
        <w:t xml:space="preserve"> 2011-2020</w:t>
      </w:r>
      <w:r w:rsidR="00E13FEC" w:rsidRPr="00CA3A5E">
        <w:rPr>
          <w:rFonts w:eastAsia="Times New Roman" w:cstheme="minorHAnsi"/>
          <w:lang w:eastAsia="en-GB"/>
        </w:rPr>
        <w:t>,</w:t>
      </w:r>
      <w:r w:rsidR="007E57F8" w:rsidRPr="00CA3A5E">
        <w:rPr>
          <w:rFonts w:eastAsia="Times New Roman" w:cstheme="minorHAnsi"/>
          <w:lang w:eastAsia="en-GB"/>
        </w:rPr>
        <w:t xml:space="preserve"> a</w:t>
      </w:r>
      <w:r w:rsidR="00407097" w:rsidRPr="00CA3A5E">
        <w:rPr>
          <w:rFonts w:eastAsia="Times New Roman" w:cstheme="minorHAnsi"/>
          <w:lang w:eastAsia="en-GB"/>
        </w:rPr>
        <w:t xml:space="preserve"> joint </w:t>
      </w:r>
      <w:r w:rsidR="00E10B6A" w:rsidRPr="00CA3A5E">
        <w:rPr>
          <w:rFonts w:eastAsia="Times New Roman" w:cstheme="minorHAnsi"/>
          <w:lang w:eastAsia="en-GB"/>
        </w:rPr>
        <w:t xml:space="preserve">Notification </w:t>
      </w:r>
      <w:r w:rsidR="00B923A7" w:rsidRPr="00CA3A5E">
        <w:rPr>
          <w:rFonts w:eastAsia="Times New Roman" w:cstheme="minorHAnsi"/>
          <w:lang w:eastAsia="en-GB"/>
        </w:rPr>
        <w:t>of both Secretariats was s</w:t>
      </w:r>
      <w:r w:rsidR="00E10B6A" w:rsidRPr="00CA3A5E">
        <w:rPr>
          <w:rFonts w:eastAsia="Times New Roman" w:cstheme="minorHAnsi"/>
          <w:lang w:eastAsia="en-GB"/>
        </w:rPr>
        <w:t>ent on</w:t>
      </w:r>
      <w:r w:rsidR="008F6F80" w:rsidRPr="00CA3A5E">
        <w:rPr>
          <w:rFonts w:eastAsia="Times New Roman" w:cstheme="minorHAnsi"/>
          <w:lang w:eastAsia="en-GB"/>
        </w:rPr>
        <w:t xml:space="preserve"> 2 November </w:t>
      </w:r>
      <w:r w:rsidR="00E10B6A" w:rsidRPr="00CA3A5E">
        <w:rPr>
          <w:rFonts w:eastAsia="Times New Roman" w:cstheme="minorHAnsi"/>
          <w:lang w:eastAsia="en-GB"/>
        </w:rPr>
        <w:t xml:space="preserve">2020 </w:t>
      </w:r>
      <w:r w:rsidR="002B09F3" w:rsidRPr="00CA3A5E">
        <w:rPr>
          <w:rFonts w:eastAsia="MS Mincho" w:cstheme="minorHAnsi"/>
          <w:lang w:eastAsia="ja-JP"/>
        </w:rPr>
        <w:t xml:space="preserve">inviting </w:t>
      </w:r>
      <w:r w:rsidR="00E10B6A" w:rsidRPr="00CA3A5E">
        <w:rPr>
          <w:rFonts w:eastAsia="MS Mincho" w:cstheme="minorHAnsi"/>
          <w:lang w:eastAsia="ja-JP"/>
        </w:rPr>
        <w:t xml:space="preserve">Parties and other Governments to complete an online survey in order to take stock of progress made toward the implementation of their activities as outlined in the </w:t>
      </w:r>
      <w:r w:rsidR="00FA67AD">
        <w:rPr>
          <w:rFonts w:eastAsia="MS Mincho" w:cstheme="minorHAnsi"/>
          <w:lang w:eastAsia="ja-JP"/>
        </w:rPr>
        <w:t>F</w:t>
      </w:r>
      <w:r w:rsidR="00E10B6A" w:rsidRPr="00CA3A5E">
        <w:rPr>
          <w:rFonts w:eastAsia="MS Mincho" w:cstheme="minorHAnsi"/>
          <w:lang w:eastAsia="ja-JP"/>
        </w:rPr>
        <w:t xml:space="preserve">ifth </w:t>
      </w:r>
      <w:r w:rsidR="00FA67AD">
        <w:rPr>
          <w:rFonts w:eastAsia="MS Mincho" w:cstheme="minorHAnsi"/>
          <w:lang w:eastAsia="ja-JP"/>
        </w:rPr>
        <w:t>J</w:t>
      </w:r>
      <w:r w:rsidR="00E10B6A" w:rsidRPr="00CA3A5E">
        <w:rPr>
          <w:rFonts w:eastAsia="MS Mincho" w:cstheme="minorHAnsi"/>
          <w:lang w:eastAsia="ja-JP"/>
        </w:rPr>
        <w:t xml:space="preserve">oint </w:t>
      </w:r>
      <w:r w:rsidR="00FA67AD">
        <w:rPr>
          <w:rFonts w:eastAsia="MS Mincho" w:cstheme="minorHAnsi"/>
          <w:lang w:eastAsia="ja-JP"/>
        </w:rPr>
        <w:t>W</w:t>
      </w:r>
      <w:r w:rsidR="00E10B6A" w:rsidRPr="00CA3A5E">
        <w:rPr>
          <w:rFonts w:eastAsia="MS Mincho" w:cstheme="minorHAnsi"/>
          <w:lang w:eastAsia="ja-JP"/>
        </w:rPr>
        <w:t xml:space="preserve">ork </w:t>
      </w:r>
      <w:r w:rsidR="00FA67AD">
        <w:rPr>
          <w:rFonts w:eastAsia="MS Mincho" w:cstheme="minorHAnsi"/>
          <w:lang w:eastAsia="ja-JP"/>
        </w:rPr>
        <w:t>P</w:t>
      </w:r>
      <w:r w:rsidR="00E10B6A" w:rsidRPr="00CA3A5E">
        <w:rPr>
          <w:rFonts w:eastAsia="MS Mincho" w:cstheme="minorHAnsi"/>
          <w:lang w:eastAsia="ja-JP"/>
        </w:rPr>
        <w:t xml:space="preserve">lan. </w:t>
      </w:r>
      <w:r w:rsidR="00E126CE" w:rsidRPr="00CA3A5E">
        <w:rPr>
          <w:rFonts w:eastAsia="MS Mincho" w:cstheme="minorHAnsi"/>
          <w:lang w:eastAsia="ja-JP"/>
        </w:rPr>
        <w:t xml:space="preserve">The review prepared by the Secretariats of the two </w:t>
      </w:r>
      <w:r w:rsidR="002B09F3" w:rsidRPr="00CA3A5E">
        <w:rPr>
          <w:rFonts w:eastAsia="MS Mincho" w:cstheme="minorHAnsi"/>
          <w:lang w:eastAsia="ja-JP"/>
        </w:rPr>
        <w:t xml:space="preserve">Conventions </w:t>
      </w:r>
      <w:r w:rsidR="00E126CE" w:rsidRPr="00CA3A5E">
        <w:rPr>
          <w:rFonts w:eastAsia="MS Mincho" w:cstheme="minorHAnsi"/>
          <w:lang w:eastAsia="ja-JP"/>
        </w:rPr>
        <w:t>provide</w:t>
      </w:r>
      <w:r w:rsidR="007521EC" w:rsidRPr="00CA3A5E">
        <w:rPr>
          <w:rFonts w:eastAsia="MS Mincho" w:cstheme="minorHAnsi"/>
          <w:lang w:eastAsia="ja-JP"/>
        </w:rPr>
        <w:t>s</w:t>
      </w:r>
      <w:r w:rsidR="00E126CE" w:rsidRPr="00CA3A5E">
        <w:rPr>
          <w:rFonts w:eastAsia="MS Mincho" w:cstheme="minorHAnsi"/>
          <w:lang w:eastAsia="ja-JP"/>
        </w:rPr>
        <w:t xml:space="preserve"> an overview of progress in its implementation, </w:t>
      </w:r>
      <w:r w:rsidR="007521EC" w:rsidRPr="00CA3A5E">
        <w:rPr>
          <w:rFonts w:eastAsia="MS Mincho" w:cstheme="minorHAnsi"/>
          <w:lang w:eastAsia="ja-JP"/>
        </w:rPr>
        <w:t xml:space="preserve">identifies </w:t>
      </w:r>
      <w:r w:rsidR="00E126CE" w:rsidRPr="00CA3A5E">
        <w:rPr>
          <w:rFonts w:eastAsia="MS Mincho" w:cstheme="minorHAnsi"/>
          <w:lang w:eastAsia="ja-JP"/>
        </w:rPr>
        <w:t>lessons learned and inform</w:t>
      </w:r>
      <w:r w:rsidR="007521EC" w:rsidRPr="00CA3A5E">
        <w:rPr>
          <w:rFonts w:eastAsia="MS Mincho" w:cstheme="minorHAnsi"/>
          <w:lang w:eastAsia="ja-JP"/>
        </w:rPr>
        <w:t>s</w:t>
      </w:r>
      <w:r w:rsidR="00E126CE" w:rsidRPr="00CA3A5E">
        <w:rPr>
          <w:rFonts w:eastAsia="MS Mincho" w:cstheme="minorHAnsi"/>
          <w:lang w:eastAsia="ja-JP"/>
        </w:rPr>
        <w:t xml:space="preserve"> the preparation of an updated joint work plan </w:t>
      </w:r>
      <w:r w:rsidR="000F7CD2" w:rsidRPr="00CA3A5E">
        <w:rPr>
          <w:rFonts w:eastAsia="MS Mincho" w:cstheme="minorHAnsi"/>
          <w:lang w:eastAsia="ja-JP"/>
        </w:rPr>
        <w:t>that will also take in</w:t>
      </w:r>
      <w:r w:rsidR="00C6182C">
        <w:rPr>
          <w:rFonts w:eastAsia="MS Mincho" w:cstheme="minorHAnsi"/>
          <w:lang w:eastAsia="ja-JP"/>
        </w:rPr>
        <w:t>to</w:t>
      </w:r>
      <w:r w:rsidR="000F7CD2" w:rsidRPr="00CA3A5E">
        <w:rPr>
          <w:rFonts w:eastAsia="MS Mincho" w:cstheme="minorHAnsi"/>
          <w:lang w:eastAsia="ja-JP"/>
        </w:rPr>
        <w:t xml:space="preserve"> </w:t>
      </w:r>
      <w:r w:rsidR="001F2D94" w:rsidRPr="00CA3A5E">
        <w:rPr>
          <w:rFonts w:eastAsia="MS Mincho" w:cstheme="minorHAnsi"/>
          <w:lang w:eastAsia="ja-JP"/>
        </w:rPr>
        <w:t xml:space="preserve">consideration </w:t>
      </w:r>
      <w:r w:rsidR="000F7CD2" w:rsidRPr="00CA3A5E">
        <w:rPr>
          <w:rFonts w:eastAsia="MS Mincho" w:cstheme="minorHAnsi"/>
          <w:lang w:eastAsia="ja-JP"/>
        </w:rPr>
        <w:t xml:space="preserve">the </w:t>
      </w:r>
      <w:r w:rsidR="005F28BA" w:rsidRPr="00CA3A5E">
        <w:rPr>
          <w:rFonts w:eastAsia="MS Mincho" w:cstheme="minorHAnsi"/>
          <w:lang w:eastAsia="ja-JP"/>
        </w:rPr>
        <w:t xml:space="preserve">Global Biodiversity Framework adopted by </w:t>
      </w:r>
      <w:r w:rsidR="00C6182C">
        <w:rPr>
          <w:rFonts w:eastAsia="MS Mincho" w:cstheme="minorHAnsi"/>
          <w:lang w:eastAsia="ja-JP"/>
        </w:rPr>
        <w:t>CBD C</w:t>
      </w:r>
      <w:r w:rsidR="00FA67AD">
        <w:rPr>
          <w:rFonts w:eastAsia="MS Mincho" w:cstheme="minorHAnsi"/>
          <w:lang w:eastAsia="ja-JP"/>
        </w:rPr>
        <w:t>OP</w:t>
      </w:r>
      <w:r w:rsidR="00C6182C">
        <w:rPr>
          <w:rFonts w:eastAsia="MS Mincho" w:cstheme="minorHAnsi"/>
          <w:lang w:eastAsia="ja-JP"/>
        </w:rPr>
        <w:t>15</w:t>
      </w:r>
      <w:r w:rsidR="00A24287" w:rsidRPr="00CA3A5E">
        <w:rPr>
          <w:rFonts w:eastAsia="MS Mincho" w:cstheme="minorHAnsi"/>
          <w:lang w:eastAsia="ja-JP"/>
        </w:rPr>
        <w:t xml:space="preserve">. The review </w:t>
      </w:r>
      <w:r w:rsidR="00521575" w:rsidRPr="00CA3A5E">
        <w:rPr>
          <w:rFonts w:eastAsia="MS Mincho" w:cstheme="minorHAnsi"/>
          <w:lang w:eastAsia="ja-JP"/>
        </w:rPr>
        <w:t>is published</w:t>
      </w:r>
      <w:r w:rsidR="00A24B4F" w:rsidRPr="00CA3A5E">
        <w:rPr>
          <w:rFonts w:eastAsia="MS Mincho" w:cstheme="minorHAnsi"/>
          <w:lang w:eastAsia="ja-JP"/>
        </w:rPr>
        <w:t xml:space="preserve"> </w:t>
      </w:r>
      <w:r w:rsidR="007521EC" w:rsidRPr="00CA3A5E">
        <w:rPr>
          <w:rFonts w:eastAsia="MS Mincho" w:cstheme="minorHAnsi"/>
          <w:lang w:eastAsia="ja-JP"/>
        </w:rPr>
        <w:t>as</w:t>
      </w:r>
      <w:r w:rsidR="002A7D94" w:rsidRPr="00CA3A5E">
        <w:rPr>
          <w:rFonts w:eastAsia="MS Mincho" w:cstheme="minorHAnsi"/>
          <w:lang w:eastAsia="ja-JP"/>
        </w:rPr>
        <w:t xml:space="preserve"> document</w:t>
      </w:r>
      <w:r w:rsidR="007521EC" w:rsidRPr="00CA3A5E">
        <w:rPr>
          <w:rFonts w:eastAsia="MS Mincho" w:cstheme="minorHAnsi"/>
          <w:lang w:eastAsia="ja-JP"/>
        </w:rPr>
        <w:t xml:space="preserve"> SC59 Doc.16.1</w:t>
      </w:r>
      <w:r w:rsidR="007521EC" w:rsidRPr="00CA3A5E">
        <w:rPr>
          <w:rStyle w:val="FootnoteReference"/>
          <w:rFonts w:eastAsia="MS Mincho" w:cstheme="minorHAnsi"/>
          <w:lang w:eastAsia="ja-JP"/>
        </w:rPr>
        <w:footnoteReference w:id="3"/>
      </w:r>
      <w:r w:rsidR="00DC189B" w:rsidRPr="00CA3A5E">
        <w:rPr>
          <w:rFonts w:eastAsia="MS Mincho" w:cstheme="minorHAnsi"/>
          <w:lang w:eastAsia="ja-JP"/>
        </w:rPr>
        <w:t>.</w:t>
      </w:r>
    </w:p>
    <w:p w14:paraId="40BAFE16" w14:textId="77777777" w:rsidR="007E57F8" w:rsidRPr="0072338A" w:rsidRDefault="007E57F8" w:rsidP="00CA3A5E">
      <w:pPr>
        <w:spacing w:after="0" w:line="240" w:lineRule="auto"/>
        <w:contextualSpacing/>
        <w:rPr>
          <w:rFonts w:eastAsia="Times New Roman" w:cstheme="minorHAnsi"/>
          <w:lang w:eastAsia="en-GB"/>
        </w:rPr>
      </w:pPr>
    </w:p>
    <w:p w14:paraId="25EE0DAE" w14:textId="79E284EC" w:rsidR="009C2848" w:rsidRPr="00CA3A5E" w:rsidRDefault="009C2848" w:rsidP="00CA3A5E">
      <w:pPr>
        <w:keepNext/>
        <w:spacing w:after="0" w:line="240" w:lineRule="auto"/>
        <w:contextualSpacing/>
        <w:rPr>
          <w:rFonts w:eastAsia="Times New Roman" w:cstheme="minorHAnsi"/>
          <w:i/>
          <w:lang w:val="en" w:eastAsia="en-GB"/>
        </w:rPr>
      </w:pPr>
      <w:r w:rsidRPr="00CA3A5E">
        <w:rPr>
          <w:rFonts w:eastAsia="Times New Roman" w:cstheme="minorHAnsi"/>
          <w:i/>
          <w:lang w:val="en" w:eastAsia="en-GB"/>
        </w:rPr>
        <w:t>Convention on the Conservation of Migratory Species of Wild Animals</w:t>
      </w:r>
      <w:r w:rsidR="00DC189B" w:rsidRPr="00CA3A5E">
        <w:rPr>
          <w:rFonts w:eastAsia="Times New Roman" w:cstheme="minorHAnsi"/>
          <w:i/>
          <w:lang w:val="en" w:eastAsia="en-GB"/>
        </w:rPr>
        <w:t xml:space="preserve"> </w:t>
      </w:r>
    </w:p>
    <w:p w14:paraId="388FA574" w14:textId="77777777" w:rsidR="009C2848" w:rsidRPr="0072338A" w:rsidRDefault="009C2848" w:rsidP="00CA3A5E">
      <w:pPr>
        <w:keepNext/>
        <w:spacing w:after="0" w:line="240" w:lineRule="auto"/>
        <w:contextualSpacing/>
        <w:rPr>
          <w:rFonts w:eastAsia="Times New Roman" w:cstheme="minorHAnsi"/>
          <w:lang w:val="en" w:eastAsia="en-GB"/>
        </w:rPr>
      </w:pPr>
    </w:p>
    <w:p w14:paraId="6E7F0785" w14:textId="0A4F15C0" w:rsidR="00D84FF7" w:rsidRPr="00CA3A5E" w:rsidRDefault="00A24287" w:rsidP="00CA3A5E">
      <w:pPr>
        <w:tabs>
          <w:tab w:val="left" w:pos="284"/>
        </w:tabs>
        <w:spacing w:after="0" w:line="240" w:lineRule="auto"/>
        <w:ind w:left="425" w:hanging="425"/>
        <w:rPr>
          <w:rFonts w:cstheme="minorHAnsi"/>
        </w:rPr>
      </w:pPr>
      <w:r w:rsidRPr="00CA3A5E">
        <w:rPr>
          <w:rFonts w:eastAsia="Times New Roman" w:cstheme="minorHAnsi"/>
          <w:lang w:eastAsia="en-GB"/>
        </w:rPr>
        <w:t>1</w:t>
      </w:r>
      <w:r w:rsidR="0006611C" w:rsidRPr="00CA3A5E">
        <w:rPr>
          <w:rFonts w:eastAsia="Times New Roman" w:cstheme="minorHAnsi"/>
          <w:lang w:eastAsia="en-GB"/>
        </w:rPr>
        <w:t>1</w:t>
      </w:r>
      <w:r w:rsidR="009C2848" w:rsidRPr="00CA3A5E">
        <w:rPr>
          <w:rFonts w:eastAsia="Times New Roman" w:cstheme="minorHAnsi"/>
          <w:lang w:eastAsia="en-GB"/>
        </w:rPr>
        <w:t>.</w:t>
      </w:r>
      <w:r w:rsidRPr="00CA3A5E">
        <w:rPr>
          <w:rFonts w:eastAsia="Times New Roman" w:cstheme="minorHAnsi"/>
          <w:lang w:eastAsia="en-GB"/>
        </w:rPr>
        <w:tab/>
      </w:r>
      <w:bookmarkStart w:id="0" w:name="_Hlk52804242"/>
      <w:r w:rsidR="00CA3A5E" w:rsidRPr="00CA3A5E">
        <w:rPr>
          <w:rFonts w:eastAsia="Times New Roman" w:cstheme="minorHAnsi"/>
          <w:lang w:eastAsia="en-GB"/>
        </w:rPr>
        <w:tab/>
      </w:r>
      <w:r w:rsidR="00C56C69" w:rsidRPr="00CA3A5E">
        <w:rPr>
          <w:rFonts w:eastAsia="Times New Roman" w:cstheme="minorHAnsi"/>
          <w:lang w:eastAsia="en-GB"/>
        </w:rPr>
        <w:t xml:space="preserve">Resolution </w:t>
      </w:r>
      <w:r w:rsidR="0052733A" w:rsidRPr="00CA3A5E">
        <w:rPr>
          <w:rFonts w:cstheme="minorHAnsi"/>
          <w:bCs/>
        </w:rPr>
        <w:t xml:space="preserve">XIII.20 </w:t>
      </w:r>
      <w:r w:rsidR="0052733A" w:rsidRPr="00C6182C">
        <w:rPr>
          <w:rFonts w:cstheme="minorHAnsi"/>
          <w:bCs/>
          <w:i/>
        </w:rPr>
        <w:t>Promoting the conservation and wise use of intertidal wetlands and ecologically-associated habitats</w:t>
      </w:r>
      <w:r w:rsidR="0052733A" w:rsidRPr="00CA3A5E">
        <w:rPr>
          <w:rFonts w:cstheme="minorHAnsi"/>
          <w:bCs/>
        </w:rPr>
        <w:t xml:space="preserve"> </w:t>
      </w:r>
      <w:r w:rsidR="00C56C69" w:rsidRPr="00CA3A5E">
        <w:rPr>
          <w:rFonts w:cstheme="minorHAnsi"/>
          <w:bCs/>
        </w:rPr>
        <w:t>request</w:t>
      </w:r>
      <w:r w:rsidR="00C6182C">
        <w:rPr>
          <w:rFonts w:cstheme="minorHAnsi"/>
          <w:bCs/>
        </w:rPr>
        <w:t>s</w:t>
      </w:r>
      <w:r w:rsidR="00C56C69" w:rsidRPr="00CA3A5E">
        <w:rPr>
          <w:rFonts w:cstheme="minorHAnsi"/>
          <w:bCs/>
        </w:rPr>
        <w:t xml:space="preserve"> </w:t>
      </w:r>
      <w:r w:rsidR="0052733A" w:rsidRPr="00CA3A5E">
        <w:rPr>
          <w:rFonts w:cstheme="minorHAnsi"/>
        </w:rPr>
        <w:t xml:space="preserve">the Secretariat </w:t>
      </w:r>
      <w:r w:rsidR="00C56C69" w:rsidRPr="00CA3A5E">
        <w:rPr>
          <w:rFonts w:cstheme="minorHAnsi"/>
        </w:rPr>
        <w:t xml:space="preserve">to explore </w:t>
      </w:r>
      <w:r w:rsidR="00A06231" w:rsidRPr="00CA3A5E">
        <w:rPr>
          <w:rFonts w:eastAsia="Times New Roman" w:cstheme="minorHAnsi"/>
        </w:rPr>
        <w:t xml:space="preserve">with other relevant </w:t>
      </w:r>
      <w:r w:rsidR="0080625E" w:rsidRPr="00CA3A5E">
        <w:rPr>
          <w:rFonts w:eastAsia="Times New Roman" w:cstheme="minorHAnsi"/>
        </w:rPr>
        <w:t xml:space="preserve">multilateral environmental agreements and stakeholders </w:t>
      </w:r>
      <w:r w:rsidR="00A06231" w:rsidRPr="00CA3A5E">
        <w:rPr>
          <w:rFonts w:eastAsia="Times New Roman" w:cstheme="minorHAnsi"/>
        </w:rPr>
        <w:t xml:space="preserve">the possibility to set up a multi-stakeholder global coastal forum. </w:t>
      </w:r>
      <w:r w:rsidR="00C6182C">
        <w:rPr>
          <w:rFonts w:eastAsia="Times New Roman" w:cstheme="minorHAnsi"/>
        </w:rPr>
        <w:t>A s</w:t>
      </w:r>
      <w:r w:rsidR="00C6182C" w:rsidRPr="00CA3A5E">
        <w:rPr>
          <w:rFonts w:eastAsia="Times New Roman" w:cstheme="minorHAnsi"/>
        </w:rPr>
        <w:t xml:space="preserve">imilar </w:t>
      </w:r>
      <w:r w:rsidR="00BF6BED" w:rsidRPr="00CA3A5E">
        <w:rPr>
          <w:rFonts w:eastAsia="Times New Roman" w:cstheme="minorHAnsi"/>
        </w:rPr>
        <w:t xml:space="preserve">request is also </w:t>
      </w:r>
      <w:r w:rsidR="00C6182C">
        <w:rPr>
          <w:rFonts w:eastAsia="Times New Roman" w:cstheme="minorHAnsi"/>
        </w:rPr>
        <w:t xml:space="preserve">found </w:t>
      </w:r>
      <w:r w:rsidR="00EE7C5E" w:rsidRPr="00CA3A5E">
        <w:rPr>
          <w:rFonts w:eastAsia="Times New Roman" w:cstheme="minorHAnsi"/>
        </w:rPr>
        <w:t xml:space="preserve">in </w:t>
      </w:r>
      <w:r w:rsidR="00BF6BED" w:rsidRPr="00CA3A5E">
        <w:rPr>
          <w:rFonts w:cstheme="minorHAnsi"/>
        </w:rPr>
        <w:t xml:space="preserve">CMS Resolution 12.25 </w:t>
      </w:r>
      <w:r w:rsidR="00BF6BED" w:rsidRPr="00C6182C">
        <w:rPr>
          <w:rFonts w:cstheme="minorHAnsi"/>
          <w:i/>
        </w:rPr>
        <w:t>Promoting Conservation of Critical Intertidal and other coastal Habitats for Migratory Species</w:t>
      </w:r>
      <w:r w:rsidR="00BF6BED" w:rsidRPr="00CA3A5E">
        <w:rPr>
          <w:rFonts w:cstheme="minorHAnsi"/>
        </w:rPr>
        <w:t xml:space="preserve">, CBD Decision 14/30 </w:t>
      </w:r>
      <w:r w:rsidR="00BF6BED" w:rsidRPr="00C6182C">
        <w:rPr>
          <w:rFonts w:cstheme="minorHAnsi"/>
          <w:i/>
        </w:rPr>
        <w:t>Cooperation with other conventions, international organizations and initiatives</w:t>
      </w:r>
      <w:r w:rsidR="00BF6BED" w:rsidRPr="00CA3A5E">
        <w:rPr>
          <w:rFonts w:cstheme="minorHAnsi"/>
        </w:rPr>
        <w:t xml:space="preserve">, and the IUCN World Conservation Congress Resolution 030 </w:t>
      </w:r>
      <w:r w:rsidR="00BF6BED" w:rsidRPr="002D49CE">
        <w:rPr>
          <w:rFonts w:cstheme="minorHAnsi"/>
          <w:i/>
        </w:rPr>
        <w:t>Enhancing the resilience of coastal areas in the face of climate change, biodiversity crisis and rapid coastal development</w:t>
      </w:r>
      <w:r w:rsidR="00EE7C5E" w:rsidRPr="00CA3A5E">
        <w:rPr>
          <w:rFonts w:cstheme="minorHAnsi"/>
        </w:rPr>
        <w:t>.</w:t>
      </w:r>
      <w:r w:rsidR="00BF6BED" w:rsidRPr="00CA3A5E">
        <w:rPr>
          <w:rFonts w:cstheme="minorHAnsi"/>
        </w:rPr>
        <w:t xml:space="preserve"> </w:t>
      </w:r>
      <w:r w:rsidR="00A06231" w:rsidRPr="00CA3A5E">
        <w:rPr>
          <w:rFonts w:eastAsia="Times New Roman" w:cstheme="minorHAnsi"/>
        </w:rPr>
        <w:lastRenderedPageBreak/>
        <w:t xml:space="preserve">In this regard, </w:t>
      </w:r>
      <w:r w:rsidR="00A06231" w:rsidRPr="00CA3A5E">
        <w:rPr>
          <w:rFonts w:cstheme="minorHAnsi"/>
        </w:rPr>
        <w:t>the Secretariat</w:t>
      </w:r>
      <w:r w:rsidR="00EE7C5E" w:rsidRPr="00CA3A5E">
        <w:rPr>
          <w:rFonts w:cstheme="minorHAnsi"/>
        </w:rPr>
        <w:t xml:space="preserve"> </w:t>
      </w:r>
      <w:r w:rsidR="00DD15ED" w:rsidRPr="00CA3A5E">
        <w:rPr>
          <w:rFonts w:eastAsia="Times New Roman" w:cstheme="minorHAnsi"/>
        </w:rPr>
        <w:t>participated a</w:t>
      </w:r>
      <w:r w:rsidR="00A06231" w:rsidRPr="00CA3A5E">
        <w:rPr>
          <w:rFonts w:eastAsia="Times New Roman" w:cstheme="minorHAnsi"/>
        </w:rPr>
        <w:t xml:space="preserve">s </w:t>
      </w:r>
      <w:r w:rsidR="00FC2ED8">
        <w:rPr>
          <w:rFonts w:eastAsia="Times New Roman" w:cstheme="minorHAnsi"/>
        </w:rPr>
        <w:t xml:space="preserve">an </w:t>
      </w:r>
      <w:r w:rsidR="00A06231" w:rsidRPr="00CA3A5E">
        <w:rPr>
          <w:rFonts w:eastAsia="Times New Roman" w:cstheme="minorHAnsi"/>
        </w:rPr>
        <w:t xml:space="preserve">observer </w:t>
      </w:r>
      <w:r w:rsidR="00FC2ED8">
        <w:rPr>
          <w:rFonts w:eastAsia="Times New Roman" w:cstheme="minorHAnsi"/>
        </w:rPr>
        <w:t xml:space="preserve">in </w:t>
      </w:r>
      <w:r w:rsidR="00DD15ED" w:rsidRPr="00CA3A5E">
        <w:rPr>
          <w:rFonts w:eastAsia="Times New Roman" w:cstheme="minorHAnsi"/>
        </w:rPr>
        <w:t xml:space="preserve">the consultations </w:t>
      </w:r>
      <w:r w:rsidR="00A06231" w:rsidRPr="00CA3A5E">
        <w:rPr>
          <w:rFonts w:eastAsia="Times New Roman" w:cstheme="minorHAnsi"/>
        </w:rPr>
        <w:t>lead by</w:t>
      </w:r>
      <w:r w:rsidR="00DD15ED" w:rsidRPr="00CA3A5E">
        <w:rPr>
          <w:rFonts w:eastAsia="Times New Roman" w:cstheme="minorHAnsi"/>
        </w:rPr>
        <w:t xml:space="preserve"> </w:t>
      </w:r>
      <w:r w:rsidR="00DD15ED" w:rsidRPr="00CA3A5E">
        <w:rPr>
          <w:rFonts w:cstheme="minorHAnsi"/>
        </w:rPr>
        <w:t>Eco Foundation Global and RSPB - BirdLife in the U</w:t>
      </w:r>
      <w:r w:rsidR="00FA67AD">
        <w:rPr>
          <w:rFonts w:cstheme="minorHAnsi"/>
        </w:rPr>
        <w:t xml:space="preserve">nited </w:t>
      </w:r>
      <w:r w:rsidR="00DD15ED" w:rsidRPr="00CA3A5E">
        <w:rPr>
          <w:rFonts w:cstheme="minorHAnsi"/>
        </w:rPr>
        <w:t>K</w:t>
      </w:r>
      <w:r w:rsidR="00FA67AD">
        <w:rPr>
          <w:rFonts w:cstheme="minorHAnsi"/>
        </w:rPr>
        <w:t>ingdom</w:t>
      </w:r>
      <w:r w:rsidR="00DD15ED" w:rsidRPr="00CA3A5E">
        <w:rPr>
          <w:rFonts w:cstheme="minorHAnsi"/>
        </w:rPr>
        <w:t xml:space="preserve"> in November and December 2021 on the development of a World Coastal Forum</w:t>
      </w:r>
      <w:r w:rsidR="00EE7C5E" w:rsidRPr="00CA3A5E">
        <w:rPr>
          <w:rFonts w:cstheme="minorHAnsi"/>
        </w:rPr>
        <w:t xml:space="preserve"> and </w:t>
      </w:r>
      <w:r w:rsidR="0080625E" w:rsidRPr="00CA3A5E">
        <w:rPr>
          <w:rFonts w:cstheme="minorHAnsi"/>
        </w:rPr>
        <w:t xml:space="preserve">has also </w:t>
      </w:r>
      <w:r w:rsidR="00EE7C5E" w:rsidRPr="00CA3A5E">
        <w:rPr>
          <w:rFonts w:cstheme="minorHAnsi"/>
        </w:rPr>
        <w:t>liaised with the CMS and CBD Secretariats to provide join comments to this process</w:t>
      </w:r>
      <w:r w:rsidR="00B90919" w:rsidRPr="00CA3A5E">
        <w:rPr>
          <w:rFonts w:cstheme="minorHAnsi"/>
        </w:rPr>
        <w:t>.</w:t>
      </w:r>
      <w:r w:rsidR="00D84FF7" w:rsidRPr="00CA3A5E">
        <w:rPr>
          <w:rFonts w:cstheme="minorHAnsi"/>
        </w:rPr>
        <w:t xml:space="preserve"> </w:t>
      </w:r>
    </w:p>
    <w:p w14:paraId="493F91CC" w14:textId="77777777" w:rsidR="00CA3A5E" w:rsidRPr="00CA3A5E" w:rsidRDefault="00CA3A5E" w:rsidP="00CA3A5E">
      <w:pPr>
        <w:tabs>
          <w:tab w:val="left" w:pos="284"/>
        </w:tabs>
        <w:spacing w:after="0" w:line="240" w:lineRule="auto"/>
        <w:ind w:left="425" w:hanging="425"/>
        <w:rPr>
          <w:rFonts w:cstheme="minorHAnsi"/>
        </w:rPr>
      </w:pPr>
    </w:p>
    <w:p w14:paraId="3ADDA35A" w14:textId="33B0E71F" w:rsidR="00A06231" w:rsidRPr="00CA3A5E" w:rsidRDefault="0006611C" w:rsidP="00CA3A5E">
      <w:pPr>
        <w:tabs>
          <w:tab w:val="left" w:pos="142"/>
        </w:tabs>
        <w:suppressAutoHyphens/>
        <w:spacing w:after="0" w:line="240" w:lineRule="auto"/>
        <w:ind w:left="426" w:hanging="426"/>
        <w:rPr>
          <w:rFonts w:cstheme="minorHAnsi"/>
        </w:rPr>
      </w:pPr>
      <w:r w:rsidRPr="00CA3A5E">
        <w:rPr>
          <w:rFonts w:cstheme="minorHAnsi"/>
        </w:rPr>
        <w:t>12</w:t>
      </w:r>
      <w:r w:rsidR="00EB5D3E">
        <w:rPr>
          <w:rFonts w:cstheme="minorHAnsi"/>
        </w:rPr>
        <w:t>.</w:t>
      </w:r>
      <w:r w:rsidR="00EB5D3E">
        <w:rPr>
          <w:rFonts w:cstheme="minorHAnsi"/>
        </w:rPr>
        <w:tab/>
      </w:r>
      <w:r w:rsidR="00C91418" w:rsidRPr="00CA3A5E">
        <w:rPr>
          <w:rFonts w:cstheme="minorHAnsi"/>
        </w:rPr>
        <w:t>The Secretary General delivered a video message in the Opening Ceremony of the hybrid World Coastal Forum</w:t>
      </w:r>
      <w:r w:rsidR="00FC2ED8" w:rsidRPr="00FC2ED8">
        <w:rPr>
          <w:rFonts w:cstheme="minorHAnsi"/>
        </w:rPr>
        <w:t xml:space="preserve"> </w:t>
      </w:r>
      <w:r w:rsidR="00FC2ED8" w:rsidRPr="00CA3A5E">
        <w:rPr>
          <w:rFonts w:cstheme="minorHAnsi"/>
        </w:rPr>
        <w:t>event</w:t>
      </w:r>
      <w:r w:rsidR="00C91418" w:rsidRPr="00CA3A5E">
        <w:rPr>
          <w:rFonts w:cstheme="minorHAnsi"/>
        </w:rPr>
        <w:t xml:space="preserve"> on 10 January 2022 in Yancheng City, Jiangsu Province, China </w:t>
      </w:r>
      <w:r w:rsidR="00D84FF7" w:rsidRPr="00CA3A5E">
        <w:rPr>
          <w:rFonts w:cstheme="minorHAnsi"/>
        </w:rPr>
        <w:t xml:space="preserve">at the </w:t>
      </w:r>
      <w:r w:rsidR="00C91418" w:rsidRPr="00CA3A5E">
        <w:rPr>
          <w:rFonts w:cstheme="minorHAnsi"/>
        </w:rPr>
        <w:t>invitation</w:t>
      </w:r>
      <w:r w:rsidR="00D84FF7" w:rsidRPr="00CA3A5E">
        <w:rPr>
          <w:rFonts w:cstheme="minorHAnsi"/>
        </w:rPr>
        <w:t xml:space="preserve"> of t</w:t>
      </w:r>
      <w:r w:rsidR="00C91418" w:rsidRPr="00CA3A5E">
        <w:rPr>
          <w:rFonts w:cstheme="minorHAnsi"/>
        </w:rPr>
        <w:t>he Vice Minister, Ministry of Natural Resources of China</w:t>
      </w:r>
      <w:r w:rsidR="00D84FF7" w:rsidRPr="00CA3A5E">
        <w:rPr>
          <w:rFonts w:cstheme="minorHAnsi"/>
        </w:rPr>
        <w:t>.</w:t>
      </w:r>
      <w:r w:rsidR="00072FD9" w:rsidRPr="00CA3A5E">
        <w:rPr>
          <w:rFonts w:cstheme="minorHAnsi"/>
        </w:rPr>
        <w:t xml:space="preserve"> </w:t>
      </w:r>
      <w:r w:rsidR="0068470B" w:rsidRPr="00CA3A5E">
        <w:rPr>
          <w:rFonts w:cstheme="minorHAnsi"/>
        </w:rPr>
        <w:t>The Secretariat will continue engaging in th</w:t>
      </w:r>
      <w:r w:rsidR="00FF693F" w:rsidRPr="00CA3A5E">
        <w:rPr>
          <w:rFonts w:cstheme="minorHAnsi"/>
        </w:rPr>
        <w:t xml:space="preserve">is </w:t>
      </w:r>
      <w:r w:rsidR="0068470B" w:rsidRPr="00CA3A5E">
        <w:rPr>
          <w:rFonts w:cstheme="minorHAnsi"/>
        </w:rPr>
        <w:t>process as an observer, in line with its mandate as provided in Resolution XIII.20 paragraph 36</w:t>
      </w:r>
      <w:r w:rsidR="00FC2ED8">
        <w:rPr>
          <w:rFonts w:cstheme="minorHAnsi"/>
        </w:rPr>
        <w:t>,</w:t>
      </w:r>
      <w:r w:rsidR="0068470B" w:rsidRPr="00CA3A5E">
        <w:rPr>
          <w:rFonts w:cstheme="minorHAnsi"/>
        </w:rPr>
        <w:t xml:space="preserve"> and will inform the Standing </w:t>
      </w:r>
      <w:r w:rsidR="00FF693F" w:rsidRPr="00CA3A5E">
        <w:rPr>
          <w:rFonts w:cstheme="minorHAnsi"/>
        </w:rPr>
        <w:t xml:space="preserve">Committee </w:t>
      </w:r>
      <w:r w:rsidR="0068470B" w:rsidRPr="00CA3A5E">
        <w:rPr>
          <w:rFonts w:cstheme="minorHAnsi"/>
        </w:rPr>
        <w:t>of any further development on this matter.</w:t>
      </w:r>
      <w:r w:rsidR="00072FD9" w:rsidRPr="00CA3A5E">
        <w:rPr>
          <w:rFonts w:cstheme="minorHAnsi"/>
        </w:rPr>
        <w:t xml:space="preserve"> </w:t>
      </w:r>
    </w:p>
    <w:p w14:paraId="6615F0CC" w14:textId="3529FEEC" w:rsidR="00BF6BED" w:rsidRPr="00CA3A5E" w:rsidRDefault="00BF6BED" w:rsidP="00CA3A5E">
      <w:pPr>
        <w:tabs>
          <w:tab w:val="left" w:pos="0"/>
        </w:tabs>
        <w:suppressAutoHyphens/>
        <w:spacing w:after="0" w:line="240" w:lineRule="auto"/>
        <w:ind w:left="426" w:hanging="426"/>
        <w:rPr>
          <w:rFonts w:cstheme="minorHAnsi"/>
        </w:rPr>
      </w:pPr>
    </w:p>
    <w:bookmarkEnd w:id="0"/>
    <w:p w14:paraId="3C836A43" w14:textId="77777777" w:rsidR="009C2848" w:rsidRPr="00CA3A5E" w:rsidRDefault="009C2848" w:rsidP="00CA3A5E">
      <w:pPr>
        <w:keepNext/>
        <w:spacing w:after="0" w:line="240" w:lineRule="auto"/>
        <w:ind w:left="425" w:hanging="425"/>
        <w:rPr>
          <w:rFonts w:eastAsia="Times New Roman" w:cstheme="minorHAnsi"/>
          <w:i/>
          <w:lang w:eastAsia="en-GB"/>
        </w:rPr>
      </w:pPr>
      <w:r w:rsidRPr="00CA3A5E">
        <w:rPr>
          <w:rFonts w:eastAsia="Times New Roman" w:cstheme="minorHAnsi"/>
          <w:i/>
          <w:lang w:eastAsia="en-GB"/>
        </w:rPr>
        <w:t>Convention Concerning the Protection of World Cultural and Natural Heritage</w:t>
      </w:r>
    </w:p>
    <w:p w14:paraId="18905759" w14:textId="77777777" w:rsidR="009C2848" w:rsidRPr="00CA3A5E" w:rsidRDefault="009C2848" w:rsidP="00CA3A5E">
      <w:pPr>
        <w:keepNext/>
        <w:spacing w:after="0" w:line="240" w:lineRule="auto"/>
        <w:ind w:left="425" w:hanging="425"/>
        <w:rPr>
          <w:rFonts w:eastAsia="Times New Roman" w:cstheme="minorHAnsi"/>
          <w:lang w:eastAsia="en-GB"/>
        </w:rPr>
      </w:pPr>
    </w:p>
    <w:p w14:paraId="74739DFD" w14:textId="6F2118B4" w:rsidR="009C2848" w:rsidRPr="00CA3A5E" w:rsidRDefault="00C52AE6"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1</w:t>
      </w:r>
      <w:r w:rsidR="0006611C" w:rsidRPr="00CA3A5E">
        <w:rPr>
          <w:rFonts w:eastAsia="Times New Roman" w:cstheme="minorHAnsi"/>
          <w:lang w:eastAsia="en-GB"/>
        </w:rPr>
        <w:t>3</w:t>
      </w:r>
      <w:r w:rsidR="009C2848" w:rsidRPr="00CA3A5E">
        <w:rPr>
          <w:rFonts w:eastAsia="Times New Roman" w:cstheme="minorHAnsi"/>
          <w:lang w:eastAsia="en-GB"/>
        </w:rPr>
        <w:t>.</w:t>
      </w:r>
      <w:r w:rsidR="009C2848" w:rsidRPr="00CA3A5E">
        <w:rPr>
          <w:rFonts w:eastAsia="Times New Roman" w:cstheme="minorHAnsi"/>
          <w:lang w:eastAsia="en-GB"/>
        </w:rPr>
        <w:tab/>
      </w:r>
      <w:r w:rsidR="0064372C" w:rsidRPr="00CA3A5E">
        <w:rPr>
          <w:rFonts w:eastAsia="Times New Roman" w:cstheme="minorHAnsi"/>
          <w:lang w:eastAsia="en-GB"/>
        </w:rPr>
        <w:t xml:space="preserve">The Secretariat participated in the </w:t>
      </w:r>
      <w:r w:rsidR="0064372C" w:rsidRPr="00FC2ED8">
        <w:rPr>
          <w:rFonts w:eastAsia="Times New Roman" w:cstheme="minorHAnsi"/>
          <w:lang w:eastAsia="en-GB"/>
        </w:rPr>
        <w:t>44th</w:t>
      </w:r>
      <w:r w:rsidR="0064372C" w:rsidRPr="00CA3A5E">
        <w:rPr>
          <w:rFonts w:eastAsia="Times New Roman" w:cstheme="minorHAnsi"/>
          <w:lang w:eastAsia="en-GB"/>
        </w:rPr>
        <w:t xml:space="preserve"> session of the World Heritage Committee from 16</w:t>
      </w:r>
      <w:r w:rsidR="00FC2ED8">
        <w:rPr>
          <w:rFonts w:eastAsia="Times New Roman" w:cstheme="minorHAnsi"/>
          <w:lang w:eastAsia="en-GB"/>
        </w:rPr>
        <w:t xml:space="preserve"> to </w:t>
      </w:r>
      <w:r w:rsidR="0064372C" w:rsidRPr="00CA3A5E">
        <w:rPr>
          <w:rFonts w:eastAsia="Times New Roman" w:cstheme="minorHAnsi"/>
          <w:lang w:eastAsia="en-GB"/>
        </w:rPr>
        <w:t xml:space="preserve">31 July 2021 and noted with appreciation the inscription of Getbol tidal flats in the Republic of Korea and Colchic rainforests and wetlands in Georgia to the List of World Heritage properties, covering five existing Wetlands of International Importance. Reports of joint missions undertaken in early 2020 concerning two sites listed under both </w:t>
      </w:r>
      <w:r w:rsidR="00FC2ED8">
        <w:rPr>
          <w:rFonts w:eastAsia="Times New Roman" w:cstheme="minorHAnsi"/>
          <w:lang w:eastAsia="en-GB"/>
        </w:rPr>
        <w:t>C</w:t>
      </w:r>
      <w:r w:rsidR="0064372C" w:rsidRPr="00CA3A5E">
        <w:rPr>
          <w:rFonts w:eastAsia="Times New Roman" w:cstheme="minorHAnsi"/>
          <w:lang w:eastAsia="en-GB"/>
        </w:rPr>
        <w:t>onventions, Venice and its Lagoon in Italy and</w:t>
      </w:r>
      <w:r w:rsidR="00072FD9" w:rsidRPr="00CA3A5E">
        <w:rPr>
          <w:rFonts w:eastAsia="Times New Roman" w:cstheme="minorHAnsi"/>
          <w:lang w:eastAsia="en-GB"/>
        </w:rPr>
        <w:t xml:space="preserve"> </w:t>
      </w:r>
      <w:r w:rsidR="0064372C" w:rsidRPr="00CA3A5E">
        <w:rPr>
          <w:rFonts w:eastAsia="Times New Roman" w:cstheme="minorHAnsi"/>
          <w:lang w:eastAsia="en-GB"/>
        </w:rPr>
        <w:t>Doñana</w:t>
      </w:r>
      <w:r w:rsidR="00FC2ED8">
        <w:rPr>
          <w:rFonts w:eastAsia="Times New Roman" w:cstheme="minorHAnsi"/>
          <w:lang w:eastAsia="en-GB"/>
        </w:rPr>
        <w:t xml:space="preserve"> </w:t>
      </w:r>
      <w:r w:rsidR="0064372C" w:rsidRPr="00CA3A5E">
        <w:rPr>
          <w:rFonts w:eastAsia="Times New Roman" w:cstheme="minorHAnsi"/>
          <w:lang w:eastAsia="en-GB"/>
        </w:rPr>
        <w:t>in Spain, were published in 2021</w:t>
      </w:r>
      <w:r w:rsidR="00FC2ED8">
        <w:rPr>
          <w:rFonts w:eastAsia="Times New Roman" w:cstheme="minorHAnsi"/>
          <w:lang w:eastAsia="en-GB"/>
        </w:rPr>
        <w:t>.</w:t>
      </w:r>
    </w:p>
    <w:p w14:paraId="652C60E6" w14:textId="77777777" w:rsidR="00DA5E4B" w:rsidRPr="00CA3A5E" w:rsidRDefault="00DA5E4B" w:rsidP="00CA3A5E">
      <w:pPr>
        <w:suppressAutoHyphens/>
        <w:spacing w:after="0" w:line="240" w:lineRule="auto"/>
        <w:ind w:left="425" w:hanging="425"/>
        <w:rPr>
          <w:rFonts w:eastAsia="Times New Roman" w:cstheme="minorHAnsi"/>
          <w:lang w:eastAsia="en-GB"/>
        </w:rPr>
      </w:pPr>
    </w:p>
    <w:p w14:paraId="4634FEC5" w14:textId="79189434" w:rsidR="009C2848" w:rsidRPr="00CA3A5E" w:rsidRDefault="009C2848" w:rsidP="00CA3A5E">
      <w:pPr>
        <w:keepNext/>
        <w:autoSpaceDE w:val="0"/>
        <w:autoSpaceDN w:val="0"/>
        <w:adjustRightInd w:val="0"/>
        <w:spacing w:after="0" w:line="240" w:lineRule="auto"/>
        <w:ind w:left="426" w:hanging="426"/>
        <w:rPr>
          <w:rFonts w:eastAsia="Times New Roman" w:cstheme="minorHAnsi"/>
          <w:bCs/>
          <w:i/>
          <w:lang w:val="en" w:eastAsia="en-GB"/>
        </w:rPr>
      </w:pPr>
      <w:r w:rsidRPr="00CA3A5E">
        <w:rPr>
          <w:rFonts w:eastAsia="Times New Roman" w:cstheme="minorHAnsi"/>
          <w:i/>
          <w:lang w:val="en" w:eastAsia="en-GB"/>
        </w:rPr>
        <w:t xml:space="preserve">United Nations Framework Convention on Climate Change </w:t>
      </w:r>
    </w:p>
    <w:p w14:paraId="7A1EB1C4" w14:textId="77777777" w:rsidR="009C2848" w:rsidRPr="00CA3A5E" w:rsidRDefault="009C2848" w:rsidP="00CA3A5E">
      <w:pPr>
        <w:keepNext/>
        <w:autoSpaceDE w:val="0"/>
        <w:autoSpaceDN w:val="0"/>
        <w:adjustRightInd w:val="0"/>
        <w:spacing w:after="0" w:line="240" w:lineRule="auto"/>
        <w:ind w:left="357" w:hanging="357"/>
        <w:rPr>
          <w:rFonts w:eastAsia="Times New Roman" w:cstheme="minorHAnsi"/>
          <w:bCs/>
          <w:lang w:val="en" w:eastAsia="en-GB"/>
        </w:rPr>
      </w:pPr>
    </w:p>
    <w:p w14:paraId="7EBB031B" w14:textId="3678027F" w:rsidR="004A4010" w:rsidRPr="00CA3A5E" w:rsidRDefault="0006611C" w:rsidP="00CA3A5E">
      <w:pPr>
        <w:tabs>
          <w:tab w:val="left" w:pos="426"/>
        </w:tabs>
        <w:spacing w:after="0" w:line="240" w:lineRule="auto"/>
        <w:ind w:left="426" w:hanging="426"/>
        <w:rPr>
          <w:rFonts w:cstheme="minorHAnsi"/>
        </w:rPr>
      </w:pPr>
      <w:r w:rsidRPr="00CA3A5E">
        <w:rPr>
          <w:rFonts w:eastAsia="Times New Roman" w:cstheme="minorHAnsi"/>
          <w:lang w:eastAsia="en-GB"/>
        </w:rPr>
        <w:t>14</w:t>
      </w:r>
      <w:r w:rsidR="009C2848" w:rsidRPr="00CA3A5E">
        <w:rPr>
          <w:rFonts w:eastAsia="Times New Roman" w:cstheme="minorHAnsi"/>
          <w:lang w:eastAsia="en-GB"/>
        </w:rPr>
        <w:t>.</w:t>
      </w:r>
      <w:r w:rsidR="009C2848" w:rsidRPr="00CA3A5E">
        <w:rPr>
          <w:rFonts w:eastAsia="Times New Roman" w:cstheme="minorHAnsi"/>
          <w:lang w:eastAsia="en-GB"/>
        </w:rPr>
        <w:tab/>
      </w:r>
      <w:r w:rsidR="004A4010" w:rsidRPr="00CA3A5E">
        <w:rPr>
          <w:rFonts w:cstheme="minorHAnsi"/>
        </w:rPr>
        <w:t xml:space="preserve">In the </w:t>
      </w:r>
      <w:r w:rsidR="00BF6A38" w:rsidRPr="00CA3A5E">
        <w:rPr>
          <w:rFonts w:cstheme="minorHAnsi"/>
        </w:rPr>
        <w:t>lead</w:t>
      </w:r>
      <w:r w:rsidR="00BF6A38">
        <w:rPr>
          <w:rFonts w:cstheme="minorHAnsi"/>
        </w:rPr>
        <w:t>-</w:t>
      </w:r>
      <w:r w:rsidR="004A4010" w:rsidRPr="00CA3A5E">
        <w:rPr>
          <w:rFonts w:cstheme="minorHAnsi"/>
        </w:rPr>
        <w:t>up to</w:t>
      </w:r>
      <w:r w:rsidR="00B90919" w:rsidRPr="00CA3A5E">
        <w:rPr>
          <w:rFonts w:cstheme="minorHAnsi"/>
        </w:rPr>
        <w:t xml:space="preserve"> UNFCCC</w:t>
      </w:r>
      <w:r w:rsidR="004A4010" w:rsidRPr="00CA3A5E">
        <w:rPr>
          <w:rFonts w:cstheme="minorHAnsi"/>
        </w:rPr>
        <w:t xml:space="preserve"> COP26 the Secretariat prepared a brief on harnessing wetland wise use, protection and restoration in delivering climate change outcomes, available in three languages. The Secretariat </w:t>
      </w:r>
      <w:r w:rsidR="00833690" w:rsidRPr="00CA3A5E">
        <w:rPr>
          <w:rFonts w:cstheme="minorHAnsi"/>
        </w:rPr>
        <w:t>co-</w:t>
      </w:r>
      <w:r w:rsidR="004A4010" w:rsidRPr="00CA3A5E">
        <w:rPr>
          <w:rFonts w:cstheme="minorHAnsi"/>
        </w:rPr>
        <w:t xml:space="preserve">organized three events during COP26, exploring different aspects of wetlands action for climate change outcomes: </w:t>
      </w:r>
      <w:r w:rsidR="004A4010" w:rsidRPr="00CA3A5E">
        <w:rPr>
          <w:rFonts w:cstheme="minorHAnsi"/>
          <w:i/>
        </w:rPr>
        <w:t>Financing Wetlands Conservation and Restoration for Climate Benefits – Challenges and Opportunities</w:t>
      </w:r>
      <w:r w:rsidR="004A4010" w:rsidRPr="00CA3A5E">
        <w:rPr>
          <w:rFonts w:cstheme="minorHAnsi"/>
        </w:rPr>
        <w:t xml:space="preserve">, held on 4 November at the </w:t>
      </w:r>
      <w:r w:rsidR="005F7E5A">
        <w:rPr>
          <w:rFonts w:cstheme="minorHAnsi"/>
        </w:rPr>
        <w:t xml:space="preserve">Republic of </w:t>
      </w:r>
      <w:r w:rsidR="0075040D">
        <w:rPr>
          <w:rFonts w:cstheme="minorHAnsi"/>
        </w:rPr>
        <w:t xml:space="preserve">Korea </w:t>
      </w:r>
      <w:r w:rsidR="00F14EFA">
        <w:rPr>
          <w:rFonts w:cstheme="minorHAnsi"/>
        </w:rPr>
        <w:t>Pavilion</w:t>
      </w:r>
      <w:r w:rsidR="0075040D">
        <w:rPr>
          <w:rFonts w:cstheme="minorHAnsi"/>
        </w:rPr>
        <w:t xml:space="preserve"> </w:t>
      </w:r>
      <w:r w:rsidR="004A4010" w:rsidRPr="00CA3A5E">
        <w:rPr>
          <w:rFonts w:cstheme="minorHAnsi"/>
          <w:i/>
        </w:rPr>
        <w:t>Partners for Wetlands: Decade for Wetland Restoration</w:t>
      </w:r>
      <w:r w:rsidR="004A4010" w:rsidRPr="00CA3A5E">
        <w:rPr>
          <w:rFonts w:cstheme="minorHAnsi"/>
        </w:rPr>
        <w:t>, held</w:t>
      </w:r>
      <w:r w:rsidR="00BF6A38">
        <w:rPr>
          <w:rFonts w:cstheme="minorHAnsi"/>
        </w:rPr>
        <w:t xml:space="preserve"> on</w:t>
      </w:r>
      <w:r w:rsidR="004A4010" w:rsidRPr="00CA3A5E">
        <w:rPr>
          <w:rFonts w:cstheme="minorHAnsi"/>
        </w:rPr>
        <w:t xml:space="preserve"> 8 November at the</w:t>
      </w:r>
      <w:r w:rsidR="0075040D">
        <w:rPr>
          <w:rFonts w:cstheme="minorHAnsi"/>
        </w:rPr>
        <w:t xml:space="preserve"> Peatlands </w:t>
      </w:r>
      <w:r w:rsidR="00F14EFA">
        <w:rPr>
          <w:rFonts w:cstheme="minorHAnsi"/>
        </w:rPr>
        <w:t>Pavilion</w:t>
      </w:r>
      <w:r w:rsidR="004A4010" w:rsidRPr="00CA3A5E">
        <w:rPr>
          <w:rFonts w:cstheme="minorHAnsi"/>
        </w:rPr>
        <w:t xml:space="preserve">; and </w:t>
      </w:r>
      <w:r w:rsidR="004A4010" w:rsidRPr="00CA3A5E">
        <w:rPr>
          <w:rFonts w:cstheme="minorHAnsi"/>
          <w:i/>
        </w:rPr>
        <w:t>Leveraging MEA synergies in Peatland protection and restoration for climate outcomes</w:t>
      </w:r>
      <w:r w:rsidR="004A4010" w:rsidRPr="00CA3A5E">
        <w:rPr>
          <w:rFonts w:cstheme="minorHAnsi"/>
        </w:rPr>
        <w:t xml:space="preserve">, held on 10 November, also at the </w:t>
      </w:r>
      <w:r w:rsidR="00BF6A38" w:rsidRPr="00BF6A38">
        <w:rPr>
          <w:rFonts w:cstheme="minorHAnsi"/>
        </w:rPr>
        <w:t>Peatlands Pavilion</w:t>
      </w:r>
      <w:r w:rsidR="004A4010" w:rsidRPr="00BF6A38">
        <w:rPr>
          <w:rFonts w:cstheme="minorHAnsi"/>
        </w:rPr>
        <w:t>.</w:t>
      </w:r>
      <w:r w:rsidR="00520A78">
        <w:rPr>
          <w:rFonts w:cstheme="minorHAnsi"/>
        </w:rPr>
        <w:t xml:space="preserve"> </w:t>
      </w:r>
      <w:bookmarkStart w:id="1" w:name="_GoBack"/>
      <w:bookmarkEnd w:id="1"/>
      <w:r w:rsidR="004A4010" w:rsidRPr="00CA3A5E">
        <w:rPr>
          <w:rFonts w:cstheme="minorHAnsi"/>
        </w:rPr>
        <w:t>Secretariat staff also made contributions to a number of events organized by Contracting Parties to the Convention and other partners, including on the role of pe</w:t>
      </w:r>
      <w:r w:rsidR="0075040D">
        <w:rPr>
          <w:rFonts w:cstheme="minorHAnsi"/>
        </w:rPr>
        <w:t>a</w:t>
      </w:r>
      <w:r w:rsidR="004A4010" w:rsidRPr="00CA3A5E">
        <w:rPr>
          <w:rFonts w:cstheme="minorHAnsi"/>
        </w:rPr>
        <w:t xml:space="preserve">tlands and blue carbon in climate change adaptation and mitigation, coastal ecosystems, water stewardship, and transboundary wetlands. </w:t>
      </w:r>
    </w:p>
    <w:p w14:paraId="01F75780" w14:textId="77777777" w:rsidR="004A4010" w:rsidRPr="00CA3A5E" w:rsidRDefault="004A4010" w:rsidP="00CA3A5E">
      <w:pPr>
        <w:suppressAutoHyphens/>
        <w:spacing w:after="0" w:line="240" w:lineRule="auto"/>
        <w:ind w:left="425" w:hanging="425"/>
        <w:rPr>
          <w:rFonts w:eastAsia="Times New Roman" w:cstheme="minorHAnsi"/>
          <w:lang w:eastAsia="en-GB"/>
        </w:rPr>
      </w:pPr>
    </w:p>
    <w:p w14:paraId="3CEF43A3" w14:textId="77777777" w:rsidR="009C2848" w:rsidRPr="00CA3A5E" w:rsidRDefault="009C2848" w:rsidP="00CA3A5E">
      <w:pPr>
        <w:keepNext/>
        <w:spacing w:after="0" w:line="240" w:lineRule="auto"/>
        <w:ind w:left="425" w:hanging="425"/>
        <w:rPr>
          <w:rFonts w:eastAsia="Times New Roman" w:cstheme="minorHAnsi"/>
          <w:i/>
          <w:lang w:eastAsia="en-GB"/>
        </w:rPr>
      </w:pPr>
      <w:r w:rsidRPr="00CA3A5E">
        <w:rPr>
          <w:rFonts w:eastAsia="Times New Roman" w:cstheme="minorHAnsi"/>
          <w:i/>
          <w:lang w:eastAsia="en-GB"/>
        </w:rPr>
        <w:t>United Nations Convention to Combat Desertification</w:t>
      </w:r>
    </w:p>
    <w:p w14:paraId="42029C08" w14:textId="77777777" w:rsidR="009C2848" w:rsidRPr="00CA3A5E" w:rsidRDefault="009C2848" w:rsidP="00CA3A5E">
      <w:pPr>
        <w:keepNext/>
        <w:spacing w:after="0" w:line="240" w:lineRule="auto"/>
        <w:ind w:left="425" w:hanging="425"/>
        <w:rPr>
          <w:rFonts w:eastAsia="Times New Roman" w:cstheme="minorHAnsi"/>
          <w:lang w:eastAsia="en-GB"/>
        </w:rPr>
      </w:pPr>
    </w:p>
    <w:p w14:paraId="2997D0D2" w14:textId="19441C6E" w:rsidR="009C2848" w:rsidRDefault="0006611C" w:rsidP="0072338A">
      <w:pPr>
        <w:spacing w:after="0" w:line="240" w:lineRule="auto"/>
        <w:ind w:left="426" w:hanging="426"/>
        <w:rPr>
          <w:rFonts w:cstheme="minorHAnsi"/>
        </w:rPr>
      </w:pPr>
      <w:r w:rsidRPr="00CA3A5E">
        <w:rPr>
          <w:rFonts w:eastAsia="Times New Roman" w:cstheme="minorHAnsi"/>
          <w:lang w:eastAsia="en-GB"/>
        </w:rPr>
        <w:t>15</w:t>
      </w:r>
      <w:r w:rsidR="009C2848" w:rsidRPr="00CA3A5E">
        <w:rPr>
          <w:rFonts w:eastAsia="Times New Roman" w:cstheme="minorHAnsi"/>
          <w:lang w:eastAsia="en-GB"/>
        </w:rPr>
        <w:t>.</w:t>
      </w:r>
      <w:r w:rsidR="0006113B">
        <w:rPr>
          <w:rFonts w:eastAsia="Times New Roman" w:cstheme="minorHAnsi"/>
          <w:lang w:eastAsia="en-GB"/>
        </w:rPr>
        <w:tab/>
      </w:r>
      <w:r w:rsidR="00F65492" w:rsidRPr="00CA3A5E">
        <w:rPr>
          <w:rFonts w:cstheme="minorHAnsi"/>
        </w:rPr>
        <w:t xml:space="preserve">The Secretariat participated in the workshop </w:t>
      </w:r>
      <w:r w:rsidR="00F65492" w:rsidRPr="00CA3A5E">
        <w:rPr>
          <w:rFonts w:cstheme="minorHAnsi"/>
          <w:bCs/>
          <w:i/>
        </w:rPr>
        <w:t xml:space="preserve">Optimizing the use of </w:t>
      </w:r>
      <w:r w:rsidR="00F65492" w:rsidRPr="00CA3A5E">
        <w:rPr>
          <w:rFonts w:cstheme="minorHAnsi"/>
          <w:bCs/>
          <w:i/>
          <w:lang w:val="en-US"/>
        </w:rPr>
        <w:t xml:space="preserve">Sustainable Land Management, Ecosystem-based Adaptation and Ecosystem-based Disaster Risk Reduction </w:t>
      </w:r>
      <w:r w:rsidR="00F65492" w:rsidRPr="00CA3A5E">
        <w:rPr>
          <w:rFonts w:cstheme="minorHAnsi"/>
          <w:bCs/>
          <w:i/>
        </w:rPr>
        <w:t xml:space="preserve">to align </w:t>
      </w:r>
      <w:r w:rsidR="00F65492" w:rsidRPr="0006113B">
        <w:rPr>
          <w:rFonts w:cstheme="minorHAnsi"/>
          <w:bCs/>
          <w:i/>
          <w:lang w:val="en-US"/>
        </w:rPr>
        <w:t>Nature-based Solutions</w:t>
      </w:r>
      <w:r w:rsidR="00F65492" w:rsidRPr="00CA3A5E">
        <w:rPr>
          <w:rFonts w:cstheme="minorHAnsi"/>
          <w:bCs/>
          <w:lang w:val="en-US"/>
        </w:rPr>
        <w:t xml:space="preserve"> </w:t>
      </w:r>
      <w:r w:rsidR="00F65492" w:rsidRPr="00CA3A5E">
        <w:rPr>
          <w:rFonts w:cstheme="minorHAnsi"/>
          <w:bCs/>
          <w:i/>
        </w:rPr>
        <w:t>towards multi-goal oriented outcomes</w:t>
      </w:r>
      <w:r w:rsidR="00F65492" w:rsidRPr="00CA3A5E">
        <w:rPr>
          <w:rFonts w:cstheme="minorHAnsi"/>
          <w:bCs/>
        </w:rPr>
        <w:t xml:space="preserve">, held virtually on 29 July 2021. The workshop was </w:t>
      </w:r>
      <w:r w:rsidR="00F65492" w:rsidRPr="00CA3A5E">
        <w:rPr>
          <w:rFonts w:cstheme="minorHAnsi"/>
        </w:rPr>
        <w:t xml:space="preserve">organized under a project funded by UNCCD and implemented by </w:t>
      </w:r>
      <w:r w:rsidR="0006113B">
        <w:rPr>
          <w:rFonts w:cstheme="minorHAnsi"/>
        </w:rPr>
        <w:t xml:space="preserve">the </w:t>
      </w:r>
      <w:r w:rsidR="0006113B" w:rsidRPr="0006113B">
        <w:rPr>
          <w:rFonts w:cstheme="minorHAnsi"/>
        </w:rPr>
        <w:t>UNU Institute for Environment and Human Security (UNU-EHS)</w:t>
      </w:r>
      <w:r w:rsidR="00F65492" w:rsidRPr="00CA3A5E">
        <w:rPr>
          <w:rFonts w:cstheme="minorHAnsi"/>
        </w:rPr>
        <w:t xml:space="preserve">, resulting in publication of the </w:t>
      </w:r>
      <w:r w:rsidR="00A65EBD" w:rsidRPr="00CA3A5E">
        <w:rPr>
          <w:rFonts w:cstheme="minorHAnsi"/>
        </w:rPr>
        <w:t>report</w:t>
      </w:r>
      <w:r w:rsidR="00F65492" w:rsidRPr="00CA3A5E">
        <w:rPr>
          <w:rFonts w:cstheme="minorHAnsi"/>
          <w:bCs/>
          <w:lang w:val="en-US"/>
        </w:rPr>
        <w:t xml:space="preserve"> </w:t>
      </w:r>
      <w:r w:rsidR="00F65492" w:rsidRPr="0006113B">
        <w:rPr>
          <w:rFonts w:cstheme="minorHAnsi"/>
          <w:bCs/>
          <w:i/>
          <w:lang w:val="en-US"/>
        </w:rPr>
        <w:t>Coherence and Alignment among Sustainable Land Management, Ecosystem-based Adaptation, Ecosystem-based Disaster Risk Reduction and Nature-based Solutions.</w:t>
      </w:r>
      <w:r w:rsidR="00F65492" w:rsidRPr="00CA3A5E">
        <w:rPr>
          <w:rFonts w:cstheme="minorHAnsi"/>
          <w:bCs/>
          <w:lang w:val="en-US"/>
        </w:rPr>
        <w:t xml:space="preserve"> </w:t>
      </w:r>
      <w:r w:rsidR="00F65492" w:rsidRPr="00CA3A5E">
        <w:rPr>
          <w:rFonts w:cstheme="minorHAnsi"/>
        </w:rPr>
        <w:t>The Secretariat continued liaison with the UNCCD, including its Science-Policy Interface</w:t>
      </w:r>
      <w:r w:rsidR="0006113B">
        <w:rPr>
          <w:rFonts w:cstheme="minorHAnsi"/>
        </w:rPr>
        <w:t>,</w:t>
      </w:r>
      <w:r w:rsidR="00F65492" w:rsidRPr="00CA3A5E">
        <w:rPr>
          <w:rFonts w:cstheme="minorHAnsi"/>
        </w:rPr>
        <w:t xml:space="preserve"> and potential collaboration in relevant activities </w:t>
      </w:r>
      <w:r w:rsidR="00C41649" w:rsidRPr="00CA3A5E">
        <w:rPr>
          <w:rFonts w:cstheme="minorHAnsi"/>
        </w:rPr>
        <w:t xml:space="preserve">in line with Annex 1 of </w:t>
      </w:r>
      <w:r w:rsidR="0006113B">
        <w:rPr>
          <w:rFonts w:cstheme="minorHAnsi"/>
        </w:rPr>
        <w:t xml:space="preserve">document </w:t>
      </w:r>
      <w:r w:rsidR="00C41649" w:rsidRPr="00CA3A5E">
        <w:rPr>
          <w:rFonts w:cstheme="minorHAnsi"/>
        </w:rPr>
        <w:t>SC58</w:t>
      </w:r>
      <w:r w:rsidR="0006113B">
        <w:rPr>
          <w:rFonts w:cstheme="minorHAnsi"/>
        </w:rPr>
        <w:t xml:space="preserve"> Doc.</w:t>
      </w:r>
      <w:r w:rsidR="00C41649" w:rsidRPr="00CA3A5E">
        <w:rPr>
          <w:rFonts w:cstheme="minorHAnsi"/>
        </w:rPr>
        <w:t xml:space="preserve">18 including activities </w:t>
      </w:r>
      <w:r w:rsidR="00F65492" w:rsidRPr="00CA3A5E">
        <w:rPr>
          <w:rFonts w:cstheme="minorHAnsi"/>
        </w:rPr>
        <w:t xml:space="preserve">of the </w:t>
      </w:r>
      <w:r w:rsidR="0006113B">
        <w:rPr>
          <w:rFonts w:cstheme="minorHAnsi"/>
        </w:rPr>
        <w:t>STRP</w:t>
      </w:r>
      <w:r w:rsidR="00F65492" w:rsidRPr="00CA3A5E">
        <w:rPr>
          <w:rFonts w:cstheme="minorHAnsi"/>
        </w:rPr>
        <w:t xml:space="preserve">, as well as in relation to the </w:t>
      </w:r>
      <w:r w:rsidR="00F65492" w:rsidRPr="0006113B">
        <w:rPr>
          <w:rFonts w:cstheme="minorHAnsi"/>
          <w:i/>
        </w:rPr>
        <w:t>Global Wetlands Outlook Special Edition 2021</w:t>
      </w:r>
      <w:r w:rsidR="00F65492" w:rsidRPr="00CA3A5E">
        <w:rPr>
          <w:rFonts w:cstheme="minorHAnsi"/>
        </w:rPr>
        <w:t xml:space="preserve"> and the </w:t>
      </w:r>
      <w:r w:rsidR="00F65492" w:rsidRPr="0006113B">
        <w:rPr>
          <w:rFonts w:cstheme="minorHAnsi"/>
          <w:i/>
        </w:rPr>
        <w:t>Global Land Outlook</w:t>
      </w:r>
      <w:r w:rsidR="00F65492" w:rsidRPr="00CA3A5E">
        <w:rPr>
          <w:rFonts w:cstheme="minorHAnsi"/>
        </w:rPr>
        <w:t>.</w:t>
      </w:r>
      <w:r w:rsidR="00072FD9" w:rsidRPr="00CA3A5E">
        <w:rPr>
          <w:rFonts w:cstheme="minorHAnsi"/>
        </w:rPr>
        <w:t xml:space="preserve"> </w:t>
      </w:r>
    </w:p>
    <w:p w14:paraId="562A7E43" w14:textId="77777777" w:rsidR="0072338A" w:rsidRPr="0072338A" w:rsidRDefault="0072338A" w:rsidP="0072338A">
      <w:pPr>
        <w:spacing w:after="0" w:line="240" w:lineRule="auto"/>
        <w:ind w:left="426" w:hanging="426"/>
        <w:rPr>
          <w:rFonts w:cstheme="minorHAnsi"/>
        </w:rPr>
      </w:pPr>
    </w:p>
    <w:p w14:paraId="4032CC8D" w14:textId="77777777" w:rsidR="009C2848" w:rsidRPr="00CA3A5E" w:rsidRDefault="009C2848" w:rsidP="00CA3A5E">
      <w:pPr>
        <w:keepNext/>
        <w:spacing w:after="0" w:line="240" w:lineRule="auto"/>
        <w:ind w:left="425" w:hanging="425"/>
        <w:rPr>
          <w:rFonts w:eastAsia="Times New Roman" w:cstheme="minorHAnsi"/>
          <w:i/>
          <w:spacing w:val="-4"/>
          <w:lang w:eastAsia="en-GB"/>
        </w:rPr>
      </w:pPr>
      <w:r w:rsidRPr="00CA3A5E">
        <w:rPr>
          <w:rFonts w:eastAsia="Times New Roman" w:cstheme="minorHAnsi"/>
          <w:i/>
          <w:lang w:eastAsia="en-GB"/>
        </w:rPr>
        <w:lastRenderedPageBreak/>
        <w:t>Convention on the Protection and Use of Transboundary Watercourses and International Lakes</w:t>
      </w:r>
    </w:p>
    <w:p w14:paraId="77DE02E7" w14:textId="77777777" w:rsidR="009C2848" w:rsidRPr="00CA3A5E" w:rsidRDefault="009C2848" w:rsidP="00CA3A5E">
      <w:pPr>
        <w:keepNext/>
        <w:spacing w:after="0" w:line="240" w:lineRule="auto"/>
        <w:ind w:left="425" w:hanging="425"/>
        <w:rPr>
          <w:rFonts w:eastAsia="Times New Roman" w:cstheme="minorHAnsi"/>
          <w:spacing w:val="-4"/>
          <w:lang w:eastAsia="en-GB"/>
        </w:rPr>
      </w:pPr>
    </w:p>
    <w:p w14:paraId="57564883" w14:textId="1F96C0FD" w:rsidR="00F65492" w:rsidRPr="00CA3A5E" w:rsidRDefault="0006611C" w:rsidP="00CA3A5E">
      <w:pPr>
        <w:tabs>
          <w:tab w:val="left" w:pos="426"/>
        </w:tabs>
        <w:spacing w:after="0" w:line="240" w:lineRule="auto"/>
        <w:ind w:left="425" w:hanging="425"/>
        <w:rPr>
          <w:rFonts w:eastAsia="Times New Roman" w:cstheme="minorHAnsi"/>
          <w:lang w:eastAsia="en-GB"/>
        </w:rPr>
      </w:pPr>
      <w:r w:rsidRPr="00CA3A5E">
        <w:rPr>
          <w:rFonts w:eastAsia="Times New Roman" w:cstheme="minorHAnsi"/>
          <w:lang w:eastAsia="en-GB"/>
        </w:rPr>
        <w:t>16.</w:t>
      </w:r>
      <w:r w:rsidR="009C2848" w:rsidRPr="00CA3A5E">
        <w:rPr>
          <w:rFonts w:eastAsia="Times New Roman" w:cstheme="minorHAnsi"/>
          <w:lang w:eastAsia="en-GB"/>
        </w:rPr>
        <w:tab/>
      </w:r>
      <w:r w:rsidR="00F65492" w:rsidRPr="00CA3A5E">
        <w:rPr>
          <w:rFonts w:eastAsia="Times New Roman" w:cstheme="minorHAnsi"/>
          <w:lang w:eastAsia="en-GB"/>
        </w:rPr>
        <w:t xml:space="preserve">The Secretariat participated in the </w:t>
      </w:r>
      <w:r w:rsidR="00F65492" w:rsidRPr="0006113B">
        <w:rPr>
          <w:rFonts w:eastAsia="Times New Roman" w:cstheme="minorHAnsi"/>
          <w:lang w:eastAsia="en-GB"/>
        </w:rPr>
        <w:t>9th</w:t>
      </w:r>
      <w:r w:rsidR="00F65492" w:rsidRPr="00CA3A5E">
        <w:rPr>
          <w:rFonts w:eastAsia="Times New Roman" w:cstheme="minorHAnsi"/>
          <w:lang w:eastAsia="en-GB"/>
        </w:rPr>
        <w:t xml:space="preserve"> session of the Meeting of the Parties of the UN Water Convention from </w:t>
      </w:r>
      <w:r w:rsidR="00F65492" w:rsidRPr="00CA3A5E">
        <w:rPr>
          <w:rFonts w:cstheme="minorHAnsi"/>
        </w:rPr>
        <w:t>29 September to 1 October 2021, noting the opportunities for synergies and cooperation in river basins with active programmes of transboundary cooperation, notably those covered by the Ramsar Regional Initiatives focusing on the Amazon, La Plata, Niger and Senegal river basins, Central and Eastern Africa</w:t>
      </w:r>
      <w:r w:rsidR="0006113B">
        <w:rPr>
          <w:rFonts w:cstheme="minorHAnsi"/>
        </w:rPr>
        <w:t>,</w:t>
      </w:r>
      <w:r w:rsidR="00F65492" w:rsidRPr="00CA3A5E">
        <w:rPr>
          <w:rFonts w:cstheme="minorHAnsi"/>
        </w:rPr>
        <w:t xml:space="preserve"> Central Asia and West Asia.</w:t>
      </w:r>
    </w:p>
    <w:p w14:paraId="42E0FFDD" w14:textId="77777777" w:rsidR="00F65492" w:rsidRPr="00CA3A5E" w:rsidRDefault="00F65492" w:rsidP="00CA3A5E">
      <w:pPr>
        <w:tabs>
          <w:tab w:val="left" w:pos="426"/>
        </w:tabs>
        <w:spacing w:after="0" w:line="240" w:lineRule="auto"/>
        <w:ind w:left="425" w:hanging="425"/>
        <w:rPr>
          <w:rFonts w:eastAsia="Times New Roman" w:cstheme="minorHAnsi"/>
          <w:lang w:eastAsia="en-GB"/>
        </w:rPr>
      </w:pPr>
    </w:p>
    <w:p w14:paraId="4BC97EF6" w14:textId="3E26C9F3" w:rsidR="00FB5F08" w:rsidRPr="00CA3A5E" w:rsidRDefault="002E2FD5" w:rsidP="00CA3A5E">
      <w:pPr>
        <w:keepNext/>
        <w:tabs>
          <w:tab w:val="left" w:pos="426"/>
        </w:tabs>
        <w:spacing w:after="0" w:line="240" w:lineRule="auto"/>
        <w:ind w:left="425" w:hanging="425"/>
        <w:rPr>
          <w:rFonts w:cstheme="minorHAnsi"/>
          <w:bCs/>
          <w:i/>
          <w:lang w:val="en-US"/>
        </w:rPr>
      </w:pPr>
      <w:r w:rsidRPr="00CA3A5E">
        <w:rPr>
          <w:rFonts w:cstheme="minorHAnsi"/>
          <w:bCs/>
          <w:i/>
          <w:lang w:val="en-US"/>
        </w:rPr>
        <w:t>Inter-American Convention for the Protection and Conservation of Sea Turtles (IAC)</w:t>
      </w:r>
    </w:p>
    <w:p w14:paraId="711E3542" w14:textId="77777777" w:rsidR="002A7D94" w:rsidRPr="00EB5D3E" w:rsidRDefault="002A7D94" w:rsidP="00CA3A5E">
      <w:pPr>
        <w:keepNext/>
        <w:tabs>
          <w:tab w:val="left" w:pos="426"/>
        </w:tabs>
        <w:spacing w:after="0" w:line="240" w:lineRule="auto"/>
        <w:ind w:left="425" w:hanging="425"/>
        <w:rPr>
          <w:rFonts w:cstheme="minorHAnsi"/>
        </w:rPr>
      </w:pPr>
    </w:p>
    <w:p w14:paraId="1C65FFD3" w14:textId="6F46769A" w:rsidR="002E2FD5" w:rsidRPr="00CA3A5E" w:rsidRDefault="0006611C" w:rsidP="00CA3A5E">
      <w:pPr>
        <w:tabs>
          <w:tab w:val="left" w:pos="426"/>
        </w:tabs>
        <w:spacing w:after="0" w:line="240" w:lineRule="auto"/>
        <w:ind w:left="426" w:hanging="426"/>
        <w:rPr>
          <w:rFonts w:cstheme="minorHAnsi"/>
          <w:lang w:val="en-US"/>
        </w:rPr>
      </w:pPr>
      <w:r w:rsidRPr="00CA3A5E">
        <w:rPr>
          <w:rFonts w:cstheme="minorHAnsi"/>
          <w:lang w:val="en-US"/>
        </w:rPr>
        <w:t>17</w:t>
      </w:r>
      <w:r w:rsidR="00981D9A" w:rsidRPr="00CA3A5E">
        <w:rPr>
          <w:rFonts w:cstheme="minorHAnsi"/>
          <w:lang w:val="en-US"/>
        </w:rPr>
        <w:t>.</w:t>
      </w:r>
      <w:r w:rsidR="00981D9A" w:rsidRPr="00CA3A5E">
        <w:rPr>
          <w:rFonts w:cstheme="minorHAnsi"/>
          <w:lang w:val="en-US"/>
        </w:rPr>
        <w:tab/>
      </w:r>
      <w:r w:rsidR="00E06383" w:rsidRPr="00CA3A5E">
        <w:rPr>
          <w:rFonts w:cstheme="minorHAnsi"/>
          <w:lang w:val="en-US"/>
        </w:rPr>
        <w:t xml:space="preserve">Under the MOU signed in </w:t>
      </w:r>
      <w:r w:rsidR="007B0336" w:rsidRPr="00CA3A5E">
        <w:rPr>
          <w:rFonts w:cstheme="minorHAnsi"/>
          <w:lang w:val="en-US"/>
        </w:rPr>
        <w:t>2020</w:t>
      </w:r>
      <w:r w:rsidR="0006113B">
        <w:rPr>
          <w:rFonts w:cstheme="minorHAnsi"/>
          <w:lang w:val="en-US"/>
        </w:rPr>
        <w:t>,</w:t>
      </w:r>
      <w:r w:rsidR="007B0336" w:rsidRPr="00CA3A5E">
        <w:rPr>
          <w:rFonts w:cstheme="minorHAnsi"/>
          <w:lang w:val="en-US"/>
        </w:rPr>
        <w:t xml:space="preserve"> </w:t>
      </w:r>
      <w:r w:rsidR="00E06383" w:rsidRPr="00CA3A5E">
        <w:rPr>
          <w:rFonts w:cstheme="minorHAnsi"/>
          <w:lang w:val="en-US"/>
        </w:rPr>
        <w:t>t</w:t>
      </w:r>
      <w:r w:rsidR="002E2FD5" w:rsidRPr="00CA3A5E">
        <w:rPr>
          <w:rFonts w:cstheme="minorHAnsi"/>
          <w:lang w:val="en-US"/>
        </w:rPr>
        <w:t>he Secretar</w:t>
      </w:r>
      <w:r w:rsidR="00E06383" w:rsidRPr="00CA3A5E">
        <w:rPr>
          <w:rFonts w:cstheme="minorHAnsi"/>
          <w:lang w:val="en-US"/>
        </w:rPr>
        <w:t xml:space="preserve">iat </w:t>
      </w:r>
      <w:r w:rsidR="002E2FD5" w:rsidRPr="00CA3A5E">
        <w:rPr>
          <w:rFonts w:cstheme="minorHAnsi"/>
          <w:lang w:val="en-US"/>
        </w:rPr>
        <w:t xml:space="preserve">of the Convention on Wetlands and the Secretary </w:t>
      </w:r>
      <w:r w:rsidR="002E2FD5" w:rsidRPr="00CA3A5E">
        <w:rPr>
          <w:rFonts w:cstheme="minorHAnsi"/>
          <w:i/>
          <w:lang w:val="en-US"/>
        </w:rPr>
        <w:t>pro tempore</w:t>
      </w:r>
      <w:r w:rsidR="002E2FD5" w:rsidRPr="00CA3A5E">
        <w:rPr>
          <w:rFonts w:cstheme="minorHAnsi"/>
          <w:lang w:val="en-US"/>
        </w:rPr>
        <w:t xml:space="preserve"> of the Inter-American Convention for the Protection and Conservation of Sea Turtles </w:t>
      </w:r>
      <w:r w:rsidR="007B0336" w:rsidRPr="00CA3A5E">
        <w:rPr>
          <w:rFonts w:cstheme="minorHAnsi"/>
          <w:lang w:val="en-US"/>
        </w:rPr>
        <w:t xml:space="preserve">continue exchanging information on relevant activities and materials to enable the listing of Wetlands of International Importance that are important for sea turtles. </w:t>
      </w:r>
    </w:p>
    <w:p w14:paraId="4FDE46C7" w14:textId="43C7FA9D" w:rsidR="008E4A4B" w:rsidRPr="00CA3A5E" w:rsidRDefault="008E4A4B" w:rsidP="00CA3A5E">
      <w:pPr>
        <w:spacing w:after="0" w:line="240" w:lineRule="auto"/>
        <w:rPr>
          <w:rFonts w:cstheme="minorHAnsi"/>
          <w:lang w:val="en-US"/>
        </w:rPr>
      </w:pPr>
    </w:p>
    <w:p w14:paraId="3930AE64" w14:textId="3E47F30F" w:rsidR="009C2848" w:rsidRPr="00CA3A5E" w:rsidRDefault="009C2848" w:rsidP="00CA3A5E">
      <w:pPr>
        <w:keepNext/>
        <w:spacing w:after="0" w:line="240" w:lineRule="auto"/>
        <w:ind w:left="357" w:hanging="357"/>
        <w:rPr>
          <w:rFonts w:eastAsia="Times New Roman" w:cstheme="minorHAnsi"/>
          <w:b/>
          <w:bCs/>
          <w:lang w:eastAsia="en-GB"/>
        </w:rPr>
      </w:pPr>
      <w:r w:rsidRPr="00CA3A5E">
        <w:rPr>
          <w:rFonts w:eastAsia="Times New Roman" w:cstheme="minorHAnsi"/>
          <w:b/>
          <w:bCs/>
          <w:lang w:eastAsia="en-GB"/>
        </w:rPr>
        <w:t>Sustainable Development Goals</w:t>
      </w:r>
    </w:p>
    <w:p w14:paraId="1B9F1144" w14:textId="77777777" w:rsidR="009C2848" w:rsidRPr="00CA3A5E" w:rsidRDefault="009C2848" w:rsidP="00CA3A5E">
      <w:pPr>
        <w:keepNext/>
        <w:autoSpaceDE w:val="0"/>
        <w:autoSpaceDN w:val="0"/>
        <w:adjustRightInd w:val="0"/>
        <w:spacing w:after="0" w:line="240" w:lineRule="auto"/>
        <w:ind w:left="357" w:hanging="357"/>
        <w:rPr>
          <w:rFonts w:eastAsia="Times New Roman" w:cstheme="minorHAnsi"/>
          <w:bCs/>
          <w:lang w:eastAsia="en-GB"/>
        </w:rPr>
      </w:pPr>
    </w:p>
    <w:p w14:paraId="40661680" w14:textId="2CBB5C0F" w:rsidR="009C2848" w:rsidRPr="00CA3A5E" w:rsidRDefault="0006611C"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18</w:t>
      </w:r>
      <w:r w:rsidR="009C2848" w:rsidRPr="00CA3A5E">
        <w:rPr>
          <w:rFonts w:eastAsia="Times New Roman" w:cstheme="minorHAnsi"/>
          <w:lang w:eastAsia="en-GB"/>
        </w:rPr>
        <w:t>.</w:t>
      </w:r>
      <w:r w:rsidR="009C2848" w:rsidRPr="00CA3A5E">
        <w:rPr>
          <w:rFonts w:eastAsia="Times New Roman" w:cstheme="minorHAnsi"/>
          <w:lang w:eastAsia="en-GB"/>
        </w:rPr>
        <w:tab/>
        <w:t xml:space="preserve">In accordance with Decision SC53-17 and Resolution XIII.7, the Secretariat continues </w:t>
      </w:r>
      <w:r w:rsidR="00142378" w:rsidRPr="00CA3A5E">
        <w:rPr>
          <w:rFonts w:eastAsia="Times New Roman" w:cstheme="minorHAnsi"/>
          <w:lang w:eastAsia="en-GB"/>
        </w:rPr>
        <w:t xml:space="preserve">to actively engage </w:t>
      </w:r>
      <w:r w:rsidR="009C2848" w:rsidRPr="00CA3A5E">
        <w:rPr>
          <w:rFonts w:eastAsia="Times New Roman" w:cstheme="minorHAnsi"/>
          <w:lang w:eastAsia="en-GB"/>
        </w:rPr>
        <w:t>in ongoing work on the SDGs, including in the meetings of the Inter-Agency and Expert Group on Sustainable Development Goal Indicators (IAEG-SDGs)</w:t>
      </w:r>
      <w:r w:rsidR="007B73E8" w:rsidRPr="00CA3A5E">
        <w:rPr>
          <w:rFonts w:eastAsia="Times New Roman" w:cstheme="minorHAnsi"/>
          <w:lang w:eastAsia="en-GB"/>
        </w:rPr>
        <w:t xml:space="preserve"> as co-custodian </w:t>
      </w:r>
      <w:r w:rsidR="007B73E8" w:rsidRPr="00CA3A5E">
        <w:rPr>
          <w:rFonts w:cstheme="minorHAnsi"/>
          <w:lang w:val="en-US"/>
        </w:rPr>
        <w:t xml:space="preserve">of SDG 6 </w:t>
      </w:r>
      <w:r w:rsidR="00877D5C">
        <w:rPr>
          <w:rFonts w:cstheme="minorHAnsi"/>
          <w:lang w:val="en-US"/>
        </w:rPr>
        <w:t>(on “</w:t>
      </w:r>
      <w:r w:rsidR="00877D5C">
        <w:rPr>
          <w:rFonts w:eastAsia="Times New Roman" w:cstheme="minorHAnsi"/>
          <w:lang w:eastAsia="en-GB"/>
        </w:rPr>
        <w:t xml:space="preserve">Water and Sanitation”) </w:t>
      </w:r>
      <w:r w:rsidR="007B73E8" w:rsidRPr="00CA3A5E">
        <w:rPr>
          <w:rFonts w:cstheme="minorHAnsi"/>
          <w:lang w:val="en-US"/>
        </w:rPr>
        <w:t xml:space="preserve">Indicator 6.6.1 (on </w:t>
      </w:r>
      <w:r w:rsidR="00877D5C">
        <w:rPr>
          <w:rFonts w:cstheme="minorHAnsi"/>
          <w:lang w:val="en-US"/>
        </w:rPr>
        <w:t>“</w:t>
      </w:r>
      <w:r w:rsidR="007B73E8" w:rsidRPr="00CA3A5E">
        <w:rPr>
          <w:rFonts w:cstheme="minorHAnsi"/>
          <w:lang w:val="en-US"/>
        </w:rPr>
        <w:t>change in extent of water-related ecosystems</w:t>
      </w:r>
      <w:r w:rsidR="00877D5C">
        <w:rPr>
          <w:rFonts w:cstheme="minorHAnsi"/>
          <w:lang w:val="en-US"/>
        </w:rPr>
        <w:t xml:space="preserve"> over time”</w:t>
      </w:r>
      <w:r w:rsidR="007B73E8" w:rsidRPr="00CA3A5E">
        <w:rPr>
          <w:rFonts w:cstheme="minorHAnsi"/>
          <w:lang w:val="en-US"/>
        </w:rPr>
        <w:t>)</w:t>
      </w:r>
      <w:r w:rsidR="009C2848" w:rsidRPr="00CA3A5E">
        <w:rPr>
          <w:rFonts w:eastAsia="Times New Roman" w:cstheme="minorHAnsi"/>
          <w:lang w:eastAsia="en-GB"/>
        </w:rPr>
        <w:t>.</w:t>
      </w:r>
    </w:p>
    <w:p w14:paraId="2779FA34" w14:textId="77777777" w:rsidR="009C2848" w:rsidRPr="00CA3A5E" w:rsidRDefault="009C2848" w:rsidP="00CA3A5E">
      <w:pPr>
        <w:spacing w:after="0" w:line="240" w:lineRule="auto"/>
        <w:ind w:left="425" w:hanging="425"/>
        <w:rPr>
          <w:rFonts w:eastAsia="Times New Roman" w:cstheme="minorHAnsi"/>
          <w:lang w:eastAsia="en-GB"/>
        </w:rPr>
      </w:pPr>
    </w:p>
    <w:p w14:paraId="34141804" w14:textId="514E2DED" w:rsidR="00CC352B" w:rsidRDefault="0006611C" w:rsidP="00B37B81">
      <w:pPr>
        <w:spacing w:after="0" w:line="240" w:lineRule="auto"/>
        <w:ind w:left="425" w:hanging="425"/>
        <w:rPr>
          <w:rFonts w:cstheme="minorHAnsi"/>
        </w:rPr>
      </w:pPr>
      <w:r w:rsidRPr="00CA3A5E">
        <w:rPr>
          <w:rFonts w:eastAsia="Times New Roman" w:cstheme="minorHAnsi"/>
          <w:lang w:eastAsia="en-GB"/>
        </w:rPr>
        <w:t>19</w:t>
      </w:r>
      <w:r w:rsidR="009C2848" w:rsidRPr="00CA3A5E">
        <w:rPr>
          <w:rFonts w:eastAsia="Times New Roman" w:cstheme="minorHAnsi"/>
          <w:lang w:eastAsia="en-GB"/>
        </w:rPr>
        <w:t>.</w:t>
      </w:r>
      <w:r w:rsidR="009C2848" w:rsidRPr="00CA3A5E">
        <w:rPr>
          <w:rFonts w:eastAsia="Times New Roman" w:cstheme="minorHAnsi"/>
          <w:lang w:eastAsia="en-GB"/>
        </w:rPr>
        <w:tab/>
        <w:t xml:space="preserve">In this context, the Secretariat participated </w:t>
      </w:r>
      <w:r w:rsidR="00C9113E" w:rsidRPr="00CA3A5E">
        <w:rPr>
          <w:rFonts w:eastAsia="Times New Roman" w:cstheme="minorHAnsi"/>
          <w:lang w:eastAsia="en-GB"/>
        </w:rPr>
        <w:t>in the 12th meeting of the IAEG-SDGs, which took place virtually from 2 to 4 November 2021. The main outcomes of this meeting were</w:t>
      </w:r>
      <w:r w:rsidR="007F58BC" w:rsidRPr="00CA3A5E">
        <w:rPr>
          <w:rFonts w:cstheme="minorHAnsi"/>
        </w:rPr>
        <w:t xml:space="preserve">: i) review </w:t>
      </w:r>
      <w:r w:rsidR="00C9113E" w:rsidRPr="00CA3A5E">
        <w:rPr>
          <w:rFonts w:cstheme="minorHAnsi"/>
        </w:rPr>
        <w:t xml:space="preserve">and update </w:t>
      </w:r>
      <w:r w:rsidR="007F58BC" w:rsidRPr="00CA3A5E">
        <w:rPr>
          <w:rFonts w:cstheme="minorHAnsi"/>
        </w:rPr>
        <w:t>of the tier classification of indicators</w:t>
      </w:r>
      <w:r w:rsidR="00B37B81">
        <w:rPr>
          <w:rFonts w:cstheme="minorHAnsi"/>
        </w:rPr>
        <w:t>;</w:t>
      </w:r>
      <w:r w:rsidR="007F58BC" w:rsidRPr="00CA3A5E">
        <w:rPr>
          <w:rFonts w:cstheme="minorHAnsi"/>
        </w:rPr>
        <w:t xml:space="preserve"> ii) review the refinement proposals of the global SDG framework</w:t>
      </w:r>
      <w:r w:rsidR="00B37B81">
        <w:rPr>
          <w:rFonts w:cstheme="minorHAnsi"/>
        </w:rPr>
        <w:t>;</w:t>
      </w:r>
      <w:r w:rsidR="007F58BC" w:rsidRPr="00CA3A5E">
        <w:rPr>
          <w:rFonts w:cstheme="minorHAnsi"/>
        </w:rPr>
        <w:t xml:space="preserve"> iii) discuss the </w:t>
      </w:r>
      <w:r w:rsidR="00C9113E" w:rsidRPr="00CA3A5E">
        <w:rPr>
          <w:rFonts w:cstheme="minorHAnsi"/>
        </w:rPr>
        <w:t>work of the IAEG-SDG</w:t>
      </w:r>
      <w:r w:rsidR="000954B9">
        <w:rPr>
          <w:rFonts w:cstheme="minorHAnsi"/>
        </w:rPr>
        <w:t>s</w:t>
      </w:r>
      <w:r w:rsidR="00C9113E" w:rsidRPr="00CA3A5E">
        <w:rPr>
          <w:rFonts w:cstheme="minorHAnsi"/>
        </w:rPr>
        <w:t xml:space="preserve"> sub-group on metadata review</w:t>
      </w:r>
      <w:r w:rsidR="00B37B81">
        <w:rPr>
          <w:rFonts w:cstheme="minorHAnsi"/>
        </w:rPr>
        <w:t>;</w:t>
      </w:r>
      <w:r w:rsidR="00C9113E" w:rsidRPr="00CA3A5E">
        <w:rPr>
          <w:rFonts w:cstheme="minorHAnsi"/>
        </w:rPr>
        <w:t xml:space="preserve"> iv) </w:t>
      </w:r>
      <w:r w:rsidR="00B37B81">
        <w:rPr>
          <w:rFonts w:cstheme="minorHAnsi"/>
          <w:lang w:val="en-US"/>
        </w:rPr>
        <w:t>r</w:t>
      </w:r>
      <w:r w:rsidR="00B37B81" w:rsidRPr="00CA3A5E">
        <w:rPr>
          <w:rFonts w:cstheme="minorHAnsi"/>
        </w:rPr>
        <w:t xml:space="preserve">eview </w:t>
      </w:r>
      <w:r w:rsidR="00C9113E" w:rsidRPr="00CA3A5E">
        <w:rPr>
          <w:rFonts w:cstheme="minorHAnsi"/>
        </w:rPr>
        <w:t>the work of the working groups of the IAEG-SDGs</w:t>
      </w:r>
      <w:r w:rsidR="00B37B81">
        <w:rPr>
          <w:rFonts w:cstheme="minorHAnsi"/>
        </w:rPr>
        <w:t>;</w:t>
      </w:r>
      <w:r w:rsidR="00C9113E" w:rsidRPr="00CA3A5E">
        <w:rPr>
          <w:rFonts w:cstheme="minorHAnsi"/>
        </w:rPr>
        <w:t xml:space="preserve"> v) share best practices on implementation, monitoring and reporting on SDGs, including national, regional, and global SDG reporting</w:t>
      </w:r>
      <w:r w:rsidR="00B37B81">
        <w:rPr>
          <w:rFonts w:cstheme="minorHAnsi"/>
        </w:rPr>
        <w:t>; and</w:t>
      </w:r>
      <w:r w:rsidR="00CC352B" w:rsidRPr="00CA3A5E">
        <w:rPr>
          <w:rFonts w:cstheme="minorHAnsi"/>
        </w:rPr>
        <w:t xml:space="preserve"> vi) </w:t>
      </w:r>
      <w:r w:rsidR="00B37B81">
        <w:rPr>
          <w:rFonts w:cstheme="minorHAnsi"/>
          <w:lang w:val="en-US"/>
        </w:rPr>
        <w:t>r</w:t>
      </w:r>
      <w:r w:rsidR="00B37B81" w:rsidRPr="00CA3A5E">
        <w:rPr>
          <w:rFonts w:cstheme="minorHAnsi"/>
        </w:rPr>
        <w:t xml:space="preserve">eview </w:t>
      </w:r>
      <w:r w:rsidR="00C9113E" w:rsidRPr="00CA3A5E">
        <w:rPr>
          <w:rFonts w:cstheme="minorHAnsi"/>
        </w:rPr>
        <w:t>the workplan and next steps of the IAEG-SDGs.</w:t>
      </w:r>
    </w:p>
    <w:p w14:paraId="59ECBB1D" w14:textId="77777777" w:rsidR="00EB5D3E" w:rsidRPr="00CA3A5E" w:rsidRDefault="00EB5D3E" w:rsidP="00EB5D3E">
      <w:pPr>
        <w:spacing w:after="0" w:line="240" w:lineRule="auto"/>
        <w:rPr>
          <w:rFonts w:cstheme="minorHAnsi"/>
        </w:rPr>
      </w:pPr>
    </w:p>
    <w:p w14:paraId="3EAF7836" w14:textId="0DC13A30" w:rsidR="001052EE" w:rsidRPr="00CA3A5E" w:rsidRDefault="0006611C" w:rsidP="00CA3A5E">
      <w:pPr>
        <w:spacing w:after="0" w:line="240" w:lineRule="auto"/>
        <w:ind w:left="426" w:hanging="426"/>
        <w:rPr>
          <w:rFonts w:cstheme="minorHAnsi"/>
        </w:rPr>
      </w:pPr>
      <w:r w:rsidRPr="00CA3A5E">
        <w:rPr>
          <w:rFonts w:cstheme="minorHAnsi"/>
        </w:rPr>
        <w:t>20.</w:t>
      </w:r>
      <w:r w:rsidR="00EB5D3E">
        <w:rPr>
          <w:rFonts w:cstheme="minorHAnsi"/>
        </w:rPr>
        <w:tab/>
      </w:r>
      <w:r w:rsidR="00CC352B" w:rsidRPr="00CA3A5E">
        <w:rPr>
          <w:rFonts w:cstheme="minorHAnsi"/>
        </w:rPr>
        <w:t xml:space="preserve">As was the case for the </w:t>
      </w:r>
      <w:r w:rsidR="000954B9" w:rsidRPr="00CA3A5E">
        <w:rPr>
          <w:rFonts w:cstheme="minorHAnsi"/>
        </w:rPr>
        <w:t>High</w:t>
      </w:r>
      <w:r w:rsidR="000954B9">
        <w:rPr>
          <w:rFonts w:cstheme="minorHAnsi"/>
        </w:rPr>
        <w:t>-</w:t>
      </w:r>
      <w:r w:rsidR="00CC352B" w:rsidRPr="00CA3A5E">
        <w:rPr>
          <w:rFonts w:cstheme="minorHAnsi"/>
        </w:rPr>
        <w:t>Level Political Forum on Sustainable Development 2021, the Secretariat is preparing a joint storyline with UNEP for the UN Secretary General</w:t>
      </w:r>
      <w:r w:rsidR="00B37B81">
        <w:rPr>
          <w:rFonts w:cstheme="minorHAnsi"/>
        </w:rPr>
        <w:t>’s</w:t>
      </w:r>
      <w:r w:rsidR="00CC352B" w:rsidRPr="00CA3A5E">
        <w:rPr>
          <w:rFonts w:cstheme="minorHAnsi"/>
        </w:rPr>
        <w:t xml:space="preserve"> Report to the </w:t>
      </w:r>
      <w:r w:rsidR="00B37B81" w:rsidRPr="00CA3A5E">
        <w:rPr>
          <w:rFonts w:cstheme="minorHAnsi"/>
        </w:rPr>
        <w:t>High</w:t>
      </w:r>
      <w:r w:rsidR="00B37B81">
        <w:rPr>
          <w:rFonts w:cstheme="minorHAnsi"/>
        </w:rPr>
        <w:t>-</w:t>
      </w:r>
      <w:r w:rsidR="00CC352B" w:rsidRPr="00CA3A5E">
        <w:rPr>
          <w:rFonts w:cstheme="minorHAnsi"/>
        </w:rPr>
        <w:t xml:space="preserve">Level Political Forum in July 2022. The Secretariat also continues </w:t>
      </w:r>
      <w:r w:rsidR="00B37B81">
        <w:rPr>
          <w:rFonts w:cstheme="minorHAnsi"/>
        </w:rPr>
        <w:t xml:space="preserve">to </w:t>
      </w:r>
      <w:r w:rsidR="00CC352B" w:rsidRPr="00CA3A5E">
        <w:rPr>
          <w:rFonts w:cstheme="minorHAnsi"/>
        </w:rPr>
        <w:t>engage with UN Water on the work programme for SDG 6</w:t>
      </w:r>
      <w:r w:rsidR="00085324" w:rsidRPr="00CA3A5E">
        <w:rPr>
          <w:rFonts w:cstheme="minorHAnsi"/>
        </w:rPr>
        <w:t xml:space="preserve">. </w:t>
      </w:r>
    </w:p>
    <w:p w14:paraId="0BA8EE24" w14:textId="77777777" w:rsidR="001052EE" w:rsidRPr="00CA3A5E" w:rsidRDefault="001052EE" w:rsidP="00EB5D3E">
      <w:pPr>
        <w:spacing w:after="0" w:line="240" w:lineRule="auto"/>
        <w:rPr>
          <w:rFonts w:cstheme="minorHAnsi"/>
        </w:rPr>
      </w:pPr>
    </w:p>
    <w:p w14:paraId="27ED9274" w14:textId="3DB00D19" w:rsidR="00E33BA8" w:rsidRPr="00CA3A5E" w:rsidRDefault="0006611C" w:rsidP="00CA3A5E">
      <w:pPr>
        <w:spacing w:after="0" w:line="240" w:lineRule="auto"/>
        <w:ind w:left="425" w:hanging="425"/>
        <w:rPr>
          <w:rFonts w:eastAsia="Times New Roman" w:cstheme="minorHAnsi"/>
          <w:lang w:eastAsia="en-GB"/>
        </w:rPr>
      </w:pPr>
      <w:r w:rsidRPr="00CA3A5E">
        <w:rPr>
          <w:rFonts w:cstheme="minorHAnsi"/>
          <w:lang w:val="en-US"/>
        </w:rPr>
        <w:t>21.</w:t>
      </w:r>
      <w:r w:rsidRPr="00CA3A5E">
        <w:rPr>
          <w:rFonts w:cstheme="minorHAnsi"/>
          <w:lang w:val="en-US"/>
        </w:rPr>
        <w:tab/>
      </w:r>
      <w:r w:rsidR="001052EE" w:rsidRPr="00CA3A5E">
        <w:rPr>
          <w:rFonts w:cstheme="minorHAnsi"/>
          <w:lang w:val="en-US"/>
        </w:rPr>
        <w:t xml:space="preserve">In line with Resolution XIII.7 and Decision SC57-47 on wetland inventories, the Secretariat continues </w:t>
      </w:r>
      <w:r w:rsidR="00B37B81">
        <w:rPr>
          <w:rFonts w:cstheme="minorHAnsi"/>
          <w:lang w:val="en-US"/>
        </w:rPr>
        <w:t xml:space="preserve">to </w:t>
      </w:r>
      <w:r w:rsidR="001052EE" w:rsidRPr="00CA3A5E">
        <w:rPr>
          <w:rFonts w:cstheme="minorHAnsi"/>
          <w:lang w:val="en-US"/>
        </w:rPr>
        <w:t xml:space="preserve">work with Contracting Parties to complete and refine information on wetland extent that was submitted in National Reports. </w:t>
      </w:r>
      <w:r w:rsidR="001052EE" w:rsidRPr="00CA3A5E">
        <w:rPr>
          <w:rFonts w:cstheme="minorHAnsi"/>
        </w:rPr>
        <w:t>Further efforts are ongoing to support Contracting Parties on the development of wetlands inventories and collect</w:t>
      </w:r>
      <w:r w:rsidR="00B37B81">
        <w:rPr>
          <w:rFonts w:cstheme="minorHAnsi"/>
        </w:rPr>
        <w:t>ion of</w:t>
      </w:r>
      <w:r w:rsidR="001052EE" w:rsidRPr="00CA3A5E">
        <w:rPr>
          <w:rFonts w:cstheme="minorHAnsi"/>
        </w:rPr>
        <w:t xml:space="preserve"> missing data on wetland extent to report on SDG 6 Indicator 6.6.1.</w:t>
      </w:r>
      <w:r w:rsidR="00072FD9" w:rsidRPr="00CA3A5E">
        <w:rPr>
          <w:rFonts w:cstheme="minorHAnsi"/>
        </w:rPr>
        <w:t xml:space="preserve"> </w:t>
      </w:r>
      <w:r w:rsidR="001052EE" w:rsidRPr="00CA3A5E">
        <w:rPr>
          <w:rFonts w:cstheme="minorHAnsi"/>
        </w:rPr>
        <w:t>In this regard, a</w:t>
      </w:r>
      <w:r w:rsidR="00D32C41" w:rsidRPr="00CA3A5E">
        <w:rPr>
          <w:rFonts w:cstheme="minorHAnsi"/>
        </w:rPr>
        <w:t xml:space="preserve"> detail</w:t>
      </w:r>
      <w:r w:rsidR="00B37B81">
        <w:rPr>
          <w:rFonts w:cstheme="minorHAnsi"/>
        </w:rPr>
        <w:t>ed</w:t>
      </w:r>
      <w:r w:rsidR="00D32C41" w:rsidRPr="00CA3A5E">
        <w:rPr>
          <w:rFonts w:cstheme="minorHAnsi"/>
        </w:rPr>
        <w:t xml:space="preserve"> description of t</w:t>
      </w:r>
      <w:r w:rsidR="007F58BC" w:rsidRPr="00CA3A5E">
        <w:rPr>
          <w:rFonts w:cstheme="minorHAnsi"/>
        </w:rPr>
        <w:t xml:space="preserve">he progress on </w:t>
      </w:r>
      <w:r w:rsidR="009C2848" w:rsidRPr="00CA3A5E">
        <w:rPr>
          <w:rFonts w:eastAsia="Times New Roman" w:cstheme="minorHAnsi"/>
          <w:lang w:eastAsia="en-GB"/>
        </w:rPr>
        <w:t>the Convention Acceleration Action</w:t>
      </w:r>
      <w:r w:rsidR="007F58BC" w:rsidRPr="00CA3A5E">
        <w:rPr>
          <w:rFonts w:eastAsia="Times New Roman" w:cstheme="minorHAnsi"/>
          <w:lang w:eastAsia="en-GB"/>
        </w:rPr>
        <w:t xml:space="preserve"> on SDGs</w:t>
      </w:r>
      <w:r w:rsidR="009C2848" w:rsidRPr="00CA3A5E">
        <w:rPr>
          <w:rFonts w:eastAsia="Times New Roman" w:cstheme="minorHAnsi"/>
          <w:lang w:eastAsia="en-GB"/>
        </w:rPr>
        <w:t xml:space="preserve"> “Wetland inventories to support Contracting Parties to achieve Indicator 6.6.1” under SDG 6 </w:t>
      </w:r>
      <w:r w:rsidR="007F58BC" w:rsidRPr="00CA3A5E">
        <w:rPr>
          <w:rFonts w:eastAsia="Times New Roman" w:cstheme="minorHAnsi"/>
          <w:lang w:eastAsia="en-GB"/>
        </w:rPr>
        <w:t xml:space="preserve">is described in </w:t>
      </w:r>
      <w:r w:rsidR="00BC6AA8" w:rsidRPr="00CA3A5E">
        <w:rPr>
          <w:rFonts w:eastAsia="Times New Roman" w:cstheme="minorHAnsi"/>
          <w:lang w:eastAsia="en-GB"/>
        </w:rPr>
        <w:t>document</w:t>
      </w:r>
      <w:r w:rsidR="00D32C41" w:rsidRPr="00CA3A5E">
        <w:rPr>
          <w:rFonts w:eastAsia="Times New Roman" w:cstheme="minorHAnsi"/>
          <w:lang w:eastAsia="en-GB"/>
        </w:rPr>
        <w:t>s</w:t>
      </w:r>
      <w:r w:rsidR="00BC6AA8" w:rsidRPr="00CA3A5E">
        <w:rPr>
          <w:rFonts w:eastAsia="Times New Roman" w:cstheme="minorHAnsi"/>
          <w:lang w:eastAsia="en-GB"/>
        </w:rPr>
        <w:t xml:space="preserve"> </w:t>
      </w:r>
      <w:r w:rsidR="007F58BC" w:rsidRPr="00CA3A5E">
        <w:rPr>
          <w:rFonts w:eastAsia="Times New Roman" w:cstheme="minorHAnsi"/>
          <w:lang w:eastAsia="en-GB"/>
        </w:rPr>
        <w:t>SC5</w:t>
      </w:r>
      <w:r w:rsidR="00D32C41" w:rsidRPr="00CA3A5E">
        <w:rPr>
          <w:rFonts w:eastAsia="Times New Roman" w:cstheme="minorHAnsi"/>
          <w:lang w:eastAsia="en-GB"/>
        </w:rPr>
        <w:t>8</w:t>
      </w:r>
      <w:r w:rsidR="00B37B81">
        <w:rPr>
          <w:rFonts w:eastAsia="Times New Roman" w:cstheme="minorHAnsi"/>
          <w:lang w:eastAsia="en-GB"/>
        </w:rPr>
        <w:t xml:space="preserve"> Doc.</w:t>
      </w:r>
      <w:r w:rsidR="00BC6AA8" w:rsidRPr="00CA3A5E">
        <w:rPr>
          <w:rFonts w:eastAsia="Times New Roman" w:cstheme="minorHAnsi"/>
          <w:lang w:eastAsia="en-GB"/>
        </w:rPr>
        <w:t xml:space="preserve">9 </w:t>
      </w:r>
      <w:r w:rsidR="00D32C41" w:rsidRPr="00CA3A5E">
        <w:rPr>
          <w:rFonts w:eastAsia="Times New Roman" w:cstheme="minorHAnsi"/>
          <w:lang w:eastAsia="en-GB"/>
        </w:rPr>
        <w:t>and SC59</w:t>
      </w:r>
      <w:r w:rsidR="00B37B81">
        <w:rPr>
          <w:rFonts w:eastAsia="Times New Roman" w:cstheme="minorHAnsi"/>
          <w:lang w:eastAsia="en-GB"/>
        </w:rPr>
        <w:t xml:space="preserve"> Doc.</w:t>
      </w:r>
      <w:r w:rsidR="00D32C41" w:rsidRPr="00CA3A5E">
        <w:rPr>
          <w:rFonts w:eastAsia="Times New Roman" w:cstheme="minorHAnsi"/>
          <w:lang w:eastAsia="en-GB"/>
        </w:rPr>
        <w:t xml:space="preserve">9 </w:t>
      </w:r>
      <w:r w:rsidR="00085324" w:rsidRPr="00CA3A5E">
        <w:rPr>
          <w:rFonts w:eastAsia="Times New Roman" w:cstheme="minorHAnsi"/>
          <w:lang w:eastAsia="en-GB"/>
        </w:rPr>
        <w:t>which were not addressed at SC59 in June 2021</w:t>
      </w:r>
      <w:r w:rsidR="00B37B81">
        <w:rPr>
          <w:rFonts w:eastAsia="Times New Roman" w:cstheme="minorHAnsi"/>
          <w:lang w:eastAsia="en-GB"/>
        </w:rPr>
        <w:t>,</w:t>
      </w:r>
      <w:r w:rsidR="00085324" w:rsidRPr="00CA3A5E">
        <w:rPr>
          <w:rFonts w:eastAsia="Times New Roman" w:cstheme="minorHAnsi"/>
          <w:lang w:eastAsia="en-GB"/>
        </w:rPr>
        <w:t xml:space="preserve"> </w:t>
      </w:r>
      <w:r w:rsidR="00BC6AA8" w:rsidRPr="00CA3A5E">
        <w:rPr>
          <w:rFonts w:eastAsia="Times New Roman" w:cstheme="minorHAnsi"/>
          <w:lang w:eastAsia="en-GB"/>
        </w:rPr>
        <w:t xml:space="preserve">and </w:t>
      </w:r>
      <w:r w:rsidR="009C2848" w:rsidRPr="00CA3A5E">
        <w:rPr>
          <w:rFonts w:eastAsia="Times New Roman" w:cstheme="minorHAnsi"/>
          <w:lang w:eastAsia="en-GB"/>
        </w:rPr>
        <w:t>on the Acceleration Actions page of the SDGs Knowledge Platform</w:t>
      </w:r>
      <w:r w:rsidR="009C2848" w:rsidRPr="00CA3A5E">
        <w:rPr>
          <w:rFonts w:eastAsia="Times New Roman" w:cstheme="minorHAnsi"/>
          <w:vertAlign w:val="superscript"/>
          <w:lang w:eastAsia="en-GB"/>
        </w:rPr>
        <w:footnoteReference w:id="4"/>
      </w:r>
      <w:r w:rsidRPr="00BC703E">
        <w:rPr>
          <w:rFonts w:eastAsia="Times New Roman" w:cstheme="minorHAnsi"/>
          <w:lang w:eastAsia="en-GB"/>
        </w:rPr>
        <w:t>.</w:t>
      </w:r>
    </w:p>
    <w:p w14:paraId="601832F2" w14:textId="77777777" w:rsidR="00AC19F6" w:rsidRPr="00CA3A5E" w:rsidRDefault="00AC19F6" w:rsidP="00CA3A5E">
      <w:pPr>
        <w:spacing w:after="0" w:line="240" w:lineRule="auto"/>
        <w:ind w:left="425" w:hanging="425"/>
        <w:rPr>
          <w:rFonts w:eastAsia="Times New Roman" w:cstheme="minorHAnsi"/>
          <w:lang w:eastAsia="en-GB"/>
        </w:rPr>
      </w:pPr>
    </w:p>
    <w:p w14:paraId="7A616540" w14:textId="06599916" w:rsidR="00B4567C" w:rsidRPr="00CA3A5E" w:rsidRDefault="009C2848" w:rsidP="00CA3A5E">
      <w:pPr>
        <w:tabs>
          <w:tab w:val="left" w:pos="426"/>
        </w:tabs>
        <w:suppressAutoHyphens/>
        <w:spacing w:after="0" w:line="240" w:lineRule="auto"/>
        <w:ind w:left="426" w:hanging="426"/>
        <w:rPr>
          <w:rFonts w:eastAsia="Times New Roman" w:cstheme="minorHAnsi"/>
          <w:lang w:eastAsia="en-GB"/>
        </w:rPr>
      </w:pPr>
      <w:r w:rsidRPr="00CA3A5E">
        <w:rPr>
          <w:rFonts w:eastAsia="Times New Roman" w:cstheme="minorHAnsi"/>
          <w:lang w:eastAsia="en-GB"/>
        </w:rPr>
        <w:t>2</w:t>
      </w:r>
      <w:r w:rsidR="0006611C" w:rsidRPr="00CA3A5E">
        <w:rPr>
          <w:rFonts w:eastAsia="Times New Roman" w:cstheme="minorHAnsi"/>
          <w:lang w:eastAsia="en-GB"/>
        </w:rPr>
        <w:t>2</w:t>
      </w:r>
      <w:r w:rsidRPr="00CA3A5E">
        <w:rPr>
          <w:rFonts w:eastAsia="Times New Roman" w:cstheme="minorHAnsi"/>
          <w:lang w:eastAsia="en-GB"/>
        </w:rPr>
        <w:t>.</w:t>
      </w:r>
      <w:r w:rsidRPr="00CA3A5E">
        <w:rPr>
          <w:rFonts w:eastAsia="Times New Roman" w:cstheme="minorHAnsi"/>
          <w:lang w:eastAsia="en-GB"/>
        </w:rPr>
        <w:tab/>
        <w:t xml:space="preserve">Regarding the achievement of SDG 14 “Conserve and sustainably use the oceans, seas and marine resources for sustainable development”, </w:t>
      </w:r>
      <w:r w:rsidR="00B4567C" w:rsidRPr="00CA3A5E">
        <w:rPr>
          <w:rFonts w:eastAsia="Times New Roman" w:cstheme="minorHAnsi"/>
          <w:lang w:eastAsia="en-GB"/>
        </w:rPr>
        <w:t>as noted</w:t>
      </w:r>
      <w:r w:rsidR="00072FD9" w:rsidRPr="00CA3A5E">
        <w:rPr>
          <w:rFonts w:eastAsia="Times New Roman" w:cstheme="minorHAnsi"/>
          <w:lang w:eastAsia="en-GB"/>
        </w:rPr>
        <w:t xml:space="preserve"> </w:t>
      </w:r>
      <w:r w:rsidR="00B4567C" w:rsidRPr="00CA3A5E">
        <w:rPr>
          <w:rFonts w:eastAsia="Times New Roman" w:cstheme="minorHAnsi"/>
          <w:lang w:eastAsia="en-GB"/>
        </w:rPr>
        <w:t xml:space="preserve">in previous reports </w:t>
      </w:r>
      <w:r w:rsidR="00806DF4" w:rsidRPr="00CA3A5E">
        <w:rPr>
          <w:rFonts w:eastAsia="Times New Roman" w:cstheme="minorHAnsi"/>
          <w:lang w:eastAsia="en-GB"/>
        </w:rPr>
        <w:t>t</w:t>
      </w:r>
      <w:r w:rsidR="00B4567C" w:rsidRPr="00CA3A5E">
        <w:rPr>
          <w:rFonts w:eastAsia="Times New Roman" w:cstheme="minorHAnsi"/>
          <w:lang w:eastAsia="en-GB"/>
        </w:rPr>
        <w:t xml:space="preserve">he Secretary General is co-focal point with IUCN of the Community of Ocean Action on Mangroves and </w:t>
      </w:r>
      <w:r w:rsidR="00B4567C" w:rsidRPr="00CA3A5E">
        <w:rPr>
          <w:rFonts w:eastAsia="Times New Roman" w:cstheme="minorHAnsi"/>
          <w:lang w:eastAsia="en-GB"/>
        </w:rPr>
        <w:lastRenderedPageBreak/>
        <w:t xml:space="preserve">participated </w:t>
      </w:r>
      <w:r w:rsidR="00B4567C" w:rsidRPr="00CA3A5E">
        <w:rPr>
          <w:rFonts w:cstheme="minorHAnsi"/>
          <w:lang w:val="en-US"/>
        </w:rPr>
        <w:t>in the “</w:t>
      </w:r>
      <w:r w:rsidR="00B4567C" w:rsidRPr="00CA3A5E">
        <w:rPr>
          <w:rFonts w:cstheme="minorHAnsi"/>
          <w:bCs/>
          <w:color w:val="000000"/>
        </w:rPr>
        <w:t xml:space="preserve">Keeping the Momentum for Ocean Action” Webinar series for 2021 “Implementing SDG 14 with the Communities of Ocean Action” </w:t>
      </w:r>
      <w:r w:rsidR="00B4567C" w:rsidRPr="00CA3A5E">
        <w:rPr>
          <w:rFonts w:cstheme="minorHAnsi"/>
        </w:rPr>
        <w:t xml:space="preserve">organized by UN DESA. </w:t>
      </w:r>
    </w:p>
    <w:p w14:paraId="509D5F31" w14:textId="0DEDC999" w:rsidR="00B4567C" w:rsidRPr="00CA3A5E" w:rsidRDefault="00B4567C" w:rsidP="00CA3A5E">
      <w:pPr>
        <w:suppressAutoHyphens/>
        <w:spacing w:after="0" w:line="240" w:lineRule="auto"/>
        <w:ind w:left="425" w:hanging="425"/>
        <w:rPr>
          <w:rFonts w:eastAsia="Times New Roman" w:cstheme="minorHAnsi"/>
          <w:lang w:eastAsia="en-GB"/>
        </w:rPr>
      </w:pPr>
    </w:p>
    <w:p w14:paraId="2CAF07E9" w14:textId="6E053D24" w:rsidR="00806DF4" w:rsidRPr="00CA3A5E" w:rsidRDefault="0006611C" w:rsidP="00CA3A5E">
      <w:pPr>
        <w:suppressAutoHyphens/>
        <w:spacing w:after="0" w:line="240" w:lineRule="auto"/>
        <w:ind w:left="426" w:hanging="426"/>
        <w:rPr>
          <w:rFonts w:cstheme="minorHAnsi"/>
          <w:lang w:val="en-US"/>
        </w:rPr>
      </w:pPr>
      <w:r w:rsidRPr="00CA3A5E">
        <w:rPr>
          <w:rFonts w:cstheme="minorHAnsi"/>
          <w:lang w:val="en-US"/>
        </w:rPr>
        <w:t>23.</w:t>
      </w:r>
      <w:r w:rsidR="00EB5D3E">
        <w:rPr>
          <w:rFonts w:cstheme="minorHAnsi"/>
          <w:lang w:val="en-US"/>
        </w:rPr>
        <w:tab/>
      </w:r>
      <w:r w:rsidR="00B4567C" w:rsidRPr="00CA3A5E">
        <w:rPr>
          <w:rFonts w:cstheme="minorHAnsi"/>
          <w:lang w:val="en-US"/>
        </w:rPr>
        <w:t>T</w:t>
      </w:r>
      <w:r w:rsidR="00806DF4" w:rsidRPr="00CA3A5E">
        <w:rPr>
          <w:rFonts w:cstheme="minorHAnsi"/>
          <w:lang w:val="en-US"/>
        </w:rPr>
        <w:t>he Secretary General provided a video speech on 18 November</w:t>
      </w:r>
      <w:r w:rsidR="00B4567C" w:rsidRPr="00CA3A5E">
        <w:rPr>
          <w:rFonts w:cstheme="minorHAnsi"/>
          <w:lang w:val="en-US"/>
        </w:rPr>
        <w:t xml:space="preserve"> 2021</w:t>
      </w:r>
      <w:r w:rsidR="00806DF4" w:rsidRPr="00CA3A5E">
        <w:rPr>
          <w:rFonts w:cstheme="minorHAnsi"/>
          <w:lang w:val="en-US"/>
        </w:rPr>
        <w:t xml:space="preserve"> at the event “Starting at the Source to Save the Ocean”, with other heads of organization, including UN agency leaders, to raise awareness of Source to Sea Management approaches through social media</w:t>
      </w:r>
      <w:r w:rsidR="00553ECB" w:rsidRPr="00CA3A5E">
        <w:rPr>
          <w:rFonts w:cstheme="minorHAnsi"/>
          <w:lang w:val="en-US"/>
        </w:rPr>
        <w:t xml:space="preserve">. </w:t>
      </w:r>
    </w:p>
    <w:p w14:paraId="3662E909" w14:textId="77777777" w:rsidR="00806DF4" w:rsidRPr="00CA3A5E" w:rsidRDefault="00806DF4" w:rsidP="00CA3A5E">
      <w:pPr>
        <w:suppressAutoHyphens/>
        <w:spacing w:after="0" w:line="240" w:lineRule="auto"/>
        <w:ind w:left="425" w:hanging="425"/>
        <w:rPr>
          <w:rFonts w:eastAsia="Times New Roman" w:cstheme="minorHAnsi"/>
          <w:lang w:val="en-US" w:eastAsia="en-GB"/>
        </w:rPr>
      </w:pPr>
    </w:p>
    <w:p w14:paraId="65F2EAE0" w14:textId="518D2209" w:rsidR="00806DF4" w:rsidRPr="00CA3A5E" w:rsidRDefault="0006611C" w:rsidP="00CA3A5E">
      <w:pPr>
        <w:spacing w:after="0" w:line="240" w:lineRule="auto"/>
        <w:ind w:left="426" w:hanging="426"/>
        <w:rPr>
          <w:rFonts w:cstheme="minorHAnsi"/>
          <w:lang w:val="en-US"/>
        </w:rPr>
      </w:pPr>
      <w:r w:rsidRPr="00CA3A5E">
        <w:rPr>
          <w:rFonts w:cstheme="minorHAnsi"/>
          <w:lang w:val="en-US"/>
        </w:rPr>
        <w:t>24.</w:t>
      </w:r>
      <w:r w:rsidRPr="00CA3A5E">
        <w:rPr>
          <w:rFonts w:cstheme="minorHAnsi"/>
          <w:lang w:val="en-US"/>
        </w:rPr>
        <w:tab/>
      </w:r>
      <w:r w:rsidR="00B4567C" w:rsidRPr="00CA3A5E">
        <w:rPr>
          <w:rFonts w:cstheme="minorHAnsi"/>
          <w:lang w:val="en-US"/>
        </w:rPr>
        <w:t xml:space="preserve">At the IUCN World Conservation Congress’ </w:t>
      </w:r>
      <w:r w:rsidR="00BC703E" w:rsidRPr="00CA3A5E">
        <w:rPr>
          <w:rFonts w:cstheme="minorHAnsi"/>
          <w:lang w:val="en-US"/>
        </w:rPr>
        <w:t>closing plenary</w:t>
      </w:r>
      <w:r w:rsidR="00B4567C" w:rsidRPr="00CA3A5E">
        <w:rPr>
          <w:rFonts w:cstheme="minorHAnsi"/>
          <w:lang w:val="en-US"/>
        </w:rPr>
        <w:t>, “A blue breakthrough”, on 7 Sept</w:t>
      </w:r>
      <w:r w:rsidR="00BC703E">
        <w:rPr>
          <w:rFonts w:cstheme="minorHAnsi"/>
          <w:lang w:val="en-US"/>
        </w:rPr>
        <w:t>ember</w:t>
      </w:r>
      <w:r w:rsidR="00B4567C" w:rsidRPr="00CA3A5E">
        <w:rPr>
          <w:rFonts w:cstheme="minorHAnsi"/>
          <w:lang w:val="en-US"/>
        </w:rPr>
        <w:t xml:space="preserve"> 2021, the</w:t>
      </w:r>
      <w:r w:rsidR="00806DF4" w:rsidRPr="00CA3A5E">
        <w:rPr>
          <w:rFonts w:cstheme="minorHAnsi"/>
          <w:lang w:val="en-US"/>
        </w:rPr>
        <w:t xml:space="preserve"> Secretary General participated as a pane</w:t>
      </w:r>
      <w:r w:rsidR="00BC703E">
        <w:rPr>
          <w:rFonts w:cstheme="minorHAnsi"/>
          <w:lang w:val="en-US"/>
        </w:rPr>
        <w:t>l</w:t>
      </w:r>
      <w:r w:rsidR="00806DF4" w:rsidRPr="00CA3A5E">
        <w:rPr>
          <w:rFonts w:cstheme="minorHAnsi"/>
          <w:lang w:val="en-US"/>
        </w:rPr>
        <w:t>list emphasiz</w:t>
      </w:r>
      <w:r w:rsidR="00B4567C" w:rsidRPr="00CA3A5E">
        <w:rPr>
          <w:rFonts w:cstheme="minorHAnsi"/>
          <w:lang w:val="en-US"/>
        </w:rPr>
        <w:t xml:space="preserve">ing </w:t>
      </w:r>
      <w:r w:rsidR="00806DF4" w:rsidRPr="00CA3A5E">
        <w:rPr>
          <w:rFonts w:cstheme="minorHAnsi"/>
          <w:lang w:val="en-US"/>
        </w:rPr>
        <w:t xml:space="preserve">the importance of healthy wetlands for ocean health, work under the Convention on Wetlands to enshrine the </w:t>
      </w:r>
      <w:r w:rsidR="009051CB">
        <w:rPr>
          <w:rFonts w:cstheme="minorHAnsi"/>
          <w:lang w:val="en-US"/>
        </w:rPr>
        <w:t>“</w:t>
      </w:r>
      <w:r w:rsidR="00806DF4" w:rsidRPr="00CA3A5E">
        <w:rPr>
          <w:rFonts w:cstheme="minorHAnsi"/>
          <w:lang w:val="en-US"/>
        </w:rPr>
        <w:t xml:space="preserve">wise </w:t>
      </w:r>
      <w:r w:rsidR="009051CB" w:rsidRPr="00CA3A5E">
        <w:rPr>
          <w:rFonts w:cstheme="minorHAnsi"/>
          <w:lang w:val="en-US"/>
        </w:rPr>
        <w:t>use</w:t>
      </w:r>
      <w:r w:rsidR="009051CB">
        <w:rPr>
          <w:rFonts w:cstheme="minorHAnsi"/>
          <w:lang w:val="en-US"/>
        </w:rPr>
        <w:t>”</w:t>
      </w:r>
      <w:r w:rsidR="009051CB" w:rsidRPr="00CA3A5E">
        <w:rPr>
          <w:rFonts w:cstheme="minorHAnsi"/>
          <w:lang w:val="en-US"/>
        </w:rPr>
        <w:t xml:space="preserve"> </w:t>
      </w:r>
      <w:r w:rsidR="00806DF4" w:rsidRPr="00CA3A5E">
        <w:rPr>
          <w:rFonts w:cstheme="minorHAnsi"/>
          <w:lang w:val="en-US"/>
        </w:rPr>
        <w:t>concept, and the commitment of Contracting Parties to maintain health of wetlands as key to human wellbeing, carbon storage, disaster risk reduction and biodiversity benefits.</w:t>
      </w:r>
    </w:p>
    <w:p w14:paraId="44F3CC19" w14:textId="77777777" w:rsidR="00947D80" w:rsidRPr="00CA3A5E" w:rsidRDefault="00947D80" w:rsidP="00CA3A5E">
      <w:pPr>
        <w:suppressAutoHyphens/>
        <w:spacing w:after="0" w:line="240" w:lineRule="auto"/>
        <w:ind w:left="425" w:hanging="425"/>
        <w:rPr>
          <w:rFonts w:eastAsia="Times New Roman" w:cstheme="minorHAnsi"/>
          <w:lang w:eastAsia="en-GB"/>
        </w:rPr>
      </w:pPr>
    </w:p>
    <w:p w14:paraId="43BB1055" w14:textId="77777777" w:rsidR="009C2848" w:rsidRPr="00CA3A5E" w:rsidRDefault="009C2848" w:rsidP="00CA3A5E">
      <w:pPr>
        <w:keepNext/>
        <w:spacing w:after="0" w:line="240" w:lineRule="auto"/>
        <w:rPr>
          <w:rFonts w:eastAsia="Times New Roman" w:cstheme="minorHAnsi"/>
          <w:b/>
          <w:bCs/>
          <w:lang w:eastAsia="en-GB"/>
        </w:rPr>
      </w:pPr>
      <w:r w:rsidRPr="00CA3A5E">
        <w:rPr>
          <w:rFonts w:eastAsia="Times New Roman" w:cstheme="minorHAnsi"/>
          <w:b/>
          <w:bCs/>
          <w:lang w:eastAsia="en-GB"/>
        </w:rPr>
        <w:t xml:space="preserve">Actions to strengthen cooperation with the United Nations Environment Programme and other international institutions </w:t>
      </w:r>
    </w:p>
    <w:p w14:paraId="7A6E5675" w14:textId="77777777" w:rsidR="009C2848" w:rsidRPr="00CA3A5E" w:rsidRDefault="009C2848" w:rsidP="00CA3A5E">
      <w:pPr>
        <w:keepNext/>
        <w:spacing w:after="0" w:line="240" w:lineRule="auto"/>
        <w:rPr>
          <w:rFonts w:eastAsia="Times New Roman" w:cstheme="minorHAnsi"/>
          <w:b/>
          <w:bCs/>
          <w:lang w:eastAsia="en-GB"/>
        </w:rPr>
      </w:pPr>
    </w:p>
    <w:p w14:paraId="75F7AE94" w14:textId="178A153F" w:rsidR="009C2848" w:rsidRPr="00CA3A5E" w:rsidRDefault="0006611C" w:rsidP="00CA3A5E">
      <w:pPr>
        <w:suppressAutoHyphens/>
        <w:spacing w:after="0" w:line="240" w:lineRule="auto"/>
        <w:ind w:left="425" w:hanging="425"/>
        <w:rPr>
          <w:rFonts w:eastAsia="Times New Roman" w:cstheme="minorHAnsi"/>
          <w:lang w:eastAsia="en-GB"/>
        </w:rPr>
      </w:pPr>
      <w:r w:rsidRPr="00CA3A5E">
        <w:rPr>
          <w:rFonts w:eastAsia="Times New Roman" w:cstheme="minorHAnsi"/>
          <w:lang w:eastAsia="en-GB"/>
        </w:rPr>
        <w:t>25</w:t>
      </w:r>
      <w:r w:rsidR="009C2848" w:rsidRPr="00CA3A5E">
        <w:rPr>
          <w:rFonts w:eastAsia="Times New Roman" w:cstheme="minorHAnsi"/>
          <w:lang w:eastAsia="en-GB"/>
        </w:rPr>
        <w:t>.</w:t>
      </w:r>
      <w:r w:rsidR="009C2848" w:rsidRPr="00CA3A5E">
        <w:rPr>
          <w:rFonts w:eastAsia="Times New Roman" w:cstheme="minorHAnsi"/>
          <w:lang w:eastAsia="en-GB"/>
        </w:rPr>
        <w:tab/>
        <w:t>As noted in previous reports to the Standing Committee, the Secretariat is continuing to work to strengthen collaboration with the United Nations agencies and other international institutions.</w:t>
      </w:r>
    </w:p>
    <w:p w14:paraId="39F14925" w14:textId="77777777" w:rsidR="009C2848" w:rsidRPr="00CA3A5E" w:rsidRDefault="009C2848" w:rsidP="00CA3A5E">
      <w:pPr>
        <w:autoSpaceDE w:val="0"/>
        <w:autoSpaceDN w:val="0"/>
        <w:adjustRightInd w:val="0"/>
        <w:spacing w:after="0" w:line="240" w:lineRule="auto"/>
        <w:ind w:left="426" w:hanging="426"/>
        <w:rPr>
          <w:rFonts w:cstheme="minorHAnsi"/>
        </w:rPr>
      </w:pPr>
    </w:p>
    <w:p w14:paraId="2277AB7D" w14:textId="5977CBC6" w:rsidR="009C2848" w:rsidRPr="00CA3A5E" w:rsidRDefault="009C2848" w:rsidP="00CA3A5E">
      <w:pPr>
        <w:keepNext/>
        <w:spacing w:after="0" w:line="240" w:lineRule="auto"/>
        <w:ind w:left="425" w:hanging="425"/>
        <w:rPr>
          <w:rFonts w:eastAsia="Times New Roman" w:cstheme="minorHAnsi"/>
          <w:i/>
          <w:lang w:val="en-US" w:eastAsia="en-GB"/>
        </w:rPr>
      </w:pPr>
      <w:r w:rsidRPr="00CA3A5E">
        <w:rPr>
          <w:rFonts w:eastAsia="Times New Roman" w:cstheme="minorHAnsi"/>
          <w:i/>
          <w:lang w:val="en-US" w:eastAsia="en-GB"/>
        </w:rPr>
        <w:t>Environment Management Group</w:t>
      </w:r>
    </w:p>
    <w:p w14:paraId="63FAACC1" w14:textId="77777777" w:rsidR="009C2848" w:rsidRPr="00CA3A5E" w:rsidRDefault="009C2848" w:rsidP="00CA3A5E">
      <w:pPr>
        <w:keepNext/>
        <w:spacing w:after="0" w:line="240" w:lineRule="auto"/>
        <w:ind w:left="425" w:hanging="425"/>
        <w:rPr>
          <w:rFonts w:eastAsia="Times New Roman" w:cstheme="minorHAnsi"/>
          <w:lang w:eastAsia="en-GB"/>
        </w:rPr>
      </w:pPr>
    </w:p>
    <w:p w14:paraId="39832291" w14:textId="085AB6A6" w:rsidR="001F4FA6" w:rsidRPr="00CA3A5E" w:rsidRDefault="00981447" w:rsidP="00CA3A5E">
      <w:pPr>
        <w:autoSpaceDE w:val="0"/>
        <w:autoSpaceDN w:val="0"/>
        <w:adjustRightInd w:val="0"/>
        <w:spacing w:after="0" w:line="240" w:lineRule="auto"/>
        <w:ind w:left="426" w:hanging="426"/>
        <w:rPr>
          <w:rFonts w:cstheme="minorHAnsi"/>
        </w:rPr>
      </w:pPr>
      <w:r w:rsidRPr="00CA3A5E">
        <w:rPr>
          <w:rFonts w:eastAsia="Times New Roman" w:cstheme="minorHAnsi"/>
          <w:lang w:eastAsia="en-GB"/>
        </w:rPr>
        <w:t>26</w:t>
      </w:r>
      <w:r w:rsidR="009C2848" w:rsidRPr="00CA3A5E">
        <w:rPr>
          <w:rFonts w:eastAsia="Times New Roman" w:cstheme="minorHAnsi"/>
          <w:lang w:eastAsia="en-GB"/>
        </w:rPr>
        <w:t>.</w:t>
      </w:r>
      <w:r w:rsidR="009C2848" w:rsidRPr="00CA3A5E">
        <w:rPr>
          <w:rFonts w:eastAsia="Times New Roman" w:cstheme="minorHAnsi"/>
          <w:lang w:eastAsia="en-GB"/>
        </w:rPr>
        <w:tab/>
      </w:r>
      <w:r w:rsidR="000A6E89" w:rsidRPr="00CA3A5E">
        <w:rPr>
          <w:rFonts w:eastAsia="Times New Roman" w:cstheme="minorHAnsi"/>
          <w:lang w:eastAsia="en-GB"/>
        </w:rPr>
        <w:t xml:space="preserve">The Secretariat continues its engagement in ongoing work of the </w:t>
      </w:r>
      <w:r w:rsidR="009051CB" w:rsidRPr="00CA3A5E">
        <w:rPr>
          <w:rFonts w:cstheme="minorHAnsi"/>
        </w:rPr>
        <w:t xml:space="preserve">United Nations </w:t>
      </w:r>
      <w:r w:rsidR="000A6E89" w:rsidRPr="00CA3A5E">
        <w:rPr>
          <w:rFonts w:eastAsia="Times New Roman" w:cstheme="minorHAnsi"/>
          <w:lang w:eastAsia="en-GB"/>
        </w:rPr>
        <w:t>Environment Management Group</w:t>
      </w:r>
      <w:r w:rsidR="009051CB">
        <w:rPr>
          <w:rFonts w:eastAsia="Times New Roman" w:cstheme="minorHAnsi"/>
          <w:lang w:eastAsia="en-GB"/>
        </w:rPr>
        <w:t xml:space="preserve"> (EMG)</w:t>
      </w:r>
      <w:r w:rsidR="000A6E89" w:rsidRPr="00CA3A5E">
        <w:rPr>
          <w:rFonts w:eastAsia="Times New Roman" w:cstheme="minorHAnsi"/>
          <w:lang w:eastAsia="en-GB"/>
        </w:rPr>
        <w:t xml:space="preserve">. </w:t>
      </w:r>
      <w:r w:rsidR="00605CF9" w:rsidRPr="00CA3A5E">
        <w:rPr>
          <w:rFonts w:cstheme="minorHAnsi"/>
        </w:rPr>
        <w:t>The Secretary General participated in the 2</w:t>
      </w:r>
      <w:r w:rsidR="002E1B93" w:rsidRPr="00CA3A5E">
        <w:rPr>
          <w:rFonts w:cstheme="minorHAnsi"/>
        </w:rPr>
        <w:t>7</w:t>
      </w:r>
      <w:r w:rsidR="00605CF9" w:rsidRPr="00CA3A5E">
        <w:rPr>
          <w:rFonts w:cstheme="minorHAnsi"/>
        </w:rPr>
        <w:t xml:space="preserve">th Senior Officials Meeting of the EMG held virtually on </w:t>
      </w:r>
      <w:r w:rsidR="002E1B93" w:rsidRPr="00CA3A5E">
        <w:rPr>
          <w:rFonts w:cstheme="minorHAnsi"/>
        </w:rPr>
        <w:t>7</w:t>
      </w:r>
      <w:r w:rsidR="00605CF9" w:rsidRPr="00CA3A5E">
        <w:rPr>
          <w:rFonts w:cstheme="minorHAnsi"/>
        </w:rPr>
        <w:t xml:space="preserve"> October 202</w:t>
      </w:r>
      <w:r w:rsidR="002E1B93" w:rsidRPr="00CA3A5E">
        <w:rPr>
          <w:rFonts w:cstheme="minorHAnsi"/>
        </w:rPr>
        <w:t>1</w:t>
      </w:r>
      <w:r w:rsidR="00605CF9" w:rsidRPr="00CA3A5E">
        <w:rPr>
          <w:rFonts w:cstheme="minorHAnsi"/>
        </w:rPr>
        <w:t xml:space="preserve">, which </w:t>
      </w:r>
      <w:r w:rsidR="001F4FA6" w:rsidRPr="00CA3A5E">
        <w:rPr>
          <w:rFonts w:cstheme="minorHAnsi"/>
        </w:rPr>
        <w:t xml:space="preserve">established an EMG Issue Management Group on Biodiversity to facilitate and enable a streamlined approach and support the implementation of the Post-2020 Global Biodiversity Framework, the UN Common Approach to biodiversity and the UN Decade on Ecosystem Restoration. </w:t>
      </w:r>
    </w:p>
    <w:p w14:paraId="7BF57AA2" w14:textId="6BC5459F" w:rsidR="0094492C" w:rsidRPr="00CA3A5E" w:rsidRDefault="0094492C" w:rsidP="00CA3A5E">
      <w:pPr>
        <w:autoSpaceDE w:val="0"/>
        <w:autoSpaceDN w:val="0"/>
        <w:adjustRightInd w:val="0"/>
        <w:spacing w:after="0" w:line="240" w:lineRule="auto"/>
        <w:ind w:left="426" w:hanging="426"/>
        <w:rPr>
          <w:rFonts w:cstheme="minorHAnsi"/>
        </w:rPr>
      </w:pPr>
    </w:p>
    <w:p w14:paraId="6CA8730B" w14:textId="3716C445" w:rsidR="0094492C" w:rsidRPr="00CA3A5E" w:rsidRDefault="00981447" w:rsidP="00CA3A5E">
      <w:pPr>
        <w:autoSpaceDE w:val="0"/>
        <w:autoSpaceDN w:val="0"/>
        <w:adjustRightInd w:val="0"/>
        <w:spacing w:after="0" w:line="240" w:lineRule="auto"/>
        <w:ind w:left="426" w:hanging="426"/>
        <w:rPr>
          <w:rFonts w:eastAsia="Times New Roman" w:cstheme="minorHAnsi"/>
          <w:lang w:eastAsia="en-GB"/>
        </w:rPr>
      </w:pPr>
      <w:r w:rsidRPr="00CA3A5E">
        <w:rPr>
          <w:rFonts w:eastAsia="Times New Roman" w:cstheme="minorHAnsi"/>
          <w:lang w:eastAsia="en-GB"/>
        </w:rPr>
        <w:t>27.</w:t>
      </w:r>
      <w:r w:rsidR="00C6182C">
        <w:rPr>
          <w:rFonts w:eastAsia="Times New Roman" w:cstheme="minorHAnsi"/>
          <w:lang w:eastAsia="en-GB"/>
        </w:rPr>
        <w:tab/>
      </w:r>
      <w:r w:rsidR="0094492C" w:rsidRPr="00CA3A5E">
        <w:rPr>
          <w:rFonts w:eastAsia="Times New Roman" w:cstheme="minorHAnsi"/>
          <w:lang w:eastAsia="en-GB"/>
        </w:rPr>
        <w:t xml:space="preserve">The Secretariat participated in the preparation of the report </w:t>
      </w:r>
      <w:r w:rsidR="000954B9" w:rsidRPr="000954B9">
        <w:rPr>
          <w:rFonts w:eastAsia="Times New Roman" w:cstheme="minorHAnsi"/>
          <w:i/>
          <w:lang w:eastAsia="en-GB"/>
        </w:rPr>
        <w:t xml:space="preserve">An overview </w:t>
      </w:r>
      <w:r w:rsidR="0094492C" w:rsidRPr="004C5B98">
        <w:rPr>
          <w:rFonts w:eastAsia="Times New Roman" w:cstheme="minorHAnsi"/>
          <w:i/>
          <w:lang w:eastAsia="en-GB"/>
        </w:rPr>
        <w:t>of UN Activities and Initiatives related to Marine Litter and</w:t>
      </w:r>
      <w:r w:rsidR="0094492C" w:rsidRPr="000954B9">
        <w:rPr>
          <w:rFonts w:eastAsia="Times New Roman" w:cstheme="minorHAnsi"/>
          <w:i/>
          <w:lang w:eastAsia="en-GB"/>
        </w:rPr>
        <w:t xml:space="preserve"> Microplastics</w:t>
      </w:r>
      <w:r w:rsidR="0094492C" w:rsidRPr="00CA3A5E">
        <w:rPr>
          <w:rFonts w:eastAsia="Times New Roman" w:cstheme="minorHAnsi"/>
          <w:lang w:eastAsia="en-GB"/>
        </w:rPr>
        <w:t xml:space="preserve"> commissioned by the </w:t>
      </w:r>
      <w:r w:rsidR="009051CB">
        <w:rPr>
          <w:rFonts w:eastAsia="Times New Roman" w:cstheme="minorHAnsi"/>
          <w:lang w:eastAsia="en-GB"/>
        </w:rPr>
        <w:t>EMG</w:t>
      </w:r>
      <w:r w:rsidR="0094492C" w:rsidRPr="00CA3A5E">
        <w:rPr>
          <w:rFonts w:eastAsia="Times New Roman" w:cstheme="minorHAnsi"/>
          <w:lang w:eastAsia="en-GB"/>
        </w:rPr>
        <w:t>, stressing that marine litter an</w:t>
      </w:r>
      <w:r w:rsidR="009051CB">
        <w:rPr>
          <w:rFonts w:eastAsia="Times New Roman" w:cstheme="minorHAnsi"/>
          <w:lang w:eastAsia="en-GB"/>
        </w:rPr>
        <w:t>d</w:t>
      </w:r>
      <w:r w:rsidR="0094492C" w:rsidRPr="00CA3A5E">
        <w:rPr>
          <w:rFonts w:eastAsia="Times New Roman" w:cstheme="minorHAnsi"/>
          <w:lang w:eastAsia="en-GB"/>
        </w:rPr>
        <w:t xml:space="preserve"> microplastics are carried to the seas and oceans essentially through inland and coastal wetlands that need to become part of the solutions to reduce such pollution.</w:t>
      </w:r>
    </w:p>
    <w:p w14:paraId="0A0CC38D" w14:textId="77777777" w:rsidR="0094492C" w:rsidRPr="00CA3A5E" w:rsidRDefault="0094492C" w:rsidP="00CA3A5E">
      <w:pPr>
        <w:autoSpaceDE w:val="0"/>
        <w:autoSpaceDN w:val="0"/>
        <w:adjustRightInd w:val="0"/>
        <w:spacing w:after="0" w:line="240" w:lineRule="auto"/>
        <w:ind w:left="426" w:hanging="426"/>
        <w:rPr>
          <w:rFonts w:cstheme="minorHAnsi"/>
        </w:rPr>
      </w:pPr>
    </w:p>
    <w:p w14:paraId="6A04F0B6" w14:textId="77777777" w:rsidR="00FD2EFA" w:rsidRPr="00CA3A5E" w:rsidRDefault="00FD2EFA" w:rsidP="00CA3A5E">
      <w:pPr>
        <w:keepNext/>
        <w:autoSpaceDE w:val="0"/>
        <w:autoSpaceDN w:val="0"/>
        <w:adjustRightInd w:val="0"/>
        <w:spacing w:after="0" w:line="240" w:lineRule="auto"/>
        <w:ind w:left="426" w:hanging="426"/>
        <w:rPr>
          <w:rFonts w:cstheme="minorHAnsi"/>
          <w:i/>
        </w:rPr>
      </w:pPr>
      <w:r w:rsidRPr="00CA3A5E">
        <w:rPr>
          <w:rFonts w:cstheme="minorHAnsi"/>
          <w:i/>
        </w:rPr>
        <w:t xml:space="preserve">Collaboration with UNEP </w:t>
      </w:r>
    </w:p>
    <w:p w14:paraId="2FB3160D" w14:textId="77777777" w:rsidR="009C2848" w:rsidRPr="00CA3A5E" w:rsidRDefault="009C2848" w:rsidP="00CA3A5E">
      <w:pPr>
        <w:keepNext/>
        <w:spacing w:after="0" w:line="240" w:lineRule="auto"/>
        <w:ind w:left="425" w:hanging="425"/>
        <w:rPr>
          <w:rFonts w:eastAsia="Times New Roman" w:cstheme="minorHAnsi"/>
          <w:lang w:eastAsia="en-GB"/>
        </w:rPr>
      </w:pPr>
    </w:p>
    <w:p w14:paraId="64C34AFA" w14:textId="3EC07A03" w:rsidR="009C2848" w:rsidRPr="00CA3A5E" w:rsidRDefault="00981447" w:rsidP="00CA3A5E">
      <w:pPr>
        <w:suppressAutoHyphens/>
        <w:spacing w:after="0" w:line="240" w:lineRule="auto"/>
        <w:ind w:left="425" w:hanging="425"/>
        <w:rPr>
          <w:rFonts w:eastAsia="Times New Roman" w:cstheme="minorHAnsi"/>
          <w:color w:val="000000"/>
          <w:lang w:eastAsia="en-GB"/>
        </w:rPr>
      </w:pPr>
      <w:r w:rsidRPr="00CA3A5E">
        <w:rPr>
          <w:rFonts w:eastAsia="Times New Roman" w:cstheme="minorHAnsi"/>
          <w:lang w:eastAsia="en-GB"/>
        </w:rPr>
        <w:t>28</w:t>
      </w:r>
      <w:r w:rsidR="009C2848" w:rsidRPr="00CA3A5E">
        <w:rPr>
          <w:rFonts w:eastAsia="Times New Roman" w:cstheme="minorHAnsi"/>
          <w:lang w:eastAsia="en-GB"/>
        </w:rPr>
        <w:t>.</w:t>
      </w:r>
      <w:r w:rsidR="009C2848" w:rsidRPr="00CA3A5E">
        <w:rPr>
          <w:rFonts w:eastAsia="Times New Roman" w:cstheme="minorHAnsi"/>
          <w:lang w:eastAsia="en-GB"/>
        </w:rPr>
        <w:tab/>
      </w:r>
      <w:r w:rsidR="009C2848" w:rsidRPr="00CA3A5E">
        <w:rPr>
          <w:rFonts w:eastAsia="Times New Roman" w:cstheme="minorHAnsi"/>
          <w:color w:val="000000"/>
          <w:lang w:eastAsia="en-GB"/>
        </w:rPr>
        <w:t xml:space="preserve">The Secretariat and UNEP </w:t>
      </w:r>
      <w:r w:rsidR="00F57B2D" w:rsidRPr="00CA3A5E">
        <w:rPr>
          <w:rFonts w:eastAsia="Times New Roman" w:cstheme="minorHAnsi"/>
          <w:color w:val="000000"/>
          <w:lang w:eastAsia="en-GB"/>
        </w:rPr>
        <w:t xml:space="preserve">continue </w:t>
      </w:r>
      <w:r w:rsidR="009051CB">
        <w:rPr>
          <w:rFonts w:eastAsia="Times New Roman" w:cstheme="minorHAnsi"/>
          <w:color w:val="000000"/>
          <w:lang w:eastAsia="en-GB"/>
        </w:rPr>
        <w:t xml:space="preserve">to </w:t>
      </w:r>
      <w:r w:rsidR="009C2848" w:rsidRPr="00CA3A5E">
        <w:rPr>
          <w:rFonts w:eastAsia="Times New Roman" w:cstheme="minorHAnsi"/>
          <w:color w:val="000000"/>
          <w:lang w:eastAsia="en-GB"/>
        </w:rPr>
        <w:t>develop cooperative activities to promote synergies and improve the implementation of the Convention</w:t>
      </w:r>
      <w:r w:rsidR="009051CB">
        <w:rPr>
          <w:rFonts w:eastAsia="Times New Roman" w:cstheme="minorHAnsi"/>
          <w:color w:val="000000"/>
          <w:lang w:eastAsia="en-GB"/>
        </w:rPr>
        <w:t>,</w:t>
      </w:r>
      <w:r w:rsidR="003B2120" w:rsidRPr="00CA3A5E">
        <w:rPr>
          <w:rFonts w:eastAsia="Times New Roman" w:cstheme="minorHAnsi"/>
          <w:color w:val="000000"/>
          <w:lang w:eastAsia="en-GB"/>
        </w:rPr>
        <w:t xml:space="preserve"> and actions are underway to renew the Memorandum of Understanding</w:t>
      </w:r>
      <w:r w:rsidR="009C2848" w:rsidRPr="00CA3A5E">
        <w:rPr>
          <w:rFonts w:eastAsia="Times New Roman" w:cstheme="minorHAnsi"/>
          <w:color w:val="000000"/>
          <w:lang w:eastAsia="en-GB"/>
        </w:rPr>
        <w:t xml:space="preserve">. </w:t>
      </w:r>
    </w:p>
    <w:p w14:paraId="33203B94" w14:textId="77777777" w:rsidR="0062622F" w:rsidRPr="00CA3A5E" w:rsidRDefault="0062622F" w:rsidP="00CA3A5E">
      <w:pPr>
        <w:suppressAutoHyphens/>
        <w:spacing w:after="0" w:line="240" w:lineRule="auto"/>
        <w:ind w:left="425" w:hanging="425"/>
        <w:rPr>
          <w:rFonts w:eastAsia="Times New Roman" w:cstheme="minorHAnsi"/>
          <w:color w:val="000000"/>
          <w:lang w:eastAsia="en-GB"/>
        </w:rPr>
      </w:pPr>
    </w:p>
    <w:p w14:paraId="56C61154" w14:textId="519D526C" w:rsidR="009C2848" w:rsidRPr="00CA3A5E" w:rsidRDefault="00981447" w:rsidP="00CA3A5E">
      <w:pPr>
        <w:tabs>
          <w:tab w:val="left" w:pos="426"/>
        </w:tabs>
        <w:autoSpaceDE w:val="0"/>
        <w:autoSpaceDN w:val="0"/>
        <w:adjustRightInd w:val="0"/>
        <w:spacing w:after="0" w:line="240" w:lineRule="auto"/>
        <w:ind w:left="426" w:hanging="426"/>
        <w:rPr>
          <w:rFonts w:eastAsia="Times New Roman" w:cstheme="minorHAnsi"/>
          <w:color w:val="000000"/>
          <w:lang w:eastAsia="en-GB"/>
        </w:rPr>
      </w:pPr>
      <w:r w:rsidRPr="00CA3A5E">
        <w:rPr>
          <w:rFonts w:eastAsia="Times New Roman" w:cstheme="minorHAnsi"/>
          <w:color w:val="000000"/>
          <w:lang w:eastAsia="en-GB"/>
        </w:rPr>
        <w:t>29</w:t>
      </w:r>
      <w:r w:rsidR="00FD2EFA" w:rsidRPr="00CA3A5E">
        <w:rPr>
          <w:rFonts w:eastAsia="Times New Roman" w:cstheme="minorHAnsi"/>
          <w:color w:val="000000"/>
          <w:lang w:eastAsia="en-GB"/>
        </w:rPr>
        <w:t>.</w:t>
      </w:r>
      <w:r w:rsidR="00FD2EFA" w:rsidRPr="00CA3A5E">
        <w:rPr>
          <w:rFonts w:eastAsia="Times New Roman" w:cstheme="minorHAnsi"/>
          <w:color w:val="000000"/>
          <w:lang w:eastAsia="en-GB"/>
        </w:rPr>
        <w:tab/>
      </w:r>
      <w:r w:rsidR="009C2848" w:rsidRPr="00CA3A5E">
        <w:rPr>
          <w:rFonts w:eastAsia="Times New Roman" w:cstheme="minorHAnsi"/>
          <w:color w:val="000000"/>
          <w:lang w:eastAsia="en-GB"/>
        </w:rPr>
        <w:t xml:space="preserve">The Convention on Wetlands </w:t>
      </w:r>
      <w:r w:rsidR="003B2120" w:rsidRPr="00CA3A5E">
        <w:rPr>
          <w:rFonts w:eastAsia="Times New Roman" w:cstheme="minorHAnsi"/>
          <w:color w:val="000000"/>
          <w:lang w:eastAsia="en-GB"/>
        </w:rPr>
        <w:t xml:space="preserve">as </w:t>
      </w:r>
      <w:r w:rsidR="009C2848" w:rsidRPr="00CA3A5E">
        <w:rPr>
          <w:rFonts w:eastAsia="Times New Roman" w:cstheme="minorHAnsi"/>
          <w:color w:val="000000"/>
          <w:lang w:eastAsia="en-GB"/>
        </w:rPr>
        <w:t xml:space="preserve">co-custodian with UNEP of SDG Indicator 6.6.1 </w:t>
      </w:r>
      <w:r w:rsidR="003B2120" w:rsidRPr="00CA3A5E">
        <w:rPr>
          <w:rFonts w:cstheme="minorHAnsi"/>
        </w:rPr>
        <w:t>prepared a joint storyline with UNEP for the UN Secretary General</w:t>
      </w:r>
      <w:r w:rsidR="009051CB">
        <w:rPr>
          <w:rFonts w:cstheme="minorHAnsi"/>
        </w:rPr>
        <w:t>’s</w:t>
      </w:r>
      <w:r w:rsidR="003B2120" w:rsidRPr="00CA3A5E">
        <w:rPr>
          <w:rFonts w:cstheme="minorHAnsi"/>
        </w:rPr>
        <w:t xml:space="preserve"> Report on SDGs for the </w:t>
      </w:r>
      <w:r w:rsidR="009051CB" w:rsidRPr="00CA3A5E">
        <w:rPr>
          <w:rFonts w:cstheme="minorHAnsi"/>
        </w:rPr>
        <w:t>High</w:t>
      </w:r>
      <w:r w:rsidR="009051CB">
        <w:rPr>
          <w:rFonts w:cstheme="minorHAnsi"/>
        </w:rPr>
        <w:t>-</w:t>
      </w:r>
      <w:r w:rsidR="003B2120" w:rsidRPr="00CA3A5E">
        <w:rPr>
          <w:rFonts w:cstheme="minorHAnsi"/>
        </w:rPr>
        <w:t>Level Political Forum in July 202</w:t>
      </w:r>
      <w:r w:rsidR="00F57B2D" w:rsidRPr="00CA3A5E">
        <w:rPr>
          <w:rFonts w:cstheme="minorHAnsi"/>
        </w:rPr>
        <w:t>2</w:t>
      </w:r>
      <w:r w:rsidR="00590992" w:rsidRPr="00CA3A5E">
        <w:rPr>
          <w:rFonts w:cstheme="minorHAnsi"/>
        </w:rPr>
        <w:t xml:space="preserve">. </w:t>
      </w:r>
    </w:p>
    <w:p w14:paraId="07939D22" w14:textId="77777777" w:rsidR="009C2848" w:rsidRPr="00CA3A5E" w:rsidRDefault="009C2848" w:rsidP="00CA3A5E">
      <w:pPr>
        <w:suppressAutoHyphens/>
        <w:spacing w:after="0" w:line="240" w:lineRule="auto"/>
        <w:ind w:left="425" w:hanging="425"/>
        <w:rPr>
          <w:rFonts w:eastAsia="Times New Roman" w:cstheme="minorHAnsi"/>
          <w:color w:val="000000"/>
          <w:lang w:eastAsia="en-GB"/>
        </w:rPr>
      </w:pPr>
    </w:p>
    <w:p w14:paraId="44FFDE1E" w14:textId="4694F613" w:rsidR="009C2848" w:rsidRPr="00CA3A5E" w:rsidRDefault="009C2848" w:rsidP="00CA3A5E">
      <w:pPr>
        <w:suppressAutoHyphens/>
        <w:spacing w:after="0" w:line="240" w:lineRule="auto"/>
        <w:ind w:left="425" w:hanging="425"/>
        <w:rPr>
          <w:rFonts w:eastAsia="Times New Roman" w:cstheme="minorHAnsi"/>
          <w:color w:val="000000"/>
          <w:lang w:eastAsia="en-GB"/>
        </w:rPr>
      </w:pPr>
      <w:r w:rsidRPr="00CA3A5E">
        <w:rPr>
          <w:rFonts w:eastAsia="Times New Roman" w:cstheme="minorHAnsi"/>
          <w:color w:val="000000"/>
          <w:lang w:eastAsia="en-GB"/>
        </w:rPr>
        <w:t>3</w:t>
      </w:r>
      <w:r w:rsidR="00981447" w:rsidRPr="00CA3A5E">
        <w:rPr>
          <w:rFonts w:eastAsia="Times New Roman" w:cstheme="minorHAnsi"/>
          <w:color w:val="000000"/>
          <w:lang w:eastAsia="en-GB"/>
        </w:rPr>
        <w:t>0</w:t>
      </w:r>
      <w:r w:rsidRPr="00CA3A5E">
        <w:rPr>
          <w:rFonts w:eastAsia="Times New Roman" w:cstheme="minorHAnsi"/>
          <w:color w:val="000000"/>
          <w:lang w:eastAsia="en-GB"/>
        </w:rPr>
        <w:t>.</w:t>
      </w:r>
      <w:r w:rsidRPr="00CA3A5E">
        <w:rPr>
          <w:rFonts w:eastAsia="Times New Roman" w:cstheme="minorHAnsi"/>
          <w:color w:val="000000"/>
          <w:lang w:eastAsia="en-GB"/>
        </w:rPr>
        <w:tab/>
        <w:t>The Secretariat continue</w:t>
      </w:r>
      <w:r w:rsidR="00590992" w:rsidRPr="00CA3A5E">
        <w:rPr>
          <w:rFonts w:eastAsia="Times New Roman" w:cstheme="minorHAnsi"/>
          <w:color w:val="000000"/>
          <w:lang w:eastAsia="en-GB"/>
        </w:rPr>
        <w:t>d</w:t>
      </w:r>
      <w:r w:rsidRPr="00CA3A5E">
        <w:rPr>
          <w:rFonts w:eastAsia="Times New Roman" w:cstheme="minorHAnsi"/>
          <w:color w:val="000000"/>
          <w:lang w:eastAsia="en-GB"/>
        </w:rPr>
        <w:t xml:space="preserve"> to participate in the synergies project “Realizing Synergies for Biodiversity” led by UNEP and with the participation of the other biodiversity-related Conventions, </w:t>
      </w:r>
      <w:r w:rsidR="009051CB">
        <w:rPr>
          <w:rFonts w:eastAsia="Times New Roman" w:cstheme="minorHAnsi"/>
          <w:color w:val="000000"/>
          <w:lang w:eastAsia="en-GB"/>
        </w:rPr>
        <w:t>in response</w:t>
      </w:r>
      <w:r w:rsidRPr="00CA3A5E">
        <w:rPr>
          <w:rFonts w:eastAsia="Times New Roman" w:cstheme="minorHAnsi"/>
          <w:color w:val="000000"/>
          <w:lang w:eastAsia="en-GB"/>
        </w:rPr>
        <w:t xml:space="preserve"> to UNEA Resolution 2/17. </w:t>
      </w:r>
    </w:p>
    <w:p w14:paraId="254EDFEE" w14:textId="0AD4C8BE" w:rsidR="00F57B2D" w:rsidRPr="00CA3A5E" w:rsidRDefault="00F57B2D" w:rsidP="00CA3A5E">
      <w:pPr>
        <w:suppressAutoHyphens/>
        <w:spacing w:after="0" w:line="240" w:lineRule="auto"/>
        <w:ind w:left="425" w:hanging="425"/>
        <w:rPr>
          <w:rFonts w:eastAsia="Times New Roman" w:cstheme="minorHAnsi"/>
          <w:color w:val="000000"/>
          <w:lang w:eastAsia="en-GB"/>
        </w:rPr>
      </w:pPr>
    </w:p>
    <w:p w14:paraId="24C19745" w14:textId="0FF45779" w:rsidR="0056447C" w:rsidRPr="00CA3A5E" w:rsidRDefault="00981447" w:rsidP="00CA3A5E">
      <w:pPr>
        <w:spacing w:after="0" w:line="240" w:lineRule="auto"/>
        <w:ind w:left="426" w:hanging="426"/>
        <w:rPr>
          <w:rFonts w:cstheme="minorHAnsi"/>
        </w:rPr>
      </w:pPr>
      <w:r w:rsidRPr="00CA3A5E">
        <w:rPr>
          <w:rFonts w:eastAsia="Times New Roman" w:cstheme="minorHAnsi"/>
          <w:color w:val="000000"/>
          <w:lang w:eastAsia="en-GB"/>
        </w:rPr>
        <w:t>31.</w:t>
      </w:r>
      <w:r w:rsidR="00EB5D3E">
        <w:rPr>
          <w:rFonts w:eastAsia="Times New Roman" w:cstheme="minorHAnsi"/>
          <w:color w:val="000000"/>
          <w:lang w:eastAsia="en-GB"/>
        </w:rPr>
        <w:tab/>
      </w:r>
      <w:r w:rsidR="00F57B2D" w:rsidRPr="00CA3A5E">
        <w:rPr>
          <w:rFonts w:eastAsia="Times New Roman" w:cstheme="minorHAnsi"/>
          <w:color w:val="000000"/>
          <w:lang w:eastAsia="en-GB"/>
        </w:rPr>
        <w:t xml:space="preserve">The Secretariat participated as </w:t>
      </w:r>
      <w:r w:rsidR="009051CB">
        <w:rPr>
          <w:rFonts w:eastAsia="Times New Roman" w:cstheme="minorHAnsi"/>
          <w:color w:val="000000"/>
          <w:lang w:eastAsia="en-GB"/>
        </w:rPr>
        <w:t xml:space="preserve">a </w:t>
      </w:r>
      <w:r w:rsidR="00F57B2D" w:rsidRPr="00CA3A5E">
        <w:rPr>
          <w:rFonts w:eastAsia="Times New Roman" w:cstheme="minorHAnsi"/>
          <w:color w:val="000000"/>
          <w:lang w:eastAsia="en-GB"/>
        </w:rPr>
        <w:t>speaker in the</w:t>
      </w:r>
      <w:r w:rsidR="00935D19" w:rsidRPr="00CA3A5E">
        <w:rPr>
          <w:rFonts w:eastAsia="Times New Roman" w:cstheme="minorHAnsi"/>
          <w:color w:val="000000"/>
          <w:lang w:eastAsia="en-GB"/>
        </w:rPr>
        <w:t xml:space="preserve"> interactive </w:t>
      </w:r>
      <w:r w:rsidR="00F57B2D" w:rsidRPr="00CA3A5E">
        <w:rPr>
          <w:rFonts w:eastAsia="Times New Roman" w:cstheme="minorHAnsi"/>
          <w:color w:val="000000"/>
          <w:lang w:eastAsia="en-GB"/>
        </w:rPr>
        <w:t>online course</w:t>
      </w:r>
      <w:r w:rsidR="00935D19" w:rsidRPr="00CA3A5E">
        <w:rPr>
          <w:rFonts w:eastAsia="Times New Roman" w:cstheme="minorHAnsi"/>
          <w:color w:val="000000"/>
          <w:lang w:eastAsia="en-GB"/>
        </w:rPr>
        <w:t xml:space="preserve"> “implementation of multilateral agreements</w:t>
      </w:r>
      <w:r w:rsidR="009051CB">
        <w:rPr>
          <w:rFonts w:eastAsia="Times New Roman" w:cstheme="minorHAnsi"/>
          <w:color w:val="000000"/>
          <w:lang w:eastAsia="en-GB"/>
        </w:rPr>
        <w:t>”</w:t>
      </w:r>
      <w:r w:rsidR="00935D19" w:rsidRPr="00CA3A5E">
        <w:rPr>
          <w:rFonts w:eastAsia="Times New Roman" w:cstheme="minorHAnsi"/>
          <w:color w:val="000000"/>
          <w:lang w:eastAsia="en-GB"/>
        </w:rPr>
        <w:t xml:space="preserve"> organized by UNEP and</w:t>
      </w:r>
      <w:r w:rsidR="009051CB">
        <w:rPr>
          <w:rFonts w:eastAsia="Times New Roman" w:cstheme="minorHAnsi"/>
          <w:color w:val="000000"/>
          <w:lang w:eastAsia="en-GB"/>
        </w:rPr>
        <w:t xml:space="preserve"> the</w:t>
      </w:r>
      <w:r w:rsidR="00935D19" w:rsidRPr="00CA3A5E">
        <w:rPr>
          <w:rFonts w:eastAsia="Times New Roman" w:cstheme="minorHAnsi"/>
          <w:color w:val="000000"/>
          <w:lang w:eastAsia="en-GB"/>
        </w:rPr>
        <w:t xml:space="preserve"> Center for Governance and Sustainability </w:t>
      </w:r>
      <w:r w:rsidR="009051CB">
        <w:rPr>
          <w:rFonts w:eastAsia="Times New Roman" w:cstheme="minorHAnsi"/>
          <w:color w:val="000000"/>
          <w:lang w:eastAsia="en-GB"/>
        </w:rPr>
        <w:t>of the</w:t>
      </w:r>
      <w:r w:rsidR="00072FD9" w:rsidRPr="00CA3A5E">
        <w:rPr>
          <w:rFonts w:eastAsia="Times New Roman" w:cstheme="minorHAnsi"/>
          <w:color w:val="000000"/>
          <w:lang w:eastAsia="en-GB"/>
        </w:rPr>
        <w:t xml:space="preserve"> </w:t>
      </w:r>
      <w:r w:rsidR="00F57B2D" w:rsidRPr="00CA3A5E">
        <w:rPr>
          <w:rFonts w:cstheme="minorHAnsi"/>
          <w:bCs/>
        </w:rPr>
        <w:t>University of Massachusetts Boston</w:t>
      </w:r>
      <w:r w:rsidR="00935D19" w:rsidRPr="00CA3A5E">
        <w:rPr>
          <w:rFonts w:cstheme="minorHAnsi"/>
          <w:bCs/>
        </w:rPr>
        <w:t xml:space="preserve"> </w:t>
      </w:r>
      <w:r w:rsidR="0056447C" w:rsidRPr="00CA3A5E">
        <w:rPr>
          <w:rFonts w:cstheme="minorHAnsi"/>
          <w:bCs/>
        </w:rPr>
        <w:t>on 30 November</w:t>
      </w:r>
      <w:r w:rsidR="009051CB">
        <w:rPr>
          <w:rFonts w:cstheme="minorHAnsi"/>
          <w:bCs/>
        </w:rPr>
        <w:t xml:space="preserve"> and</w:t>
      </w:r>
      <w:r w:rsidR="0056447C" w:rsidRPr="00CA3A5E">
        <w:rPr>
          <w:rFonts w:cstheme="minorHAnsi"/>
          <w:bCs/>
        </w:rPr>
        <w:t xml:space="preserve"> 7 December 2021 and 8 February 2022</w:t>
      </w:r>
      <w:r w:rsidR="009051CB">
        <w:rPr>
          <w:rFonts w:cstheme="minorHAnsi"/>
          <w:bCs/>
        </w:rPr>
        <w:t>,</w:t>
      </w:r>
      <w:r w:rsidR="0056447C" w:rsidRPr="00CA3A5E">
        <w:rPr>
          <w:rFonts w:cstheme="minorHAnsi"/>
          <w:bCs/>
        </w:rPr>
        <w:t xml:space="preserve"> with </w:t>
      </w:r>
      <w:r w:rsidR="009051CB">
        <w:rPr>
          <w:rFonts w:cstheme="minorHAnsi"/>
          <w:bCs/>
        </w:rPr>
        <w:t xml:space="preserve">a </w:t>
      </w:r>
      <w:r w:rsidR="0056447C" w:rsidRPr="00CA3A5E">
        <w:rPr>
          <w:rFonts w:cstheme="minorHAnsi"/>
          <w:bCs/>
        </w:rPr>
        <w:t xml:space="preserve">focus on </w:t>
      </w:r>
      <w:r w:rsidR="0056447C" w:rsidRPr="00CA3A5E">
        <w:rPr>
          <w:rFonts w:cstheme="minorHAnsi"/>
        </w:rPr>
        <w:t>countries from the Middle East and North Africa region.</w:t>
      </w:r>
      <w:r w:rsidR="00072FD9" w:rsidRPr="00CA3A5E">
        <w:rPr>
          <w:rFonts w:cstheme="minorHAnsi"/>
        </w:rPr>
        <w:t xml:space="preserve"> </w:t>
      </w:r>
    </w:p>
    <w:p w14:paraId="2A7F9F6D" w14:textId="5EA914FF" w:rsidR="0056447C" w:rsidRPr="00CA3A5E" w:rsidRDefault="0056447C" w:rsidP="00CA3A5E">
      <w:pPr>
        <w:suppressAutoHyphens/>
        <w:spacing w:after="0" w:line="240" w:lineRule="auto"/>
        <w:ind w:left="425" w:hanging="425"/>
        <w:rPr>
          <w:rFonts w:eastAsia="Times New Roman" w:cstheme="minorHAnsi"/>
          <w:color w:val="000000"/>
          <w:lang w:eastAsia="en-GB"/>
        </w:rPr>
      </w:pPr>
    </w:p>
    <w:p w14:paraId="65EC2FA3" w14:textId="5E38FE22" w:rsidR="00127675" w:rsidRPr="002C49AA" w:rsidRDefault="009C2848" w:rsidP="002C49AA">
      <w:pPr>
        <w:suppressAutoHyphens/>
        <w:spacing w:after="0" w:line="240" w:lineRule="auto"/>
        <w:ind w:left="425" w:hanging="425"/>
        <w:rPr>
          <w:rFonts w:cstheme="minorHAnsi"/>
        </w:rPr>
      </w:pPr>
      <w:r w:rsidRPr="00A72CBB">
        <w:rPr>
          <w:rFonts w:eastAsia="Times New Roman" w:cstheme="minorHAnsi"/>
          <w:color w:val="000000"/>
          <w:lang w:eastAsia="en-GB"/>
        </w:rPr>
        <w:t>3</w:t>
      </w:r>
      <w:r w:rsidR="00981447" w:rsidRPr="00A72CBB">
        <w:rPr>
          <w:rFonts w:eastAsia="Times New Roman" w:cstheme="minorHAnsi"/>
          <w:color w:val="000000"/>
          <w:lang w:eastAsia="en-GB"/>
        </w:rPr>
        <w:t>2</w:t>
      </w:r>
      <w:r w:rsidRPr="00A72CBB">
        <w:rPr>
          <w:rFonts w:eastAsia="Times New Roman" w:cstheme="minorHAnsi"/>
          <w:color w:val="000000"/>
          <w:lang w:eastAsia="en-GB"/>
        </w:rPr>
        <w:t>.</w:t>
      </w:r>
      <w:r w:rsidRPr="00A72CBB">
        <w:rPr>
          <w:rFonts w:eastAsia="Times New Roman" w:cstheme="minorHAnsi"/>
          <w:color w:val="000000"/>
          <w:lang w:eastAsia="en-GB"/>
        </w:rPr>
        <w:tab/>
        <w:t>The Secretariat continued to contribute to the InforMEA initiative</w:t>
      </w:r>
      <w:r w:rsidR="00127675" w:rsidRPr="00A72CBB">
        <w:rPr>
          <w:rFonts w:eastAsia="Times New Roman" w:cstheme="minorHAnsi"/>
          <w:color w:val="000000"/>
          <w:lang w:eastAsia="en-GB"/>
        </w:rPr>
        <w:t xml:space="preserve"> and participated </w:t>
      </w:r>
      <w:r w:rsidR="00127675" w:rsidRPr="00A72CBB">
        <w:rPr>
          <w:rFonts w:cstheme="minorHAnsi"/>
        </w:rPr>
        <w:t xml:space="preserve">in the </w:t>
      </w:r>
      <w:r w:rsidR="009B5EE7" w:rsidRPr="00A72CBB">
        <w:rPr>
          <w:rFonts w:cstheme="minorHAnsi"/>
        </w:rPr>
        <w:t xml:space="preserve">12th </w:t>
      </w:r>
      <w:r w:rsidR="00127675" w:rsidRPr="00A72CBB">
        <w:rPr>
          <w:rFonts w:cstheme="minorHAnsi"/>
        </w:rPr>
        <w:t xml:space="preserve">meeting of the InforMEA Steering Committee that took place virtually on </w:t>
      </w:r>
      <w:r w:rsidR="009B5EE7" w:rsidRPr="00A72CBB">
        <w:rPr>
          <w:rFonts w:cstheme="minorHAnsi"/>
        </w:rPr>
        <w:t xml:space="preserve">16 </w:t>
      </w:r>
      <w:r w:rsidR="00127675" w:rsidRPr="00A72CBB">
        <w:rPr>
          <w:rFonts w:cstheme="minorHAnsi"/>
        </w:rPr>
        <w:t xml:space="preserve">November </w:t>
      </w:r>
      <w:r w:rsidR="009B5EE7" w:rsidRPr="00A72CBB">
        <w:rPr>
          <w:rFonts w:cstheme="minorHAnsi"/>
        </w:rPr>
        <w:t>2021</w:t>
      </w:r>
      <w:r w:rsidR="00127675" w:rsidRPr="00A72CBB">
        <w:rPr>
          <w:rFonts w:cstheme="minorHAnsi"/>
        </w:rPr>
        <w:t xml:space="preserve">. </w:t>
      </w:r>
      <w:r w:rsidR="002C49AA" w:rsidRPr="00A72CBB">
        <w:rPr>
          <w:rFonts w:cstheme="minorHAnsi"/>
        </w:rPr>
        <w:t>T</w:t>
      </w:r>
      <w:r w:rsidR="00127675" w:rsidRPr="00A72CBB">
        <w:rPr>
          <w:rFonts w:cstheme="minorHAnsi"/>
        </w:rPr>
        <w:t xml:space="preserve">he Secretariat </w:t>
      </w:r>
      <w:r w:rsidR="002C49AA" w:rsidRPr="00A72CBB">
        <w:rPr>
          <w:rFonts w:cstheme="minorHAnsi"/>
        </w:rPr>
        <w:t>contributed on issues including API implementation, semantic indexing and e-learning</w:t>
      </w:r>
      <w:r w:rsidR="00127675" w:rsidRPr="00A72CBB">
        <w:rPr>
          <w:rFonts w:cstheme="minorHAnsi"/>
        </w:rPr>
        <w:t>.</w:t>
      </w:r>
    </w:p>
    <w:p w14:paraId="1E3F3633" w14:textId="5BB01D66" w:rsidR="00590992" w:rsidRPr="00CA3A5E" w:rsidRDefault="00590992" w:rsidP="00EB5D3E">
      <w:pPr>
        <w:spacing w:after="0" w:line="240" w:lineRule="auto"/>
        <w:rPr>
          <w:rFonts w:eastAsia="Times New Roman" w:cstheme="minorHAnsi"/>
          <w:color w:val="000000"/>
          <w:highlight w:val="yellow"/>
          <w:lang w:eastAsia="en-GB"/>
        </w:rPr>
      </w:pPr>
    </w:p>
    <w:p w14:paraId="7889ACE0" w14:textId="2CB7BB46" w:rsidR="00222353" w:rsidRDefault="00D822C8" w:rsidP="00CA3A5E">
      <w:pPr>
        <w:tabs>
          <w:tab w:val="left" w:pos="426"/>
        </w:tabs>
        <w:spacing w:after="0" w:line="240" w:lineRule="auto"/>
        <w:ind w:left="426" w:hanging="426"/>
        <w:rPr>
          <w:rFonts w:cstheme="minorHAnsi"/>
          <w:lang w:val="en-US"/>
        </w:rPr>
      </w:pPr>
      <w:r w:rsidRPr="00CA3A5E">
        <w:rPr>
          <w:rFonts w:cstheme="minorHAnsi"/>
        </w:rPr>
        <w:t>33.</w:t>
      </w:r>
      <w:r w:rsidRPr="00CA3A5E">
        <w:rPr>
          <w:rFonts w:cstheme="minorHAnsi"/>
        </w:rPr>
        <w:tab/>
      </w:r>
      <w:r w:rsidR="0014272D" w:rsidRPr="00CA3A5E">
        <w:rPr>
          <w:rFonts w:cstheme="minorHAnsi"/>
        </w:rPr>
        <w:t>An i</w:t>
      </w:r>
      <w:r w:rsidRPr="00CA3A5E">
        <w:rPr>
          <w:rFonts w:cstheme="minorHAnsi"/>
          <w:lang w:val="en-US"/>
        </w:rPr>
        <w:t>ntroductory</w:t>
      </w:r>
      <w:r w:rsidR="00222353" w:rsidRPr="00CA3A5E">
        <w:rPr>
          <w:rFonts w:cstheme="minorHAnsi"/>
          <w:lang w:val="en-US"/>
        </w:rPr>
        <w:t xml:space="preserve"> </w:t>
      </w:r>
      <w:r w:rsidR="002C49AA">
        <w:rPr>
          <w:rFonts w:cstheme="minorHAnsi"/>
          <w:lang w:val="en-US"/>
        </w:rPr>
        <w:t>c</w:t>
      </w:r>
      <w:r w:rsidR="002C49AA" w:rsidRPr="00CA3A5E">
        <w:rPr>
          <w:rFonts w:cstheme="minorHAnsi"/>
          <w:lang w:val="en-US"/>
        </w:rPr>
        <w:t xml:space="preserve">ourse </w:t>
      </w:r>
      <w:r w:rsidR="0014272D" w:rsidRPr="00CA3A5E">
        <w:rPr>
          <w:rFonts w:cstheme="minorHAnsi"/>
          <w:lang w:val="en-US"/>
        </w:rPr>
        <w:t>on the Convention on Wetlands i</w:t>
      </w:r>
      <w:r w:rsidR="00222353" w:rsidRPr="00CA3A5E">
        <w:rPr>
          <w:rFonts w:cstheme="minorHAnsi"/>
          <w:lang w:val="en-US"/>
        </w:rPr>
        <w:t xml:space="preserve">s under development and will be available when completed to download on </w:t>
      </w:r>
      <w:r w:rsidRPr="00CA3A5E">
        <w:rPr>
          <w:rFonts w:cstheme="minorHAnsi"/>
          <w:lang w:val="en-US"/>
        </w:rPr>
        <w:t xml:space="preserve">the </w:t>
      </w:r>
      <w:r w:rsidR="00222353" w:rsidRPr="00CA3A5E">
        <w:rPr>
          <w:rFonts w:cstheme="minorHAnsi"/>
          <w:lang w:val="en-US"/>
        </w:rPr>
        <w:t>Convention</w:t>
      </w:r>
      <w:r w:rsidR="002C49AA">
        <w:rPr>
          <w:rFonts w:cstheme="minorHAnsi"/>
          <w:lang w:val="en-US"/>
        </w:rPr>
        <w:t>’</w:t>
      </w:r>
      <w:r w:rsidR="00222353" w:rsidRPr="00CA3A5E">
        <w:rPr>
          <w:rFonts w:cstheme="minorHAnsi"/>
          <w:lang w:val="en-US"/>
        </w:rPr>
        <w:t xml:space="preserve">s website. The </w:t>
      </w:r>
      <w:r w:rsidR="002C49AA">
        <w:rPr>
          <w:rFonts w:cstheme="minorHAnsi"/>
          <w:lang w:val="en-US"/>
        </w:rPr>
        <w:t>c</w:t>
      </w:r>
      <w:r w:rsidR="00222353" w:rsidRPr="00CA3A5E">
        <w:rPr>
          <w:rFonts w:cstheme="minorHAnsi"/>
          <w:lang w:val="en-US"/>
        </w:rPr>
        <w:t>ourse will also be made available on the United Nations InforMEA learning and knowledge platform that hosts information and introductory courses on different MEAs.</w:t>
      </w:r>
    </w:p>
    <w:p w14:paraId="57F6E9DA" w14:textId="77777777" w:rsidR="00EB5D3E" w:rsidRPr="00CA3A5E" w:rsidRDefault="00EB5D3E" w:rsidP="00CA3A5E">
      <w:pPr>
        <w:tabs>
          <w:tab w:val="left" w:pos="426"/>
        </w:tabs>
        <w:spacing w:after="0" w:line="240" w:lineRule="auto"/>
        <w:ind w:left="426" w:hanging="426"/>
        <w:rPr>
          <w:rFonts w:cstheme="minorHAnsi"/>
          <w:lang w:val="en-US"/>
        </w:rPr>
      </w:pPr>
    </w:p>
    <w:p w14:paraId="30EC7D59" w14:textId="47891A89" w:rsidR="0051310D" w:rsidRPr="00CA3A5E" w:rsidRDefault="00813EBF" w:rsidP="00CA3A5E">
      <w:pPr>
        <w:tabs>
          <w:tab w:val="left" w:pos="426"/>
        </w:tabs>
        <w:spacing w:after="0" w:line="240" w:lineRule="auto"/>
        <w:ind w:left="426" w:hanging="426"/>
        <w:rPr>
          <w:rFonts w:cstheme="minorHAnsi"/>
          <w:highlight w:val="yellow"/>
        </w:rPr>
      </w:pPr>
      <w:r w:rsidRPr="00CA3A5E">
        <w:rPr>
          <w:rFonts w:eastAsia="Times New Roman" w:cstheme="minorHAnsi"/>
          <w:color w:val="000000"/>
          <w:lang w:eastAsia="en-GB"/>
        </w:rPr>
        <w:t>3</w:t>
      </w:r>
      <w:r w:rsidR="00D822C8" w:rsidRPr="00CA3A5E">
        <w:rPr>
          <w:rFonts w:eastAsia="Times New Roman" w:cstheme="minorHAnsi"/>
          <w:color w:val="000000"/>
          <w:lang w:eastAsia="en-GB"/>
        </w:rPr>
        <w:t>4</w:t>
      </w:r>
      <w:r w:rsidRPr="00CA3A5E">
        <w:rPr>
          <w:rFonts w:eastAsia="Times New Roman" w:cstheme="minorHAnsi"/>
          <w:color w:val="000000"/>
          <w:lang w:eastAsia="en-GB"/>
        </w:rPr>
        <w:t>.</w:t>
      </w:r>
      <w:r w:rsidRPr="00CA3A5E">
        <w:rPr>
          <w:rFonts w:eastAsia="Times New Roman" w:cstheme="minorHAnsi"/>
          <w:color w:val="000000"/>
          <w:lang w:eastAsia="en-GB"/>
        </w:rPr>
        <w:tab/>
      </w:r>
      <w:r w:rsidR="00765378" w:rsidRPr="00CA3A5E">
        <w:rPr>
          <w:rFonts w:cstheme="minorHAnsi"/>
          <w:lang w:val="en-US"/>
        </w:rPr>
        <w:t xml:space="preserve">As a Global Partner of the UN Decade on Ecosystem Restoration, the Secretariat continues to actively engage in this agenda and the task forces </w:t>
      </w:r>
      <w:r w:rsidR="00F2376A">
        <w:rPr>
          <w:rFonts w:cstheme="minorHAnsi"/>
          <w:lang w:val="en-US"/>
        </w:rPr>
        <w:t xml:space="preserve">on monitoring </w:t>
      </w:r>
      <w:r w:rsidR="00765378" w:rsidRPr="00CA3A5E">
        <w:rPr>
          <w:rFonts w:cstheme="minorHAnsi"/>
          <w:lang w:val="en-US"/>
        </w:rPr>
        <w:t xml:space="preserve">of  aquatic and transitional ecosystems and best practices. These engagements informed the consideration of SDG 6 Indicator 6.6.1 for which the Convention is co-custodian and various targets of the Convention’s </w:t>
      </w:r>
      <w:r w:rsidR="002B6D64">
        <w:rPr>
          <w:rFonts w:cstheme="minorHAnsi"/>
          <w:lang w:val="en-US"/>
        </w:rPr>
        <w:t>Fourth</w:t>
      </w:r>
      <w:r w:rsidR="002B6D64" w:rsidRPr="00CA3A5E">
        <w:rPr>
          <w:rFonts w:cstheme="minorHAnsi"/>
          <w:lang w:val="en-US"/>
        </w:rPr>
        <w:t xml:space="preserve"> </w:t>
      </w:r>
      <w:r w:rsidR="00765378" w:rsidRPr="00CA3A5E">
        <w:rPr>
          <w:rFonts w:cstheme="minorHAnsi"/>
          <w:lang w:val="en-US"/>
        </w:rPr>
        <w:t>Strategic Plan as priority indicators of the UN Decade’s monitoring framework. To mark the opening of the UN Decade on 5 June 2021, the Secretariat produced three fact sheets highlighting the untapped potential of wetlands to assist restoration efforts by Contracting Parties, policy makers and practitioners</w:t>
      </w:r>
      <w:r w:rsidR="002B6D64">
        <w:rPr>
          <w:rFonts w:cstheme="minorHAnsi"/>
          <w:lang w:val="en-US"/>
        </w:rPr>
        <w:t>: see</w:t>
      </w:r>
      <w:r w:rsidR="00765378" w:rsidRPr="00CA3A5E">
        <w:rPr>
          <w:rFonts w:cstheme="minorHAnsi"/>
          <w:lang w:val="en-US"/>
        </w:rPr>
        <w:t xml:space="preserve"> </w:t>
      </w:r>
      <w:hyperlink r:id="rId10" w:history="1">
        <w:r w:rsidR="00765378" w:rsidRPr="00CA3A5E">
          <w:rPr>
            <w:rStyle w:val="Hyperlink"/>
            <w:rFonts w:cstheme="minorHAnsi"/>
            <w:lang w:val="en-US"/>
          </w:rPr>
          <w:t>https://www.ramsar.org/document/wetlands-restoration-unlocking-the-untapped-potential-of-the-earths-most-valuable-ecosystem</w:t>
        </w:r>
      </w:hyperlink>
      <w:r w:rsidR="002B6D64" w:rsidRPr="00FA101A">
        <w:rPr>
          <w:rFonts w:cstheme="minorHAnsi"/>
        </w:rPr>
        <w:t>.</w:t>
      </w:r>
    </w:p>
    <w:p w14:paraId="7B917FD8" w14:textId="77777777" w:rsidR="0051310D" w:rsidRPr="00CA3A5E" w:rsidRDefault="0051310D" w:rsidP="00CA3A5E">
      <w:pPr>
        <w:suppressAutoHyphens/>
        <w:spacing w:after="0" w:line="240" w:lineRule="auto"/>
        <w:ind w:left="425" w:hanging="425"/>
        <w:rPr>
          <w:rFonts w:eastAsia="Times New Roman" w:cstheme="minorHAnsi"/>
          <w:color w:val="000000"/>
          <w:highlight w:val="yellow"/>
          <w:lang w:eastAsia="en-GB"/>
        </w:rPr>
      </w:pPr>
    </w:p>
    <w:p w14:paraId="60BA6BE5" w14:textId="52AC6437" w:rsidR="006D7748" w:rsidRPr="00CA3A5E" w:rsidRDefault="009F6F44" w:rsidP="00EB5D3E">
      <w:pPr>
        <w:tabs>
          <w:tab w:val="left" w:pos="426"/>
        </w:tabs>
        <w:spacing w:after="0" w:line="240" w:lineRule="auto"/>
        <w:ind w:left="426" w:hanging="426"/>
        <w:rPr>
          <w:rFonts w:cstheme="minorHAnsi"/>
        </w:rPr>
      </w:pPr>
      <w:r w:rsidRPr="00EB5D3E">
        <w:rPr>
          <w:rFonts w:cstheme="minorHAnsi"/>
        </w:rPr>
        <w:t>3</w:t>
      </w:r>
      <w:r w:rsidR="00D822C8" w:rsidRPr="00EB5D3E">
        <w:rPr>
          <w:rFonts w:cstheme="minorHAnsi"/>
        </w:rPr>
        <w:t>5</w:t>
      </w:r>
      <w:r w:rsidR="00F3006D" w:rsidRPr="00EB5D3E">
        <w:rPr>
          <w:rFonts w:cstheme="minorHAnsi"/>
        </w:rPr>
        <w:t>.</w:t>
      </w:r>
      <w:r w:rsidR="00F60271" w:rsidRPr="00EB5D3E">
        <w:rPr>
          <w:rFonts w:cstheme="minorHAnsi"/>
        </w:rPr>
        <w:tab/>
      </w:r>
      <w:r w:rsidR="006D7748" w:rsidRPr="00EB5D3E">
        <w:rPr>
          <w:rFonts w:cstheme="minorHAnsi"/>
        </w:rPr>
        <w:t>The Secretariat, as part of the Global Peatlands Initiative</w:t>
      </w:r>
      <w:r w:rsidR="00E44AFD" w:rsidRPr="00EB5D3E">
        <w:rPr>
          <w:rFonts w:cstheme="minorHAnsi"/>
        </w:rPr>
        <w:t>, joined the development team of the Global Peatland Assessment, coordinated by UNEP-WCMC</w:t>
      </w:r>
      <w:r w:rsidR="00981447" w:rsidRPr="00EB5D3E">
        <w:rPr>
          <w:rFonts w:cstheme="minorHAnsi"/>
        </w:rPr>
        <w:t>.</w:t>
      </w:r>
    </w:p>
    <w:p w14:paraId="6257B460" w14:textId="299265C5" w:rsidR="00FB5F08" w:rsidRPr="00CA3A5E" w:rsidRDefault="00FB5F08" w:rsidP="00EB5D3E">
      <w:pPr>
        <w:tabs>
          <w:tab w:val="left" w:pos="284"/>
          <w:tab w:val="left" w:pos="426"/>
        </w:tabs>
        <w:spacing w:after="0" w:line="240" w:lineRule="auto"/>
        <w:ind w:left="426" w:hanging="426"/>
        <w:rPr>
          <w:rFonts w:cstheme="minorHAnsi"/>
          <w:highlight w:val="yellow"/>
        </w:rPr>
      </w:pPr>
    </w:p>
    <w:p w14:paraId="5108AAEB" w14:textId="5791E1AE" w:rsidR="009C2848" w:rsidRPr="00CA3A5E" w:rsidRDefault="009C2848" w:rsidP="00CA3A5E">
      <w:pPr>
        <w:keepNext/>
        <w:tabs>
          <w:tab w:val="left" w:pos="0"/>
        </w:tabs>
        <w:autoSpaceDE w:val="0"/>
        <w:autoSpaceDN w:val="0"/>
        <w:adjustRightInd w:val="0"/>
        <w:spacing w:after="0" w:line="240" w:lineRule="auto"/>
        <w:rPr>
          <w:rFonts w:cstheme="minorHAnsi"/>
          <w:i/>
          <w:lang w:eastAsia="en-GB"/>
        </w:rPr>
      </w:pPr>
      <w:r w:rsidRPr="00CA3A5E">
        <w:rPr>
          <w:rFonts w:cstheme="minorHAnsi"/>
          <w:i/>
          <w:lang w:eastAsia="en-GB"/>
        </w:rPr>
        <w:t xml:space="preserve">Collaboration with International Organization Partners </w:t>
      </w:r>
    </w:p>
    <w:p w14:paraId="5491EBA3" w14:textId="77777777" w:rsidR="009C2848" w:rsidRPr="00CA3A5E" w:rsidRDefault="009C2848" w:rsidP="00CA3A5E">
      <w:pPr>
        <w:keepNext/>
        <w:autoSpaceDE w:val="0"/>
        <w:autoSpaceDN w:val="0"/>
        <w:adjustRightInd w:val="0"/>
        <w:spacing w:after="0" w:line="240" w:lineRule="auto"/>
        <w:ind w:left="357" w:hanging="357"/>
        <w:rPr>
          <w:rFonts w:cstheme="minorHAnsi"/>
          <w:lang w:eastAsia="en-GB"/>
        </w:rPr>
      </w:pPr>
    </w:p>
    <w:p w14:paraId="7D09A620" w14:textId="7AAB3504" w:rsidR="00F24BA2" w:rsidRPr="00CA3A5E" w:rsidRDefault="009F6F44" w:rsidP="00CA3A5E">
      <w:pPr>
        <w:suppressAutoHyphens/>
        <w:spacing w:after="0" w:line="240" w:lineRule="auto"/>
        <w:ind w:left="425" w:hanging="425"/>
        <w:rPr>
          <w:rFonts w:eastAsia="Times New Roman" w:cstheme="minorHAnsi"/>
          <w:lang w:eastAsia="en-GB"/>
        </w:rPr>
      </w:pPr>
      <w:r w:rsidRPr="00CA3A5E">
        <w:rPr>
          <w:rFonts w:eastAsia="Times New Roman" w:cstheme="minorHAnsi"/>
          <w:color w:val="000000"/>
          <w:lang w:eastAsia="en-GB"/>
        </w:rPr>
        <w:t>3</w:t>
      </w:r>
      <w:r w:rsidR="00D822C8" w:rsidRPr="00CA3A5E">
        <w:rPr>
          <w:rFonts w:eastAsia="Times New Roman" w:cstheme="minorHAnsi"/>
          <w:color w:val="000000"/>
          <w:lang w:eastAsia="en-GB"/>
        </w:rPr>
        <w:t>6</w:t>
      </w:r>
      <w:r w:rsidR="009C2848" w:rsidRPr="00CA3A5E">
        <w:rPr>
          <w:rFonts w:eastAsia="Times New Roman" w:cstheme="minorHAnsi"/>
          <w:color w:val="000000"/>
          <w:lang w:eastAsia="en-GB"/>
        </w:rPr>
        <w:t>.</w:t>
      </w:r>
      <w:r w:rsidR="009C2848" w:rsidRPr="00CA3A5E">
        <w:rPr>
          <w:rFonts w:eastAsia="Times New Roman" w:cstheme="minorHAnsi"/>
          <w:color w:val="000000"/>
          <w:lang w:eastAsia="en-GB"/>
        </w:rPr>
        <w:tab/>
      </w:r>
      <w:r w:rsidR="007F752F" w:rsidRPr="00CA3A5E">
        <w:rPr>
          <w:rFonts w:cstheme="minorHAnsi"/>
          <w:lang w:val="en-US"/>
        </w:rPr>
        <w:t xml:space="preserve">The Secretariat continues to strengthen its collaboration with the </w:t>
      </w:r>
      <w:r w:rsidR="009528EA" w:rsidRPr="00CA3A5E">
        <w:rPr>
          <w:rFonts w:cstheme="minorHAnsi"/>
          <w:lang w:val="en-US"/>
        </w:rPr>
        <w:t>International Organization Partners (IOPs) of the Convention</w:t>
      </w:r>
      <w:r w:rsidR="007F752F" w:rsidRPr="00CA3A5E">
        <w:rPr>
          <w:rFonts w:cstheme="minorHAnsi"/>
          <w:lang w:val="en-US"/>
        </w:rPr>
        <w:t>. Periodic teleconferences between the partners are held to review implementation of the Joint Activities for Collaboration in the renewed Memorandum of Cooperation. The IOPs contributed to the development of the 50th Anniversary campaign and actively supported World Wetlands Day 2022.</w:t>
      </w:r>
      <w:r w:rsidR="00072FD9" w:rsidRPr="00CA3A5E">
        <w:rPr>
          <w:rFonts w:cstheme="minorHAnsi"/>
          <w:lang w:val="en-US"/>
        </w:rPr>
        <w:t xml:space="preserve"> </w:t>
      </w:r>
    </w:p>
    <w:p w14:paraId="47521470" w14:textId="590DA58B" w:rsidR="006B31D7" w:rsidRPr="00CA3A5E" w:rsidRDefault="006B31D7" w:rsidP="00CA3A5E">
      <w:pPr>
        <w:suppressAutoHyphens/>
        <w:spacing w:after="0" w:line="240" w:lineRule="auto"/>
        <w:ind w:left="425" w:hanging="425"/>
        <w:rPr>
          <w:rFonts w:eastAsia="Times New Roman" w:cstheme="minorHAnsi"/>
          <w:highlight w:val="yellow"/>
          <w:lang w:eastAsia="en-GB"/>
        </w:rPr>
      </w:pPr>
    </w:p>
    <w:p w14:paraId="5B9E79C3" w14:textId="311D63E9" w:rsidR="00451F5F" w:rsidRPr="00CA3A5E" w:rsidRDefault="007C2392" w:rsidP="00CA3A5E">
      <w:pPr>
        <w:tabs>
          <w:tab w:val="left" w:pos="426"/>
        </w:tabs>
        <w:spacing w:after="0" w:line="240" w:lineRule="auto"/>
        <w:ind w:left="426" w:hanging="426"/>
        <w:rPr>
          <w:rFonts w:cstheme="minorHAnsi"/>
          <w:lang w:val="en-US"/>
        </w:rPr>
      </w:pPr>
      <w:r w:rsidRPr="00CA3A5E">
        <w:rPr>
          <w:rFonts w:cstheme="minorHAnsi"/>
          <w:lang w:val="en-US"/>
        </w:rPr>
        <w:t>3</w:t>
      </w:r>
      <w:r w:rsidR="00D822C8" w:rsidRPr="00CA3A5E">
        <w:rPr>
          <w:rFonts w:cstheme="minorHAnsi"/>
          <w:lang w:val="en-US"/>
        </w:rPr>
        <w:t>7</w:t>
      </w:r>
      <w:r w:rsidRPr="00CA3A5E">
        <w:rPr>
          <w:rFonts w:cstheme="minorHAnsi"/>
          <w:lang w:val="en-US"/>
        </w:rPr>
        <w:t>.</w:t>
      </w:r>
      <w:r w:rsidR="00EB5D3E">
        <w:rPr>
          <w:rFonts w:cstheme="minorHAnsi"/>
          <w:lang w:val="en-US"/>
        </w:rPr>
        <w:tab/>
      </w:r>
      <w:r w:rsidR="006B31D7" w:rsidRPr="00CA3A5E">
        <w:rPr>
          <w:rFonts w:cstheme="minorHAnsi"/>
          <w:lang w:val="en-US"/>
        </w:rPr>
        <w:t>The Secretary General and Secretariat staff participated actively at the IUCN World Conservation Congress</w:t>
      </w:r>
      <w:r w:rsidR="00F601DD" w:rsidRPr="00CA3A5E">
        <w:rPr>
          <w:rFonts w:cstheme="minorHAnsi"/>
        </w:rPr>
        <w:t>, held in Marseille, France from 3</w:t>
      </w:r>
      <w:r w:rsidR="00BC703E">
        <w:rPr>
          <w:rFonts w:cstheme="minorHAnsi"/>
        </w:rPr>
        <w:t xml:space="preserve"> to </w:t>
      </w:r>
      <w:r w:rsidR="00F601DD" w:rsidRPr="00CA3A5E">
        <w:rPr>
          <w:rFonts w:cstheme="minorHAnsi"/>
        </w:rPr>
        <w:t>7 September 2021, through contributions to sessions on site as well as virtually.</w:t>
      </w:r>
      <w:r w:rsidR="006B31D7" w:rsidRPr="00CA3A5E">
        <w:rPr>
          <w:rFonts w:cstheme="minorHAnsi"/>
          <w:lang w:val="en-US"/>
        </w:rPr>
        <w:t xml:space="preserve"> The Secretary General was a pane</w:t>
      </w:r>
      <w:r w:rsidR="00BC703E">
        <w:rPr>
          <w:rFonts w:cstheme="minorHAnsi"/>
          <w:lang w:val="en-US"/>
        </w:rPr>
        <w:t>l</w:t>
      </w:r>
      <w:r w:rsidR="006B31D7" w:rsidRPr="00CA3A5E">
        <w:rPr>
          <w:rFonts w:cstheme="minorHAnsi"/>
          <w:lang w:val="en-US"/>
        </w:rPr>
        <w:t>list in the event</w:t>
      </w:r>
      <w:r w:rsidR="00451F5F" w:rsidRPr="00CA3A5E">
        <w:rPr>
          <w:rFonts w:cstheme="minorHAnsi"/>
          <w:lang w:val="en-US"/>
        </w:rPr>
        <w:t>s</w:t>
      </w:r>
      <w:r w:rsidR="006B31D7" w:rsidRPr="00CA3A5E">
        <w:rPr>
          <w:rFonts w:cstheme="minorHAnsi"/>
          <w:lang w:val="en-US"/>
        </w:rPr>
        <w:t xml:space="preserve"> organized by IUCN “Post-2020 Global Biodiversity Framework: Recipe for Success</w:t>
      </w:r>
      <w:r w:rsidR="00BC703E">
        <w:rPr>
          <w:rFonts w:cstheme="minorHAnsi"/>
          <w:lang w:val="en-US"/>
        </w:rPr>
        <w:t>”</w:t>
      </w:r>
      <w:r w:rsidR="006B31D7" w:rsidRPr="00CA3A5E">
        <w:rPr>
          <w:rFonts w:cstheme="minorHAnsi"/>
          <w:lang w:val="en-US"/>
        </w:rPr>
        <w:t xml:space="preserve"> on 5 September and </w:t>
      </w:r>
      <w:r w:rsidR="00451F5F" w:rsidRPr="00CA3A5E">
        <w:rPr>
          <w:rFonts w:cstheme="minorHAnsi"/>
          <w:lang w:val="en-US"/>
        </w:rPr>
        <w:t xml:space="preserve">“IUCN Global Species Action Plan: supporting implementation of the Post-2020 Global Biodiversity Framework through species conservation” on 6 September. She </w:t>
      </w:r>
      <w:r w:rsidR="00A51538" w:rsidRPr="00CA3A5E">
        <w:rPr>
          <w:rFonts w:cstheme="minorHAnsi"/>
          <w:lang w:val="en-US"/>
        </w:rPr>
        <w:t xml:space="preserve">delivered remarks in the </w:t>
      </w:r>
      <w:r w:rsidR="00206DD7" w:rsidRPr="00CA3A5E">
        <w:rPr>
          <w:rFonts w:cstheme="minorHAnsi"/>
          <w:lang w:val="en-US"/>
        </w:rPr>
        <w:t>o</w:t>
      </w:r>
      <w:r w:rsidR="00A51538" w:rsidRPr="00CA3A5E">
        <w:rPr>
          <w:rFonts w:cstheme="minorHAnsi"/>
          <w:lang w:val="en-US"/>
        </w:rPr>
        <w:t xml:space="preserve">pening </w:t>
      </w:r>
      <w:r w:rsidR="00206DD7" w:rsidRPr="00CA3A5E">
        <w:rPr>
          <w:rFonts w:cstheme="minorHAnsi"/>
          <w:lang w:val="en-US"/>
        </w:rPr>
        <w:t>p</w:t>
      </w:r>
      <w:r w:rsidR="00A51538" w:rsidRPr="00CA3A5E">
        <w:rPr>
          <w:rFonts w:cstheme="minorHAnsi"/>
          <w:lang w:val="en-US"/>
        </w:rPr>
        <w:t>lenary “Our Freshwater Global Risk: Taking Actions to Reverse the Trend” on 4 Sept</w:t>
      </w:r>
      <w:r w:rsidR="00FA101A">
        <w:rPr>
          <w:rFonts w:cstheme="minorHAnsi"/>
          <w:lang w:val="en-US"/>
        </w:rPr>
        <w:t>ember</w:t>
      </w:r>
      <w:r w:rsidR="00A51538" w:rsidRPr="00CA3A5E">
        <w:rPr>
          <w:rFonts w:cstheme="minorHAnsi"/>
          <w:lang w:val="en-US"/>
        </w:rPr>
        <w:t xml:space="preserve"> and </w:t>
      </w:r>
      <w:r w:rsidR="00FA101A">
        <w:rPr>
          <w:rFonts w:cstheme="minorHAnsi"/>
          <w:lang w:val="en-US"/>
        </w:rPr>
        <w:t xml:space="preserve">the </w:t>
      </w:r>
      <w:r w:rsidR="00A51538" w:rsidRPr="00CA3A5E">
        <w:rPr>
          <w:rFonts w:cstheme="minorHAnsi"/>
          <w:lang w:val="en-US"/>
        </w:rPr>
        <w:t xml:space="preserve">closing </w:t>
      </w:r>
      <w:r w:rsidR="00206DD7" w:rsidRPr="00CA3A5E">
        <w:rPr>
          <w:rFonts w:cstheme="minorHAnsi"/>
          <w:lang w:val="en-US"/>
        </w:rPr>
        <w:t xml:space="preserve">plenary </w:t>
      </w:r>
      <w:r w:rsidR="00A51538" w:rsidRPr="00CA3A5E">
        <w:rPr>
          <w:rFonts w:cstheme="minorHAnsi"/>
          <w:lang w:val="en-US"/>
        </w:rPr>
        <w:t>“Deep Time 2029: What must we do now in 2021, to successfully address the Nature Emergency by 2050?” on 5 September</w:t>
      </w:r>
      <w:r w:rsidR="003910E6">
        <w:rPr>
          <w:rFonts w:cstheme="minorHAnsi"/>
          <w:lang w:val="en-US"/>
        </w:rPr>
        <w:t xml:space="preserve"> </w:t>
      </w:r>
      <w:r w:rsidR="00A51538" w:rsidRPr="00CA3A5E">
        <w:rPr>
          <w:rFonts w:cstheme="minorHAnsi"/>
          <w:lang w:val="en-US"/>
        </w:rPr>
        <w:t>.</w:t>
      </w:r>
      <w:r w:rsidR="006B31D7" w:rsidRPr="00CA3A5E">
        <w:rPr>
          <w:rFonts w:cstheme="minorHAnsi"/>
          <w:lang w:val="en-US"/>
        </w:rPr>
        <w:t xml:space="preserve">The Secretary General </w:t>
      </w:r>
      <w:r w:rsidR="00206DD7" w:rsidRPr="00CA3A5E">
        <w:rPr>
          <w:rFonts w:cstheme="minorHAnsi"/>
          <w:lang w:val="en-US"/>
        </w:rPr>
        <w:t xml:space="preserve">also </w:t>
      </w:r>
      <w:r w:rsidR="006B31D7" w:rsidRPr="00CA3A5E">
        <w:rPr>
          <w:rFonts w:cstheme="minorHAnsi"/>
          <w:lang w:val="en-US"/>
        </w:rPr>
        <w:t>participated in a high-level roundtable organized by the Ministère de l’Écologie of France on 5 September, exploring how France and the EU can further scale wetlands actions</w:t>
      </w:r>
      <w:r w:rsidR="00206DD7" w:rsidRPr="00CA3A5E">
        <w:rPr>
          <w:rFonts w:cstheme="minorHAnsi"/>
          <w:lang w:val="en-US"/>
        </w:rPr>
        <w:t>.</w:t>
      </w:r>
      <w:r w:rsidR="00451F5F" w:rsidRPr="00CA3A5E">
        <w:rPr>
          <w:rFonts w:cstheme="minorHAnsi"/>
          <w:lang w:val="en-US"/>
        </w:rPr>
        <w:t xml:space="preserve"> </w:t>
      </w:r>
    </w:p>
    <w:p w14:paraId="10FDE631" w14:textId="29B16D28" w:rsidR="00F601DD" w:rsidRPr="00CA3A5E" w:rsidRDefault="00F601DD" w:rsidP="00CA3A5E">
      <w:pPr>
        <w:tabs>
          <w:tab w:val="left" w:pos="426"/>
        </w:tabs>
        <w:spacing w:after="0" w:line="240" w:lineRule="auto"/>
        <w:ind w:left="426" w:hanging="426"/>
        <w:rPr>
          <w:rFonts w:cstheme="minorHAnsi"/>
          <w:lang w:val="en-US"/>
        </w:rPr>
      </w:pPr>
    </w:p>
    <w:p w14:paraId="3EB87C26" w14:textId="39687283" w:rsidR="00451F5F" w:rsidRPr="00CA3A5E" w:rsidRDefault="007C2392" w:rsidP="00CA3A5E">
      <w:pPr>
        <w:spacing w:after="0" w:line="240" w:lineRule="auto"/>
        <w:ind w:left="425" w:hanging="425"/>
        <w:rPr>
          <w:rFonts w:cstheme="minorHAnsi"/>
          <w:lang w:val="en-US"/>
        </w:rPr>
      </w:pPr>
      <w:r w:rsidRPr="00CA3A5E">
        <w:rPr>
          <w:rFonts w:cstheme="minorHAnsi"/>
          <w:lang w:val="en-US"/>
        </w:rPr>
        <w:t>3</w:t>
      </w:r>
      <w:r w:rsidR="00D822C8" w:rsidRPr="00CA3A5E">
        <w:rPr>
          <w:rFonts w:cstheme="minorHAnsi"/>
          <w:lang w:val="en-US"/>
        </w:rPr>
        <w:t>8</w:t>
      </w:r>
      <w:r w:rsidRPr="00CA3A5E">
        <w:rPr>
          <w:rFonts w:cstheme="minorHAnsi"/>
          <w:lang w:val="en-US"/>
        </w:rPr>
        <w:t>.</w:t>
      </w:r>
      <w:r w:rsidR="00EB5D3E">
        <w:rPr>
          <w:rFonts w:cstheme="minorHAnsi"/>
          <w:lang w:val="en-US"/>
        </w:rPr>
        <w:tab/>
      </w:r>
      <w:r w:rsidR="00604BEA" w:rsidRPr="00CA3A5E">
        <w:rPr>
          <w:rFonts w:cstheme="minorHAnsi"/>
          <w:lang w:val="en-US"/>
        </w:rPr>
        <w:t xml:space="preserve">The six IOPs in collaboration with the Secretariat organized at UNFCCC COP26 the event </w:t>
      </w:r>
      <w:r w:rsidR="00451F5F" w:rsidRPr="00CA3A5E">
        <w:rPr>
          <w:rFonts w:cstheme="minorHAnsi"/>
          <w:lang w:val="en-US"/>
        </w:rPr>
        <w:t xml:space="preserve">“Partners for Wetlands: Decade for Wetland Restoration”, on 8 November 2021. </w:t>
      </w:r>
      <w:r w:rsidR="00604BEA" w:rsidRPr="00CA3A5E">
        <w:rPr>
          <w:rFonts w:cstheme="minorHAnsi"/>
          <w:lang w:val="en-US"/>
        </w:rPr>
        <w:t>T</w:t>
      </w:r>
      <w:r w:rsidR="00451F5F" w:rsidRPr="00CA3A5E">
        <w:rPr>
          <w:rFonts w:cstheme="minorHAnsi"/>
          <w:lang w:val="en-US"/>
        </w:rPr>
        <w:t xml:space="preserve">he event highlighted why wetland restoration needs to be rapidly scaled up to tackle the climate change and biodiversity crises during the UN Decade for Ecosystem Restoration, and illustrated the readiness that exists for this based on the Convention, efforts by </w:t>
      </w:r>
      <w:r w:rsidR="009528EA">
        <w:rPr>
          <w:rFonts w:cstheme="minorHAnsi"/>
          <w:lang w:val="en-US"/>
        </w:rPr>
        <w:t>P</w:t>
      </w:r>
      <w:r w:rsidR="00451F5F" w:rsidRPr="00CA3A5E">
        <w:rPr>
          <w:rFonts w:cstheme="minorHAnsi"/>
          <w:lang w:val="en-US"/>
        </w:rPr>
        <w:t>arties and the work of IOPs</w:t>
      </w:r>
      <w:r w:rsidR="006939F7" w:rsidRPr="00CA3A5E">
        <w:rPr>
          <w:rFonts w:cstheme="minorHAnsi"/>
          <w:lang w:val="en-US"/>
        </w:rPr>
        <w:t>.</w:t>
      </w:r>
    </w:p>
    <w:p w14:paraId="1A36461C" w14:textId="77777777" w:rsidR="00451F5F" w:rsidRPr="00CA3A5E" w:rsidRDefault="00451F5F" w:rsidP="00CA3A5E">
      <w:pPr>
        <w:spacing w:after="0" w:line="240" w:lineRule="auto"/>
        <w:ind w:left="357" w:hanging="357"/>
        <w:rPr>
          <w:rFonts w:cstheme="minorHAnsi"/>
          <w:lang w:val="en-US"/>
        </w:rPr>
      </w:pPr>
    </w:p>
    <w:p w14:paraId="59F19A05" w14:textId="77777777" w:rsidR="009C2848" w:rsidRPr="00CA3A5E" w:rsidRDefault="009C2848" w:rsidP="0072338A">
      <w:pPr>
        <w:keepNext/>
        <w:spacing w:after="0" w:line="240" w:lineRule="auto"/>
        <w:ind w:left="357" w:hanging="357"/>
        <w:rPr>
          <w:rFonts w:eastAsia="Times New Roman" w:cstheme="minorHAnsi"/>
          <w:i/>
          <w:lang w:val="en-US" w:eastAsia="en-GB"/>
        </w:rPr>
      </w:pPr>
      <w:r w:rsidRPr="00CA3A5E">
        <w:rPr>
          <w:rFonts w:eastAsia="Times New Roman" w:cstheme="minorHAnsi"/>
          <w:i/>
          <w:lang w:val="en-US" w:eastAsia="en-GB"/>
        </w:rPr>
        <w:lastRenderedPageBreak/>
        <w:t>Collaboration with the International Union for Conservation of Nature</w:t>
      </w:r>
    </w:p>
    <w:p w14:paraId="24AEA343" w14:textId="77777777" w:rsidR="009C2848" w:rsidRPr="00EB5D3E" w:rsidRDefault="009C2848" w:rsidP="0072338A">
      <w:pPr>
        <w:keepNext/>
        <w:spacing w:after="0" w:line="240" w:lineRule="auto"/>
        <w:ind w:left="357" w:hanging="357"/>
        <w:rPr>
          <w:rFonts w:eastAsia="Times New Roman" w:cstheme="minorHAnsi"/>
          <w:u w:val="single"/>
          <w:lang w:val="en-US" w:eastAsia="en-GB"/>
        </w:rPr>
      </w:pPr>
    </w:p>
    <w:p w14:paraId="5AB9F4F7" w14:textId="414CA6AF" w:rsidR="009C2848" w:rsidRPr="00CA3A5E" w:rsidRDefault="007C2392" w:rsidP="00CA3A5E">
      <w:pPr>
        <w:suppressAutoHyphens/>
        <w:spacing w:after="0" w:line="240" w:lineRule="auto"/>
        <w:ind w:left="425" w:hanging="425"/>
        <w:rPr>
          <w:rFonts w:eastAsia="Times New Roman" w:cstheme="minorHAnsi"/>
          <w:color w:val="000000"/>
          <w:lang w:eastAsia="en-GB"/>
        </w:rPr>
      </w:pPr>
      <w:r w:rsidRPr="00CA3A5E">
        <w:rPr>
          <w:rFonts w:eastAsia="Times New Roman" w:cstheme="minorHAnsi"/>
          <w:color w:val="000000"/>
          <w:lang w:eastAsia="en-GB"/>
        </w:rPr>
        <w:t>3</w:t>
      </w:r>
      <w:r w:rsidR="00D822C8" w:rsidRPr="00CA3A5E">
        <w:rPr>
          <w:rFonts w:eastAsia="Times New Roman" w:cstheme="minorHAnsi"/>
          <w:color w:val="000000"/>
          <w:lang w:eastAsia="en-GB"/>
        </w:rPr>
        <w:t>9</w:t>
      </w:r>
      <w:r w:rsidR="009C2848" w:rsidRPr="00CA3A5E">
        <w:rPr>
          <w:rFonts w:eastAsia="Times New Roman" w:cstheme="minorHAnsi"/>
          <w:color w:val="000000"/>
          <w:lang w:eastAsia="en-GB"/>
        </w:rPr>
        <w:t>.</w:t>
      </w:r>
      <w:r w:rsidR="009C2848" w:rsidRPr="00CA3A5E">
        <w:rPr>
          <w:rFonts w:eastAsia="Times New Roman" w:cstheme="minorHAnsi"/>
          <w:color w:val="000000"/>
          <w:lang w:eastAsia="en-GB"/>
        </w:rPr>
        <w:tab/>
      </w:r>
      <w:r w:rsidR="00F2376A">
        <w:rPr>
          <w:rFonts w:eastAsia="Times New Roman" w:cstheme="minorHAnsi"/>
          <w:color w:val="000000"/>
          <w:lang w:eastAsia="en-GB"/>
        </w:rPr>
        <w:t>T</w:t>
      </w:r>
      <w:r w:rsidR="009C2848" w:rsidRPr="00CA3A5E">
        <w:rPr>
          <w:rFonts w:eastAsia="Times New Roman" w:cstheme="minorHAnsi"/>
          <w:color w:val="000000"/>
          <w:lang w:eastAsia="en-GB"/>
        </w:rPr>
        <w:t xml:space="preserve">he Secretariat continues to collaborate closely with IUCN through the annual meetings of the IUCN/Secretariat Liaison Group, to support the operations of the Secretariat under the service agreement between the Convention and IUCN. Regular meetings and alignment of processes and policies continue in the different areas under the service agreement, such as finance and accounting, information technology, facility management and human resources. </w:t>
      </w:r>
    </w:p>
    <w:p w14:paraId="2AF78757" w14:textId="77777777" w:rsidR="006C4DEE" w:rsidRPr="00CA3A5E" w:rsidRDefault="006C4DEE" w:rsidP="00CA3A5E">
      <w:pPr>
        <w:suppressAutoHyphens/>
        <w:spacing w:after="0" w:line="240" w:lineRule="auto"/>
        <w:ind w:left="425" w:hanging="425"/>
        <w:rPr>
          <w:rFonts w:eastAsia="Times New Roman" w:cstheme="minorHAnsi"/>
          <w:color w:val="000000"/>
          <w:lang w:eastAsia="en-GB"/>
        </w:rPr>
      </w:pPr>
    </w:p>
    <w:p w14:paraId="750FE5C0" w14:textId="7C563D93" w:rsidR="006C4DEE" w:rsidRPr="00CA3A5E" w:rsidRDefault="006C4DEE" w:rsidP="0072338A">
      <w:pPr>
        <w:keepNext/>
        <w:spacing w:after="0" w:line="240" w:lineRule="auto"/>
        <w:ind w:left="357" w:hanging="357"/>
        <w:rPr>
          <w:rFonts w:eastAsia="Times New Roman" w:cstheme="minorHAnsi"/>
          <w:i/>
          <w:lang w:eastAsia="en-GB"/>
        </w:rPr>
      </w:pPr>
      <w:r w:rsidRPr="00CA3A5E">
        <w:rPr>
          <w:rFonts w:eastAsia="Times New Roman" w:cstheme="minorHAnsi"/>
          <w:i/>
          <w:lang w:eastAsia="en-GB"/>
        </w:rPr>
        <w:t xml:space="preserve">Collaboration with the </w:t>
      </w:r>
      <w:r w:rsidRPr="00CA3A5E">
        <w:rPr>
          <w:rFonts w:cstheme="minorHAnsi"/>
          <w:i/>
          <w:shd w:val="clear" w:color="auto" w:fill="FFFFFF"/>
        </w:rPr>
        <w:t>International Partnership for Blue Carbon (IPBC) </w:t>
      </w:r>
    </w:p>
    <w:p w14:paraId="7DEDEC16" w14:textId="77777777" w:rsidR="006C4DEE" w:rsidRPr="00EB5D3E" w:rsidRDefault="006C4DEE" w:rsidP="0072338A">
      <w:pPr>
        <w:keepNext/>
        <w:spacing w:after="0" w:line="240" w:lineRule="auto"/>
        <w:ind w:left="357" w:hanging="357"/>
        <w:rPr>
          <w:rFonts w:eastAsia="Times New Roman" w:cstheme="minorHAnsi"/>
          <w:color w:val="000000"/>
          <w:lang w:eastAsia="en-GB"/>
        </w:rPr>
      </w:pPr>
    </w:p>
    <w:p w14:paraId="122D1A81" w14:textId="344B266F" w:rsidR="00EE3447" w:rsidRPr="00C947F3" w:rsidRDefault="00D822C8" w:rsidP="00C947F3">
      <w:pPr>
        <w:keepNext/>
        <w:spacing w:after="0" w:line="240" w:lineRule="auto"/>
        <w:ind w:left="357" w:hanging="357"/>
        <w:rPr>
          <w:rFonts w:cstheme="minorHAnsi"/>
          <w:i/>
          <w:shd w:val="clear" w:color="auto" w:fill="FFFFFF"/>
        </w:rPr>
      </w:pPr>
      <w:r w:rsidRPr="00CA3A5E">
        <w:rPr>
          <w:rFonts w:cstheme="minorHAnsi"/>
        </w:rPr>
        <w:t>40</w:t>
      </w:r>
      <w:r w:rsidR="00F3006D" w:rsidRPr="00CA3A5E">
        <w:rPr>
          <w:rFonts w:cstheme="minorHAnsi"/>
        </w:rPr>
        <w:t>.</w:t>
      </w:r>
      <w:r w:rsidR="00F3006D" w:rsidRPr="00CA3A5E">
        <w:rPr>
          <w:rFonts w:cstheme="minorHAnsi"/>
        </w:rPr>
        <w:tab/>
      </w:r>
      <w:r w:rsidR="006C4DEE" w:rsidRPr="00CA3A5E">
        <w:rPr>
          <w:rFonts w:cstheme="minorHAnsi"/>
        </w:rPr>
        <w:t xml:space="preserve">The Secretariat </w:t>
      </w:r>
      <w:r w:rsidR="00DA1FA6" w:rsidRPr="00CA3A5E">
        <w:rPr>
          <w:rFonts w:cstheme="minorHAnsi"/>
        </w:rPr>
        <w:t>continue</w:t>
      </w:r>
      <w:r w:rsidR="00C947F3">
        <w:rPr>
          <w:rFonts w:cstheme="minorHAnsi"/>
        </w:rPr>
        <w:t>s to be</w:t>
      </w:r>
      <w:r w:rsidR="00DA1FA6" w:rsidRPr="00CA3A5E">
        <w:rPr>
          <w:rFonts w:cstheme="minorHAnsi"/>
        </w:rPr>
        <w:t xml:space="preserve"> engaged in </w:t>
      </w:r>
      <w:r w:rsidR="006C4DEE" w:rsidRPr="00CA3A5E">
        <w:rPr>
          <w:rFonts w:cstheme="minorHAnsi"/>
        </w:rPr>
        <w:t>the</w:t>
      </w:r>
      <w:r w:rsidR="006C4DEE" w:rsidRPr="00C947F3">
        <w:rPr>
          <w:rFonts w:cstheme="minorHAnsi"/>
        </w:rPr>
        <w:t xml:space="preserve"> </w:t>
      </w:r>
      <w:r w:rsidR="00C947F3" w:rsidRPr="00C947F3">
        <w:rPr>
          <w:rFonts w:cstheme="minorHAnsi"/>
          <w:shd w:val="clear" w:color="auto" w:fill="FFFFFF"/>
        </w:rPr>
        <w:t>International Partnership for Blue Carbon (IPBC)</w:t>
      </w:r>
      <w:r w:rsidR="00DA1FA6" w:rsidRPr="00CA3A5E">
        <w:rPr>
          <w:rFonts w:cstheme="minorHAnsi"/>
        </w:rPr>
        <w:t xml:space="preserve">. </w:t>
      </w:r>
      <w:r w:rsidR="00C947F3">
        <w:rPr>
          <w:rFonts w:cstheme="minorHAnsi"/>
        </w:rPr>
        <w:t>It</w:t>
      </w:r>
      <w:r w:rsidR="00DA1FA6" w:rsidRPr="00CA3A5E">
        <w:rPr>
          <w:rFonts w:cstheme="minorHAnsi"/>
        </w:rPr>
        <w:t xml:space="preserve"> participated in an IPBC partners dialogue meeting on April 2021 as well as in the IPBC Task Group Meeting focusing on blue carbon in international fora on 15 July 2021, providing information and updates on work under the Convention in response to Resolution XIII.14, including results and outcomes of work of the STRP</w:t>
      </w:r>
      <w:r w:rsidR="00C947F3">
        <w:rPr>
          <w:rFonts w:cstheme="minorHAnsi"/>
        </w:rPr>
        <w:t>,</w:t>
      </w:r>
      <w:r w:rsidR="00DA1FA6" w:rsidRPr="00CA3A5E">
        <w:rPr>
          <w:rFonts w:cstheme="minorHAnsi"/>
        </w:rPr>
        <w:t xml:space="preserve"> and inviting IPBC and its partners to support outreach. The Secretariat contributed to the </w:t>
      </w:r>
      <w:r w:rsidR="00DA1FA6" w:rsidRPr="003910E6">
        <w:rPr>
          <w:rFonts w:cstheme="minorHAnsi"/>
        </w:rPr>
        <w:t>IPBC report</w:t>
      </w:r>
      <w:r w:rsidR="00256493" w:rsidRPr="003910E6">
        <w:rPr>
          <w:rFonts w:cstheme="minorHAnsi"/>
        </w:rPr>
        <w:t xml:space="preserve"> Coastal Blue Carbon Ecosystems in International Frameworks and Conventions </w:t>
      </w:r>
      <w:r w:rsidR="00256493" w:rsidRPr="003910E6">
        <w:rPr>
          <w:rStyle w:val="FootnoteReference"/>
          <w:rFonts w:cstheme="minorHAnsi"/>
        </w:rPr>
        <w:footnoteReference w:id="5"/>
      </w:r>
      <w:r w:rsidR="00DA1FA6" w:rsidRPr="003910E6">
        <w:rPr>
          <w:rFonts w:cstheme="minorHAnsi"/>
          <w:bCs/>
        </w:rPr>
        <w:t>,</w:t>
      </w:r>
      <w:r w:rsidR="00DA1FA6" w:rsidRPr="00CA3A5E">
        <w:rPr>
          <w:rFonts w:cstheme="minorHAnsi"/>
          <w:bCs/>
        </w:rPr>
        <w:t xml:space="preserve"> published in 2021</w:t>
      </w:r>
      <w:r w:rsidR="00C947F3">
        <w:rPr>
          <w:rFonts w:cstheme="minorHAnsi"/>
          <w:bCs/>
        </w:rPr>
        <w:t>,</w:t>
      </w:r>
      <w:r w:rsidR="00D370E5" w:rsidRPr="00CA3A5E">
        <w:rPr>
          <w:rFonts w:cstheme="minorHAnsi"/>
          <w:bCs/>
        </w:rPr>
        <w:t xml:space="preserve"> and</w:t>
      </w:r>
      <w:r w:rsidR="00DA1FA6" w:rsidRPr="00CA3A5E">
        <w:rPr>
          <w:rFonts w:cstheme="minorHAnsi"/>
        </w:rPr>
        <w:t xml:space="preserve"> </w:t>
      </w:r>
      <w:r w:rsidR="00D370E5" w:rsidRPr="00CA3A5E">
        <w:rPr>
          <w:rFonts w:cstheme="minorHAnsi"/>
        </w:rPr>
        <w:t xml:space="preserve">participated as a panellist </w:t>
      </w:r>
      <w:r w:rsidR="00DA1FA6" w:rsidRPr="00CA3A5E">
        <w:rPr>
          <w:rFonts w:cstheme="minorHAnsi"/>
        </w:rPr>
        <w:t xml:space="preserve">at </w:t>
      </w:r>
      <w:r w:rsidR="00D370E5" w:rsidRPr="00CA3A5E">
        <w:rPr>
          <w:rFonts w:cstheme="minorHAnsi"/>
        </w:rPr>
        <w:t xml:space="preserve">the IPBC side event </w:t>
      </w:r>
      <w:r w:rsidR="00C947F3">
        <w:rPr>
          <w:rFonts w:cstheme="minorHAnsi"/>
        </w:rPr>
        <w:t>“</w:t>
      </w:r>
      <w:r w:rsidR="00D370E5" w:rsidRPr="00CA3A5E">
        <w:rPr>
          <w:rFonts w:cstheme="minorHAnsi"/>
        </w:rPr>
        <w:t>Working together to deliver outcomes for climate, the environment and people</w:t>
      </w:r>
      <w:r w:rsidR="00C947F3">
        <w:rPr>
          <w:rFonts w:cstheme="minorHAnsi"/>
        </w:rPr>
        <w:t>”</w:t>
      </w:r>
      <w:r w:rsidR="00D370E5" w:rsidRPr="00CA3A5E">
        <w:rPr>
          <w:rFonts w:cstheme="minorHAnsi"/>
        </w:rPr>
        <w:t xml:space="preserve">, at </w:t>
      </w:r>
      <w:r w:rsidR="00DA1FA6" w:rsidRPr="00CA3A5E">
        <w:rPr>
          <w:rFonts w:cstheme="minorHAnsi"/>
        </w:rPr>
        <w:t>UNFCCC C</w:t>
      </w:r>
      <w:r w:rsidR="00D370E5" w:rsidRPr="00CA3A5E">
        <w:rPr>
          <w:rFonts w:cstheme="minorHAnsi"/>
        </w:rPr>
        <w:t>O</w:t>
      </w:r>
      <w:r w:rsidR="00DA1FA6" w:rsidRPr="00CA3A5E">
        <w:rPr>
          <w:rFonts w:cstheme="minorHAnsi"/>
        </w:rPr>
        <w:t>P26 on 6 November 2021.</w:t>
      </w:r>
    </w:p>
    <w:sectPr w:rsidR="00EE3447" w:rsidRPr="00C947F3" w:rsidSect="002F62DC">
      <w:footerReference w:type="default" r:id="rId11"/>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98915" w14:textId="77777777" w:rsidR="00A31F5E" w:rsidRDefault="00A31F5E" w:rsidP="009C2848">
      <w:pPr>
        <w:spacing w:after="0" w:line="240" w:lineRule="auto"/>
      </w:pPr>
      <w:r>
        <w:separator/>
      </w:r>
    </w:p>
  </w:endnote>
  <w:endnote w:type="continuationSeparator" w:id="0">
    <w:p w14:paraId="06D5CB8B" w14:textId="77777777" w:rsidR="00A31F5E" w:rsidRDefault="00A31F5E" w:rsidP="009C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E9D3" w14:textId="465FF59A" w:rsidR="002B6D64" w:rsidRPr="00ED605C" w:rsidRDefault="002B6D64">
    <w:pPr>
      <w:pStyle w:val="Footer"/>
      <w:rPr>
        <w:rFonts w:asciiTheme="minorHAnsi" w:hAnsiTheme="minorHAnsi" w:cstheme="minorHAnsi"/>
        <w:sz w:val="20"/>
        <w:szCs w:val="20"/>
      </w:rPr>
    </w:pPr>
    <w:r w:rsidRPr="00ED605C">
      <w:rPr>
        <w:rFonts w:asciiTheme="minorHAnsi" w:hAnsiTheme="minorHAnsi" w:cstheme="minorHAnsi"/>
        <w:sz w:val="20"/>
        <w:szCs w:val="20"/>
      </w:rPr>
      <w:t>SC5</w:t>
    </w:r>
    <w:r>
      <w:rPr>
        <w:rFonts w:asciiTheme="minorHAnsi" w:hAnsiTheme="minorHAnsi" w:cstheme="minorHAnsi"/>
        <w:sz w:val="20"/>
        <w:szCs w:val="20"/>
      </w:rPr>
      <w:t>9/2022</w:t>
    </w:r>
    <w:r w:rsidRPr="00ED605C">
      <w:rPr>
        <w:rFonts w:asciiTheme="minorHAnsi" w:hAnsiTheme="minorHAnsi" w:cstheme="minorHAnsi"/>
        <w:sz w:val="20"/>
        <w:szCs w:val="20"/>
      </w:rPr>
      <w:t xml:space="preserve"> Doc.1</w:t>
    </w:r>
    <w:r>
      <w:rPr>
        <w:rFonts w:asciiTheme="minorHAnsi" w:hAnsiTheme="minorHAnsi" w:cstheme="minorHAnsi"/>
        <w:sz w:val="20"/>
        <w:szCs w:val="20"/>
      </w:rPr>
      <w:t>6</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sz w:val="20"/>
        <w:szCs w:val="20"/>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sz w:val="20"/>
        <w:szCs w:val="20"/>
      </w:rPr>
      <w:fldChar w:fldCharType="separate"/>
    </w:r>
    <w:r w:rsidR="00520A78">
      <w:rPr>
        <w:rFonts w:asciiTheme="minorHAnsi" w:hAnsiTheme="minorHAnsi" w:cstheme="minorHAnsi"/>
        <w:noProof/>
        <w:sz w:val="20"/>
        <w:szCs w:val="20"/>
      </w:rPr>
      <w:t>4</w:t>
    </w:r>
    <w:r w:rsidRPr="00ED60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9040" w14:textId="77777777" w:rsidR="00A31F5E" w:rsidRDefault="00A31F5E" w:rsidP="009C2848">
      <w:pPr>
        <w:spacing w:after="0" w:line="240" w:lineRule="auto"/>
      </w:pPr>
      <w:r>
        <w:separator/>
      </w:r>
    </w:p>
  </w:footnote>
  <w:footnote w:type="continuationSeparator" w:id="0">
    <w:p w14:paraId="4EF37CD9" w14:textId="77777777" w:rsidR="00A31F5E" w:rsidRDefault="00A31F5E" w:rsidP="009C2848">
      <w:pPr>
        <w:spacing w:after="0" w:line="240" w:lineRule="auto"/>
      </w:pPr>
      <w:r>
        <w:continuationSeparator/>
      </w:r>
    </w:p>
  </w:footnote>
  <w:footnote w:id="1">
    <w:p w14:paraId="4130E71E" w14:textId="55C15651" w:rsidR="002B6D64" w:rsidRPr="0009108D" w:rsidRDefault="002B6D64" w:rsidP="00CA3A5E">
      <w:pPr>
        <w:pStyle w:val="FootnoteText"/>
        <w:ind w:left="0" w:firstLine="0"/>
        <w:jc w:val="left"/>
        <w:rPr>
          <w:rFonts w:asciiTheme="minorHAnsi" w:hAnsiTheme="minorHAnsi" w:cstheme="minorHAnsi"/>
        </w:rPr>
      </w:pPr>
      <w:r w:rsidRPr="0009108D">
        <w:rPr>
          <w:rStyle w:val="FootnoteReference"/>
          <w:rFonts w:asciiTheme="minorHAnsi" w:hAnsiTheme="minorHAnsi" w:cstheme="minorHAnsi"/>
        </w:rPr>
        <w:footnoteRef/>
      </w:r>
      <w:r>
        <w:rPr>
          <w:rFonts w:asciiTheme="minorHAnsi" w:hAnsiTheme="minorHAnsi" w:cstheme="minorHAnsi"/>
        </w:rPr>
        <w:t xml:space="preserve"> </w:t>
      </w:r>
      <w:hyperlink r:id="rId1" w:history="1">
        <w:r w:rsidRPr="0009108D">
          <w:rPr>
            <w:rStyle w:val="Hyperlink"/>
            <w:rFonts w:asciiTheme="minorHAnsi" w:hAnsiTheme="minorHAnsi" w:cstheme="minorHAnsi"/>
          </w:rPr>
          <w:t>https://www.ramsar.org/document/sc58-doc18-enhancing-the-conventions-visibility-and-synergies-with-other-multilateral</w:t>
        </w:r>
      </w:hyperlink>
      <w:r w:rsidRPr="0009108D">
        <w:rPr>
          <w:rFonts w:asciiTheme="minorHAnsi" w:hAnsiTheme="minorHAnsi" w:cstheme="minorHAnsi"/>
        </w:rPr>
        <w:t xml:space="preserve"> </w:t>
      </w:r>
    </w:p>
  </w:footnote>
  <w:footnote w:id="2">
    <w:p w14:paraId="12089469" w14:textId="6788DA07" w:rsidR="002B6D64" w:rsidRPr="00CA3A5E" w:rsidRDefault="002B6D64" w:rsidP="00CA3A5E">
      <w:pPr>
        <w:pStyle w:val="FootnoteText"/>
        <w:ind w:left="0" w:firstLine="0"/>
        <w:jc w:val="left"/>
        <w:rPr>
          <w:rFonts w:asciiTheme="minorHAnsi" w:hAnsiTheme="minorHAnsi" w:cstheme="minorHAnsi"/>
        </w:rPr>
      </w:pPr>
      <w:r w:rsidRPr="00CA3A5E">
        <w:rPr>
          <w:rStyle w:val="FootnoteReference"/>
          <w:rFonts w:asciiTheme="minorHAnsi" w:hAnsiTheme="minorHAnsi" w:cstheme="minorHAnsi"/>
        </w:rPr>
        <w:footnoteRef/>
      </w:r>
      <w:r w:rsidRPr="00CA3A5E">
        <w:rPr>
          <w:rFonts w:asciiTheme="minorHAnsi" w:hAnsiTheme="minorHAnsi" w:cstheme="minorHAnsi"/>
        </w:rPr>
        <w:t xml:space="preserve"> </w:t>
      </w:r>
      <w:hyperlink r:id="rId2" w:history="1">
        <w:r w:rsidRPr="00F130C9">
          <w:rPr>
            <w:rStyle w:val="Hyperlink"/>
            <w:rFonts w:asciiTheme="minorHAnsi" w:hAnsiTheme="minorHAnsi" w:cstheme="minorHAnsi"/>
          </w:rPr>
          <w:t>https://www.ramsar.org/document/sc59-doc16-enhancing-the-conventions-visibility-and-synergies-with-other-multilateral</w:t>
        </w:r>
      </w:hyperlink>
      <w:r>
        <w:rPr>
          <w:rFonts w:asciiTheme="minorHAnsi" w:hAnsiTheme="minorHAnsi" w:cstheme="minorHAnsi"/>
        </w:rPr>
        <w:t xml:space="preserve"> </w:t>
      </w:r>
    </w:p>
  </w:footnote>
  <w:footnote w:id="3">
    <w:p w14:paraId="451CC285" w14:textId="1BAF5DB2" w:rsidR="002B6D64" w:rsidRPr="007521EC" w:rsidRDefault="002B6D64" w:rsidP="007521EC">
      <w:pPr>
        <w:pStyle w:val="FootnoteText"/>
        <w:ind w:left="0" w:firstLine="0"/>
        <w:jc w:val="left"/>
        <w:rPr>
          <w:rFonts w:asciiTheme="minorHAnsi" w:hAnsiTheme="minorHAnsi" w:cstheme="minorHAnsi"/>
        </w:rPr>
      </w:pPr>
      <w:r w:rsidRPr="007521EC">
        <w:rPr>
          <w:rStyle w:val="FootnoteReference"/>
          <w:rFonts w:asciiTheme="minorHAnsi" w:hAnsiTheme="minorHAnsi" w:cstheme="minorHAnsi"/>
        </w:rPr>
        <w:footnoteRef/>
      </w:r>
      <w:r>
        <w:rPr>
          <w:rFonts w:asciiTheme="minorHAnsi" w:hAnsiTheme="minorHAnsi" w:cstheme="minorHAnsi"/>
        </w:rPr>
        <w:t xml:space="preserve"> </w:t>
      </w:r>
      <w:hyperlink r:id="rId3" w:history="1">
        <w:r w:rsidRPr="00F130C9">
          <w:rPr>
            <w:rStyle w:val="Hyperlink"/>
            <w:rFonts w:asciiTheme="minorHAnsi" w:hAnsiTheme="minorHAnsi" w:cstheme="minorHAnsi"/>
          </w:rPr>
          <w:t>https://www.ramsar.org/document/sc59-doc161-review-of-the-fifth-joint-work-plan-between-the-convention-on-biological</w:t>
        </w:r>
      </w:hyperlink>
      <w:r>
        <w:rPr>
          <w:rFonts w:asciiTheme="minorHAnsi" w:hAnsiTheme="minorHAnsi" w:cstheme="minorHAnsi"/>
        </w:rPr>
        <w:t xml:space="preserve"> </w:t>
      </w:r>
    </w:p>
  </w:footnote>
  <w:footnote w:id="4">
    <w:p w14:paraId="103E15A4" w14:textId="77777777" w:rsidR="002B6D64" w:rsidRPr="0056096E" w:rsidRDefault="002B6D64" w:rsidP="009C2848">
      <w:pPr>
        <w:pStyle w:val="FootnoteText"/>
        <w:rPr>
          <w:rFonts w:asciiTheme="minorHAnsi" w:hAnsiTheme="minorHAnsi" w:cstheme="minorHAnsi"/>
        </w:rPr>
      </w:pPr>
      <w:r w:rsidRPr="0056096E">
        <w:rPr>
          <w:rStyle w:val="FootnoteReference"/>
          <w:rFonts w:asciiTheme="minorHAnsi" w:hAnsiTheme="minorHAnsi" w:cstheme="minorHAnsi"/>
        </w:rPr>
        <w:footnoteRef/>
      </w:r>
      <w:r w:rsidRPr="0056096E">
        <w:rPr>
          <w:rFonts w:asciiTheme="minorHAnsi" w:hAnsiTheme="minorHAnsi" w:cstheme="minorHAnsi"/>
        </w:rPr>
        <w:t xml:space="preserve"> </w:t>
      </w:r>
      <w:hyperlink r:id="rId4" w:history="1">
        <w:r w:rsidRPr="0056096E">
          <w:rPr>
            <w:rStyle w:val="Hyperlink"/>
            <w:rFonts w:asciiTheme="minorHAnsi" w:hAnsiTheme="minorHAnsi" w:cstheme="minorHAnsi"/>
          </w:rPr>
          <w:t>https://sustainabledevelopment.un.org/sdgactions</w:t>
        </w:r>
      </w:hyperlink>
    </w:p>
  </w:footnote>
  <w:footnote w:id="5">
    <w:p w14:paraId="140ADFB3" w14:textId="1D64A49E" w:rsidR="00256493" w:rsidRPr="00256493" w:rsidRDefault="00256493">
      <w:pPr>
        <w:pStyle w:val="FootnoteText"/>
        <w:rPr>
          <w:rFonts w:asciiTheme="minorHAnsi" w:hAnsiTheme="minorHAnsi" w:cstheme="minorHAnsi"/>
        </w:rPr>
      </w:pPr>
      <w:r>
        <w:rPr>
          <w:rStyle w:val="FootnoteReference"/>
        </w:rPr>
        <w:footnoteRef/>
      </w:r>
      <w:r>
        <w:t xml:space="preserve"> </w:t>
      </w:r>
      <w:hyperlink r:id="rId5" w:history="1">
        <w:r w:rsidRPr="00256493">
          <w:rPr>
            <w:rStyle w:val="Hyperlink"/>
            <w:rFonts w:asciiTheme="minorHAnsi" w:hAnsiTheme="minorHAnsi" w:cstheme="minorHAnsi"/>
            <w:bCs/>
          </w:rPr>
          <w:t>Coastal Blue Carbon Ecosystems in International Frameworks and Conventions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6"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0"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5"/>
  </w:num>
  <w:num w:numId="4">
    <w:abstractNumId w:val="11"/>
  </w:num>
  <w:num w:numId="5">
    <w:abstractNumId w:val="13"/>
  </w:num>
  <w:num w:numId="6">
    <w:abstractNumId w:val="3"/>
  </w:num>
  <w:num w:numId="7">
    <w:abstractNumId w:val="9"/>
  </w:num>
  <w:num w:numId="8">
    <w:abstractNumId w:val="0"/>
  </w:num>
  <w:num w:numId="9">
    <w:abstractNumId w:val="21"/>
  </w:num>
  <w:num w:numId="10">
    <w:abstractNumId w:val="14"/>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12"/>
  </w:num>
  <w:num w:numId="16">
    <w:abstractNumId w:val="20"/>
  </w:num>
  <w:num w:numId="17">
    <w:abstractNumId w:val="17"/>
  </w:num>
  <w:num w:numId="18">
    <w:abstractNumId w:val="16"/>
  </w:num>
  <w:num w:numId="19">
    <w:abstractNumId w:val="6"/>
  </w:num>
  <w:num w:numId="20">
    <w:abstractNumId w:val="10"/>
  </w:num>
  <w:num w:numId="21">
    <w:abstractNumId w:val="1"/>
  </w:num>
  <w:num w:numId="22">
    <w:abstractNumId w:val="2"/>
  </w:num>
  <w:num w:numId="23">
    <w:abstractNumId w:val="2"/>
  </w:num>
  <w:num w:numId="2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8"/>
    <w:rsid w:val="0003002C"/>
    <w:rsid w:val="000370C7"/>
    <w:rsid w:val="00042A06"/>
    <w:rsid w:val="0004432B"/>
    <w:rsid w:val="00047C49"/>
    <w:rsid w:val="00056467"/>
    <w:rsid w:val="00060299"/>
    <w:rsid w:val="0006113B"/>
    <w:rsid w:val="0006611C"/>
    <w:rsid w:val="0007087A"/>
    <w:rsid w:val="00072FD9"/>
    <w:rsid w:val="00076F67"/>
    <w:rsid w:val="00084161"/>
    <w:rsid w:val="00085324"/>
    <w:rsid w:val="000864A8"/>
    <w:rsid w:val="0009108D"/>
    <w:rsid w:val="000954B9"/>
    <w:rsid w:val="000A2113"/>
    <w:rsid w:val="000A6E89"/>
    <w:rsid w:val="000B439C"/>
    <w:rsid w:val="000B6488"/>
    <w:rsid w:val="000C4327"/>
    <w:rsid w:val="000E4A5A"/>
    <w:rsid w:val="000F187D"/>
    <w:rsid w:val="000F7CD2"/>
    <w:rsid w:val="001052EE"/>
    <w:rsid w:val="001120D8"/>
    <w:rsid w:val="00115471"/>
    <w:rsid w:val="00127675"/>
    <w:rsid w:val="00142378"/>
    <w:rsid w:val="0014272D"/>
    <w:rsid w:val="00151B4D"/>
    <w:rsid w:val="00170EC8"/>
    <w:rsid w:val="001711E4"/>
    <w:rsid w:val="00180147"/>
    <w:rsid w:val="00192513"/>
    <w:rsid w:val="00192D1F"/>
    <w:rsid w:val="00195B2F"/>
    <w:rsid w:val="001A02AE"/>
    <w:rsid w:val="001A0DB6"/>
    <w:rsid w:val="001A4350"/>
    <w:rsid w:val="001A4919"/>
    <w:rsid w:val="001B6126"/>
    <w:rsid w:val="001C5FEF"/>
    <w:rsid w:val="001D1A71"/>
    <w:rsid w:val="001D5297"/>
    <w:rsid w:val="001E050F"/>
    <w:rsid w:val="001E52F6"/>
    <w:rsid w:val="001F2B93"/>
    <w:rsid w:val="001F2D94"/>
    <w:rsid w:val="001F4FA6"/>
    <w:rsid w:val="002014B8"/>
    <w:rsid w:val="002026A0"/>
    <w:rsid w:val="00206DD7"/>
    <w:rsid w:val="00222353"/>
    <w:rsid w:val="00226D5A"/>
    <w:rsid w:val="00236CDF"/>
    <w:rsid w:val="00241417"/>
    <w:rsid w:val="00244A45"/>
    <w:rsid w:val="00256493"/>
    <w:rsid w:val="00263A83"/>
    <w:rsid w:val="00272DA9"/>
    <w:rsid w:val="00282CD4"/>
    <w:rsid w:val="00290422"/>
    <w:rsid w:val="002A7D94"/>
    <w:rsid w:val="002B09F3"/>
    <w:rsid w:val="002B6D64"/>
    <w:rsid w:val="002C2416"/>
    <w:rsid w:val="002C49AA"/>
    <w:rsid w:val="002D1BE4"/>
    <w:rsid w:val="002D49CE"/>
    <w:rsid w:val="002D69D7"/>
    <w:rsid w:val="002E1B93"/>
    <w:rsid w:val="002E2FD5"/>
    <w:rsid w:val="002E46DB"/>
    <w:rsid w:val="002F62DC"/>
    <w:rsid w:val="00307B7E"/>
    <w:rsid w:val="003147A7"/>
    <w:rsid w:val="0035108A"/>
    <w:rsid w:val="003673A1"/>
    <w:rsid w:val="00376618"/>
    <w:rsid w:val="00387CC8"/>
    <w:rsid w:val="003910E6"/>
    <w:rsid w:val="0039225B"/>
    <w:rsid w:val="00392C20"/>
    <w:rsid w:val="00393A96"/>
    <w:rsid w:val="003B2120"/>
    <w:rsid w:val="003E3316"/>
    <w:rsid w:val="003E4A19"/>
    <w:rsid w:val="003F44C3"/>
    <w:rsid w:val="0040386B"/>
    <w:rsid w:val="00407097"/>
    <w:rsid w:val="004210D2"/>
    <w:rsid w:val="00451F5F"/>
    <w:rsid w:val="004524F8"/>
    <w:rsid w:val="00457D19"/>
    <w:rsid w:val="0046275D"/>
    <w:rsid w:val="00497AF8"/>
    <w:rsid w:val="004A4010"/>
    <w:rsid w:val="004B1D3D"/>
    <w:rsid w:val="004B2B5C"/>
    <w:rsid w:val="004B3CB7"/>
    <w:rsid w:val="004B3FC0"/>
    <w:rsid w:val="004B4177"/>
    <w:rsid w:val="004C490B"/>
    <w:rsid w:val="004C5B98"/>
    <w:rsid w:val="004C6421"/>
    <w:rsid w:val="004E1D32"/>
    <w:rsid w:val="004E7B33"/>
    <w:rsid w:val="004F10F0"/>
    <w:rsid w:val="005026F2"/>
    <w:rsid w:val="0051310D"/>
    <w:rsid w:val="00520A78"/>
    <w:rsid w:val="00521575"/>
    <w:rsid w:val="005218BF"/>
    <w:rsid w:val="005227EF"/>
    <w:rsid w:val="0052478C"/>
    <w:rsid w:val="0052733A"/>
    <w:rsid w:val="00547AA7"/>
    <w:rsid w:val="00550AA7"/>
    <w:rsid w:val="005526E4"/>
    <w:rsid w:val="00553ECB"/>
    <w:rsid w:val="0056447C"/>
    <w:rsid w:val="00581B51"/>
    <w:rsid w:val="00590992"/>
    <w:rsid w:val="00593DE7"/>
    <w:rsid w:val="005B0FB5"/>
    <w:rsid w:val="005B69AE"/>
    <w:rsid w:val="005D39DC"/>
    <w:rsid w:val="005E6F7A"/>
    <w:rsid w:val="005F28BA"/>
    <w:rsid w:val="005F3347"/>
    <w:rsid w:val="005F7E5A"/>
    <w:rsid w:val="00603642"/>
    <w:rsid w:val="00604B64"/>
    <w:rsid w:val="00604BEA"/>
    <w:rsid w:val="00605CF9"/>
    <w:rsid w:val="00606C61"/>
    <w:rsid w:val="00617103"/>
    <w:rsid w:val="0062622F"/>
    <w:rsid w:val="00630166"/>
    <w:rsid w:val="00642475"/>
    <w:rsid w:val="0064372C"/>
    <w:rsid w:val="00650451"/>
    <w:rsid w:val="006528D1"/>
    <w:rsid w:val="006538B8"/>
    <w:rsid w:val="0065474B"/>
    <w:rsid w:val="00657CE9"/>
    <w:rsid w:val="00663A5C"/>
    <w:rsid w:val="006716C0"/>
    <w:rsid w:val="00674CBE"/>
    <w:rsid w:val="0068470B"/>
    <w:rsid w:val="00684F5B"/>
    <w:rsid w:val="00692166"/>
    <w:rsid w:val="006939F7"/>
    <w:rsid w:val="006978CC"/>
    <w:rsid w:val="006A28A0"/>
    <w:rsid w:val="006A337F"/>
    <w:rsid w:val="006A3C75"/>
    <w:rsid w:val="006B31D7"/>
    <w:rsid w:val="006C2C65"/>
    <w:rsid w:val="006C4DEE"/>
    <w:rsid w:val="006D0E5D"/>
    <w:rsid w:val="006D1481"/>
    <w:rsid w:val="006D7358"/>
    <w:rsid w:val="006D7748"/>
    <w:rsid w:val="00700845"/>
    <w:rsid w:val="0070110D"/>
    <w:rsid w:val="0070459C"/>
    <w:rsid w:val="00710105"/>
    <w:rsid w:val="0072338A"/>
    <w:rsid w:val="00725DEB"/>
    <w:rsid w:val="0072768A"/>
    <w:rsid w:val="0073476F"/>
    <w:rsid w:val="00735DD9"/>
    <w:rsid w:val="0075040D"/>
    <w:rsid w:val="007521EC"/>
    <w:rsid w:val="00757DED"/>
    <w:rsid w:val="00760384"/>
    <w:rsid w:val="00765378"/>
    <w:rsid w:val="00784E88"/>
    <w:rsid w:val="0079257F"/>
    <w:rsid w:val="00795F16"/>
    <w:rsid w:val="007B0336"/>
    <w:rsid w:val="007B73E8"/>
    <w:rsid w:val="007C2392"/>
    <w:rsid w:val="007C709B"/>
    <w:rsid w:val="007D1E8C"/>
    <w:rsid w:val="007D37D5"/>
    <w:rsid w:val="007E01C4"/>
    <w:rsid w:val="007E2451"/>
    <w:rsid w:val="007E3357"/>
    <w:rsid w:val="007E57F8"/>
    <w:rsid w:val="007F58BC"/>
    <w:rsid w:val="007F752F"/>
    <w:rsid w:val="008056BC"/>
    <w:rsid w:val="0080625E"/>
    <w:rsid w:val="00806DF4"/>
    <w:rsid w:val="00813EBF"/>
    <w:rsid w:val="00817C10"/>
    <w:rsid w:val="00833690"/>
    <w:rsid w:val="00836F1F"/>
    <w:rsid w:val="00844542"/>
    <w:rsid w:val="00852C38"/>
    <w:rsid w:val="00861EFD"/>
    <w:rsid w:val="0087137A"/>
    <w:rsid w:val="0087472D"/>
    <w:rsid w:val="00877D5C"/>
    <w:rsid w:val="008815A6"/>
    <w:rsid w:val="0088329E"/>
    <w:rsid w:val="008A6822"/>
    <w:rsid w:val="008C0EF2"/>
    <w:rsid w:val="008C1F1F"/>
    <w:rsid w:val="008D7E45"/>
    <w:rsid w:val="008E23D2"/>
    <w:rsid w:val="008E36F9"/>
    <w:rsid w:val="008E4A4B"/>
    <w:rsid w:val="008F5FED"/>
    <w:rsid w:val="008F6F80"/>
    <w:rsid w:val="008F7F43"/>
    <w:rsid w:val="00903BAE"/>
    <w:rsid w:val="009051CB"/>
    <w:rsid w:val="009178A1"/>
    <w:rsid w:val="00921135"/>
    <w:rsid w:val="00925DD9"/>
    <w:rsid w:val="00930398"/>
    <w:rsid w:val="0093126F"/>
    <w:rsid w:val="00932870"/>
    <w:rsid w:val="00935D19"/>
    <w:rsid w:val="00935F5E"/>
    <w:rsid w:val="00935F79"/>
    <w:rsid w:val="00943B75"/>
    <w:rsid w:val="009446DA"/>
    <w:rsid w:val="0094492C"/>
    <w:rsid w:val="00947D80"/>
    <w:rsid w:val="009528EA"/>
    <w:rsid w:val="009629A6"/>
    <w:rsid w:val="00967F4E"/>
    <w:rsid w:val="00980F95"/>
    <w:rsid w:val="00981447"/>
    <w:rsid w:val="00981D9A"/>
    <w:rsid w:val="00982CA9"/>
    <w:rsid w:val="009A028E"/>
    <w:rsid w:val="009A6948"/>
    <w:rsid w:val="009B4A2D"/>
    <w:rsid w:val="009B5EE7"/>
    <w:rsid w:val="009C2848"/>
    <w:rsid w:val="009D0450"/>
    <w:rsid w:val="009D1178"/>
    <w:rsid w:val="009D3F6F"/>
    <w:rsid w:val="009F5E4F"/>
    <w:rsid w:val="009F6F44"/>
    <w:rsid w:val="00A06231"/>
    <w:rsid w:val="00A176BF"/>
    <w:rsid w:val="00A24287"/>
    <w:rsid w:val="00A24B4F"/>
    <w:rsid w:val="00A31F5E"/>
    <w:rsid w:val="00A41214"/>
    <w:rsid w:val="00A51538"/>
    <w:rsid w:val="00A558CD"/>
    <w:rsid w:val="00A65EBD"/>
    <w:rsid w:val="00A72CBB"/>
    <w:rsid w:val="00A80A93"/>
    <w:rsid w:val="00A86D46"/>
    <w:rsid w:val="00AA092C"/>
    <w:rsid w:val="00AA4F75"/>
    <w:rsid w:val="00AB76F9"/>
    <w:rsid w:val="00AC0464"/>
    <w:rsid w:val="00AC19F6"/>
    <w:rsid w:val="00AC3C00"/>
    <w:rsid w:val="00AD1875"/>
    <w:rsid w:val="00AF4510"/>
    <w:rsid w:val="00B12FDF"/>
    <w:rsid w:val="00B14E60"/>
    <w:rsid w:val="00B23AED"/>
    <w:rsid w:val="00B355FE"/>
    <w:rsid w:val="00B37B81"/>
    <w:rsid w:val="00B417C3"/>
    <w:rsid w:val="00B4567C"/>
    <w:rsid w:val="00B62EC0"/>
    <w:rsid w:val="00B74A30"/>
    <w:rsid w:val="00B7760D"/>
    <w:rsid w:val="00B8463E"/>
    <w:rsid w:val="00B90919"/>
    <w:rsid w:val="00B923A7"/>
    <w:rsid w:val="00B93D93"/>
    <w:rsid w:val="00BA0FA7"/>
    <w:rsid w:val="00BB4E1E"/>
    <w:rsid w:val="00BC3BAB"/>
    <w:rsid w:val="00BC55A6"/>
    <w:rsid w:val="00BC6AA8"/>
    <w:rsid w:val="00BC703E"/>
    <w:rsid w:val="00BD2414"/>
    <w:rsid w:val="00BE11D9"/>
    <w:rsid w:val="00BE2F24"/>
    <w:rsid w:val="00BF006A"/>
    <w:rsid w:val="00BF2827"/>
    <w:rsid w:val="00BF387A"/>
    <w:rsid w:val="00BF4907"/>
    <w:rsid w:val="00BF6A38"/>
    <w:rsid w:val="00BF6BED"/>
    <w:rsid w:val="00C00740"/>
    <w:rsid w:val="00C05B90"/>
    <w:rsid w:val="00C41649"/>
    <w:rsid w:val="00C52AE6"/>
    <w:rsid w:val="00C543FE"/>
    <w:rsid w:val="00C56C69"/>
    <w:rsid w:val="00C6182C"/>
    <w:rsid w:val="00C65F8C"/>
    <w:rsid w:val="00C73CEB"/>
    <w:rsid w:val="00C82CA9"/>
    <w:rsid w:val="00C8646A"/>
    <w:rsid w:val="00C90D45"/>
    <w:rsid w:val="00C9113E"/>
    <w:rsid w:val="00C91418"/>
    <w:rsid w:val="00C92904"/>
    <w:rsid w:val="00C947F3"/>
    <w:rsid w:val="00C95D56"/>
    <w:rsid w:val="00CA3A5E"/>
    <w:rsid w:val="00CA3A76"/>
    <w:rsid w:val="00CA5126"/>
    <w:rsid w:val="00CB1F87"/>
    <w:rsid w:val="00CB5EEF"/>
    <w:rsid w:val="00CC21DA"/>
    <w:rsid w:val="00CC352B"/>
    <w:rsid w:val="00CC61EE"/>
    <w:rsid w:val="00CD0D75"/>
    <w:rsid w:val="00CD7205"/>
    <w:rsid w:val="00CE28B9"/>
    <w:rsid w:val="00CE6B7F"/>
    <w:rsid w:val="00CF4E8B"/>
    <w:rsid w:val="00D03458"/>
    <w:rsid w:val="00D15F00"/>
    <w:rsid w:val="00D31EE9"/>
    <w:rsid w:val="00D32C41"/>
    <w:rsid w:val="00D36DB4"/>
    <w:rsid w:val="00D370E5"/>
    <w:rsid w:val="00D41DE7"/>
    <w:rsid w:val="00D50CB8"/>
    <w:rsid w:val="00D574D8"/>
    <w:rsid w:val="00D81A43"/>
    <w:rsid w:val="00D822C8"/>
    <w:rsid w:val="00D84FF7"/>
    <w:rsid w:val="00DA1FA6"/>
    <w:rsid w:val="00DA5E4B"/>
    <w:rsid w:val="00DC189B"/>
    <w:rsid w:val="00DC2D37"/>
    <w:rsid w:val="00DC50A5"/>
    <w:rsid w:val="00DD15ED"/>
    <w:rsid w:val="00DD23F7"/>
    <w:rsid w:val="00DD2530"/>
    <w:rsid w:val="00E06383"/>
    <w:rsid w:val="00E10B6A"/>
    <w:rsid w:val="00E116C7"/>
    <w:rsid w:val="00E126CE"/>
    <w:rsid w:val="00E13FEC"/>
    <w:rsid w:val="00E31F4A"/>
    <w:rsid w:val="00E33BA8"/>
    <w:rsid w:val="00E414F9"/>
    <w:rsid w:val="00E44AFD"/>
    <w:rsid w:val="00E66B18"/>
    <w:rsid w:val="00E93B99"/>
    <w:rsid w:val="00E97824"/>
    <w:rsid w:val="00EA7F4E"/>
    <w:rsid w:val="00EB5D3E"/>
    <w:rsid w:val="00EB6C48"/>
    <w:rsid w:val="00EB7945"/>
    <w:rsid w:val="00EB7BD2"/>
    <w:rsid w:val="00EC3EC8"/>
    <w:rsid w:val="00EE04C8"/>
    <w:rsid w:val="00EE3447"/>
    <w:rsid w:val="00EE7C5E"/>
    <w:rsid w:val="00EF71CC"/>
    <w:rsid w:val="00EF71D5"/>
    <w:rsid w:val="00EF7C90"/>
    <w:rsid w:val="00F12F4F"/>
    <w:rsid w:val="00F14EFA"/>
    <w:rsid w:val="00F2376A"/>
    <w:rsid w:val="00F24BA2"/>
    <w:rsid w:val="00F3006D"/>
    <w:rsid w:val="00F544F8"/>
    <w:rsid w:val="00F54676"/>
    <w:rsid w:val="00F57B2D"/>
    <w:rsid w:val="00F601DD"/>
    <w:rsid w:val="00F60271"/>
    <w:rsid w:val="00F65492"/>
    <w:rsid w:val="00F678E0"/>
    <w:rsid w:val="00F71AC0"/>
    <w:rsid w:val="00F74173"/>
    <w:rsid w:val="00F777C2"/>
    <w:rsid w:val="00F9170F"/>
    <w:rsid w:val="00FA0E3F"/>
    <w:rsid w:val="00FA101A"/>
    <w:rsid w:val="00FA63C8"/>
    <w:rsid w:val="00FA67AD"/>
    <w:rsid w:val="00FB0BF9"/>
    <w:rsid w:val="00FB47CB"/>
    <w:rsid w:val="00FB5F08"/>
    <w:rsid w:val="00FC2ED8"/>
    <w:rsid w:val="00FD1246"/>
    <w:rsid w:val="00FD2EFA"/>
    <w:rsid w:val="00FD7F49"/>
    <w:rsid w:val="00FE0C6D"/>
    <w:rsid w:val="00FF3481"/>
    <w:rsid w:val="00FF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F6C"/>
  <w15:chartTrackingRefBased/>
  <w15:docId w15:val="{3D555B5C-7520-4FC7-BD24-28507B4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0">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9C2848"/>
    <w:rPr>
      <w:color w:val="0563C1" w:themeColor="hyperlink"/>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0"/>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0"/>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
    <w:name w:val="Heading4"/>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
    <w:name w:val="Unresolved Mention"/>
    <w:basedOn w:val="DefaultParagraphFont"/>
    <w:uiPriority w:val="99"/>
    <w:semiHidden/>
    <w:unhideWhenUsed/>
    <w:rsid w:val="002A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document/sc59-doc16-enhancing-the-conventions-visibility-and-synergies-with-other-multilater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msar.org/document/wetlands-restoration-unlocking-the-untapped-potential-of-the-earths-most-valuable-ecosystem" TargetMode="External"/><Relationship Id="rId4" Type="http://schemas.openxmlformats.org/officeDocument/2006/relationships/settings" Target="settings.xml"/><Relationship Id="rId9" Type="http://schemas.openxmlformats.org/officeDocument/2006/relationships/hyperlink" Target="https://www.ramsar.org/document/sc59-doc16-enhancing-the-conventions-visibility-and-synergies-with-other-multilater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59-doc161-review-of-the-fifth-joint-work-plan-between-the-convention-on-biological" TargetMode="External"/><Relationship Id="rId2" Type="http://schemas.openxmlformats.org/officeDocument/2006/relationships/hyperlink" Target="https://www.ramsar.org/document/sc59-doc16-enhancing-the-conventions-visibility-and-synergies-with-other-multilateral" TargetMode="External"/><Relationship Id="rId1" Type="http://schemas.openxmlformats.org/officeDocument/2006/relationships/hyperlink" Target="https://www.ramsar.org/document/sc58-doc18-enhancing-the-conventions-visibility-and-synergies-with-other-multilateral" TargetMode="External"/><Relationship Id="rId5" Type="http://schemas.openxmlformats.org/officeDocument/2006/relationships/hyperlink" Target="https://bluecarbonpartnership.org/wp-content/uploads/2021/10/IPBC_Overview-Report-on-Coastal-Blue-Carbon-Ecosystems-in-International-Frameworks-and-Conventions_First_Edition_October_2021.pdf" TargetMode="External"/><Relationship Id="rId4" Type="http://schemas.openxmlformats.org/officeDocument/2006/relationships/hyperlink" Target="https://sustainabledevelopment.un.org/sdg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CBE0-91B8-4105-87E9-835509D5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3</cp:revision>
  <cp:lastPrinted>2022-04-22T14:00:00Z</cp:lastPrinted>
  <dcterms:created xsi:type="dcterms:W3CDTF">2022-04-22T14:00:00Z</dcterms:created>
  <dcterms:modified xsi:type="dcterms:W3CDTF">2022-04-22T14:01:00Z</dcterms:modified>
</cp:coreProperties>
</file>