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E6AAB" w14:textId="05EECB4A" w:rsidR="009C2848" w:rsidRPr="00F34795" w:rsidRDefault="00F34795"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noProof/>
          <w:lang w:val="es-ES" w:eastAsia="en-GB"/>
        </w:rPr>
      </w:pPr>
      <w:r w:rsidRPr="00F34795">
        <w:rPr>
          <w:rFonts w:eastAsia="Times New Roman" w:cstheme="minorHAnsi"/>
          <w:bCs/>
          <w:noProof/>
          <w:lang w:val="es-ES" w:eastAsia="en-GB"/>
        </w:rPr>
        <w:t>LA CONVENCIÓN SOBRE LOS HUMEDALES</w:t>
      </w:r>
    </w:p>
    <w:p w14:paraId="5D9B8685" w14:textId="77777777" w:rsidR="00D4000B" w:rsidRPr="00D4000B" w:rsidRDefault="00D4000B" w:rsidP="00D4000B">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noProof/>
          <w:lang w:val="es-ES" w:eastAsia="en-GB"/>
        </w:rPr>
      </w:pPr>
      <w:r w:rsidRPr="00D4000B">
        <w:rPr>
          <w:rFonts w:eastAsia="Times New Roman" w:cstheme="minorHAnsi"/>
          <w:bCs/>
          <w:noProof/>
          <w:lang w:val="es-ES" w:eastAsia="en-GB"/>
        </w:rPr>
        <w:t>59ª Reunión del Comité Permanente</w:t>
      </w:r>
    </w:p>
    <w:p w14:paraId="32848A63" w14:textId="77777777" w:rsidR="00D4000B" w:rsidRPr="00D4000B" w:rsidRDefault="00D4000B" w:rsidP="00D4000B">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noProof/>
          <w:lang w:val="es-ES" w:eastAsia="en-GB"/>
        </w:rPr>
      </w:pPr>
      <w:r w:rsidRPr="00D4000B">
        <w:rPr>
          <w:rFonts w:eastAsia="Times New Roman" w:cstheme="minorHAnsi"/>
          <w:bCs/>
          <w:noProof/>
          <w:lang w:val="es-ES" w:eastAsia="en-GB"/>
        </w:rPr>
        <w:t>Sesión reanudada</w:t>
      </w:r>
    </w:p>
    <w:p w14:paraId="2768DE92" w14:textId="21BDCB4A" w:rsidR="009C2848" w:rsidRPr="00D4000B" w:rsidRDefault="00D4000B" w:rsidP="00D4000B">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noProof/>
          <w:lang w:val="es-ES" w:eastAsia="en-GB"/>
        </w:rPr>
      </w:pPr>
      <w:r w:rsidRPr="00D4000B">
        <w:rPr>
          <w:rFonts w:eastAsia="Times New Roman" w:cstheme="minorHAnsi"/>
          <w:bCs/>
          <w:noProof/>
          <w:lang w:val="es-ES" w:eastAsia="en-GB"/>
        </w:rPr>
        <w:t>Gland, Suiza, 23 a 27 de maio de 2022</w:t>
      </w:r>
    </w:p>
    <w:p w14:paraId="7D2F4A8C" w14:textId="77777777" w:rsidR="009C2848" w:rsidRPr="00F34795" w:rsidRDefault="009C2848" w:rsidP="00AC0464">
      <w:pPr>
        <w:spacing w:after="0" w:line="240" w:lineRule="auto"/>
        <w:jc w:val="both"/>
        <w:rPr>
          <w:rFonts w:eastAsia="Times New Roman" w:cstheme="minorHAnsi"/>
          <w:noProof/>
          <w:sz w:val="24"/>
          <w:szCs w:val="24"/>
          <w:lang w:val="es-ES" w:eastAsia="en-GB"/>
        </w:rPr>
      </w:pPr>
    </w:p>
    <w:p w14:paraId="1A4BCFF4" w14:textId="77777777" w:rsidR="009C2848" w:rsidRPr="00F34795" w:rsidRDefault="009C2848" w:rsidP="00AC0464">
      <w:pPr>
        <w:spacing w:after="0" w:line="240" w:lineRule="auto"/>
        <w:jc w:val="right"/>
        <w:rPr>
          <w:rFonts w:eastAsia="Times New Roman" w:cstheme="minorHAnsi"/>
          <w:b/>
          <w:noProof/>
          <w:sz w:val="28"/>
          <w:szCs w:val="28"/>
          <w:lang w:val="es-ES" w:eastAsia="en-GB"/>
        </w:rPr>
      </w:pPr>
      <w:r w:rsidRPr="00F34795">
        <w:rPr>
          <w:rFonts w:eastAsia="Times New Roman" w:cstheme="minorHAnsi"/>
          <w:b/>
          <w:noProof/>
          <w:sz w:val="28"/>
          <w:szCs w:val="28"/>
          <w:lang w:val="es-ES" w:eastAsia="en-GB"/>
        </w:rPr>
        <w:t>SC5</w:t>
      </w:r>
      <w:r w:rsidR="00C90D45" w:rsidRPr="00F34795">
        <w:rPr>
          <w:rFonts w:eastAsia="Times New Roman" w:cstheme="minorHAnsi"/>
          <w:b/>
          <w:noProof/>
          <w:sz w:val="28"/>
          <w:szCs w:val="28"/>
          <w:lang w:val="es-ES" w:eastAsia="en-GB"/>
        </w:rPr>
        <w:t>9</w:t>
      </w:r>
      <w:r w:rsidR="006D7358" w:rsidRPr="00F34795">
        <w:rPr>
          <w:rFonts w:eastAsia="Times New Roman" w:cstheme="minorHAnsi"/>
          <w:b/>
          <w:noProof/>
          <w:sz w:val="28"/>
          <w:szCs w:val="28"/>
          <w:lang w:val="es-ES" w:eastAsia="en-GB"/>
        </w:rPr>
        <w:t>/2022</w:t>
      </w:r>
      <w:r w:rsidRPr="00F34795">
        <w:rPr>
          <w:rFonts w:eastAsia="Times New Roman" w:cstheme="minorHAnsi"/>
          <w:b/>
          <w:noProof/>
          <w:sz w:val="28"/>
          <w:szCs w:val="28"/>
          <w:lang w:val="es-ES" w:eastAsia="en-GB"/>
        </w:rPr>
        <w:t xml:space="preserve"> Doc.</w:t>
      </w:r>
      <w:r w:rsidR="006D0E5D" w:rsidRPr="00F34795">
        <w:rPr>
          <w:rFonts w:eastAsia="Times New Roman" w:cstheme="minorHAnsi"/>
          <w:b/>
          <w:noProof/>
          <w:sz w:val="28"/>
          <w:szCs w:val="28"/>
          <w:lang w:val="es-ES" w:eastAsia="en-GB"/>
        </w:rPr>
        <w:t>1</w:t>
      </w:r>
      <w:r w:rsidR="00B47AE8" w:rsidRPr="00F34795">
        <w:rPr>
          <w:rFonts w:eastAsia="Times New Roman" w:cstheme="minorHAnsi"/>
          <w:b/>
          <w:noProof/>
          <w:sz w:val="28"/>
          <w:szCs w:val="28"/>
          <w:lang w:val="es-ES" w:eastAsia="en-GB"/>
        </w:rPr>
        <w:t>7.3</w:t>
      </w:r>
    </w:p>
    <w:p w14:paraId="6975771D" w14:textId="77777777" w:rsidR="009C2848" w:rsidRPr="00F34795" w:rsidRDefault="009C2848" w:rsidP="00AC0464">
      <w:pPr>
        <w:spacing w:after="0" w:line="240" w:lineRule="auto"/>
        <w:jc w:val="right"/>
        <w:rPr>
          <w:rFonts w:eastAsia="Times New Roman" w:cstheme="minorHAnsi"/>
          <w:b/>
          <w:noProof/>
          <w:sz w:val="28"/>
          <w:szCs w:val="28"/>
          <w:lang w:val="es-ES" w:eastAsia="en-GB"/>
        </w:rPr>
      </w:pPr>
      <w:bookmarkStart w:id="0" w:name="_GoBack"/>
    </w:p>
    <w:bookmarkEnd w:id="0"/>
    <w:p w14:paraId="0F8820BA" w14:textId="77777777" w:rsidR="008B2D81" w:rsidRDefault="008B2D81" w:rsidP="000C2E1F">
      <w:pPr>
        <w:spacing w:after="0" w:line="240" w:lineRule="auto"/>
        <w:jc w:val="center"/>
        <w:rPr>
          <w:rFonts w:eastAsia="Times New Roman" w:cstheme="minorHAnsi"/>
          <w:b/>
          <w:noProof/>
          <w:sz w:val="28"/>
          <w:szCs w:val="28"/>
          <w:lang w:val="es-ES" w:eastAsia="en-GB"/>
        </w:rPr>
      </w:pPr>
      <w:r w:rsidRPr="008B2D81">
        <w:rPr>
          <w:rFonts w:eastAsia="Times New Roman" w:cstheme="minorHAnsi"/>
          <w:b/>
          <w:noProof/>
          <w:sz w:val="28"/>
          <w:szCs w:val="28"/>
          <w:lang w:val="es-ES" w:eastAsia="en-GB"/>
        </w:rPr>
        <w:t>Aplicación de la Resolución XIII.1 sobre el Día Mundial de los Humedales</w:t>
      </w:r>
    </w:p>
    <w:p w14:paraId="5162396E" w14:textId="77777777" w:rsidR="00B47AE8" w:rsidRPr="00F34795" w:rsidRDefault="00B47AE8" w:rsidP="00AC0464">
      <w:pPr>
        <w:spacing w:after="0" w:line="240" w:lineRule="auto"/>
        <w:jc w:val="both"/>
        <w:rPr>
          <w:rFonts w:cstheme="minorHAnsi"/>
          <w:b/>
          <w:noProof/>
          <w:color w:val="363A2F"/>
          <w:sz w:val="28"/>
          <w:szCs w:val="28"/>
          <w:shd w:val="clear" w:color="auto" w:fill="FAFAFA"/>
          <w:lang w:val="es-ES"/>
        </w:rPr>
      </w:pPr>
    </w:p>
    <w:p w14:paraId="4041FF30" w14:textId="77777777" w:rsidR="009C2848" w:rsidRPr="00F34795" w:rsidRDefault="009C2848" w:rsidP="009C2848">
      <w:pPr>
        <w:autoSpaceDE w:val="0"/>
        <w:autoSpaceDN w:val="0"/>
        <w:adjustRightInd w:val="0"/>
        <w:spacing w:after="0" w:line="240" w:lineRule="auto"/>
        <w:ind w:left="357" w:hanging="357"/>
        <w:jc w:val="both"/>
        <w:rPr>
          <w:rFonts w:cstheme="minorHAnsi"/>
          <w:noProof/>
          <w:lang w:val="es-ES"/>
        </w:rPr>
      </w:pPr>
      <w:r w:rsidRPr="00F34795">
        <w:rPr>
          <w:rFonts w:eastAsia="Times New Roman" w:cstheme="minorHAnsi"/>
          <w:noProof/>
          <w:lang w:eastAsia="en-GB"/>
        </w:rPr>
        <mc:AlternateContent>
          <mc:Choice Requires="wps">
            <w:drawing>
              <wp:inline distT="0" distB="0" distL="0" distR="0" wp14:anchorId="47BF25C5" wp14:editId="32BF2C88">
                <wp:extent cx="5854535" cy="822960"/>
                <wp:effectExtent l="0" t="0" r="13335" b="1524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822960"/>
                        </a:xfrm>
                        <a:prstGeom prst="rect">
                          <a:avLst/>
                        </a:prstGeom>
                        <a:solidFill>
                          <a:srgbClr val="FFFFFF"/>
                        </a:solidFill>
                        <a:ln w="9525">
                          <a:solidFill>
                            <a:srgbClr val="000000"/>
                          </a:solidFill>
                          <a:miter lim="800000"/>
                          <a:headEnd/>
                          <a:tailEnd/>
                        </a:ln>
                      </wps:spPr>
                      <wps:txbx>
                        <w:txbxContent>
                          <w:p w14:paraId="56DC22C0" w14:textId="29E78F31" w:rsidR="002A7D94" w:rsidRPr="008B2D81" w:rsidRDefault="008B2D81" w:rsidP="009C2848">
                            <w:pPr>
                              <w:rPr>
                                <w:rFonts w:ascii="Calibri" w:hAnsi="Calibri"/>
                                <w:b/>
                                <w:bCs/>
                                <w:noProof/>
                                <w:lang w:val="es-ES"/>
                              </w:rPr>
                            </w:pPr>
                            <w:r w:rsidRPr="008B2D81">
                              <w:rPr>
                                <w:rFonts w:ascii="Calibri" w:hAnsi="Calibri"/>
                                <w:b/>
                                <w:bCs/>
                                <w:noProof/>
                                <w:lang w:val="es-ES"/>
                              </w:rPr>
                              <w:t>Acciones solicitadas</w:t>
                            </w:r>
                            <w:r w:rsidR="002A7D94" w:rsidRPr="008B2D81">
                              <w:rPr>
                                <w:rFonts w:ascii="Calibri" w:hAnsi="Calibri"/>
                                <w:b/>
                                <w:bCs/>
                                <w:noProof/>
                                <w:lang w:val="es-ES"/>
                              </w:rPr>
                              <w:t>:</w:t>
                            </w:r>
                          </w:p>
                          <w:p w14:paraId="562E0234" w14:textId="438F19BF" w:rsidR="002A7D94" w:rsidRPr="008B2D81" w:rsidRDefault="002A7D94" w:rsidP="00D33F1A">
                            <w:pPr>
                              <w:ind w:hanging="73"/>
                              <w:rPr>
                                <w:rFonts w:ascii="Calibri" w:hAnsi="Calibri" w:cs="Calibri"/>
                                <w:noProof/>
                                <w:color w:val="000000"/>
                                <w:lang w:val="es-ES"/>
                              </w:rPr>
                            </w:pPr>
                            <w:r w:rsidRPr="008B2D81">
                              <w:rPr>
                                <w:noProof/>
                                <w:lang w:val="es-ES"/>
                              </w:rPr>
                              <w:t xml:space="preserve"> </w:t>
                            </w:r>
                            <w:r w:rsidR="00D33F1A" w:rsidRPr="00D33F1A">
                              <w:rPr>
                                <w:noProof/>
                                <w:lang w:val="es-ES"/>
                              </w:rPr>
                              <w:t xml:space="preserve">Se invita al Comité Permanente a tomar nota de los avances en la aplicación de la Resolución XIII.1 sobre el </w:t>
                            </w:r>
                            <w:r w:rsidR="00D33F1A" w:rsidRPr="006740A5">
                              <w:rPr>
                                <w:i/>
                                <w:iCs/>
                                <w:noProof/>
                                <w:lang w:val="es-ES"/>
                              </w:rPr>
                              <w:t>Día Mundial de los Humedales</w:t>
                            </w:r>
                            <w:r w:rsidR="00D33F1A" w:rsidRPr="00D33F1A">
                              <w:rPr>
                                <w:noProof/>
                                <w:lang w:val="es-ES"/>
                              </w:rPr>
                              <w:t>.</w:t>
                            </w:r>
                            <w:r w:rsidR="007F3DF4" w:rsidRPr="008B2D81">
                              <w:rPr>
                                <w:rFonts w:cstheme="minorHAnsi"/>
                                <w:bCs/>
                                <w:noProof/>
                                <w:lang w:val="es-ES"/>
                              </w:rPr>
                              <w:t xml:space="preserve"> </w:t>
                            </w:r>
                          </w:p>
                          <w:p w14:paraId="3E1778A8" w14:textId="77777777" w:rsidR="002A7D94" w:rsidRPr="008B2D81" w:rsidRDefault="002A7D94" w:rsidP="00192D1F">
                            <w:pPr>
                              <w:rPr>
                                <w:noProof/>
                                <w:lang w:val="es-ES"/>
                              </w:rPr>
                            </w:pPr>
                          </w:p>
                        </w:txbxContent>
                      </wps:txbx>
                      <wps:bodyPr rot="0" vert="horz" wrap="square" lIns="91440" tIns="45720" rIns="91440" bIns="45720" anchor="t" anchorCtr="0" upright="1">
                        <a:noAutofit/>
                      </wps:bodyPr>
                    </wps:wsp>
                  </a:graphicData>
                </a:graphic>
              </wp:inline>
            </w:drawing>
          </mc:Choice>
          <mc:Fallback>
            <w:pict>
              <v:shapetype w14:anchorId="47BF25C5" id="_x0000_t202" coordsize="21600,21600" o:spt="202" path="m,l,21600r21600,l21600,xe">
                <v:stroke joinstyle="miter"/>
                <v:path gradientshapeok="t" o:connecttype="rect"/>
              </v:shapetype>
              <v:shape id="Text Box 5" o:spid="_x0000_s1026" type="#_x0000_t202" style="width:461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">
                <v:textbox>
                  <w:txbxContent>
                    <w:p w14:paraId="56DC22C0" w14:textId="29E78F31" w:rsidR="002A7D94" w:rsidRPr="008B2D81" w:rsidRDefault="008B2D81" w:rsidP="009C2848">
                      <w:pPr>
                        <w:rPr>
                          <w:rFonts w:ascii="Calibri" w:hAnsi="Calibri"/>
                          <w:b/>
                          <w:bCs/>
                          <w:noProof/>
                          <w:lang w:val="es-ES"/>
                        </w:rPr>
                      </w:pPr>
                      <w:r w:rsidRPr="008B2D81">
                        <w:rPr>
                          <w:rFonts w:ascii="Calibri" w:hAnsi="Calibri"/>
                          <w:b/>
                          <w:bCs/>
                          <w:noProof/>
                          <w:lang w:val="es-ES"/>
                        </w:rPr>
                        <w:t>Acciones solicitadas</w:t>
                      </w:r>
                      <w:r w:rsidR="002A7D94" w:rsidRPr="008B2D81">
                        <w:rPr>
                          <w:rFonts w:ascii="Calibri" w:hAnsi="Calibri"/>
                          <w:b/>
                          <w:bCs/>
                          <w:noProof/>
                          <w:lang w:val="es-ES"/>
                        </w:rPr>
                        <w:t>:</w:t>
                      </w:r>
                    </w:p>
                    <w:p w14:paraId="562E0234" w14:textId="438F19BF" w:rsidR="002A7D94" w:rsidRPr="008B2D81" w:rsidRDefault="002A7D94" w:rsidP="00D33F1A">
                      <w:pPr>
                        <w:ind w:hanging="73"/>
                        <w:rPr>
                          <w:rFonts w:ascii="Calibri" w:hAnsi="Calibri" w:cs="Calibri"/>
                          <w:noProof/>
                          <w:color w:val="000000"/>
                          <w:lang w:val="es-ES"/>
                        </w:rPr>
                      </w:pPr>
                      <w:r w:rsidRPr="008B2D81">
                        <w:rPr>
                          <w:noProof/>
                          <w:lang w:val="es-ES"/>
                        </w:rPr>
                        <w:t xml:space="preserve"> </w:t>
                      </w:r>
                      <w:r w:rsidR="00D33F1A" w:rsidRPr="00D33F1A">
                        <w:rPr>
                          <w:noProof/>
                          <w:lang w:val="es-ES"/>
                        </w:rPr>
                        <w:t xml:space="preserve">Se invita al Comité Permanente a tomar nota de los avances en la aplicación de la Resolución XIII.1 sobre el </w:t>
                      </w:r>
                      <w:r w:rsidR="00D33F1A" w:rsidRPr="006740A5">
                        <w:rPr>
                          <w:i/>
                          <w:iCs/>
                          <w:noProof/>
                          <w:lang w:val="es-ES"/>
                        </w:rPr>
                        <w:t>Día Mundial de los Humedales</w:t>
                      </w:r>
                      <w:r w:rsidR="00D33F1A" w:rsidRPr="00D33F1A">
                        <w:rPr>
                          <w:noProof/>
                          <w:lang w:val="es-ES"/>
                        </w:rPr>
                        <w:t>.</w:t>
                      </w:r>
                      <w:r w:rsidR="007F3DF4" w:rsidRPr="008B2D81">
                        <w:rPr>
                          <w:rFonts w:cstheme="minorHAnsi"/>
                          <w:bCs/>
                          <w:noProof/>
                          <w:lang w:val="es-ES"/>
                        </w:rPr>
                        <w:t xml:space="preserve"> </w:t>
                      </w:r>
                    </w:p>
                    <w:p w14:paraId="3E1778A8" w14:textId="77777777" w:rsidR="002A7D94" w:rsidRPr="008B2D81" w:rsidRDefault="002A7D94" w:rsidP="00192D1F">
                      <w:pPr>
                        <w:rPr>
                          <w:noProof/>
                          <w:lang w:val="es-ES"/>
                        </w:rPr>
                      </w:pPr>
                    </w:p>
                  </w:txbxContent>
                </v:textbox>
                <w10:anchorlock/>
              </v:shape>
            </w:pict>
          </mc:Fallback>
        </mc:AlternateContent>
      </w:r>
    </w:p>
    <w:p w14:paraId="3EE7A031" w14:textId="77777777" w:rsidR="009C2848" w:rsidRPr="00F34795" w:rsidRDefault="009C2848" w:rsidP="009C2848">
      <w:pPr>
        <w:autoSpaceDE w:val="0"/>
        <w:autoSpaceDN w:val="0"/>
        <w:adjustRightInd w:val="0"/>
        <w:spacing w:after="0" w:line="240" w:lineRule="auto"/>
        <w:ind w:left="357" w:hanging="357"/>
        <w:jc w:val="both"/>
        <w:rPr>
          <w:rFonts w:cstheme="minorHAnsi"/>
          <w:b/>
          <w:bCs/>
          <w:noProof/>
          <w:lang w:val="es-ES"/>
        </w:rPr>
      </w:pPr>
    </w:p>
    <w:p w14:paraId="56F943C7" w14:textId="77777777" w:rsidR="009C2848" w:rsidRPr="00F34795" w:rsidRDefault="009C2848" w:rsidP="009C2848">
      <w:pPr>
        <w:autoSpaceDE w:val="0"/>
        <w:autoSpaceDN w:val="0"/>
        <w:adjustRightInd w:val="0"/>
        <w:spacing w:after="0" w:line="240" w:lineRule="auto"/>
        <w:ind w:left="357" w:hanging="357"/>
        <w:jc w:val="both"/>
        <w:rPr>
          <w:rFonts w:cstheme="minorHAnsi"/>
          <w:b/>
          <w:bCs/>
          <w:noProof/>
          <w:lang w:val="es-ES"/>
        </w:rPr>
      </w:pPr>
    </w:p>
    <w:p w14:paraId="33AA0A2D" w14:textId="48FD2580" w:rsidR="009C2848" w:rsidRPr="00F34795" w:rsidRDefault="00D33F1A" w:rsidP="008A047B">
      <w:pPr>
        <w:autoSpaceDE w:val="0"/>
        <w:autoSpaceDN w:val="0"/>
        <w:adjustRightInd w:val="0"/>
        <w:spacing w:after="0" w:line="240" w:lineRule="auto"/>
        <w:ind w:left="357" w:hanging="357"/>
        <w:rPr>
          <w:rFonts w:cstheme="minorHAnsi"/>
          <w:b/>
          <w:bCs/>
          <w:noProof/>
          <w:lang w:val="es-ES"/>
        </w:rPr>
      </w:pPr>
      <w:r>
        <w:rPr>
          <w:rFonts w:cstheme="minorHAnsi"/>
          <w:b/>
          <w:bCs/>
          <w:noProof/>
          <w:lang w:val="es-ES"/>
        </w:rPr>
        <w:t>Antecedentes</w:t>
      </w:r>
    </w:p>
    <w:p w14:paraId="1D5534DF" w14:textId="77777777" w:rsidR="009C2848" w:rsidRPr="00F34795" w:rsidRDefault="009C2848" w:rsidP="008A047B">
      <w:pPr>
        <w:autoSpaceDE w:val="0"/>
        <w:autoSpaceDN w:val="0"/>
        <w:adjustRightInd w:val="0"/>
        <w:spacing w:after="0" w:line="240" w:lineRule="auto"/>
        <w:ind w:left="426" w:hanging="426"/>
        <w:rPr>
          <w:rFonts w:eastAsia="Times New Roman" w:cstheme="minorHAnsi"/>
          <w:noProof/>
          <w:lang w:val="es-ES" w:eastAsia="en-GB"/>
        </w:rPr>
      </w:pPr>
    </w:p>
    <w:p w14:paraId="228FC670" w14:textId="0A9FCEA2" w:rsidR="00D33F1A" w:rsidRPr="00D33F1A" w:rsidRDefault="009C2848" w:rsidP="00D33F1A">
      <w:pPr>
        <w:autoSpaceDE w:val="0"/>
        <w:autoSpaceDN w:val="0"/>
        <w:adjustRightInd w:val="0"/>
        <w:spacing w:after="0" w:line="240" w:lineRule="auto"/>
        <w:ind w:left="426" w:hanging="426"/>
        <w:rPr>
          <w:rFonts w:eastAsia="Times New Roman" w:cstheme="minorHAnsi"/>
          <w:bCs/>
          <w:noProof/>
          <w:lang w:val="es-ES" w:eastAsia="en-GB"/>
        </w:rPr>
      </w:pPr>
      <w:r w:rsidRPr="00F34795">
        <w:rPr>
          <w:rFonts w:eastAsia="Times New Roman" w:cstheme="minorHAnsi"/>
          <w:bCs/>
          <w:noProof/>
          <w:lang w:val="es-ES" w:eastAsia="en-GB"/>
        </w:rPr>
        <w:t>1.</w:t>
      </w:r>
      <w:r w:rsidRPr="00F34795">
        <w:rPr>
          <w:rFonts w:eastAsia="Times New Roman" w:cstheme="minorHAnsi"/>
          <w:bCs/>
          <w:noProof/>
          <w:lang w:val="es-ES" w:eastAsia="en-GB"/>
        </w:rPr>
        <w:tab/>
      </w:r>
      <w:r w:rsidR="00D33F1A" w:rsidRPr="00D33F1A">
        <w:rPr>
          <w:rFonts w:eastAsia="Times New Roman" w:cstheme="minorHAnsi"/>
          <w:bCs/>
          <w:noProof/>
          <w:lang w:val="es-ES" w:eastAsia="en-GB"/>
        </w:rPr>
        <w:t xml:space="preserve">La Convención sobre los Humedales </w:t>
      </w:r>
      <w:r w:rsidR="00D33F1A">
        <w:rPr>
          <w:rFonts w:eastAsia="Times New Roman" w:cstheme="minorHAnsi"/>
          <w:bCs/>
          <w:noProof/>
          <w:lang w:val="es-ES" w:eastAsia="en-GB"/>
        </w:rPr>
        <w:t>conmemora</w:t>
      </w:r>
      <w:r w:rsidR="00D33F1A" w:rsidRPr="00D33F1A">
        <w:rPr>
          <w:rFonts w:eastAsia="Times New Roman" w:cstheme="minorHAnsi"/>
          <w:bCs/>
          <w:noProof/>
          <w:lang w:val="es-ES" w:eastAsia="en-GB"/>
        </w:rPr>
        <w:t xml:space="preserve"> el Día Mundial de los Humedales desde 1997. Desde entonces, la Convención ha celebrado el Día Mundial de los Humedales el 2 de febrero de cada año con el fin de contribuir a </w:t>
      </w:r>
      <w:r w:rsidR="00D33F1A">
        <w:rPr>
          <w:rFonts w:eastAsia="Times New Roman" w:cstheme="minorHAnsi"/>
          <w:bCs/>
          <w:noProof/>
          <w:lang w:val="es-ES" w:eastAsia="en-GB"/>
        </w:rPr>
        <w:t>aumentar la conciencia</w:t>
      </w:r>
      <w:r w:rsidR="00D33F1A" w:rsidRPr="00D33F1A">
        <w:rPr>
          <w:rFonts w:eastAsia="Times New Roman" w:cstheme="minorHAnsi"/>
          <w:bCs/>
          <w:noProof/>
          <w:lang w:val="es-ES" w:eastAsia="en-GB"/>
        </w:rPr>
        <w:t xml:space="preserve"> públic</w:t>
      </w:r>
      <w:r w:rsidR="001414C1">
        <w:rPr>
          <w:rFonts w:eastAsia="Times New Roman" w:cstheme="minorHAnsi"/>
          <w:bCs/>
          <w:noProof/>
          <w:lang w:val="es-ES" w:eastAsia="en-GB"/>
        </w:rPr>
        <w:t>a</w:t>
      </w:r>
      <w:r w:rsidR="00D33F1A" w:rsidRPr="00D33F1A">
        <w:rPr>
          <w:rFonts w:eastAsia="Times New Roman" w:cstheme="minorHAnsi"/>
          <w:bCs/>
          <w:noProof/>
          <w:lang w:val="es-ES" w:eastAsia="en-GB"/>
        </w:rPr>
        <w:t xml:space="preserve"> sobre la importancia y el valor de los humedales. La Secretaría ha apoyado a las Partes Contratantes en sus </w:t>
      </w:r>
      <w:r w:rsidR="00D33F1A">
        <w:rPr>
          <w:rFonts w:eastAsia="Times New Roman" w:cstheme="minorHAnsi"/>
          <w:bCs/>
          <w:noProof/>
          <w:lang w:val="es-ES" w:eastAsia="en-GB"/>
        </w:rPr>
        <w:t>iniciativas</w:t>
      </w:r>
      <w:r w:rsidR="00D33F1A" w:rsidRPr="00D33F1A">
        <w:rPr>
          <w:rFonts w:eastAsia="Times New Roman" w:cstheme="minorHAnsi"/>
          <w:bCs/>
          <w:noProof/>
          <w:lang w:val="es-ES" w:eastAsia="en-GB"/>
        </w:rPr>
        <w:t xml:space="preserve"> </w:t>
      </w:r>
      <w:r w:rsidR="00D33F1A">
        <w:rPr>
          <w:rFonts w:eastAsia="Times New Roman" w:cstheme="minorHAnsi"/>
          <w:bCs/>
          <w:noProof/>
          <w:lang w:val="es-ES" w:eastAsia="en-GB"/>
        </w:rPr>
        <w:t>aportando</w:t>
      </w:r>
      <w:r w:rsidR="00D33F1A" w:rsidRPr="00D33F1A">
        <w:rPr>
          <w:rFonts w:eastAsia="Times New Roman" w:cstheme="minorHAnsi"/>
          <w:bCs/>
          <w:noProof/>
          <w:lang w:val="es-ES" w:eastAsia="en-GB"/>
        </w:rPr>
        <w:t xml:space="preserve"> materiales de divulgación y realizando actividades complementarias de </w:t>
      </w:r>
      <w:r w:rsidR="006740A5">
        <w:rPr>
          <w:rFonts w:eastAsia="Times New Roman" w:cstheme="minorHAnsi"/>
          <w:bCs/>
          <w:noProof/>
          <w:lang w:val="es-ES" w:eastAsia="en-GB"/>
        </w:rPr>
        <w:t>difusión</w:t>
      </w:r>
      <w:r w:rsidR="00D33F1A" w:rsidRPr="00D33F1A">
        <w:rPr>
          <w:rFonts w:eastAsia="Times New Roman" w:cstheme="minorHAnsi"/>
          <w:bCs/>
          <w:noProof/>
          <w:lang w:val="es-ES" w:eastAsia="en-GB"/>
        </w:rPr>
        <w:t>. La 13ª Reunión de la Conferencia de las Partes Contratantes en la Convención sobre los Humedales (COP13)</w:t>
      </w:r>
      <w:r w:rsidR="00AB2F4D">
        <w:rPr>
          <w:rFonts w:eastAsia="Times New Roman" w:cstheme="minorHAnsi"/>
          <w:bCs/>
          <w:noProof/>
          <w:lang w:val="es-ES" w:eastAsia="en-GB"/>
        </w:rPr>
        <w:t>,</w:t>
      </w:r>
      <w:r w:rsidR="00D33F1A" w:rsidRPr="00D33F1A">
        <w:rPr>
          <w:rFonts w:eastAsia="Times New Roman" w:cstheme="minorHAnsi"/>
          <w:bCs/>
          <w:noProof/>
          <w:lang w:val="es-ES" w:eastAsia="en-GB"/>
        </w:rPr>
        <w:t xml:space="preserve"> </w:t>
      </w:r>
      <w:r w:rsidR="001414C1">
        <w:rPr>
          <w:rFonts w:eastAsia="Times New Roman" w:cstheme="minorHAnsi"/>
          <w:bCs/>
          <w:noProof/>
          <w:lang w:val="es-ES" w:eastAsia="en-GB"/>
        </w:rPr>
        <w:t xml:space="preserve">celebrada </w:t>
      </w:r>
      <w:r w:rsidR="00D33F1A" w:rsidRPr="00D33F1A">
        <w:rPr>
          <w:rFonts w:eastAsia="Times New Roman" w:cstheme="minorHAnsi"/>
          <w:bCs/>
          <w:noProof/>
          <w:lang w:val="es-ES" w:eastAsia="en-GB"/>
        </w:rPr>
        <w:t>en 2018</w:t>
      </w:r>
      <w:r w:rsidR="00AB2F4D">
        <w:rPr>
          <w:rFonts w:eastAsia="Times New Roman" w:cstheme="minorHAnsi"/>
          <w:bCs/>
          <w:noProof/>
          <w:lang w:val="es-ES" w:eastAsia="en-GB"/>
        </w:rPr>
        <w:t>,</w:t>
      </w:r>
      <w:r w:rsidR="00D33F1A" w:rsidRPr="00D33F1A">
        <w:rPr>
          <w:rFonts w:eastAsia="Times New Roman" w:cstheme="minorHAnsi"/>
          <w:bCs/>
          <w:noProof/>
          <w:lang w:val="es-ES" w:eastAsia="en-GB"/>
        </w:rPr>
        <w:t xml:space="preserve"> </w:t>
      </w:r>
      <w:r w:rsidR="001414C1">
        <w:rPr>
          <w:rFonts w:eastAsia="Times New Roman" w:cstheme="minorHAnsi"/>
          <w:bCs/>
          <w:noProof/>
          <w:lang w:val="es-ES" w:eastAsia="en-GB"/>
        </w:rPr>
        <w:t>aprobó</w:t>
      </w:r>
      <w:r w:rsidR="00D33F1A" w:rsidRPr="00D33F1A">
        <w:rPr>
          <w:rFonts w:eastAsia="Times New Roman" w:cstheme="minorHAnsi"/>
          <w:bCs/>
          <w:noProof/>
          <w:lang w:val="es-ES" w:eastAsia="en-GB"/>
        </w:rPr>
        <w:t xml:space="preserve"> la Resolución XIII.1 sobre el </w:t>
      </w:r>
      <w:r w:rsidR="00D33F1A" w:rsidRPr="001414C1">
        <w:rPr>
          <w:rFonts w:eastAsia="Times New Roman" w:cstheme="minorHAnsi"/>
          <w:bCs/>
          <w:i/>
          <w:iCs/>
          <w:noProof/>
          <w:lang w:val="es-ES" w:eastAsia="en-GB"/>
        </w:rPr>
        <w:t>Día Mundial de los Humedales</w:t>
      </w:r>
      <w:r w:rsidR="00D33F1A" w:rsidRPr="00D33F1A">
        <w:rPr>
          <w:rFonts w:eastAsia="Times New Roman" w:cstheme="minorHAnsi"/>
          <w:bCs/>
          <w:noProof/>
          <w:lang w:val="es-ES" w:eastAsia="en-GB"/>
        </w:rPr>
        <w:t xml:space="preserve">, </w:t>
      </w:r>
      <w:r w:rsidR="00AB2F4D" w:rsidRPr="00D33F1A">
        <w:rPr>
          <w:rFonts w:eastAsia="Times New Roman" w:cstheme="minorHAnsi"/>
          <w:bCs/>
          <w:noProof/>
          <w:lang w:val="es-ES" w:eastAsia="en-GB"/>
        </w:rPr>
        <w:t xml:space="preserve">que invita </w:t>
      </w:r>
      <w:r w:rsidR="00AB2F4D">
        <w:rPr>
          <w:rFonts w:eastAsia="Times New Roman" w:cstheme="minorHAnsi"/>
          <w:bCs/>
          <w:noProof/>
          <w:lang w:val="es-ES" w:eastAsia="en-GB"/>
        </w:rPr>
        <w:t xml:space="preserve">a la </w:t>
      </w:r>
      <w:r w:rsidR="00AB2F4D" w:rsidRPr="00AB2F4D">
        <w:rPr>
          <w:rFonts w:eastAsia="Times New Roman" w:cstheme="minorHAnsi"/>
          <w:bCs/>
          <w:noProof/>
          <w:lang w:val="es-ES" w:eastAsia="en-GB"/>
        </w:rPr>
        <w:t xml:space="preserve">Asamblea General de las Naciones Unidas a </w:t>
      </w:r>
      <w:r w:rsidR="00CE18F4">
        <w:rPr>
          <w:rFonts w:eastAsia="Times New Roman" w:cstheme="minorHAnsi"/>
          <w:bCs/>
          <w:noProof/>
          <w:lang w:val="es-ES" w:eastAsia="en-GB"/>
        </w:rPr>
        <w:t>reconocer</w:t>
      </w:r>
      <w:r w:rsidR="00AB2F4D" w:rsidRPr="00AB2F4D">
        <w:rPr>
          <w:rFonts w:eastAsia="Times New Roman" w:cstheme="minorHAnsi"/>
          <w:bCs/>
          <w:noProof/>
          <w:lang w:val="es-ES" w:eastAsia="en-GB"/>
        </w:rPr>
        <w:t xml:space="preserve"> el 2 de febrero de cada año, fecha de </w:t>
      </w:r>
      <w:r w:rsidR="00CE18F4">
        <w:rPr>
          <w:rFonts w:eastAsia="Times New Roman" w:cstheme="minorHAnsi"/>
          <w:bCs/>
          <w:noProof/>
          <w:lang w:val="es-ES" w:eastAsia="en-GB"/>
        </w:rPr>
        <w:t>aprobación</w:t>
      </w:r>
      <w:r w:rsidR="00AB2F4D" w:rsidRPr="00AB2F4D">
        <w:rPr>
          <w:rFonts w:eastAsia="Times New Roman" w:cstheme="minorHAnsi"/>
          <w:bCs/>
          <w:noProof/>
          <w:lang w:val="es-ES" w:eastAsia="en-GB"/>
        </w:rPr>
        <w:t xml:space="preserve"> de la Convención sobre los Humedales, como Día Mundial de los Humedales</w:t>
      </w:r>
      <w:r w:rsidR="00D33F1A" w:rsidRPr="00D33F1A">
        <w:rPr>
          <w:rFonts w:eastAsia="Times New Roman" w:cstheme="minorHAnsi"/>
          <w:bCs/>
          <w:noProof/>
          <w:lang w:val="es-ES" w:eastAsia="en-GB"/>
        </w:rPr>
        <w:t xml:space="preserve">. </w:t>
      </w:r>
    </w:p>
    <w:p w14:paraId="0DFD4E54" w14:textId="77777777" w:rsidR="00DD214A" w:rsidRPr="00F34795" w:rsidRDefault="00DD214A" w:rsidP="002E3977">
      <w:pPr>
        <w:autoSpaceDE w:val="0"/>
        <w:autoSpaceDN w:val="0"/>
        <w:adjustRightInd w:val="0"/>
        <w:spacing w:after="0" w:line="240" w:lineRule="auto"/>
        <w:rPr>
          <w:rFonts w:ascii="Calibri" w:hAnsi="Calibri" w:cs="Calibri"/>
          <w:noProof/>
          <w:color w:val="000000"/>
          <w:sz w:val="24"/>
          <w:szCs w:val="24"/>
          <w:lang w:val="es-ES"/>
        </w:rPr>
      </w:pPr>
    </w:p>
    <w:p w14:paraId="33E1A4B1" w14:textId="69408F2C" w:rsidR="00AB5305" w:rsidRPr="00AB5305" w:rsidRDefault="000C2E1F" w:rsidP="00AB5305">
      <w:pPr>
        <w:autoSpaceDE w:val="0"/>
        <w:autoSpaceDN w:val="0"/>
        <w:adjustRightInd w:val="0"/>
        <w:spacing w:after="0" w:line="240" w:lineRule="auto"/>
        <w:ind w:left="426" w:hanging="426"/>
        <w:rPr>
          <w:rFonts w:cstheme="minorHAnsi"/>
          <w:noProof/>
          <w:lang w:val="es-ES"/>
        </w:rPr>
      </w:pPr>
      <w:r w:rsidRPr="00F34795">
        <w:rPr>
          <w:rFonts w:cstheme="minorHAnsi"/>
          <w:noProof/>
          <w:lang w:val="es-ES"/>
        </w:rPr>
        <w:t>2.</w:t>
      </w:r>
      <w:r w:rsidRPr="00F34795">
        <w:rPr>
          <w:rFonts w:cstheme="minorHAnsi"/>
          <w:noProof/>
          <w:lang w:val="es-ES"/>
        </w:rPr>
        <w:tab/>
      </w:r>
      <w:r w:rsidR="0082291D">
        <w:rPr>
          <w:rFonts w:cstheme="minorHAnsi"/>
          <w:noProof/>
          <w:lang w:val="es-ES"/>
        </w:rPr>
        <w:t>En el marco de la</w:t>
      </w:r>
      <w:r w:rsidR="0082291D" w:rsidRPr="00AB5305">
        <w:rPr>
          <w:rFonts w:cstheme="minorHAnsi"/>
          <w:noProof/>
          <w:lang w:val="es-ES"/>
        </w:rPr>
        <w:t xml:space="preserve"> reunión SC5</w:t>
      </w:r>
      <w:r w:rsidR="0082291D">
        <w:rPr>
          <w:rFonts w:cstheme="minorHAnsi"/>
          <w:noProof/>
          <w:lang w:val="es-ES"/>
        </w:rPr>
        <w:t>7</w:t>
      </w:r>
      <w:r w:rsidR="0082291D" w:rsidRPr="00AB5305">
        <w:rPr>
          <w:rFonts w:cstheme="minorHAnsi"/>
          <w:noProof/>
          <w:lang w:val="es-ES"/>
        </w:rPr>
        <w:t xml:space="preserve"> </w:t>
      </w:r>
      <w:r w:rsidR="0082291D">
        <w:rPr>
          <w:rFonts w:cstheme="minorHAnsi"/>
          <w:noProof/>
          <w:lang w:val="es-ES"/>
        </w:rPr>
        <w:t>de</w:t>
      </w:r>
      <w:r w:rsidR="0082291D" w:rsidRPr="00AB5305">
        <w:rPr>
          <w:rFonts w:cstheme="minorHAnsi"/>
          <w:noProof/>
          <w:lang w:val="es-ES"/>
        </w:rPr>
        <w:t xml:space="preserve"> junio de 2019 y </w:t>
      </w:r>
      <w:r w:rsidR="0082291D">
        <w:rPr>
          <w:rFonts w:cstheme="minorHAnsi"/>
          <w:noProof/>
          <w:lang w:val="es-ES"/>
        </w:rPr>
        <w:t>la</w:t>
      </w:r>
      <w:r w:rsidR="0082291D" w:rsidRPr="00AB5305">
        <w:rPr>
          <w:rFonts w:cstheme="minorHAnsi"/>
          <w:noProof/>
          <w:lang w:val="es-ES"/>
        </w:rPr>
        <w:t xml:space="preserve"> </w:t>
      </w:r>
      <w:r w:rsidR="0082291D">
        <w:rPr>
          <w:rFonts w:cstheme="minorHAnsi"/>
          <w:noProof/>
          <w:lang w:val="es-ES"/>
        </w:rPr>
        <w:t xml:space="preserve">reunión </w:t>
      </w:r>
      <w:r w:rsidR="0082291D" w:rsidRPr="00AB5305">
        <w:rPr>
          <w:rFonts w:cstheme="minorHAnsi"/>
          <w:noProof/>
          <w:lang w:val="es-ES"/>
        </w:rPr>
        <w:t xml:space="preserve">SC59 </w:t>
      </w:r>
      <w:r w:rsidR="0082291D">
        <w:rPr>
          <w:rFonts w:cstheme="minorHAnsi"/>
          <w:noProof/>
          <w:lang w:val="es-ES"/>
        </w:rPr>
        <w:t>de</w:t>
      </w:r>
      <w:r w:rsidR="0082291D" w:rsidRPr="00AB5305">
        <w:rPr>
          <w:rFonts w:cstheme="minorHAnsi"/>
          <w:noProof/>
          <w:lang w:val="es-ES"/>
        </w:rPr>
        <w:t xml:space="preserve"> junio de 2021</w:t>
      </w:r>
      <w:r w:rsidR="0082291D">
        <w:rPr>
          <w:rFonts w:cstheme="minorHAnsi"/>
          <w:noProof/>
          <w:lang w:val="es-ES"/>
        </w:rPr>
        <w:t xml:space="preserve"> se </w:t>
      </w:r>
      <w:r w:rsidR="00406A67">
        <w:rPr>
          <w:rFonts w:cstheme="minorHAnsi"/>
          <w:noProof/>
          <w:lang w:val="es-ES"/>
        </w:rPr>
        <w:t>informó al</w:t>
      </w:r>
      <w:r w:rsidR="00406A67" w:rsidRPr="00AB5305">
        <w:rPr>
          <w:rFonts w:cstheme="minorHAnsi"/>
          <w:noProof/>
          <w:lang w:val="es-ES"/>
        </w:rPr>
        <w:t xml:space="preserve"> Comité Permanente </w:t>
      </w:r>
      <w:r w:rsidR="00406A67">
        <w:rPr>
          <w:rFonts w:cstheme="minorHAnsi"/>
          <w:noProof/>
          <w:lang w:val="es-ES"/>
        </w:rPr>
        <w:t>sobre</w:t>
      </w:r>
      <w:r w:rsidR="00406A67" w:rsidRPr="00AB5305">
        <w:rPr>
          <w:rFonts w:cstheme="minorHAnsi"/>
          <w:noProof/>
          <w:lang w:val="es-ES"/>
        </w:rPr>
        <w:t xml:space="preserve"> los </w:t>
      </w:r>
      <w:r w:rsidR="00406A67">
        <w:rPr>
          <w:rFonts w:cstheme="minorHAnsi"/>
          <w:noProof/>
          <w:lang w:val="es-ES"/>
        </w:rPr>
        <w:t>logros alcanzados</w:t>
      </w:r>
      <w:r w:rsidR="00AB5305" w:rsidRPr="00AB5305">
        <w:rPr>
          <w:rFonts w:cstheme="minorHAnsi"/>
          <w:noProof/>
          <w:lang w:val="es-ES"/>
        </w:rPr>
        <w:t xml:space="preserve">. En la </w:t>
      </w:r>
      <w:r w:rsidR="00E172E8">
        <w:rPr>
          <w:rFonts w:cstheme="minorHAnsi"/>
          <w:noProof/>
          <w:lang w:val="es-ES"/>
        </w:rPr>
        <w:t xml:space="preserve">reunión </w:t>
      </w:r>
      <w:r w:rsidR="00AB5305" w:rsidRPr="00AB5305">
        <w:rPr>
          <w:rFonts w:cstheme="minorHAnsi"/>
          <w:noProof/>
          <w:lang w:val="es-ES"/>
        </w:rPr>
        <w:t xml:space="preserve">SC57 se </w:t>
      </w:r>
      <w:r w:rsidR="00F97202">
        <w:rPr>
          <w:rFonts w:cstheme="minorHAnsi"/>
          <w:noProof/>
          <w:lang w:val="es-ES"/>
        </w:rPr>
        <w:t>decidió que, bajo la dirección de</w:t>
      </w:r>
      <w:r w:rsidR="00AB5305" w:rsidRPr="00AB5305">
        <w:rPr>
          <w:rFonts w:cstheme="minorHAnsi"/>
          <w:noProof/>
          <w:lang w:val="es-ES"/>
        </w:rPr>
        <w:t xml:space="preserve"> </w:t>
      </w:r>
      <w:r w:rsidR="00F97202" w:rsidRPr="00AB5305">
        <w:rPr>
          <w:rFonts w:cstheme="minorHAnsi"/>
          <w:noProof/>
          <w:lang w:val="es-ES"/>
        </w:rPr>
        <w:t>Costa Rica</w:t>
      </w:r>
      <w:r w:rsidR="00F97202">
        <w:rPr>
          <w:rFonts w:cstheme="minorHAnsi"/>
          <w:noProof/>
          <w:lang w:val="es-ES"/>
        </w:rPr>
        <w:t>,</w:t>
      </w:r>
      <w:r w:rsidR="00F97202" w:rsidRPr="00AB5305">
        <w:rPr>
          <w:rFonts w:cstheme="minorHAnsi"/>
          <w:noProof/>
          <w:lang w:val="es-ES"/>
        </w:rPr>
        <w:t xml:space="preserve"> </w:t>
      </w:r>
      <w:r w:rsidR="00AB5305" w:rsidRPr="00AB5305">
        <w:rPr>
          <w:rFonts w:cstheme="minorHAnsi"/>
          <w:noProof/>
          <w:lang w:val="es-ES"/>
        </w:rPr>
        <w:t>un grupo</w:t>
      </w:r>
      <w:r w:rsidR="00F97202">
        <w:rPr>
          <w:rFonts w:cstheme="minorHAnsi"/>
          <w:noProof/>
          <w:lang w:val="es-ES"/>
        </w:rPr>
        <w:t xml:space="preserve"> </w:t>
      </w:r>
      <w:r w:rsidR="00AB5305" w:rsidRPr="00AB5305">
        <w:rPr>
          <w:rFonts w:cstheme="minorHAnsi"/>
          <w:noProof/>
          <w:lang w:val="es-ES"/>
        </w:rPr>
        <w:t>de países</w:t>
      </w:r>
      <w:r w:rsidR="00F97202">
        <w:rPr>
          <w:rFonts w:cstheme="minorHAnsi"/>
          <w:noProof/>
          <w:lang w:val="es-ES"/>
        </w:rPr>
        <w:t xml:space="preserve"> </w:t>
      </w:r>
      <w:r w:rsidR="00A57944">
        <w:rPr>
          <w:rFonts w:cstheme="minorHAnsi"/>
          <w:noProof/>
          <w:lang w:val="es-ES"/>
        </w:rPr>
        <w:t>impulsar</w:t>
      </w:r>
      <w:r w:rsidR="00B25B23">
        <w:rPr>
          <w:rFonts w:cstheme="minorHAnsi"/>
          <w:noProof/>
          <w:lang w:val="es-ES"/>
        </w:rPr>
        <w:t>í</w:t>
      </w:r>
      <w:r w:rsidR="00F97202">
        <w:rPr>
          <w:rFonts w:cstheme="minorHAnsi"/>
          <w:noProof/>
          <w:lang w:val="es-ES"/>
        </w:rPr>
        <w:t>a</w:t>
      </w:r>
      <w:r w:rsidR="00AB5305" w:rsidRPr="00AB5305">
        <w:rPr>
          <w:rFonts w:cstheme="minorHAnsi"/>
          <w:noProof/>
          <w:lang w:val="es-ES"/>
        </w:rPr>
        <w:t xml:space="preserve"> la aplicación de la Resolución XIII.1</w:t>
      </w:r>
      <w:r w:rsidR="00F97202">
        <w:rPr>
          <w:rFonts w:cstheme="minorHAnsi"/>
          <w:noProof/>
          <w:lang w:val="es-ES"/>
        </w:rPr>
        <w:t xml:space="preserve">. Asimismo, </w:t>
      </w:r>
      <w:r w:rsidR="00AB5305" w:rsidRPr="00AB5305">
        <w:rPr>
          <w:rFonts w:cstheme="minorHAnsi"/>
          <w:noProof/>
          <w:lang w:val="es-ES"/>
        </w:rPr>
        <w:t>se alentó a las Partes Contratantes a</w:t>
      </w:r>
      <w:r w:rsidR="00F97202">
        <w:rPr>
          <w:rFonts w:cstheme="minorHAnsi"/>
          <w:noProof/>
          <w:lang w:val="es-ES"/>
        </w:rPr>
        <w:t xml:space="preserve"> involucrar</w:t>
      </w:r>
      <w:r w:rsidR="00AB5305" w:rsidRPr="00AB5305">
        <w:rPr>
          <w:rFonts w:cstheme="minorHAnsi"/>
          <w:noProof/>
          <w:lang w:val="es-ES"/>
        </w:rPr>
        <w:t xml:space="preserve"> a sus Misiones Permanentes </w:t>
      </w:r>
      <w:r w:rsidR="00F97202">
        <w:rPr>
          <w:rFonts w:cstheme="minorHAnsi"/>
          <w:noProof/>
          <w:lang w:val="es-ES"/>
        </w:rPr>
        <w:t>para que apoyaran</w:t>
      </w:r>
      <w:r w:rsidR="00AB5305" w:rsidRPr="00AB5305">
        <w:rPr>
          <w:rFonts w:cstheme="minorHAnsi"/>
          <w:noProof/>
          <w:lang w:val="es-ES"/>
        </w:rPr>
        <w:t xml:space="preserve"> la iniciativa y se les invitó a </w:t>
      </w:r>
      <w:r w:rsidR="000E6EF1">
        <w:rPr>
          <w:rFonts w:cstheme="minorHAnsi"/>
          <w:noProof/>
          <w:lang w:val="es-ES"/>
        </w:rPr>
        <w:t>contemplar</w:t>
      </w:r>
      <w:r w:rsidR="00AB5305" w:rsidRPr="00AB5305">
        <w:rPr>
          <w:rFonts w:cstheme="minorHAnsi"/>
          <w:noProof/>
          <w:lang w:val="es-ES"/>
        </w:rPr>
        <w:t xml:space="preserve"> el copatrocinio del proyecto de resolución de la </w:t>
      </w:r>
      <w:r w:rsidR="00E172E8">
        <w:rPr>
          <w:rFonts w:cstheme="minorHAnsi"/>
          <w:noProof/>
          <w:lang w:val="es-ES"/>
        </w:rPr>
        <w:t>Asamblea General de las Naciones Unidas</w:t>
      </w:r>
      <w:r w:rsidR="00AB5305" w:rsidRPr="00AB5305">
        <w:rPr>
          <w:rFonts w:cstheme="minorHAnsi"/>
          <w:noProof/>
          <w:lang w:val="es-ES"/>
        </w:rPr>
        <w:t xml:space="preserve">. El Comité Permanente </w:t>
      </w:r>
      <w:r w:rsidR="00E172E8">
        <w:rPr>
          <w:rFonts w:cstheme="minorHAnsi"/>
          <w:noProof/>
          <w:lang w:val="es-ES"/>
        </w:rPr>
        <w:t>encargó</w:t>
      </w:r>
      <w:r w:rsidR="00AB5305" w:rsidRPr="00AB5305">
        <w:rPr>
          <w:rFonts w:cstheme="minorHAnsi"/>
          <w:noProof/>
          <w:lang w:val="es-ES"/>
        </w:rPr>
        <w:t xml:space="preserve"> a la Secretaría que redactara puntos de discusión y los </w:t>
      </w:r>
      <w:r w:rsidR="00CD30DF">
        <w:rPr>
          <w:rFonts w:cstheme="minorHAnsi"/>
          <w:noProof/>
          <w:lang w:val="es-ES"/>
        </w:rPr>
        <w:t>difundiera</w:t>
      </w:r>
      <w:r w:rsidR="00E172E8">
        <w:rPr>
          <w:rFonts w:cstheme="minorHAnsi"/>
          <w:noProof/>
          <w:lang w:val="es-ES"/>
        </w:rPr>
        <w:t xml:space="preserve"> </w:t>
      </w:r>
      <w:r w:rsidR="00A57944">
        <w:rPr>
          <w:rFonts w:cstheme="minorHAnsi"/>
          <w:noProof/>
          <w:lang w:val="es-ES"/>
        </w:rPr>
        <w:t>entre</w:t>
      </w:r>
      <w:r w:rsidR="00AB5305" w:rsidRPr="00AB5305">
        <w:rPr>
          <w:rFonts w:cstheme="minorHAnsi"/>
          <w:noProof/>
          <w:lang w:val="es-ES"/>
        </w:rPr>
        <w:t xml:space="preserve"> las Partes Contratantes</w:t>
      </w:r>
      <w:r w:rsidR="00A57944">
        <w:rPr>
          <w:rFonts w:cstheme="minorHAnsi"/>
          <w:noProof/>
          <w:lang w:val="es-ES"/>
        </w:rPr>
        <w:t>, a modo de garantizar la uniformidad d</w:t>
      </w:r>
      <w:r w:rsidR="00E172E8">
        <w:rPr>
          <w:rFonts w:cstheme="minorHAnsi"/>
          <w:noProof/>
          <w:lang w:val="es-ES"/>
        </w:rPr>
        <w:t>el</w:t>
      </w:r>
      <w:r w:rsidR="00AB5305" w:rsidRPr="00AB5305">
        <w:rPr>
          <w:rFonts w:cstheme="minorHAnsi"/>
          <w:noProof/>
          <w:lang w:val="es-ES"/>
        </w:rPr>
        <w:t xml:space="preserve"> mensaje </w:t>
      </w:r>
      <w:r w:rsidR="00A57944">
        <w:rPr>
          <w:rFonts w:cstheme="minorHAnsi"/>
          <w:noProof/>
          <w:lang w:val="es-ES"/>
        </w:rPr>
        <w:t>de</w:t>
      </w:r>
      <w:r w:rsidR="00AB5305" w:rsidRPr="00AB5305">
        <w:rPr>
          <w:rFonts w:cstheme="minorHAnsi"/>
          <w:noProof/>
          <w:lang w:val="es-ES"/>
        </w:rPr>
        <w:t xml:space="preserve"> apoyo </w:t>
      </w:r>
      <w:r w:rsidR="00A57944">
        <w:rPr>
          <w:rFonts w:cstheme="minorHAnsi"/>
          <w:noProof/>
          <w:lang w:val="es-ES"/>
        </w:rPr>
        <w:t>a</w:t>
      </w:r>
      <w:r w:rsidR="00AB5305" w:rsidRPr="00AB5305">
        <w:rPr>
          <w:rFonts w:cstheme="minorHAnsi"/>
          <w:noProof/>
          <w:lang w:val="es-ES"/>
        </w:rPr>
        <w:t xml:space="preserve"> la iniciativa</w:t>
      </w:r>
      <w:r w:rsidR="00E172E8">
        <w:rPr>
          <w:rFonts w:cstheme="minorHAnsi"/>
          <w:noProof/>
          <w:lang w:val="es-ES"/>
        </w:rPr>
        <w:t>. E</w:t>
      </w:r>
      <w:r w:rsidR="00AB5305" w:rsidRPr="00AB5305">
        <w:rPr>
          <w:rFonts w:cstheme="minorHAnsi"/>
          <w:noProof/>
          <w:lang w:val="es-ES"/>
        </w:rPr>
        <w:t xml:space="preserve">l presente documento se ha </w:t>
      </w:r>
      <w:r w:rsidR="00A57944">
        <w:rPr>
          <w:rFonts w:cstheme="minorHAnsi"/>
          <w:noProof/>
          <w:lang w:val="es-ES"/>
        </w:rPr>
        <w:t>elaborado</w:t>
      </w:r>
      <w:r w:rsidR="00AB5305" w:rsidRPr="00AB5305">
        <w:rPr>
          <w:rFonts w:cstheme="minorHAnsi"/>
          <w:noProof/>
          <w:lang w:val="es-ES"/>
        </w:rPr>
        <w:t xml:space="preserve"> en respuesta</w:t>
      </w:r>
      <w:r w:rsidR="00E172E8">
        <w:rPr>
          <w:rFonts w:cstheme="minorHAnsi"/>
          <w:noProof/>
          <w:lang w:val="es-ES"/>
        </w:rPr>
        <w:t xml:space="preserve"> a lo anterior</w:t>
      </w:r>
      <w:r w:rsidR="00AB5305" w:rsidRPr="00AB5305">
        <w:rPr>
          <w:rFonts w:cstheme="minorHAnsi"/>
          <w:noProof/>
          <w:lang w:val="es-ES"/>
        </w:rPr>
        <w:t>.</w:t>
      </w:r>
    </w:p>
    <w:p w14:paraId="64B664AF" w14:textId="77777777" w:rsidR="001A4ACF" w:rsidRPr="00F34795" w:rsidRDefault="001A4ACF" w:rsidP="000E6EF1">
      <w:pPr>
        <w:autoSpaceDE w:val="0"/>
        <w:autoSpaceDN w:val="0"/>
        <w:adjustRightInd w:val="0"/>
        <w:spacing w:after="0" w:line="240" w:lineRule="auto"/>
        <w:rPr>
          <w:rFonts w:cstheme="minorHAnsi"/>
          <w:noProof/>
          <w:lang w:val="es-ES"/>
        </w:rPr>
      </w:pPr>
    </w:p>
    <w:p w14:paraId="209B6BF8" w14:textId="05E94732" w:rsidR="001A4ACF" w:rsidRPr="00A23D7A" w:rsidRDefault="000C2E1F" w:rsidP="00A23D7A">
      <w:pPr>
        <w:autoSpaceDE w:val="0"/>
        <w:autoSpaceDN w:val="0"/>
        <w:adjustRightInd w:val="0"/>
        <w:spacing w:after="0" w:line="240" w:lineRule="auto"/>
        <w:ind w:left="426" w:hanging="426"/>
        <w:rPr>
          <w:rFonts w:cstheme="minorHAnsi"/>
          <w:noProof/>
          <w:color w:val="000000"/>
          <w:lang w:val="es-ES"/>
        </w:rPr>
      </w:pPr>
      <w:r w:rsidRPr="00F34795">
        <w:rPr>
          <w:rFonts w:cstheme="minorHAnsi"/>
          <w:noProof/>
          <w:color w:val="000000"/>
          <w:lang w:val="es-ES"/>
        </w:rPr>
        <w:t>3.</w:t>
      </w:r>
      <w:r w:rsidRPr="00F34795">
        <w:rPr>
          <w:rFonts w:cstheme="minorHAnsi"/>
          <w:noProof/>
          <w:color w:val="000000"/>
          <w:lang w:val="es-ES"/>
        </w:rPr>
        <w:tab/>
      </w:r>
      <w:r w:rsidR="000E6EF1" w:rsidRPr="000E6EF1">
        <w:rPr>
          <w:rFonts w:cstheme="minorHAnsi"/>
          <w:noProof/>
          <w:color w:val="000000"/>
          <w:lang w:val="es-ES"/>
        </w:rPr>
        <w:t xml:space="preserve">El 7 de julio de 2021, los Gobiernos de Costa Rica, </w:t>
      </w:r>
      <w:r w:rsidR="00E75888" w:rsidRPr="000E6EF1">
        <w:rPr>
          <w:rFonts w:cstheme="minorHAnsi"/>
          <w:noProof/>
          <w:color w:val="000000"/>
          <w:lang w:val="es-ES"/>
        </w:rPr>
        <w:t>Eslovenia</w:t>
      </w:r>
      <w:r w:rsidR="00E75888">
        <w:rPr>
          <w:rFonts w:cstheme="minorHAnsi"/>
          <w:noProof/>
          <w:color w:val="000000"/>
          <w:lang w:val="es-ES"/>
        </w:rPr>
        <w:t xml:space="preserve">, </w:t>
      </w:r>
      <w:r w:rsidR="000E6EF1" w:rsidRPr="000E6EF1">
        <w:rPr>
          <w:rFonts w:cstheme="minorHAnsi"/>
          <w:noProof/>
          <w:color w:val="000000"/>
          <w:lang w:val="es-ES"/>
        </w:rPr>
        <w:t xml:space="preserve">México y el Reino Unido de Gran Bretaña e Irlanda del Norte, </w:t>
      </w:r>
      <w:r w:rsidR="000E6EF1">
        <w:rPr>
          <w:rFonts w:cstheme="minorHAnsi"/>
          <w:noProof/>
          <w:color w:val="000000"/>
          <w:lang w:val="es-ES"/>
        </w:rPr>
        <w:t>así como</w:t>
      </w:r>
      <w:r w:rsidR="000E6EF1" w:rsidRPr="000E6EF1">
        <w:rPr>
          <w:rFonts w:cstheme="minorHAnsi"/>
          <w:noProof/>
          <w:color w:val="000000"/>
          <w:lang w:val="es-ES"/>
        </w:rPr>
        <w:t xml:space="preserve"> la Secretaría de la Convención</w:t>
      </w:r>
      <w:r w:rsidR="008F05C5">
        <w:rPr>
          <w:rFonts w:cstheme="minorHAnsi"/>
          <w:noProof/>
          <w:color w:val="000000"/>
          <w:lang w:val="es-ES"/>
        </w:rPr>
        <w:t xml:space="preserve"> sobre los Humedales</w:t>
      </w:r>
      <w:r w:rsidR="000E6EF1" w:rsidRPr="000E6EF1">
        <w:rPr>
          <w:rFonts w:cstheme="minorHAnsi"/>
          <w:noProof/>
          <w:color w:val="000000"/>
          <w:lang w:val="es-ES"/>
        </w:rPr>
        <w:t xml:space="preserve">, celebraron </w:t>
      </w:r>
      <w:r w:rsidR="00D053F4">
        <w:rPr>
          <w:rFonts w:cstheme="minorHAnsi"/>
          <w:noProof/>
          <w:color w:val="000000"/>
          <w:lang w:val="es-ES"/>
        </w:rPr>
        <w:t>en paralelo</w:t>
      </w:r>
      <w:r w:rsidR="00406A67">
        <w:rPr>
          <w:rFonts w:cstheme="minorHAnsi"/>
          <w:noProof/>
          <w:color w:val="000000"/>
          <w:lang w:val="es-ES"/>
        </w:rPr>
        <w:t xml:space="preserve"> </w:t>
      </w:r>
      <w:r w:rsidR="00D053F4">
        <w:rPr>
          <w:rFonts w:cstheme="minorHAnsi"/>
          <w:noProof/>
          <w:color w:val="000000"/>
          <w:lang w:val="es-ES"/>
        </w:rPr>
        <w:t>con el</w:t>
      </w:r>
      <w:r w:rsidR="000E6EF1">
        <w:rPr>
          <w:rFonts w:cstheme="minorHAnsi"/>
          <w:noProof/>
          <w:color w:val="000000"/>
          <w:lang w:val="es-ES"/>
        </w:rPr>
        <w:t xml:space="preserve"> </w:t>
      </w:r>
      <w:r w:rsidR="000E6EF1" w:rsidRPr="000E6EF1">
        <w:rPr>
          <w:rFonts w:cstheme="minorHAnsi"/>
          <w:noProof/>
          <w:color w:val="000000"/>
          <w:lang w:val="es-ES"/>
        </w:rPr>
        <w:t xml:space="preserve">Foro Político de Alto Nivel sobre Desarrollo Sostenible </w:t>
      </w:r>
      <w:r w:rsidR="000E6EF1">
        <w:rPr>
          <w:rFonts w:cstheme="minorHAnsi"/>
          <w:noProof/>
          <w:color w:val="000000"/>
          <w:lang w:val="es-ES"/>
        </w:rPr>
        <w:t xml:space="preserve">(FPAN) </w:t>
      </w:r>
      <w:r w:rsidR="000E6EF1" w:rsidRPr="000E6EF1">
        <w:rPr>
          <w:rFonts w:cstheme="minorHAnsi"/>
          <w:noProof/>
          <w:color w:val="000000"/>
          <w:lang w:val="es-ES"/>
        </w:rPr>
        <w:t xml:space="preserve">de las Naciones Unidas un evento virtual de alto nivel </w:t>
      </w:r>
      <w:r w:rsidR="000E6EF1">
        <w:rPr>
          <w:rFonts w:cstheme="minorHAnsi"/>
          <w:noProof/>
          <w:color w:val="000000"/>
          <w:lang w:val="es-ES"/>
        </w:rPr>
        <w:t>titulado</w:t>
      </w:r>
      <w:r w:rsidR="000E6EF1" w:rsidRPr="000E6EF1">
        <w:rPr>
          <w:rFonts w:cstheme="minorHAnsi"/>
          <w:noProof/>
          <w:color w:val="000000"/>
          <w:lang w:val="es-ES"/>
        </w:rPr>
        <w:t xml:space="preserve"> </w:t>
      </w:r>
      <w:r w:rsidR="000E6EF1">
        <w:rPr>
          <w:rFonts w:cstheme="minorHAnsi"/>
          <w:noProof/>
          <w:color w:val="000000"/>
          <w:lang w:val="es-ES"/>
        </w:rPr>
        <w:t>“</w:t>
      </w:r>
      <w:r w:rsidR="000E6EF1" w:rsidRPr="000E6EF1">
        <w:rPr>
          <w:rFonts w:cstheme="minorHAnsi"/>
          <w:noProof/>
          <w:color w:val="000000"/>
          <w:lang w:val="es-ES"/>
        </w:rPr>
        <w:t xml:space="preserve">Humedales: Facilitadores </w:t>
      </w:r>
      <w:r w:rsidR="000E6EF1">
        <w:rPr>
          <w:rFonts w:cstheme="minorHAnsi"/>
          <w:noProof/>
          <w:color w:val="000000"/>
          <w:lang w:val="es-ES"/>
        </w:rPr>
        <w:t>esenciales</w:t>
      </w:r>
      <w:r w:rsidR="000E6EF1" w:rsidRPr="000E6EF1">
        <w:rPr>
          <w:rFonts w:cstheme="minorHAnsi"/>
          <w:noProof/>
          <w:color w:val="000000"/>
          <w:lang w:val="es-ES"/>
        </w:rPr>
        <w:t xml:space="preserve"> para una recuperación resiliente y sostenible</w:t>
      </w:r>
      <w:r w:rsidR="000E6EF1">
        <w:rPr>
          <w:rFonts w:cstheme="minorHAnsi"/>
          <w:noProof/>
          <w:color w:val="000000"/>
          <w:lang w:val="es-ES"/>
        </w:rPr>
        <w:t>”</w:t>
      </w:r>
      <w:r w:rsidR="000E6EF1" w:rsidRPr="000E6EF1">
        <w:rPr>
          <w:rFonts w:cstheme="minorHAnsi"/>
          <w:noProof/>
          <w:color w:val="000000"/>
          <w:lang w:val="es-ES"/>
        </w:rPr>
        <w:t xml:space="preserve"> </w:t>
      </w:r>
      <w:r w:rsidR="008F05C5">
        <w:rPr>
          <w:rFonts w:cstheme="minorHAnsi"/>
          <w:noProof/>
          <w:color w:val="000000"/>
          <w:lang w:val="es-ES"/>
        </w:rPr>
        <w:t xml:space="preserve">con el fin de </w:t>
      </w:r>
      <w:r w:rsidR="00A23D7A">
        <w:rPr>
          <w:rFonts w:cstheme="minorHAnsi"/>
          <w:noProof/>
          <w:color w:val="000000"/>
          <w:lang w:val="es-ES"/>
        </w:rPr>
        <w:t xml:space="preserve">proporcionar un espacio para </w:t>
      </w:r>
      <w:r w:rsidR="000E6EF1" w:rsidRPr="000E6EF1">
        <w:rPr>
          <w:rFonts w:cstheme="minorHAnsi"/>
          <w:noProof/>
          <w:color w:val="000000"/>
          <w:lang w:val="es-ES"/>
        </w:rPr>
        <w:t xml:space="preserve">presentar el proyecto de resolución para </w:t>
      </w:r>
      <w:r w:rsidR="00CD4650">
        <w:rPr>
          <w:rFonts w:cstheme="minorHAnsi"/>
          <w:noProof/>
          <w:color w:val="000000"/>
          <w:lang w:val="es-ES"/>
        </w:rPr>
        <w:t>proclamar</w:t>
      </w:r>
      <w:r w:rsidR="000E6EF1" w:rsidRPr="000E6EF1">
        <w:rPr>
          <w:rFonts w:cstheme="minorHAnsi"/>
          <w:noProof/>
          <w:color w:val="000000"/>
          <w:lang w:val="es-ES"/>
        </w:rPr>
        <w:t xml:space="preserve"> el 2 de febrero como Día Mundial de los Humedales</w:t>
      </w:r>
      <w:r w:rsidR="00A23D7A">
        <w:rPr>
          <w:rFonts w:cstheme="minorHAnsi"/>
          <w:noProof/>
          <w:color w:val="000000"/>
          <w:lang w:val="es-ES"/>
        </w:rPr>
        <w:t>,</w:t>
      </w:r>
      <w:r w:rsidR="000E6EF1" w:rsidRPr="000E6EF1">
        <w:rPr>
          <w:rFonts w:cstheme="minorHAnsi"/>
          <w:noProof/>
          <w:color w:val="000000"/>
          <w:lang w:val="es-ES"/>
        </w:rPr>
        <w:t xml:space="preserve"> </w:t>
      </w:r>
      <w:r w:rsidR="00A23D7A">
        <w:rPr>
          <w:rFonts w:cstheme="minorHAnsi"/>
          <w:noProof/>
          <w:color w:val="000000"/>
          <w:lang w:val="es-ES"/>
        </w:rPr>
        <w:t>de conformidad</w:t>
      </w:r>
      <w:r w:rsidR="000E6EF1" w:rsidRPr="000E6EF1">
        <w:rPr>
          <w:rFonts w:cstheme="minorHAnsi"/>
          <w:noProof/>
          <w:color w:val="000000"/>
          <w:lang w:val="es-ES"/>
        </w:rPr>
        <w:t xml:space="preserve"> con la decisión </w:t>
      </w:r>
      <w:r w:rsidR="00CD4650">
        <w:rPr>
          <w:rFonts w:cstheme="minorHAnsi"/>
          <w:noProof/>
          <w:color w:val="000000"/>
          <w:lang w:val="es-ES"/>
        </w:rPr>
        <w:t>que tomaron</w:t>
      </w:r>
      <w:r w:rsidR="000E6EF1" w:rsidRPr="000E6EF1">
        <w:rPr>
          <w:rFonts w:cstheme="minorHAnsi"/>
          <w:noProof/>
          <w:color w:val="000000"/>
          <w:lang w:val="es-ES"/>
        </w:rPr>
        <w:t xml:space="preserve"> las Partes Contratantes durante la COP13. </w:t>
      </w:r>
      <w:r w:rsidR="00A23D7A">
        <w:rPr>
          <w:rFonts w:cstheme="minorHAnsi"/>
          <w:noProof/>
          <w:color w:val="000000"/>
          <w:lang w:val="es-ES"/>
        </w:rPr>
        <w:t>Las actas del evento pueden consultarse en</w:t>
      </w:r>
      <w:r w:rsidR="001A4ACF" w:rsidRPr="00F34795">
        <w:rPr>
          <w:rFonts w:cstheme="minorHAnsi"/>
          <w:noProof/>
          <w:color w:val="000000"/>
          <w:lang w:val="es-ES"/>
        </w:rPr>
        <w:t>:</w:t>
      </w:r>
      <w:r w:rsidR="000769CA" w:rsidRPr="00F34795">
        <w:rPr>
          <w:rFonts w:cstheme="minorHAnsi"/>
          <w:noProof/>
          <w:color w:val="000000"/>
          <w:lang w:val="es-ES"/>
        </w:rPr>
        <w:t xml:space="preserve"> </w:t>
      </w:r>
      <w:hyperlink r:id="rId11" w:history="1">
        <w:r w:rsidR="00EC2F41" w:rsidRPr="00F34795">
          <w:rPr>
            <w:rStyle w:val="Hyperlink"/>
            <w:noProof/>
            <w:lang w:val="es-ES"/>
          </w:rPr>
          <w:t>https://www.ramsar.org/resources/wetlands-key-enablers-for-a-resilient-and-sustainable-recovery</w:t>
        </w:r>
      </w:hyperlink>
      <w:r w:rsidR="00EC2F41" w:rsidRPr="00F34795">
        <w:rPr>
          <w:noProof/>
          <w:lang w:val="es-ES"/>
        </w:rPr>
        <w:t>.</w:t>
      </w:r>
    </w:p>
    <w:p w14:paraId="276412B6" w14:textId="77777777" w:rsidR="00EC2F41" w:rsidRPr="00F34795" w:rsidRDefault="00EC2F41" w:rsidP="008A047B">
      <w:pPr>
        <w:autoSpaceDE w:val="0"/>
        <w:autoSpaceDN w:val="0"/>
        <w:adjustRightInd w:val="0"/>
        <w:spacing w:after="0" w:line="240" w:lineRule="auto"/>
        <w:ind w:left="426" w:hanging="426"/>
        <w:rPr>
          <w:rFonts w:ascii="CIDFont+F2" w:hAnsi="CIDFont+F2" w:cs="CIDFont+F2"/>
          <w:noProof/>
          <w:lang w:val="es-ES"/>
        </w:rPr>
      </w:pPr>
    </w:p>
    <w:p w14:paraId="54E74688" w14:textId="44E94138" w:rsidR="00F27DF0" w:rsidRDefault="00E75888" w:rsidP="00F27DF0">
      <w:pPr>
        <w:autoSpaceDE w:val="0"/>
        <w:autoSpaceDN w:val="0"/>
        <w:adjustRightInd w:val="0"/>
        <w:spacing w:after="0" w:line="240" w:lineRule="auto"/>
        <w:ind w:left="426" w:hanging="426"/>
      </w:pPr>
      <w:r>
        <w:rPr>
          <w:rFonts w:ascii="Calibri" w:hAnsi="Calibri" w:cs="Calibri"/>
          <w:bCs/>
          <w:noProof/>
          <w:color w:val="000000"/>
          <w:lang w:val="es-ES"/>
        </w:rPr>
        <w:t>4.</w:t>
      </w:r>
      <w:r>
        <w:rPr>
          <w:rFonts w:ascii="Calibri" w:hAnsi="Calibri" w:cs="Calibri"/>
          <w:bCs/>
          <w:noProof/>
          <w:color w:val="000000"/>
          <w:lang w:val="es-ES"/>
        </w:rPr>
        <w:tab/>
      </w:r>
      <w:r w:rsidR="00A23D7A">
        <w:rPr>
          <w:rFonts w:ascii="Calibri" w:hAnsi="Calibri" w:cs="Calibri"/>
          <w:bCs/>
          <w:noProof/>
          <w:color w:val="000000"/>
          <w:lang w:val="es-ES"/>
        </w:rPr>
        <w:t xml:space="preserve">Mediante </w:t>
      </w:r>
      <w:r w:rsidR="00A23D7A" w:rsidRPr="00A23D7A">
        <w:rPr>
          <w:rFonts w:ascii="Calibri" w:hAnsi="Calibri" w:cs="Calibri"/>
          <w:bCs/>
          <w:noProof/>
          <w:color w:val="000000"/>
          <w:lang w:val="es-ES"/>
        </w:rPr>
        <w:t xml:space="preserve">la Nota Diplomática 2021/10 </w:t>
      </w:r>
      <w:r>
        <w:rPr>
          <w:rFonts w:ascii="Calibri" w:hAnsi="Calibri" w:cs="Calibri"/>
          <w:bCs/>
          <w:noProof/>
          <w:color w:val="000000"/>
          <w:lang w:val="es-ES"/>
        </w:rPr>
        <w:t xml:space="preserve">sobre la </w:t>
      </w:r>
      <w:r w:rsidR="00A23D7A" w:rsidRPr="00C57B45">
        <w:rPr>
          <w:rFonts w:ascii="Calibri" w:hAnsi="Calibri" w:cs="Calibri"/>
          <w:bCs/>
          <w:i/>
          <w:iCs/>
          <w:noProof/>
          <w:color w:val="000000"/>
          <w:lang w:val="es-ES"/>
        </w:rPr>
        <w:t xml:space="preserve">Aprobación de la </w:t>
      </w:r>
      <w:r w:rsidR="0025330F">
        <w:rPr>
          <w:rFonts w:ascii="Calibri" w:hAnsi="Calibri" w:cs="Calibri"/>
          <w:bCs/>
          <w:i/>
          <w:iCs/>
          <w:noProof/>
          <w:color w:val="000000"/>
          <w:lang w:val="es-ES"/>
        </w:rPr>
        <w:t>r</w:t>
      </w:r>
      <w:r w:rsidR="00A23D7A" w:rsidRPr="00C57B45">
        <w:rPr>
          <w:rFonts w:ascii="Calibri" w:hAnsi="Calibri" w:cs="Calibri"/>
          <w:bCs/>
          <w:i/>
          <w:iCs/>
          <w:noProof/>
          <w:color w:val="000000"/>
          <w:lang w:val="es-ES"/>
        </w:rPr>
        <w:t>esolución de la Asamblea General de las Naciones Unidas sobre el Día Mundial de los Humedales</w:t>
      </w:r>
      <w:r w:rsidR="00A23D7A">
        <w:rPr>
          <w:rFonts w:ascii="Calibri" w:hAnsi="Calibri" w:cs="Calibri"/>
          <w:bCs/>
          <w:noProof/>
          <w:color w:val="000000"/>
          <w:lang w:val="es-ES"/>
        </w:rPr>
        <w:t xml:space="preserve">, </w:t>
      </w:r>
      <w:r w:rsidR="00C57B45">
        <w:rPr>
          <w:rFonts w:ascii="Calibri" w:hAnsi="Calibri" w:cs="Calibri"/>
          <w:bCs/>
          <w:noProof/>
          <w:color w:val="000000"/>
          <w:lang w:val="es-ES"/>
        </w:rPr>
        <w:t xml:space="preserve">se </w:t>
      </w:r>
      <w:r w:rsidR="00A23D7A" w:rsidRPr="00A23D7A">
        <w:rPr>
          <w:rFonts w:ascii="Calibri" w:hAnsi="Calibri" w:cs="Calibri"/>
          <w:bCs/>
          <w:noProof/>
          <w:color w:val="000000"/>
          <w:lang w:val="es-ES"/>
        </w:rPr>
        <w:t xml:space="preserve">informó a </w:t>
      </w:r>
      <w:r>
        <w:rPr>
          <w:rFonts w:ascii="Calibri" w:hAnsi="Calibri" w:cs="Calibri"/>
          <w:bCs/>
          <w:noProof/>
          <w:color w:val="000000"/>
          <w:lang w:val="es-ES"/>
        </w:rPr>
        <w:t xml:space="preserve">las Partes Contratantes </w:t>
      </w:r>
      <w:r w:rsidR="0025330F">
        <w:rPr>
          <w:rFonts w:ascii="Calibri" w:hAnsi="Calibri" w:cs="Calibri"/>
          <w:bCs/>
          <w:noProof/>
          <w:color w:val="000000"/>
          <w:lang w:val="es-ES"/>
        </w:rPr>
        <w:t xml:space="preserve">de </w:t>
      </w:r>
      <w:r w:rsidR="00A23D7A" w:rsidRPr="00A23D7A">
        <w:rPr>
          <w:rFonts w:ascii="Calibri" w:hAnsi="Calibri" w:cs="Calibri"/>
          <w:bCs/>
          <w:noProof/>
          <w:color w:val="000000"/>
          <w:lang w:val="es-ES"/>
        </w:rPr>
        <w:t>que la Asamblea General</w:t>
      </w:r>
      <w:r w:rsidR="00C57B45">
        <w:rPr>
          <w:rFonts w:ascii="Calibri" w:hAnsi="Calibri" w:cs="Calibri"/>
          <w:bCs/>
          <w:noProof/>
          <w:color w:val="000000"/>
          <w:lang w:val="es-ES"/>
        </w:rPr>
        <w:t xml:space="preserve"> aprobó</w:t>
      </w:r>
      <w:r w:rsidR="0025330F" w:rsidRPr="0025330F">
        <w:rPr>
          <w:rFonts w:ascii="Calibri" w:hAnsi="Calibri" w:cs="Calibri"/>
          <w:bCs/>
          <w:noProof/>
          <w:color w:val="000000"/>
          <w:lang w:val="es-ES"/>
        </w:rPr>
        <w:t xml:space="preserve"> </w:t>
      </w:r>
      <w:r w:rsidR="0025330F">
        <w:rPr>
          <w:rFonts w:ascii="Calibri" w:hAnsi="Calibri" w:cs="Calibri"/>
          <w:bCs/>
          <w:noProof/>
          <w:color w:val="000000"/>
          <w:lang w:val="es-ES"/>
        </w:rPr>
        <w:t xml:space="preserve">la resolución </w:t>
      </w:r>
      <w:r w:rsidR="0025330F" w:rsidRPr="00A23D7A">
        <w:rPr>
          <w:rFonts w:ascii="Calibri" w:hAnsi="Calibri" w:cs="Calibri"/>
          <w:bCs/>
          <w:noProof/>
          <w:color w:val="000000"/>
          <w:lang w:val="es-ES"/>
        </w:rPr>
        <w:t>sobre el Día Mundial de los Humedales</w:t>
      </w:r>
      <w:r w:rsidR="00A23D7A" w:rsidRPr="00A23D7A">
        <w:rPr>
          <w:rFonts w:ascii="Calibri" w:hAnsi="Calibri" w:cs="Calibri"/>
          <w:bCs/>
          <w:noProof/>
          <w:color w:val="000000"/>
          <w:lang w:val="es-ES"/>
        </w:rPr>
        <w:t xml:space="preserve"> </w:t>
      </w:r>
      <w:r w:rsidR="00CD4650">
        <w:rPr>
          <w:rFonts w:ascii="Calibri" w:hAnsi="Calibri" w:cs="Calibri"/>
          <w:bCs/>
          <w:noProof/>
          <w:color w:val="000000"/>
          <w:lang w:val="es-ES"/>
        </w:rPr>
        <w:t xml:space="preserve">en la 99ª sesión plenaria </w:t>
      </w:r>
      <w:r w:rsidR="00C57B45">
        <w:rPr>
          <w:rFonts w:ascii="Calibri" w:hAnsi="Calibri" w:cs="Calibri"/>
          <w:bCs/>
          <w:noProof/>
          <w:color w:val="000000"/>
          <w:lang w:val="es-ES"/>
        </w:rPr>
        <w:t>de</w:t>
      </w:r>
      <w:r w:rsidR="00CD4650">
        <w:rPr>
          <w:rFonts w:ascii="Calibri" w:hAnsi="Calibri" w:cs="Calibri"/>
          <w:bCs/>
          <w:noProof/>
          <w:color w:val="000000"/>
          <w:lang w:val="es-ES"/>
        </w:rPr>
        <w:t xml:space="preserve"> su</w:t>
      </w:r>
      <w:r w:rsidR="00A23D7A" w:rsidRPr="00A23D7A">
        <w:rPr>
          <w:rFonts w:ascii="Calibri" w:hAnsi="Calibri" w:cs="Calibri"/>
          <w:bCs/>
          <w:noProof/>
          <w:color w:val="000000"/>
          <w:lang w:val="es-ES"/>
        </w:rPr>
        <w:t xml:space="preserve"> </w:t>
      </w:r>
      <w:r w:rsidR="0025330F">
        <w:rPr>
          <w:rFonts w:ascii="Calibri" w:hAnsi="Calibri" w:cs="Calibri"/>
          <w:bCs/>
          <w:noProof/>
          <w:color w:val="000000"/>
          <w:lang w:val="es-ES"/>
        </w:rPr>
        <w:t>septuagésimo quinto</w:t>
      </w:r>
      <w:r w:rsidR="00CD4650">
        <w:rPr>
          <w:rFonts w:ascii="Calibri" w:hAnsi="Calibri" w:cs="Calibri"/>
          <w:bCs/>
          <w:noProof/>
          <w:color w:val="000000"/>
          <w:lang w:val="es-ES"/>
        </w:rPr>
        <w:t xml:space="preserve"> período de sesiones</w:t>
      </w:r>
      <w:r w:rsidR="00A23D7A" w:rsidRPr="00A23D7A">
        <w:rPr>
          <w:rFonts w:ascii="Calibri" w:hAnsi="Calibri" w:cs="Calibri"/>
          <w:bCs/>
          <w:noProof/>
          <w:color w:val="000000"/>
          <w:lang w:val="es-ES"/>
        </w:rPr>
        <w:t xml:space="preserve">, </w:t>
      </w:r>
      <w:r w:rsidR="0025330F">
        <w:rPr>
          <w:rFonts w:ascii="Calibri" w:hAnsi="Calibri" w:cs="Calibri"/>
          <w:bCs/>
          <w:noProof/>
          <w:color w:val="000000"/>
          <w:lang w:val="es-ES"/>
        </w:rPr>
        <w:t xml:space="preserve">celebrada </w:t>
      </w:r>
      <w:r w:rsidR="0025330F" w:rsidRPr="00A23D7A">
        <w:rPr>
          <w:rFonts w:ascii="Calibri" w:hAnsi="Calibri" w:cs="Calibri"/>
          <w:bCs/>
          <w:noProof/>
          <w:color w:val="000000"/>
          <w:lang w:val="es-ES"/>
        </w:rPr>
        <w:t>el 30 de agosto de 2021</w:t>
      </w:r>
      <w:r w:rsidR="00A23D7A" w:rsidRPr="00A23D7A">
        <w:rPr>
          <w:rFonts w:ascii="Calibri" w:hAnsi="Calibri" w:cs="Calibri"/>
          <w:bCs/>
          <w:noProof/>
          <w:color w:val="000000"/>
          <w:lang w:val="es-ES"/>
        </w:rPr>
        <w:t xml:space="preserve">. La </w:t>
      </w:r>
      <w:r w:rsidR="00CD4650">
        <w:rPr>
          <w:rFonts w:ascii="Calibri" w:hAnsi="Calibri" w:cs="Calibri"/>
          <w:bCs/>
          <w:noProof/>
          <w:color w:val="000000"/>
          <w:lang w:val="es-ES"/>
        </w:rPr>
        <w:t>r</w:t>
      </w:r>
      <w:r w:rsidR="00A23D7A" w:rsidRPr="00A23D7A">
        <w:rPr>
          <w:rFonts w:ascii="Calibri" w:hAnsi="Calibri" w:cs="Calibri"/>
          <w:bCs/>
          <w:noProof/>
          <w:color w:val="000000"/>
          <w:lang w:val="es-ES"/>
        </w:rPr>
        <w:t xml:space="preserve">esolución fue copatrocinada por 75 Estados </w:t>
      </w:r>
      <w:r w:rsidR="0025330F">
        <w:rPr>
          <w:rFonts w:ascii="Calibri" w:hAnsi="Calibri" w:cs="Calibri"/>
          <w:bCs/>
          <w:noProof/>
          <w:color w:val="000000"/>
          <w:lang w:val="es-ES"/>
        </w:rPr>
        <w:t>M</w:t>
      </w:r>
      <w:r w:rsidR="00A23D7A" w:rsidRPr="00A23D7A">
        <w:rPr>
          <w:rFonts w:ascii="Calibri" w:hAnsi="Calibri" w:cs="Calibri"/>
          <w:bCs/>
          <w:noProof/>
          <w:color w:val="000000"/>
          <w:lang w:val="es-ES"/>
        </w:rPr>
        <w:t xml:space="preserve">iembros y </w:t>
      </w:r>
      <w:r>
        <w:rPr>
          <w:rFonts w:ascii="Calibri" w:hAnsi="Calibri" w:cs="Calibri"/>
          <w:bCs/>
          <w:noProof/>
          <w:color w:val="000000"/>
          <w:lang w:val="es-ES"/>
        </w:rPr>
        <w:t xml:space="preserve">se puede consultar </w:t>
      </w:r>
      <w:r w:rsidR="00A23D7A" w:rsidRPr="00A23D7A">
        <w:rPr>
          <w:rFonts w:ascii="Calibri" w:hAnsi="Calibri" w:cs="Calibri"/>
          <w:bCs/>
          <w:noProof/>
          <w:color w:val="000000"/>
          <w:lang w:val="es-ES"/>
        </w:rPr>
        <w:t>en los seis idiomas oficiales de las Naciones Unidas en la siguiente dirección</w:t>
      </w:r>
      <w:r w:rsidR="00C57B45">
        <w:rPr>
          <w:rFonts w:ascii="Calibri" w:hAnsi="Calibri" w:cs="Calibri"/>
          <w:bCs/>
          <w:noProof/>
          <w:color w:val="000000"/>
          <w:lang w:val="es-ES"/>
        </w:rPr>
        <w:t>:</w:t>
      </w:r>
      <w:r w:rsidR="0025330F">
        <w:rPr>
          <w:rFonts w:ascii="Calibri" w:hAnsi="Calibri" w:cs="Calibri"/>
          <w:bCs/>
          <w:noProof/>
          <w:color w:val="000000"/>
          <w:lang w:val="es-ES"/>
        </w:rPr>
        <w:t xml:space="preserve"> </w:t>
      </w:r>
    </w:p>
    <w:p w14:paraId="3978ED28" w14:textId="3396F90F" w:rsidR="002D7C1C" w:rsidRPr="00F34795" w:rsidRDefault="00D4000B" w:rsidP="00F27DF0">
      <w:pPr>
        <w:autoSpaceDE w:val="0"/>
        <w:autoSpaceDN w:val="0"/>
        <w:adjustRightInd w:val="0"/>
        <w:spacing w:after="0" w:line="240" w:lineRule="auto"/>
        <w:ind w:left="426"/>
        <w:rPr>
          <w:rFonts w:cstheme="minorHAnsi"/>
          <w:noProof/>
          <w:color w:val="000000"/>
          <w:lang w:val="es-ES"/>
        </w:rPr>
      </w:pPr>
      <w:hyperlink r:id="rId12" w:history="1">
        <w:r w:rsidR="00F27DF0" w:rsidRPr="00CA0587">
          <w:rPr>
            <w:rStyle w:val="Hyperlink"/>
            <w:rFonts w:cstheme="minorHAnsi"/>
            <w:noProof/>
            <w:lang w:val="es-ES"/>
          </w:rPr>
          <w:t>https://undocs.org/Home/Mobile?FinalSymbol=A%2FRES%2F75%2F317&amp;Language=E&amp;DeviceType=Desktop&amp;LangRequested=False</w:t>
        </w:r>
      </w:hyperlink>
      <w:r w:rsidR="00EC2F41" w:rsidRPr="00F34795">
        <w:rPr>
          <w:rFonts w:cstheme="minorHAnsi"/>
          <w:noProof/>
          <w:color w:val="000000"/>
          <w:lang w:val="es-ES"/>
        </w:rPr>
        <w:t xml:space="preserve"> </w:t>
      </w:r>
    </w:p>
    <w:p w14:paraId="21FA97E9" w14:textId="77777777" w:rsidR="002D7C1C" w:rsidRPr="00F34795" w:rsidRDefault="002D7C1C" w:rsidP="008A047B">
      <w:pPr>
        <w:autoSpaceDE w:val="0"/>
        <w:autoSpaceDN w:val="0"/>
        <w:adjustRightInd w:val="0"/>
        <w:spacing w:after="0" w:line="240" w:lineRule="auto"/>
        <w:ind w:left="426" w:hanging="426"/>
        <w:rPr>
          <w:rFonts w:cstheme="minorHAnsi"/>
          <w:noProof/>
          <w:color w:val="000000"/>
          <w:lang w:val="es-ES"/>
        </w:rPr>
      </w:pPr>
    </w:p>
    <w:p w14:paraId="67950D7F" w14:textId="1A7961C9" w:rsidR="00CE18F4" w:rsidRPr="00F34795" w:rsidRDefault="00755F92" w:rsidP="00CE18F4">
      <w:pPr>
        <w:autoSpaceDE w:val="0"/>
        <w:autoSpaceDN w:val="0"/>
        <w:adjustRightInd w:val="0"/>
        <w:spacing w:after="0" w:line="240" w:lineRule="auto"/>
        <w:ind w:left="426" w:hanging="426"/>
        <w:rPr>
          <w:rFonts w:ascii="Calibri" w:hAnsi="Calibri" w:cs="Calibri"/>
          <w:noProof/>
          <w:color w:val="000000"/>
          <w:lang w:val="es-ES"/>
        </w:rPr>
      </w:pPr>
      <w:r>
        <w:rPr>
          <w:rFonts w:ascii="Calibri" w:hAnsi="Calibri" w:cs="Calibri"/>
          <w:noProof/>
          <w:color w:val="000000"/>
          <w:lang w:val="es-ES"/>
        </w:rPr>
        <w:t>5</w:t>
      </w:r>
      <w:r w:rsidR="000C2E1F" w:rsidRPr="00F34795">
        <w:rPr>
          <w:rFonts w:ascii="Calibri" w:hAnsi="Calibri" w:cs="Calibri"/>
          <w:noProof/>
          <w:color w:val="000000"/>
          <w:lang w:val="es-ES"/>
        </w:rPr>
        <w:t>.</w:t>
      </w:r>
      <w:r w:rsidR="000C2E1F" w:rsidRPr="00F34795">
        <w:rPr>
          <w:rFonts w:ascii="Calibri" w:hAnsi="Calibri" w:cs="Calibri"/>
          <w:noProof/>
          <w:color w:val="000000"/>
          <w:lang w:val="es-ES"/>
        </w:rPr>
        <w:tab/>
      </w:r>
      <w:r w:rsidR="00F27DF0">
        <w:rPr>
          <w:rFonts w:ascii="Calibri" w:hAnsi="Calibri" w:cs="Calibri"/>
          <w:noProof/>
          <w:color w:val="000000"/>
          <w:lang w:val="es-ES"/>
        </w:rPr>
        <w:t>La resolución insta a los Estados Miembros, las organizaciones del sistema de las Naciones Unidas y otras instancias pertinentes a que</w:t>
      </w:r>
      <w:r w:rsidR="00AD2666">
        <w:rPr>
          <w:rFonts w:ascii="Calibri" w:hAnsi="Calibri" w:cs="Calibri"/>
          <w:noProof/>
          <w:color w:val="000000"/>
          <w:lang w:val="es-ES"/>
        </w:rPr>
        <w:t xml:space="preserve"> celebren </w:t>
      </w:r>
      <w:r w:rsidR="00CE18F4">
        <w:rPr>
          <w:rFonts w:ascii="Calibri" w:hAnsi="Calibri" w:cs="Calibri"/>
          <w:noProof/>
          <w:color w:val="000000"/>
          <w:lang w:val="es-ES"/>
        </w:rPr>
        <w:t>este día</w:t>
      </w:r>
      <w:r w:rsidR="00AD2666">
        <w:rPr>
          <w:rFonts w:ascii="Calibri" w:hAnsi="Calibri" w:cs="Calibri"/>
          <w:noProof/>
          <w:color w:val="000000"/>
          <w:lang w:val="es-ES"/>
        </w:rPr>
        <w:t xml:space="preserve">, y la Asamblea General de las Naciones Unidas invita a la Secretaría a que </w:t>
      </w:r>
      <w:r w:rsidR="00F64A4E">
        <w:rPr>
          <w:rFonts w:ascii="Calibri" w:hAnsi="Calibri" w:cs="Calibri"/>
          <w:noProof/>
          <w:color w:val="000000"/>
          <w:lang w:val="es-ES"/>
        </w:rPr>
        <w:t xml:space="preserve">le </w:t>
      </w:r>
      <w:r w:rsidR="00AD2666">
        <w:rPr>
          <w:rFonts w:ascii="Calibri" w:hAnsi="Calibri" w:cs="Calibri"/>
          <w:noProof/>
          <w:color w:val="000000"/>
          <w:lang w:val="es-ES"/>
        </w:rPr>
        <w:t xml:space="preserve">presente </w:t>
      </w:r>
      <w:r w:rsidR="00F64A4E">
        <w:rPr>
          <w:rFonts w:ascii="Calibri" w:hAnsi="Calibri" w:cs="Calibri"/>
          <w:noProof/>
          <w:color w:val="000000"/>
          <w:lang w:val="es-ES"/>
        </w:rPr>
        <w:t xml:space="preserve">un informe </w:t>
      </w:r>
      <w:r w:rsidR="00AD2666">
        <w:rPr>
          <w:rFonts w:ascii="Calibri" w:hAnsi="Calibri" w:cs="Calibri"/>
          <w:noProof/>
          <w:color w:val="000000"/>
          <w:lang w:val="es-ES"/>
        </w:rPr>
        <w:t xml:space="preserve">en su septuagésimo sexto período de sesiones, lo que constituye una oportunidad </w:t>
      </w:r>
      <w:r w:rsidR="00F64A4E">
        <w:rPr>
          <w:rFonts w:ascii="Calibri" w:hAnsi="Calibri" w:cs="Calibri"/>
          <w:noProof/>
          <w:color w:val="000000"/>
          <w:lang w:val="es-ES"/>
        </w:rPr>
        <w:t>para presentar</w:t>
      </w:r>
      <w:r w:rsidR="00AD2666">
        <w:rPr>
          <w:rFonts w:ascii="Calibri" w:hAnsi="Calibri" w:cs="Calibri"/>
          <w:noProof/>
          <w:color w:val="000000"/>
          <w:lang w:val="es-ES"/>
        </w:rPr>
        <w:t xml:space="preserve"> un proyecto de resolución </w:t>
      </w:r>
      <w:r w:rsidR="007769D9">
        <w:rPr>
          <w:rFonts w:ascii="Calibri" w:hAnsi="Calibri" w:cs="Calibri"/>
          <w:noProof/>
          <w:color w:val="000000"/>
          <w:lang w:val="es-ES"/>
        </w:rPr>
        <w:t>sustancial</w:t>
      </w:r>
      <w:r w:rsidR="00AD2666">
        <w:rPr>
          <w:rFonts w:ascii="Calibri" w:hAnsi="Calibri" w:cs="Calibri"/>
          <w:noProof/>
          <w:color w:val="000000"/>
          <w:lang w:val="es-ES"/>
        </w:rPr>
        <w:t xml:space="preserve"> sobre los humedales.</w:t>
      </w:r>
    </w:p>
    <w:p w14:paraId="4121C63F" w14:textId="3CC9A390" w:rsidR="009C2848" w:rsidRPr="00F34795" w:rsidRDefault="009C2848" w:rsidP="001F5B2E">
      <w:pPr>
        <w:autoSpaceDE w:val="0"/>
        <w:autoSpaceDN w:val="0"/>
        <w:adjustRightInd w:val="0"/>
        <w:spacing w:after="0" w:line="240" w:lineRule="auto"/>
        <w:ind w:left="426" w:hanging="426"/>
        <w:rPr>
          <w:rFonts w:ascii="Calibri" w:hAnsi="Calibri" w:cs="Calibri"/>
          <w:noProof/>
          <w:color w:val="000000"/>
          <w:lang w:val="es-ES"/>
        </w:rPr>
      </w:pPr>
    </w:p>
    <w:sectPr w:rsidR="009C2848" w:rsidRPr="00F34795" w:rsidSect="002F62DC">
      <w:footerReference w:type="default" r:id="rId13"/>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6667" w14:textId="77777777" w:rsidR="00B61A77" w:rsidRDefault="00B61A77" w:rsidP="009C2848">
      <w:pPr>
        <w:spacing w:after="0" w:line="240" w:lineRule="auto"/>
      </w:pPr>
      <w:r>
        <w:separator/>
      </w:r>
    </w:p>
  </w:endnote>
  <w:endnote w:type="continuationSeparator" w:id="0">
    <w:p w14:paraId="4A2C5AFF" w14:textId="77777777" w:rsidR="00B61A77" w:rsidRDefault="00B61A77" w:rsidP="009C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2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5194" w14:textId="05CC97EE" w:rsidR="002A7D94" w:rsidRPr="00ED605C" w:rsidRDefault="002A7D94">
    <w:pPr>
      <w:pStyle w:val="Footer"/>
      <w:rPr>
        <w:rFonts w:asciiTheme="minorHAnsi" w:hAnsiTheme="minorHAnsi" w:cstheme="minorHAnsi"/>
        <w:sz w:val="20"/>
        <w:szCs w:val="20"/>
      </w:rPr>
    </w:pPr>
    <w:r w:rsidRPr="00ED605C">
      <w:rPr>
        <w:rFonts w:asciiTheme="minorHAnsi" w:hAnsiTheme="minorHAnsi" w:cstheme="minorHAnsi"/>
        <w:sz w:val="20"/>
        <w:szCs w:val="20"/>
      </w:rPr>
      <w:t>SC5</w:t>
    </w:r>
    <w:r>
      <w:rPr>
        <w:rFonts w:asciiTheme="minorHAnsi" w:hAnsiTheme="minorHAnsi" w:cstheme="minorHAnsi"/>
        <w:sz w:val="20"/>
        <w:szCs w:val="20"/>
      </w:rPr>
      <w:t>9</w:t>
    </w:r>
    <w:r w:rsidR="006D7358">
      <w:rPr>
        <w:rFonts w:asciiTheme="minorHAnsi" w:hAnsiTheme="minorHAnsi" w:cstheme="minorHAnsi"/>
        <w:sz w:val="20"/>
        <w:szCs w:val="20"/>
      </w:rPr>
      <w:t>/2022</w:t>
    </w:r>
    <w:r w:rsidRPr="00ED605C">
      <w:rPr>
        <w:rFonts w:asciiTheme="minorHAnsi" w:hAnsiTheme="minorHAnsi" w:cstheme="minorHAnsi"/>
        <w:sz w:val="20"/>
        <w:szCs w:val="20"/>
      </w:rPr>
      <w:t xml:space="preserve"> Doc.</w:t>
    </w:r>
    <w:r w:rsidR="000C2E1F">
      <w:rPr>
        <w:rFonts w:asciiTheme="minorHAnsi" w:hAnsiTheme="minorHAnsi" w:cstheme="minorHAnsi"/>
        <w:sz w:val="20"/>
        <w:szCs w:val="20"/>
      </w:rPr>
      <w:t>17.3</w:t>
    </w:r>
    <w:r>
      <w:rPr>
        <w:rFonts w:asciiTheme="minorHAnsi" w:hAnsiTheme="minorHAnsi" w:cstheme="minorHAnsi"/>
        <w:sz w:val="20"/>
        <w:szCs w:val="20"/>
      </w:rPr>
      <w:tab/>
    </w:r>
    <w:r>
      <w:rPr>
        <w:rFonts w:asciiTheme="minorHAnsi" w:hAnsiTheme="minorHAnsi" w:cstheme="minorHAnsi"/>
        <w:sz w:val="20"/>
        <w:szCs w:val="20"/>
      </w:rPr>
      <w:tab/>
    </w:r>
    <w:r w:rsidRPr="00ED605C">
      <w:rPr>
        <w:rFonts w:asciiTheme="minorHAnsi" w:hAnsiTheme="minorHAnsi" w:cstheme="minorHAnsi"/>
        <w:sz w:val="20"/>
        <w:szCs w:val="20"/>
      </w:rPr>
      <w:fldChar w:fldCharType="begin"/>
    </w:r>
    <w:r w:rsidRPr="00ED605C">
      <w:rPr>
        <w:rFonts w:asciiTheme="minorHAnsi" w:hAnsiTheme="minorHAnsi" w:cstheme="minorHAnsi"/>
        <w:sz w:val="20"/>
        <w:szCs w:val="20"/>
      </w:rPr>
      <w:instrText xml:space="preserve"> PAGE   \* MERGEFORMAT </w:instrText>
    </w:r>
    <w:r w:rsidRPr="00ED605C">
      <w:rPr>
        <w:rFonts w:asciiTheme="minorHAnsi" w:hAnsiTheme="minorHAnsi" w:cstheme="minorHAnsi"/>
        <w:sz w:val="20"/>
        <w:szCs w:val="20"/>
      </w:rPr>
      <w:fldChar w:fldCharType="separate"/>
    </w:r>
    <w:r w:rsidR="00D4000B">
      <w:rPr>
        <w:rFonts w:asciiTheme="minorHAnsi" w:hAnsiTheme="minorHAnsi" w:cstheme="minorHAnsi"/>
        <w:noProof/>
        <w:sz w:val="20"/>
        <w:szCs w:val="20"/>
      </w:rPr>
      <w:t>2</w:t>
    </w:r>
    <w:r w:rsidRPr="00ED605C">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9A849" w14:textId="77777777" w:rsidR="00B61A77" w:rsidRDefault="00B61A77" w:rsidP="009C2848">
      <w:pPr>
        <w:spacing w:after="0" w:line="240" w:lineRule="auto"/>
      </w:pPr>
      <w:r>
        <w:separator/>
      </w:r>
    </w:p>
  </w:footnote>
  <w:footnote w:type="continuationSeparator" w:id="0">
    <w:p w14:paraId="53CC9B86" w14:textId="77777777" w:rsidR="00B61A77" w:rsidRDefault="00B61A77" w:rsidP="009C2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1F5F8B"/>
    <w:multiLevelType w:val="hybridMultilevel"/>
    <w:tmpl w:val="525E3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17"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21"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6"/>
  </w:num>
  <w:num w:numId="4">
    <w:abstractNumId w:val="11"/>
  </w:num>
  <w:num w:numId="5">
    <w:abstractNumId w:val="13"/>
  </w:num>
  <w:num w:numId="6">
    <w:abstractNumId w:val="3"/>
  </w:num>
  <w:num w:numId="7">
    <w:abstractNumId w:val="9"/>
  </w:num>
  <w:num w:numId="8">
    <w:abstractNumId w:val="0"/>
  </w:num>
  <w:num w:numId="9">
    <w:abstractNumId w:val="22"/>
  </w:num>
  <w:num w:numId="10">
    <w:abstractNumId w:val="14"/>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2"/>
  </w:num>
  <w:num w:numId="16">
    <w:abstractNumId w:val="21"/>
  </w:num>
  <w:num w:numId="17">
    <w:abstractNumId w:val="18"/>
  </w:num>
  <w:num w:numId="18">
    <w:abstractNumId w:val="17"/>
  </w:num>
  <w:num w:numId="19">
    <w:abstractNumId w:val="6"/>
  </w:num>
  <w:num w:numId="20">
    <w:abstractNumId w:val="10"/>
  </w:num>
  <w:num w:numId="21">
    <w:abstractNumId w:val="1"/>
  </w:num>
  <w:num w:numId="22">
    <w:abstractNumId w:val="2"/>
  </w:num>
  <w:num w:numId="23">
    <w:abstractNumId w:val="2"/>
  </w:num>
  <w:num w:numId="24">
    <w:abstractNumId w:val="20"/>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48"/>
    <w:rsid w:val="00027FB2"/>
    <w:rsid w:val="0003002C"/>
    <w:rsid w:val="000370C7"/>
    <w:rsid w:val="00042A06"/>
    <w:rsid w:val="0004432B"/>
    <w:rsid w:val="00047C49"/>
    <w:rsid w:val="00056467"/>
    <w:rsid w:val="00060299"/>
    <w:rsid w:val="0006611C"/>
    <w:rsid w:val="0007087A"/>
    <w:rsid w:val="000769CA"/>
    <w:rsid w:val="00076F67"/>
    <w:rsid w:val="00084161"/>
    <w:rsid w:val="00085324"/>
    <w:rsid w:val="000864A8"/>
    <w:rsid w:val="0009108D"/>
    <w:rsid w:val="000A2113"/>
    <w:rsid w:val="000A6E89"/>
    <w:rsid w:val="000B439C"/>
    <w:rsid w:val="000B6488"/>
    <w:rsid w:val="000C2E1F"/>
    <w:rsid w:val="000C4327"/>
    <w:rsid w:val="000E4A5A"/>
    <w:rsid w:val="000E6EF1"/>
    <w:rsid w:val="000F187D"/>
    <w:rsid w:val="000F7CD2"/>
    <w:rsid w:val="001052EE"/>
    <w:rsid w:val="001120D8"/>
    <w:rsid w:val="00115471"/>
    <w:rsid w:val="00127675"/>
    <w:rsid w:val="001414C1"/>
    <w:rsid w:val="00142378"/>
    <w:rsid w:val="0014272D"/>
    <w:rsid w:val="00151B4D"/>
    <w:rsid w:val="0017431C"/>
    <w:rsid w:val="00180147"/>
    <w:rsid w:val="00192513"/>
    <w:rsid w:val="00192D1F"/>
    <w:rsid w:val="00195B2F"/>
    <w:rsid w:val="001A02AE"/>
    <w:rsid w:val="001A0DB6"/>
    <w:rsid w:val="001A4350"/>
    <w:rsid w:val="001A4919"/>
    <w:rsid w:val="001A4ACF"/>
    <w:rsid w:val="001A57DF"/>
    <w:rsid w:val="001B6126"/>
    <w:rsid w:val="001C4A41"/>
    <w:rsid w:val="001C5FEF"/>
    <w:rsid w:val="001D1A71"/>
    <w:rsid w:val="001D5297"/>
    <w:rsid w:val="001E050F"/>
    <w:rsid w:val="001E52F6"/>
    <w:rsid w:val="001F2B93"/>
    <w:rsid w:val="001F2D94"/>
    <w:rsid w:val="001F4FA6"/>
    <w:rsid w:val="001F5B2E"/>
    <w:rsid w:val="002026A0"/>
    <w:rsid w:val="00206DD7"/>
    <w:rsid w:val="00222353"/>
    <w:rsid w:val="00226D5A"/>
    <w:rsid w:val="00236CDF"/>
    <w:rsid w:val="00241417"/>
    <w:rsid w:val="00244A45"/>
    <w:rsid w:val="0025330F"/>
    <w:rsid w:val="00272DA9"/>
    <w:rsid w:val="00282CD4"/>
    <w:rsid w:val="00290422"/>
    <w:rsid w:val="002A7D94"/>
    <w:rsid w:val="002C2416"/>
    <w:rsid w:val="002D1BE4"/>
    <w:rsid w:val="002D69D7"/>
    <w:rsid w:val="002D7C1C"/>
    <w:rsid w:val="002E1B93"/>
    <w:rsid w:val="002E2FD5"/>
    <w:rsid w:val="002E3977"/>
    <w:rsid w:val="002E46DB"/>
    <w:rsid w:val="002F62DC"/>
    <w:rsid w:val="00307B7E"/>
    <w:rsid w:val="003147A7"/>
    <w:rsid w:val="0035108A"/>
    <w:rsid w:val="003673A1"/>
    <w:rsid w:val="00376618"/>
    <w:rsid w:val="00382EDF"/>
    <w:rsid w:val="00387CC8"/>
    <w:rsid w:val="0039225B"/>
    <w:rsid w:val="00392C20"/>
    <w:rsid w:val="003B2120"/>
    <w:rsid w:val="003D7A1D"/>
    <w:rsid w:val="003E4A19"/>
    <w:rsid w:val="003F44C3"/>
    <w:rsid w:val="003F49E6"/>
    <w:rsid w:val="003F50EA"/>
    <w:rsid w:val="0040386B"/>
    <w:rsid w:val="00406A67"/>
    <w:rsid w:val="00407097"/>
    <w:rsid w:val="004210D2"/>
    <w:rsid w:val="00451F5F"/>
    <w:rsid w:val="004524F8"/>
    <w:rsid w:val="00457D19"/>
    <w:rsid w:val="0046275D"/>
    <w:rsid w:val="004805D6"/>
    <w:rsid w:val="00497AF8"/>
    <w:rsid w:val="004A3DAD"/>
    <w:rsid w:val="004A4010"/>
    <w:rsid w:val="004B1D3D"/>
    <w:rsid w:val="004B2B5C"/>
    <w:rsid w:val="004B3CB7"/>
    <w:rsid w:val="004B3FC0"/>
    <w:rsid w:val="004B4177"/>
    <w:rsid w:val="004D7880"/>
    <w:rsid w:val="004E1D32"/>
    <w:rsid w:val="004E7B33"/>
    <w:rsid w:val="004F10F0"/>
    <w:rsid w:val="0051310D"/>
    <w:rsid w:val="00521575"/>
    <w:rsid w:val="005218BF"/>
    <w:rsid w:val="005227EF"/>
    <w:rsid w:val="0052733A"/>
    <w:rsid w:val="00547AA7"/>
    <w:rsid w:val="00550AA7"/>
    <w:rsid w:val="005526E4"/>
    <w:rsid w:val="00553ECB"/>
    <w:rsid w:val="0056447C"/>
    <w:rsid w:val="00581B51"/>
    <w:rsid w:val="00583F30"/>
    <w:rsid w:val="00590992"/>
    <w:rsid w:val="00593DE7"/>
    <w:rsid w:val="005B0FB5"/>
    <w:rsid w:val="005B5503"/>
    <w:rsid w:val="005B69AE"/>
    <w:rsid w:val="005D39DC"/>
    <w:rsid w:val="005E6F7A"/>
    <w:rsid w:val="005F28BA"/>
    <w:rsid w:val="005F3347"/>
    <w:rsid w:val="00603642"/>
    <w:rsid w:val="00604B64"/>
    <w:rsid w:val="00604BEA"/>
    <w:rsid w:val="00605CF9"/>
    <w:rsid w:val="00606C61"/>
    <w:rsid w:val="00617103"/>
    <w:rsid w:val="0062622F"/>
    <w:rsid w:val="00630166"/>
    <w:rsid w:val="00642475"/>
    <w:rsid w:val="0064372C"/>
    <w:rsid w:val="00650451"/>
    <w:rsid w:val="006528D1"/>
    <w:rsid w:val="006538B8"/>
    <w:rsid w:val="0065474B"/>
    <w:rsid w:val="00657CE9"/>
    <w:rsid w:val="006716C0"/>
    <w:rsid w:val="006740A5"/>
    <w:rsid w:val="00674CBE"/>
    <w:rsid w:val="0068470B"/>
    <w:rsid w:val="00684F5B"/>
    <w:rsid w:val="00692166"/>
    <w:rsid w:val="006939F7"/>
    <w:rsid w:val="006978CC"/>
    <w:rsid w:val="006A28A0"/>
    <w:rsid w:val="006A337F"/>
    <w:rsid w:val="006A3C75"/>
    <w:rsid w:val="006B31D7"/>
    <w:rsid w:val="006C2C65"/>
    <w:rsid w:val="006C4DEE"/>
    <w:rsid w:val="006D0E5D"/>
    <w:rsid w:val="006D1481"/>
    <w:rsid w:val="006D7358"/>
    <w:rsid w:val="006D7748"/>
    <w:rsid w:val="00700845"/>
    <w:rsid w:val="0070110D"/>
    <w:rsid w:val="0070459C"/>
    <w:rsid w:val="00710105"/>
    <w:rsid w:val="007155F9"/>
    <w:rsid w:val="00720BC9"/>
    <w:rsid w:val="00725DEB"/>
    <w:rsid w:val="0072768A"/>
    <w:rsid w:val="00735DD9"/>
    <w:rsid w:val="007521EC"/>
    <w:rsid w:val="00755F92"/>
    <w:rsid w:val="00757DED"/>
    <w:rsid w:val="00760384"/>
    <w:rsid w:val="00765378"/>
    <w:rsid w:val="007769D9"/>
    <w:rsid w:val="00784E88"/>
    <w:rsid w:val="0079257F"/>
    <w:rsid w:val="00795F16"/>
    <w:rsid w:val="007B0336"/>
    <w:rsid w:val="007B3DFA"/>
    <w:rsid w:val="007B73E8"/>
    <w:rsid w:val="007C2392"/>
    <w:rsid w:val="007C2B33"/>
    <w:rsid w:val="007C709B"/>
    <w:rsid w:val="007D1E8C"/>
    <w:rsid w:val="007D37D5"/>
    <w:rsid w:val="007E01C4"/>
    <w:rsid w:val="007E2451"/>
    <w:rsid w:val="007E3357"/>
    <w:rsid w:val="007E57F8"/>
    <w:rsid w:val="007F3DF4"/>
    <w:rsid w:val="007F58BC"/>
    <w:rsid w:val="007F752F"/>
    <w:rsid w:val="008056BC"/>
    <w:rsid w:val="0080625E"/>
    <w:rsid w:val="00806DF4"/>
    <w:rsid w:val="00813EBF"/>
    <w:rsid w:val="00817C10"/>
    <w:rsid w:val="0082291D"/>
    <w:rsid w:val="00833690"/>
    <w:rsid w:val="00836F1F"/>
    <w:rsid w:val="00844542"/>
    <w:rsid w:val="00852C38"/>
    <w:rsid w:val="00861EFD"/>
    <w:rsid w:val="0087137A"/>
    <w:rsid w:val="0087472D"/>
    <w:rsid w:val="008815A6"/>
    <w:rsid w:val="0088329E"/>
    <w:rsid w:val="008A047B"/>
    <w:rsid w:val="008A6822"/>
    <w:rsid w:val="008B2D81"/>
    <w:rsid w:val="008C0EF2"/>
    <w:rsid w:val="008C1F1F"/>
    <w:rsid w:val="008D7E45"/>
    <w:rsid w:val="008E23D2"/>
    <w:rsid w:val="008E36F9"/>
    <w:rsid w:val="008E4A4B"/>
    <w:rsid w:val="008F05C5"/>
    <w:rsid w:val="008F5FED"/>
    <w:rsid w:val="008F6F80"/>
    <w:rsid w:val="008F7F43"/>
    <w:rsid w:val="00903BAE"/>
    <w:rsid w:val="009178A1"/>
    <w:rsid w:val="00921135"/>
    <w:rsid w:val="00925DD9"/>
    <w:rsid w:val="00930398"/>
    <w:rsid w:val="0093126F"/>
    <w:rsid w:val="00932870"/>
    <w:rsid w:val="00935D19"/>
    <w:rsid w:val="00935F5E"/>
    <w:rsid w:val="00935F79"/>
    <w:rsid w:val="00943B75"/>
    <w:rsid w:val="009446DA"/>
    <w:rsid w:val="0094492C"/>
    <w:rsid w:val="00947D80"/>
    <w:rsid w:val="009629A6"/>
    <w:rsid w:val="00967F4E"/>
    <w:rsid w:val="00980F95"/>
    <w:rsid w:val="00981447"/>
    <w:rsid w:val="00981D9A"/>
    <w:rsid w:val="00982CA9"/>
    <w:rsid w:val="009A028E"/>
    <w:rsid w:val="009A6948"/>
    <w:rsid w:val="009B4A2D"/>
    <w:rsid w:val="009C2848"/>
    <w:rsid w:val="009D0450"/>
    <w:rsid w:val="009D1178"/>
    <w:rsid w:val="009D3F6F"/>
    <w:rsid w:val="009F5E4F"/>
    <w:rsid w:val="009F6F44"/>
    <w:rsid w:val="00A06231"/>
    <w:rsid w:val="00A176BF"/>
    <w:rsid w:val="00A23D7A"/>
    <w:rsid w:val="00A24287"/>
    <w:rsid w:val="00A24B4F"/>
    <w:rsid w:val="00A41214"/>
    <w:rsid w:val="00A51538"/>
    <w:rsid w:val="00A558CD"/>
    <w:rsid w:val="00A57944"/>
    <w:rsid w:val="00A65EBD"/>
    <w:rsid w:val="00A80A93"/>
    <w:rsid w:val="00A86D46"/>
    <w:rsid w:val="00AA092C"/>
    <w:rsid w:val="00AA4F75"/>
    <w:rsid w:val="00AB2F4D"/>
    <w:rsid w:val="00AB5305"/>
    <w:rsid w:val="00AB76F9"/>
    <w:rsid w:val="00AC0464"/>
    <w:rsid w:val="00AC19F6"/>
    <w:rsid w:val="00AC3C00"/>
    <w:rsid w:val="00AD1875"/>
    <w:rsid w:val="00AD2666"/>
    <w:rsid w:val="00AD4981"/>
    <w:rsid w:val="00AF4510"/>
    <w:rsid w:val="00AF6553"/>
    <w:rsid w:val="00B12FDF"/>
    <w:rsid w:val="00B14E60"/>
    <w:rsid w:val="00B23AED"/>
    <w:rsid w:val="00B25B23"/>
    <w:rsid w:val="00B355FE"/>
    <w:rsid w:val="00B417C3"/>
    <w:rsid w:val="00B4567C"/>
    <w:rsid w:val="00B47AE8"/>
    <w:rsid w:val="00B61A77"/>
    <w:rsid w:val="00B62EC0"/>
    <w:rsid w:val="00B7760D"/>
    <w:rsid w:val="00B8463E"/>
    <w:rsid w:val="00B90919"/>
    <w:rsid w:val="00B923A7"/>
    <w:rsid w:val="00B93D93"/>
    <w:rsid w:val="00BA0FA7"/>
    <w:rsid w:val="00BB4E1E"/>
    <w:rsid w:val="00BC3BAB"/>
    <w:rsid w:val="00BC55A6"/>
    <w:rsid w:val="00BC6AA8"/>
    <w:rsid w:val="00BD2414"/>
    <w:rsid w:val="00BE11D9"/>
    <w:rsid w:val="00BE2F24"/>
    <w:rsid w:val="00BF006A"/>
    <w:rsid w:val="00BF2827"/>
    <w:rsid w:val="00BF387A"/>
    <w:rsid w:val="00BF4907"/>
    <w:rsid w:val="00BF6BED"/>
    <w:rsid w:val="00C00740"/>
    <w:rsid w:val="00C10616"/>
    <w:rsid w:val="00C41649"/>
    <w:rsid w:val="00C52AE6"/>
    <w:rsid w:val="00C543FE"/>
    <w:rsid w:val="00C56C69"/>
    <w:rsid w:val="00C57B45"/>
    <w:rsid w:val="00C82CA9"/>
    <w:rsid w:val="00C8646A"/>
    <w:rsid w:val="00C90D45"/>
    <w:rsid w:val="00C9113E"/>
    <w:rsid w:val="00C91418"/>
    <w:rsid w:val="00C92904"/>
    <w:rsid w:val="00C95D56"/>
    <w:rsid w:val="00CA3A76"/>
    <w:rsid w:val="00CA5126"/>
    <w:rsid w:val="00CB1F87"/>
    <w:rsid w:val="00CB5EEF"/>
    <w:rsid w:val="00CC21DA"/>
    <w:rsid w:val="00CC352B"/>
    <w:rsid w:val="00CC61EE"/>
    <w:rsid w:val="00CD0D75"/>
    <w:rsid w:val="00CD30DF"/>
    <w:rsid w:val="00CD4650"/>
    <w:rsid w:val="00CE18F4"/>
    <w:rsid w:val="00CE28B9"/>
    <w:rsid w:val="00CF4E8B"/>
    <w:rsid w:val="00D03458"/>
    <w:rsid w:val="00D053F4"/>
    <w:rsid w:val="00D15F00"/>
    <w:rsid w:val="00D31EE9"/>
    <w:rsid w:val="00D32C41"/>
    <w:rsid w:val="00D33F1A"/>
    <w:rsid w:val="00D36DB4"/>
    <w:rsid w:val="00D370E5"/>
    <w:rsid w:val="00D4000B"/>
    <w:rsid w:val="00D41DE7"/>
    <w:rsid w:val="00D50CB8"/>
    <w:rsid w:val="00D81A43"/>
    <w:rsid w:val="00D822C8"/>
    <w:rsid w:val="00D84FF7"/>
    <w:rsid w:val="00DA1FA6"/>
    <w:rsid w:val="00DA5E4B"/>
    <w:rsid w:val="00DC189B"/>
    <w:rsid w:val="00DC2D37"/>
    <w:rsid w:val="00DC50A5"/>
    <w:rsid w:val="00DD15ED"/>
    <w:rsid w:val="00DD214A"/>
    <w:rsid w:val="00DD23F7"/>
    <w:rsid w:val="00DD2530"/>
    <w:rsid w:val="00E06383"/>
    <w:rsid w:val="00E10B6A"/>
    <w:rsid w:val="00E116C7"/>
    <w:rsid w:val="00E126CE"/>
    <w:rsid w:val="00E13FEC"/>
    <w:rsid w:val="00E172E8"/>
    <w:rsid w:val="00E31F4A"/>
    <w:rsid w:val="00E33BA8"/>
    <w:rsid w:val="00E414F9"/>
    <w:rsid w:val="00E44AFD"/>
    <w:rsid w:val="00E47485"/>
    <w:rsid w:val="00E66B18"/>
    <w:rsid w:val="00E75888"/>
    <w:rsid w:val="00E93B99"/>
    <w:rsid w:val="00E97824"/>
    <w:rsid w:val="00EA7F4E"/>
    <w:rsid w:val="00EB4C2C"/>
    <w:rsid w:val="00EB6C48"/>
    <w:rsid w:val="00EB7BD2"/>
    <w:rsid w:val="00EC2F41"/>
    <w:rsid w:val="00EC3EC8"/>
    <w:rsid w:val="00EE04C8"/>
    <w:rsid w:val="00EE3447"/>
    <w:rsid w:val="00EE7C5E"/>
    <w:rsid w:val="00EF71CC"/>
    <w:rsid w:val="00EF71D5"/>
    <w:rsid w:val="00EF7C90"/>
    <w:rsid w:val="00F12F4F"/>
    <w:rsid w:val="00F24BA2"/>
    <w:rsid w:val="00F27DF0"/>
    <w:rsid w:val="00F3006D"/>
    <w:rsid w:val="00F34795"/>
    <w:rsid w:val="00F544F8"/>
    <w:rsid w:val="00F54676"/>
    <w:rsid w:val="00F57B2D"/>
    <w:rsid w:val="00F601DD"/>
    <w:rsid w:val="00F60271"/>
    <w:rsid w:val="00F64A4E"/>
    <w:rsid w:val="00F65492"/>
    <w:rsid w:val="00F678E0"/>
    <w:rsid w:val="00F71AC0"/>
    <w:rsid w:val="00F74173"/>
    <w:rsid w:val="00F97202"/>
    <w:rsid w:val="00FA0E3F"/>
    <w:rsid w:val="00FA63C8"/>
    <w:rsid w:val="00FA68DB"/>
    <w:rsid w:val="00FB0BF9"/>
    <w:rsid w:val="00FB47CB"/>
    <w:rsid w:val="00FB5F08"/>
    <w:rsid w:val="00FD1246"/>
    <w:rsid w:val="00FD2EFA"/>
    <w:rsid w:val="00FD7F49"/>
    <w:rsid w:val="00FE0C6D"/>
    <w:rsid w:val="00FF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9DC3"/>
  <w15:chartTrackingRefBased/>
  <w15:docId w15:val="{3D555B5C-7520-4FC7-BD24-28507B40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0">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9C2848"/>
    <w:rPr>
      <w:color w:val="0563C1" w:themeColor="hyperlink"/>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0"/>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0"/>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
    <w:name w:val="Heading4"/>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Mencinsinresolver1">
    <w:name w:val="Mención sin resolver1"/>
    <w:basedOn w:val="DefaultParagraphFont"/>
    <w:uiPriority w:val="99"/>
    <w:semiHidden/>
    <w:unhideWhenUsed/>
    <w:rsid w:val="002D7C1C"/>
    <w:rPr>
      <w:color w:val="605E5C"/>
      <w:shd w:val="clear" w:color="auto" w:fill="E1DFDD"/>
    </w:rPr>
  </w:style>
  <w:style w:type="character" w:customStyle="1" w:styleId="UnresolvedMention">
    <w:name w:val="Unresolved Mention"/>
    <w:basedOn w:val="DefaultParagraphFont"/>
    <w:uiPriority w:val="99"/>
    <w:semiHidden/>
    <w:unhideWhenUsed/>
    <w:rsid w:val="00F2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543256164">
      <w:bodyDiv w:val="1"/>
      <w:marLeft w:val="0"/>
      <w:marRight w:val="0"/>
      <w:marTop w:val="0"/>
      <w:marBottom w:val="0"/>
      <w:divBdr>
        <w:top w:val="none" w:sz="0" w:space="0" w:color="auto"/>
        <w:left w:val="none" w:sz="0" w:space="0" w:color="auto"/>
        <w:bottom w:val="none" w:sz="0" w:space="0" w:color="auto"/>
        <w:right w:val="none" w:sz="0" w:space="0" w:color="auto"/>
      </w:divBdr>
      <w:divsChild>
        <w:div w:id="518154762">
          <w:marLeft w:val="0"/>
          <w:marRight w:val="0"/>
          <w:marTop w:val="0"/>
          <w:marBottom w:val="0"/>
          <w:divBdr>
            <w:top w:val="none" w:sz="0" w:space="0" w:color="auto"/>
            <w:left w:val="none" w:sz="0" w:space="0" w:color="auto"/>
            <w:bottom w:val="none" w:sz="0" w:space="0" w:color="auto"/>
            <w:right w:val="none" w:sz="0" w:space="0" w:color="auto"/>
          </w:divBdr>
          <w:divsChild>
            <w:div w:id="1276404987">
              <w:marLeft w:val="0"/>
              <w:marRight w:val="0"/>
              <w:marTop w:val="0"/>
              <w:marBottom w:val="0"/>
              <w:divBdr>
                <w:top w:val="none" w:sz="0" w:space="0" w:color="auto"/>
                <w:left w:val="none" w:sz="0" w:space="0" w:color="auto"/>
                <w:bottom w:val="none" w:sz="0" w:space="0" w:color="auto"/>
                <w:right w:val="none" w:sz="0" w:space="0" w:color="auto"/>
              </w:divBdr>
              <w:divsChild>
                <w:div w:id="16780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387334824">
      <w:bodyDiv w:val="1"/>
      <w:marLeft w:val="0"/>
      <w:marRight w:val="0"/>
      <w:marTop w:val="0"/>
      <w:marBottom w:val="0"/>
      <w:divBdr>
        <w:top w:val="none" w:sz="0" w:space="0" w:color="auto"/>
        <w:left w:val="none" w:sz="0" w:space="0" w:color="auto"/>
        <w:bottom w:val="none" w:sz="0" w:space="0" w:color="auto"/>
        <w:right w:val="none" w:sz="0" w:space="0" w:color="auto"/>
      </w:divBdr>
      <w:divsChild>
        <w:div w:id="597374788">
          <w:marLeft w:val="0"/>
          <w:marRight w:val="0"/>
          <w:marTop w:val="0"/>
          <w:marBottom w:val="0"/>
          <w:divBdr>
            <w:top w:val="none" w:sz="0" w:space="0" w:color="auto"/>
            <w:left w:val="none" w:sz="0" w:space="0" w:color="auto"/>
            <w:bottom w:val="none" w:sz="0" w:space="0" w:color="auto"/>
            <w:right w:val="none" w:sz="0" w:space="0" w:color="auto"/>
          </w:divBdr>
          <w:divsChild>
            <w:div w:id="2027706208">
              <w:marLeft w:val="0"/>
              <w:marRight w:val="0"/>
              <w:marTop w:val="0"/>
              <w:marBottom w:val="0"/>
              <w:divBdr>
                <w:top w:val="none" w:sz="0" w:space="0" w:color="auto"/>
                <w:left w:val="none" w:sz="0" w:space="0" w:color="auto"/>
                <w:bottom w:val="none" w:sz="0" w:space="0" w:color="auto"/>
                <w:right w:val="none" w:sz="0" w:space="0" w:color="auto"/>
              </w:divBdr>
              <w:divsChild>
                <w:div w:id="19855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52278987">
      <w:bodyDiv w:val="1"/>
      <w:marLeft w:val="0"/>
      <w:marRight w:val="0"/>
      <w:marTop w:val="0"/>
      <w:marBottom w:val="0"/>
      <w:divBdr>
        <w:top w:val="none" w:sz="0" w:space="0" w:color="auto"/>
        <w:left w:val="none" w:sz="0" w:space="0" w:color="auto"/>
        <w:bottom w:val="none" w:sz="0" w:space="0" w:color="auto"/>
        <w:right w:val="none" w:sz="0" w:space="0" w:color="auto"/>
      </w:divBdr>
      <w:divsChild>
        <w:div w:id="460080830">
          <w:marLeft w:val="0"/>
          <w:marRight w:val="0"/>
          <w:marTop w:val="0"/>
          <w:marBottom w:val="0"/>
          <w:divBdr>
            <w:top w:val="none" w:sz="0" w:space="0" w:color="auto"/>
            <w:left w:val="none" w:sz="0" w:space="0" w:color="auto"/>
            <w:bottom w:val="none" w:sz="0" w:space="0" w:color="auto"/>
            <w:right w:val="none" w:sz="0" w:space="0" w:color="auto"/>
          </w:divBdr>
          <w:divsChild>
            <w:div w:id="1060831820">
              <w:marLeft w:val="0"/>
              <w:marRight w:val="0"/>
              <w:marTop w:val="0"/>
              <w:marBottom w:val="0"/>
              <w:divBdr>
                <w:top w:val="none" w:sz="0" w:space="0" w:color="auto"/>
                <w:left w:val="none" w:sz="0" w:space="0" w:color="auto"/>
                <w:bottom w:val="none" w:sz="0" w:space="0" w:color="auto"/>
                <w:right w:val="none" w:sz="0" w:space="0" w:color="auto"/>
              </w:divBdr>
              <w:divsChild>
                <w:div w:id="15596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Home/Mobile?FinalSymbol=A%2FRES%2F75%2F317&amp;Language=E&amp;DeviceType=Desktop&amp;LangRequested=Fal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resources/wetlands-key-enablers-for-a-resilient-and-sustainable-recove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1B3B-D6F6-4CFE-9067-50B7EB09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E1D4C-4452-46AE-BEA5-47CFB6AB37B5}">
  <ds:schemaRefs>
    <ds:schemaRef ds:uri="http://schemas.microsoft.com/sharepoint/v3/contenttype/forms"/>
  </ds:schemaRefs>
</ds:datastoreItem>
</file>

<file path=customXml/itemProps3.xml><?xml version="1.0" encoding="utf-8"?>
<ds:datastoreItem xmlns:ds="http://schemas.openxmlformats.org/officeDocument/2006/customXml" ds:itemID="{E874EA5B-128B-4162-9309-3E30AAAE798F}">
  <ds:schemaRef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75035800-fbd9-4494-bf62-86cc10c5d50d"/>
    <ds:schemaRef ds:uri="682f1ccd-e5c5-43c9-b9d9-dd72e0a643d0"/>
  </ds:schemaRefs>
</ds:datastoreItem>
</file>

<file path=customXml/itemProps4.xml><?xml version="1.0" encoding="utf-8"?>
<ds:datastoreItem xmlns:ds="http://schemas.openxmlformats.org/officeDocument/2006/customXml" ds:itemID="{66A02122-6775-4294-91A3-A0FF7784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4</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2</cp:revision>
  <cp:lastPrinted>2022-05-21T13:53:00Z</cp:lastPrinted>
  <dcterms:created xsi:type="dcterms:W3CDTF">2022-05-23T06:07:00Z</dcterms:created>
  <dcterms:modified xsi:type="dcterms:W3CDTF">2022-05-23T06:07:00Z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