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1896" w14:textId="014778F3" w:rsidR="00065B8F" w:rsidRPr="00D45110" w:rsidRDefault="00A25052" w:rsidP="00065B8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="Calibri" w:hAnsi="Calibri" w:cs="Calibri"/>
          <w:bCs/>
          <w:sz w:val="22"/>
          <w:szCs w:val="22"/>
          <w:lang w:val="es-ES"/>
        </w:rPr>
      </w:pPr>
      <w:r w:rsidRPr="00D45110">
        <w:rPr>
          <w:rFonts w:ascii="Calibri" w:hAnsi="Calibri" w:cs="Calibri"/>
          <w:bCs/>
          <w:sz w:val="22"/>
          <w:szCs w:val="22"/>
          <w:lang w:val="es-ES"/>
        </w:rPr>
        <w:t>LA CONVENCIÓN SOBRE LOS HUMEDALES</w:t>
      </w:r>
    </w:p>
    <w:p w14:paraId="2AB001B1" w14:textId="47C13E62" w:rsidR="00F16DB7" w:rsidRPr="00D45110" w:rsidRDefault="00F16DB7" w:rsidP="00065B8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="Calibri" w:hAnsi="Calibri" w:cs="Calibri"/>
          <w:bCs/>
          <w:sz w:val="22"/>
          <w:szCs w:val="22"/>
          <w:lang w:val="es-ES"/>
        </w:rPr>
      </w:pPr>
      <w:r w:rsidRPr="00D45110">
        <w:rPr>
          <w:rFonts w:ascii="Calibri" w:hAnsi="Calibri" w:cs="Calibri"/>
          <w:bCs/>
          <w:sz w:val="22"/>
          <w:szCs w:val="22"/>
          <w:lang w:val="es-ES"/>
        </w:rPr>
        <w:t>Re</w:t>
      </w:r>
      <w:r w:rsidR="00A25052" w:rsidRPr="00D45110">
        <w:rPr>
          <w:rFonts w:ascii="Calibri" w:hAnsi="Calibri" w:cs="Calibri"/>
          <w:bCs/>
          <w:sz w:val="22"/>
          <w:szCs w:val="22"/>
          <w:lang w:val="es-ES"/>
        </w:rPr>
        <w:t>anudación de la reunión</w:t>
      </w:r>
    </w:p>
    <w:p w14:paraId="2FCEFD26" w14:textId="77777777" w:rsidR="00A25052" w:rsidRPr="00D45110" w:rsidRDefault="006A7C44" w:rsidP="00065B8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="Calibri" w:hAnsi="Calibri" w:cs="Calibri"/>
          <w:bCs/>
          <w:sz w:val="22"/>
          <w:szCs w:val="22"/>
          <w:lang w:val="es-ES"/>
        </w:rPr>
      </w:pPr>
      <w:r w:rsidRPr="00D45110">
        <w:rPr>
          <w:rFonts w:ascii="Calibri" w:hAnsi="Calibri" w:cs="Calibri"/>
          <w:bCs/>
          <w:sz w:val="22"/>
          <w:szCs w:val="22"/>
          <w:lang w:val="es-ES"/>
        </w:rPr>
        <w:t>59</w:t>
      </w:r>
      <w:r w:rsidR="00A25052" w:rsidRPr="00D45110">
        <w:rPr>
          <w:rFonts w:ascii="Calibri" w:hAnsi="Calibri" w:cs="Calibri"/>
          <w:bCs/>
          <w:sz w:val="22"/>
          <w:szCs w:val="22"/>
          <w:lang w:val="es-ES"/>
        </w:rPr>
        <w:t>ª Reunión del Comité Permanente</w:t>
      </w:r>
    </w:p>
    <w:p w14:paraId="04854024" w14:textId="7CF378AD" w:rsidR="00065B8F" w:rsidRPr="00D45110" w:rsidRDefault="00065B8F" w:rsidP="00065B8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="Calibri" w:hAnsi="Calibri" w:cs="Calibri"/>
          <w:sz w:val="22"/>
          <w:szCs w:val="22"/>
          <w:lang w:val="es-ES"/>
        </w:rPr>
      </w:pPr>
      <w:r w:rsidRPr="00D45110">
        <w:rPr>
          <w:rFonts w:ascii="Calibri" w:hAnsi="Calibri" w:cs="Calibri"/>
          <w:bCs/>
          <w:sz w:val="22"/>
          <w:szCs w:val="22"/>
          <w:lang w:val="es-ES"/>
        </w:rPr>
        <w:t>Gland, S</w:t>
      </w:r>
      <w:r w:rsidR="00A25052" w:rsidRPr="00D45110">
        <w:rPr>
          <w:rFonts w:ascii="Calibri" w:hAnsi="Calibri" w:cs="Calibri"/>
          <w:bCs/>
          <w:sz w:val="22"/>
          <w:szCs w:val="22"/>
          <w:lang w:val="es-ES"/>
        </w:rPr>
        <w:t>uiza, 23 a 27 de mayo de 2022</w:t>
      </w:r>
    </w:p>
    <w:p w14:paraId="06FA6479" w14:textId="77777777" w:rsidR="00065B8F" w:rsidRPr="00D45110" w:rsidRDefault="00065B8F" w:rsidP="00065B8F">
      <w:pPr>
        <w:rPr>
          <w:lang w:val="es-ES"/>
        </w:rPr>
      </w:pPr>
    </w:p>
    <w:p w14:paraId="4EED1CB2" w14:textId="77777777" w:rsidR="00065B8F" w:rsidRPr="00D45110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D45110">
        <w:rPr>
          <w:rFonts w:asciiTheme="minorHAnsi" w:hAnsiTheme="minorHAnsi" w:cstheme="minorHAnsi"/>
          <w:b/>
          <w:sz w:val="28"/>
          <w:szCs w:val="28"/>
          <w:lang w:val="es-ES"/>
        </w:rPr>
        <w:t>SC59</w:t>
      </w:r>
      <w:r w:rsidR="00F16DB7" w:rsidRPr="00D45110">
        <w:rPr>
          <w:rFonts w:asciiTheme="minorHAnsi" w:hAnsiTheme="minorHAnsi" w:cstheme="minorHAnsi"/>
          <w:b/>
          <w:sz w:val="28"/>
          <w:szCs w:val="28"/>
          <w:lang w:val="es-ES"/>
        </w:rPr>
        <w:t>/2022</w:t>
      </w:r>
      <w:r w:rsidR="00065B8F" w:rsidRPr="00D45110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Doc.</w:t>
      </w:r>
      <w:r w:rsidR="0075712F" w:rsidRPr="00D45110">
        <w:rPr>
          <w:rFonts w:asciiTheme="minorHAnsi" w:hAnsiTheme="minorHAnsi" w:cstheme="minorHAnsi"/>
          <w:b/>
          <w:sz w:val="28"/>
          <w:szCs w:val="28"/>
          <w:lang w:val="es-ES"/>
        </w:rPr>
        <w:t>5</w:t>
      </w:r>
    </w:p>
    <w:p w14:paraId="7972AEFA" w14:textId="77777777" w:rsidR="00065B8F" w:rsidRPr="00D45110" w:rsidRDefault="00065B8F" w:rsidP="00065B8F">
      <w:pPr>
        <w:jc w:val="center"/>
        <w:rPr>
          <w:rFonts w:asciiTheme="minorHAnsi" w:hAnsiTheme="minorHAnsi" w:cstheme="minorHAnsi"/>
          <w:bCs/>
          <w:lang w:val="es-ES"/>
        </w:rPr>
      </w:pPr>
    </w:p>
    <w:p w14:paraId="3FAFB69D" w14:textId="54D69AA3" w:rsidR="00065B8F" w:rsidRPr="00D45110" w:rsidRDefault="00735A9F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45110">
        <w:rPr>
          <w:rFonts w:asciiTheme="minorHAnsi" w:hAnsiTheme="minorHAnsi" w:cstheme="minorHAnsi"/>
          <w:b/>
          <w:bCs/>
          <w:sz w:val="28"/>
          <w:szCs w:val="28"/>
          <w:lang w:val="es-ES"/>
        </w:rPr>
        <w:t>Informe del Equipo Ejecutivo y la Presidencia del Comité Permanente</w:t>
      </w:r>
    </w:p>
    <w:p w14:paraId="52FD805F" w14:textId="77777777" w:rsidR="006058B3" w:rsidRPr="00D45110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6232A675" w14:textId="77777777" w:rsidR="00E95E62" w:rsidRPr="00D45110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  <w:lang w:val="es-ES"/>
        </w:rPr>
      </w:pPr>
      <w:r w:rsidRPr="00D45110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864891A" wp14:editId="53EC8CFA">
                <wp:extent cx="5768340" cy="883920"/>
                <wp:effectExtent l="0" t="0" r="2286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C70D" w14:textId="50BF9D11" w:rsidR="00AA2EDD" w:rsidRPr="000E637A" w:rsidRDefault="000E637A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735A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cción solicitada</w:t>
                            </w:r>
                            <w:r w:rsidR="00AA2EDD" w:rsidRPr="000E637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6FB0D4C" w14:textId="77777777" w:rsidR="000E637A" w:rsidRDefault="000E637A" w:rsidP="000E637A">
                            <w:pPr>
                              <w:pStyle w:val="ColorfulList-Accent11"/>
                              <w:ind w:left="0"/>
                            </w:pPr>
                          </w:p>
                          <w:p w14:paraId="0839F2B5" w14:textId="6E30A388" w:rsidR="00AA2EDD" w:rsidRDefault="00735A9F" w:rsidP="000E637A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>Se invita al</w:t>
                            </w:r>
                            <w:r w:rsidR="000E637A">
                              <w:t xml:space="preserve"> </w:t>
                            </w:r>
                            <w:r>
                              <w:t>Comité Permanente</w:t>
                            </w:r>
                            <w:r w:rsidR="000E637A">
                              <w:t xml:space="preserve"> </w:t>
                            </w:r>
                            <w:r>
                              <w:t xml:space="preserve">a tomar nota del presente informe del </w:t>
                            </w:r>
                            <w:r>
                              <w:rPr>
                                <w:rFonts w:cs="Calibri"/>
                              </w:rPr>
                              <w:t>Equipo Ejecutivo</w:t>
                            </w:r>
                            <w:r w:rsidR="000E637A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y la Presidencia del </w:t>
                            </w:r>
                            <w:r>
                              <w:t>Comité Permanente</w:t>
                            </w:r>
                            <w:r w:rsidR="00D50230">
                              <w:t>.</w:t>
                            </w:r>
                          </w:p>
                          <w:p w14:paraId="3220B1EB" w14:textId="77777777" w:rsidR="007F7F60" w:rsidRPr="007F7F60" w:rsidRDefault="007F7F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ui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">
                <v:textbox>
                  <w:txbxContent>
                    <w:p w14:paraId="50E2C70D" w14:textId="50BF9D11" w:rsidR="00AA2EDD" w:rsidRPr="000E637A" w:rsidRDefault="000E637A" w:rsidP="007F7F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</w:t>
                      </w:r>
                      <w:r w:rsidR="00735A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cción solicitada</w:t>
                      </w:r>
                      <w:r w:rsidR="00AA2EDD" w:rsidRPr="000E637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6FB0D4C" w14:textId="77777777" w:rsidR="000E637A" w:rsidRDefault="000E637A" w:rsidP="000E637A">
                      <w:pPr>
                        <w:pStyle w:val="ColorfulList-Accent11"/>
                        <w:ind w:left="0"/>
                      </w:pPr>
                    </w:p>
                    <w:p w14:paraId="0839F2B5" w14:textId="6E30A388" w:rsidR="00AA2EDD" w:rsidRDefault="00735A9F" w:rsidP="000E637A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</w:rPr>
                      </w:pPr>
                      <w:r>
                        <w:t>Se invita al</w:t>
                      </w:r>
                      <w:r w:rsidR="000E637A">
                        <w:t xml:space="preserve"> </w:t>
                      </w:r>
                      <w:r>
                        <w:t>Comité Permanente</w:t>
                      </w:r>
                      <w:r w:rsidR="000E637A">
                        <w:t xml:space="preserve"> </w:t>
                      </w:r>
                      <w:r>
                        <w:t xml:space="preserve">a tomar nota del presente informe del </w:t>
                      </w:r>
                      <w:r>
                        <w:rPr>
                          <w:rFonts w:cs="Calibri"/>
                        </w:rPr>
                        <w:t>Equipo Ejecutivo</w:t>
                      </w:r>
                      <w:r w:rsidR="000E637A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 xml:space="preserve">y la Presidencia del </w:t>
                      </w:r>
                      <w:r>
                        <w:t>Comité Permanente</w:t>
                      </w:r>
                      <w:r w:rsidR="00D50230">
                        <w:t>.</w:t>
                      </w:r>
                    </w:p>
                    <w:p w14:paraId="3220B1EB" w14:textId="77777777" w:rsidR="007F7F60" w:rsidRPr="007F7F60" w:rsidRDefault="007F7F6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8D090" w14:textId="77777777" w:rsidR="006058B3" w:rsidRPr="00D45110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4D5FA08" w14:textId="77777777" w:rsidR="006058B3" w:rsidRPr="00D45110" w:rsidRDefault="006058B3" w:rsidP="00085EE7">
      <w:pPr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FE5D6F4" w14:textId="197D8002" w:rsidR="00773024" w:rsidRPr="00D45110" w:rsidRDefault="00735A9F" w:rsidP="00085EE7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/>
          <w:bCs/>
          <w:sz w:val="22"/>
          <w:szCs w:val="22"/>
          <w:lang w:val="es-ES"/>
        </w:rPr>
        <w:t>Antecedentes</w:t>
      </w:r>
    </w:p>
    <w:p w14:paraId="1F742483" w14:textId="77777777" w:rsidR="00C32315" w:rsidRPr="00D45110" w:rsidRDefault="00C32315" w:rsidP="00085EE7">
      <w:pPr>
        <w:ind w:left="426" w:firstLine="0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45A96F36" w14:textId="6E4EA56D" w:rsidR="00CA5CD6" w:rsidRPr="00D45110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>1.</w:t>
      </w: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 presente informe del Equipo Ejecutivo aporta un resumen de la labor realizada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por este desde la publicación del documento </w:t>
      </w:r>
      <w:r w:rsidR="00610E8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SC59 Doc.5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el</w:t>
      </w:r>
      <w:r w:rsidR="00610E8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30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marzo de </w:t>
      </w:r>
      <w:r w:rsidR="00610E8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2021</w:t>
      </w:r>
      <w:r w:rsidR="00CA5CD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También contiene un resumen del trabajo realizado por la Presidencia del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Comité Permanente</w:t>
      </w:r>
      <w:r w:rsidR="00CA5CD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dur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ante este período.</w:t>
      </w:r>
    </w:p>
    <w:p w14:paraId="101C383F" w14:textId="77777777" w:rsidR="00027DBC" w:rsidRPr="00D45110" w:rsidRDefault="00027DBC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0B0DE8D7" w14:textId="48A67979" w:rsidR="00AA2EDD" w:rsidRPr="00D45110" w:rsidRDefault="0028158D" w:rsidP="00085EE7">
      <w:pPr>
        <w:ind w:left="426" w:hanging="425"/>
        <w:jc w:val="left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/>
          <w:sz w:val="22"/>
          <w:szCs w:val="22"/>
          <w:lang w:val="es-ES"/>
        </w:rPr>
        <w:t xml:space="preserve">Labor realizada por el </w:t>
      </w:r>
      <w:r w:rsidR="00735A9F" w:rsidRPr="00D45110">
        <w:rPr>
          <w:rFonts w:asciiTheme="minorHAnsi" w:hAnsiTheme="minorHAnsi" w:cstheme="minorHAnsi"/>
          <w:b/>
          <w:sz w:val="22"/>
          <w:szCs w:val="22"/>
          <w:lang w:val="es-ES"/>
        </w:rPr>
        <w:t>Equipo Ejecutivo</w:t>
      </w:r>
    </w:p>
    <w:p w14:paraId="2FAA2413" w14:textId="77777777" w:rsidR="00AA2EDD" w:rsidRPr="00D45110" w:rsidRDefault="00AA2EDD" w:rsidP="00085EE7">
      <w:pPr>
        <w:ind w:left="426" w:hanging="425"/>
        <w:jc w:val="left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D36B53A" w14:textId="2735C617" w:rsidR="003F53DD" w:rsidRPr="00D45110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2.</w:t>
      </w: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Equipo Ejecutivo</w:t>
      </w:r>
      <w:r w:rsidR="003F53D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brindó orientaciones a la Secretaría sobre la planificación y preparación de la 59ª reunión del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Comité Permanente</w:t>
      </w:r>
      <w:r w:rsidR="00EF4CF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(</w:t>
      </w:r>
      <w:r w:rsidR="003F53D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SC59</w:t>
      </w:r>
      <w:r w:rsidR="00EF4CF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, que se celebró</w:t>
      </w:r>
      <w:r w:rsidR="00A63E8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virtualmente del 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21 al 25 de junio de </w:t>
      </w:r>
      <w:r w:rsidR="00EF4CF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2021</w:t>
      </w:r>
      <w:r w:rsidR="002815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debido a las limitaciones relativas a los viajes y las reuniones a consecuencia de la COVID. </w:t>
      </w:r>
      <w:r w:rsidR="001C7681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Entre las orientaciones brindadas por 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Equipo Ejecutivo</w:t>
      </w:r>
      <w:r w:rsidR="008F72B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1C7681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figuraban recomendaciones al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Comité Permanente</w:t>
      </w:r>
      <w:r w:rsidR="005C7B28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1C7681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para 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determinar las cuestiones de carácter urgente que debían tratarse durante la reunión teniendo en cuenta el tiempo y otras limitaciones propias de las reuniones virtuales, orientaciones sobre cómo organizar las reuniones de los distintos grupos de trabajo y asesoramiento sobre cómo </w:t>
      </w:r>
      <w:r w:rsidR="00A22604" w:rsidRPr="00857537">
        <w:rPr>
          <w:rFonts w:asciiTheme="minorHAnsi" w:hAnsiTheme="minorHAnsi" w:cstheme="minorHAnsi"/>
          <w:bCs/>
          <w:sz w:val="22"/>
          <w:szCs w:val="22"/>
          <w:lang w:val="es-ES"/>
        </w:rPr>
        <w:t>hacer participar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 los miembros del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Comité Permanente</w:t>
      </w:r>
      <w:r w:rsidR="0015336C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</w:p>
    <w:p w14:paraId="26D34EE9" w14:textId="77777777" w:rsidR="0015336C" w:rsidRPr="00D45110" w:rsidRDefault="0015336C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2C5461E" w14:textId="4693DFD3" w:rsidR="00131FA2" w:rsidRPr="00D45110" w:rsidRDefault="00D50230" w:rsidP="00085EE7">
      <w:pPr>
        <w:overflowPunct w:val="0"/>
        <w:autoSpaceDE w:val="0"/>
        <w:autoSpaceDN w:val="0"/>
        <w:snapToGrid w:val="0"/>
        <w:jc w:val="left"/>
        <w:rPr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El</w:t>
      </w:r>
      <w:r w:rsidR="00AA2ED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Equipo Ejecutivo</w:t>
      </w:r>
      <w:r w:rsidR="00AA2ED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brindó orientaciones a la Secretaría en la preparación inicial de la Tercera Reunión Extraordinaria de la Conferencia de las Partes Contratantes, que se celebró de forma virtual del </w:t>
      </w:r>
      <w:r w:rsidR="00EF4CF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25 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al </w:t>
      </w:r>
      <w:r w:rsidR="00A61167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29 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octubre y el </w:t>
      </w:r>
      <w:r w:rsidR="002F22EE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4 </w:t>
      </w:r>
      <w:r w:rsidR="00A2260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noviembre de </w:t>
      </w:r>
      <w:r w:rsidR="00EF4CF6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2021.</w:t>
      </w:r>
      <w:r w:rsidR="00753B9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Hubo orientaciones sobre el formato y orden del día de la reunión, las consultas regionales y recomendaciones para garantizar una participación plena y equitativa de todas las Partes Contratantes. Ulteriormente, la Mesa de la Conferencia formuló orientaciones sobre la organización y </w:t>
      </w:r>
      <w:r w:rsidR="007158D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 funcionamiento 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>de la reunión, en consonancia con el párrafo 2 del artículo</w:t>
      </w:r>
      <w:r w:rsidR="007158DC">
        <w:rPr>
          <w:rFonts w:asciiTheme="minorHAnsi" w:hAnsiTheme="minorHAnsi" w:cstheme="minorHAnsi"/>
          <w:sz w:val="22"/>
          <w:szCs w:val="22"/>
          <w:lang w:val="es-ES"/>
        </w:rPr>
        <w:t xml:space="preserve"> 21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del </w:t>
      </w:r>
      <w:r w:rsidR="007158DC">
        <w:rPr>
          <w:rFonts w:asciiTheme="minorHAnsi" w:hAnsiTheme="minorHAnsi" w:cstheme="minorHAnsi"/>
          <w:sz w:val="22"/>
          <w:szCs w:val="22"/>
          <w:lang w:val="es-ES"/>
        </w:rPr>
        <w:t>r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eglamento de las </w:t>
      </w:r>
      <w:r w:rsidR="007158DC">
        <w:rPr>
          <w:rFonts w:asciiTheme="minorHAnsi" w:hAnsiTheme="minorHAnsi" w:cstheme="minorHAnsi"/>
          <w:sz w:val="22"/>
          <w:szCs w:val="22"/>
          <w:lang w:val="es-ES"/>
        </w:rPr>
        <w:t>r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euniones </w:t>
      </w:r>
      <w:r w:rsidR="007158D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xtraordinarias. De conformidad con el </w:t>
      </w:r>
      <w:r w:rsidR="007158DC" w:rsidRPr="00D45110">
        <w:rPr>
          <w:rFonts w:asciiTheme="minorHAnsi" w:hAnsiTheme="minorHAnsi" w:cstheme="minorHAnsi"/>
          <w:sz w:val="22"/>
          <w:szCs w:val="22"/>
          <w:lang w:val="es-ES"/>
        </w:rPr>
        <w:t>artículo</w:t>
      </w:r>
      <w:r w:rsidR="00753B93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31FA2" w:rsidRPr="00D45110">
        <w:rPr>
          <w:rFonts w:asciiTheme="minorHAnsi" w:hAnsiTheme="minorHAnsi" w:cstheme="minorHAnsi"/>
          <w:snapToGrid w:val="0"/>
          <w:sz w:val="22"/>
          <w:szCs w:val="22"/>
          <w:lang w:val="es-ES"/>
        </w:rPr>
        <w:t>25 (a, b</w:t>
      </w:r>
      <w:r w:rsidR="00131FA2" w:rsidRPr="00D45110">
        <w:rPr>
          <w:rStyle w:val="FootnoteReference"/>
          <w:rFonts w:asciiTheme="minorHAnsi" w:hAnsiTheme="minorHAnsi" w:cstheme="minorHAnsi"/>
          <w:snapToGrid w:val="0"/>
          <w:sz w:val="22"/>
          <w:szCs w:val="22"/>
          <w:lang w:val="es-ES"/>
        </w:rPr>
        <w:footnoteReference w:customMarkFollows="1" w:id="1"/>
        <w:t>[1]</w:t>
      </w:r>
      <w:r w:rsidR="00131FA2" w:rsidRPr="00D45110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), </w:t>
      </w:r>
      <w:r w:rsidR="00753B93" w:rsidRPr="00D45110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la Mesa de la Conferencia se reunió una vez al día durante el transcurso de la reunión para </w:t>
      </w:r>
      <w:r w:rsidR="00A51DBD" w:rsidRPr="00D45110">
        <w:rPr>
          <w:rFonts w:asciiTheme="minorHAnsi" w:hAnsiTheme="minorHAnsi" w:cstheme="minorHAnsi"/>
          <w:snapToGrid w:val="0"/>
          <w:sz w:val="22"/>
          <w:szCs w:val="22"/>
          <w:lang w:val="es-ES"/>
        </w:rPr>
        <w:t>examinar los progresos realizados</w:t>
      </w:r>
      <w:r w:rsidR="00131FA2" w:rsidRPr="00D4511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386F625" w14:textId="08F8F9B5" w:rsidR="004E0DB3" w:rsidRPr="00D45110" w:rsidRDefault="004E0DB3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0C10CBF9" w14:textId="1A099CBD" w:rsidR="00090B48" w:rsidRPr="00D45110" w:rsidRDefault="00A51DBD" w:rsidP="00085EE7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GoBack"/>
      <w:bookmarkEnd w:id="0"/>
      <w:r w:rsidRPr="00D45110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Labor </w:t>
      </w:r>
      <w:r w:rsidR="002F0AE4" w:rsidRPr="00D45110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realizada por la Presidencia del </w:t>
      </w:r>
      <w:r w:rsidR="00735A9F" w:rsidRPr="00D45110">
        <w:rPr>
          <w:rFonts w:asciiTheme="minorHAnsi" w:hAnsiTheme="minorHAnsi" w:cstheme="minorHAnsi"/>
          <w:b/>
          <w:bCs/>
          <w:sz w:val="22"/>
          <w:szCs w:val="22"/>
          <w:lang w:val="es-ES"/>
        </w:rPr>
        <w:t>Comité Permanente</w:t>
      </w:r>
      <w:r w:rsidR="008D0D24" w:rsidRPr="00D45110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14:paraId="7B6DC82D" w14:textId="77777777" w:rsidR="00090B48" w:rsidRPr="00D45110" w:rsidRDefault="00090B48" w:rsidP="00085EE7">
      <w:pPr>
        <w:ind w:left="426" w:hanging="425"/>
        <w:jc w:val="left"/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</w:pPr>
    </w:p>
    <w:p w14:paraId="3DA55372" w14:textId="355DD628" w:rsidR="00DD473F" w:rsidRPr="00D45110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>4</w:t>
      </w:r>
      <w:r w:rsidR="006058B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  <w:r w:rsidR="006058B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090B48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D</w:t>
      </w:r>
      <w:r w:rsidR="00624901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urante este período,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 Presidencia </w:t>
      </w:r>
      <w:r w:rsidR="007158D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estuvo a </w:t>
      </w:r>
      <w:r w:rsidR="007158DC" w:rsidRPr="007158D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cargo de </w:t>
      </w:r>
      <w:r w:rsidR="002E36C9" w:rsidRPr="007158D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las reuniones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Equipo Ejecutivo</w:t>
      </w:r>
      <w:r w:rsidR="006F30DC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</w:t>
      </w:r>
      <w:r w:rsidR="00A61167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SC59</w:t>
      </w:r>
      <w:r w:rsidR="006E3B9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(21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 </w:t>
      </w:r>
      <w:r w:rsidR="006E3B9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25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de junio</w:t>
      </w:r>
      <w:r w:rsidR="006E3B9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  <w:r w:rsidR="0015336C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y las reuniones </w:t>
      </w:r>
      <w:r w:rsidR="007158DC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virtuales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 puerta cerrada del </w:t>
      </w:r>
      <w:r w:rsidR="00735A9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Comité Permanente</w:t>
      </w:r>
      <w:r w:rsidR="005F0C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6E3B93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(</w:t>
      </w:r>
      <w:r w:rsidR="005F0C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6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lastRenderedPageBreak/>
        <w:t>octubre y</w:t>
      </w:r>
      <w:r w:rsidR="00A61167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5F0C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15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 noviembre de </w:t>
      </w:r>
      <w:r w:rsidR="005F0C8D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2021</w:t>
      </w:r>
      <w:r w:rsidR="002F22EE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  <w:r w:rsidR="00967BF4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,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además de las reuniones del Grupo de Trabajo Administrativo (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14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junio de 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2021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y 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13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enero de 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2022</w:t>
      </w:r>
      <w:r w:rsidR="006F30DC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que se centraron </w:t>
      </w:r>
      <w:r w:rsidR="007158DC">
        <w:rPr>
          <w:rFonts w:asciiTheme="minorHAnsi" w:hAnsiTheme="minorHAnsi" w:cstheme="minorHAnsi"/>
          <w:bCs/>
          <w:sz w:val="22"/>
          <w:szCs w:val="22"/>
          <w:lang w:val="es-ES"/>
        </w:rPr>
        <w:t>e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n gran medida en la labor del Grupo de Examen Científico y Técnico</w:t>
      </w:r>
      <w:r w:rsidR="000267E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</w:p>
    <w:p w14:paraId="0A7F01E0" w14:textId="77777777" w:rsidR="00DD473F" w:rsidRPr="00D45110" w:rsidRDefault="00DD473F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4577B076" w14:textId="4DD29525" w:rsidR="00DD473F" w:rsidRPr="00D45110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bCs/>
          <w:sz w:val="22"/>
          <w:szCs w:val="22"/>
          <w:lang w:val="es-ES"/>
        </w:rPr>
        <w:t>5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  <w:r w:rsidR="00DD473F" w:rsidRPr="00D4511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Además, la Presidencia </w:t>
      </w:r>
      <w:r w:rsidR="007158D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dirigió </w:t>
      </w:r>
      <w:r w:rsidR="002E36C9" w:rsidRPr="00D45110">
        <w:rPr>
          <w:rFonts w:asciiTheme="minorHAnsi" w:hAnsiTheme="minorHAnsi" w:cstheme="minorHAnsi"/>
          <w:bCs/>
          <w:sz w:val="22"/>
          <w:szCs w:val="22"/>
          <w:lang w:val="es-ES"/>
        </w:rPr>
        <w:t>la Tercera Reunión Extraordinaria de la Conferencia de las Partes Contratantes y las reuniones diarias de la Mesa de la Conferencia. La Presidencia brindó orientaciones a la Secretaría sobre cuestiones relativas a la preparación y administración de esta reunión</w:t>
      </w:r>
      <w:r w:rsidR="00EB6CF2" w:rsidRPr="00D4511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</w:p>
    <w:p w14:paraId="1BB980A7" w14:textId="77777777" w:rsidR="00EB6CF2" w:rsidRPr="00D45110" w:rsidRDefault="00EB6CF2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2CB866F7" w14:textId="42DC234B" w:rsidR="00707224" w:rsidRPr="00D45110" w:rsidRDefault="00D50230" w:rsidP="00085EE7">
      <w:pPr>
        <w:jc w:val="left"/>
        <w:rPr>
          <w:rFonts w:ascii="Calibri" w:hAnsi="Calibri" w:cs="Calibri"/>
          <w:bCs/>
          <w:sz w:val="22"/>
          <w:szCs w:val="22"/>
          <w:lang w:val="es-ES"/>
        </w:rPr>
      </w:pPr>
      <w:r w:rsidRPr="00D45110">
        <w:rPr>
          <w:rFonts w:ascii="Calibri" w:hAnsi="Calibri" w:cs="Calibri"/>
          <w:bCs/>
          <w:sz w:val="22"/>
          <w:szCs w:val="22"/>
          <w:lang w:val="es-ES"/>
        </w:rPr>
        <w:t>6</w:t>
      </w:r>
      <w:r w:rsidR="00EB6CF2" w:rsidRPr="00D45110">
        <w:rPr>
          <w:rFonts w:ascii="Calibri" w:hAnsi="Calibri" w:cs="Calibri"/>
          <w:bCs/>
          <w:sz w:val="22"/>
          <w:szCs w:val="22"/>
          <w:lang w:val="es-ES"/>
        </w:rPr>
        <w:t xml:space="preserve">. </w:t>
      </w:r>
      <w:r w:rsidR="00EB6CF2" w:rsidRPr="00D45110">
        <w:rPr>
          <w:rFonts w:ascii="Calibri" w:hAnsi="Calibri" w:cs="Calibri"/>
          <w:bCs/>
          <w:sz w:val="22"/>
          <w:szCs w:val="22"/>
          <w:lang w:val="es-ES"/>
        </w:rPr>
        <w:tab/>
      </w:r>
      <w:r w:rsidR="00C709DA" w:rsidRPr="00D45110">
        <w:rPr>
          <w:rFonts w:ascii="Calibri" w:hAnsi="Calibri" w:cs="Calibri"/>
          <w:bCs/>
          <w:sz w:val="22"/>
          <w:szCs w:val="22"/>
          <w:lang w:val="es-ES"/>
        </w:rPr>
        <w:t xml:space="preserve">La Presidencia ha </w:t>
      </w:r>
      <w:r w:rsidR="00834ED7" w:rsidRPr="00D45110">
        <w:rPr>
          <w:rFonts w:ascii="Calibri" w:hAnsi="Calibri" w:cs="Calibri"/>
          <w:bCs/>
          <w:sz w:val="22"/>
          <w:szCs w:val="22"/>
          <w:lang w:val="es-ES"/>
        </w:rPr>
        <w:t xml:space="preserve">dirigido y sigue dirigiendo el proceso de contratación del próximo </w:t>
      </w:r>
      <w:r w:rsidR="00C67AD1">
        <w:rPr>
          <w:rFonts w:ascii="Calibri" w:hAnsi="Calibri" w:cs="Calibri"/>
          <w:bCs/>
          <w:sz w:val="22"/>
          <w:szCs w:val="22"/>
          <w:lang w:val="es-ES"/>
        </w:rPr>
        <w:t>S</w:t>
      </w:r>
      <w:r w:rsidR="00C67AD1" w:rsidRPr="00D45110">
        <w:rPr>
          <w:rFonts w:ascii="Calibri" w:hAnsi="Calibri" w:cs="Calibri"/>
          <w:bCs/>
          <w:sz w:val="22"/>
          <w:szCs w:val="22"/>
          <w:lang w:val="es-ES"/>
        </w:rPr>
        <w:t>ecretario</w:t>
      </w:r>
      <w:r w:rsidR="00834ED7" w:rsidRPr="00D45110">
        <w:rPr>
          <w:rFonts w:ascii="Calibri" w:hAnsi="Calibri" w:cs="Calibri"/>
          <w:bCs/>
          <w:sz w:val="22"/>
          <w:szCs w:val="22"/>
          <w:lang w:val="es-ES"/>
        </w:rPr>
        <w:t xml:space="preserve"> o Secretaria General. El </w:t>
      </w:r>
      <w:r w:rsidR="00735A9F" w:rsidRPr="00D45110">
        <w:rPr>
          <w:rFonts w:ascii="Calibri" w:hAnsi="Calibri" w:cs="Calibri"/>
          <w:sz w:val="22"/>
          <w:szCs w:val="22"/>
          <w:lang w:val="es-ES"/>
        </w:rPr>
        <w:t>Comité Permanente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C67AD1">
        <w:rPr>
          <w:rFonts w:ascii="Calibri" w:hAnsi="Calibri" w:cs="Calibri"/>
          <w:sz w:val="22"/>
          <w:szCs w:val="22"/>
          <w:lang w:val="es-ES"/>
        </w:rPr>
        <w:t>convino</w:t>
      </w:r>
      <w:r w:rsidR="00834ED7" w:rsidRPr="00D45110">
        <w:rPr>
          <w:rFonts w:ascii="Calibri" w:hAnsi="Calibri" w:cs="Calibri"/>
          <w:sz w:val="22"/>
          <w:szCs w:val="22"/>
          <w:lang w:val="es-ES"/>
        </w:rPr>
        <w:t xml:space="preserve"> el 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 xml:space="preserve">15 </w:t>
      </w:r>
      <w:r w:rsidR="00834ED7" w:rsidRPr="00D45110">
        <w:rPr>
          <w:rFonts w:ascii="Calibri" w:hAnsi="Calibri" w:cs="Calibri"/>
          <w:sz w:val="22"/>
          <w:szCs w:val="22"/>
          <w:lang w:val="es-ES"/>
        </w:rPr>
        <w:t xml:space="preserve">de noviembre de 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 xml:space="preserve">2021 </w:t>
      </w:r>
      <w:r w:rsidR="00C67AD1">
        <w:rPr>
          <w:rFonts w:ascii="Calibri" w:hAnsi="Calibri" w:cs="Calibri"/>
          <w:sz w:val="22"/>
          <w:szCs w:val="22"/>
          <w:lang w:val="es-ES"/>
        </w:rPr>
        <w:t xml:space="preserve">mediante </w:t>
      </w:r>
      <w:r w:rsidR="00834ED7" w:rsidRPr="00D45110">
        <w:rPr>
          <w:rFonts w:ascii="Calibri" w:hAnsi="Calibri" w:cs="Calibri"/>
          <w:sz w:val="22"/>
          <w:szCs w:val="22"/>
          <w:lang w:val="es-ES"/>
        </w:rPr>
        <w:t xml:space="preserve">la Decisión 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 xml:space="preserve">SC59-39 </w:t>
      </w:r>
      <w:r w:rsidR="00C67AD1">
        <w:rPr>
          <w:rFonts w:ascii="Calibri" w:hAnsi="Calibri" w:cs="Calibri"/>
          <w:sz w:val="22"/>
          <w:szCs w:val="22"/>
          <w:lang w:val="es-ES"/>
        </w:rPr>
        <w:t xml:space="preserve">en </w:t>
      </w:r>
      <w:r w:rsidR="00834ED7" w:rsidRPr="00D45110">
        <w:rPr>
          <w:rFonts w:ascii="Calibri" w:hAnsi="Calibri" w:cs="Calibri"/>
          <w:sz w:val="22"/>
          <w:szCs w:val="22"/>
          <w:lang w:val="es-ES"/>
        </w:rPr>
        <w:t xml:space="preserve">establecer un comité de selección para 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facilitar la contratación del próximo Secretario o Secretaria General. Dicho </w:t>
      </w:r>
      <w:r w:rsidR="00C67AD1" w:rsidRPr="00D45110">
        <w:rPr>
          <w:rFonts w:ascii="Calibri" w:hAnsi="Calibri" w:cs="Calibri"/>
          <w:sz w:val="22"/>
          <w:szCs w:val="22"/>
          <w:lang w:val="es-ES"/>
        </w:rPr>
        <w:t>comité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 está compuesto por los miembros del Grupo de Trabajo Administrativo que son Partes</w:t>
      </w:r>
      <w:r w:rsidR="00C67AD1">
        <w:rPr>
          <w:rFonts w:ascii="Calibri" w:hAnsi="Calibri" w:cs="Calibri"/>
          <w:sz w:val="22"/>
          <w:szCs w:val="22"/>
          <w:lang w:val="es-ES"/>
        </w:rPr>
        <w:t xml:space="preserve"> además de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 China en calidad de </w:t>
      </w:r>
      <w:r w:rsidR="00C67AD1">
        <w:rPr>
          <w:rFonts w:ascii="Calibri" w:hAnsi="Calibri" w:cs="Calibri"/>
          <w:sz w:val="22"/>
          <w:szCs w:val="22"/>
          <w:lang w:val="es-ES"/>
        </w:rPr>
        <w:t>país anfitrión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 de la 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>14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ª reunión de la Conferencia de las Partes Contratantes 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 xml:space="preserve">(COP14). </w:t>
      </w:r>
      <w:r w:rsidR="00C67AD1">
        <w:rPr>
          <w:rFonts w:ascii="Calibri" w:hAnsi="Calibri" w:cs="Calibri"/>
          <w:sz w:val="22"/>
          <w:szCs w:val="22"/>
          <w:lang w:val="es-ES"/>
        </w:rPr>
        <w:t>Para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 lograr una mejor representación regional, se ofreció la posibilidad a tres regiones (África, </w:t>
      </w:r>
      <w:r w:rsidR="00C67AD1" w:rsidRPr="00D45110">
        <w:rPr>
          <w:rFonts w:ascii="Calibri" w:hAnsi="Calibri" w:cs="Calibri"/>
          <w:sz w:val="22"/>
          <w:szCs w:val="22"/>
          <w:lang w:val="es-ES"/>
        </w:rPr>
        <w:t>América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 Latina y el Caribe y Oceanía) de añadir un representante cada una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>.</w:t>
      </w:r>
    </w:p>
    <w:p w14:paraId="2A8D3CE6" w14:textId="77777777" w:rsidR="00707224" w:rsidRPr="00D45110" w:rsidRDefault="00707224" w:rsidP="00085EE7">
      <w:pPr>
        <w:ind w:left="0" w:firstLine="0"/>
        <w:jc w:val="left"/>
        <w:rPr>
          <w:rFonts w:ascii="Calibri" w:hAnsi="Calibri" w:cs="Calibri"/>
          <w:bCs/>
          <w:sz w:val="22"/>
          <w:szCs w:val="22"/>
          <w:lang w:val="es-ES"/>
        </w:rPr>
      </w:pPr>
    </w:p>
    <w:p w14:paraId="08456585" w14:textId="7F403130" w:rsidR="00707224" w:rsidRPr="00D45110" w:rsidRDefault="00D50230" w:rsidP="00085EE7">
      <w:pPr>
        <w:ind w:left="426" w:hanging="425"/>
        <w:jc w:val="left"/>
        <w:rPr>
          <w:rFonts w:ascii="Calibri" w:hAnsi="Calibri" w:cs="Calibri"/>
          <w:sz w:val="22"/>
          <w:szCs w:val="22"/>
          <w:lang w:val="es-ES"/>
        </w:rPr>
      </w:pPr>
      <w:r w:rsidRPr="00D45110">
        <w:rPr>
          <w:rFonts w:ascii="Calibri" w:hAnsi="Calibri" w:cs="Calibri"/>
          <w:sz w:val="22"/>
          <w:szCs w:val="22"/>
          <w:lang w:val="es-ES"/>
        </w:rPr>
        <w:t>7</w:t>
      </w:r>
      <w:r w:rsidR="006058B3" w:rsidRPr="00D45110">
        <w:rPr>
          <w:rFonts w:ascii="Calibri" w:hAnsi="Calibri" w:cs="Calibri"/>
          <w:sz w:val="22"/>
          <w:szCs w:val="22"/>
          <w:lang w:val="es-ES"/>
        </w:rPr>
        <w:t>.</w:t>
      </w:r>
      <w:r w:rsidR="006058B3" w:rsidRPr="00D45110">
        <w:rPr>
          <w:rFonts w:ascii="Calibri" w:hAnsi="Calibri" w:cs="Calibri"/>
          <w:sz w:val="22"/>
          <w:szCs w:val="22"/>
          <w:lang w:val="es-ES"/>
        </w:rPr>
        <w:tab/>
      </w:r>
      <w:r w:rsidR="004563B1" w:rsidRPr="00D45110">
        <w:rPr>
          <w:rFonts w:ascii="Calibri" w:hAnsi="Calibri" w:cs="Calibri"/>
          <w:sz w:val="22"/>
          <w:szCs w:val="22"/>
          <w:lang w:val="es-ES"/>
        </w:rPr>
        <w:t>El comité de selección se reunió el 2 de marzo y aprobó su calendario para este proceso.</w:t>
      </w:r>
      <w:r w:rsidR="00C67AD1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4563B1" w:rsidRPr="00D45110">
        <w:rPr>
          <w:rFonts w:ascii="Calibri" w:hAnsi="Calibri" w:cs="Calibri"/>
          <w:sz w:val="22"/>
          <w:szCs w:val="22"/>
          <w:lang w:val="es-ES"/>
        </w:rPr>
        <w:t xml:space="preserve">Se ha </w:t>
      </w:r>
      <w:r w:rsidR="009F50CF" w:rsidRPr="00D45110">
        <w:rPr>
          <w:rFonts w:ascii="Calibri" w:hAnsi="Calibri" w:cs="Calibri"/>
          <w:sz w:val="22"/>
          <w:szCs w:val="22"/>
          <w:lang w:val="es-ES"/>
        </w:rPr>
        <w:t xml:space="preserve">comenzado a trabajar en el proceso de reclutamiento </w:t>
      </w:r>
      <w:r w:rsidR="00C67AD1">
        <w:rPr>
          <w:rFonts w:ascii="Calibri" w:hAnsi="Calibri" w:cs="Calibri"/>
          <w:sz w:val="22"/>
          <w:szCs w:val="22"/>
          <w:lang w:val="es-ES"/>
        </w:rPr>
        <w:t>en consonancia</w:t>
      </w:r>
      <w:r w:rsidR="00707224" w:rsidRPr="00D45110">
        <w:rPr>
          <w:rFonts w:ascii="Calibri" w:hAnsi="Calibri" w:cs="Calibri"/>
          <w:sz w:val="22"/>
          <w:szCs w:val="22"/>
          <w:lang w:val="es-ES"/>
        </w:rPr>
        <w:t>.</w:t>
      </w:r>
    </w:p>
    <w:p w14:paraId="622CF099" w14:textId="77777777" w:rsidR="00707224" w:rsidRPr="00D45110" w:rsidRDefault="00707224" w:rsidP="00085EE7">
      <w:pPr>
        <w:ind w:left="426" w:hanging="425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7BA3724A" w14:textId="00AA59E7" w:rsidR="001C4D6A" w:rsidRPr="00D45110" w:rsidRDefault="00707224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D45110">
        <w:rPr>
          <w:rFonts w:asciiTheme="minorHAnsi" w:hAnsiTheme="minorHAnsi" w:cstheme="minorHAnsi"/>
          <w:sz w:val="22"/>
          <w:szCs w:val="22"/>
          <w:lang w:val="es-ES"/>
        </w:rPr>
        <w:t>8.</w:t>
      </w:r>
      <w:r w:rsidRPr="00D45110">
        <w:rPr>
          <w:rFonts w:asciiTheme="minorHAnsi" w:hAnsiTheme="minorHAnsi" w:cstheme="minorHAnsi"/>
          <w:sz w:val="22"/>
          <w:szCs w:val="22"/>
          <w:lang w:val="es-ES"/>
        </w:rPr>
        <w:tab/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La Presidencia del </w:t>
      </w:r>
      <w:r w:rsidR="00735A9F" w:rsidRPr="00D45110">
        <w:rPr>
          <w:rFonts w:asciiTheme="minorHAnsi" w:hAnsiTheme="minorHAnsi" w:cstheme="minorHAnsi"/>
          <w:sz w:val="22"/>
          <w:szCs w:val="22"/>
          <w:lang w:val="es-ES"/>
        </w:rPr>
        <w:t>Comité Permanente</w:t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también asesoró a la Secretaria General sobre cuestiones administrativas </w:t>
      </w:r>
      <w:r w:rsidR="00CD07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petición </w:t>
      </w:r>
      <w:r w:rsidR="00C67AD1">
        <w:rPr>
          <w:rFonts w:asciiTheme="minorHAnsi" w:hAnsiTheme="minorHAnsi" w:cstheme="minorHAnsi"/>
          <w:sz w:val="22"/>
          <w:szCs w:val="22"/>
          <w:lang w:val="es-ES"/>
        </w:rPr>
        <w:t>de esta</w:t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y realizó la evaluación </w:t>
      </w:r>
      <w:r w:rsidR="00C67AD1" w:rsidRPr="00D45110">
        <w:rPr>
          <w:rFonts w:asciiTheme="minorHAnsi" w:hAnsiTheme="minorHAnsi" w:cstheme="minorHAnsi"/>
          <w:sz w:val="22"/>
          <w:szCs w:val="22"/>
          <w:lang w:val="es-ES"/>
        </w:rPr>
        <w:t>anual</w:t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 xml:space="preserve"> de la Secretaria General durante el primer trimestre del año con arreglo a las reglas y </w:t>
      </w:r>
      <w:r w:rsidR="009F50CF" w:rsidRPr="00C67AD1">
        <w:rPr>
          <w:rFonts w:asciiTheme="minorHAnsi" w:hAnsiTheme="minorHAnsi" w:cstheme="minorHAnsi"/>
          <w:sz w:val="22"/>
          <w:szCs w:val="22"/>
          <w:lang w:val="es-ES"/>
        </w:rPr>
        <w:t xml:space="preserve">procedimientos </w:t>
      </w:r>
      <w:r w:rsidR="009F50CF" w:rsidRPr="00D45110">
        <w:rPr>
          <w:rFonts w:asciiTheme="minorHAnsi" w:hAnsiTheme="minorHAnsi" w:cstheme="minorHAnsi"/>
          <w:sz w:val="22"/>
          <w:szCs w:val="22"/>
          <w:lang w:val="es-ES"/>
        </w:rPr>
        <w:t>de la UICN</w:t>
      </w:r>
      <w:r w:rsidR="00795C6E" w:rsidRPr="00D4511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sectPr w:rsidR="001C4D6A" w:rsidRPr="00D45110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7360" w14:textId="77777777" w:rsidR="007C6318" w:rsidRDefault="007C6318" w:rsidP="006058B3">
      <w:r>
        <w:separator/>
      </w:r>
    </w:p>
  </w:endnote>
  <w:endnote w:type="continuationSeparator" w:id="0">
    <w:p w14:paraId="5D9CAB23" w14:textId="77777777" w:rsidR="007C6318" w:rsidRDefault="007C6318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3870" w14:textId="27DBBDD4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SC59</w:t>
    </w:r>
    <w:r w:rsidR="0015336C">
      <w:rPr>
        <w:rFonts w:asciiTheme="minorHAnsi" w:hAnsiTheme="minorHAnsi" w:cstheme="minorHAnsi"/>
        <w:sz w:val="20"/>
        <w:szCs w:val="20"/>
      </w:rPr>
      <w:t>/2022</w:t>
    </w:r>
    <w:r w:rsidRPr="00967BF4">
      <w:rPr>
        <w:rFonts w:asciiTheme="minorHAnsi" w:hAnsiTheme="minorHAnsi" w:cstheme="minorHAnsi"/>
        <w:sz w:val="20"/>
        <w:szCs w:val="20"/>
      </w:rPr>
      <w:t xml:space="preserve"> Doc.</w:t>
    </w:r>
    <w:r w:rsidR="00967BF4" w:rsidRPr="00967BF4">
      <w:rPr>
        <w:rFonts w:asciiTheme="minorHAnsi" w:hAnsiTheme="minorHAnsi" w:cstheme="minorHAnsi"/>
        <w:sz w:val="20"/>
        <w:szCs w:val="20"/>
      </w:rPr>
      <w:t>5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84680E">
      <w:rPr>
        <w:rFonts w:asciiTheme="minorHAnsi" w:hAnsiTheme="minorHAnsi" w:cstheme="minorHAnsi"/>
        <w:noProof/>
        <w:sz w:val="20"/>
        <w:szCs w:val="20"/>
      </w:rPr>
      <w:t>2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CD87" w14:textId="77777777" w:rsidR="007C6318" w:rsidRDefault="007C6318" w:rsidP="006058B3">
      <w:r>
        <w:separator/>
      </w:r>
    </w:p>
  </w:footnote>
  <w:footnote w:type="continuationSeparator" w:id="0">
    <w:p w14:paraId="4E87A892" w14:textId="77777777" w:rsidR="007C6318" w:rsidRDefault="007C6318" w:rsidP="006058B3">
      <w:r>
        <w:continuationSeparator/>
      </w:r>
    </w:p>
  </w:footnote>
  <w:footnote w:id="1">
    <w:p w14:paraId="451FE53C" w14:textId="4F70BA4D" w:rsidR="00131FA2" w:rsidRPr="007158DC" w:rsidRDefault="00131FA2" w:rsidP="00085EE7">
      <w:pPr>
        <w:pStyle w:val="FootnoteText"/>
        <w:ind w:left="0" w:firstLine="0"/>
        <w:rPr>
          <w:rFonts w:eastAsiaTheme="minorHAnsi"/>
          <w:lang w:val="es-ES"/>
        </w:rPr>
      </w:pPr>
      <w:r>
        <w:rPr>
          <w:rStyle w:val="FootnoteReference"/>
          <w:sz w:val="22"/>
          <w:szCs w:val="22"/>
          <w:lang w:val="en-CA"/>
        </w:rPr>
        <w:t>[1]</w:t>
      </w:r>
      <w:r>
        <w:rPr>
          <w:lang w:val="en-CA"/>
        </w:rPr>
        <w:t xml:space="preserve"> </w:t>
      </w:r>
      <w:r w:rsidR="00624901" w:rsidRPr="007158DC">
        <w:rPr>
          <w:rFonts w:ascii="Calibri" w:hAnsi="Calibri" w:cs="Calibri"/>
          <w:lang w:val="es-ES"/>
        </w:rPr>
        <w:t xml:space="preserve">Los observadores permanentes en el </w:t>
      </w:r>
      <w:r w:rsidR="00735A9F" w:rsidRPr="007158DC">
        <w:rPr>
          <w:rFonts w:ascii="Calibri" w:hAnsi="Calibri" w:cs="Calibri"/>
          <w:lang w:val="es-ES"/>
        </w:rPr>
        <w:t>Comité Permanente</w:t>
      </w:r>
      <w:r w:rsidRPr="007158DC">
        <w:rPr>
          <w:rFonts w:ascii="Calibri" w:hAnsi="Calibri" w:cs="Calibri"/>
          <w:lang w:val="es-ES"/>
        </w:rPr>
        <w:t xml:space="preserve"> </w:t>
      </w:r>
      <w:r w:rsidR="007158DC" w:rsidRPr="007158DC">
        <w:rPr>
          <w:rFonts w:ascii="Calibri" w:hAnsi="Calibri" w:cs="Calibri"/>
          <w:lang w:val="es-ES"/>
        </w:rPr>
        <w:t>podrán asistir a las reunions de la Mesa de la Conferencia a menos que se oponga alguna Parte Contratante</w:t>
      </w:r>
      <w:r w:rsidRPr="007158DC">
        <w:rPr>
          <w:rFonts w:ascii="Calibri" w:hAnsi="Calibri" w:cs="Calibri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s-ES" w:vendorID="64" w:dllVersion="4096" w:nlCheck="1" w:checkStyle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FD"/>
    <w:rsid w:val="000054C2"/>
    <w:rsid w:val="000206E7"/>
    <w:rsid w:val="00022A0A"/>
    <w:rsid w:val="000250FF"/>
    <w:rsid w:val="000267EF"/>
    <w:rsid w:val="00027DBC"/>
    <w:rsid w:val="00046B52"/>
    <w:rsid w:val="00065171"/>
    <w:rsid w:val="00065B8F"/>
    <w:rsid w:val="00076CE7"/>
    <w:rsid w:val="00085EE7"/>
    <w:rsid w:val="00090B48"/>
    <w:rsid w:val="00091474"/>
    <w:rsid w:val="000C7A56"/>
    <w:rsid w:val="000E637A"/>
    <w:rsid w:val="0010755C"/>
    <w:rsid w:val="00131FA2"/>
    <w:rsid w:val="00144492"/>
    <w:rsid w:val="001529FF"/>
    <w:rsid w:val="0015336C"/>
    <w:rsid w:val="00155904"/>
    <w:rsid w:val="001B6F33"/>
    <w:rsid w:val="001C341F"/>
    <w:rsid w:val="001C4D6A"/>
    <w:rsid w:val="001C7681"/>
    <w:rsid w:val="0022737C"/>
    <w:rsid w:val="002314AC"/>
    <w:rsid w:val="0025233F"/>
    <w:rsid w:val="0028158D"/>
    <w:rsid w:val="00295E57"/>
    <w:rsid w:val="002A28D6"/>
    <w:rsid w:val="002E36C9"/>
    <w:rsid w:val="002F0AE4"/>
    <w:rsid w:val="002F22EE"/>
    <w:rsid w:val="002F4875"/>
    <w:rsid w:val="00303D77"/>
    <w:rsid w:val="00305218"/>
    <w:rsid w:val="00307B7E"/>
    <w:rsid w:val="003149A3"/>
    <w:rsid w:val="00317FDC"/>
    <w:rsid w:val="003501A9"/>
    <w:rsid w:val="00354D36"/>
    <w:rsid w:val="003F53DD"/>
    <w:rsid w:val="00443985"/>
    <w:rsid w:val="004563B1"/>
    <w:rsid w:val="00470DB8"/>
    <w:rsid w:val="00491BEE"/>
    <w:rsid w:val="004E0DB3"/>
    <w:rsid w:val="004F7BE5"/>
    <w:rsid w:val="005078BB"/>
    <w:rsid w:val="0051038A"/>
    <w:rsid w:val="00535F9D"/>
    <w:rsid w:val="005535F2"/>
    <w:rsid w:val="005653D8"/>
    <w:rsid w:val="005855E2"/>
    <w:rsid w:val="00594ED0"/>
    <w:rsid w:val="005C7B28"/>
    <w:rsid w:val="005D106B"/>
    <w:rsid w:val="005F0C8D"/>
    <w:rsid w:val="006058B3"/>
    <w:rsid w:val="00610E89"/>
    <w:rsid w:val="00624901"/>
    <w:rsid w:val="006320E6"/>
    <w:rsid w:val="00634417"/>
    <w:rsid w:val="00644C1D"/>
    <w:rsid w:val="00686267"/>
    <w:rsid w:val="006978F0"/>
    <w:rsid w:val="006A7C44"/>
    <w:rsid w:val="006B72AF"/>
    <w:rsid w:val="006D3C88"/>
    <w:rsid w:val="006E3B93"/>
    <w:rsid w:val="006F30DC"/>
    <w:rsid w:val="006F3186"/>
    <w:rsid w:val="006F48CA"/>
    <w:rsid w:val="00707224"/>
    <w:rsid w:val="007158DC"/>
    <w:rsid w:val="00735A9F"/>
    <w:rsid w:val="00750225"/>
    <w:rsid w:val="00753B93"/>
    <w:rsid w:val="007557D5"/>
    <w:rsid w:val="0075712F"/>
    <w:rsid w:val="00773024"/>
    <w:rsid w:val="00780AFD"/>
    <w:rsid w:val="00795C6E"/>
    <w:rsid w:val="007C6318"/>
    <w:rsid w:val="007F7F60"/>
    <w:rsid w:val="00834ED7"/>
    <w:rsid w:val="0084680E"/>
    <w:rsid w:val="00853A4C"/>
    <w:rsid w:val="00857537"/>
    <w:rsid w:val="00857CD6"/>
    <w:rsid w:val="00873BE1"/>
    <w:rsid w:val="0089103F"/>
    <w:rsid w:val="008952D7"/>
    <w:rsid w:val="008A1B89"/>
    <w:rsid w:val="008C1D57"/>
    <w:rsid w:val="008C2764"/>
    <w:rsid w:val="008D0D24"/>
    <w:rsid w:val="008D1611"/>
    <w:rsid w:val="008F2E14"/>
    <w:rsid w:val="008F72BF"/>
    <w:rsid w:val="00910559"/>
    <w:rsid w:val="00921C07"/>
    <w:rsid w:val="00956B48"/>
    <w:rsid w:val="009603AF"/>
    <w:rsid w:val="00960912"/>
    <w:rsid w:val="00967BF4"/>
    <w:rsid w:val="00973990"/>
    <w:rsid w:val="0097657A"/>
    <w:rsid w:val="009978A7"/>
    <w:rsid w:val="009A4362"/>
    <w:rsid w:val="009B769F"/>
    <w:rsid w:val="009C24AD"/>
    <w:rsid w:val="009C4474"/>
    <w:rsid w:val="009C6711"/>
    <w:rsid w:val="009D3818"/>
    <w:rsid w:val="009D3A3C"/>
    <w:rsid w:val="009F50CF"/>
    <w:rsid w:val="00A22604"/>
    <w:rsid w:val="00A25052"/>
    <w:rsid w:val="00A32562"/>
    <w:rsid w:val="00A51DBD"/>
    <w:rsid w:val="00A52A09"/>
    <w:rsid w:val="00A61167"/>
    <w:rsid w:val="00A63E82"/>
    <w:rsid w:val="00AA2EDD"/>
    <w:rsid w:val="00AC138B"/>
    <w:rsid w:val="00AC56C4"/>
    <w:rsid w:val="00AE6055"/>
    <w:rsid w:val="00AE7B3F"/>
    <w:rsid w:val="00AF25A0"/>
    <w:rsid w:val="00B02590"/>
    <w:rsid w:val="00B0440F"/>
    <w:rsid w:val="00B73411"/>
    <w:rsid w:val="00B9629C"/>
    <w:rsid w:val="00BB2E67"/>
    <w:rsid w:val="00BC5325"/>
    <w:rsid w:val="00C32315"/>
    <w:rsid w:val="00C36260"/>
    <w:rsid w:val="00C42E53"/>
    <w:rsid w:val="00C63E7B"/>
    <w:rsid w:val="00C648EB"/>
    <w:rsid w:val="00C67AD1"/>
    <w:rsid w:val="00C709DA"/>
    <w:rsid w:val="00CA5CD6"/>
    <w:rsid w:val="00CB2EBD"/>
    <w:rsid w:val="00CB40BA"/>
    <w:rsid w:val="00CD0718"/>
    <w:rsid w:val="00D04785"/>
    <w:rsid w:val="00D32E5A"/>
    <w:rsid w:val="00D37C9C"/>
    <w:rsid w:val="00D45110"/>
    <w:rsid w:val="00D47D43"/>
    <w:rsid w:val="00D50230"/>
    <w:rsid w:val="00D96CBB"/>
    <w:rsid w:val="00DD473F"/>
    <w:rsid w:val="00DF3152"/>
    <w:rsid w:val="00E06E63"/>
    <w:rsid w:val="00E414F9"/>
    <w:rsid w:val="00E70C14"/>
    <w:rsid w:val="00E74FFF"/>
    <w:rsid w:val="00E9062A"/>
    <w:rsid w:val="00E95E62"/>
    <w:rsid w:val="00EB6CF2"/>
    <w:rsid w:val="00EF4CF6"/>
    <w:rsid w:val="00F00776"/>
    <w:rsid w:val="00F16DB7"/>
    <w:rsid w:val="00F1700C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0" ma:contentTypeDescription="Create a new document." ma:contentTypeScope="" ma:versionID="40fbab5a3390233354d1d19905a21a2b">
  <xsd:schema xmlns:xsd="http://www.w3.org/2001/XMLSchema" xmlns:xs="http://www.w3.org/2001/XMLSchema" xmlns:p="http://schemas.microsoft.com/office/2006/metadata/properties" xmlns:ns3="8c0b6b05-eb82-4bda-97e8-cd82d0d6b453" targetNamespace="http://schemas.microsoft.com/office/2006/metadata/properties" ma:root="true" ma:fieldsID="30c1fdeb8c2cfcff55d0f529bd9cc16e" ns3:_="">
    <xsd:import namespace="8c0b6b05-eb82-4bda-97e8-cd82d0d6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698E7-332B-4D90-9D8B-CF870E6E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F4904-B7CF-401E-BE23-00A1E7FFE92B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c0b6b05-eb82-4bda-97e8-cd82d0d6b453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AE382D-94E6-4519-B953-12A9E16C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2</cp:revision>
  <dcterms:created xsi:type="dcterms:W3CDTF">2022-04-01T08:25:00Z</dcterms:created>
  <dcterms:modified xsi:type="dcterms:W3CDTF">2022-04-01T08:25:00Z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