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5EA49" w14:textId="77777777" w:rsidR="009961FC" w:rsidRPr="009961FC" w:rsidRDefault="009961FC" w:rsidP="009961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Malgun Gothic" w:hAnsi="Calibri" w:cs="Calibri"/>
          <w:bCs/>
          <w:sz w:val="22"/>
          <w:szCs w:val="22"/>
          <w:lang w:val="fr-FR" w:eastAsia="en-US"/>
        </w:rPr>
      </w:pPr>
      <w:r w:rsidRPr="009961FC">
        <w:rPr>
          <w:rFonts w:ascii="Calibri" w:eastAsia="Malgun Gothic" w:hAnsi="Calibri"/>
          <w:sz w:val="22"/>
          <w:szCs w:val="22"/>
          <w:lang w:val="fr-FR" w:eastAsia="en-US"/>
        </w:rPr>
        <w:t>CONVENTION SUR LES ZONES HUMIDES</w:t>
      </w:r>
    </w:p>
    <w:p w14:paraId="76D9ADA3" w14:textId="77777777" w:rsidR="009961FC" w:rsidRPr="009961FC" w:rsidRDefault="009961FC" w:rsidP="009961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Malgun Gothic" w:hAnsi="Calibri" w:cs="Calibri"/>
          <w:bCs/>
          <w:sz w:val="22"/>
          <w:szCs w:val="22"/>
          <w:lang w:val="fr-FR" w:eastAsia="en-US"/>
        </w:rPr>
      </w:pPr>
      <w:r w:rsidRPr="009961FC">
        <w:rPr>
          <w:rFonts w:ascii="Calibri" w:eastAsia="Malgun Gothic" w:hAnsi="Calibri"/>
          <w:sz w:val="22"/>
          <w:szCs w:val="22"/>
          <w:lang w:val="fr-FR" w:eastAsia="en-US"/>
        </w:rPr>
        <w:t>59</w:t>
      </w:r>
      <w:r w:rsidRPr="009961FC">
        <w:rPr>
          <w:rFonts w:ascii="Calibri" w:eastAsia="Malgun Gothic" w:hAnsi="Calibri"/>
          <w:sz w:val="22"/>
          <w:szCs w:val="22"/>
          <w:vertAlign w:val="superscript"/>
          <w:lang w:val="fr-FR" w:eastAsia="en-US"/>
        </w:rPr>
        <w:t>e</w:t>
      </w:r>
      <w:r w:rsidRPr="009961FC">
        <w:rPr>
          <w:rFonts w:ascii="Calibri" w:eastAsia="Malgun Gothic" w:hAnsi="Calibri"/>
          <w:sz w:val="22"/>
          <w:szCs w:val="22"/>
          <w:lang w:val="fr-FR" w:eastAsia="en-US"/>
        </w:rPr>
        <w:t> Réunion du Comité permanent</w:t>
      </w:r>
    </w:p>
    <w:p w14:paraId="17E72C1F" w14:textId="77777777" w:rsidR="009961FC" w:rsidRPr="009961FC" w:rsidRDefault="009961FC" w:rsidP="009961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Malgun Gothic" w:hAnsi="Calibri" w:cs="Calibri"/>
          <w:bCs/>
          <w:sz w:val="22"/>
          <w:szCs w:val="22"/>
          <w:lang w:val="fr-FR" w:eastAsia="en-US"/>
        </w:rPr>
      </w:pPr>
      <w:r w:rsidRPr="009961FC">
        <w:rPr>
          <w:rFonts w:ascii="Calibri" w:eastAsia="Malgun Gothic" w:hAnsi="Calibri"/>
          <w:sz w:val="22"/>
          <w:szCs w:val="22"/>
          <w:lang w:val="fr-FR" w:eastAsia="en-US"/>
        </w:rPr>
        <w:t xml:space="preserve">Reprise de la session </w:t>
      </w:r>
    </w:p>
    <w:p w14:paraId="1A9455F0" w14:textId="77777777" w:rsidR="009961FC" w:rsidRPr="009961FC" w:rsidRDefault="009961FC" w:rsidP="009961F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Malgun Gothic" w:hAnsi="Calibri"/>
          <w:sz w:val="22"/>
          <w:szCs w:val="22"/>
          <w:lang w:val="fr-FR" w:eastAsia="en-US"/>
        </w:rPr>
      </w:pPr>
      <w:r w:rsidRPr="009961FC">
        <w:rPr>
          <w:rFonts w:ascii="Calibri" w:eastAsia="Malgun Gothic" w:hAnsi="Calibri"/>
          <w:sz w:val="22"/>
          <w:szCs w:val="22"/>
          <w:lang w:val="fr-FR" w:eastAsia="en-US"/>
        </w:rPr>
        <w:t>Gland, Suisse, 23-27 mai 2022</w:t>
      </w:r>
    </w:p>
    <w:p w14:paraId="06FA6479" w14:textId="77777777" w:rsidR="00065B8F" w:rsidRPr="003D2201" w:rsidRDefault="00065B8F" w:rsidP="00065B8F">
      <w:pPr>
        <w:rPr>
          <w:lang w:val="fr-FR"/>
        </w:rPr>
      </w:pPr>
    </w:p>
    <w:p w14:paraId="4EED1CB2" w14:textId="77777777" w:rsidR="00065B8F" w:rsidRPr="003D2201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3D2201">
        <w:rPr>
          <w:rFonts w:asciiTheme="minorHAnsi" w:hAnsiTheme="minorHAnsi" w:cstheme="minorHAnsi"/>
          <w:b/>
          <w:sz w:val="28"/>
          <w:szCs w:val="28"/>
          <w:lang w:val="fr-FR"/>
        </w:rPr>
        <w:t>SC59</w:t>
      </w:r>
      <w:r w:rsidR="00F16DB7" w:rsidRPr="003D2201">
        <w:rPr>
          <w:rFonts w:asciiTheme="minorHAnsi" w:hAnsiTheme="minorHAnsi" w:cstheme="minorHAnsi"/>
          <w:b/>
          <w:sz w:val="28"/>
          <w:szCs w:val="28"/>
          <w:lang w:val="fr-FR"/>
        </w:rPr>
        <w:t>/2022</w:t>
      </w:r>
      <w:r w:rsidR="00065B8F" w:rsidRPr="003D2201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</w:t>
      </w:r>
      <w:r w:rsidR="0075712F" w:rsidRPr="003D2201">
        <w:rPr>
          <w:rFonts w:asciiTheme="minorHAnsi" w:hAnsiTheme="minorHAnsi" w:cstheme="minorHAnsi"/>
          <w:b/>
          <w:sz w:val="28"/>
          <w:szCs w:val="28"/>
          <w:lang w:val="fr-FR"/>
        </w:rPr>
        <w:t>5</w:t>
      </w:r>
    </w:p>
    <w:p w14:paraId="7972AEFA" w14:textId="77777777" w:rsidR="00065B8F" w:rsidRPr="003D2201" w:rsidRDefault="00065B8F" w:rsidP="00065B8F">
      <w:pPr>
        <w:jc w:val="center"/>
        <w:rPr>
          <w:rFonts w:asciiTheme="minorHAnsi" w:hAnsiTheme="minorHAnsi" w:cstheme="minorHAnsi"/>
          <w:bCs/>
          <w:lang w:val="fr-FR"/>
        </w:rPr>
      </w:pPr>
    </w:p>
    <w:p w14:paraId="3FAFB69D" w14:textId="3CFB596F" w:rsidR="00065B8F" w:rsidRPr="003D2201" w:rsidRDefault="00065B8F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D2201">
        <w:rPr>
          <w:rFonts w:asciiTheme="minorHAnsi" w:hAnsiTheme="minorHAnsi" w:cstheme="minorHAnsi"/>
          <w:b/>
          <w:bCs/>
          <w:sz w:val="28"/>
          <w:szCs w:val="28"/>
          <w:lang w:val="fr-FR"/>
        </w:rPr>
        <w:t>R</w:t>
      </w:r>
      <w:r w:rsidR="003D220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apport du </w:t>
      </w:r>
      <w:bookmarkStart w:id="0" w:name="_Hlk100047066"/>
      <w:r w:rsidR="003D220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Comité exécutif et de la présidence du Comité permanent </w:t>
      </w:r>
    </w:p>
    <w:p w14:paraId="52FD805F" w14:textId="77777777" w:rsidR="006058B3" w:rsidRPr="003D2201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bookmarkEnd w:id="0"/>
    <w:p w14:paraId="6232A675" w14:textId="77777777" w:rsidR="00E95E62" w:rsidRPr="003D2201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  <w:lang w:val="fr-FR"/>
        </w:rPr>
      </w:pPr>
      <w:r w:rsidRPr="003D2201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864891A" wp14:editId="53EC8CFA">
                <wp:extent cx="5768340" cy="883920"/>
                <wp:effectExtent l="0" t="0" r="2286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C70D" w14:textId="1317A5A2" w:rsidR="00AA2EDD" w:rsidRPr="009961FC" w:rsidRDefault="000E637A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961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Action </w:t>
                            </w:r>
                            <w:r w:rsidR="009961FC" w:rsidRPr="009961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requise </w:t>
                            </w:r>
                            <w:r w:rsidR="00AA2EDD" w:rsidRPr="009961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26FB0D4C" w14:textId="77777777" w:rsidR="000E637A" w:rsidRPr="009961FC" w:rsidRDefault="000E637A" w:rsidP="000E637A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0839F2B5" w14:textId="2299AF64" w:rsidR="00AA2EDD" w:rsidRPr="009961FC" w:rsidRDefault="003D2201" w:rsidP="003D2201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3D2201">
                              <w:rPr>
                                <w:lang w:val="fr-FR"/>
                              </w:rPr>
                              <w:t>Le Comité permanent est invité à prendre note du présent rapport du Comité exécutif et de la présidence du Comité permanent</w:t>
                            </w:r>
                            <w:r w:rsidR="00D50230" w:rsidRPr="009961FC"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3220B1EB" w14:textId="77777777" w:rsidR="007F7F60" w:rsidRPr="009961FC" w:rsidRDefault="007F7F60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U3JAIAAEYEAAAOAAAAZHJzL2Uyb0RvYy54bWysU9tu2zAMfR+wfxD0vjhJkzYx4hRdugwD&#10;ugvQ7gNoWY6FSaInKbGzrx8lp1nQbS/D9CCIInVEnkOubnuj2UE6r9AWfDIacyatwErZXcG/Pm3f&#10;LDjzAWwFGq0s+FF6frt+/WrVtbmcYoO6ko4RiPV51xa8CaHNs8yLRhrwI2ylJWeNzkAg0+2yykFH&#10;6EZn0/H4OuvQVa1DIb2n2/vBydcJv66lCJ/r2svAdMEpt5B2l/Yy7tl6BfnOQdsocUoD/iELA8rS&#10;p2eoewjA9k79BmWUcOixDiOBJsO6VkKmGqiayfhFNY8NtDLVQuT49kyT/3+w4tPhi2OqKvh0csOZ&#10;BUMiPck+sLfYs2nkp2t9TmGPLQWGnq5J51Srbx9QfPPM4qYBu5N3zmHXSKgov0l8mV08HXB8BCm7&#10;j1jRN7APmID62plIHtHBCJ10Op61iakIupzfXC+uZuQS5FssrpbTJF4G+fPr1vnwXqJh8VBwR9on&#10;dDg8+BCzgfw5JH7mUatqq7ROhtuVG+3YAahPtmmlAl6Eacu6gi/n0/lAwF8hxmn9CcKoQA2vlaEq&#10;zkGQR9re2Sq1YwClhzOlrO2Jx0jdQGLoy/6kS4nVkRh1ODQ2DSIdGnQ/OOuoqQvuv+/BSc70B0uq&#10;LCezSGFIxmx+Qxwyd+kpLz1gBUEVPHA2HDchTU4kzOIdqVerRGyUecjklCs1a+L7NFhxGi7tFPVr&#10;/Nc/AQAA//8DAFBLAwQUAAYACAAAACEAqUeSANwAAAAFAQAADwAAAGRycy9kb3ducmV2LnhtbEyP&#10;wU7DMBBE70j8g7VIXBB1aKuShDgVQgLBrRQEVzfeJhH2OthuGv6ehQtcRlrNaOZttZ6cFSOG2HtS&#10;cDXLQCA13vTUKnh9ub/MQcSkyWjrCRV8YYR1fXpS6dL4Iz3juE2t4BKKpVbQpTSUUsamQ6fjzA9I&#10;7O19cDrxGVppgj5yubNynmUr6XRPvNDpAe86bD62B6cgXz6O7/FpsXlrVntbpIvr8eEzKHV+Nt3e&#10;gEg4pb8w/OAzOtTMtPMHMlFYBfxI+lX2iixfgthxaFHMQdaV/E9ffwMAAP//AwBQSwECLQAUAAYA&#10;CAAAACEAtoM4kv4AAADhAQAAEwAAAAAAAAAAAAAAAAAAAAAAW0NvbnRlbnRfVHlwZXNdLnhtbFBL&#10;AQItABQABgAIAAAAIQA4/SH/1gAAAJQBAAALAAAAAAAAAAAAAAAAAC8BAABfcmVscy8ucmVsc1BL&#10;AQItABQABgAIAAAAIQBZDbU3JAIAAEYEAAAOAAAAAAAAAAAAAAAAAC4CAABkcnMvZTJvRG9jLnht&#10;bFBLAQItABQABgAIAAAAIQCpR5IA3AAAAAUBAAAPAAAAAAAAAAAAAAAAAH4EAABkcnMvZG93bnJl&#10;di54bWxQSwUGAAAAAAQABADzAAAAhwUAAAAA&#10;">
                <v:textbox>
                  <w:txbxContent>
                    <w:p w14:paraId="50E2C70D" w14:textId="1317A5A2" w:rsidR="00AA2EDD" w:rsidRPr="009961FC" w:rsidRDefault="000E637A" w:rsidP="007F7F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9961F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 xml:space="preserve">Action </w:t>
                      </w:r>
                      <w:r w:rsidR="009961FC" w:rsidRPr="009961F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requise </w:t>
                      </w:r>
                      <w:r w:rsidR="00AA2EDD" w:rsidRPr="009961F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14:paraId="26FB0D4C" w14:textId="77777777" w:rsidR="000E637A" w:rsidRPr="009961FC" w:rsidRDefault="000E637A" w:rsidP="000E637A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0839F2B5" w14:textId="2299AF64" w:rsidR="00AA2EDD" w:rsidRPr="009961FC" w:rsidRDefault="003D2201" w:rsidP="003D2201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3D2201">
                        <w:rPr>
                          <w:lang w:val="fr-FR"/>
                        </w:rPr>
                        <w:t>Le Comité permanent est invité à prendre note du présent rapport du Comité exécutif et de la présidence du Comité permanent</w:t>
                      </w:r>
                      <w:r w:rsidR="00D50230" w:rsidRPr="009961FC">
                        <w:rPr>
                          <w:lang w:val="fr-FR"/>
                        </w:rPr>
                        <w:t>.</w:t>
                      </w:r>
                    </w:p>
                    <w:p w14:paraId="3220B1EB" w14:textId="77777777" w:rsidR="007F7F60" w:rsidRPr="009961FC" w:rsidRDefault="007F7F60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8D090" w14:textId="77777777" w:rsidR="006058B3" w:rsidRPr="003D2201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54D5FA08" w14:textId="77777777" w:rsidR="006058B3" w:rsidRPr="003D2201" w:rsidRDefault="006058B3" w:rsidP="00085EE7">
      <w:pPr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2FE5D6F4" w14:textId="7162BE72" w:rsidR="00773024" w:rsidRPr="003D2201" w:rsidRDefault="00EB511D" w:rsidP="00085EE7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Contexte</w:t>
      </w:r>
    </w:p>
    <w:p w14:paraId="1F742483" w14:textId="77777777" w:rsidR="00C32315" w:rsidRPr="003D2201" w:rsidRDefault="00C32315" w:rsidP="00085EE7">
      <w:pPr>
        <w:ind w:left="426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45A96F36" w14:textId="4364347E" w:rsidR="00CA5CD6" w:rsidRPr="003D2201" w:rsidRDefault="00D50230" w:rsidP="00957C13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>1.</w:t>
      </w: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Le présent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rapport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du Comité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exécuti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f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donne une vue d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ensemble des travaux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qu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il a menés à bien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depuis la publication du document SC59 Doc.5 le 30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>mars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2021. Il donne également un aperçu des travaux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réalisés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l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a pré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>siden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ce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du Comité permanent au cours de cette période</w:t>
      </w:r>
      <w:r w:rsidR="00CA5CD6" w:rsidRPr="003D2201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14:paraId="101C383F" w14:textId="77777777" w:rsidR="00027DBC" w:rsidRPr="003D2201" w:rsidRDefault="00027DBC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0B0DE8D7" w14:textId="5EC90026" w:rsidR="00AA2EDD" w:rsidRPr="003D2201" w:rsidRDefault="00957C13" w:rsidP="00085EE7">
      <w:pPr>
        <w:ind w:left="426" w:hanging="425"/>
        <w:jc w:val="left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Travaux menés à bien par le Comité exécutif</w:t>
      </w:r>
    </w:p>
    <w:p w14:paraId="2FAA2413" w14:textId="77777777" w:rsidR="00AA2EDD" w:rsidRPr="003D2201" w:rsidRDefault="00AA2EDD" w:rsidP="00085EE7">
      <w:pPr>
        <w:ind w:left="426" w:hanging="425"/>
        <w:jc w:val="left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2D36B53A" w14:textId="6FAEA913" w:rsidR="003F53DD" w:rsidRPr="003D2201" w:rsidRDefault="00D50230" w:rsidP="00C00CBD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>2.</w:t>
      </w: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Le Comité exécutif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donné des conseils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au Secrétariat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>dans le cadre de la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planification et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des préparatifs de 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>la 59</w:t>
      </w:r>
      <w:r w:rsidR="00957C13" w:rsidRPr="00957C13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 (SC59) qui s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est tenue 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en 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>virtue</w:t>
      </w:r>
      <w:r w:rsid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 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>du 21 au 25</w:t>
      </w:r>
      <w:r w:rsidR="004F7CF6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juin 2021. </w:t>
      </w:r>
      <w:r w:rsidR="004F7CF6">
        <w:rPr>
          <w:rFonts w:asciiTheme="minorHAnsi" w:hAnsiTheme="minorHAnsi" w:cstheme="minorHAnsi"/>
          <w:bCs/>
          <w:sz w:val="22"/>
          <w:szCs w:val="22"/>
          <w:lang w:val="fr-FR"/>
        </w:rPr>
        <w:t>Cette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s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est tenue 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en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ligne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en raison des 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>restrictions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déplacement et de 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>rassemblement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>liées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>à la pandémie de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COVID</w:t>
      </w:r>
      <w:r w:rsidR="00D57903">
        <w:rPr>
          <w:rFonts w:asciiTheme="minorHAnsi" w:hAnsiTheme="minorHAnsi" w:cstheme="minorHAnsi"/>
          <w:bCs/>
          <w:sz w:val="22"/>
          <w:szCs w:val="22"/>
          <w:lang w:val="fr-FR"/>
        </w:rPr>
        <w:t>-19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>Au nombre des orientations données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>le Comité exécutif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figuraient 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des recommandations au Comité permanent 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>afin de recenser les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questions urgentes 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>à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abord</w:t>
      </w:r>
      <w:r w:rsidR="00197382">
        <w:rPr>
          <w:rFonts w:asciiTheme="minorHAnsi" w:hAnsiTheme="minorHAnsi" w:cstheme="minorHAnsi"/>
          <w:bCs/>
          <w:sz w:val="22"/>
          <w:szCs w:val="22"/>
          <w:lang w:val="fr-FR"/>
        </w:rPr>
        <w:t>er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pendant la réunion compte tenu des contraintes de temps et autres inhérentes à </w:t>
      </w:r>
      <w:r w:rsidR="00C00CBD">
        <w:rPr>
          <w:rFonts w:asciiTheme="minorHAnsi" w:hAnsiTheme="minorHAnsi" w:cstheme="minorHAnsi"/>
          <w:bCs/>
          <w:sz w:val="22"/>
          <w:szCs w:val="22"/>
          <w:lang w:val="fr-FR"/>
        </w:rPr>
        <w:t>cette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virtuelle, des conseils sur </w:t>
      </w:r>
      <w:r w:rsidR="00C00CBD"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’animation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des réunions des différents groupes de travail et des </w:t>
      </w:r>
      <w:r w:rsidR="00C00CBD">
        <w:rPr>
          <w:rFonts w:asciiTheme="minorHAnsi" w:hAnsiTheme="minorHAnsi" w:cstheme="minorHAnsi"/>
          <w:bCs/>
          <w:sz w:val="22"/>
          <w:szCs w:val="22"/>
          <w:lang w:val="fr-FR"/>
        </w:rPr>
        <w:t>avis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sur l</w:t>
      </w:r>
      <w:r w:rsidR="00C00CBD">
        <w:rPr>
          <w:rFonts w:asciiTheme="minorHAnsi" w:hAnsiTheme="minorHAnsi" w:cstheme="minorHAnsi"/>
          <w:bCs/>
          <w:sz w:val="22"/>
          <w:szCs w:val="22"/>
          <w:lang w:val="fr-FR"/>
        </w:rPr>
        <w:t>es moyens de mobiliser</w:t>
      </w:r>
      <w:r w:rsidR="00957C13" w:rsidRPr="00957C1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les membres du Comité permanent</w:t>
      </w:r>
      <w:r w:rsidR="0015336C" w:rsidRPr="003D2201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</w:p>
    <w:p w14:paraId="26D34EE9" w14:textId="77777777" w:rsidR="0015336C" w:rsidRPr="003D2201" w:rsidRDefault="0015336C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62C5461E" w14:textId="3C575D14" w:rsidR="00131FA2" w:rsidRPr="00DE2E50" w:rsidRDefault="00D50230" w:rsidP="00DE2E50">
      <w:pPr>
        <w:overflowPunct w:val="0"/>
        <w:autoSpaceDE w:val="0"/>
        <w:autoSpaceDN w:val="0"/>
        <w:snapToGrid w:val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>3.</w:t>
      </w: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e Comité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exécuti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f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prodigué des conseils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au Secrétariat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sur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es premiers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préparati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fs 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 la 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t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roisième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session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extraordinaire de la Conférence des parties contractantes qui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est tenue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en ligne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du 25 au 29 octobre et le 4 novembre 2021. Ces conseils portaient notamment sur le format et 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ordre du jour de la réunion, </w:t>
      </w:r>
      <w:r w:rsidR="00E21E30">
        <w:rPr>
          <w:rFonts w:asciiTheme="minorHAnsi" w:hAnsiTheme="minorHAnsi" w:cstheme="minorHAnsi"/>
          <w:bCs/>
          <w:sz w:val="22"/>
          <w:szCs w:val="22"/>
          <w:lang w:val="fr-FR"/>
        </w:rPr>
        <w:t>sur l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 consultations régionales et </w:t>
      </w:r>
      <w:r w:rsidR="00E21E3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sur 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>les recommandations visant à assurer la participation pleine et équitable de toutes les Parties contractantes.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 orientations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quant à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organisation et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au 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déroulement de la réunion ont ensuite été </w:t>
      </w:r>
      <w:r w:rsidR="00DE088C">
        <w:rPr>
          <w:rFonts w:asciiTheme="minorHAnsi" w:hAnsiTheme="minorHAnsi" w:cstheme="minorHAnsi"/>
          <w:bCs/>
          <w:sz w:val="22"/>
          <w:szCs w:val="22"/>
          <w:lang w:val="fr-FR"/>
        </w:rPr>
        <w:t>données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le Bureau de la Conférence, conformément à 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article 21, paragraphe 2, du Règlement intérieur </w:t>
      </w:r>
      <w:r w:rsidR="00E21E3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sur les sessions 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>extraordinaires</w:t>
      </w:r>
      <w:r w:rsidR="00E21E3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de la Conférence des Parties contractantes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>. Conformément à 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E21E30">
        <w:rPr>
          <w:rFonts w:asciiTheme="minorHAnsi" w:hAnsiTheme="minorHAnsi" w:cstheme="minorHAnsi"/>
          <w:bCs/>
          <w:sz w:val="22"/>
          <w:szCs w:val="22"/>
          <w:lang w:val="fr-FR"/>
        </w:rPr>
        <w:t>article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25 </w:t>
      </w:r>
      <w:r w:rsidR="00DE2E50" w:rsidRPr="00DE2E50">
        <w:rPr>
          <w:rFonts w:asciiTheme="minorHAnsi" w:hAnsiTheme="minorHAnsi" w:cstheme="minorHAnsi"/>
          <w:bCs/>
          <w:sz w:val="22"/>
          <w:szCs w:val="22"/>
          <w:lang w:val="fr-FR"/>
        </w:rPr>
        <w:t>(a, b</w:t>
      </w:r>
      <w:r w:rsidR="00DE2E50" w:rsidRPr="00DE2E50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footnoteReference w:customMarkFollows="1" w:id="1"/>
        <w:t>[1]</w:t>
      </w:r>
      <w:r w:rsidR="00DE2E50" w:rsidRPr="00DE2E50">
        <w:rPr>
          <w:rFonts w:asciiTheme="minorHAnsi" w:hAnsiTheme="minorHAnsi" w:cstheme="minorHAnsi"/>
          <w:bCs/>
          <w:sz w:val="22"/>
          <w:szCs w:val="22"/>
          <w:lang w:val="fr-FR"/>
        </w:rPr>
        <w:t>)</w:t>
      </w:r>
      <w:r w:rsidR="00DE2E50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>le Bureau de la Conférence s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est réuni une fois par jour </w:t>
      </w:r>
      <w:r w:rsidR="00DE2E50">
        <w:rPr>
          <w:rFonts w:asciiTheme="minorHAnsi" w:hAnsiTheme="minorHAnsi" w:cstheme="minorHAnsi"/>
          <w:bCs/>
          <w:sz w:val="22"/>
          <w:szCs w:val="22"/>
          <w:lang w:val="fr-FR"/>
        </w:rPr>
        <w:t>tout au long e la session</w:t>
      </w:r>
      <w:r w:rsidR="00DE088C" w:rsidRPr="00DE088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examiner les progrès</w:t>
      </w:r>
      <w:r w:rsidR="00131FA2" w:rsidRPr="003D2201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1386F625" w14:textId="08F8F9B5" w:rsidR="004E0DB3" w:rsidRPr="003D2201" w:rsidRDefault="004E0DB3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B9DB771" w14:textId="77777777" w:rsidR="00C63E7B" w:rsidRPr="003D2201" w:rsidRDefault="00C63E7B" w:rsidP="00085EE7">
      <w:pPr>
        <w:ind w:left="426" w:hanging="425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5EC278E8" w14:textId="77777777" w:rsidR="005817F0" w:rsidRDefault="005817F0" w:rsidP="00085EE7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0C10CBF9" w14:textId="607AB6C4" w:rsidR="00090B48" w:rsidRPr="003D2201" w:rsidRDefault="005817F0" w:rsidP="00085EE7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lastRenderedPageBreak/>
        <w:t>T</w:t>
      </w:r>
      <w:r w:rsidRPr="005817F0">
        <w:rPr>
          <w:rFonts w:asciiTheme="minorHAnsi" w:hAnsiTheme="minorHAnsi" w:cstheme="minorHAnsi"/>
          <w:b/>
          <w:bCs/>
          <w:sz w:val="22"/>
          <w:szCs w:val="22"/>
          <w:lang w:val="fr-FR"/>
        </w:rPr>
        <w:t>ravaux réalisés par la présidence du Comité permanent</w:t>
      </w:r>
    </w:p>
    <w:p w14:paraId="7B6DC82D" w14:textId="77777777" w:rsidR="00090B48" w:rsidRPr="003D2201" w:rsidRDefault="00090B48" w:rsidP="00085EE7">
      <w:pPr>
        <w:ind w:left="426" w:hanging="425"/>
        <w:jc w:val="left"/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</w:pPr>
    </w:p>
    <w:p w14:paraId="0B56AA0B" w14:textId="47AC348C" w:rsidR="0052632B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>4</w:t>
      </w:r>
      <w:r w:rsidR="006058B3" w:rsidRPr="003D2201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6058B3" w:rsidRPr="003D2201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Au cours de cette période, l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a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pr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ésiden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ce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dirigé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les réunions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du Comité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exécuti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f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la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59</w:t>
      </w:r>
      <w:r w:rsidR="0052632B" w:rsidRPr="0052632B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Réunion du Comité permanent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(21-25 juin) et les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réunions en ligne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à huis clos du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C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omité permanent (6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octobre et 15 novembre 2021), ainsi que les réunions du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G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roupe de travail sur la gestion (14 juin 2021 et 13 janvier 2022)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lesquelles étaient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en très grande partie 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axées sur les travaux du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G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roupe d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évaluation 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scientifique et technique. </w:t>
      </w:r>
    </w:p>
    <w:p w14:paraId="0A7F01E0" w14:textId="77777777" w:rsidR="00DD473F" w:rsidRPr="003D2201" w:rsidRDefault="00DD473F" w:rsidP="0052632B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221772E" w14:textId="57C77878" w:rsidR="0052632B" w:rsidRDefault="00D50230" w:rsidP="00085EE7">
      <w:pPr>
        <w:ind w:left="426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bCs/>
          <w:sz w:val="22"/>
          <w:szCs w:val="22"/>
          <w:lang w:val="fr-FR"/>
        </w:rPr>
        <w:t>5</w:t>
      </w:r>
      <w:r w:rsidR="00DD473F" w:rsidRPr="003D2201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DD473F" w:rsidRPr="003D2201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La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p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>résiden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ce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également dirigé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troisième </w:t>
      </w:r>
      <w:r w:rsidR="0052632B">
        <w:rPr>
          <w:rFonts w:asciiTheme="minorHAnsi" w:hAnsiTheme="minorHAnsi" w:cstheme="minorHAnsi"/>
          <w:bCs/>
          <w:sz w:val="22"/>
          <w:szCs w:val="22"/>
          <w:lang w:val="fr-FR"/>
        </w:rPr>
        <w:t>session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extraordinaire de la Conférence des Parties contractantes et les réunions quotidiennes du Bureau de la Conférence. </w:t>
      </w:r>
      <w:r w:rsidR="000A16CD">
        <w:rPr>
          <w:rFonts w:asciiTheme="minorHAnsi" w:hAnsiTheme="minorHAnsi" w:cstheme="minorHAnsi"/>
          <w:bCs/>
          <w:sz w:val="22"/>
          <w:szCs w:val="22"/>
          <w:lang w:val="fr-FR"/>
        </w:rPr>
        <w:t>Elle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 fourni des conseils au Secrétariat sur les questions liées </w:t>
      </w:r>
      <w:r w:rsidR="000A16CD">
        <w:rPr>
          <w:rFonts w:asciiTheme="minorHAnsi" w:hAnsiTheme="minorHAnsi" w:cstheme="minorHAnsi"/>
          <w:bCs/>
          <w:sz w:val="22"/>
          <w:szCs w:val="22"/>
          <w:lang w:val="fr-FR"/>
        </w:rPr>
        <w:t>aux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préparati</w:t>
      </w:r>
      <w:r w:rsidR="000A16CD">
        <w:rPr>
          <w:rFonts w:asciiTheme="minorHAnsi" w:hAnsiTheme="minorHAnsi" w:cstheme="minorHAnsi"/>
          <w:bCs/>
          <w:sz w:val="22"/>
          <w:szCs w:val="22"/>
          <w:lang w:val="fr-FR"/>
        </w:rPr>
        <w:t>fs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et à l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administration de cette </w:t>
      </w:r>
      <w:r w:rsidR="00345E9B">
        <w:rPr>
          <w:rFonts w:asciiTheme="minorHAnsi" w:hAnsiTheme="minorHAnsi" w:cstheme="minorHAnsi"/>
          <w:bCs/>
          <w:sz w:val="22"/>
          <w:szCs w:val="22"/>
          <w:lang w:val="fr-FR"/>
        </w:rPr>
        <w:t>session</w:t>
      </w:r>
      <w:r w:rsidR="0052632B" w:rsidRPr="005263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</w:t>
      </w:r>
    </w:p>
    <w:p w14:paraId="1BB980A7" w14:textId="77777777" w:rsidR="00EB6CF2" w:rsidRPr="003D2201" w:rsidRDefault="00EB6CF2" w:rsidP="000A16CD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5FFD0635" w14:textId="7E2416C4" w:rsidR="000A16CD" w:rsidRPr="000A16CD" w:rsidRDefault="00D50230" w:rsidP="000A16CD">
      <w:pPr>
        <w:rPr>
          <w:rFonts w:ascii="Calibri" w:hAnsi="Calibri" w:cs="Calibri"/>
          <w:bCs/>
          <w:sz w:val="22"/>
          <w:szCs w:val="22"/>
          <w:lang w:val="fr-FR"/>
        </w:rPr>
      </w:pPr>
      <w:r w:rsidRPr="003D2201">
        <w:rPr>
          <w:rFonts w:ascii="Calibri" w:hAnsi="Calibri" w:cs="Calibri"/>
          <w:bCs/>
          <w:sz w:val="22"/>
          <w:szCs w:val="22"/>
          <w:lang w:val="fr-FR"/>
        </w:rPr>
        <w:t>6</w:t>
      </w:r>
      <w:r w:rsidR="00EB6CF2" w:rsidRPr="003D2201">
        <w:rPr>
          <w:rFonts w:ascii="Calibri" w:hAnsi="Calibri" w:cs="Calibri"/>
          <w:bCs/>
          <w:sz w:val="22"/>
          <w:szCs w:val="22"/>
          <w:lang w:val="fr-FR"/>
        </w:rPr>
        <w:t xml:space="preserve">. </w:t>
      </w:r>
      <w:r w:rsidR="00EB6CF2" w:rsidRPr="003D2201">
        <w:rPr>
          <w:rFonts w:ascii="Calibri" w:hAnsi="Calibri" w:cs="Calibri"/>
          <w:bCs/>
          <w:sz w:val="22"/>
          <w:szCs w:val="22"/>
          <w:lang w:val="fr-FR"/>
        </w:rPr>
        <w:tab/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L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a p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résiden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ce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 a dirigé et continue de diriger le processus de recrutement du prochain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S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ecrétaire général.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D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ans sa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D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écision SC59-39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, l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e Comité permanent a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convenu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 le 15 novembre 2021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d</w:t>
      </w:r>
      <w:r w:rsidR="00345E9B">
        <w:rPr>
          <w:rFonts w:ascii="Calibri" w:hAnsi="Calibri" w:cs="Calibri"/>
          <w:bCs/>
          <w:sz w:val="22"/>
          <w:szCs w:val="22"/>
          <w:lang w:val="fr-FR"/>
        </w:rPr>
        <w:t>’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établir un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c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omité de sélection pour aider au recrutement du prochain Secrétaire général. 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>C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e comité </w:t>
      </w:r>
      <w:r w:rsidR="00345E9B">
        <w:rPr>
          <w:rFonts w:ascii="Calibri" w:hAnsi="Calibri" w:cs="Calibri"/>
          <w:bCs/>
          <w:sz w:val="22"/>
          <w:szCs w:val="22"/>
          <w:lang w:val="fr-FR"/>
        </w:rPr>
        <w:t>est</w:t>
      </w:r>
      <w:r w:rsidR="000A16CD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composé des membres des Parties contractantes du </w:t>
      </w:r>
      <w:r w:rsidR="00492C72">
        <w:rPr>
          <w:rFonts w:ascii="Calibri" w:hAnsi="Calibri" w:cs="Calibri"/>
          <w:bCs/>
          <w:sz w:val="22"/>
          <w:szCs w:val="22"/>
          <w:lang w:val="fr-FR"/>
        </w:rPr>
        <w:t>G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roupe de travail sur la gestion et de la Chine en tant qu</w:t>
      </w:r>
      <w:r w:rsidR="00345E9B">
        <w:rPr>
          <w:rFonts w:ascii="Calibri" w:hAnsi="Calibri" w:cs="Calibri"/>
          <w:bCs/>
          <w:sz w:val="22"/>
          <w:szCs w:val="22"/>
          <w:lang w:val="fr-FR"/>
        </w:rPr>
        <w:t>’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hôte de la 14</w:t>
      </w:r>
      <w:r w:rsidR="000A16CD" w:rsidRPr="00492C72">
        <w:rPr>
          <w:rFonts w:ascii="Calibri" w:hAnsi="Calibri" w:cs="Calibri"/>
          <w:bCs/>
          <w:sz w:val="22"/>
          <w:szCs w:val="22"/>
          <w:vertAlign w:val="superscript"/>
          <w:lang w:val="fr-FR"/>
        </w:rPr>
        <w:t>e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  <w:r w:rsidR="00492C72">
        <w:rPr>
          <w:rFonts w:ascii="Calibri" w:hAnsi="Calibri" w:cs="Calibri"/>
          <w:bCs/>
          <w:sz w:val="22"/>
          <w:szCs w:val="22"/>
          <w:lang w:val="fr-FR"/>
        </w:rPr>
        <w:t>session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 de la Conférence des Parties contractantes (COP14). </w:t>
      </w:r>
      <w:r w:rsidR="00492C72">
        <w:rPr>
          <w:rFonts w:ascii="Calibri" w:hAnsi="Calibri" w:cs="Calibri"/>
          <w:bCs/>
          <w:sz w:val="22"/>
          <w:szCs w:val="22"/>
          <w:lang w:val="fr-FR"/>
        </w:rPr>
        <w:t>Dans le but d</w:t>
      </w:r>
      <w:r w:rsidR="00345E9B">
        <w:rPr>
          <w:rFonts w:ascii="Calibri" w:hAnsi="Calibri" w:cs="Calibri"/>
          <w:bCs/>
          <w:sz w:val="22"/>
          <w:szCs w:val="22"/>
          <w:lang w:val="fr-FR"/>
        </w:rPr>
        <w:t>’</w:t>
      </w:r>
      <w:r w:rsidR="00492C72">
        <w:rPr>
          <w:rFonts w:ascii="Calibri" w:hAnsi="Calibri" w:cs="Calibri"/>
          <w:bCs/>
          <w:sz w:val="22"/>
          <w:szCs w:val="22"/>
          <w:lang w:val="fr-FR"/>
        </w:rPr>
        <w:t>assurer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 xml:space="preserve"> une meilleure représentation régionale, trois régions (Afrique, Amérique latine et Caraïbes, et Océanie) ont eu la possibilité d</w:t>
      </w:r>
      <w:r w:rsidR="00345E9B">
        <w:rPr>
          <w:rFonts w:ascii="Calibri" w:hAnsi="Calibri" w:cs="Calibri"/>
          <w:bCs/>
          <w:sz w:val="22"/>
          <w:szCs w:val="22"/>
          <w:lang w:val="fr-FR"/>
        </w:rPr>
        <w:t>’</w:t>
      </w:r>
      <w:r w:rsidR="000A16CD" w:rsidRPr="000A16CD">
        <w:rPr>
          <w:rFonts w:ascii="Calibri" w:hAnsi="Calibri" w:cs="Calibri"/>
          <w:bCs/>
          <w:sz w:val="22"/>
          <w:szCs w:val="22"/>
          <w:lang w:val="fr-FR"/>
        </w:rPr>
        <w:t>ajouter un représentant chacune.</w:t>
      </w:r>
    </w:p>
    <w:p w14:paraId="2A8D3CE6" w14:textId="77777777" w:rsidR="00707224" w:rsidRPr="003D2201" w:rsidRDefault="00707224" w:rsidP="00085EE7">
      <w:pPr>
        <w:ind w:left="0" w:firstLine="0"/>
        <w:jc w:val="left"/>
        <w:rPr>
          <w:rFonts w:ascii="Calibri" w:hAnsi="Calibri" w:cs="Calibri"/>
          <w:bCs/>
          <w:sz w:val="22"/>
          <w:szCs w:val="22"/>
          <w:lang w:val="fr-FR"/>
        </w:rPr>
      </w:pPr>
    </w:p>
    <w:p w14:paraId="08456585" w14:textId="6FED1740" w:rsidR="00707224" w:rsidRPr="003D2201" w:rsidRDefault="00D50230" w:rsidP="00085EE7">
      <w:pPr>
        <w:ind w:left="426" w:hanging="425"/>
        <w:jc w:val="left"/>
        <w:rPr>
          <w:rFonts w:ascii="Calibri" w:hAnsi="Calibri" w:cs="Calibri"/>
          <w:sz w:val="22"/>
          <w:szCs w:val="22"/>
          <w:lang w:val="fr-FR"/>
        </w:rPr>
      </w:pPr>
      <w:r w:rsidRPr="003D2201">
        <w:rPr>
          <w:rFonts w:ascii="Calibri" w:hAnsi="Calibri" w:cs="Calibri"/>
          <w:sz w:val="22"/>
          <w:szCs w:val="22"/>
          <w:lang w:val="fr-FR"/>
        </w:rPr>
        <w:t>7</w:t>
      </w:r>
      <w:r w:rsidR="006058B3" w:rsidRPr="003D2201">
        <w:rPr>
          <w:rFonts w:ascii="Calibri" w:hAnsi="Calibri" w:cs="Calibri"/>
          <w:sz w:val="22"/>
          <w:szCs w:val="22"/>
          <w:lang w:val="fr-FR"/>
        </w:rPr>
        <w:t>.</w:t>
      </w:r>
      <w:r w:rsidR="006058B3" w:rsidRPr="003D2201">
        <w:rPr>
          <w:rFonts w:ascii="Calibri" w:hAnsi="Calibri" w:cs="Calibri"/>
          <w:sz w:val="22"/>
          <w:szCs w:val="22"/>
          <w:lang w:val="fr-FR"/>
        </w:rPr>
        <w:tab/>
      </w:r>
      <w:r w:rsidR="00492C72" w:rsidRPr="00492C72">
        <w:rPr>
          <w:rFonts w:ascii="Calibri" w:hAnsi="Calibri" w:cs="Calibri"/>
          <w:sz w:val="22"/>
          <w:szCs w:val="22"/>
          <w:lang w:val="fr-FR"/>
        </w:rPr>
        <w:t>Le comité de sélection s</w:t>
      </w:r>
      <w:r w:rsidR="00345E9B">
        <w:rPr>
          <w:rFonts w:ascii="Calibri" w:hAnsi="Calibri" w:cs="Calibri"/>
          <w:sz w:val="22"/>
          <w:szCs w:val="22"/>
          <w:lang w:val="fr-FR"/>
        </w:rPr>
        <w:t>’</w:t>
      </w:r>
      <w:r w:rsidR="00492C72" w:rsidRPr="00492C72">
        <w:rPr>
          <w:rFonts w:ascii="Calibri" w:hAnsi="Calibri" w:cs="Calibri"/>
          <w:sz w:val="22"/>
          <w:szCs w:val="22"/>
          <w:lang w:val="fr-FR"/>
        </w:rPr>
        <w:t>est réuni le 2 mars</w:t>
      </w:r>
      <w:r w:rsidR="00492C72">
        <w:rPr>
          <w:rFonts w:ascii="Calibri" w:hAnsi="Calibri" w:cs="Calibri"/>
          <w:sz w:val="22"/>
          <w:szCs w:val="22"/>
          <w:lang w:val="fr-FR"/>
        </w:rPr>
        <w:t> ; il</w:t>
      </w:r>
      <w:r w:rsidR="00492C72" w:rsidRPr="00492C72">
        <w:rPr>
          <w:rFonts w:ascii="Calibri" w:hAnsi="Calibri" w:cs="Calibri"/>
          <w:sz w:val="22"/>
          <w:szCs w:val="22"/>
          <w:lang w:val="fr-FR"/>
        </w:rPr>
        <w:t xml:space="preserve"> a approuvé son calendrier </w:t>
      </w:r>
      <w:r w:rsidR="004F7CF6">
        <w:rPr>
          <w:rFonts w:ascii="Calibri" w:hAnsi="Calibri" w:cs="Calibri"/>
          <w:sz w:val="22"/>
          <w:szCs w:val="22"/>
          <w:lang w:val="fr-FR"/>
        </w:rPr>
        <w:t>et les</w:t>
      </w:r>
      <w:r w:rsidR="00492C72" w:rsidRPr="00492C72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492C72">
        <w:rPr>
          <w:rFonts w:ascii="Calibri" w:hAnsi="Calibri" w:cs="Calibri"/>
          <w:sz w:val="22"/>
          <w:szCs w:val="22"/>
          <w:lang w:val="fr-FR"/>
        </w:rPr>
        <w:t>activités au titre du</w:t>
      </w:r>
      <w:r w:rsidR="00492C72" w:rsidRPr="00492C72">
        <w:rPr>
          <w:rFonts w:ascii="Calibri" w:hAnsi="Calibri" w:cs="Calibri"/>
          <w:sz w:val="22"/>
          <w:szCs w:val="22"/>
          <w:lang w:val="fr-FR"/>
        </w:rPr>
        <w:t xml:space="preserve"> processus de recrutement </w:t>
      </w:r>
      <w:r w:rsidR="00492C72">
        <w:rPr>
          <w:rFonts w:ascii="Calibri" w:hAnsi="Calibri" w:cs="Calibri"/>
          <w:sz w:val="22"/>
          <w:szCs w:val="22"/>
          <w:lang w:val="fr-FR"/>
        </w:rPr>
        <w:t>ont démarré</w:t>
      </w:r>
      <w:r w:rsidR="00492C72" w:rsidRPr="00492C72">
        <w:rPr>
          <w:rFonts w:ascii="Calibri" w:hAnsi="Calibri" w:cs="Calibri"/>
          <w:sz w:val="22"/>
          <w:szCs w:val="22"/>
          <w:lang w:val="fr-FR"/>
        </w:rPr>
        <w:t xml:space="preserve"> en conséquence.</w:t>
      </w:r>
    </w:p>
    <w:p w14:paraId="622CF099" w14:textId="77777777" w:rsidR="00707224" w:rsidRPr="003D2201" w:rsidRDefault="00707224" w:rsidP="00085EE7">
      <w:pPr>
        <w:ind w:left="426" w:hanging="425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7BA3724A" w14:textId="3F5F7430" w:rsidR="001C4D6A" w:rsidRPr="004F7CF6" w:rsidRDefault="00707224" w:rsidP="004F7CF6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3D2201">
        <w:rPr>
          <w:rFonts w:asciiTheme="minorHAnsi" w:hAnsiTheme="minorHAnsi" w:cstheme="minorHAnsi"/>
          <w:sz w:val="22"/>
          <w:szCs w:val="22"/>
          <w:lang w:val="fr-FR"/>
        </w:rPr>
        <w:t>8.</w:t>
      </w:r>
      <w:r w:rsidRPr="003D2201">
        <w:rPr>
          <w:rFonts w:asciiTheme="minorHAnsi" w:hAnsiTheme="minorHAnsi" w:cstheme="minorHAnsi"/>
          <w:sz w:val="22"/>
          <w:szCs w:val="22"/>
          <w:lang w:val="fr-FR"/>
        </w:rPr>
        <w:tab/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>L</w:t>
      </w:r>
      <w:r w:rsidR="004F7CF6">
        <w:rPr>
          <w:rFonts w:asciiTheme="minorHAnsi" w:hAnsiTheme="minorHAnsi" w:cstheme="minorHAnsi"/>
          <w:sz w:val="22"/>
          <w:szCs w:val="22"/>
          <w:lang w:val="fr-FR"/>
        </w:rPr>
        <w:t xml:space="preserve">a 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>présiden</w:t>
      </w:r>
      <w:r w:rsidR="004F7CF6">
        <w:rPr>
          <w:rFonts w:asciiTheme="minorHAnsi" w:hAnsiTheme="minorHAnsi" w:cstheme="minorHAnsi"/>
          <w:sz w:val="22"/>
          <w:szCs w:val="22"/>
          <w:lang w:val="fr-FR"/>
        </w:rPr>
        <w:t>ce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 xml:space="preserve"> du Comité permanent a également </w:t>
      </w:r>
      <w:r w:rsidR="00345E9B">
        <w:rPr>
          <w:rFonts w:asciiTheme="minorHAnsi" w:hAnsiTheme="minorHAnsi" w:cstheme="minorHAnsi"/>
          <w:sz w:val="22"/>
          <w:szCs w:val="22"/>
          <w:lang w:val="fr-FR"/>
        </w:rPr>
        <w:t>prodigué</w:t>
      </w:r>
      <w:r w:rsidR="004F7CF6">
        <w:rPr>
          <w:rFonts w:asciiTheme="minorHAnsi" w:hAnsiTheme="minorHAnsi" w:cstheme="minorHAnsi"/>
          <w:sz w:val="22"/>
          <w:szCs w:val="22"/>
          <w:lang w:val="fr-FR"/>
        </w:rPr>
        <w:t xml:space="preserve"> des conseils à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 xml:space="preserve"> la Secrétaire générale sur des questions administratives, à sa demande, et a procédé à l</w:t>
      </w:r>
      <w:r w:rsidR="00345E9B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>évaluation annuelle de la Secrétaire générale au cours du premier trimestre de l</w:t>
      </w:r>
      <w:r w:rsidR="00345E9B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 xml:space="preserve">année, conformément aux </w:t>
      </w:r>
      <w:r w:rsidR="004F7CF6">
        <w:rPr>
          <w:rFonts w:asciiTheme="minorHAnsi" w:hAnsiTheme="minorHAnsi" w:cstheme="minorHAnsi"/>
          <w:sz w:val="22"/>
          <w:szCs w:val="22"/>
          <w:lang w:val="fr-FR"/>
        </w:rPr>
        <w:t>r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>ègles et procédures de l</w:t>
      </w:r>
      <w:r w:rsidR="00345E9B">
        <w:rPr>
          <w:rFonts w:asciiTheme="minorHAnsi" w:hAnsiTheme="minorHAnsi" w:cstheme="minorHAnsi"/>
          <w:sz w:val="22"/>
          <w:szCs w:val="22"/>
          <w:lang w:val="fr-FR"/>
        </w:rPr>
        <w:t>’</w:t>
      </w:r>
      <w:r w:rsidR="004F7CF6" w:rsidRPr="004F7CF6">
        <w:rPr>
          <w:rFonts w:asciiTheme="minorHAnsi" w:hAnsiTheme="minorHAnsi" w:cstheme="minorHAnsi"/>
          <w:sz w:val="22"/>
          <w:szCs w:val="22"/>
          <w:lang w:val="fr-FR"/>
        </w:rPr>
        <w:t>UICN</w:t>
      </w:r>
      <w:r w:rsidR="004F7CF6">
        <w:rPr>
          <w:rFonts w:asciiTheme="minorHAnsi" w:hAnsiTheme="minorHAnsi" w:cstheme="minorHAnsi"/>
          <w:sz w:val="22"/>
          <w:szCs w:val="22"/>
          <w:lang w:val="fr-FR"/>
        </w:rPr>
        <w:t>.</w:t>
      </w:r>
    </w:p>
    <w:sectPr w:rsidR="001C4D6A" w:rsidRPr="004F7CF6" w:rsidSect="006058B3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1FE2" w14:textId="77777777" w:rsidR="003522BF" w:rsidRDefault="003522BF" w:rsidP="006058B3">
      <w:r>
        <w:separator/>
      </w:r>
    </w:p>
  </w:endnote>
  <w:endnote w:type="continuationSeparator" w:id="0">
    <w:p w14:paraId="4B8622B4" w14:textId="77777777" w:rsidR="003522BF" w:rsidRDefault="003522BF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3870" w14:textId="143E2F13" w:rsidR="006058B3" w:rsidRPr="009961FC" w:rsidRDefault="00AE6055">
    <w:pPr>
      <w:pStyle w:val="Footer"/>
      <w:rPr>
        <w:rFonts w:ascii="Calibri" w:hAnsi="Calibri" w:cs="Calibri"/>
        <w:sz w:val="20"/>
        <w:szCs w:val="20"/>
      </w:rPr>
    </w:pPr>
    <w:r w:rsidRPr="009961FC">
      <w:rPr>
        <w:rFonts w:ascii="Calibri" w:hAnsi="Calibri" w:cs="Calibri"/>
        <w:sz w:val="20"/>
        <w:szCs w:val="20"/>
      </w:rPr>
      <w:t>SC59</w:t>
    </w:r>
    <w:r w:rsidR="0015336C" w:rsidRPr="009961FC">
      <w:rPr>
        <w:rFonts w:ascii="Calibri" w:hAnsi="Calibri" w:cs="Calibri"/>
        <w:sz w:val="20"/>
        <w:szCs w:val="20"/>
      </w:rPr>
      <w:t>/2022</w:t>
    </w:r>
    <w:r w:rsidRPr="009961FC">
      <w:rPr>
        <w:rFonts w:ascii="Calibri" w:hAnsi="Calibri" w:cs="Calibri"/>
        <w:sz w:val="20"/>
        <w:szCs w:val="20"/>
      </w:rPr>
      <w:t xml:space="preserve"> Doc.</w:t>
    </w:r>
    <w:r w:rsidR="00967BF4" w:rsidRPr="009961FC">
      <w:rPr>
        <w:rFonts w:ascii="Calibri" w:hAnsi="Calibri" w:cs="Calibri"/>
        <w:sz w:val="20"/>
        <w:szCs w:val="20"/>
      </w:rPr>
      <w:t>5</w:t>
    </w:r>
    <w:r w:rsidR="006058B3" w:rsidRPr="009961FC">
      <w:rPr>
        <w:rFonts w:ascii="Calibri" w:hAnsi="Calibri" w:cs="Calibri"/>
        <w:sz w:val="20"/>
        <w:szCs w:val="20"/>
      </w:rPr>
      <w:tab/>
    </w:r>
    <w:r w:rsidR="006058B3" w:rsidRPr="009961FC">
      <w:rPr>
        <w:rFonts w:ascii="Calibri" w:hAnsi="Calibri" w:cs="Calibri"/>
        <w:sz w:val="20"/>
        <w:szCs w:val="20"/>
      </w:rPr>
      <w:tab/>
    </w:r>
    <w:r w:rsidR="006058B3" w:rsidRPr="009961FC">
      <w:rPr>
        <w:rFonts w:ascii="Calibri" w:hAnsi="Calibri" w:cs="Calibri"/>
        <w:sz w:val="20"/>
        <w:szCs w:val="20"/>
      </w:rPr>
      <w:fldChar w:fldCharType="begin"/>
    </w:r>
    <w:r w:rsidR="006058B3" w:rsidRPr="009961FC">
      <w:rPr>
        <w:rFonts w:ascii="Calibri" w:hAnsi="Calibri" w:cs="Calibri"/>
        <w:sz w:val="20"/>
        <w:szCs w:val="20"/>
      </w:rPr>
      <w:instrText xml:space="preserve"> PAGE   \* MERGEFORMAT </w:instrText>
    </w:r>
    <w:r w:rsidR="006058B3" w:rsidRPr="009961FC">
      <w:rPr>
        <w:rFonts w:ascii="Calibri" w:hAnsi="Calibri" w:cs="Calibri"/>
        <w:sz w:val="20"/>
        <w:szCs w:val="20"/>
      </w:rPr>
      <w:fldChar w:fldCharType="separate"/>
    </w:r>
    <w:r w:rsidR="008B39F1">
      <w:rPr>
        <w:rFonts w:ascii="Calibri" w:hAnsi="Calibri" w:cs="Calibri"/>
        <w:noProof/>
        <w:sz w:val="20"/>
        <w:szCs w:val="20"/>
      </w:rPr>
      <w:t>2</w:t>
    </w:r>
    <w:r w:rsidR="006058B3" w:rsidRPr="009961FC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2342" w14:textId="77777777" w:rsidR="003522BF" w:rsidRDefault="003522BF" w:rsidP="006058B3">
      <w:r>
        <w:separator/>
      </w:r>
    </w:p>
  </w:footnote>
  <w:footnote w:type="continuationSeparator" w:id="0">
    <w:p w14:paraId="19206389" w14:textId="77777777" w:rsidR="003522BF" w:rsidRDefault="003522BF" w:rsidP="006058B3">
      <w:r>
        <w:continuationSeparator/>
      </w:r>
    </w:p>
  </w:footnote>
  <w:footnote w:id="1">
    <w:p w14:paraId="6B5D131F" w14:textId="3C113F14" w:rsidR="00DE2E50" w:rsidRPr="00DE2E50" w:rsidRDefault="00DE2E50" w:rsidP="008B39F1">
      <w:pPr>
        <w:pStyle w:val="FootnoteText"/>
        <w:ind w:left="0" w:firstLine="0"/>
        <w:jc w:val="left"/>
        <w:rPr>
          <w:lang w:val="fr-FR"/>
        </w:rPr>
      </w:pPr>
      <w:bookmarkStart w:id="1" w:name="_GoBack"/>
      <w:r w:rsidRPr="008B39F1">
        <w:rPr>
          <w:rStyle w:val="FootnoteReference"/>
          <w:sz w:val="22"/>
          <w:szCs w:val="22"/>
          <w:lang w:val="fr-FR"/>
        </w:rPr>
        <w:t>[1]</w:t>
      </w:r>
      <w:r w:rsidRPr="008B39F1">
        <w:rPr>
          <w:lang w:val="fr-FR"/>
        </w:rPr>
        <w:t xml:space="preserve"> </w:t>
      </w:r>
      <w:r w:rsidRPr="00DE2E50">
        <w:rPr>
          <w:rFonts w:asciiTheme="minorHAnsi" w:hAnsiTheme="minorHAnsi" w:cstheme="minorHAnsi"/>
          <w:lang w:val="fr-FR"/>
        </w:rPr>
        <w:t>Les observateurs permanents au Comité permanent peuvent assister aux réunions du Bureau de la Conférence, sauf objection de toute Partie contractante.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FD"/>
    <w:rsid w:val="000054C2"/>
    <w:rsid w:val="000206E7"/>
    <w:rsid w:val="00022A0A"/>
    <w:rsid w:val="000250FF"/>
    <w:rsid w:val="000267EF"/>
    <w:rsid w:val="00027DBC"/>
    <w:rsid w:val="00046B52"/>
    <w:rsid w:val="00065171"/>
    <w:rsid w:val="00065B8F"/>
    <w:rsid w:val="00076CE7"/>
    <w:rsid w:val="00085EE7"/>
    <w:rsid w:val="00090B48"/>
    <w:rsid w:val="00091474"/>
    <w:rsid w:val="000A16CD"/>
    <w:rsid w:val="000C7A56"/>
    <w:rsid w:val="000E637A"/>
    <w:rsid w:val="00131FA2"/>
    <w:rsid w:val="00144492"/>
    <w:rsid w:val="001529FF"/>
    <w:rsid w:val="0015336C"/>
    <w:rsid w:val="00155904"/>
    <w:rsid w:val="00197382"/>
    <w:rsid w:val="001B6F33"/>
    <w:rsid w:val="001C341F"/>
    <w:rsid w:val="001C4D6A"/>
    <w:rsid w:val="0022737C"/>
    <w:rsid w:val="002314AC"/>
    <w:rsid w:val="0025233F"/>
    <w:rsid w:val="00295E57"/>
    <w:rsid w:val="002A28D6"/>
    <w:rsid w:val="002F22EE"/>
    <w:rsid w:val="002F4875"/>
    <w:rsid w:val="00303D77"/>
    <w:rsid w:val="00305218"/>
    <w:rsid w:val="00307B7E"/>
    <w:rsid w:val="003149A3"/>
    <w:rsid w:val="00317FDC"/>
    <w:rsid w:val="00345E9B"/>
    <w:rsid w:val="003501A9"/>
    <w:rsid w:val="003522BF"/>
    <w:rsid w:val="00354D36"/>
    <w:rsid w:val="00372F58"/>
    <w:rsid w:val="003D2201"/>
    <w:rsid w:val="003F53DD"/>
    <w:rsid w:val="00443985"/>
    <w:rsid w:val="00470DB8"/>
    <w:rsid w:val="00491BEE"/>
    <w:rsid w:val="00492C72"/>
    <w:rsid w:val="004E0DB3"/>
    <w:rsid w:val="004F7BE5"/>
    <w:rsid w:val="004F7CF6"/>
    <w:rsid w:val="005078BB"/>
    <w:rsid w:val="0051038A"/>
    <w:rsid w:val="0052632B"/>
    <w:rsid w:val="00535F9D"/>
    <w:rsid w:val="005535F2"/>
    <w:rsid w:val="005653D8"/>
    <w:rsid w:val="005817F0"/>
    <w:rsid w:val="005855E2"/>
    <w:rsid w:val="00594ED0"/>
    <w:rsid w:val="005C7B28"/>
    <w:rsid w:val="005D106B"/>
    <w:rsid w:val="005F0C8D"/>
    <w:rsid w:val="006058B3"/>
    <w:rsid w:val="00610E89"/>
    <w:rsid w:val="006320E6"/>
    <w:rsid w:val="00634417"/>
    <w:rsid w:val="00644C1D"/>
    <w:rsid w:val="00686267"/>
    <w:rsid w:val="006978F0"/>
    <w:rsid w:val="006A7C44"/>
    <w:rsid w:val="006B72AF"/>
    <w:rsid w:val="006D3C88"/>
    <w:rsid w:val="006E3B93"/>
    <w:rsid w:val="006F30DC"/>
    <w:rsid w:val="006F3186"/>
    <w:rsid w:val="006F48CA"/>
    <w:rsid w:val="00707224"/>
    <w:rsid w:val="00750225"/>
    <w:rsid w:val="007557D5"/>
    <w:rsid w:val="0075712F"/>
    <w:rsid w:val="00773024"/>
    <w:rsid w:val="00780AFD"/>
    <w:rsid w:val="00795C6E"/>
    <w:rsid w:val="007F7F60"/>
    <w:rsid w:val="00853A4C"/>
    <w:rsid w:val="00857CD6"/>
    <w:rsid w:val="00873BE1"/>
    <w:rsid w:val="0089103F"/>
    <w:rsid w:val="008952D7"/>
    <w:rsid w:val="008A1B89"/>
    <w:rsid w:val="008B39F1"/>
    <w:rsid w:val="008C1D57"/>
    <w:rsid w:val="008C2764"/>
    <w:rsid w:val="008D0D24"/>
    <w:rsid w:val="008D1611"/>
    <w:rsid w:val="008F2E14"/>
    <w:rsid w:val="008F72BF"/>
    <w:rsid w:val="00910559"/>
    <w:rsid w:val="00921C07"/>
    <w:rsid w:val="00956B48"/>
    <w:rsid w:val="00957C13"/>
    <w:rsid w:val="009603AF"/>
    <w:rsid w:val="00960912"/>
    <w:rsid w:val="00967BF4"/>
    <w:rsid w:val="00973990"/>
    <w:rsid w:val="0097657A"/>
    <w:rsid w:val="009961FC"/>
    <w:rsid w:val="009978A7"/>
    <w:rsid w:val="009A4362"/>
    <w:rsid w:val="009B769F"/>
    <w:rsid w:val="009C24AD"/>
    <w:rsid w:val="009C4474"/>
    <w:rsid w:val="009C6711"/>
    <w:rsid w:val="009D3818"/>
    <w:rsid w:val="009D3A3C"/>
    <w:rsid w:val="00A32562"/>
    <w:rsid w:val="00A52A09"/>
    <w:rsid w:val="00A61167"/>
    <w:rsid w:val="00AA2EDD"/>
    <w:rsid w:val="00AC138B"/>
    <w:rsid w:val="00AC56C4"/>
    <w:rsid w:val="00AE6055"/>
    <w:rsid w:val="00AE7B3F"/>
    <w:rsid w:val="00AF25A0"/>
    <w:rsid w:val="00B02590"/>
    <w:rsid w:val="00B0440F"/>
    <w:rsid w:val="00B73411"/>
    <w:rsid w:val="00B9629C"/>
    <w:rsid w:val="00BB2E67"/>
    <w:rsid w:val="00BC5325"/>
    <w:rsid w:val="00C00CBD"/>
    <w:rsid w:val="00C32315"/>
    <w:rsid w:val="00C36260"/>
    <w:rsid w:val="00C42E53"/>
    <w:rsid w:val="00C63E7B"/>
    <w:rsid w:val="00C648EB"/>
    <w:rsid w:val="00CA5CD6"/>
    <w:rsid w:val="00CB2EBD"/>
    <w:rsid w:val="00CB40BA"/>
    <w:rsid w:val="00D04785"/>
    <w:rsid w:val="00D37C9C"/>
    <w:rsid w:val="00D47D43"/>
    <w:rsid w:val="00D50230"/>
    <w:rsid w:val="00D57903"/>
    <w:rsid w:val="00D96CBB"/>
    <w:rsid w:val="00DD473F"/>
    <w:rsid w:val="00DE088C"/>
    <w:rsid w:val="00DE2E50"/>
    <w:rsid w:val="00DF3152"/>
    <w:rsid w:val="00E06E63"/>
    <w:rsid w:val="00E21E30"/>
    <w:rsid w:val="00E414F9"/>
    <w:rsid w:val="00E70C14"/>
    <w:rsid w:val="00E74FFF"/>
    <w:rsid w:val="00E9062A"/>
    <w:rsid w:val="00E95E62"/>
    <w:rsid w:val="00EB511D"/>
    <w:rsid w:val="00EB6CF2"/>
    <w:rsid w:val="00EF4CF6"/>
    <w:rsid w:val="00F00776"/>
    <w:rsid w:val="00F16DB7"/>
    <w:rsid w:val="00F1700C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0" ma:contentTypeDescription="Create a new document." ma:contentTypeScope="" ma:versionID="40fbab5a3390233354d1d19905a21a2b">
  <xsd:schema xmlns:xsd="http://www.w3.org/2001/XMLSchema" xmlns:xs="http://www.w3.org/2001/XMLSchema" xmlns:p="http://schemas.microsoft.com/office/2006/metadata/properties" xmlns:ns3="8c0b6b05-eb82-4bda-97e8-cd82d0d6b453" targetNamespace="http://schemas.microsoft.com/office/2006/metadata/properties" ma:root="true" ma:fieldsID="30c1fdeb8c2cfcff55d0f529bd9cc16e" ns3:_="">
    <xsd:import namespace="8c0b6b05-eb82-4bda-97e8-cd82d0d6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98E7-332B-4D90-9D8B-CF870E6E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F4904-B7CF-401E-BE23-00A1E7FFE92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0b6b05-eb82-4bda-97e8-cd82d0d6b4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69C6EF-8337-4366-BB04-46207BBF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2</cp:revision>
  <dcterms:created xsi:type="dcterms:W3CDTF">2022-04-05T10:54:00Z</dcterms:created>
  <dcterms:modified xsi:type="dcterms:W3CDTF">2022-04-05T10:54:00Z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