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2911A" w14:textId="77777777" w:rsidR="000F1B8C" w:rsidRPr="00C25CE5" w:rsidRDefault="000F1B8C" w:rsidP="000F1B8C">
      <w:pPr>
        <w:pBdr>
          <w:top w:val="single" w:sz="12" w:space="0" w:color="auto" w:shadow="1"/>
          <w:left w:val="single" w:sz="12" w:space="4" w:color="auto" w:shadow="1"/>
          <w:bottom w:val="single" w:sz="12" w:space="1" w:color="auto" w:shadow="1"/>
          <w:right w:val="single" w:sz="12" w:space="0" w:color="auto" w:shadow="1"/>
        </w:pBdr>
        <w:ind w:right="2790"/>
        <w:jc w:val="both"/>
        <w:rPr>
          <w:rFonts w:cstheme="minorHAnsi"/>
          <w:bCs/>
          <w:lang w:val="fr-CH"/>
        </w:rPr>
      </w:pPr>
      <w:r w:rsidRPr="00C25CE5">
        <w:rPr>
          <w:rFonts w:cstheme="minorHAnsi"/>
          <w:bCs/>
          <w:lang w:val="fr-CH"/>
        </w:rPr>
        <w:t xml:space="preserve">CONVENTION </w:t>
      </w:r>
      <w:r>
        <w:rPr>
          <w:rFonts w:cstheme="minorHAnsi"/>
          <w:bCs/>
          <w:lang w:val="fr-CH"/>
        </w:rPr>
        <w:t>SUR LES ZONES HUMIDES</w:t>
      </w:r>
    </w:p>
    <w:p w14:paraId="3031371E" w14:textId="77777777" w:rsidR="000F1B8C" w:rsidRDefault="000F1B8C" w:rsidP="000F1B8C">
      <w:pPr>
        <w:pBdr>
          <w:top w:val="single" w:sz="12" w:space="0" w:color="auto" w:shadow="1"/>
          <w:left w:val="single" w:sz="12" w:space="4" w:color="auto" w:shadow="1"/>
          <w:bottom w:val="single" w:sz="12" w:space="1" w:color="auto" w:shadow="1"/>
          <w:right w:val="single" w:sz="12" w:space="0" w:color="auto" w:shadow="1"/>
        </w:pBdr>
        <w:ind w:right="2790"/>
        <w:jc w:val="both"/>
        <w:rPr>
          <w:rFonts w:cstheme="minorHAnsi"/>
          <w:bCs/>
          <w:lang w:val="fr-CH"/>
        </w:rPr>
      </w:pPr>
      <w:r w:rsidRPr="00C25CE5">
        <w:rPr>
          <w:rFonts w:cstheme="minorHAnsi"/>
          <w:bCs/>
          <w:lang w:val="fr-CH"/>
        </w:rPr>
        <w:t>59</w:t>
      </w:r>
      <w:r w:rsidRPr="00560F49">
        <w:rPr>
          <w:rFonts w:cstheme="minorHAnsi"/>
          <w:bCs/>
          <w:vertAlign w:val="superscript"/>
          <w:lang w:val="fr-CH"/>
        </w:rPr>
        <w:t>e</w:t>
      </w:r>
      <w:r>
        <w:rPr>
          <w:rFonts w:cstheme="minorHAnsi"/>
          <w:bCs/>
          <w:lang w:val="fr-CH"/>
        </w:rPr>
        <w:t xml:space="preserve"> Réunion du Comité permanent</w:t>
      </w:r>
    </w:p>
    <w:p w14:paraId="6785860F" w14:textId="2F37B20E" w:rsidR="000F1B8C" w:rsidRPr="00C25CE5" w:rsidRDefault="000F1B8C" w:rsidP="000F1B8C">
      <w:pPr>
        <w:pBdr>
          <w:top w:val="single" w:sz="12" w:space="0" w:color="auto" w:shadow="1"/>
          <w:left w:val="single" w:sz="12" w:space="4" w:color="auto" w:shadow="1"/>
          <w:bottom w:val="single" w:sz="12" w:space="1" w:color="auto" w:shadow="1"/>
          <w:right w:val="single" w:sz="12" w:space="0" w:color="auto" w:shadow="1"/>
        </w:pBdr>
        <w:ind w:right="2790"/>
        <w:jc w:val="both"/>
        <w:rPr>
          <w:rFonts w:cstheme="minorHAnsi"/>
          <w:bCs/>
          <w:lang w:val="fr-CH"/>
        </w:rPr>
      </w:pPr>
      <w:r>
        <w:rPr>
          <w:rFonts w:cstheme="minorHAnsi"/>
          <w:bCs/>
          <w:lang w:val="fr-CH"/>
        </w:rPr>
        <w:t>Reprise de séance</w:t>
      </w:r>
      <w:r w:rsidRPr="00C25CE5">
        <w:rPr>
          <w:rFonts w:cstheme="minorHAnsi"/>
          <w:bCs/>
          <w:lang w:val="fr-CH"/>
        </w:rPr>
        <w:t xml:space="preserve"> </w:t>
      </w:r>
    </w:p>
    <w:p w14:paraId="0874D1C8" w14:textId="22BB2F4B" w:rsidR="000F1B8C" w:rsidRPr="00C25CE5" w:rsidRDefault="000F1B8C" w:rsidP="000F1B8C">
      <w:pPr>
        <w:pBdr>
          <w:top w:val="single" w:sz="12" w:space="0" w:color="auto" w:shadow="1"/>
          <w:left w:val="single" w:sz="12" w:space="4" w:color="auto" w:shadow="1"/>
          <w:bottom w:val="single" w:sz="12" w:space="1" w:color="auto" w:shadow="1"/>
          <w:right w:val="single" w:sz="12" w:space="0" w:color="auto" w:shadow="1"/>
        </w:pBdr>
        <w:ind w:right="2790"/>
        <w:jc w:val="both"/>
        <w:rPr>
          <w:rFonts w:cstheme="minorHAnsi"/>
          <w:bCs/>
          <w:lang w:val="fr-CH"/>
        </w:rPr>
      </w:pPr>
      <w:r w:rsidRPr="00C25CE5">
        <w:rPr>
          <w:rFonts w:cstheme="minorHAnsi"/>
          <w:bCs/>
          <w:lang w:val="fr-CH"/>
        </w:rPr>
        <w:t xml:space="preserve">Gland, </w:t>
      </w:r>
      <w:r>
        <w:rPr>
          <w:rFonts w:cstheme="minorHAnsi"/>
          <w:bCs/>
          <w:lang w:val="fr-CH"/>
        </w:rPr>
        <w:t>Suisse</w:t>
      </w:r>
      <w:r w:rsidRPr="00C25CE5">
        <w:rPr>
          <w:rFonts w:cstheme="minorHAnsi"/>
          <w:bCs/>
          <w:lang w:val="fr-CH"/>
        </w:rPr>
        <w:t>, 2</w:t>
      </w:r>
      <w:r>
        <w:rPr>
          <w:rFonts w:cstheme="minorHAnsi"/>
          <w:bCs/>
          <w:lang w:val="fr-CH"/>
        </w:rPr>
        <w:t>3 au 27 mai</w:t>
      </w:r>
      <w:r w:rsidRPr="00C25CE5">
        <w:rPr>
          <w:rFonts w:cstheme="minorHAnsi"/>
          <w:bCs/>
          <w:lang w:val="fr-CH"/>
        </w:rPr>
        <w:t xml:space="preserve"> 2022</w:t>
      </w:r>
    </w:p>
    <w:p w14:paraId="04A0A174" w14:textId="77777777" w:rsidR="000F1B8C" w:rsidRPr="00C25CE5" w:rsidRDefault="000F1B8C" w:rsidP="000F1B8C">
      <w:pPr>
        <w:rPr>
          <w:rFonts w:cstheme="minorHAnsi"/>
          <w:b/>
          <w:sz w:val="28"/>
          <w:szCs w:val="28"/>
          <w:lang w:val="fr-CH"/>
        </w:rPr>
      </w:pPr>
    </w:p>
    <w:p w14:paraId="3F1F4573" w14:textId="1243BCE3" w:rsidR="000F1B8C" w:rsidRDefault="000F1B8C" w:rsidP="000F1B8C">
      <w:pPr>
        <w:widowControl/>
        <w:jc w:val="right"/>
        <w:rPr>
          <w:rFonts w:asciiTheme="minorHAnsi" w:hAnsiTheme="minorHAnsi" w:cstheme="minorHAnsi"/>
          <w:b/>
          <w:sz w:val="28"/>
          <w:szCs w:val="28"/>
          <w:lang w:val="fr-CH"/>
        </w:rPr>
      </w:pPr>
      <w:r>
        <w:rPr>
          <w:rFonts w:asciiTheme="minorHAnsi" w:hAnsiTheme="minorHAnsi" w:cstheme="minorHAnsi"/>
          <w:b/>
          <w:sz w:val="28"/>
          <w:szCs w:val="28"/>
          <w:lang w:val="fr-CH"/>
        </w:rPr>
        <w:t>SC59/2022 Com.2</w:t>
      </w:r>
    </w:p>
    <w:p w14:paraId="0ABFE351" w14:textId="77777777" w:rsidR="000F1B8C" w:rsidRDefault="000F1B8C" w:rsidP="000F1B8C">
      <w:pPr>
        <w:widowControl/>
        <w:jc w:val="center"/>
        <w:rPr>
          <w:rFonts w:asciiTheme="minorHAnsi" w:hAnsiTheme="minorHAnsi" w:cstheme="minorHAnsi"/>
          <w:b/>
          <w:sz w:val="28"/>
          <w:szCs w:val="28"/>
          <w:lang w:val="fr-CH"/>
        </w:rPr>
      </w:pPr>
    </w:p>
    <w:p w14:paraId="7E6EC8DC" w14:textId="2DB819BB" w:rsidR="005E3F07" w:rsidRPr="001F4456" w:rsidRDefault="000F77DA" w:rsidP="000F1B8C">
      <w:pPr>
        <w:widowControl/>
        <w:jc w:val="center"/>
        <w:rPr>
          <w:rFonts w:asciiTheme="minorHAnsi" w:hAnsiTheme="minorHAnsi" w:cstheme="minorHAnsi"/>
          <w:b/>
          <w:sz w:val="28"/>
          <w:szCs w:val="28"/>
          <w:lang w:val="fr-CH"/>
        </w:rPr>
      </w:pPr>
      <w:r w:rsidRPr="001F4456">
        <w:rPr>
          <w:rFonts w:asciiTheme="minorHAnsi" w:hAnsiTheme="minorHAnsi" w:cstheme="minorHAnsi"/>
          <w:b/>
          <w:sz w:val="28"/>
          <w:szCs w:val="28"/>
          <w:lang w:val="fr-CH"/>
        </w:rPr>
        <w:t>R</w:t>
      </w:r>
      <w:r w:rsidR="001F4456">
        <w:rPr>
          <w:rFonts w:asciiTheme="minorHAnsi" w:hAnsiTheme="minorHAnsi" w:cstheme="minorHAnsi"/>
          <w:b/>
          <w:sz w:val="28"/>
          <w:szCs w:val="28"/>
          <w:lang w:val="fr-CH"/>
        </w:rPr>
        <w:t>apport du Sous-groupe sur les finances, 23 mai 2022</w:t>
      </w:r>
    </w:p>
    <w:p w14:paraId="128008D0" w14:textId="77777777" w:rsidR="00641B45" w:rsidRPr="001F4456" w:rsidRDefault="00641B45" w:rsidP="00711D36">
      <w:pPr>
        <w:pStyle w:val="BodyText"/>
        <w:widowControl/>
        <w:rPr>
          <w:rFonts w:asciiTheme="minorHAnsi" w:hAnsiTheme="minorHAnsi" w:cstheme="minorHAnsi"/>
          <w:b/>
          <w:sz w:val="28"/>
          <w:szCs w:val="28"/>
          <w:lang w:val="fr-CH"/>
        </w:rPr>
      </w:pPr>
    </w:p>
    <w:p w14:paraId="1227D19A" w14:textId="77777777" w:rsidR="008E1AA5" w:rsidRPr="001F4456" w:rsidRDefault="008E1AA5" w:rsidP="00711D36">
      <w:pPr>
        <w:pStyle w:val="BodyText"/>
        <w:widowControl/>
        <w:rPr>
          <w:rFonts w:asciiTheme="minorHAnsi" w:hAnsiTheme="minorHAnsi" w:cstheme="minorHAnsi"/>
          <w:b/>
          <w:lang w:val="fr-CH"/>
        </w:rPr>
      </w:pPr>
    </w:p>
    <w:p w14:paraId="7935E27F" w14:textId="25330F41" w:rsidR="009F5EF8" w:rsidRPr="001F4456" w:rsidRDefault="001F4456" w:rsidP="00711D36">
      <w:pPr>
        <w:rPr>
          <w:i/>
          <w:lang w:val="fr-CH"/>
        </w:rPr>
      </w:pPr>
      <w:r>
        <w:rPr>
          <w:i/>
          <w:lang w:val="fr-CH"/>
        </w:rPr>
        <w:t>Le Rapport contient les recommandations</w:t>
      </w:r>
      <w:r w:rsidR="00310F61">
        <w:rPr>
          <w:i/>
          <w:lang w:val="fr-CH"/>
        </w:rPr>
        <w:t>,</w:t>
      </w:r>
      <w:r>
        <w:rPr>
          <w:i/>
          <w:lang w:val="fr-CH"/>
        </w:rPr>
        <w:t xml:space="preserve"> pour examen par le Comité permanent</w:t>
      </w:r>
      <w:r w:rsidR="00310F61">
        <w:rPr>
          <w:i/>
          <w:lang w:val="fr-CH"/>
        </w:rPr>
        <w:t>,</w:t>
      </w:r>
      <w:r>
        <w:rPr>
          <w:i/>
          <w:lang w:val="fr-CH"/>
        </w:rPr>
        <w:t xml:space="preserve"> qui ont été faites à la </w:t>
      </w:r>
      <w:r w:rsidR="000F1B8C">
        <w:rPr>
          <w:i/>
          <w:lang w:val="fr-CH"/>
        </w:rPr>
        <w:t>réunion</w:t>
      </w:r>
      <w:r>
        <w:rPr>
          <w:i/>
          <w:lang w:val="fr-CH"/>
        </w:rPr>
        <w:t xml:space="preserve"> du Sous</w:t>
      </w:r>
      <w:r>
        <w:rPr>
          <w:i/>
          <w:lang w:val="fr-CH"/>
        </w:rPr>
        <w:noBreakHyphen/>
        <w:t>groupe sur les finances, le 23 mai 2022. Si nécessaire, le Sous</w:t>
      </w:r>
      <w:r>
        <w:rPr>
          <w:i/>
          <w:lang w:val="fr-CH"/>
        </w:rPr>
        <w:noBreakHyphen/>
        <w:t xml:space="preserve">groupe se réunira à nouveau au cours de la semaine </w:t>
      </w:r>
      <w:r w:rsidR="000F1B8C">
        <w:rPr>
          <w:i/>
          <w:lang w:val="fr-CH"/>
        </w:rPr>
        <w:t xml:space="preserve">pour examiner toute question issue des discussions </w:t>
      </w:r>
      <w:r>
        <w:rPr>
          <w:i/>
          <w:lang w:val="fr-CH"/>
        </w:rPr>
        <w:t>du Comité permanent</w:t>
      </w:r>
      <w:r w:rsidR="000F1B8C">
        <w:rPr>
          <w:i/>
          <w:lang w:val="fr-CH"/>
        </w:rPr>
        <w:t>. Le rapport révisé, avec les recommandations adressées au Comité permanent sur ces questions</w:t>
      </w:r>
      <w:r w:rsidR="009D079C">
        <w:rPr>
          <w:i/>
          <w:lang w:val="fr-CH"/>
        </w:rPr>
        <w:t>,</w:t>
      </w:r>
      <w:r w:rsidR="000F1B8C">
        <w:rPr>
          <w:i/>
          <w:lang w:val="fr-CH"/>
        </w:rPr>
        <w:t xml:space="preserve"> sera intégré</w:t>
      </w:r>
      <w:r w:rsidR="009D079C">
        <w:rPr>
          <w:i/>
          <w:lang w:val="fr-CH"/>
        </w:rPr>
        <w:t xml:space="preserve"> au rapport final de la réunion.</w:t>
      </w:r>
      <w:r>
        <w:rPr>
          <w:i/>
          <w:lang w:val="fr-CH"/>
        </w:rPr>
        <w:t xml:space="preserve"> </w:t>
      </w:r>
    </w:p>
    <w:p w14:paraId="1F111673" w14:textId="4BAEC739" w:rsidR="0002451C" w:rsidRPr="001F4456" w:rsidRDefault="0002451C" w:rsidP="00711D36">
      <w:pPr>
        <w:widowControl/>
        <w:tabs>
          <w:tab w:val="left" w:pos="960"/>
        </w:tabs>
        <w:rPr>
          <w:rFonts w:asciiTheme="minorHAnsi" w:hAnsiTheme="minorHAnsi" w:cstheme="minorHAnsi"/>
          <w:lang w:val="fr-CH"/>
        </w:rPr>
      </w:pPr>
    </w:p>
    <w:p w14:paraId="54772CFF" w14:textId="0538288B" w:rsidR="005E3F07" w:rsidRPr="001F4456" w:rsidRDefault="00DD473F" w:rsidP="00711D36">
      <w:pPr>
        <w:widowControl/>
        <w:rPr>
          <w:rFonts w:asciiTheme="minorHAnsi" w:hAnsiTheme="minorHAnsi" w:cstheme="minorHAnsi"/>
          <w:lang w:val="fr-CH"/>
        </w:rPr>
      </w:pPr>
      <w:r>
        <w:rPr>
          <w:rFonts w:asciiTheme="minorHAnsi" w:hAnsiTheme="minorHAnsi" w:cstheme="minorHAnsi"/>
          <w:lang w:val="fr-CH"/>
        </w:rPr>
        <w:t xml:space="preserve">Le Président ouvre la </w:t>
      </w:r>
      <w:r w:rsidR="008C133D">
        <w:rPr>
          <w:rFonts w:asciiTheme="minorHAnsi" w:hAnsiTheme="minorHAnsi" w:cstheme="minorHAnsi"/>
          <w:lang w:val="fr-CH"/>
        </w:rPr>
        <w:t>séance</w:t>
      </w:r>
      <w:r>
        <w:rPr>
          <w:rFonts w:asciiTheme="minorHAnsi" w:hAnsiTheme="minorHAnsi" w:cstheme="minorHAnsi"/>
          <w:lang w:val="fr-CH"/>
        </w:rPr>
        <w:t xml:space="preserve"> et </w:t>
      </w:r>
      <w:r w:rsidR="008C133D">
        <w:rPr>
          <w:rFonts w:asciiTheme="minorHAnsi" w:hAnsiTheme="minorHAnsi" w:cstheme="minorHAnsi"/>
          <w:lang w:val="fr-CH"/>
        </w:rPr>
        <w:t>demande au</w:t>
      </w:r>
      <w:r>
        <w:rPr>
          <w:rFonts w:asciiTheme="minorHAnsi" w:hAnsiTheme="minorHAnsi" w:cstheme="minorHAnsi"/>
          <w:lang w:val="fr-CH"/>
        </w:rPr>
        <w:t xml:space="preserve"> Sous-groupe </w:t>
      </w:r>
      <w:r w:rsidR="008C133D">
        <w:rPr>
          <w:rFonts w:asciiTheme="minorHAnsi" w:hAnsiTheme="minorHAnsi" w:cstheme="minorHAnsi"/>
          <w:lang w:val="fr-CH"/>
        </w:rPr>
        <w:t xml:space="preserve">de se référer </w:t>
      </w:r>
      <w:r>
        <w:rPr>
          <w:rFonts w:asciiTheme="minorHAnsi" w:hAnsiTheme="minorHAnsi" w:cstheme="minorHAnsi"/>
          <w:lang w:val="fr-CH"/>
        </w:rPr>
        <w:t xml:space="preserve">aux </w:t>
      </w:r>
      <w:r w:rsidR="008C133D">
        <w:rPr>
          <w:rFonts w:asciiTheme="minorHAnsi" w:hAnsiTheme="minorHAnsi" w:cstheme="minorHAnsi"/>
          <w:lang w:val="fr-CH"/>
        </w:rPr>
        <w:t>mesures</w:t>
      </w:r>
      <w:r>
        <w:rPr>
          <w:rFonts w:asciiTheme="minorHAnsi" w:hAnsiTheme="minorHAnsi" w:cstheme="minorHAnsi"/>
          <w:lang w:val="fr-CH"/>
        </w:rPr>
        <w:t xml:space="preserve"> requises dans les documents sur les questions financières et budgétaires, notant que les discussions sur l’excédent, l’a</w:t>
      </w:r>
      <w:r w:rsidR="00B33E0F">
        <w:rPr>
          <w:rFonts w:asciiTheme="minorHAnsi" w:hAnsiTheme="minorHAnsi" w:cstheme="minorHAnsi"/>
          <w:lang w:val="fr-CH"/>
        </w:rPr>
        <w:t>ffectation</w:t>
      </w:r>
      <w:r>
        <w:rPr>
          <w:rFonts w:asciiTheme="minorHAnsi" w:hAnsiTheme="minorHAnsi" w:cstheme="minorHAnsi"/>
          <w:lang w:val="fr-CH"/>
        </w:rPr>
        <w:t xml:space="preserve"> de l’excédent et les ajustements au budget 2022 auront lieu après celles qui porteront sur les contributions annuelles, les scénarios budgétaires</w:t>
      </w:r>
      <w:r w:rsidR="009D079C">
        <w:rPr>
          <w:rFonts w:asciiTheme="minorHAnsi" w:hAnsiTheme="minorHAnsi" w:cstheme="minorHAnsi"/>
          <w:lang w:val="fr-CH"/>
        </w:rPr>
        <w:t>, le projet de résolution sur les questions financières et budgétaires</w:t>
      </w:r>
      <w:r>
        <w:rPr>
          <w:rFonts w:asciiTheme="minorHAnsi" w:hAnsiTheme="minorHAnsi" w:cstheme="minorHAnsi"/>
          <w:lang w:val="fr-CH"/>
        </w:rPr>
        <w:t xml:space="preserve"> et les incidences financières des projets de résolutions.</w:t>
      </w:r>
    </w:p>
    <w:p w14:paraId="753B5232" w14:textId="245A4403" w:rsidR="00743F0F" w:rsidRPr="001F4456" w:rsidRDefault="00743F0F" w:rsidP="00711D36">
      <w:pPr>
        <w:rPr>
          <w:lang w:val="fr-CH"/>
        </w:rPr>
      </w:pPr>
    </w:p>
    <w:p w14:paraId="35EFDE8A" w14:textId="77777777" w:rsidR="00642406" w:rsidRPr="001F4456" w:rsidRDefault="00642406" w:rsidP="00711D36">
      <w:pPr>
        <w:rPr>
          <w:lang w:val="fr-CH"/>
        </w:rPr>
      </w:pPr>
    </w:p>
    <w:p w14:paraId="05590A90" w14:textId="582B604E" w:rsidR="00356EEC" w:rsidRPr="001F4456" w:rsidRDefault="00711D36" w:rsidP="008F6EDE">
      <w:pPr>
        <w:widowControl/>
        <w:autoSpaceDE/>
        <w:autoSpaceDN/>
        <w:ind w:left="426" w:hanging="426"/>
        <w:rPr>
          <w:rFonts w:asciiTheme="minorHAnsi" w:hAnsiTheme="minorHAnsi" w:cstheme="minorHAnsi"/>
          <w:b/>
          <w:lang w:val="fr-CH"/>
        </w:rPr>
      </w:pPr>
      <w:r w:rsidRPr="001F4456">
        <w:rPr>
          <w:rFonts w:asciiTheme="minorHAnsi" w:hAnsiTheme="minorHAnsi" w:cstheme="minorHAnsi"/>
          <w:b/>
          <w:lang w:val="fr-CH"/>
        </w:rPr>
        <w:t>1.</w:t>
      </w:r>
      <w:r w:rsidRPr="001F4456">
        <w:rPr>
          <w:rFonts w:asciiTheme="minorHAnsi" w:hAnsiTheme="minorHAnsi" w:cstheme="minorHAnsi"/>
          <w:b/>
          <w:lang w:val="fr-CH"/>
        </w:rPr>
        <w:tab/>
      </w:r>
      <w:r w:rsidR="00DD473F">
        <w:rPr>
          <w:rFonts w:asciiTheme="minorHAnsi" w:hAnsiTheme="minorHAnsi" w:cstheme="minorHAnsi"/>
          <w:b/>
          <w:lang w:val="fr-CH"/>
        </w:rPr>
        <w:t>État des contributions annuelles</w:t>
      </w:r>
      <w:r w:rsidR="00356EEC" w:rsidRPr="001F4456">
        <w:rPr>
          <w:rFonts w:asciiTheme="minorHAnsi" w:hAnsiTheme="minorHAnsi" w:cstheme="minorHAnsi"/>
          <w:b/>
          <w:lang w:val="fr-CH"/>
        </w:rPr>
        <w:t xml:space="preserve"> (</w:t>
      </w:r>
      <w:r w:rsidR="00273A11" w:rsidRPr="001F4456">
        <w:rPr>
          <w:rFonts w:asciiTheme="minorHAnsi" w:hAnsiTheme="minorHAnsi" w:cstheme="minorHAnsi"/>
          <w:b/>
          <w:lang w:val="fr-CH"/>
        </w:rPr>
        <w:t xml:space="preserve">document </w:t>
      </w:r>
      <w:r w:rsidR="00356EEC" w:rsidRPr="001F4456">
        <w:rPr>
          <w:rFonts w:asciiTheme="minorHAnsi" w:hAnsiTheme="minorHAnsi" w:cstheme="minorHAnsi"/>
          <w:b/>
          <w:lang w:val="fr-CH"/>
        </w:rPr>
        <w:t>SC59/2022 Doc.8.2)</w:t>
      </w:r>
    </w:p>
    <w:p w14:paraId="70C48F73" w14:textId="77777777" w:rsidR="00356EEC" w:rsidRPr="001F4456" w:rsidRDefault="00356EEC" w:rsidP="00711D36">
      <w:pPr>
        <w:widowControl/>
        <w:ind w:left="426" w:hanging="426"/>
        <w:rPr>
          <w:rFonts w:asciiTheme="minorHAnsi" w:hAnsiTheme="minorHAnsi" w:cstheme="minorHAnsi"/>
          <w:lang w:val="fr-CH"/>
        </w:rPr>
      </w:pPr>
    </w:p>
    <w:p w14:paraId="53335013" w14:textId="261BB344" w:rsidR="002B56FE" w:rsidRPr="001F4456" w:rsidRDefault="00DD473F" w:rsidP="00711D36">
      <w:pPr>
        <w:widowControl/>
        <w:rPr>
          <w:rFonts w:asciiTheme="minorHAnsi" w:hAnsiTheme="minorHAnsi" w:cstheme="minorHAnsi"/>
          <w:lang w:val="fr-CH"/>
        </w:rPr>
      </w:pPr>
      <w:r>
        <w:rPr>
          <w:rFonts w:asciiTheme="minorHAnsi" w:hAnsiTheme="minorHAnsi" w:cstheme="minorHAnsi"/>
          <w:lang w:val="fr-CH"/>
        </w:rPr>
        <w:t xml:space="preserve">La Secrétaire générale résume brièvement le document, notant que le total des </w:t>
      </w:r>
      <w:r w:rsidR="00FD57CF">
        <w:rPr>
          <w:rFonts w:asciiTheme="minorHAnsi" w:hAnsiTheme="minorHAnsi" w:cstheme="minorHAnsi"/>
          <w:lang w:val="fr-CH"/>
        </w:rPr>
        <w:t xml:space="preserve">arriérés de </w:t>
      </w:r>
      <w:r>
        <w:rPr>
          <w:rFonts w:asciiTheme="minorHAnsi" w:hAnsiTheme="minorHAnsi" w:cstheme="minorHAnsi"/>
          <w:lang w:val="fr-CH"/>
        </w:rPr>
        <w:t xml:space="preserve">contributions a diminué de 8 % par rapport à 2020. Le Secrétariat observe que les mesures prises </w:t>
      </w:r>
      <w:r w:rsidR="00046139">
        <w:rPr>
          <w:rFonts w:asciiTheme="minorHAnsi" w:hAnsiTheme="minorHAnsi" w:cstheme="minorHAnsi"/>
          <w:lang w:val="fr-CH"/>
        </w:rPr>
        <w:t>dans le cadre de l’approche de groupe pour confirmer</w:t>
      </w:r>
      <w:r>
        <w:rPr>
          <w:rFonts w:asciiTheme="minorHAnsi" w:hAnsiTheme="minorHAnsi" w:cstheme="minorHAnsi"/>
          <w:lang w:val="fr-CH"/>
        </w:rPr>
        <w:t xml:space="preserve"> </w:t>
      </w:r>
      <w:r w:rsidR="00046139">
        <w:rPr>
          <w:rFonts w:asciiTheme="minorHAnsi" w:hAnsiTheme="minorHAnsi" w:cstheme="minorHAnsi"/>
          <w:lang w:val="fr-CH"/>
        </w:rPr>
        <w:t>les arriérés de</w:t>
      </w:r>
      <w:r>
        <w:rPr>
          <w:rFonts w:asciiTheme="minorHAnsi" w:hAnsiTheme="minorHAnsi" w:cstheme="minorHAnsi"/>
          <w:lang w:val="fr-CH"/>
        </w:rPr>
        <w:t xml:space="preserve"> contributions ont permis de répondre efficacement aux exigences des </w:t>
      </w:r>
      <w:r w:rsidR="00FD57CF">
        <w:rPr>
          <w:rFonts w:asciiTheme="minorHAnsi" w:hAnsiTheme="minorHAnsi" w:cstheme="minorHAnsi"/>
          <w:lang w:val="fr-CH"/>
        </w:rPr>
        <w:t>auditeurs</w:t>
      </w:r>
      <w:r>
        <w:rPr>
          <w:rFonts w:asciiTheme="minorHAnsi" w:hAnsiTheme="minorHAnsi" w:cstheme="minorHAnsi"/>
          <w:lang w:val="fr-CH"/>
        </w:rPr>
        <w:t>.</w:t>
      </w:r>
      <w:r w:rsidR="008F3ABA" w:rsidRPr="001F4456">
        <w:rPr>
          <w:rFonts w:asciiTheme="minorHAnsi" w:hAnsiTheme="minorHAnsi" w:cstheme="minorHAnsi"/>
          <w:lang w:val="fr-CH"/>
        </w:rPr>
        <w:t xml:space="preserve"> </w:t>
      </w:r>
    </w:p>
    <w:p w14:paraId="5276DBAE" w14:textId="77777777" w:rsidR="002B56FE" w:rsidRPr="001F4456" w:rsidRDefault="002B56FE" w:rsidP="00711D36">
      <w:pPr>
        <w:widowControl/>
        <w:rPr>
          <w:rFonts w:asciiTheme="minorHAnsi" w:hAnsiTheme="minorHAnsi" w:cstheme="minorHAnsi"/>
          <w:lang w:val="fr-CH"/>
        </w:rPr>
      </w:pPr>
    </w:p>
    <w:p w14:paraId="645E32E1" w14:textId="7B9FB3B9" w:rsidR="002B56FE" w:rsidRPr="001F4456" w:rsidRDefault="00DD473F" w:rsidP="00711D36">
      <w:pPr>
        <w:widowControl/>
        <w:rPr>
          <w:rFonts w:asciiTheme="minorHAnsi" w:hAnsiTheme="minorHAnsi" w:cstheme="minorHAnsi"/>
          <w:lang w:val="fr-CH"/>
        </w:rPr>
      </w:pPr>
      <w:r>
        <w:rPr>
          <w:rFonts w:asciiTheme="minorHAnsi" w:hAnsiTheme="minorHAnsi" w:cstheme="minorHAnsi"/>
          <w:lang w:val="fr-CH"/>
        </w:rPr>
        <w:t>Le Sous</w:t>
      </w:r>
      <w:r>
        <w:rPr>
          <w:rFonts w:asciiTheme="minorHAnsi" w:hAnsiTheme="minorHAnsi" w:cstheme="minorHAnsi"/>
          <w:lang w:val="fr-CH"/>
        </w:rPr>
        <w:noBreakHyphen/>
        <w:t xml:space="preserve">groupe </w:t>
      </w:r>
      <w:r w:rsidR="002855B3">
        <w:rPr>
          <w:rFonts w:asciiTheme="minorHAnsi" w:hAnsiTheme="minorHAnsi" w:cstheme="minorHAnsi"/>
          <w:lang w:val="fr-CH"/>
        </w:rPr>
        <w:t>salue les résultats positifs et remercie le Secrétariat et le Sous-groupe pour leur bon travail</w:t>
      </w:r>
      <w:r w:rsidR="001D29C3">
        <w:rPr>
          <w:rFonts w:asciiTheme="minorHAnsi" w:hAnsiTheme="minorHAnsi" w:cstheme="minorHAnsi"/>
          <w:lang w:val="fr-CH"/>
        </w:rPr>
        <w:t xml:space="preserve">. Il </w:t>
      </w:r>
      <w:r w:rsidR="00EE5232">
        <w:rPr>
          <w:rFonts w:asciiTheme="minorHAnsi" w:hAnsiTheme="minorHAnsi" w:cstheme="minorHAnsi"/>
          <w:lang w:val="fr-CH"/>
        </w:rPr>
        <w:t>se félicite de</w:t>
      </w:r>
      <w:r>
        <w:rPr>
          <w:rFonts w:asciiTheme="minorHAnsi" w:hAnsiTheme="minorHAnsi" w:cstheme="minorHAnsi"/>
          <w:lang w:val="fr-CH"/>
        </w:rPr>
        <w:t xml:space="preserve"> la </w:t>
      </w:r>
      <w:r w:rsidR="00EE5232">
        <w:rPr>
          <w:rFonts w:asciiTheme="minorHAnsi" w:hAnsiTheme="minorHAnsi" w:cstheme="minorHAnsi"/>
          <w:lang w:val="fr-CH"/>
        </w:rPr>
        <w:t>baisse du total des arriérés de</w:t>
      </w:r>
      <w:r>
        <w:rPr>
          <w:rFonts w:asciiTheme="minorHAnsi" w:hAnsiTheme="minorHAnsi" w:cstheme="minorHAnsi"/>
          <w:lang w:val="fr-CH"/>
        </w:rPr>
        <w:t xml:space="preserve"> contributions depuis 2020, </w:t>
      </w:r>
      <w:r w:rsidR="00EE5232">
        <w:rPr>
          <w:rFonts w:asciiTheme="minorHAnsi" w:hAnsiTheme="minorHAnsi" w:cstheme="minorHAnsi"/>
          <w:lang w:val="fr-CH"/>
        </w:rPr>
        <w:t>saluant le caractère exceptionnel de</w:t>
      </w:r>
      <w:r>
        <w:rPr>
          <w:rFonts w:asciiTheme="minorHAnsi" w:hAnsiTheme="minorHAnsi" w:cstheme="minorHAnsi"/>
          <w:lang w:val="fr-CH"/>
        </w:rPr>
        <w:t xml:space="preserve"> ce résultat </w:t>
      </w:r>
      <w:r w:rsidR="00EE5232">
        <w:rPr>
          <w:rFonts w:asciiTheme="minorHAnsi" w:hAnsiTheme="minorHAnsi" w:cstheme="minorHAnsi"/>
          <w:lang w:val="fr-CH"/>
        </w:rPr>
        <w:t>au regard de</w:t>
      </w:r>
      <w:r>
        <w:rPr>
          <w:rFonts w:asciiTheme="minorHAnsi" w:hAnsiTheme="minorHAnsi" w:cstheme="minorHAnsi"/>
          <w:lang w:val="fr-CH"/>
        </w:rPr>
        <w:t xml:space="preserve"> toutes les organisations comparables et félicite le Secrétariat pour les mesures prises à </w:t>
      </w:r>
      <w:r w:rsidR="00EE5232">
        <w:rPr>
          <w:rFonts w:asciiTheme="minorHAnsi" w:hAnsiTheme="minorHAnsi" w:cstheme="minorHAnsi"/>
          <w:lang w:val="fr-CH"/>
        </w:rPr>
        <w:t>cet effet</w:t>
      </w:r>
      <w:r>
        <w:rPr>
          <w:rFonts w:asciiTheme="minorHAnsi" w:hAnsiTheme="minorHAnsi" w:cstheme="minorHAnsi"/>
          <w:lang w:val="fr-CH"/>
        </w:rPr>
        <w:t>.</w:t>
      </w:r>
    </w:p>
    <w:p w14:paraId="16ED0A09" w14:textId="77777777" w:rsidR="002B56FE" w:rsidRPr="001F4456" w:rsidRDefault="002B56FE" w:rsidP="00711D36">
      <w:pPr>
        <w:widowControl/>
        <w:rPr>
          <w:rFonts w:asciiTheme="minorHAnsi" w:hAnsiTheme="minorHAnsi" w:cstheme="minorHAnsi"/>
          <w:lang w:val="fr-CH"/>
        </w:rPr>
      </w:pPr>
      <w:r w:rsidRPr="001F4456">
        <w:rPr>
          <w:rFonts w:asciiTheme="minorHAnsi" w:hAnsiTheme="minorHAnsi" w:cstheme="minorHAnsi"/>
          <w:lang w:val="fr-CH"/>
        </w:rPr>
        <w:t xml:space="preserve"> </w:t>
      </w:r>
    </w:p>
    <w:p w14:paraId="3FC032E0" w14:textId="74C25EC1" w:rsidR="00356EEC" w:rsidRPr="001F4456" w:rsidRDefault="00DD473F" w:rsidP="00711D36">
      <w:pPr>
        <w:widowControl/>
        <w:rPr>
          <w:rFonts w:asciiTheme="minorHAnsi" w:hAnsiTheme="minorHAnsi" w:cstheme="minorHAnsi"/>
          <w:lang w:val="fr-CH"/>
        </w:rPr>
      </w:pPr>
      <w:r>
        <w:rPr>
          <w:rFonts w:asciiTheme="minorHAnsi" w:hAnsiTheme="minorHAnsi" w:cstheme="minorHAnsi"/>
          <w:lang w:val="fr-CH"/>
        </w:rPr>
        <w:t xml:space="preserve">La Secrétaire générale </w:t>
      </w:r>
      <w:r w:rsidR="00CB1281">
        <w:rPr>
          <w:rFonts w:asciiTheme="minorHAnsi" w:hAnsiTheme="minorHAnsi" w:cstheme="minorHAnsi"/>
          <w:lang w:val="fr-CH"/>
        </w:rPr>
        <w:t>précise</w:t>
      </w:r>
      <w:r>
        <w:rPr>
          <w:rFonts w:asciiTheme="minorHAnsi" w:hAnsiTheme="minorHAnsi" w:cstheme="minorHAnsi"/>
          <w:lang w:val="fr-CH"/>
        </w:rPr>
        <w:t xml:space="preserve"> que le rôle des représentants régionaux </w:t>
      </w:r>
      <w:r w:rsidR="00CB1281">
        <w:rPr>
          <w:rFonts w:asciiTheme="minorHAnsi" w:hAnsiTheme="minorHAnsi" w:cstheme="minorHAnsi"/>
          <w:lang w:val="fr-CH"/>
        </w:rPr>
        <w:t xml:space="preserve">siégeant </w:t>
      </w:r>
      <w:r w:rsidR="00830F1D">
        <w:rPr>
          <w:rFonts w:asciiTheme="minorHAnsi" w:hAnsiTheme="minorHAnsi" w:cstheme="minorHAnsi"/>
          <w:lang w:val="fr-CH"/>
        </w:rPr>
        <w:t xml:space="preserve">au Comité permanent a été un facteur important de cette </w:t>
      </w:r>
      <w:r w:rsidR="00D62B36">
        <w:rPr>
          <w:rFonts w:asciiTheme="minorHAnsi" w:hAnsiTheme="minorHAnsi" w:cstheme="minorHAnsi"/>
          <w:lang w:val="fr-CH"/>
        </w:rPr>
        <w:t>baisse</w:t>
      </w:r>
      <w:r w:rsidR="00830F1D">
        <w:rPr>
          <w:rFonts w:asciiTheme="minorHAnsi" w:hAnsiTheme="minorHAnsi" w:cstheme="minorHAnsi"/>
          <w:lang w:val="fr-CH"/>
        </w:rPr>
        <w:t xml:space="preserve">, </w:t>
      </w:r>
      <w:r w:rsidR="00D62B36">
        <w:rPr>
          <w:rFonts w:asciiTheme="minorHAnsi" w:hAnsiTheme="minorHAnsi" w:cstheme="minorHAnsi"/>
          <w:lang w:val="fr-CH"/>
        </w:rPr>
        <w:t>de même</w:t>
      </w:r>
      <w:r w:rsidR="00830F1D">
        <w:rPr>
          <w:rFonts w:asciiTheme="minorHAnsi" w:hAnsiTheme="minorHAnsi" w:cstheme="minorHAnsi"/>
          <w:lang w:val="fr-CH"/>
        </w:rPr>
        <w:t xml:space="preserve"> que les efforts déployés par le Secrétariat pour sensibiliser les Parties contractantes, </w:t>
      </w:r>
      <w:r w:rsidR="00D62B36">
        <w:rPr>
          <w:rFonts w:asciiTheme="minorHAnsi" w:hAnsiTheme="minorHAnsi" w:cstheme="minorHAnsi"/>
          <w:lang w:val="fr-CH"/>
        </w:rPr>
        <w:t>notamment</w:t>
      </w:r>
      <w:r w:rsidR="00830F1D">
        <w:rPr>
          <w:rFonts w:asciiTheme="minorHAnsi" w:hAnsiTheme="minorHAnsi" w:cstheme="minorHAnsi"/>
          <w:lang w:val="fr-CH"/>
        </w:rPr>
        <w:t xml:space="preserve"> </w:t>
      </w:r>
      <w:r w:rsidR="001D29C3">
        <w:rPr>
          <w:rFonts w:asciiTheme="minorHAnsi" w:hAnsiTheme="minorHAnsi" w:cstheme="minorHAnsi"/>
          <w:lang w:val="fr-CH"/>
        </w:rPr>
        <w:t xml:space="preserve">par l’envoi régulier de rappels aux Parties et </w:t>
      </w:r>
      <w:r w:rsidR="00830F1D">
        <w:rPr>
          <w:rFonts w:asciiTheme="minorHAnsi" w:hAnsiTheme="minorHAnsi" w:cstheme="minorHAnsi"/>
          <w:lang w:val="fr-CH"/>
        </w:rPr>
        <w:t xml:space="preserve">en insistant sur cette question </w:t>
      </w:r>
      <w:r w:rsidR="00D62B36">
        <w:rPr>
          <w:rFonts w:asciiTheme="minorHAnsi" w:hAnsiTheme="minorHAnsi" w:cstheme="minorHAnsi"/>
          <w:lang w:val="fr-CH"/>
        </w:rPr>
        <w:t>lors des</w:t>
      </w:r>
      <w:r w:rsidR="00830F1D">
        <w:rPr>
          <w:rFonts w:asciiTheme="minorHAnsi" w:hAnsiTheme="minorHAnsi" w:cstheme="minorHAnsi"/>
          <w:lang w:val="fr-CH"/>
        </w:rPr>
        <w:t xml:space="preserve"> réunions régionales organisées pour préparer la Troisième Session </w:t>
      </w:r>
      <w:r w:rsidR="00824771">
        <w:rPr>
          <w:rFonts w:asciiTheme="minorHAnsi" w:hAnsiTheme="minorHAnsi" w:cstheme="minorHAnsi"/>
          <w:lang w:val="fr-CH"/>
        </w:rPr>
        <w:t>e</w:t>
      </w:r>
      <w:r w:rsidR="00830F1D">
        <w:rPr>
          <w:rFonts w:asciiTheme="minorHAnsi" w:hAnsiTheme="minorHAnsi" w:cstheme="minorHAnsi"/>
          <w:lang w:val="fr-CH"/>
        </w:rPr>
        <w:t>xtraordinaire de la COP</w:t>
      </w:r>
      <w:r w:rsidR="00D62B36">
        <w:rPr>
          <w:rFonts w:asciiTheme="minorHAnsi" w:hAnsiTheme="minorHAnsi" w:cstheme="minorHAnsi"/>
          <w:lang w:val="fr-CH"/>
        </w:rPr>
        <w:t xml:space="preserve"> (ExCOP3)</w:t>
      </w:r>
      <w:r w:rsidR="00830F1D">
        <w:rPr>
          <w:rFonts w:asciiTheme="minorHAnsi" w:hAnsiTheme="minorHAnsi" w:cstheme="minorHAnsi"/>
          <w:lang w:val="fr-CH"/>
        </w:rPr>
        <w:t xml:space="preserve"> en 2021 et la COP14 en 2022. Elle fait remarquer que les </w:t>
      </w:r>
      <w:r w:rsidR="00D62B36">
        <w:rPr>
          <w:rFonts w:asciiTheme="minorHAnsi" w:hAnsiTheme="minorHAnsi" w:cstheme="minorHAnsi"/>
          <w:lang w:val="fr-CH"/>
        </w:rPr>
        <w:t>actions</w:t>
      </w:r>
      <w:r w:rsidR="00830F1D">
        <w:rPr>
          <w:rFonts w:asciiTheme="minorHAnsi" w:hAnsiTheme="minorHAnsi" w:cstheme="minorHAnsi"/>
          <w:lang w:val="fr-CH"/>
        </w:rPr>
        <w:t xml:space="preserve"> de </w:t>
      </w:r>
      <w:r w:rsidR="00FD2A06">
        <w:rPr>
          <w:rFonts w:asciiTheme="minorHAnsi" w:hAnsiTheme="minorHAnsi" w:cstheme="minorHAnsi"/>
          <w:lang w:val="fr-CH"/>
        </w:rPr>
        <w:t xml:space="preserve">toute </w:t>
      </w:r>
      <w:r w:rsidR="00830F1D">
        <w:rPr>
          <w:rFonts w:asciiTheme="minorHAnsi" w:hAnsiTheme="minorHAnsi" w:cstheme="minorHAnsi"/>
          <w:lang w:val="fr-CH"/>
        </w:rPr>
        <w:t xml:space="preserve">Partie peuvent influencer la tendance positive en cours et insiste sur les risques associés à des </w:t>
      </w:r>
      <w:r w:rsidR="00FD2A06">
        <w:rPr>
          <w:rFonts w:asciiTheme="minorHAnsi" w:hAnsiTheme="minorHAnsi" w:cstheme="minorHAnsi"/>
          <w:lang w:val="fr-CH"/>
        </w:rPr>
        <w:t xml:space="preserve">arriérés à long terme des </w:t>
      </w:r>
      <w:r w:rsidR="00830F1D">
        <w:rPr>
          <w:rFonts w:asciiTheme="minorHAnsi" w:hAnsiTheme="minorHAnsi" w:cstheme="minorHAnsi"/>
          <w:lang w:val="fr-CH"/>
        </w:rPr>
        <w:t>contributions.</w:t>
      </w:r>
    </w:p>
    <w:p w14:paraId="7DD4E26F" w14:textId="4F17DE7C" w:rsidR="00641B45" w:rsidRPr="001F4456" w:rsidRDefault="00641B45" w:rsidP="00711D36">
      <w:pPr>
        <w:widowControl/>
        <w:rPr>
          <w:rFonts w:asciiTheme="minorHAnsi" w:hAnsiTheme="minorHAnsi" w:cstheme="minorHAnsi"/>
          <w:lang w:val="fr-CH"/>
        </w:rPr>
      </w:pPr>
    </w:p>
    <w:p w14:paraId="61BF2764" w14:textId="10089DAD" w:rsidR="00641B45" w:rsidRPr="001F4456" w:rsidRDefault="00830F1D" w:rsidP="00711D36">
      <w:pPr>
        <w:widowControl/>
        <w:rPr>
          <w:rFonts w:asciiTheme="minorHAnsi" w:hAnsiTheme="minorHAnsi" w:cstheme="minorHAnsi"/>
          <w:lang w:val="fr-CH"/>
        </w:rPr>
      </w:pPr>
      <w:r>
        <w:rPr>
          <w:rFonts w:asciiTheme="minorHAnsi" w:hAnsiTheme="minorHAnsi" w:cstheme="minorHAnsi"/>
          <w:lang w:val="fr-CH"/>
        </w:rPr>
        <w:t xml:space="preserve">Le Secrétariat </w:t>
      </w:r>
      <w:r w:rsidR="00FD2A06">
        <w:rPr>
          <w:rFonts w:asciiTheme="minorHAnsi" w:hAnsiTheme="minorHAnsi" w:cstheme="minorHAnsi"/>
          <w:lang w:val="fr-CH"/>
        </w:rPr>
        <w:t>explique</w:t>
      </w:r>
      <w:r>
        <w:rPr>
          <w:rFonts w:asciiTheme="minorHAnsi" w:hAnsiTheme="minorHAnsi" w:cstheme="minorHAnsi"/>
          <w:lang w:val="fr-CH"/>
        </w:rPr>
        <w:t xml:space="preserve"> son approche prudente quant au calcul des </w:t>
      </w:r>
      <w:r w:rsidR="00FD2A06">
        <w:rPr>
          <w:rFonts w:asciiTheme="minorHAnsi" w:hAnsiTheme="minorHAnsi" w:cstheme="minorHAnsi"/>
          <w:lang w:val="fr-CH"/>
        </w:rPr>
        <w:t>provisions</w:t>
      </w:r>
      <w:r>
        <w:rPr>
          <w:rFonts w:asciiTheme="minorHAnsi" w:hAnsiTheme="minorHAnsi" w:cstheme="minorHAnsi"/>
          <w:lang w:val="fr-CH"/>
        </w:rPr>
        <w:t xml:space="preserve"> </w:t>
      </w:r>
      <w:r w:rsidR="004B2D3E">
        <w:rPr>
          <w:rFonts w:asciiTheme="minorHAnsi" w:hAnsiTheme="minorHAnsi" w:cstheme="minorHAnsi"/>
          <w:lang w:val="fr-CH"/>
        </w:rPr>
        <w:t>correspondantes</w:t>
      </w:r>
      <w:r>
        <w:rPr>
          <w:rFonts w:asciiTheme="minorHAnsi" w:hAnsiTheme="minorHAnsi" w:cstheme="minorHAnsi"/>
          <w:lang w:val="fr-CH"/>
        </w:rPr>
        <w:t>, compte tenu de la nouvelle méthode de calcul introduite</w:t>
      </w:r>
      <w:r w:rsidR="001D29C3">
        <w:rPr>
          <w:rFonts w:asciiTheme="minorHAnsi" w:hAnsiTheme="minorHAnsi" w:cstheme="minorHAnsi"/>
          <w:lang w:val="fr-CH"/>
        </w:rPr>
        <w:t xml:space="preserve"> en 2019</w:t>
      </w:r>
      <w:r>
        <w:rPr>
          <w:rFonts w:asciiTheme="minorHAnsi" w:hAnsiTheme="minorHAnsi" w:cstheme="minorHAnsi"/>
          <w:lang w:val="fr-CH"/>
        </w:rPr>
        <w:t xml:space="preserve">. Le Secrétariat </w:t>
      </w:r>
      <w:r w:rsidR="004B2D3E">
        <w:rPr>
          <w:rFonts w:asciiTheme="minorHAnsi" w:hAnsiTheme="minorHAnsi" w:cstheme="minorHAnsi"/>
          <w:lang w:val="fr-CH"/>
        </w:rPr>
        <w:t>recommande</w:t>
      </w:r>
      <w:r>
        <w:rPr>
          <w:rFonts w:asciiTheme="minorHAnsi" w:hAnsiTheme="minorHAnsi" w:cstheme="minorHAnsi"/>
          <w:lang w:val="fr-CH"/>
        </w:rPr>
        <w:t xml:space="preserve">, en conséquence, que tous les fonds inutilisés, </w:t>
      </w:r>
      <w:r w:rsidR="00B33E0F">
        <w:rPr>
          <w:rFonts w:asciiTheme="minorHAnsi" w:hAnsiTheme="minorHAnsi" w:cstheme="minorHAnsi"/>
          <w:lang w:val="fr-CH"/>
        </w:rPr>
        <w:t>affectés à partir des</w:t>
      </w:r>
      <w:r>
        <w:rPr>
          <w:rFonts w:asciiTheme="minorHAnsi" w:hAnsiTheme="minorHAnsi" w:cstheme="minorHAnsi"/>
          <w:lang w:val="fr-CH"/>
        </w:rPr>
        <w:t xml:space="preserve"> économies </w:t>
      </w:r>
      <w:r w:rsidR="00824771">
        <w:rPr>
          <w:rFonts w:asciiTheme="minorHAnsi" w:hAnsiTheme="minorHAnsi" w:cstheme="minorHAnsi"/>
          <w:lang w:val="fr-CH"/>
        </w:rPr>
        <w:t>sur la</w:t>
      </w:r>
      <w:r>
        <w:rPr>
          <w:rFonts w:asciiTheme="minorHAnsi" w:hAnsiTheme="minorHAnsi" w:cstheme="minorHAnsi"/>
          <w:lang w:val="fr-CH"/>
        </w:rPr>
        <w:t xml:space="preserve"> provision pour les contributions </w:t>
      </w:r>
      <w:r w:rsidR="00B33E0F">
        <w:rPr>
          <w:rFonts w:asciiTheme="minorHAnsi" w:hAnsiTheme="minorHAnsi" w:cstheme="minorHAnsi"/>
          <w:lang w:val="fr-CH"/>
        </w:rPr>
        <w:t>impayées</w:t>
      </w:r>
      <w:r w:rsidR="00D36F88">
        <w:rPr>
          <w:rFonts w:asciiTheme="minorHAnsi" w:hAnsiTheme="minorHAnsi" w:cstheme="minorHAnsi"/>
          <w:lang w:val="fr-CH"/>
        </w:rPr>
        <w:t xml:space="preserve"> soient </w:t>
      </w:r>
      <w:r w:rsidR="00B33E0F">
        <w:rPr>
          <w:rFonts w:asciiTheme="minorHAnsi" w:hAnsiTheme="minorHAnsi" w:cstheme="minorHAnsi"/>
          <w:lang w:val="fr-CH"/>
        </w:rPr>
        <w:t>reversés</w:t>
      </w:r>
      <w:r w:rsidR="00D36F88">
        <w:rPr>
          <w:rFonts w:asciiTheme="minorHAnsi" w:hAnsiTheme="minorHAnsi" w:cstheme="minorHAnsi"/>
          <w:lang w:val="fr-CH"/>
        </w:rPr>
        <w:t xml:space="preserve"> dans l’excédent pour une </w:t>
      </w:r>
      <w:r w:rsidR="00D44FEA">
        <w:rPr>
          <w:rFonts w:asciiTheme="minorHAnsi" w:hAnsiTheme="minorHAnsi" w:cstheme="minorHAnsi"/>
          <w:lang w:val="fr-CH"/>
        </w:rPr>
        <w:t>affectation</w:t>
      </w:r>
      <w:r w:rsidR="00D36F88">
        <w:rPr>
          <w:rFonts w:asciiTheme="minorHAnsi" w:hAnsiTheme="minorHAnsi" w:cstheme="minorHAnsi"/>
          <w:lang w:val="fr-CH"/>
        </w:rPr>
        <w:t xml:space="preserve"> future sous cette approche.</w:t>
      </w:r>
    </w:p>
    <w:p w14:paraId="11A4C452" w14:textId="34F0A3B6" w:rsidR="002B56FE" w:rsidRPr="001F4456" w:rsidRDefault="002B56FE" w:rsidP="00711D36">
      <w:pPr>
        <w:widowControl/>
        <w:rPr>
          <w:rFonts w:asciiTheme="minorHAnsi" w:hAnsiTheme="minorHAnsi" w:cstheme="minorHAnsi"/>
          <w:lang w:val="fr-CH"/>
        </w:rPr>
      </w:pPr>
    </w:p>
    <w:p w14:paraId="25BD72B1" w14:textId="0D4ACEE8" w:rsidR="00356EEC" w:rsidRPr="00D729E2" w:rsidRDefault="00AC03CD" w:rsidP="008516F8">
      <w:pPr>
        <w:keepNext/>
        <w:widowControl/>
        <w:rPr>
          <w:rFonts w:asciiTheme="minorHAnsi" w:hAnsiTheme="minorHAnsi" w:cstheme="minorHAnsi"/>
          <w:i/>
          <w:iCs/>
          <w:color w:val="0000FF"/>
          <w:lang w:val="fr-FR" w:eastAsia="ja-JP"/>
        </w:rPr>
      </w:pPr>
      <w:r w:rsidRPr="001F4456">
        <w:rPr>
          <w:rFonts w:asciiTheme="minorHAnsi" w:hAnsiTheme="minorHAnsi" w:cstheme="minorHAnsi"/>
          <w:i/>
          <w:color w:val="0000FF"/>
          <w:lang w:val="fr-CH"/>
        </w:rPr>
        <w:lastRenderedPageBreak/>
        <w:t>Recommandation</w:t>
      </w:r>
      <w:r w:rsidR="00356EEC" w:rsidRPr="001F4456">
        <w:rPr>
          <w:rFonts w:asciiTheme="minorHAnsi" w:hAnsiTheme="minorHAnsi" w:cstheme="minorHAnsi"/>
          <w:i/>
          <w:iCs/>
          <w:color w:val="0000FF"/>
          <w:lang w:val="fr-CH" w:eastAsia="ja-JP"/>
        </w:rPr>
        <w:t xml:space="preserve"> </w:t>
      </w:r>
      <w:r>
        <w:rPr>
          <w:rFonts w:asciiTheme="minorHAnsi" w:hAnsiTheme="minorHAnsi" w:cstheme="minorHAnsi"/>
          <w:i/>
          <w:iCs/>
          <w:color w:val="0000FF"/>
          <w:lang w:val="fr-CH" w:eastAsia="ja-JP"/>
        </w:rPr>
        <w:t>pour décision par le Comité permanent</w:t>
      </w:r>
      <w:r w:rsidR="006A1295">
        <w:rPr>
          <w:rFonts w:asciiTheme="minorHAnsi" w:hAnsiTheme="minorHAnsi" w:cstheme="minorHAnsi"/>
          <w:i/>
          <w:iCs/>
          <w:color w:val="0000FF"/>
          <w:lang w:val="fr-CH" w:eastAsia="ja-JP"/>
        </w:rPr>
        <w:t> </w:t>
      </w:r>
      <w:r w:rsidR="00356EEC" w:rsidRPr="001F4456">
        <w:rPr>
          <w:rFonts w:asciiTheme="minorHAnsi" w:hAnsiTheme="minorHAnsi" w:cstheme="minorHAnsi"/>
          <w:i/>
          <w:iCs/>
          <w:color w:val="0000FF"/>
          <w:lang w:val="fr-CH" w:eastAsia="ja-JP"/>
        </w:rPr>
        <w:t>:</w:t>
      </w:r>
    </w:p>
    <w:p w14:paraId="6FE5BBC0" w14:textId="77777777" w:rsidR="00356EEC" w:rsidRPr="00D729E2" w:rsidRDefault="00356EEC" w:rsidP="008516F8">
      <w:pPr>
        <w:keepNext/>
        <w:widowControl/>
        <w:rPr>
          <w:rFonts w:asciiTheme="minorHAnsi" w:hAnsiTheme="minorHAnsi" w:cstheme="minorHAnsi"/>
          <w:b/>
          <w:i/>
          <w:lang w:val="fr-FR"/>
        </w:rPr>
      </w:pPr>
    </w:p>
    <w:p w14:paraId="5B60B194" w14:textId="1BDB7765" w:rsidR="00356EEC" w:rsidRPr="00D729E2" w:rsidRDefault="00AC03CD" w:rsidP="00711D36">
      <w:pPr>
        <w:widowControl/>
        <w:rPr>
          <w:rFonts w:asciiTheme="minorHAnsi" w:hAnsiTheme="minorHAnsi" w:cstheme="minorHAnsi"/>
          <w:b/>
          <w:i/>
          <w:lang w:val="fr-FR"/>
        </w:rPr>
      </w:pPr>
      <w:r w:rsidRPr="00D729E2">
        <w:rPr>
          <w:rFonts w:asciiTheme="minorHAnsi" w:hAnsiTheme="minorHAnsi" w:cstheme="minorHAnsi"/>
          <w:b/>
          <w:i/>
          <w:lang w:val="fr-FR"/>
        </w:rPr>
        <w:t>Le Sous</w:t>
      </w:r>
      <w:r w:rsidRPr="00D729E2">
        <w:rPr>
          <w:rFonts w:asciiTheme="minorHAnsi" w:hAnsiTheme="minorHAnsi" w:cstheme="minorHAnsi"/>
          <w:b/>
          <w:i/>
          <w:lang w:val="fr-FR"/>
        </w:rPr>
        <w:noBreakHyphen/>
        <w:t xml:space="preserve">groupe sur les finances recommande </w:t>
      </w:r>
      <w:r w:rsidR="0097443C" w:rsidRPr="00D729E2">
        <w:rPr>
          <w:rFonts w:asciiTheme="minorHAnsi" w:hAnsiTheme="minorHAnsi" w:cstheme="minorHAnsi"/>
          <w:b/>
          <w:i/>
          <w:lang w:val="fr-FR"/>
        </w:rPr>
        <w:t>au</w:t>
      </w:r>
      <w:r w:rsidRPr="00D729E2">
        <w:rPr>
          <w:rFonts w:asciiTheme="minorHAnsi" w:hAnsiTheme="minorHAnsi" w:cstheme="minorHAnsi"/>
          <w:b/>
          <w:i/>
          <w:lang w:val="fr-FR"/>
        </w:rPr>
        <w:t xml:space="preserve"> Comité permanent</w:t>
      </w:r>
      <w:r w:rsidR="0097443C" w:rsidRPr="00D729E2">
        <w:rPr>
          <w:rFonts w:asciiTheme="minorHAnsi" w:hAnsiTheme="minorHAnsi" w:cstheme="minorHAnsi"/>
          <w:b/>
          <w:i/>
          <w:lang w:val="fr-FR"/>
        </w:rPr>
        <w:t xml:space="preserve"> de</w:t>
      </w:r>
      <w:r w:rsidR="00D729E2" w:rsidRPr="00D729E2">
        <w:rPr>
          <w:rFonts w:asciiTheme="minorHAnsi" w:hAnsiTheme="minorHAnsi" w:cstheme="minorHAnsi"/>
          <w:b/>
          <w:i/>
          <w:lang w:val="fr-FR"/>
        </w:rPr>
        <w:t xml:space="preserve"> prendre note</w:t>
      </w:r>
      <w:r w:rsidRPr="00D729E2">
        <w:rPr>
          <w:rFonts w:asciiTheme="minorHAnsi" w:hAnsiTheme="minorHAnsi" w:cstheme="minorHAnsi"/>
          <w:b/>
          <w:i/>
          <w:lang w:val="fr-FR"/>
        </w:rPr>
        <w:t> :</w:t>
      </w:r>
      <w:r w:rsidR="00356EEC" w:rsidRPr="00D729E2">
        <w:rPr>
          <w:rFonts w:asciiTheme="minorHAnsi" w:hAnsiTheme="minorHAnsi" w:cstheme="minorHAnsi"/>
          <w:b/>
          <w:i/>
          <w:lang w:val="fr-FR"/>
        </w:rPr>
        <w:t xml:space="preserve"> </w:t>
      </w:r>
    </w:p>
    <w:p w14:paraId="27896C49" w14:textId="4D802626" w:rsidR="00356EEC" w:rsidRPr="00D729E2" w:rsidRDefault="00B24FC7" w:rsidP="00B24FC7">
      <w:pPr>
        <w:widowControl/>
        <w:ind w:left="426" w:hanging="426"/>
        <w:rPr>
          <w:rFonts w:asciiTheme="minorHAnsi" w:hAnsiTheme="minorHAnsi" w:cstheme="minorHAnsi"/>
          <w:b/>
          <w:i/>
          <w:lang w:val="fr-FR"/>
        </w:rPr>
      </w:pPr>
      <w:r w:rsidRPr="00D729E2">
        <w:rPr>
          <w:rFonts w:asciiTheme="minorHAnsi" w:hAnsiTheme="minorHAnsi" w:cstheme="minorHAnsi"/>
          <w:b/>
          <w:i/>
          <w:lang w:val="fr-FR"/>
        </w:rPr>
        <w:t>i</w:t>
      </w:r>
      <w:r w:rsidR="00AC03CD" w:rsidRPr="00D729E2">
        <w:rPr>
          <w:rFonts w:asciiTheme="minorHAnsi" w:hAnsiTheme="minorHAnsi" w:cstheme="minorHAnsi"/>
          <w:b/>
          <w:i/>
          <w:lang w:val="fr-FR"/>
        </w:rPr>
        <w:t>)</w:t>
      </w:r>
      <w:r w:rsidRPr="00D729E2">
        <w:rPr>
          <w:rFonts w:asciiTheme="minorHAnsi" w:hAnsiTheme="minorHAnsi" w:cstheme="minorHAnsi"/>
          <w:b/>
          <w:i/>
          <w:lang w:val="fr-FR"/>
        </w:rPr>
        <w:tab/>
      </w:r>
      <w:r w:rsidR="0097443C" w:rsidRPr="00D729E2">
        <w:rPr>
          <w:rFonts w:asciiTheme="minorHAnsi" w:hAnsiTheme="minorHAnsi" w:cstheme="minorHAnsi"/>
          <w:b/>
          <w:i/>
          <w:lang w:val="fr-FR"/>
        </w:rPr>
        <w:t>de l’état des contributions annuelles ;</w:t>
      </w:r>
      <w:r w:rsidR="00356EEC" w:rsidRPr="00D729E2">
        <w:rPr>
          <w:rFonts w:asciiTheme="minorHAnsi" w:hAnsiTheme="minorHAnsi" w:cstheme="minorHAnsi"/>
          <w:b/>
          <w:i/>
          <w:lang w:val="fr-FR"/>
        </w:rPr>
        <w:t xml:space="preserve"> </w:t>
      </w:r>
    </w:p>
    <w:p w14:paraId="5E0BE71D" w14:textId="5E97A583" w:rsidR="00356EEC" w:rsidRPr="00D729E2" w:rsidRDefault="00B24FC7" w:rsidP="00B24FC7">
      <w:pPr>
        <w:widowControl/>
        <w:ind w:left="426" w:hanging="426"/>
        <w:rPr>
          <w:rFonts w:asciiTheme="minorHAnsi" w:hAnsiTheme="minorHAnsi" w:cstheme="minorHAnsi"/>
          <w:b/>
          <w:i/>
          <w:lang w:val="fr-FR"/>
        </w:rPr>
      </w:pPr>
      <w:r w:rsidRPr="00D729E2">
        <w:rPr>
          <w:b/>
          <w:i/>
          <w:lang w:val="fr-FR"/>
        </w:rPr>
        <w:t>ii</w:t>
      </w:r>
      <w:r w:rsidR="00AC03CD" w:rsidRPr="00D729E2">
        <w:rPr>
          <w:b/>
          <w:i/>
          <w:lang w:val="fr-FR"/>
        </w:rPr>
        <w:t>)</w:t>
      </w:r>
      <w:r w:rsidRPr="00D729E2">
        <w:rPr>
          <w:b/>
          <w:i/>
          <w:lang w:val="fr-FR"/>
        </w:rPr>
        <w:tab/>
      </w:r>
      <w:r w:rsidR="00D729E2" w:rsidRPr="00D729E2">
        <w:rPr>
          <w:b/>
          <w:i/>
          <w:lang w:val="fr-FR"/>
        </w:rPr>
        <w:t>des mesures énumérées aux paragraphes 1</w:t>
      </w:r>
      <w:r w:rsidR="0099573B">
        <w:rPr>
          <w:b/>
          <w:i/>
          <w:lang w:val="fr-FR"/>
        </w:rPr>
        <w:t>2</w:t>
      </w:r>
      <w:r w:rsidR="00D729E2" w:rsidRPr="00D729E2">
        <w:rPr>
          <w:b/>
          <w:i/>
          <w:lang w:val="fr-FR"/>
        </w:rPr>
        <w:t xml:space="preserve"> et 1</w:t>
      </w:r>
      <w:r w:rsidR="0099573B">
        <w:rPr>
          <w:b/>
          <w:i/>
          <w:lang w:val="fr-FR"/>
        </w:rPr>
        <w:t>3 du document SC59/2022 Doc.8.2</w:t>
      </w:r>
      <w:r w:rsidR="00D729E2" w:rsidRPr="00D729E2">
        <w:rPr>
          <w:b/>
          <w:i/>
          <w:lang w:val="fr-FR"/>
        </w:rPr>
        <w:t xml:space="preserve"> sur l’approche de groupe pour confirmer les arriérés de contributions dans le cadre du processus </w:t>
      </w:r>
      <w:r w:rsidR="0099573B">
        <w:rPr>
          <w:b/>
          <w:i/>
          <w:lang w:val="fr-FR"/>
        </w:rPr>
        <w:t>d’audit</w:t>
      </w:r>
      <w:r w:rsidR="00D729E2" w:rsidRPr="00D729E2">
        <w:rPr>
          <w:b/>
          <w:i/>
          <w:lang w:val="fr-FR"/>
        </w:rPr>
        <w:t xml:space="preserve"> </w:t>
      </w:r>
      <w:r w:rsidR="0097443C" w:rsidRPr="00D729E2">
        <w:rPr>
          <w:rFonts w:asciiTheme="minorHAnsi" w:hAnsiTheme="minorHAnsi" w:cstheme="minorHAnsi"/>
          <w:b/>
          <w:i/>
          <w:lang w:val="fr-FR"/>
        </w:rPr>
        <w:t xml:space="preserve">; </w:t>
      </w:r>
    </w:p>
    <w:p w14:paraId="09AE1F07" w14:textId="106412ED" w:rsidR="00356EEC" w:rsidRPr="00D729E2" w:rsidRDefault="00B24FC7" w:rsidP="00B24FC7">
      <w:pPr>
        <w:widowControl/>
        <w:ind w:left="426" w:hanging="426"/>
        <w:rPr>
          <w:rFonts w:asciiTheme="minorHAnsi" w:hAnsiTheme="minorHAnsi" w:cstheme="minorHAnsi"/>
          <w:b/>
          <w:i/>
          <w:lang w:val="fr-FR"/>
        </w:rPr>
      </w:pPr>
      <w:r w:rsidRPr="00D729E2">
        <w:rPr>
          <w:b/>
          <w:i/>
          <w:lang w:val="fr-FR"/>
        </w:rPr>
        <w:t>iii</w:t>
      </w:r>
      <w:r w:rsidR="00AC03CD" w:rsidRPr="00D729E2">
        <w:rPr>
          <w:b/>
          <w:i/>
          <w:lang w:val="fr-FR"/>
        </w:rPr>
        <w:t>)</w:t>
      </w:r>
      <w:r w:rsidRPr="00D729E2">
        <w:rPr>
          <w:b/>
          <w:i/>
          <w:lang w:val="fr-FR"/>
        </w:rPr>
        <w:tab/>
      </w:r>
      <w:r w:rsidR="00D729E2" w:rsidRPr="00D729E2">
        <w:rPr>
          <w:b/>
          <w:i/>
          <w:lang w:val="fr-FR"/>
        </w:rPr>
        <w:t>des mesures énumérées aux paragraphes 1</w:t>
      </w:r>
      <w:r w:rsidR="0099573B">
        <w:rPr>
          <w:b/>
          <w:i/>
          <w:lang w:val="fr-FR"/>
        </w:rPr>
        <w:t>6</w:t>
      </w:r>
      <w:r w:rsidR="00D729E2" w:rsidRPr="00D729E2">
        <w:rPr>
          <w:b/>
          <w:i/>
          <w:lang w:val="fr-FR"/>
        </w:rPr>
        <w:t>,</w:t>
      </w:r>
      <w:r w:rsidR="0099573B">
        <w:rPr>
          <w:b/>
          <w:i/>
          <w:lang w:val="fr-FR"/>
        </w:rPr>
        <w:t xml:space="preserve"> 18, </w:t>
      </w:r>
      <w:r w:rsidR="00D729E2" w:rsidRPr="00D729E2">
        <w:rPr>
          <w:b/>
          <w:i/>
          <w:lang w:val="fr-FR"/>
        </w:rPr>
        <w:t>19</w:t>
      </w:r>
      <w:r w:rsidR="0099573B">
        <w:rPr>
          <w:b/>
          <w:i/>
          <w:lang w:val="fr-FR"/>
        </w:rPr>
        <w:t xml:space="preserve"> et</w:t>
      </w:r>
      <w:r w:rsidR="00D729E2" w:rsidRPr="00D729E2">
        <w:rPr>
          <w:b/>
          <w:i/>
          <w:lang w:val="fr-FR"/>
        </w:rPr>
        <w:t xml:space="preserve"> 20 </w:t>
      </w:r>
      <w:r w:rsidR="0099573B">
        <w:rPr>
          <w:b/>
          <w:i/>
          <w:lang w:val="fr-FR"/>
        </w:rPr>
        <w:t>du document SC59/2022 Doc.8.2</w:t>
      </w:r>
      <w:r w:rsidR="0099573B" w:rsidRPr="00D729E2">
        <w:rPr>
          <w:b/>
          <w:i/>
          <w:lang w:val="fr-FR"/>
        </w:rPr>
        <w:t xml:space="preserve"> </w:t>
      </w:r>
      <w:r w:rsidR="0099573B">
        <w:rPr>
          <w:b/>
          <w:i/>
          <w:lang w:val="fr-FR"/>
        </w:rPr>
        <w:t>pour</w:t>
      </w:r>
      <w:r w:rsidR="00D729E2" w:rsidRPr="00D729E2">
        <w:rPr>
          <w:b/>
          <w:i/>
          <w:lang w:val="fr-FR"/>
        </w:rPr>
        <w:t xml:space="preserve"> continuer d’encourager </w:t>
      </w:r>
      <w:r w:rsidR="0099573B">
        <w:rPr>
          <w:b/>
          <w:i/>
          <w:lang w:val="fr-FR"/>
        </w:rPr>
        <w:t>les Parties contractantes à verser leurs</w:t>
      </w:r>
      <w:r w:rsidR="00D729E2" w:rsidRPr="00D729E2">
        <w:rPr>
          <w:b/>
          <w:i/>
          <w:lang w:val="fr-FR"/>
        </w:rPr>
        <w:t xml:space="preserve"> contributions annuelles</w:t>
      </w:r>
      <w:r w:rsidR="0099573B">
        <w:rPr>
          <w:b/>
          <w:i/>
          <w:lang w:val="fr-FR"/>
        </w:rPr>
        <w:t> </w:t>
      </w:r>
      <w:r w:rsidR="00D729E2" w:rsidRPr="00D729E2">
        <w:rPr>
          <w:b/>
          <w:i/>
          <w:lang w:val="fr-FR"/>
        </w:rPr>
        <w:t>;</w:t>
      </w:r>
      <w:r w:rsidR="0097443C" w:rsidRPr="00D729E2">
        <w:rPr>
          <w:rFonts w:asciiTheme="minorHAnsi" w:hAnsiTheme="minorHAnsi" w:cstheme="minorHAnsi"/>
          <w:b/>
          <w:i/>
          <w:lang w:val="fr-FR"/>
        </w:rPr>
        <w:t xml:space="preserve"> </w:t>
      </w:r>
    </w:p>
    <w:p w14:paraId="77E8FAB3" w14:textId="67C84383" w:rsidR="00356EEC" w:rsidRPr="00D729E2" w:rsidRDefault="00B24FC7" w:rsidP="00B24FC7">
      <w:pPr>
        <w:widowControl/>
        <w:ind w:left="426" w:hanging="426"/>
        <w:rPr>
          <w:rFonts w:asciiTheme="minorHAnsi" w:hAnsiTheme="minorHAnsi" w:cstheme="minorHAnsi"/>
          <w:b/>
          <w:i/>
          <w:lang w:val="fr-FR"/>
        </w:rPr>
      </w:pPr>
      <w:r w:rsidRPr="00D729E2">
        <w:rPr>
          <w:rFonts w:asciiTheme="minorHAnsi" w:hAnsiTheme="minorHAnsi" w:cstheme="minorHAnsi"/>
          <w:b/>
          <w:i/>
          <w:lang w:val="fr-FR"/>
        </w:rPr>
        <w:t>iv</w:t>
      </w:r>
      <w:r w:rsidR="00AC03CD" w:rsidRPr="00D729E2">
        <w:rPr>
          <w:rFonts w:asciiTheme="minorHAnsi" w:hAnsiTheme="minorHAnsi" w:cstheme="minorHAnsi"/>
          <w:b/>
          <w:i/>
          <w:lang w:val="fr-FR"/>
        </w:rPr>
        <w:t>)</w:t>
      </w:r>
      <w:r w:rsidRPr="00D729E2">
        <w:rPr>
          <w:rFonts w:asciiTheme="minorHAnsi" w:hAnsiTheme="minorHAnsi" w:cstheme="minorHAnsi"/>
          <w:b/>
          <w:i/>
          <w:lang w:val="fr-FR"/>
        </w:rPr>
        <w:tab/>
      </w:r>
      <w:r w:rsidR="00D729E2" w:rsidRPr="00D729E2">
        <w:rPr>
          <w:rFonts w:asciiTheme="minorHAnsi" w:hAnsiTheme="minorHAnsi" w:cstheme="minorHAnsi"/>
          <w:b/>
          <w:i/>
          <w:lang w:val="fr-FR"/>
        </w:rPr>
        <w:t>des changements dans les contributions annuelles à recevoir et dans l</w:t>
      </w:r>
      <w:r w:rsidR="00824771">
        <w:rPr>
          <w:rFonts w:asciiTheme="minorHAnsi" w:hAnsiTheme="minorHAnsi" w:cstheme="minorHAnsi"/>
          <w:b/>
          <w:i/>
          <w:lang w:val="fr-FR"/>
        </w:rPr>
        <w:t>a</w:t>
      </w:r>
      <w:r w:rsidR="00D729E2" w:rsidRPr="00D729E2">
        <w:rPr>
          <w:rFonts w:asciiTheme="minorHAnsi" w:hAnsiTheme="minorHAnsi" w:cstheme="minorHAnsi"/>
          <w:b/>
          <w:i/>
          <w:lang w:val="fr-FR"/>
        </w:rPr>
        <w:t xml:space="preserve"> provision annuelle pour les contributions à recevoir ; et</w:t>
      </w:r>
      <w:r w:rsidR="0097443C" w:rsidRPr="00D729E2">
        <w:rPr>
          <w:rFonts w:asciiTheme="minorHAnsi" w:hAnsiTheme="minorHAnsi" w:cstheme="minorHAnsi"/>
          <w:b/>
          <w:i/>
          <w:lang w:val="fr-FR"/>
        </w:rPr>
        <w:t xml:space="preserve"> </w:t>
      </w:r>
    </w:p>
    <w:p w14:paraId="3FE696D8" w14:textId="5F98622C" w:rsidR="00356EEC" w:rsidRPr="00D729E2" w:rsidRDefault="00B24FC7" w:rsidP="00B24FC7">
      <w:pPr>
        <w:widowControl/>
        <w:ind w:left="426" w:hanging="426"/>
        <w:rPr>
          <w:rFonts w:asciiTheme="minorHAnsi" w:hAnsiTheme="minorHAnsi" w:cstheme="minorHAnsi"/>
          <w:b/>
          <w:i/>
          <w:lang w:val="fr-FR"/>
        </w:rPr>
      </w:pPr>
      <w:r w:rsidRPr="00D729E2">
        <w:rPr>
          <w:rFonts w:asciiTheme="minorHAnsi" w:hAnsiTheme="minorHAnsi" w:cstheme="minorHAnsi"/>
          <w:b/>
          <w:i/>
          <w:lang w:val="fr-FR"/>
        </w:rPr>
        <w:t>v</w:t>
      </w:r>
      <w:r w:rsidR="00AC03CD" w:rsidRPr="00D729E2">
        <w:rPr>
          <w:rFonts w:asciiTheme="minorHAnsi" w:hAnsiTheme="minorHAnsi" w:cstheme="minorHAnsi"/>
          <w:b/>
          <w:i/>
          <w:lang w:val="fr-FR"/>
        </w:rPr>
        <w:t>)</w:t>
      </w:r>
      <w:r w:rsidRPr="00D729E2">
        <w:rPr>
          <w:rFonts w:asciiTheme="minorHAnsi" w:hAnsiTheme="minorHAnsi" w:cstheme="minorHAnsi"/>
          <w:b/>
          <w:i/>
          <w:lang w:val="fr-FR"/>
        </w:rPr>
        <w:tab/>
      </w:r>
      <w:r w:rsidR="00013129">
        <w:rPr>
          <w:rFonts w:asciiTheme="minorHAnsi" w:hAnsiTheme="minorHAnsi" w:cstheme="minorHAnsi"/>
          <w:b/>
          <w:i/>
          <w:lang w:val="fr-FR"/>
        </w:rPr>
        <w:t xml:space="preserve">de l’état </w:t>
      </w:r>
      <w:r w:rsidR="00D729E2" w:rsidRPr="00D729E2">
        <w:rPr>
          <w:rFonts w:asciiTheme="minorHAnsi" w:hAnsiTheme="minorHAnsi" w:cstheme="minorHAnsi"/>
          <w:b/>
          <w:i/>
          <w:lang w:val="fr-FR"/>
        </w:rPr>
        <w:t>actuel des contributions volontaires de la région Afrique</w:t>
      </w:r>
      <w:r w:rsidR="0097443C" w:rsidRPr="00D729E2">
        <w:rPr>
          <w:rFonts w:asciiTheme="minorHAnsi" w:hAnsiTheme="minorHAnsi" w:cstheme="minorHAnsi"/>
          <w:b/>
          <w:i/>
          <w:lang w:val="fr-FR"/>
        </w:rPr>
        <w:t xml:space="preserve">. </w:t>
      </w:r>
    </w:p>
    <w:p w14:paraId="4BF1EFAA" w14:textId="3963D904" w:rsidR="0066724B" w:rsidRPr="001F4456" w:rsidRDefault="0066724B" w:rsidP="00711D36">
      <w:pPr>
        <w:widowControl/>
        <w:rPr>
          <w:rFonts w:asciiTheme="minorHAnsi" w:hAnsiTheme="minorHAnsi" w:cstheme="minorHAnsi"/>
          <w:b/>
          <w:i/>
          <w:lang w:val="fr-CH"/>
        </w:rPr>
      </w:pPr>
    </w:p>
    <w:p w14:paraId="46895208" w14:textId="4D90B10B" w:rsidR="0066724B" w:rsidRPr="001F4456" w:rsidRDefault="0066724B" w:rsidP="00711D36">
      <w:pPr>
        <w:widowControl/>
        <w:rPr>
          <w:rFonts w:asciiTheme="minorHAnsi" w:hAnsiTheme="minorHAnsi" w:cstheme="minorHAnsi"/>
          <w:b/>
          <w:i/>
          <w:lang w:val="fr-CH"/>
        </w:rPr>
      </w:pPr>
    </w:p>
    <w:p w14:paraId="4CE74308" w14:textId="5267CEB1" w:rsidR="009F5EF8" w:rsidRPr="001F4456" w:rsidRDefault="00711D36" w:rsidP="008F6EDE">
      <w:pPr>
        <w:widowControl/>
        <w:autoSpaceDE/>
        <w:autoSpaceDN/>
        <w:ind w:left="426" w:hanging="426"/>
        <w:rPr>
          <w:rFonts w:asciiTheme="minorHAnsi" w:hAnsiTheme="minorHAnsi" w:cstheme="minorHAnsi"/>
          <w:b/>
          <w:lang w:val="fr-CH"/>
        </w:rPr>
      </w:pPr>
      <w:r w:rsidRPr="001F4456">
        <w:rPr>
          <w:rFonts w:asciiTheme="minorHAnsi" w:hAnsiTheme="minorHAnsi" w:cstheme="minorHAnsi"/>
          <w:b/>
          <w:lang w:val="fr-CH"/>
        </w:rPr>
        <w:t>2.</w:t>
      </w:r>
      <w:r w:rsidRPr="001F4456">
        <w:rPr>
          <w:rFonts w:asciiTheme="minorHAnsi" w:hAnsiTheme="minorHAnsi" w:cstheme="minorHAnsi"/>
          <w:b/>
          <w:lang w:val="fr-CH"/>
        </w:rPr>
        <w:tab/>
      </w:r>
      <w:r w:rsidR="009F5EF8" w:rsidRPr="001F4456">
        <w:rPr>
          <w:rFonts w:asciiTheme="minorHAnsi" w:hAnsiTheme="minorHAnsi" w:cstheme="minorHAnsi"/>
          <w:b/>
          <w:lang w:val="fr-CH"/>
        </w:rPr>
        <w:t>R</w:t>
      </w:r>
      <w:r w:rsidR="0097443C">
        <w:rPr>
          <w:rFonts w:asciiTheme="minorHAnsi" w:hAnsiTheme="minorHAnsi" w:cstheme="minorHAnsi"/>
          <w:b/>
          <w:lang w:val="fr-CH"/>
        </w:rPr>
        <w:t>apport sur les questions financières pour</w:t>
      </w:r>
      <w:r w:rsidR="009F5EF8" w:rsidRPr="001F4456">
        <w:rPr>
          <w:rFonts w:asciiTheme="minorHAnsi" w:hAnsiTheme="minorHAnsi" w:cstheme="minorHAnsi"/>
          <w:b/>
          <w:lang w:val="fr-CH"/>
        </w:rPr>
        <w:t xml:space="preserve"> 2019-2021 </w:t>
      </w:r>
      <w:r w:rsidR="0097443C">
        <w:rPr>
          <w:rFonts w:asciiTheme="minorHAnsi" w:hAnsiTheme="minorHAnsi" w:cstheme="minorHAnsi"/>
          <w:b/>
          <w:lang w:val="fr-CH"/>
        </w:rPr>
        <w:t>et </w:t>
      </w:r>
      <w:r w:rsidR="009F5EF8" w:rsidRPr="001F4456">
        <w:rPr>
          <w:rFonts w:asciiTheme="minorHAnsi" w:hAnsiTheme="minorHAnsi" w:cstheme="minorHAnsi"/>
          <w:b/>
          <w:lang w:val="fr-CH"/>
        </w:rPr>
        <w:t>2022 (</w:t>
      </w:r>
      <w:r w:rsidRPr="001F4456">
        <w:rPr>
          <w:rFonts w:asciiTheme="minorHAnsi" w:hAnsiTheme="minorHAnsi" w:cstheme="minorHAnsi"/>
          <w:b/>
          <w:lang w:val="fr-CH"/>
        </w:rPr>
        <w:t>d</w:t>
      </w:r>
      <w:r w:rsidR="009F5EF8" w:rsidRPr="001F4456">
        <w:rPr>
          <w:rFonts w:asciiTheme="minorHAnsi" w:hAnsiTheme="minorHAnsi" w:cstheme="minorHAnsi"/>
          <w:b/>
          <w:lang w:val="fr-CH"/>
        </w:rPr>
        <w:t xml:space="preserve">ocument </w:t>
      </w:r>
      <w:r w:rsidR="00E04963" w:rsidRPr="001F4456">
        <w:rPr>
          <w:rFonts w:asciiTheme="minorHAnsi" w:hAnsiTheme="minorHAnsi" w:cstheme="minorHAnsi"/>
          <w:b/>
          <w:lang w:val="fr-CH"/>
        </w:rPr>
        <w:t>SC59</w:t>
      </w:r>
      <w:r w:rsidR="00743F0F" w:rsidRPr="001F4456">
        <w:rPr>
          <w:rFonts w:asciiTheme="minorHAnsi" w:hAnsiTheme="minorHAnsi" w:cstheme="minorHAnsi"/>
          <w:b/>
          <w:lang w:val="fr-CH"/>
        </w:rPr>
        <w:t>/2022</w:t>
      </w:r>
      <w:r w:rsidR="00E04963" w:rsidRPr="001F4456">
        <w:rPr>
          <w:rFonts w:asciiTheme="minorHAnsi" w:hAnsiTheme="minorHAnsi" w:cstheme="minorHAnsi"/>
          <w:b/>
          <w:lang w:val="fr-CH"/>
        </w:rPr>
        <w:t xml:space="preserve"> </w:t>
      </w:r>
      <w:r w:rsidR="009F5EF8" w:rsidRPr="001F4456">
        <w:rPr>
          <w:rFonts w:asciiTheme="minorHAnsi" w:hAnsiTheme="minorHAnsi" w:cstheme="minorHAnsi"/>
          <w:b/>
          <w:lang w:val="fr-CH"/>
        </w:rPr>
        <w:t>D</w:t>
      </w:r>
      <w:r w:rsidR="00E04963" w:rsidRPr="001F4456">
        <w:rPr>
          <w:rFonts w:asciiTheme="minorHAnsi" w:hAnsiTheme="minorHAnsi" w:cstheme="minorHAnsi"/>
          <w:b/>
          <w:lang w:val="fr-CH"/>
        </w:rPr>
        <w:t>oc.8.1</w:t>
      </w:r>
      <w:r w:rsidR="009F5EF8" w:rsidRPr="001F4456">
        <w:rPr>
          <w:rFonts w:asciiTheme="minorHAnsi" w:hAnsiTheme="minorHAnsi" w:cstheme="minorHAnsi"/>
          <w:b/>
          <w:lang w:val="fr-CH"/>
        </w:rPr>
        <w:t>)</w:t>
      </w:r>
      <w:r w:rsidR="002C2CCE" w:rsidRPr="001F4456">
        <w:rPr>
          <w:rStyle w:val="FootnoteReference"/>
          <w:rFonts w:asciiTheme="minorHAnsi" w:hAnsiTheme="minorHAnsi" w:cstheme="minorHAnsi"/>
          <w:b/>
          <w:lang w:val="fr-CH"/>
        </w:rPr>
        <w:footnoteReference w:id="1"/>
      </w:r>
      <w:r w:rsidR="00E04963" w:rsidRPr="001F4456">
        <w:rPr>
          <w:rFonts w:asciiTheme="minorHAnsi" w:hAnsiTheme="minorHAnsi" w:cstheme="minorHAnsi"/>
          <w:b/>
          <w:lang w:val="fr-CH"/>
        </w:rPr>
        <w:t xml:space="preserve"> </w:t>
      </w:r>
    </w:p>
    <w:p w14:paraId="19B1EDE6" w14:textId="77777777" w:rsidR="00F63469" w:rsidRPr="001F4456" w:rsidRDefault="00F63469" w:rsidP="00711D36">
      <w:pPr>
        <w:widowControl/>
        <w:ind w:left="426" w:hanging="426"/>
        <w:rPr>
          <w:rFonts w:asciiTheme="minorHAnsi" w:hAnsiTheme="minorHAnsi" w:cstheme="minorHAnsi"/>
          <w:lang w:val="fr-CH"/>
        </w:rPr>
      </w:pPr>
    </w:p>
    <w:p w14:paraId="5A0049A6" w14:textId="43DCB7B4" w:rsidR="00F63469" w:rsidRPr="001F4456" w:rsidRDefault="005B2011" w:rsidP="00711D36">
      <w:pPr>
        <w:widowControl/>
        <w:rPr>
          <w:rFonts w:asciiTheme="minorHAnsi" w:hAnsiTheme="minorHAnsi" w:cstheme="minorHAnsi"/>
          <w:lang w:val="fr-CH"/>
        </w:rPr>
      </w:pPr>
      <w:r>
        <w:rPr>
          <w:rFonts w:asciiTheme="minorHAnsi" w:hAnsiTheme="minorHAnsi" w:cstheme="minorHAnsi"/>
          <w:lang w:val="fr-CH"/>
        </w:rPr>
        <w:t xml:space="preserve">La Secrétaire générale présente les éléments du document </w:t>
      </w:r>
      <w:r w:rsidR="00F63469" w:rsidRPr="001F4456">
        <w:rPr>
          <w:rFonts w:asciiTheme="minorHAnsi" w:hAnsiTheme="minorHAnsi" w:cstheme="minorHAnsi"/>
          <w:lang w:val="fr-CH"/>
        </w:rPr>
        <w:t>SC59</w:t>
      </w:r>
      <w:r w:rsidR="009F5EF8" w:rsidRPr="001F4456">
        <w:rPr>
          <w:rFonts w:asciiTheme="minorHAnsi" w:hAnsiTheme="minorHAnsi" w:cstheme="minorHAnsi"/>
          <w:lang w:val="fr-CH"/>
        </w:rPr>
        <w:t xml:space="preserve">/2022 </w:t>
      </w:r>
      <w:r w:rsidR="00F63469" w:rsidRPr="001F4456">
        <w:rPr>
          <w:rFonts w:asciiTheme="minorHAnsi" w:hAnsiTheme="minorHAnsi" w:cstheme="minorHAnsi"/>
          <w:lang w:val="fr-CH"/>
        </w:rPr>
        <w:t xml:space="preserve">Doc.8.1 </w:t>
      </w:r>
      <w:r>
        <w:rPr>
          <w:rFonts w:asciiTheme="minorHAnsi" w:hAnsiTheme="minorHAnsi" w:cstheme="minorHAnsi"/>
          <w:lang w:val="fr-CH"/>
        </w:rPr>
        <w:t xml:space="preserve">qui </w:t>
      </w:r>
      <w:r w:rsidR="009D4211">
        <w:rPr>
          <w:rFonts w:asciiTheme="minorHAnsi" w:hAnsiTheme="minorHAnsi" w:cstheme="minorHAnsi"/>
          <w:lang w:val="fr-CH"/>
        </w:rPr>
        <w:t>ont</w:t>
      </w:r>
      <w:r>
        <w:rPr>
          <w:rFonts w:asciiTheme="minorHAnsi" w:hAnsiTheme="minorHAnsi" w:cstheme="minorHAnsi"/>
          <w:lang w:val="fr-CH"/>
        </w:rPr>
        <w:t xml:space="preserve"> trait aux états financiers de </w:t>
      </w:r>
      <w:r w:rsidR="00E9401C" w:rsidRPr="001F4456">
        <w:rPr>
          <w:rFonts w:asciiTheme="minorHAnsi" w:hAnsiTheme="minorHAnsi" w:cstheme="minorHAnsi"/>
          <w:lang w:val="fr-CH"/>
        </w:rPr>
        <w:t>202</w:t>
      </w:r>
      <w:r w:rsidR="009F5EF8" w:rsidRPr="001F4456">
        <w:rPr>
          <w:rFonts w:asciiTheme="minorHAnsi" w:hAnsiTheme="minorHAnsi" w:cstheme="minorHAnsi"/>
          <w:lang w:val="fr-CH"/>
        </w:rPr>
        <w:t>1</w:t>
      </w:r>
      <w:r>
        <w:rPr>
          <w:rFonts w:asciiTheme="minorHAnsi" w:hAnsiTheme="minorHAnsi" w:cstheme="minorHAnsi"/>
          <w:lang w:val="fr-CH"/>
        </w:rPr>
        <w:t xml:space="preserve">, soulignant l’ajout des états vérifiés et notant que les </w:t>
      </w:r>
      <w:r w:rsidR="009D4211">
        <w:rPr>
          <w:rFonts w:asciiTheme="minorHAnsi" w:hAnsiTheme="minorHAnsi" w:cstheme="minorHAnsi"/>
          <w:lang w:val="fr-CH"/>
        </w:rPr>
        <w:t>auditeurs</w:t>
      </w:r>
      <w:r>
        <w:rPr>
          <w:rFonts w:asciiTheme="minorHAnsi" w:hAnsiTheme="minorHAnsi" w:cstheme="minorHAnsi"/>
          <w:lang w:val="fr-CH"/>
        </w:rPr>
        <w:t xml:space="preserve"> externes n’ont </w:t>
      </w:r>
      <w:r w:rsidR="009D4211">
        <w:rPr>
          <w:rFonts w:asciiTheme="minorHAnsi" w:hAnsiTheme="minorHAnsi" w:cstheme="minorHAnsi"/>
          <w:lang w:val="fr-CH"/>
        </w:rPr>
        <w:t>soulevé</w:t>
      </w:r>
      <w:r>
        <w:rPr>
          <w:rFonts w:asciiTheme="minorHAnsi" w:hAnsiTheme="minorHAnsi" w:cstheme="minorHAnsi"/>
          <w:lang w:val="fr-CH"/>
        </w:rPr>
        <w:t xml:space="preserve"> aucun</w:t>
      </w:r>
      <w:r w:rsidR="00B736CC">
        <w:rPr>
          <w:rFonts w:asciiTheme="minorHAnsi" w:hAnsiTheme="minorHAnsi" w:cstheme="minorHAnsi"/>
          <w:lang w:val="fr-CH"/>
        </w:rPr>
        <w:t xml:space="preserve"> problème</w:t>
      </w:r>
      <w:r w:rsidR="001D29C3">
        <w:rPr>
          <w:rFonts w:asciiTheme="minorHAnsi" w:hAnsiTheme="minorHAnsi" w:cstheme="minorHAnsi"/>
          <w:lang w:val="fr-CH"/>
        </w:rPr>
        <w:t>, confirmant ainsi les résultats positifs et les améliorations apportées ces dernières années</w:t>
      </w:r>
      <w:r>
        <w:rPr>
          <w:rFonts w:asciiTheme="minorHAnsi" w:hAnsiTheme="minorHAnsi" w:cstheme="minorHAnsi"/>
          <w:lang w:val="fr-CH"/>
        </w:rPr>
        <w:t xml:space="preserve">. </w:t>
      </w:r>
      <w:r w:rsidR="006A1295">
        <w:rPr>
          <w:rFonts w:asciiTheme="minorHAnsi" w:hAnsiTheme="minorHAnsi" w:cstheme="minorHAnsi"/>
          <w:lang w:val="fr-CH"/>
        </w:rPr>
        <w:t xml:space="preserve">Elle </w:t>
      </w:r>
      <w:r w:rsidR="00443D18">
        <w:rPr>
          <w:rFonts w:asciiTheme="minorHAnsi" w:hAnsiTheme="minorHAnsi" w:cstheme="minorHAnsi"/>
          <w:lang w:val="fr-CH"/>
        </w:rPr>
        <w:t>souligne</w:t>
      </w:r>
      <w:r w:rsidR="006A1295">
        <w:rPr>
          <w:rFonts w:asciiTheme="minorHAnsi" w:hAnsiTheme="minorHAnsi" w:cstheme="minorHAnsi"/>
          <w:lang w:val="fr-CH"/>
        </w:rPr>
        <w:t xml:space="preserve"> les économies accumulées </w:t>
      </w:r>
      <w:r w:rsidR="0031773D">
        <w:rPr>
          <w:rFonts w:asciiTheme="minorHAnsi" w:hAnsiTheme="minorHAnsi" w:cstheme="minorHAnsi"/>
          <w:lang w:val="fr-CH"/>
        </w:rPr>
        <w:t>dans la période triennale 2019-</w:t>
      </w:r>
      <w:r w:rsidR="006A1295">
        <w:rPr>
          <w:rFonts w:asciiTheme="minorHAnsi" w:hAnsiTheme="minorHAnsi" w:cstheme="minorHAnsi"/>
          <w:lang w:val="fr-CH"/>
        </w:rPr>
        <w:t xml:space="preserve">2021 en raison </w:t>
      </w:r>
      <w:r w:rsidR="0031773D">
        <w:rPr>
          <w:rFonts w:asciiTheme="minorHAnsi" w:hAnsiTheme="minorHAnsi" w:cstheme="minorHAnsi"/>
          <w:lang w:val="fr-CH"/>
        </w:rPr>
        <w:t xml:space="preserve">des incidences </w:t>
      </w:r>
      <w:r w:rsidR="006A1295">
        <w:rPr>
          <w:rFonts w:asciiTheme="minorHAnsi" w:hAnsiTheme="minorHAnsi" w:cstheme="minorHAnsi"/>
          <w:lang w:val="fr-CH"/>
        </w:rPr>
        <w:t>de la pandémie de COVID</w:t>
      </w:r>
      <w:r w:rsidR="006A1295">
        <w:rPr>
          <w:rFonts w:asciiTheme="minorHAnsi" w:hAnsiTheme="minorHAnsi" w:cstheme="minorHAnsi"/>
          <w:lang w:val="fr-CH"/>
        </w:rPr>
        <w:noBreakHyphen/>
        <w:t xml:space="preserve">19, </w:t>
      </w:r>
      <w:r w:rsidR="0031773D">
        <w:rPr>
          <w:rFonts w:asciiTheme="minorHAnsi" w:hAnsiTheme="minorHAnsi" w:cstheme="minorHAnsi"/>
          <w:lang w:val="fr-CH"/>
        </w:rPr>
        <w:t xml:space="preserve">ce qui a abouti à une faible </w:t>
      </w:r>
      <w:r w:rsidR="00636C04">
        <w:rPr>
          <w:rFonts w:asciiTheme="minorHAnsi" w:hAnsiTheme="minorHAnsi" w:cstheme="minorHAnsi"/>
          <w:lang w:val="fr-CH"/>
        </w:rPr>
        <w:t>exécution</w:t>
      </w:r>
      <w:r w:rsidR="0031773D">
        <w:rPr>
          <w:rFonts w:asciiTheme="minorHAnsi" w:hAnsiTheme="minorHAnsi" w:cstheme="minorHAnsi"/>
          <w:lang w:val="fr-CH"/>
        </w:rPr>
        <w:t xml:space="preserve"> de certaines lignes budgétaires, </w:t>
      </w:r>
      <w:r w:rsidR="006A1295">
        <w:rPr>
          <w:rFonts w:asciiTheme="minorHAnsi" w:hAnsiTheme="minorHAnsi" w:cstheme="minorHAnsi"/>
          <w:lang w:val="fr-CH"/>
        </w:rPr>
        <w:t xml:space="preserve">en particulier sur les voyages, les Missions consultatives Ramsar et les réunions. </w:t>
      </w:r>
    </w:p>
    <w:p w14:paraId="23A7E0BA" w14:textId="138836DB" w:rsidR="00A51A5D" w:rsidRPr="001F4456" w:rsidRDefault="00A51A5D" w:rsidP="00711D36">
      <w:pPr>
        <w:widowControl/>
        <w:rPr>
          <w:rFonts w:asciiTheme="minorHAnsi" w:hAnsiTheme="minorHAnsi" w:cstheme="minorHAnsi"/>
          <w:lang w:val="fr-CH"/>
        </w:rPr>
      </w:pPr>
    </w:p>
    <w:p w14:paraId="6BAD2248" w14:textId="35C2EB35" w:rsidR="00A51A5D" w:rsidRPr="001F4456" w:rsidRDefault="006A1295" w:rsidP="00711D36">
      <w:pPr>
        <w:widowControl/>
        <w:rPr>
          <w:rFonts w:asciiTheme="minorHAnsi" w:hAnsiTheme="minorHAnsi" w:cstheme="minorHAnsi"/>
          <w:lang w:val="fr-CH"/>
        </w:rPr>
      </w:pPr>
      <w:r>
        <w:rPr>
          <w:rFonts w:asciiTheme="minorHAnsi" w:hAnsiTheme="minorHAnsi" w:cstheme="minorHAnsi"/>
          <w:lang w:val="fr-CH"/>
        </w:rPr>
        <w:t xml:space="preserve">Le Sous-groupe </w:t>
      </w:r>
      <w:r w:rsidR="00636C04">
        <w:rPr>
          <w:rFonts w:asciiTheme="minorHAnsi" w:hAnsiTheme="minorHAnsi" w:cstheme="minorHAnsi"/>
          <w:lang w:val="fr-CH"/>
        </w:rPr>
        <w:t>note</w:t>
      </w:r>
      <w:r>
        <w:rPr>
          <w:rFonts w:asciiTheme="minorHAnsi" w:hAnsiTheme="minorHAnsi" w:cstheme="minorHAnsi"/>
          <w:lang w:val="fr-CH"/>
        </w:rPr>
        <w:t xml:space="preserve"> </w:t>
      </w:r>
      <w:r w:rsidR="00443D18">
        <w:rPr>
          <w:rFonts w:asciiTheme="minorHAnsi" w:hAnsiTheme="minorHAnsi" w:cstheme="minorHAnsi"/>
          <w:lang w:val="fr-CH"/>
        </w:rPr>
        <w:t xml:space="preserve">que l’exécution du budget a été </w:t>
      </w:r>
      <w:r>
        <w:rPr>
          <w:rFonts w:asciiTheme="minorHAnsi" w:hAnsiTheme="minorHAnsi" w:cstheme="minorHAnsi"/>
          <w:lang w:val="fr-CH"/>
        </w:rPr>
        <w:t xml:space="preserve">relativement élevée </w:t>
      </w:r>
      <w:r w:rsidR="00A51A5D" w:rsidRPr="001F4456">
        <w:rPr>
          <w:rFonts w:asciiTheme="minorHAnsi" w:hAnsiTheme="minorHAnsi" w:cstheme="minorHAnsi"/>
          <w:lang w:val="fr-CH"/>
        </w:rPr>
        <w:t>(89</w:t>
      </w:r>
      <w:r>
        <w:rPr>
          <w:rFonts w:asciiTheme="minorHAnsi" w:hAnsiTheme="minorHAnsi" w:cstheme="minorHAnsi"/>
          <w:lang w:val="fr-CH"/>
        </w:rPr>
        <w:t> </w:t>
      </w:r>
      <w:r w:rsidR="00A51A5D" w:rsidRPr="001F4456">
        <w:rPr>
          <w:rFonts w:asciiTheme="minorHAnsi" w:hAnsiTheme="minorHAnsi" w:cstheme="minorHAnsi"/>
          <w:lang w:val="fr-CH"/>
        </w:rPr>
        <w:t xml:space="preserve">%) </w:t>
      </w:r>
      <w:r w:rsidR="00443D18">
        <w:rPr>
          <w:rFonts w:asciiTheme="minorHAnsi" w:hAnsiTheme="minorHAnsi" w:cstheme="minorHAnsi"/>
          <w:lang w:val="fr-CH"/>
        </w:rPr>
        <w:t>po</w:t>
      </w:r>
      <w:r>
        <w:rPr>
          <w:rFonts w:asciiTheme="minorHAnsi" w:hAnsiTheme="minorHAnsi" w:cstheme="minorHAnsi"/>
          <w:lang w:val="fr-CH"/>
        </w:rPr>
        <w:t xml:space="preserve">ur les coûts salariaux, </w:t>
      </w:r>
      <w:r w:rsidR="0000357F">
        <w:rPr>
          <w:rFonts w:asciiTheme="minorHAnsi" w:hAnsiTheme="minorHAnsi" w:cstheme="minorHAnsi"/>
          <w:lang w:val="fr-CH"/>
        </w:rPr>
        <w:t>ce qui a un effet positif dans le</w:t>
      </w:r>
      <w:r>
        <w:rPr>
          <w:rFonts w:asciiTheme="minorHAnsi" w:hAnsiTheme="minorHAnsi" w:cstheme="minorHAnsi"/>
          <w:lang w:val="fr-CH"/>
        </w:rPr>
        <w:t xml:space="preserve"> </w:t>
      </w:r>
      <w:r w:rsidR="0000357F">
        <w:rPr>
          <w:rFonts w:asciiTheme="minorHAnsi" w:hAnsiTheme="minorHAnsi" w:cstheme="minorHAnsi"/>
          <w:lang w:val="fr-CH"/>
        </w:rPr>
        <w:t>contexte de la pandémie de COVID-19 par comparaison avec d’autres organisations et félicite le Secrétariat pour ses efforts à cet égard</w:t>
      </w:r>
      <w:r>
        <w:rPr>
          <w:rFonts w:asciiTheme="minorHAnsi" w:hAnsiTheme="minorHAnsi" w:cstheme="minorHAnsi"/>
          <w:lang w:val="fr-CH"/>
        </w:rPr>
        <w:t>.</w:t>
      </w:r>
      <w:r w:rsidR="00F60AB1" w:rsidRPr="001F4456">
        <w:rPr>
          <w:rFonts w:asciiTheme="minorHAnsi" w:hAnsiTheme="minorHAnsi" w:cstheme="minorHAnsi"/>
          <w:lang w:val="fr-CH"/>
        </w:rPr>
        <w:t xml:space="preserve"> </w:t>
      </w:r>
    </w:p>
    <w:p w14:paraId="20587F9C" w14:textId="654E5970" w:rsidR="00C76FD5" w:rsidRPr="001F4456" w:rsidRDefault="00C76FD5" w:rsidP="00711D36">
      <w:pPr>
        <w:widowControl/>
        <w:rPr>
          <w:rFonts w:asciiTheme="minorHAnsi" w:hAnsiTheme="minorHAnsi" w:cstheme="minorHAnsi"/>
          <w:lang w:val="fr-CH"/>
        </w:rPr>
      </w:pPr>
    </w:p>
    <w:p w14:paraId="14E4B75C" w14:textId="1D241BCA" w:rsidR="00312AAB" w:rsidRPr="001F4456" w:rsidRDefault="006A1295" w:rsidP="00711D36">
      <w:pPr>
        <w:widowControl/>
        <w:rPr>
          <w:rFonts w:asciiTheme="minorHAnsi" w:hAnsiTheme="minorHAnsi" w:cstheme="minorHAnsi"/>
          <w:i/>
          <w:iCs/>
          <w:color w:val="0000FF"/>
          <w:lang w:val="fr-CH" w:eastAsia="ja-JP"/>
        </w:rPr>
      </w:pPr>
      <w:r w:rsidRPr="001F4456">
        <w:rPr>
          <w:rFonts w:asciiTheme="minorHAnsi" w:hAnsiTheme="minorHAnsi" w:cstheme="minorHAnsi"/>
          <w:i/>
          <w:color w:val="0000FF"/>
          <w:lang w:val="fr-CH"/>
        </w:rPr>
        <w:t>Recommandation</w:t>
      </w:r>
      <w:r w:rsidR="00312AAB" w:rsidRPr="001F4456">
        <w:rPr>
          <w:rFonts w:asciiTheme="minorHAnsi" w:hAnsiTheme="minorHAnsi" w:cstheme="minorHAnsi"/>
          <w:i/>
          <w:iCs/>
          <w:color w:val="0000FF"/>
          <w:lang w:val="fr-CH" w:eastAsia="ja-JP"/>
        </w:rPr>
        <w:t xml:space="preserve"> </w:t>
      </w:r>
      <w:r>
        <w:rPr>
          <w:rFonts w:asciiTheme="minorHAnsi" w:hAnsiTheme="minorHAnsi" w:cstheme="minorHAnsi"/>
          <w:i/>
          <w:iCs/>
          <w:color w:val="0000FF"/>
          <w:lang w:val="fr-CH" w:eastAsia="ja-JP"/>
        </w:rPr>
        <w:t>pour décision par le Comité permanent :</w:t>
      </w:r>
    </w:p>
    <w:p w14:paraId="5C2B8825" w14:textId="77777777" w:rsidR="00312AAB" w:rsidRPr="00D74D71" w:rsidRDefault="00312AAB" w:rsidP="00711D36">
      <w:pPr>
        <w:widowControl/>
        <w:ind w:left="426" w:hanging="426"/>
        <w:rPr>
          <w:rFonts w:asciiTheme="minorHAnsi" w:hAnsiTheme="minorHAnsi" w:cstheme="minorHAnsi"/>
          <w:lang w:val="fr-FR"/>
        </w:rPr>
      </w:pPr>
    </w:p>
    <w:p w14:paraId="755DCA2A" w14:textId="03F4A5FA" w:rsidR="006302C1" w:rsidRPr="00D74D71" w:rsidRDefault="006A1295" w:rsidP="00711D36">
      <w:pPr>
        <w:widowControl/>
        <w:rPr>
          <w:rFonts w:asciiTheme="minorHAnsi" w:hAnsiTheme="minorHAnsi" w:cstheme="minorHAnsi"/>
          <w:b/>
          <w:i/>
          <w:lang w:val="fr-FR"/>
        </w:rPr>
      </w:pPr>
      <w:r w:rsidRPr="00D74D71">
        <w:rPr>
          <w:rFonts w:asciiTheme="minorHAnsi" w:hAnsiTheme="minorHAnsi" w:cstheme="minorHAnsi"/>
          <w:b/>
          <w:i/>
          <w:lang w:val="fr-FR"/>
        </w:rPr>
        <w:t xml:space="preserve">Le Sous-groupe sur les finances recommande au Comité permanent : </w:t>
      </w:r>
    </w:p>
    <w:p w14:paraId="2A21A73E" w14:textId="00DD768C" w:rsidR="006302C1" w:rsidRPr="00D74D71" w:rsidRDefault="008F6EDE" w:rsidP="00A51A5D">
      <w:pPr>
        <w:widowControl/>
        <w:ind w:left="426" w:hanging="426"/>
        <w:rPr>
          <w:rFonts w:asciiTheme="minorHAnsi" w:hAnsiTheme="minorHAnsi" w:cstheme="minorHAnsi"/>
          <w:b/>
          <w:i/>
          <w:lang w:val="fr-FR"/>
        </w:rPr>
      </w:pPr>
      <w:r w:rsidRPr="00D74D71">
        <w:rPr>
          <w:b/>
          <w:i/>
          <w:lang w:val="fr-FR"/>
        </w:rPr>
        <w:t>i</w:t>
      </w:r>
      <w:r w:rsidR="006A1295" w:rsidRPr="00D74D71">
        <w:rPr>
          <w:b/>
          <w:i/>
          <w:lang w:val="fr-FR"/>
        </w:rPr>
        <w:t>)</w:t>
      </w:r>
      <w:r w:rsidRPr="00D74D71">
        <w:rPr>
          <w:b/>
          <w:i/>
          <w:lang w:val="fr-FR"/>
        </w:rPr>
        <w:tab/>
      </w:r>
      <w:r w:rsidR="006A1295" w:rsidRPr="00D74D71">
        <w:rPr>
          <w:b/>
          <w:i/>
          <w:lang w:val="fr-FR"/>
        </w:rPr>
        <w:t>d’examiner et d’accepter les états financiers vérifiés pour 2021</w:t>
      </w:r>
      <w:r w:rsidR="00305939">
        <w:rPr>
          <w:b/>
          <w:i/>
          <w:lang w:val="fr-FR"/>
        </w:rPr>
        <w:t>,</w:t>
      </w:r>
      <w:r w:rsidR="006A1295" w:rsidRPr="00D74D71">
        <w:rPr>
          <w:b/>
          <w:i/>
          <w:lang w:val="fr-FR"/>
        </w:rPr>
        <w:t xml:space="preserve"> au 31 décembre 2021 ;</w:t>
      </w:r>
    </w:p>
    <w:p w14:paraId="6819C445" w14:textId="087115F3" w:rsidR="006302C1" w:rsidRPr="00D74D71" w:rsidRDefault="008F6EDE" w:rsidP="00A51A5D">
      <w:pPr>
        <w:widowControl/>
        <w:ind w:left="426" w:hanging="426"/>
        <w:rPr>
          <w:rFonts w:asciiTheme="minorHAnsi" w:hAnsiTheme="minorHAnsi" w:cstheme="minorHAnsi"/>
          <w:b/>
          <w:i/>
          <w:lang w:val="fr-FR"/>
        </w:rPr>
      </w:pPr>
      <w:r w:rsidRPr="00D74D71">
        <w:rPr>
          <w:rFonts w:asciiTheme="minorHAnsi" w:hAnsiTheme="minorHAnsi" w:cstheme="minorHAnsi"/>
          <w:b/>
          <w:i/>
          <w:lang w:val="fr-FR"/>
        </w:rPr>
        <w:t>ii</w:t>
      </w:r>
      <w:r w:rsidR="006A1295" w:rsidRPr="00D74D71">
        <w:rPr>
          <w:rFonts w:asciiTheme="minorHAnsi" w:hAnsiTheme="minorHAnsi" w:cstheme="minorHAnsi"/>
          <w:b/>
          <w:i/>
          <w:lang w:val="fr-FR"/>
        </w:rPr>
        <w:t>)</w:t>
      </w:r>
      <w:r w:rsidRPr="00D74D71">
        <w:rPr>
          <w:rFonts w:asciiTheme="minorHAnsi" w:hAnsiTheme="minorHAnsi" w:cstheme="minorHAnsi"/>
          <w:b/>
          <w:i/>
          <w:lang w:val="fr-FR"/>
        </w:rPr>
        <w:tab/>
      </w:r>
      <w:r w:rsidR="006A1295" w:rsidRPr="00D74D71">
        <w:rPr>
          <w:rFonts w:asciiTheme="minorHAnsi" w:hAnsiTheme="minorHAnsi" w:cstheme="minorHAnsi"/>
          <w:b/>
          <w:i/>
          <w:lang w:val="fr-FR"/>
        </w:rPr>
        <w:t xml:space="preserve">de prendre </w:t>
      </w:r>
      <w:r w:rsidR="006302C1" w:rsidRPr="00D74D71">
        <w:rPr>
          <w:rFonts w:asciiTheme="minorHAnsi" w:hAnsiTheme="minorHAnsi" w:cstheme="minorHAnsi"/>
          <w:b/>
          <w:i/>
          <w:lang w:val="fr-FR"/>
        </w:rPr>
        <w:t xml:space="preserve">note </w:t>
      </w:r>
      <w:r w:rsidR="006A1295" w:rsidRPr="00D74D71">
        <w:rPr>
          <w:rFonts w:asciiTheme="minorHAnsi" w:hAnsiTheme="minorHAnsi" w:cstheme="minorHAnsi"/>
          <w:b/>
          <w:i/>
          <w:lang w:val="fr-FR"/>
        </w:rPr>
        <w:t xml:space="preserve">des résultats du budget administratif pour 2021 ; </w:t>
      </w:r>
    </w:p>
    <w:p w14:paraId="3F8B8799" w14:textId="1ECD50DE" w:rsidR="006302C1" w:rsidRPr="00D74D71" w:rsidRDefault="008F6EDE" w:rsidP="00A51A5D">
      <w:pPr>
        <w:widowControl/>
        <w:ind w:left="426" w:hanging="426"/>
        <w:rPr>
          <w:rFonts w:asciiTheme="minorHAnsi" w:hAnsiTheme="minorHAnsi" w:cstheme="minorHAnsi"/>
          <w:b/>
          <w:i/>
          <w:lang w:val="fr-FR"/>
        </w:rPr>
      </w:pPr>
      <w:r w:rsidRPr="00D74D71">
        <w:rPr>
          <w:rFonts w:asciiTheme="minorHAnsi" w:hAnsiTheme="minorHAnsi" w:cstheme="minorHAnsi"/>
          <w:b/>
          <w:i/>
          <w:lang w:val="fr-FR"/>
        </w:rPr>
        <w:t>iii</w:t>
      </w:r>
      <w:r w:rsidR="006A1295" w:rsidRPr="00D74D71">
        <w:rPr>
          <w:rFonts w:asciiTheme="minorHAnsi" w:hAnsiTheme="minorHAnsi" w:cstheme="minorHAnsi"/>
          <w:b/>
          <w:i/>
          <w:lang w:val="fr-FR"/>
        </w:rPr>
        <w:t>)</w:t>
      </w:r>
      <w:r w:rsidRPr="00D74D71">
        <w:rPr>
          <w:rFonts w:asciiTheme="minorHAnsi" w:hAnsiTheme="minorHAnsi" w:cstheme="minorHAnsi"/>
          <w:b/>
          <w:i/>
          <w:lang w:val="fr-FR"/>
        </w:rPr>
        <w:tab/>
      </w:r>
      <w:r w:rsidR="006A1295" w:rsidRPr="00D74D71">
        <w:rPr>
          <w:rFonts w:asciiTheme="minorHAnsi" w:hAnsiTheme="minorHAnsi" w:cstheme="minorHAnsi"/>
          <w:b/>
          <w:i/>
          <w:lang w:val="fr-FR"/>
        </w:rPr>
        <w:t xml:space="preserve">de </w:t>
      </w:r>
      <w:r w:rsidR="00A13A7F" w:rsidRPr="00D74D71">
        <w:rPr>
          <w:rFonts w:asciiTheme="minorHAnsi" w:hAnsiTheme="minorHAnsi" w:cstheme="minorHAnsi"/>
          <w:b/>
          <w:i/>
          <w:lang w:val="fr-FR"/>
        </w:rPr>
        <w:t xml:space="preserve">prendre note de l’état du budget non administratif et des contributions volontaires pour 2021 </w:t>
      </w:r>
      <w:r w:rsidR="006A1295" w:rsidRPr="00D74D71">
        <w:rPr>
          <w:rFonts w:asciiTheme="minorHAnsi" w:hAnsiTheme="minorHAnsi" w:cstheme="minorHAnsi"/>
          <w:b/>
          <w:i/>
          <w:lang w:val="fr-FR"/>
        </w:rPr>
        <w:t>;</w:t>
      </w:r>
      <w:r w:rsidR="006302C1" w:rsidRPr="00D74D71">
        <w:rPr>
          <w:rFonts w:asciiTheme="minorHAnsi" w:hAnsiTheme="minorHAnsi" w:cstheme="minorHAnsi"/>
          <w:b/>
          <w:i/>
          <w:lang w:val="fr-FR"/>
        </w:rPr>
        <w:t xml:space="preserve"> </w:t>
      </w:r>
    </w:p>
    <w:p w14:paraId="46D968B0" w14:textId="665B421A" w:rsidR="008F6EDE" w:rsidRPr="00D74D71" w:rsidRDefault="008F6EDE" w:rsidP="008F6EDE">
      <w:pPr>
        <w:widowControl/>
        <w:ind w:left="426" w:hanging="426"/>
        <w:rPr>
          <w:rFonts w:asciiTheme="minorHAnsi" w:hAnsiTheme="minorHAnsi" w:cstheme="minorHAnsi"/>
          <w:b/>
          <w:i/>
          <w:lang w:val="fr-FR"/>
        </w:rPr>
      </w:pPr>
      <w:r w:rsidRPr="00D74D71">
        <w:rPr>
          <w:rFonts w:asciiTheme="minorHAnsi" w:hAnsiTheme="minorHAnsi" w:cstheme="minorHAnsi"/>
          <w:b/>
          <w:i/>
          <w:lang w:val="fr-FR"/>
        </w:rPr>
        <w:t>iv</w:t>
      </w:r>
      <w:r w:rsidR="006A1295" w:rsidRPr="00D74D71">
        <w:rPr>
          <w:rFonts w:asciiTheme="minorHAnsi" w:hAnsiTheme="minorHAnsi" w:cstheme="minorHAnsi"/>
          <w:b/>
          <w:i/>
          <w:lang w:val="fr-FR"/>
        </w:rPr>
        <w:t>)</w:t>
      </w:r>
      <w:r w:rsidRPr="00D74D71">
        <w:rPr>
          <w:rFonts w:asciiTheme="minorHAnsi" w:hAnsiTheme="minorHAnsi" w:cstheme="minorHAnsi"/>
          <w:b/>
          <w:i/>
          <w:lang w:val="fr-FR"/>
        </w:rPr>
        <w:tab/>
      </w:r>
      <w:r w:rsidR="006A1295" w:rsidRPr="00D74D71">
        <w:rPr>
          <w:rFonts w:asciiTheme="minorHAnsi" w:hAnsiTheme="minorHAnsi" w:cstheme="minorHAnsi"/>
          <w:b/>
          <w:i/>
          <w:lang w:val="fr-FR"/>
        </w:rPr>
        <w:t xml:space="preserve">d’approuver </w:t>
      </w:r>
      <w:r w:rsidR="00A13A7F" w:rsidRPr="00D74D71">
        <w:rPr>
          <w:rFonts w:asciiTheme="minorHAnsi" w:hAnsiTheme="minorHAnsi" w:cstheme="minorHAnsi"/>
          <w:b/>
          <w:i/>
          <w:lang w:val="fr-FR"/>
        </w:rPr>
        <w:t xml:space="preserve">les ajustements proposés par le Secrétariat </w:t>
      </w:r>
      <w:r w:rsidR="00F41DAF">
        <w:rPr>
          <w:rFonts w:asciiTheme="minorHAnsi" w:hAnsiTheme="minorHAnsi" w:cstheme="minorHAnsi"/>
          <w:b/>
          <w:i/>
          <w:lang w:val="fr-FR"/>
        </w:rPr>
        <w:t>pour</w:t>
      </w:r>
      <w:r w:rsidR="00A13A7F" w:rsidRPr="00D74D71">
        <w:rPr>
          <w:rFonts w:asciiTheme="minorHAnsi" w:hAnsiTheme="minorHAnsi" w:cstheme="minorHAnsi"/>
          <w:b/>
          <w:i/>
          <w:lang w:val="fr-FR"/>
        </w:rPr>
        <w:t xml:space="preserve"> 2021, </w:t>
      </w:r>
      <w:r w:rsidR="00F41DAF">
        <w:rPr>
          <w:rFonts w:asciiTheme="minorHAnsi" w:hAnsiTheme="minorHAnsi" w:cstheme="minorHAnsi"/>
          <w:b/>
          <w:i/>
          <w:lang w:val="fr-FR"/>
        </w:rPr>
        <w:t>comme</w:t>
      </w:r>
      <w:r w:rsidR="00A13A7F" w:rsidRPr="00D74D71">
        <w:rPr>
          <w:rFonts w:asciiTheme="minorHAnsi" w:hAnsiTheme="minorHAnsi" w:cstheme="minorHAnsi"/>
          <w:b/>
          <w:i/>
          <w:lang w:val="fr-FR"/>
        </w:rPr>
        <w:t xml:space="preserve"> décrit aux paragraphes 9.f, 13, 14 et 15 et présenté dans la colonne H du tableau de l’</w:t>
      </w:r>
      <w:r w:rsidR="00F41DAF">
        <w:rPr>
          <w:rFonts w:asciiTheme="minorHAnsi" w:hAnsiTheme="minorHAnsi" w:cstheme="minorHAnsi"/>
          <w:b/>
          <w:i/>
          <w:lang w:val="fr-FR"/>
        </w:rPr>
        <w:t>A</w:t>
      </w:r>
      <w:r w:rsidR="00A13A7F" w:rsidRPr="00D74D71">
        <w:rPr>
          <w:rFonts w:asciiTheme="minorHAnsi" w:hAnsiTheme="minorHAnsi" w:cstheme="minorHAnsi"/>
          <w:b/>
          <w:i/>
          <w:lang w:val="fr-FR"/>
        </w:rPr>
        <w:t xml:space="preserve">nnexe 2 </w:t>
      </w:r>
      <w:r w:rsidR="006A1295" w:rsidRPr="00D74D71">
        <w:rPr>
          <w:rFonts w:asciiTheme="minorHAnsi" w:hAnsiTheme="minorHAnsi" w:cstheme="minorHAnsi"/>
          <w:b/>
          <w:i/>
          <w:lang w:val="fr-FR"/>
        </w:rPr>
        <w:t>du document SC59/2022 Doc.</w:t>
      </w:r>
      <w:r w:rsidR="00FC5734" w:rsidRPr="00D74D71">
        <w:rPr>
          <w:rFonts w:asciiTheme="minorHAnsi" w:hAnsiTheme="minorHAnsi" w:cstheme="minorHAnsi"/>
          <w:b/>
          <w:i/>
          <w:lang w:val="fr-FR"/>
        </w:rPr>
        <w:t>8.1</w:t>
      </w:r>
      <w:r w:rsidR="006A1295" w:rsidRPr="00D74D71">
        <w:rPr>
          <w:rFonts w:asciiTheme="minorHAnsi" w:hAnsiTheme="minorHAnsi" w:cstheme="minorHAnsi"/>
          <w:b/>
          <w:i/>
          <w:lang w:val="fr-FR"/>
        </w:rPr>
        <w:t> </w:t>
      </w:r>
      <w:r w:rsidRPr="00D74D71">
        <w:rPr>
          <w:rFonts w:asciiTheme="minorHAnsi" w:hAnsiTheme="minorHAnsi" w:cstheme="minorHAnsi"/>
          <w:b/>
          <w:i/>
          <w:lang w:val="fr-FR"/>
        </w:rPr>
        <w:t xml:space="preserve">; </w:t>
      </w:r>
      <w:r w:rsidR="006A1295" w:rsidRPr="00D74D71">
        <w:rPr>
          <w:rFonts w:asciiTheme="minorHAnsi" w:hAnsiTheme="minorHAnsi" w:cstheme="minorHAnsi"/>
          <w:b/>
          <w:i/>
          <w:lang w:val="fr-FR"/>
        </w:rPr>
        <w:t>et</w:t>
      </w:r>
    </w:p>
    <w:p w14:paraId="3E753356" w14:textId="5FBA0DF8" w:rsidR="009850A6" w:rsidRPr="00D74D71" w:rsidRDefault="008F6EDE" w:rsidP="00A51A5D">
      <w:pPr>
        <w:widowControl/>
        <w:ind w:left="426" w:hanging="426"/>
        <w:rPr>
          <w:rFonts w:asciiTheme="minorHAnsi" w:hAnsiTheme="minorHAnsi" w:cstheme="minorHAnsi"/>
          <w:b/>
          <w:i/>
          <w:lang w:val="fr-FR"/>
        </w:rPr>
      </w:pPr>
      <w:r w:rsidRPr="00D74D71">
        <w:rPr>
          <w:rFonts w:asciiTheme="minorHAnsi" w:hAnsiTheme="minorHAnsi" w:cstheme="minorHAnsi"/>
          <w:b/>
          <w:i/>
          <w:lang w:val="fr-FR"/>
        </w:rPr>
        <w:t>v</w:t>
      </w:r>
      <w:r w:rsidR="006A1295" w:rsidRPr="00D74D71">
        <w:rPr>
          <w:rFonts w:asciiTheme="minorHAnsi" w:hAnsiTheme="minorHAnsi" w:cstheme="minorHAnsi"/>
          <w:b/>
          <w:i/>
          <w:lang w:val="fr-FR"/>
        </w:rPr>
        <w:t>)</w:t>
      </w:r>
      <w:r w:rsidRPr="00D74D71">
        <w:rPr>
          <w:rFonts w:asciiTheme="minorHAnsi" w:hAnsiTheme="minorHAnsi" w:cstheme="minorHAnsi"/>
          <w:b/>
          <w:i/>
          <w:lang w:val="fr-FR"/>
        </w:rPr>
        <w:tab/>
      </w:r>
      <w:r w:rsidR="006A1295" w:rsidRPr="00D74D71">
        <w:rPr>
          <w:rFonts w:asciiTheme="minorHAnsi" w:hAnsiTheme="minorHAnsi" w:cstheme="minorHAnsi"/>
          <w:b/>
          <w:i/>
          <w:lang w:val="fr-FR"/>
        </w:rPr>
        <w:t xml:space="preserve">d’approuver </w:t>
      </w:r>
      <w:r w:rsidR="00D74D71" w:rsidRPr="00D74D71">
        <w:rPr>
          <w:rFonts w:asciiTheme="minorHAnsi" w:hAnsiTheme="minorHAnsi" w:cstheme="minorHAnsi"/>
          <w:b/>
          <w:i/>
          <w:lang w:val="fr-FR"/>
        </w:rPr>
        <w:t xml:space="preserve">le report des fonds préengagés de 2021 à 2022, </w:t>
      </w:r>
      <w:r w:rsidR="00F41DAF">
        <w:rPr>
          <w:rFonts w:asciiTheme="minorHAnsi" w:hAnsiTheme="minorHAnsi" w:cstheme="minorHAnsi"/>
          <w:b/>
          <w:i/>
          <w:lang w:val="fr-FR"/>
        </w:rPr>
        <w:t>comme</w:t>
      </w:r>
      <w:r w:rsidR="00D74D71" w:rsidRPr="00D74D71">
        <w:rPr>
          <w:rFonts w:asciiTheme="minorHAnsi" w:hAnsiTheme="minorHAnsi" w:cstheme="minorHAnsi"/>
          <w:b/>
          <w:i/>
          <w:lang w:val="fr-FR"/>
        </w:rPr>
        <w:t xml:space="preserve"> indiqué au paragraphe 10 et présenté dans la colonne C du tableau de l’</w:t>
      </w:r>
      <w:r w:rsidR="00F41DAF">
        <w:rPr>
          <w:rFonts w:asciiTheme="minorHAnsi" w:hAnsiTheme="minorHAnsi" w:cstheme="minorHAnsi"/>
          <w:b/>
          <w:i/>
          <w:lang w:val="fr-FR"/>
        </w:rPr>
        <w:t>A</w:t>
      </w:r>
      <w:r w:rsidR="00D74D71" w:rsidRPr="00D74D71">
        <w:rPr>
          <w:rFonts w:asciiTheme="minorHAnsi" w:hAnsiTheme="minorHAnsi" w:cstheme="minorHAnsi"/>
          <w:b/>
          <w:i/>
          <w:lang w:val="fr-FR"/>
        </w:rPr>
        <w:t xml:space="preserve">nnexe 4 </w:t>
      </w:r>
      <w:r w:rsidR="006A1295" w:rsidRPr="00D74D71">
        <w:rPr>
          <w:rFonts w:asciiTheme="minorHAnsi" w:hAnsiTheme="minorHAnsi" w:cstheme="minorHAnsi"/>
          <w:b/>
          <w:i/>
          <w:lang w:val="fr-FR"/>
        </w:rPr>
        <w:t>du document SC59/2022 Doc.</w:t>
      </w:r>
      <w:r w:rsidR="00FC5734" w:rsidRPr="00D74D71">
        <w:rPr>
          <w:rFonts w:asciiTheme="minorHAnsi" w:hAnsiTheme="minorHAnsi" w:cstheme="minorHAnsi"/>
          <w:b/>
          <w:i/>
          <w:lang w:val="fr-FR"/>
        </w:rPr>
        <w:t>8.1 a</w:t>
      </w:r>
      <w:r w:rsidR="006E66E0" w:rsidRPr="00D74D71">
        <w:rPr>
          <w:rFonts w:asciiTheme="minorHAnsi" w:hAnsiTheme="minorHAnsi" w:cstheme="minorHAnsi"/>
          <w:b/>
          <w:i/>
          <w:lang w:val="fr-FR"/>
        </w:rPr>
        <w:t xml:space="preserve">insi que </w:t>
      </w:r>
      <w:r w:rsidR="00D74D71" w:rsidRPr="00D74D71">
        <w:rPr>
          <w:rFonts w:asciiTheme="minorHAnsi" w:hAnsiTheme="minorHAnsi" w:cstheme="minorHAnsi"/>
          <w:b/>
          <w:i/>
          <w:lang w:val="fr-FR"/>
        </w:rPr>
        <w:t xml:space="preserve">dans </w:t>
      </w:r>
      <w:r w:rsidR="006E66E0" w:rsidRPr="00D74D71">
        <w:rPr>
          <w:rFonts w:asciiTheme="minorHAnsi" w:hAnsiTheme="minorHAnsi" w:cstheme="minorHAnsi"/>
          <w:b/>
          <w:i/>
          <w:lang w:val="fr-FR"/>
        </w:rPr>
        <w:t xml:space="preserve">la colonne C du tableau de l’Annexe 1 </w:t>
      </w:r>
      <w:r w:rsidR="0000357F">
        <w:rPr>
          <w:rFonts w:asciiTheme="minorHAnsi" w:hAnsiTheme="minorHAnsi" w:cstheme="minorHAnsi"/>
          <w:b/>
          <w:i/>
          <w:lang w:val="fr-FR"/>
        </w:rPr>
        <w:t xml:space="preserve">Budget administratif 2022 </w:t>
      </w:r>
      <w:r w:rsidR="006E66E0" w:rsidRPr="00D74D71">
        <w:rPr>
          <w:rFonts w:asciiTheme="minorHAnsi" w:hAnsiTheme="minorHAnsi" w:cstheme="minorHAnsi"/>
          <w:b/>
          <w:i/>
          <w:lang w:val="fr-FR"/>
        </w:rPr>
        <w:t xml:space="preserve">du présent rapport. </w:t>
      </w:r>
    </w:p>
    <w:p w14:paraId="6A65A0A0" w14:textId="03079784" w:rsidR="008F6EDE" w:rsidRPr="00D74D71" w:rsidRDefault="008F6EDE" w:rsidP="00A51A5D">
      <w:pPr>
        <w:widowControl/>
        <w:ind w:left="426" w:hanging="426"/>
        <w:rPr>
          <w:rFonts w:asciiTheme="minorHAnsi" w:hAnsiTheme="minorHAnsi" w:cstheme="minorHAnsi"/>
          <w:b/>
          <w:i/>
          <w:lang w:val="fr-FR"/>
        </w:rPr>
      </w:pPr>
    </w:p>
    <w:p w14:paraId="599D29D5" w14:textId="77777777" w:rsidR="008116E5" w:rsidRDefault="008116E5" w:rsidP="00A56F47">
      <w:pPr>
        <w:keepNext/>
        <w:widowControl/>
        <w:autoSpaceDE/>
        <w:autoSpaceDN/>
        <w:ind w:left="426" w:hanging="426"/>
        <w:rPr>
          <w:rFonts w:asciiTheme="minorHAnsi" w:hAnsiTheme="minorHAnsi" w:cstheme="minorHAnsi"/>
          <w:b/>
          <w:lang w:val="fr-CH"/>
        </w:rPr>
      </w:pPr>
    </w:p>
    <w:p w14:paraId="00EAC129" w14:textId="44A3C3D9" w:rsidR="0077382A" w:rsidRPr="001F4456" w:rsidRDefault="008F6EDE" w:rsidP="00A56F47">
      <w:pPr>
        <w:keepNext/>
        <w:widowControl/>
        <w:autoSpaceDE/>
        <w:autoSpaceDN/>
        <w:ind w:left="426" w:hanging="426"/>
        <w:rPr>
          <w:rFonts w:asciiTheme="minorHAnsi" w:hAnsiTheme="minorHAnsi" w:cstheme="minorHAnsi"/>
          <w:b/>
          <w:lang w:val="fr-CH"/>
        </w:rPr>
      </w:pPr>
      <w:r w:rsidRPr="001F4456">
        <w:rPr>
          <w:rFonts w:asciiTheme="minorHAnsi" w:hAnsiTheme="minorHAnsi" w:cstheme="minorHAnsi"/>
          <w:b/>
          <w:lang w:val="fr-CH"/>
        </w:rPr>
        <w:t>3.</w:t>
      </w:r>
      <w:r w:rsidRPr="001F4456">
        <w:rPr>
          <w:rFonts w:asciiTheme="minorHAnsi" w:hAnsiTheme="minorHAnsi" w:cstheme="minorHAnsi"/>
          <w:b/>
          <w:lang w:val="fr-CH"/>
        </w:rPr>
        <w:tab/>
      </w:r>
      <w:r w:rsidR="006E66E0">
        <w:rPr>
          <w:rFonts w:asciiTheme="minorHAnsi" w:hAnsiTheme="minorHAnsi" w:cstheme="minorHAnsi"/>
          <w:b/>
          <w:lang w:val="fr-CH"/>
        </w:rPr>
        <w:t>Scénarios budgétaires pour</w:t>
      </w:r>
      <w:r w:rsidR="0077382A" w:rsidRPr="001F4456">
        <w:rPr>
          <w:rFonts w:asciiTheme="minorHAnsi" w:hAnsiTheme="minorHAnsi" w:cstheme="minorHAnsi"/>
          <w:b/>
          <w:lang w:val="fr-CH"/>
        </w:rPr>
        <w:t xml:space="preserve"> 2023-2025 </w:t>
      </w:r>
      <w:r w:rsidR="006E66E0">
        <w:rPr>
          <w:rFonts w:asciiTheme="minorHAnsi" w:hAnsiTheme="minorHAnsi" w:cstheme="minorHAnsi"/>
          <w:b/>
          <w:lang w:val="fr-CH"/>
        </w:rPr>
        <w:t xml:space="preserve">et projet de résolution sur les questions financières et budgétaires </w:t>
      </w:r>
      <w:r w:rsidR="0077382A" w:rsidRPr="001F4456">
        <w:rPr>
          <w:rFonts w:asciiTheme="minorHAnsi" w:hAnsiTheme="minorHAnsi" w:cstheme="minorHAnsi"/>
          <w:b/>
          <w:lang w:val="fr-CH"/>
        </w:rPr>
        <w:t>(</w:t>
      </w:r>
      <w:r w:rsidRPr="001F4456">
        <w:rPr>
          <w:rFonts w:asciiTheme="minorHAnsi" w:hAnsiTheme="minorHAnsi" w:cstheme="minorHAnsi"/>
          <w:b/>
          <w:lang w:val="fr-CH"/>
        </w:rPr>
        <w:t xml:space="preserve">document </w:t>
      </w:r>
      <w:r w:rsidR="0077382A" w:rsidRPr="001F4456">
        <w:rPr>
          <w:rFonts w:asciiTheme="minorHAnsi" w:hAnsiTheme="minorHAnsi" w:cstheme="minorHAnsi"/>
          <w:b/>
          <w:lang w:val="fr-CH"/>
        </w:rPr>
        <w:t>SC59/2022 Doc.8.3)</w:t>
      </w:r>
    </w:p>
    <w:p w14:paraId="458A1053" w14:textId="77777777" w:rsidR="007E32B3" w:rsidRPr="001F4456" w:rsidRDefault="007E32B3" w:rsidP="00A56F47">
      <w:pPr>
        <w:keepNext/>
        <w:widowControl/>
        <w:rPr>
          <w:rFonts w:asciiTheme="minorHAnsi" w:hAnsiTheme="minorHAnsi" w:cstheme="minorHAnsi"/>
          <w:b/>
          <w:lang w:val="fr-CH"/>
        </w:rPr>
      </w:pPr>
    </w:p>
    <w:p w14:paraId="45702812" w14:textId="25053ADC" w:rsidR="0077382A" w:rsidRPr="001F4456" w:rsidRDefault="006E66E0" w:rsidP="00A56F47">
      <w:pPr>
        <w:keepNext/>
        <w:widowControl/>
        <w:rPr>
          <w:rFonts w:asciiTheme="minorHAnsi" w:hAnsiTheme="minorHAnsi" w:cstheme="minorHAnsi"/>
          <w:u w:val="single"/>
          <w:lang w:val="fr-CH"/>
        </w:rPr>
      </w:pPr>
      <w:r>
        <w:rPr>
          <w:rFonts w:asciiTheme="minorHAnsi" w:hAnsiTheme="minorHAnsi" w:cstheme="minorHAnsi"/>
          <w:u w:val="single"/>
          <w:lang w:val="fr-CH"/>
        </w:rPr>
        <w:t xml:space="preserve">Scénarios budgétaires pour </w:t>
      </w:r>
      <w:r w:rsidR="007E32B3" w:rsidRPr="001F4456">
        <w:rPr>
          <w:rFonts w:asciiTheme="minorHAnsi" w:hAnsiTheme="minorHAnsi" w:cstheme="minorHAnsi"/>
          <w:u w:val="single"/>
          <w:lang w:val="fr-CH"/>
        </w:rPr>
        <w:t>2023-2025</w:t>
      </w:r>
    </w:p>
    <w:p w14:paraId="23892210" w14:textId="77777777" w:rsidR="007E32B3" w:rsidRPr="001F4456" w:rsidRDefault="007E32B3" w:rsidP="00A56F47">
      <w:pPr>
        <w:keepNext/>
        <w:widowControl/>
        <w:rPr>
          <w:rFonts w:asciiTheme="minorHAnsi" w:hAnsiTheme="minorHAnsi" w:cstheme="minorHAnsi"/>
          <w:lang w:val="fr-CH"/>
        </w:rPr>
      </w:pPr>
    </w:p>
    <w:p w14:paraId="45872EB6" w14:textId="77777777" w:rsidR="00D04062" w:rsidRDefault="00DC7DF5" w:rsidP="00D04062">
      <w:pPr>
        <w:widowControl/>
        <w:rPr>
          <w:rFonts w:asciiTheme="minorHAnsi" w:hAnsiTheme="minorHAnsi" w:cstheme="minorHAnsi"/>
          <w:lang w:val="fr-FR"/>
        </w:rPr>
      </w:pPr>
      <w:r>
        <w:rPr>
          <w:rFonts w:asciiTheme="minorHAnsi" w:hAnsiTheme="minorHAnsi" w:cstheme="minorHAnsi"/>
          <w:lang w:val="fr-CH"/>
        </w:rPr>
        <w:t xml:space="preserve">Le Secrétariat présente les trois scénarios préparés pour la période triennale </w:t>
      </w:r>
      <w:r w:rsidR="005B5816" w:rsidRPr="001F4456">
        <w:rPr>
          <w:rFonts w:asciiTheme="minorHAnsi" w:hAnsiTheme="minorHAnsi" w:cstheme="minorHAnsi"/>
          <w:lang w:val="fr-CH"/>
        </w:rPr>
        <w:t>202</w:t>
      </w:r>
      <w:r w:rsidR="0077382A" w:rsidRPr="001F4456">
        <w:rPr>
          <w:rFonts w:asciiTheme="minorHAnsi" w:hAnsiTheme="minorHAnsi" w:cstheme="minorHAnsi"/>
          <w:lang w:val="fr-CH"/>
        </w:rPr>
        <w:t>3</w:t>
      </w:r>
      <w:r w:rsidR="005B5816" w:rsidRPr="001F4456">
        <w:rPr>
          <w:rFonts w:asciiTheme="minorHAnsi" w:hAnsiTheme="minorHAnsi" w:cstheme="minorHAnsi"/>
          <w:lang w:val="fr-CH"/>
        </w:rPr>
        <w:t>-202</w:t>
      </w:r>
      <w:r w:rsidR="0077382A" w:rsidRPr="001F4456">
        <w:rPr>
          <w:rFonts w:asciiTheme="minorHAnsi" w:hAnsiTheme="minorHAnsi" w:cstheme="minorHAnsi"/>
          <w:lang w:val="fr-CH"/>
        </w:rPr>
        <w:t>5</w:t>
      </w:r>
      <w:r w:rsidR="005B5816" w:rsidRPr="001F4456">
        <w:rPr>
          <w:rFonts w:asciiTheme="minorHAnsi" w:hAnsiTheme="minorHAnsi" w:cstheme="minorHAnsi"/>
          <w:lang w:val="fr-CH"/>
        </w:rPr>
        <w:t xml:space="preserve"> </w:t>
      </w:r>
      <w:r>
        <w:rPr>
          <w:rFonts w:asciiTheme="minorHAnsi" w:hAnsiTheme="minorHAnsi" w:cstheme="minorHAnsi"/>
          <w:lang w:val="fr-CH"/>
        </w:rPr>
        <w:t>dans le</w:t>
      </w:r>
      <w:r w:rsidR="005B5816" w:rsidRPr="001F4456">
        <w:rPr>
          <w:rFonts w:asciiTheme="minorHAnsi" w:hAnsiTheme="minorHAnsi" w:cstheme="minorHAnsi"/>
          <w:lang w:val="fr-CH"/>
        </w:rPr>
        <w:t xml:space="preserve"> document SC59 Doc.8.3</w:t>
      </w:r>
      <w:r>
        <w:rPr>
          <w:rFonts w:asciiTheme="minorHAnsi" w:hAnsiTheme="minorHAnsi" w:cstheme="minorHAnsi"/>
          <w:lang w:val="fr-CH"/>
        </w:rPr>
        <w:t> </w:t>
      </w:r>
      <w:r w:rsidR="00F71148" w:rsidRPr="001F4456">
        <w:rPr>
          <w:rFonts w:asciiTheme="minorHAnsi" w:hAnsiTheme="minorHAnsi" w:cstheme="minorHAnsi"/>
          <w:lang w:val="fr-CH"/>
        </w:rPr>
        <w:t>:</w:t>
      </w:r>
      <w:r w:rsidR="005B5816" w:rsidRPr="001F4456">
        <w:rPr>
          <w:rFonts w:asciiTheme="minorHAnsi" w:hAnsiTheme="minorHAnsi" w:cstheme="minorHAnsi"/>
          <w:lang w:val="fr-CH"/>
        </w:rPr>
        <w:t xml:space="preserve"> Sc</w:t>
      </w:r>
      <w:r>
        <w:rPr>
          <w:rFonts w:asciiTheme="minorHAnsi" w:hAnsiTheme="minorHAnsi" w:cstheme="minorHAnsi"/>
          <w:lang w:val="fr-CH"/>
        </w:rPr>
        <w:t>énario </w:t>
      </w:r>
      <w:r w:rsidR="005B5816" w:rsidRPr="001F4456">
        <w:rPr>
          <w:rFonts w:asciiTheme="minorHAnsi" w:hAnsiTheme="minorHAnsi" w:cstheme="minorHAnsi"/>
          <w:lang w:val="fr-CH"/>
        </w:rPr>
        <w:t xml:space="preserve">A </w:t>
      </w:r>
      <w:r w:rsidR="00F71148" w:rsidRPr="001F4456">
        <w:rPr>
          <w:rFonts w:asciiTheme="minorHAnsi" w:hAnsiTheme="minorHAnsi" w:cstheme="minorHAnsi"/>
          <w:lang w:val="fr-CH"/>
        </w:rPr>
        <w:t>(0</w:t>
      </w:r>
      <w:r>
        <w:rPr>
          <w:rFonts w:asciiTheme="minorHAnsi" w:hAnsiTheme="minorHAnsi" w:cstheme="minorHAnsi"/>
          <w:lang w:val="fr-CH"/>
        </w:rPr>
        <w:t> </w:t>
      </w:r>
      <w:r w:rsidR="00F71148" w:rsidRPr="001F4456">
        <w:rPr>
          <w:rFonts w:asciiTheme="minorHAnsi" w:hAnsiTheme="minorHAnsi" w:cstheme="minorHAnsi"/>
          <w:lang w:val="fr-CH"/>
        </w:rPr>
        <w:t xml:space="preserve">% </w:t>
      </w:r>
      <w:r>
        <w:rPr>
          <w:rFonts w:asciiTheme="minorHAnsi" w:hAnsiTheme="minorHAnsi" w:cstheme="minorHAnsi"/>
          <w:lang w:val="fr-CH"/>
        </w:rPr>
        <w:t>d’augmentation du budget administratif</w:t>
      </w:r>
      <w:r w:rsidR="00F71148" w:rsidRPr="001F4456">
        <w:rPr>
          <w:rFonts w:asciiTheme="minorHAnsi" w:hAnsiTheme="minorHAnsi" w:cstheme="minorHAnsi"/>
          <w:lang w:val="fr-CH"/>
        </w:rPr>
        <w:t>)</w:t>
      </w:r>
      <w:r>
        <w:rPr>
          <w:rFonts w:asciiTheme="minorHAnsi" w:hAnsiTheme="minorHAnsi" w:cstheme="minorHAnsi"/>
          <w:lang w:val="fr-CH"/>
        </w:rPr>
        <w:t> </w:t>
      </w:r>
      <w:r w:rsidR="00F71148" w:rsidRPr="001F4456">
        <w:rPr>
          <w:rFonts w:asciiTheme="minorHAnsi" w:hAnsiTheme="minorHAnsi" w:cstheme="minorHAnsi"/>
          <w:lang w:val="fr-CH"/>
        </w:rPr>
        <w:t>; Sc</w:t>
      </w:r>
      <w:r>
        <w:rPr>
          <w:rFonts w:asciiTheme="minorHAnsi" w:hAnsiTheme="minorHAnsi" w:cstheme="minorHAnsi"/>
          <w:lang w:val="fr-CH"/>
        </w:rPr>
        <w:t>é</w:t>
      </w:r>
      <w:r w:rsidR="00F71148" w:rsidRPr="001F4456">
        <w:rPr>
          <w:rFonts w:asciiTheme="minorHAnsi" w:hAnsiTheme="minorHAnsi" w:cstheme="minorHAnsi"/>
          <w:lang w:val="fr-CH"/>
        </w:rPr>
        <w:t>nario</w:t>
      </w:r>
      <w:r>
        <w:rPr>
          <w:rFonts w:asciiTheme="minorHAnsi" w:hAnsiTheme="minorHAnsi" w:cstheme="minorHAnsi"/>
          <w:lang w:val="fr-CH"/>
        </w:rPr>
        <w:t> </w:t>
      </w:r>
      <w:r w:rsidR="00F71148" w:rsidRPr="001F4456">
        <w:rPr>
          <w:rFonts w:asciiTheme="minorHAnsi" w:hAnsiTheme="minorHAnsi" w:cstheme="minorHAnsi"/>
          <w:lang w:val="fr-CH"/>
        </w:rPr>
        <w:t>B (2</w:t>
      </w:r>
      <w:r>
        <w:rPr>
          <w:rFonts w:asciiTheme="minorHAnsi" w:hAnsiTheme="minorHAnsi" w:cstheme="minorHAnsi"/>
          <w:lang w:val="fr-CH"/>
        </w:rPr>
        <w:t>,</w:t>
      </w:r>
      <w:r w:rsidR="00F71148" w:rsidRPr="001F4456">
        <w:rPr>
          <w:rFonts w:asciiTheme="minorHAnsi" w:hAnsiTheme="minorHAnsi" w:cstheme="minorHAnsi"/>
          <w:lang w:val="fr-CH"/>
        </w:rPr>
        <w:t>8</w:t>
      </w:r>
      <w:r>
        <w:rPr>
          <w:rFonts w:asciiTheme="minorHAnsi" w:hAnsiTheme="minorHAnsi" w:cstheme="minorHAnsi"/>
          <w:lang w:val="fr-CH"/>
        </w:rPr>
        <w:t> </w:t>
      </w:r>
      <w:r w:rsidR="00F71148" w:rsidRPr="001F4456">
        <w:rPr>
          <w:rFonts w:asciiTheme="minorHAnsi" w:hAnsiTheme="minorHAnsi" w:cstheme="minorHAnsi"/>
          <w:lang w:val="fr-CH"/>
        </w:rPr>
        <w:t xml:space="preserve">% </w:t>
      </w:r>
      <w:r>
        <w:rPr>
          <w:rFonts w:asciiTheme="minorHAnsi" w:hAnsiTheme="minorHAnsi" w:cstheme="minorHAnsi"/>
          <w:lang w:val="fr-CH"/>
        </w:rPr>
        <w:t xml:space="preserve">d’augmentation, </w:t>
      </w:r>
      <w:r w:rsidR="00D972D2">
        <w:rPr>
          <w:rFonts w:asciiTheme="minorHAnsi" w:hAnsiTheme="minorHAnsi" w:cstheme="minorHAnsi"/>
          <w:lang w:val="fr-CH"/>
        </w:rPr>
        <w:t>ce qui implique une augmentation</w:t>
      </w:r>
      <w:r>
        <w:rPr>
          <w:rFonts w:asciiTheme="minorHAnsi" w:hAnsiTheme="minorHAnsi" w:cstheme="minorHAnsi"/>
          <w:lang w:val="fr-CH"/>
        </w:rPr>
        <w:t xml:space="preserve"> </w:t>
      </w:r>
      <w:r w:rsidR="00D972D2">
        <w:rPr>
          <w:rFonts w:asciiTheme="minorHAnsi" w:hAnsiTheme="minorHAnsi" w:cstheme="minorHAnsi"/>
          <w:lang w:val="fr-CH"/>
        </w:rPr>
        <w:t>d</w:t>
      </w:r>
      <w:r>
        <w:rPr>
          <w:rFonts w:asciiTheme="minorHAnsi" w:hAnsiTheme="minorHAnsi" w:cstheme="minorHAnsi"/>
          <w:lang w:val="fr-CH"/>
        </w:rPr>
        <w:t>es contributions de 2,7 %) et Scénario C (4,</w:t>
      </w:r>
      <w:r w:rsidR="00F71148" w:rsidRPr="001F4456">
        <w:rPr>
          <w:rFonts w:asciiTheme="minorHAnsi" w:hAnsiTheme="minorHAnsi" w:cstheme="minorHAnsi"/>
          <w:lang w:val="fr-CH"/>
        </w:rPr>
        <w:t>4</w:t>
      </w:r>
      <w:r>
        <w:rPr>
          <w:rFonts w:asciiTheme="minorHAnsi" w:hAnsiTheme="minorHAnsi" w:cstheme="minorHAnsi"/>
          <w:lang w:val="fr-CH"/>
        </w:rPr>
        <w:t> </w:t>
      </w:r>
      <w:r w:rsidR="00F71148" w:rsidRPr="001F4456">
        <w:rPr>
          <w:rFonts w:asciiTheme="minorHAnsi" w:hAnsiTheme="minorHAnsi" w:cstheme="minorHAnsi"/>
          <w:lang w:val="fr-CH"/>
        </w:rPr>
        <w:t>%</w:t>
      </w:r>
      <w:r w:rsidR="00E36717" w:rsidRPr="001F4456">
        <w:rPr>
          <w:rStyle w:val="FootnoteReference"/>
          <w:rFonts w:asciiTheme="minorHAnsi" w:hAnsiTheme="minorHAnsi" w:cstheme="minorHAnsi"/>
          <w:lang w:val="fr-CH"/>
        </w:rPr>
        <w:footnoteReference w:id="2"/>
      </w:r>
      <w:r>
        <w:rPr>
          <w:rFonts w:asciiTheme="minorHAnsi" w:hAnsiTheme="minorHAnsi" w:cstheme="minorHAnsi"/>
          <w:lang w:val="fr-CH"/>
        </w:rPr>
        <w:t xml:space="preserve"> d’augmentation, </w:t>
      </w:r>
      <w:r w:rsidR="00D972D2">
        <w:rPr>
          <w:rFonts w:asciiTheme="minorHAnsi" w:hAnsiTheme="minorHAnsi" w:cstheme="minorHAnsi"/>
          <w:lang w:val="fr-CH"/>
        </w:rPr>
        <w:t xml:space="preserve">ce qui </w:t>
      </w:r>
      <w:r w:rsidR="00D972D2" w:rsidRPr="00D972D2">
        <w:rPr>
          <w:rFonts w:asciiTheme="minorHAnsi" w:hAnsiTheme="minorHAnsi" w:cstheme="minorHAnsi"/>
          <w:lang w:val="fr-FR"/>
        </w:rPr>
        <w:t xml:space="preserve">implique </w:t>
      </w:r>
      <w:r w:rsidRPr="00D972D2">
        <w:rPr>
          <w:rFonts w:asciiTheme="minorHAnsi" w:hAnsiTheme="minorHAnsi" w:cstheme="minorHAnsi"/>
          <w:lang w:val="fr-FR"/>
        </w:rPr>
        <w:t>une augmentation des contributions de 4,3 %).</w:t>
      </w:r>
    </w:p>
    <w:p w14:paraId="239D47FF" w14:textId="77777777" w:rsidR="00D04062" w:rsidRPr="00630581" w:rsidRDefault="00D04062" w:rsidP="00D04062">
      <w:pPr>
        <w:widowControl/>
        <w:rPr>
          <w:rFonts w:asciiTheme="minorHAnsi" w:hAnsiTheme="minorHAnsi" w:cstheme="minorHAnsi"/>
          <w:lang w:val="fr-FR"/>
        </w:rPr>
      </w:pPr>
    </w:p>
    <w:p w14:paraId="31A0D19E" w14:textId="7FB6C6AB" w:rsidR="00D04062" w:rsidRPr="00630581" w:rsidRDefault="00D04062" w:rsidP="00D04062">
      <w:pPr>
        <w:widowControl/>
        <w:rPr>
          <w:rFonts w:asciiTheme="minorHAnsi" w:hAnsiTheme="minorHAnsi" w:cstheme="minorHAnsi"/>
          <w:lang w:val="fr-FR"/>
        </w:rPr>
      </w:pPr>
      <w:r w:rsidRPr="00630581">
        <w:rPr>
          <w:rFonts w:asciiTheme="minorHAnsi" w:hAnsiTheme="minorHAnsi" w:cstheme="minorHAnsi"/>
          <w:lang w:val="fr-FR"/>
        </w:rPr>
        <w:t>Le Scénario A</w:t>
      </w:r>
      <w:r w:rsidR="00195AC9" w:rsidRPr="00630581">
        <w:rPr>
          <w:rFonts w:asciiTheme="minorHAnsi" w:hAnsiTheme="minorHAnsi" w:cstheme="minorHAnsi"/>
          <w:lang w:val="fr-FR"/>
        </w:rPr>
        <w:t xml:space="preserve"> suppose l’affectation de l’excédent pour couvrir la dette créée dans le budget par l’ajout d’un poste d’assistant financier et comptable et pour l’augmentation de la provision pour les contributions impayées.</w:t>
      </w:r>
      <w:r w:rsidR="0092323A" w:rsidRPr="00630581">
        <w:rPr>
          <w:rFonts w:asciiTheme="minorHAnsi" w:hAnsiTheme="minorHAnsi" w:cstheme="minorHAnsi"/>
          <w:lang w:val="fr-FR"/>
        </w:rPr>
        <w:t xml:space="preserve"> Le Scénario B </w:t>
      </w:r>
      <w:r w:rsidR="00630581">
        <w:rPr>
          <w:rFonts w:asciiTheme="minorHAnsi" w:hAnsiTheme="minorHAnsi" w:cstheme="minorHAnsi"/>
          <w:lang w:val="fr-FR"/>
        </w:rPr>
        <w:t>inclut,</w:t>
      </w:r>
      <w:r w:rsidR="0092323A" w:rsidRPr="00630581">
        <w:rPr>
          <w:rFonts w:asciiTheme="minorHAnsi" w:hAnsiTheme="minorHAnsi" w:cstheme="minorHAnsi"/>
          <w:lang w:val="fr-FR"/>
        </w:rPr>
        <w:t xml:space="preserve"> en plus</w:t>
      </w:r>
      <w:r w:rsidR="00630581">
        <w:rPr>
          <w:rFonts w:asciiTheme="minorHAnsi" w:hAnsiTheme="minorHAnsi" w:cstheme="minorHAnsi"/>
          <w:lang w:val="fr-FR"/>
        </w:rPr>
        <w:t>,</w:t>
      </w:r>
      <w:r w:rsidR="0092323A" w:rsidRPr="00630581">
        <w:rPr>
          <w:rFonts w:asciiTheme="minorHAnsi" w:hAnsiTheme="minorHAnsi" w:cstheme="minorHAnsi"/>
          <w:lang w:val="fr-FR"/>
        </w:rPr>
        <w:t xml:space="preserve"> des fonds </w:t>
      </w:r>
      <w:r w:rsidR="0092323A" w:rsidRPr="00630581">
        <w:rPr>
          <w:lang w:val="fr-FR"/>
        </w:rPr>
        <w:t>au titre des augmentations de salaire et des promotions fondées sur les performances, conformément au cadre de compétences et aux lignes directrices de l’UICN sur les promotions mis en œuvre par le Secrétariat en 2019</w:t>
      </w:r>
      <w:r w:rsidR="00824771">
        <w:rPr>
          <w:lang w:val="fr-FR"/>
        </w:rPr>
        <w:t xml:space="preserve"> </w:t>
      </w:r>
      <w:r w:rsidR="0092323A" w:rsidRPr="00630581">
        <w:rPr>
          <w:lang w:val="fr-FR"/>
        </w:rPr>
        <w:t>; et le Scénario C</w:t>
      </w:r>
      <w:r w:rsidR="00630581" w:rsidRPr="00630581">
        <w:rPr>
          <w:lang w:val="fr-FR"/>
        </w:rPr>
        <w:t xml:space="preserve"> inclut les co</w:t>
      </w:r>
      <w:r w:rsidR="00630581">
        <w:rPr>
          <w:lang w:val="fr-FR"/>
        </w:rPr>
        <w:t>û</w:t>
      </w:r>
      <w:r w:rsidR="00630581" w:rsidRPr="00630581">
        <w:rPr>
          <w:lang w:val="fr-FR"/>
        </w:rPr>
        <w:t>ts pour l’accueil de la COP15</w:t>
      </w:r>
      <w:r w:rsidR="0092323A" w:rsidRPr="00630581">
        <w:rPr>
          <w:lang w:val="fr-FR"/>
        </w:rPr>
        <w:t xml:space="preserve"> </w:t>
      </w:r>
      <w:r w:rsidR="00630581">
        <w:rPr>
          <w:lang w:val="fr-FR"/>
        </w:rPr>
        <w:t>dans le budget administratif à l’instar de la pratique d’autres conventions comparables.</w:t>
      </w:r>
      <w:r w:rsidR="00DC7DF5" w:rsidRPr="00630581">
        <w:rPr>
          <w:rFonts w:asciiTheme="minorHAnsi" w:hAnsiTheme="minorHAnsi" w:cstheme="minorHAnsi"/>
          <w:lang w:val="fr-FR"/>
        </w:rPr>
        <w:t xml:space="preserve"> </w:t>
      </w:r>
    </w:p>
    <w:p w14:paraId="01967969" w14:textId="7FB73A1A" w:rsidR="005B5816" w:rsidRPr="00630581" w:rsidRDefault="005B5816" w:rsidP="00711D36">
      <w:pPr>
        <w:widowControl/>
        <w:rPr>
          <w:rFonts w:asciiTheme="minorHAnsi" w:hAnsiTheme="minorHAnsi" w:cstheme="minorHAnsi"/>
          <w:lang w:val="fr-FR"/>
        </w:rPr>
      </w:pPr>
    </w:p>
    <w:p w14:paraId="00202DE4" w14:textId="29A85C1B" w:rsidR="007D5226" w:rsidRDefault="005E6F4B" w:rsidP="00711D36">
      <w:pPr>
        <w:widowControl/>
        <w:rPr>
          <w:rFonts w:asciiTheme="minorHAnsi" w:hAnsiTheme="minorHAnsi" w:cstheme="minorHAnsi"/>
          <w:lang w:val="fr-CH"/>
        </w:rPr>
      </w:pPr>
      <w:r>
        <w:rPr>
          <w:rFonts w:asciiTheme="minorHAnsi" w:hAnsiTheme="minorHAnsi" w:cstheme="minorHAnsi"/>
          <w:lang w:val="fr-CH"/>
        </w:rPr>
        <w:t xml:space="preserve">Le </w:t>
      </w:r>
      <w:r w:rsidR="004E5174">
        <w:rPr>
          <w:rFonts w:asciiTheme="minorHAnsi" w:hAnsiTheme="minorHAnsi" w:cstheme="minorHAnsi"/>
          <w:lang w:val="fr-CH"/>
        </w:rPr>
        <w:t>Sous-</w:t>
      </w:r>
      <w:r>
        <w:rPr>
          <w:rFonts w:asciiTheme="minorHAnsi" w:hAnsiTheme="minorHAnsi" w:cstheme="minorHAnsi"/>
          <w:lang w:val="fr-CH"/>
        </w:rPr>
        <w:t xml:space="preserve">groupe remercie le Secrétariat pour les informations </w:t>
      </w:r>
      <w:r w:rsidR="00766ED0">
        <w:rPr>
          <w:rFonts w:asciiTheme="minorHAnsi" w:hAnsiTheme="minorHAnsi" w:cstheme="minorHAnsi"/>
          <w:lang w:val="fr-CH"/>
        </w:rPr>
        <w:t>fournies et pour sa</w:t>
      </w:r>
      <w:r>
        <w:rPr>
          <w:rFonts w:asciiTheme="minorHAnsi" w:hAnsiTheme="minorHAnsi" w:cstheme="minorHAnsi"/>
          <w:lang w:val="fr-CH"/>
        </w:rPr>
        <w:t xml:space="preserve"> transparence sur les questions relatives à l’excédent. Il considère que l’excédent</w:t>
      </w:r>
      <w:r w:rsidR="00AD15B6">
        <w:rPr>
          <w:rFonts w:asciiTheme="minorHAnsi" w:hAnsiTheme="minorHAnsi" w:cstheme="minorHAnsi"/>
          <w:lang w:val="fr-CH"/>
        </w:rPr>
        <w:t xml:space="preserve"> important</w:t>
      </w:r>
      <w:r>
        <w:rPr>
          <w:rFonts w:asciiTheme="minorHAnsi" w:hAnsiTheme="minorHAnsi" w:cstheme="minorHAnsi"/>
          <w:lang w:val="fr-CH"/>
        </w:rPr>
        <w:t xml:space="preserve"> rend </w:t>
      </w:r>
      <w:r w:rsidR="00766ED0">
        <w:rPr>
          <w:rFonts w:asciiTheme="minorHAnsi" w:hAnsiTheme="minorHAnsi" w:cstheme="minorHAnsi"/>
          <w:lang w:val="fr-CH"/>
        </w:rPr>
        <w:t>plus difficile de justifier les</w:t>
      </w:r>
      <w:r w:rsidR="007A324B">
        <w:rPr>
          <w:rFonts w:asciiTheme="minorHAnsi" w:hAnsiTheme="minorHAnsi" w:cstheme="minorHAnsi"/>
          <w:lang w:val="fr-CH"/>
        </w:rPr>
        <w:t xml:space="preserve"> Scénarios B et C et </w:t>
      </w:r>
      <w:r w:rsidR="00AD15B6">
        <w:rPr>
          <w:rFonts w:asciiTheme="minorHAnsi" w:hAnsiTheme="minorHAnsi" w:cstheme="minorHAnsi"/>
          <w:lang w:val="fr-CH"/>
        </w:rPr>
        <w:t>recommande</w:t>
      </w:r>
      <w:r w:rsidR="007A324B">
        <w:rPr>
          <w:rFonts w:asciiTheme="minorHAnsi" w:hAnsiTheme="minorHAnsi" w:cstheme="minorHAnsi"/>
          <w:lang w:val="fr-CH"/>
        </w:rPr>
        <w:t xml:space="preserve"> </w:t>
      </w:r>
      <w:r w:rsidR="005965AE">
        <w:rPr>
          <w:rFonts w:asciiTheme="minorHAnsi" w:hAnsiTheme="minorHAnsi" w:cstheme="minorHAnsi"/>
          <w:lang w:val="fr-CH"/>
        </w:rPr>
        <w:t>de présenter le</w:t>
      </w:r>
      <w:r w:rsidR="005965AE" w:rsidRPr="005965AE">
        <w:rPr>
          <w:rFonts w:asciiTheme="minorHAnsi" w:hAnsiTheme="minorHAnsi" w:cstheme="minorHAnsi"/>
          <w:lang w:val="fr-CH"/>
        </w:rPr>
        <w:t xml:space="preserve"> Sc</w:t>
      </w:r>
      <w:r w:rsidR="005965AE">
        <w:rPr>
          <w:rFonts w:asciiTheme="minorHAnsi" w:hAnsiTheme="minorHAnsi" w:cstheme="minorHAnsi"/>
          <w:lang w:val="fr-CH"/>
        </w:rPr>
        <w:t>é</w:t>
      </w:r>
      <w:r w:rsidR="005965AE" w:rsidRPr="005965AE">
        <w:rPr>
          <w:rFonts w:asciiTheme="minorHAnsi" w:hAnsiTheme="minorHAnsi" w:cstheme="minorHAnsi"/>
          <w:lang w:val="fr-CH"/>
        </w:rPr>
        <w:t xml:space="preserve">nario A </w:t>
      </w:r>
      <w:r w:rsidR="005965AE">
        <w:rPr>
          <w:rFonts w:asciiTheme="minorHAnsi" w:hAnsiTheme="minorHAnsi" w:cstheme="minorHAnsi"/>
          <w:lang w:val="fr-CH"/>
        </w:rPr>
        <w:t>de</w:t>
      </w:r>
      <w:r w:rsidR="005965AE" w:rsidRPr="005965AE">
        <w:rPr>
          <w:rFonts w:asciiTheme="minorHAnsi" w:hAnsiTheme="minorHAnsi" w:cstheme="minorHAnsi"/>
          <w:lang w:val="fr-CH"/>
        </w:rPr>
        <w:t xml:space="preserve"> 0% </w:t>
      </w:r>
      <w:r w:rsidR="005965AE">
        <w:rPr>
          <w:rFonts w:asciiTheme="minorHAnsi" w:hAnsiTheme="minorHAnsi" w:cstheme="minorHAnsi"/>
          <w:lang w:val="fr-CH"/>
        </w:rPr>
        <w:t>d’augmentation du budget administratif pour approbation par la</w:t>
      </w:r>
      <w:r w:rsidR="005965AE" w:rsidRPr="005965AE">
        <w:rPr>
          <w:rFonts w:asciiTheme="minorHAnsi" w:hAnsiTheme="minorHAnsi" w:cstheme="minorHAnsi"/>
          <w:lang w:val="fr-CH"/>
        </w:rPr>
        <w:t xml:space="preserve"> COP14. </w:t>
      </w:r>
      <w:r w:rsidR="005965AE">
        <w:rPr>
          <w:rFonts w:asciiTheme="minorHAnsi" w:hAnsiTheme="minorHAnsi" w:cstheme="minorHAnsi"/>
          <w:lang w:val="fr-CH"/>
        </w:rPr>
        <w:t>Le Sous-groupe</w:t>
      </w:r>
      <w:r w:rsidR="005965AE" w:rsidRPr="005965AE">
        <w:rPr>
          <w:rFonts w:asciiTheme="minorHAnsi" w:hAnsiTheme="minorHAnsi" w:cstheme="minorHAnsi"/>
          <w:lang w:val="fr-CH"/>
        </w:rPr>
        <w:t xml:space="preserve"> </w:t>
      </w:r>
      <w:r w:rsidR="005965AE">
        <w:rPr>
          <w:rFonts w:asciiTheme="minorHAnsi" w:hAnsiTheme="minorHAnsi" w:cstheme="minorHAnsi"/>
          <w:lang w:val="fr-CH"/>
        </w:rPr>
        <w:t>convient de continuer de financer l’ajout d’un poste d’assistant financier et comptable et l’augmentation estimée de</w:t>
      </w:r>
      <w:r w:rsidR="00824771">
        <w:rPr>
          <w:rFonts w:asciiTheme="minorHAnsi" w:hAnsiTheme="minorHAnsi" w:cstheme="minorHAnsi"/>
          <w:lang w:val="fr-CH"/>
        </w:rPr>
        <w:t xml:space="preserve"> la</w:t>
      </w:r>
      <w:r w:rsidR="005965AE">
        <w:rPr>
          <w:rFonts w:asciiTheme="minorHAnsi" w:hAnsiTheme="minorHAnsi" w:cstheme="minorHAnsi"/>
          <w:lang w:val="fr-CH"/>
        </w:rPr>
        <w:t xml:space="preserve"> provision </w:t>
      </w:r>
      <w:r w:rsidR="006267CC">
        <w:rPr>
          <w:rFonts w:asciiTheme="minorHAnsi" w:hAnsiTheme="minorHAnsi" w:cstheme="minorHAnsi"/>
          <w:lang w:val="fr-CH"/>
        </w:rPr>
        <w:t xml:space="preserve">pour contributions impayées avec l’excédent de </w:t>
      </w:r>
      <w:r w:rsidR="005965AE" w:rsidRPr="005965AE">
        <w:rPr>
          <w:rFonts w:asciiTheme="minorHAnsi" w:hAnsiTheme="minorHAnsi" w:cstheme="minorHAnsi"/>
          <w:lang w:val="fr-CH"/>
        </w:rPr>
        <w:t>2019-2021</w:t>
      </w:r>
      <w:r w:rsidR="007A324B">
        <w:rPr>
          <w:rFonts w:asciiTheme="minorHAnsi" w:hAnsiTheme="minorHAnsi" w:cstheme="minorHAnsi"/>
          <w:lang w:val="fr-CH"/>
        </w:rPr>
        <w:t>.</w:t>
      </w:r>
    </w:p>
    <w:p w14:paraId="5A568220" w14:textId="77777777" w:rsidR="007D5226" w:rsidRDefault="007D5226" w:rsidP="00711D36">
      <w:pPr>
        <w:widowControl/>
        <w:rPr>
          <w:rFonts w:asciiTheme="minorHAnsi" w:hAnsiTheme="minorHAnsi" w:cstheme="minorHAnsi"/>
          <w:lang w:val="fr-CH"/>
        </w:rPr>
      </w:pPr>
    </w:p>
    <w:p w14:paraId="776D9F4B" w14:textId="66CCB4DF" w:rsidR="00356EEC" w:rsidRPr="001F4456" w:rsidRDefault="007D5226" w:rsidP="00711D36">
      <w:pPr>
        <w:widowControl/>
        <w:rPr>
          <w:rFonts w:asciiTheme="minorHAnsi" w:hAnsiTheme="minorHAnsi" w:cstheme="minorHAnsi"/>
          <w:lang w:val="fr-CH"/>
        </w:rPr>
      </w:pPr>
      <w:r>
        <w:rPr>
          <w:rFonts w:asciiTheme="minorHAnsi" w:hAnsiTheme="minorHAnsi" w:cstheme="minorHAnsi"/>
          <w:lang w:val="fr-CH"/>
        </w:rPr>
        <w:t>Le Sous-groupe souligne qu’à la lumière des réformes récentes</w:t>
      </w:r>
      <w:r w:rsidRPr="007D5226">
        <w:rPr>
          <w:rFonts w:asciiTheme="minorHAnsi" w:hAnsiTheme="minorHAnsi" w:cstheme="minorHAnsi"/>
          <w:lang w:val="fr-CH"/>
        </w:rPr>
        <w:t xml:space="preserve">, </w:t>
      </w:r>
      <w:r>
        <w:rPr>
          <w:rFonts w:asciiTheme="minorHAnsi" w:hAnsiTheme="minorHAnsi" w:cstheme="minorHAnsi"/>
          <w:lang w:val="fr-CH"/>
        </w:rPr>
        <w:t xml:space="preserve">il importe de maintenir la discipline budgétaire relative à ce qui est couvert par le budget administratif et ce qui est couvert par des fonds </w:t>
      </w:r>
      <w:r w:rsidR="008F5229">
        <w:rPr>
          <w:rFonts w:asciiTheme="minorHAnsi" w:hAnsiTheme="minorHAnsi" w:cstheme="minorHAnsi"/>
          <w:lang w:val="fr-CH"/>
        </w:rPr>
        <w:t>non administratifs, dans le contexte de la Con</w:t>
      </w:r>
      <w:r w:rsidRPr="007D5226">
        <w:rPr>
          <w:rFonts w:asciiTheme="minorHAnsi" w:hAnsiTheme="minorHAnsi" w:cstheme="minorHAnsi"/>
          <w:lang w:val="fr-CH"/>
        </w:rPr>
        <w:t xml:space="preserve">vention.  </w:t>
      </w:r>
      <w:r w:rsidR="008F5229">
        <w:rPr>
          <w:rFonts w:asciiTheme="minorHAnsi" w:hAnsiTheme="minorHAnsi" w:cstheme="minorHAnsi"/>
          <w:lang w:val="fr-CH"/>
        </w:rPr>
        <w:t xml:space="preserve">Il est également recommandé d’inclure dans le rapport une phrase mettant en relief les circonstances exceptionnelles ayant conduit au choix </w:t>
      </w:r>
      <w:r w:rsidR="00824771">
        <w:rPr>
          <w:rFonts w:asciiTheme="minorHAnsi" w:hAnsiTheme="minorHAnsi" w:cstheme="minorHAnsi"/>
          <w:lang w:val="fr-CH"/>
        </w:rPr>
        <w:t>de</w:t>
      </w:r>
      <w:r w:rsidR="008F5229">
        <w:rPr>
          <w:rFonts w:asciiTheme="minorHAnsi" w:hAnsiTheme="minorHAnsi" w:cstheme="minorHAnsi"/>
          <w:lang w:val="fr-CH"/>
        </w:rPr>
        <w:t xml:space="preserve"> </w:t>
      </w:r>
      <w:r w:rsidRPr="007D5226">
        <w:rPr>
          <w:rFonts w:asciiTheme="minorHAnsi" w:hAnsiTheme="minorHAnsi" w:cstheme="minorHAnsi"/>
          <w:lang w:val="fr-CH"/>
        </w:rPr>
        <w:t xml:space="preserve">0% </w:t>
      </w:r>
      <w:r w:rsidR="00824771">
        <w:rPr>
          <w:rFonts w:asciiTheme="minorHAnsi" w:hAnsiTheme="minorHAnsi" w:cstheme="minorHAnsi"/>
          <w:lang w:val="fr-CH"/>
        </w:rPr>
        <w:t xml:space="preserve">d’augmentation </w:t>
      </w:r>
      <w:r w:rsidR="008F5229">
        <w:rPr>
          <w:rFonts w:asciiTheme="minorHAnsi" w:hAnsiTheme="minorHAnsi" w:cstheme="minorHAnsi"/>
          <w:lang w:val="fr-CH"/>
        </w:rPr>
        <w:t xml:space="preserve">du </w:t>
      </w:r>
      <w:r w:rsidRPr="007D5226">
        <w:rPr>
          <w:rFonts w:asciiTheme="minorHAnsi" w:hAnsiTheme="minorHAnsi" w:cstheme="minorHAnsi"/>
          <w:lang w:val="fr-CH"/>
        </w:rPr>
        <w:t>budget</w:t>
      </w:r>
      <w:r w:rsidR="008F5229">
        <w:rPr>
          <w:rFonts w:asciiTheme="minorHAnsi" w:hAnsiTheme="minorHAnsi" w:cstheme="minorHAnsi"/>
          <w:lang w:val="fr-CH"/>
        </w:rPr>
        <w:t>.</w:t>
      </w:r>
    </w:p>
    <w:p w14:paraId="579EF02E" w14:textId="20A0052A" w:rsidR="007E32B3" w:rsidRPr="001F4456" w:rsidRDefault="007E32B3" w:rsidP="00711D36">
      <w:pPr>
        <w:widowControl/>
        <w:rPr>
          <w:rFonts w:asciiTheme="minorHAnsi" w:hAnsiTheme="minorHAnsi" w:cstheme="minorHAnsi"/>
          <w:lang w:val="fr-CH"/>
        </w:rPr>
      </w:pPr>
    </w:p>
    <w:p w14:paraId="35F2EF81" w14:textId="36772002" w:rsidR="007E32B3" w:rsidRPr="00D02AAB" w:rsidRDefault="007A324B" w:rsidP="00711D36">
      <w:pPr>
        <w:widowControl/>
        <w:rPr>
          <w:rFonts w:asciiTheme="minorHAnsi" w:hAnsiTheme="minorHAnsi" w:cstheme="minorHAnsi"/>
          <w:u w:val="single"/>
          <w:lang w:val="fr-CH"/>
        </w:rPr>
      </w:pPr>
      <w:r w:rsidRPr="00D02AAB">
        <w:rPr>
          <w:rFonts w:asciiTheme="minorHAnsi" w:hAnsiTheme="minorHAnsi" w:cstheme="minorHAnsi"/>
          <w:u w:val="single"/>
          <w:lang w:val="fr-CH"/>
        </w:rPr>
        <w:t xml:space="preserve">Projet de </w:t>
      </w:r>
      <w:r w:rsidR="00470552" w:rsidRPr="00D02AAB">
        <w:rPr>
          <w:rFonts w:asciiTheme="minorHAnsi" w:hAnsiTheme="minorHAnsi" w:cstheme="minorHAnsi"/>
          <w:u w:val="single"/>
          <w:lang w:val="fr-CH"/>
        </w:rPr>
        <w:t>résolution</w:t>
      </w:r>
      <w:r w:rsidRPr="00D02AAB">
        <w:rPr>
          <w:rFonts w:asciiTheme="minorHAnsi" w:hAnsiTheme="minorHAnsi" w:cstheme="minorHAnsi"/>
          <w:u w:val="single"/>
          <w:lang w:val="fr-CH"/>
        </w:rPr>
        <w:t xml:space="preserve"> sur les questions financières et budgétaires</w:t>
      </w:r>
    </w:p>
    <w:p w14:paraId="6183011B" w14:textId="77777777" w:rsidR="00356EEC" w:rsidRPr="00D02AAB" w:rsidRDefault="00356EEC" w:rsidP="00711D36">
      <w:pPr>
        <w:widowControl/>
        <w:rPr>
          <w:rFonts w:asciiTheme="minorHAnsi" w:hAnsiTheme="minorHAnsi" w:cstheme="minorHAnsi"/>
          <w:lang w:val="fr-CH"/>
        </w:rPr>
      </w:pPr>
    </w:p>
    <w:p w14:paraId="48739E93" w14:textId="1C8CD0BB" w:rsidR="00B501A6" w:rsidRDefault="00D02AAB" w:rsidP="00AF4B37">
      <w:pPr>
        <w:widowControl/>
        <w:rPr>
          <w:rFonts w:asciiTheme="minorHAnsi" w:hAnsiTheme="minorHAnsi" w:cstheme="minorHAnsi"/>
          <w:lang w:val="fr-CH"/>
        </w:rPr>
      </w:pPr>
      <w:r>
        <w:rPr>
          <w:rFonts w:asciiTheme="minorHAnsi" w:hAnsiTheme="minorHAnsi" w:cstheme="minorHAnsi"/>
          <w:lang w:val="fr-CH"/>
        </w:rPr>
        <w:t xml:space="preserve">Le Secrétariat souligne que le projet de résolution </w:t>
      </w:r>
      <w:r w:rsidR="008F5229">
        <w:rPr>
          <w:rFonts w:asciiTheme="minorHAnsi" w:hAnsiTheme="minorHAnsi" w:cstheme="minorHAnsi"/>
          <w:lang w:val="fr-CH"/>
        </w:rPr>
        <w:t xml:space="preserve">a été préparé sur la même base que </w:t>
      </w:r>
      <w:r>
        <w:rPr>
          <w:rFonts w:asciiTheme="minorHAnsi" w:hAnsiTheme="minorHAnsi" w:cstheme="minorHAnsi"/>
          <w:lang w:val="fr-CH"/>
        </w:rPr>
        <w:t>la Résolution </w:t>
      </w:r>
      <w:r w:rsidR="00AF4B37" w:rsidRPr="00D02AAB">
        <w:rPr>
          <w:rFonts w:asciiTheme="minorHAnsi" w:hAnsiTheme="minorHAnsi" w:cstheme="minorHAnsi"/>
          <w:lang w:val="fr-CH"/>
        </w:rPr>
        <w:t xml:space="preserve">XIII.2 </w:t>
      </w:r>
      <w:r w:rsidR="008F5229">
        <w:rPr>
          <w:rFonts w:asciiTheme="minorHAnsi" w:hAnsiTheme="minorHAnsi" w:cstheme="minorHAnsi"/>
          <w:lang w:val="fr-CH"/>
        </w:rPr>
        <w:t xml:space="preserve">et comprend les amendements apportés par le Sous-groupe en juin 2021, </w:t>
      </w:r>
      <w:r w:rsidR="003A4BC6">
        <w:rPr>
          <w:rFonts w:asciiTheme="minorHAnsi" w:hAnsiTheme="minorHAnsi" w:cstheme="minorHAnsi"/>
          <w:lang w:val="fr-CH"/>
        </w:rPr>
        <w:t>consignés dans le rapport de juin 2021-1</w:t>
      </w:r>
      <w:r w:rsidR="003A4BC6" w:rsidRPr="003A4BC6">
        <w:rPr>
          <w:rFonts w:asciiTheme="minorHAnsi" w:hAnsiTheme="minorHAnsi" w:cstheme="minorHAnsi"/>
          <w:vertAlign w:val="superscript"/>
          <w:lang w:val="fr-CH"/>
        </w:rPr>
        <w:t>re</w:t>
      </w:r>
      <w:r w:rsidR="003A4BC6">
        <w:rPr>
          <w:rFonts w:asciiTheme="minorHAnsi" w:hAnsiTheme="minorHAnsi" w:cstheme="minorHAnsi"/>
          <w:lang w:val="fr-CH"/>
        </w:rPr>
        <w:t xml:space="preserve"> partie.</w:t>
      </w:r>
    </w:p>
    <w:p w14:paraId="613061AF" w14:textId="182068EB" w:rsidR="00C2780B" w:rsidRDefault="00C2780B" w:rsidP="00AF4B37">
      <w:pPr>
        <w:widowControl/>
        <w:rPr>
          <w:rFonts w:asciiTheme="minorHAnsi" w:hAnsiTheme="minorHAnsi" w:cstheme="minorHAnsi"/>
          <w:lang w:val="fr-CH"/>
        </w:rPr>
      </w:pPr>
    </w:p>
    <w:p w14:paraId="2E65B9E4" w14:textId="370A2546" w:rsidR="00C2780B" w:rsidRPr="00D02AAB" w:rsidRDefault="00C2780B" w:rsidP="00AF4B37">
      <w:pPr>
        <w:widowControl/>
        <w:rPr>
          <w:rFonts w:asciiTheme="minorHAnsi" w:hAnsiTheme="minorHAnsi" w:cstheme="minorHAnsi"/>
          <w:lang w:val="fr-CH"/>
        </w:rPr>
      </w:pPr>
      <w:r>
        <w:rPr>
          <w:rFonts w:asciiTheme="minorHAnsi" w:hAnsiTheme="minorHAnsi" w:cstheme="minorHAnsi"/>
          <w:lang w:val="fr-CH"/>
        </w:rPr>
        <w:t xml:space="preserve">Le Sous-groupe </w:t>
      </w:r>
      <w:r w:rsidR="00824771">
        <w:rPr>
          <w:rFonts w:asciiTheme="minorHAnsi" w:hAnsiTheme="minorHAnsi" w:cstheme="minorHAnsi"/>
          <w:lang w:val="fr-CH"/>
        </w:rPr>
        <w:t>approuve</w:t>
      </w:r>
      <w:r>
        <w:rPr>
          <w:rFonts w:asciiTheme="minorHAnsi" w:hAnsiTheme="minorHAnsi" w:cstheme="minorHAnsi"/>
          <w:lang w:val="fr-CH"/>
        </w:rPr>
        <w:t xml:space="preserve"> le projet de résolution sur les questions financières et budgétaires et aucun amendement n’est proposé (voir Annexe 2 du présent rapport).</w:t>
      </w:r>
    </w:p>
    <w:p w14:paraId="07B5B88F" w14:textId="53D61EC7" w:rsidR="00AF4B37" w:rsidRPr="00D02AAB" w:rsidRDefault="00AF4B37" w:rsidP="00AF4B37">
      <w:pPr>
        <w:widowControl/>
        <w:rPr>
          <w:rFonts w:asciiTheme="minorHAnsi" w:hAnsiTheme="minorHAnsi" w:cstheme="minorHAnsi"/>
          <w:lang w:val="fr-CH"/>
        </w:rPr>
      </w:pPr>
    </w:p>
    <w:p w14:paraId="58678EAF" w14:textId="0C3E4B31" w:rsidR="00AF4B37" w:rsidRPr="00D02AAB" w:rsidRDefault="00D02AAB" w:rsidP="00AF4B37">
      <w:pPr>
        <w:widowControl/>
        <w:rPr>
          <w:rFonts w:asciiTheme="minorHAnsi" w:hAnsiTheme="minorHAnsi" w:cstheme="minorHAnsi"/>
          <w:lang w:val="fr-CH"/>
        </w:rPr>
      </w:pPr>
      <w:r>
        <w:rPr>
          <w:rFonts w:asciiTheme="minorHAnsi" w:hAnsiTheme="minorHAnsi" w:cstheme="minorHAnsi"/>
          <w:lang w:val="fr-CH"/>
        </w:rPr>
        <w:t xml:space="preserve">Le Sous-groupe demande que la liste des </w:t>
      </w:r>
      <w:r w:rsidR="00A40CF7">
        <w:rPr>
          <w:rFonts w:asciiTheme="minorHAnsi" w:hAnsiTheme="minorHAnsi" w:cstheme="minorHAnsi"/>
          <w:lang w:val="fr-CH"/>
        </w:rPr>
        <w:t>postes</w:t>
      </w:r>
      <w:r>
        <w:rPr>
          <w:rFonts w:asciiTheme="minorHAnsi" w:hAnsiTheme="minorHAnsi" w:cstheme="minorHAnsi"/>
          <w:lang w:val="fr-CH"/>
        </w:rPr>
        <w:t xml:space="preserve"> non administratifs inscrits au budget </w:t>
      </w:r>
      <w:r w:rsidR="00AF4B37" w:rsidRPr="00D02AAB">
        <w:rPr>
          <w:lang w:val="fr-CH"/>
        </w:rPr>
        <w:t>2019</w:t>
      </w:r>
      <w:r>
        <w:rPr>
          <w:lang w:val="fr-CH"/>
        </w:rPr>
        <w:noBreakHyphen/>
      </w:r>
      <w:r w:rsidR="00AF4B37" w:rsidRPr="00D02AAB">
        <w:rPr>
          <w:lang w:val="fr-CH"/>
        </w:rPr>
        <w:t>2021</w:t>
      </w:r>
      <w:r>
        <w:rPr>
          <w:lang w:val="fr-CH"/>
        </w:rPr>
        <w:t>,</w:t>
      </w:r>
      <w:r w:rsidR="00AF4B37" w:rsidRPr="00D02AAB">
        <w:rPr>
          <w:lang w:val="fr-CH"/>
        </w:rPr>
        <w:t xml:space="preserve"> </w:t>
      </w:r>
      <w:r w:rsidR="00A40CF7" w:rsidRPr="00A40CF7">
        <w:rPr>
          <w:rFonts w:asciiTheme="minorHAnsi" w:hAnsiTheme="minorHAnsi"/>
          <w:bCs/>
          <w:iCs/>
          <w:lang w:val="fr-CH" w:eastAsia="en-GB"/>
        </w:rPr>
        <w:t>en ordre de priorité recommandée</w:t>
      </w:r>
      <w:r w:rsidRPr="00A40CF7">
        <w:rPr>
          <w:iCs/>
          <w:lang w:val="fr-CH"/>
        </w:rPr>
        <w:t>,</w:t>
      </w:r>
      <w:r>
        <w:rPr>
          <w:lang w:val="fr-CH"/>
        </w:rPr>
        <w:t xml:space="preserve"> qui </w:t>
      </w:r>
      <w:r w:rsidR="00A40CF7">
        <w:rPr>
          <w:lang w:val="fr-CH"/>
        </w:rPr>
        <w:t>figure dans l’</w:t>
      </w:r>
      <w:r>
        <w:rPr>
          <w:lang w:val="fr-CH"/>
        </w:rPr>
        <w:t xml:space="preserve">Annexe 3 </w:t>
      </w:r>
      <w:r w:rsidR="00824771">
        <w:rPr>
          <w:lang w:val="fr-CH"/>
        </w:rPr>
        <w:t>de</w:t>
      </w:r>
      <w:r>
        <w:rPr>
          <w:lang w:val="fr-CH"/>
        </w:rPr>
        <w:t xml:space="preserve"> la Résolution </w:t>
      </w:r>
      <w:r w:rsidR="00AF4B37" w:rsidRPr="00D02AAB">
        <w:rPr>
          <w:rFonts w:asciiTheme="minorHAnsi" w:hAnsiTheme="minorHAnsi" w:cstheme="minorHAnsi"/>
          <w:lang w:val="fr-CH"/>
        </w:rPr>
        <w:t xml:space="preserve">XIII.2, </w:t>
      </w:r>
      <w:r>
        <w:rPr>
          <w:rFonts w:asciiTheme="minorHAnsi" w:hAnsiTheme="minorHAnsi" w:cstheme="minorHAnsi"/>
          <w:lang w:val="fr-CH"/>
        </w:rPr>
        <w:t>soit</w:t>
      </w:r>
      <w:r w:rsidR="00C2780B">
        <w:rPr>
          <w:rFonts w:asciiTheme="minorHAnsi" w:hAnsiTheme="minorHAnsi" w:cstheme="minorHAnsi"/>
          <w:lang w:val="fr-CH"/>
        </w:rPr>
        <w:t xml:space="preserve"> partagée par courriel avec les membres du Sous-groupe</w:t>
      </w:r>
      <w:r w:rsidR="00F30416">
        <w:rPr>
          <w:rFonts w:asciiTheme="minorHAnsi" w:hAnsiTheme="minorHAnsi" w:cstheme="minorHAnsi"/>
          <w:lang w:val="fr-CH"/>
        </w:rPr>
        <w:t xml:space="preserve"> afin qu’ils puissent échanger leurs opinions et commencer à élaborer la nouvelle liste de priorités à la Réunion du Comité permanent, pour qu’elle soit ajoutée dans le projet de résolution pour examen à la COP14.</w:t>
      </w:r>
      <w:r>
        <w:rPr>
          <w:rFonts w:asciiTheme="minorHAnsi" w:hAnsiTheme="minorHAnsi" w:cstheme="minorHAnsi"/>
          <w:lang w:val="fr-CH"/>
        </w:rPr>
        <w:t xml:space="preserve"> </w:t>
      </w:r>
    </w:p>
    <w:p w14:paraId="141DB9D5" w14:textId="3CA49A73" w:rsidR="00AF4B37" w:rsidRPr="00D02AAB" w:rsidRDefault="00AF4B37" w:rsidP="00AF4B37">
      <w:pPr>
        <w:widowControl/>
        <w:rPr>
          <w:rFonts w:asciiTheme="minorHAnsi" w:hAnsiTheme="minorHAnsi" w:cstheme="minorHAnsi"/>
          <w:lang w:val="fr-CH"/>
        </w:rPr>
      </w:pPr>
    </w:p>
    <w:p w14:paraId="246C4469" w14:textId="21B2450D" w:rsidR="00312AAB" w:rsidRPr="00D02AAB" w:rsidRDefault="002915CC" w:rsidP="00711D36">
      <w:pPr>
        <w:widowControl/>
        <w:rPr>
          <w:rFonts w:asciiTheme="minorHAnsi" w:hAnsiTheme="minorHAnsi" w:cstheme="minorHAnsi"/>
          <w:i/>
          <w:iCs/>
          <w:color w:val="0000FF"/>
          <w:lang w:val="fr-CH" w:eastAsia="ja-JP"/>
        </w:rPr>
      </w:pPr>
      <w:r w:rsidRPr="00D02AAB">
        <w:rPr>
          <w:rFonts w:asciiTheme="minorHAnsi" w:hAnsiTheme="minorHAnsi" w:cstheme="minorHAnsi"/>
          <w:i/>
          <w:color w:val="0000FF"/>
          <w:lang w:val="fr-CH"/>
        </w:rPr>
        <w:t>Recommandation</w:t>
      </w:r>
      <w:r w:rsidR="00312AAB" w:rsidRPr="00D02AAB">
        <w:rPr>
          <w:rFonts w:asciiTheme="minorHAnsi" w:hAnsiTheme="minorHAnsi" w:cstheme="minorHAnsi"/>
          <w:i/>
          <w:iCs/>
          <w:color w:val="0000FF"/>
          <w:lang w:val="fr-CH" w:eastAsia="ja-JP"/>
        </w:rPr>
        <w:t xml:space="preserve"> </w:t>
      </w:r>
      <w:r>
        <w:rPr>
          <w:rFonts w:asciiTheme="minorHAnsi" w:hAnsiTheme="minorHAnsi" w:cstheme="minorHAnsi"/>
          <w:i/>
          <w:iCs/>
          <w:color w:val="0000FF"/>
          <w:lang w:val="fr-CH" w:eastAsia="ja-JP"/>
        </w:rPr>
        <w:t>pour décision par le Comité permanent :</w:t>
      </w:r>
    </w:p>
    <w:p w14:paraId="6966D1EB" w14:textId="77777777" w:rsidR="00312AAB" w:rsidRPr="00D02AAB" w:rsidRDefault="00312AAB" w:rsidP="00711D36">
      <w:pPr>
        <w:widowControl/>
        <w:ind w:left="426" w:hanging="426"/>
        <w:rPr>
          <w:rFonts w:asciiTheme="minorHAnsi" w:hAnsiTheme="minorHAnsi" w:cstheme="minorHAnsi"/>
          <w:lang w:val="fr-CH"/>
        </w:rPr>
      </w:pPr>
    </w:p>
    <w:p w14:paraId="367BE7C8" w14:textId="4BB707B1" w:rsidR="005B5816" w:rsidRPr="00D02AAB" w:rsidRDefault="002915CC" w:rsidP="00711D36">
      <w:pPr>
        <w:pStyle w:val="NormalWeb"/>
        <w:spacing w:before="0" w:beforeAutospacing="0" w:after="0" w:afterAutospacing="0"/>
        <w:rPr>
          <w:rFonts w:ascii="Calibri" w:hAnsi="Calibri" w:cs="Calibri"/>
          <w:color w:val="002451"/>
          <w:sz w:val="22"/>
          <w:szCs w:val="22"/>
          <w:lang w:val="fr-CH" w:eastAsia="ja-JP"/>
        </w:rPr>
      </w:pPr>
      <w:r>
        <w:rPr>
          <w:rFonts w:asciiTheme="minorHAnsi" w:hAnsiTheme="minorHAnsi" w:cstheme="minorHAnsi"/>
          <w:b/>
          <w:i/>
          <w:sz w:val="22"/>
          <w:szCs w:val="22"/>
          <w:lang w:val="fr-CH" w:eastAsia="en-US"/>
        </w:rPr>
        <w:t>Le Sous-groupe sur les finances recommande au Comité permanent :</w:t>
      </w:r>
    </w:p>
    <w:p w14:paraId="4A77A43E" w14:textId="3941FA5F" w:rsidR="005B5816" w:rsidRPr="00D02AAB" w:rsidRDefault="005B5816" w:rsidP="00711D36">
      <w:pPr>
        <w:widowControl/>
        <w:ind w:left="426" w:hanging="426"/>
        <w:rPr>
          <w:rFonts w:asciiTheme="minorHAnsi" w:hAnsiTheme="minorHAnsi" w:cstheme="minorHAnsi"/>
          <w:b/>
          <w:i/>
          <w:lang w:val="fr-CH"/>
        </w:rPr>
      </w:pPr>
      <w:r w:rsidRPr="00D02AAB">
        <w:rPr>
          <w:rFonts w:asciiTheme="minorHAnsi" w:hAnsiTheme="minorHAnsi" w:cstheme="minorHAnsi"/>
          <w:b/>
          <w:i/>
          <w:lang w:val="fr-CH"/>
        </w:rPr>
        <w:lastRenderedPageBreak/>
        <w:t>i</w:t>
      </w:r>
      <w:r w:rsidR="002915CC">
        <w:rPr>
          <w:rFonts w:asciiTheme="minorHAnsi" w:hAnsiTheme="minorHAnsi" w:cstheme="minorHAnsi"/>
          <w:b/>
          <w:i/>
          <w:lang w:val="fr-CH"/>
        </w:rPr>
        <w:t>)</w:t>
      </w:r>
      <w:r w:rsidRPr="00D02AAB">
        <w:rPr>
          <w:rFonts w:asciiTheme="minorHAnsi" w:hAnsiTheme="minorHAnsi" w:cstheme="minorHAnsi"/>
          <w:b/>
          <w:i/>
          <w:lang w:val="fr-CH"/>
        </w:rPr>
        <w:t xml:space="preserve"> </w:t>
      </w:r>
      <w:r w:rsidRPr="00D02AAB">
        <w:rPr>
          <w:rFonts w:asciiTheme="minorHAnsi" w:hAnsiTheme="minorHAnsi" w:cstheme="minorHAnsi"/>
          <w:b/>
          <w:i/>
          <w:lang w:val="fr-CH"/>
        </w:rPr>
        <w:tab/>
      </w:r>
      <w:r w:rsidR="002915CC">
        <w:rPr>
          <w:rFonts w:asciiTheme="minorHAnsi" w:hAnsiTheme="minorHAnsi" w:cstheme="minorHAnsi"/>
          <w:b/>
          <w:i/>
          <w:lang w:val="fr-CH"/>
        </w:rPr>
        <w:t xml:space="preserve">de prendre note du contenu du </w:t>
      </w:r>
      <w:r w:rsidRPr="00D02AAB">
        <w:rPr>
          <w:rFonts w:asciiTheme="minorHAnsi" w:hAnsiTheme="minorHAnsi" w:cstheme="minorHAnsi"/>
          <w:b/>
          <w:i/>
          <w:lang w:val="fr-CH"/>
        </w:rPr>
        <w:t>document SC59</w:t>
      </w:r>
      <w:r w:rsidR="0077382A" w:rsidRPr="00D02AAB">
        <w:rPr>
          <w:rFonts w:asciiTheme="minorHAnsi" w:hAnsiTheme="minorHAnsi" w:cstheme="minorHAnsi"/>
          <w:b/>
          <w:i/>
          <w:lang w:val="fr-CH"/>
        </w:rPr>
        <w:t>/2022</w:t>
      </w:r>
      <w:r w:rsidRPr="00D02AAB">
        <w:rPr>
          <w:rFonts w:asciiTheme="minorHAnsi" w:hAnsiTheme="minorHAnsi" w:cstheme="minorHAnsi"/>
          <w:b/>
          <w:i/>
          <w:lang w:val="fr-CH"/>
        </w:rPr>
        <w:t xml:space="preserve"> </w:t>
      </w:r>
      <w:r w:rsidR="002915CC">
        <w:rPr>
          <w:rFonts w:asciiTheme="minorHAnsi" w:hAnsiTheme="minorHAnsi" w:cstheme="minorHAnsi"/>
          <w:b/>
          <w:i/>
          <w:lang w:val="fr-CH"/>
        </w:rPr>
        <w:t>D</w:t>
      </w:r>
      <w:r w:rsidRPr="00D02AAB">
        <w:rPr>
          <w:rFonts w:asciiTheme="minorHAnsi" w:hAnsiTheme="minorHAnsi" w:cstheme="minorHAnsi"/>
          <w:b/>
          <w:i/>
          <w:lang w:val="fr-CH"/>
        </w:rPr>
        <w:t>oc.8.3</w:t>
      </w:r>
      <w:r w:rsidR="002915CC">
        <w:rPr>
          <w:rFonts w:asciiTheme="minorHAnsi" w:hAnsiTheme="minorHAnsi" w:cstheme="minorHAnsi"/>
          <w:b/>
          <w:i/>
          <w:lang w:val="fr-CH"/>
        </w:rPr>
        <w:t> </w:t>
      </w:r>
      <w:r w:rsidRPr="00D02AAB">
        <w:rPr>
          <w:rFonts w:asciiTheme="minorHAnsi" w:hAnsiTheme="minorHAnsi" w:cstheme="minorHAnsi"/>
          <w:b/>
          <w:i/>
          <w:lang w:val="fr-CH"/>
        </w:rPr>
        <w:t xml:space="preserve">; </w:t>
      </w:r>
    </w:p>
    <w:p w14:paraId="6AE4CE64" w14:textId="7C85F204" w:rsidR="005B5816" w:rsidRPr="00D02AAB" w:rsidRDefault="005B5816" w:rsidP="00711D36">
      <w:pPr>
        <w:widowControl/>
        <w:ind w:left="426" w:hanging="426"/>
        <w:rPr>
          <w:rFonts w:asciiTheme="minorHAnsi" w:hAnsiTheme="minorHAnsi" w:cstheme="minorHAnsi"/>
          <w:b/>
          <w:i/>
          <w:lang w:val="fr-CH"/>
        </w:rPr>
      </w:pPr>
      <w:r w:rsidRPr="00D02AAB">
        <w:rPr>
          <w:rFonts w:asciiTheme="minorHAnsi" w:hAnsiTheme="minorHAnsi" w:cstheme="minorHAnsi"/>
          <w:b/>
          <w:i/>
          <w:lang w:val="fr-CH"/>
        </w:rPr>
        <w:t>ii</w:t>
      </w:r>
      <w:r w:rsidR="002915CC">
        <w:rPr>
          <w:rFonts w:asciiTheme="minorHAnsi" w:hAnsiTheme="minorHAnsi" w:cstheme="minorHAnsi"/>
          <w:b/>
          <w:i/>
          <w:lang w:val="fr-CH"/>
        </w:rPr>
        <w:t>)</w:t>
      </w:r>
      <w:r w:rsidRPr="00D02AAB">
        <w:rPr>
          <w:rFonts w:asciiTheme="minorHAnsi" w:hAnsiTheme="minorHAnsi" w:cstheme="minorHAnsi"/>
          <w:b/>
          <w:i/>
          <w:lang w:val="fr-CH"/>
        </w:rPr>
        <w:t xml:space="preserve"> </w:t>
      </w:r>
      <w:r w:rsidRPr="00D02AAB">
        <w:rPr>
          <w:rFonts w:asciiTheme="minorHAnsi" w:hAnsiTheme="minorHAnsi" w:cstheme="minorHAnsi"/>
          <w:b/>
          <w:i/>
          <w:lang w:val="fr-CH"/>
        </w:rPr>
        <w:tab/>
      </w:r>
      <w:r w:rsidR="002915CC">
        <w:rPr>
          <w:rFonts w:asciiTheme="minorHAnsi" w:hAnsiTheme="minorHAnsi" w:cstheme="minorHAnsi"/>
          <w:b/>
          <w:i/>
          <w:lang w:val="fr-CH"/>
        </w:rPr>
        <w:t>de donner instruction au Secrétariat, compte tenu de</w:t>
      </w:r>
      <w:r w:rsidR="00D02976">
        <w:rPr>
          <w:rFonts w:asciiTheme="minorHAnsi" w:hAnsiTheme="minorHAnsi" w:cstheme="minorHAnsi"/>
          <w:b/>
          <w:i/>
          <w:lang w:val="fr-CH"/>
        </w:rPr>
        <w:t>s</w:t>
      </w:r>
      <w:r w:rsidR="002915CC">
        <w:rPr>
          <w:rFonts w:asciiTheme="minorHAnsi" w:hAnsiTheme="minorHAnsi" w:cstheme="minorHAnsi"/>
          <w:b/>
          <w:i/>
          <w:lang w:val="fr-CH"/>
        </w:rPr>
        <w:t xml:space="preserve"> circonstances exceptionnelles, de présenter</w:t>
      </w:r>
      <w:r w:rsidR="00D02976" w:rsidRPr="00D02976">
        <w:rPr>
          <w:rFonts w:asciiTheme="minorHAnsi" w:hAnsiTheme="minorHAnsi" w:cstheme="minorHAnsi"/>
          <w:b/>
          <w:i/>
          <w:lang w:val="fr-CH"/>
        </w:rPr>
        <w:t xml:space="preserve"> </w:t>
      </w:r>
      <w:r w:rsidR="00D02976">
        <w:rPr>
          <w:rFonts w:asciiTheme="minorHAnsi" w:hAnsiTheme="minorHAnsi" w:cstheme="minorHAnsi"/>
          <w:b/>
          <w:i/>
          <w:lang w:val="fr-CH"/>
        </w:rPr>
        <w:t>à la 14</w:t>
      </w:r>
      <w:r w:rsidR="00D02976" w:rsidRPr="002915CC">
        <w:rPr>
          <w:rFonts w:asciiTheme="minorHAnsi" w:hAnsiTheme="minorHAnsi" w:cstheme="minorHAnsi"/>
          <w:b/>
          <w:i/>
          <w:vertAlign w:val="superscript"/>
          <w:lang w:val="fr-CH"/>
        </w:rPr>
        <w:t>e</w:t>
      </w:r>
      <w:r w:rsidR="00D02976">
        <w:rPr>
          <w:rFonts w:asciiTheme="minorHAnsi" w:hAnsiTheme="minorHAnsi" w:cstheme="minorHAnsi"/>
          <w:b/>
          <w:i/>
          <w:lang w:val="fr-CH"/>
        </w:rPr>
        <w:t> Session de la Conférence des Parties contractantes le seul Scénario budgétaire A</w:t>
      </w:r>
      <w:r w:rsidR="002915CC">
        <w:rPr>
          <w:rFonts w:asciiTheme="minorHAnsi" w:hAnsiTheme="minorHAnsi" w:cstheme="minorHAnsi"/>
          <w:b/>
          <w:i/>
          <w:lang w:val="fr-CH"/>
        </w:rPr>
        <w:t xml:space="preserve">, représentant une augmentation de 0 % </w:t>
      </w:r>
      <w:r w:rsidR="00D02976">
        <w:rPr>
          <w:rFonts w:asciiTheme="minorHAnsi" w:hAnsiTheme="minorHAnsi" w:cstheme="minorHAnsi"/>
          <w:b/>
          <w:i/>
          <w:lang w:val="fr-CH"/>
        </w:rPr>
        <w:t>par rapport</w:t>
      </w:r>
      <w:r w:rsidR="002915CC">
        <w:rPr>
          <w:rFonts w:asciiTheme="minorHAnsi" w:hAnsiTheme="minorHAnsi" w:cstheme="minorHAnsi"/>
          <w:b/>
          <w:i/>
          <w:lang w:val="fr-CH"/>
        </w:rPr>
        <w:t xml:space="preserve"> aux périodes triennales </w:t>
      </w:r>
      <w:r w:rsidR="005F25FF" w:rsidRPr="00D02AAB">
        <w:rPr>
          <w:rFonts w:asciiTheme="minorHAnsi" w:hAnsiTheme="minorHAnsi" w:cstheme="minorHAnsi"/>
          <w:b/>
          <w:i/>
          <w:lang w:val="fr-CH"/>
        </w:rPr>
        <w:t>2016</w:t>
      </w:r>
      <w:r w:rsidR="002915CC">
        <w:rPr>
          <w:rFonts w:asciiTheme="minorHAnsi" w:hAnsiTheme="minorHAnsi" w:cstheme="minorHAnsi"/>
          <w:b/>
          <w:i/>
          <w:lang w:val="fr-CH"/>
        </w:rPr>
        <w:noBreakHyphen/>
      </w:r>
      <w:r w:rsidR="005F25FF" w:rsidRPr="00D02AAB">
        <w:rPr>
          <w:rFonts w:asciiTheme="minorHAnsi" w:hAnsiTheme="minorHAnsi" w:cstheme="minorHAnsi"/>
          <w:b/>
          <w:i/>
          <w:lang w:val="fr-CH"/>
        </w:rPr>
        <w:t xml:space="preserve">2018 </w:t>
      </w:r>
      <w:r w:rsidR="002915CC">
        <w:rPr>
          <w:rFonts w:asciiTheme="minorHAnsi" w:hAnsiTheme="minorHAnsi" w:cstheme="minorHAnsi"/>
          <w:b/>
          <w:i/>
          <w:lang w:val="fr-CH"/>
        </w:rPr>
        <w:t>et</w:t>
      </w:r>
      <w:r w:rsidR="005F25FF" w:rsidRPr="00D02AAB">
        <w:rPr>
          <w:rFonts w:asciiTheme="minorHAnsi" w:hAnsiTheme="minorHAnsi" w:cstheme="minorHAnsi"/>
          <w:b/>
          <w:i/>
          <w:lang w:val="fr-CH"/>
        </w:rPr>
        <w:t xml:space="preserve"> 2019</w:t>
      </w:r>
      <w:r w:rsidR="002915CC">
        <w:rPr>
          <w:rFonts w:asciiTheme="minorHAnsi" w:hAnsiTheme="minorHAnsi" w:cstheme="minorHAnsi"/>
          <w:b/>
          <w:i/>
          <w:lang w:val="fr-CH"/>
        </w:rPr>
        <w:noBreakHyphen/>
      </w:r>
      <w:r w:rsidR="005F25FF" w:rsidRPr="00D02AAB">
        <w:rPr>
          <w:rFonts w:asciiTheme="minorHAnsi" w:hAnsiTheme="minorHAnsi" w:cstheme="minorHAnsi"/>
          <w:b/>
          <w:i/>
          <w:lang w:val="fr-CH"/>
        </w:rPr>
        <w:t>2021</w:t>
      </w:r>
      <w:r w:rsidR="002915CC">
        <w:rPr>
          <w:rFonts w:asciiTheme="minorHAnsi" w:hAnsiTheme="minorHAnsi" w:cstheme="minorHAnsi"/>
          <w:b/>
          <w:i/>
          <w:lang w:val="fr-CH"/>
        </w:rPr>
        <w:t xml:space="preserve"> et 2022, </w:t>
      </w:r>
      <w:r w:rsidR="00D02976">
        <w:rPr>
          <w:rFonts w:asciiTheme="minorHAnsi" w:hAnsiTheme="minorHAnsi" w:cstheme="minorHAnsi"/>
          <w:b/>
          <w:i/>
          <w:lang w:val="fr-CH"/>
        </w:rPr>
        <w:t>tel qu’il est décrit</w:t>
      </w:r>
      <w:r w:rsidR="002915CC">
        <w:rPr>
          <w:rFonts w:asciiTheme="minorHAnsi" w:hAnsiTheme="minorHAnsi" w:cstheme="minorHAnsi"/>
          <w:b/>
          <w:i/>
          <w:lang w:val="fr-CH"/>
        </w:rPr>
        <w:t xml:space="preserve"> dans le </w:t>
      </w:r>
      <w:r w:rsidR="001F11ED" w:rsidRPr="00D02AAB">
        <w:rPr>
          <w:rFonts w:asciiTheme="minorHAnsi" w:hAnsiTheme="minorHAnsi" w:cstheme="minorHAnsi"/>
          <w:b/>
          <w:i/>
          <w:lang w:val="fr-CH"/>
        </w:rPr>
        <w:t xml:space="preserve">document </w:t>
      </w:r>
      <w:r w:rsidR="001F11ED" w:rsidRPr="00D02AAB">
        <w:rPr>
          <w:b/>
          <w:i/>
          <w:lang w:val="fr-CH"/>
        </w:rPr>
        <w:t>SC59/2022 Doc.8.3</w:t>
      </w:r>
      <w:r w:rsidR="002915CC">
        <w:rPr>
          <w:b/>
          <w:i/>
          <w:lang w:val="fr-CH"/>
        </w:rPr>
        <w:t> </w:t>
      </w:r>
      <w:r w:rsidRPr="00D02AAB">
        <w:rPr>
          <w:rFonts w:asciiTheme="minorHAnsi" w:hAnsiTheme="minorHAnsi" w:cstheme="minorHAnsi"/>
          <w:b/>
          <w:i/>
          <w:lang w:val="fr-CH"/>
        </w:rPr>
        <w:t xml:space="preserve">; </w:t>
      </w:r>
      <w:r w:rsidR="002915CC">
        <w:rPr>
          <w:rFonts w:asciiTheme="minorHAnsi" w:hAnsiTheme="minorHAnsi" w:cstheme="minorHAnsi"/>
          <w:b/>
          <w:i/>
          <w:lang w:val="fr-CH"/>
        </w:rPr>
        <w:t>et</w:t>
      </w:r>
      <w:r w:rsidRPr="00D02AAB">
        <w:rPr>
          <w:rFonts w:asciiTheme="minorHAnsi" w:hAnsiTheme="minorHAnsi" w:cstheme="minorHAnsi"/>
          <w:b/>
          <w:i/>
          <w:lang w:val="fr-CH"/>
        </w:rPr>
        <w:t xml:space="preserve"> </w:t>
      </w:r>
    </w:p>
    <w:p w14:paraId="66CEB36F" w14:textId="5DD2BAC8" w:rsidR="005B5816" w:rsidRPr="00D02AAB" w:rsidRDefault="005B5816" w:rsidP="00711D36">
      <w:pPr>
        <w:widowControl/>
        <w:ind w:left="426" w:hanging="426"/>
        <w:rPr>
          <w:rFonts w:asciiTheme="minorHAnsi" w:hAnsiTheme="minorHAnsi" w:cstheme="minorHAnsi"/>
          <w:b/>
          <w:i/>
          <w:lang w:val="fr-CH"/>
        </w:rPr>
      </w:pPr>
      <w:r w:rsidRPr="00D02AAB">
        <w:rPr>
          <w:rFonts w:asciiTheme="minorHAnsi" w:hAnsiTheme="minorHAnsi" w:cstheme="minorHAnsi"/>
          <w:b/>
          <w:i/>
          <w:lang w:val="fr-CH"/>
        </w:rPr>
        <w:t>iii</w:t>
      </w:r>
      <w:r w:rsidR="002915CC">
        <w:rPr>
          <w:rFonts w:asciiTheme="minorHAnsi" w:hAnsiTheme="minorHAnsi" w:cstheme="minorHAnsi"/>
          <w:b/>
          <w:i/>
          <w:lang w:val="fr-CH"/>
        </w:rPr>
        <w:t>)</w:t>
      </w:r>
      <w:r w:rsidRPr="00D02AAB">
        <w:rPr>
          <w:rFonts w:asciiTheme="minorHAnsi" w:hAnsiTheme="minorHAnsi" w:cstheme="minorHAnsi"/>
          <w:b/>
          <w:i/>
          <w:lang w:val="fr-CH"/>
        </w:rPr>
        <w:t xml:space="preserve"> </w:t>
      </w:r>
      <w:r w:rsidRPr="00D02AAB">
        <w:rPr>
          <w:rFonts w:asciiTheme="minorHAnsi" w:hAnsiTheme="minorHAnsi" w:cstheme="minorHAnsi"/>
          <w:b/>
          <w:i/>
          <w:lang w:val="fr-CH"/>
        </w:rPr>
        <w:tab/>
      </w:r>
      <w:r w:rsidR="00A25736">
        <w:rPr>
          <w:rFonts w:asciiTheme="minorHAnsi" w:hAnsiTheme="minorHAnsi" w:cstheme="minorHAnsi"/>
          <w:b/>
          <w:i/>
          <w:lang w:val="fr-CH"/>
        </w:rPr>
        <w:t>d’approuver le</w:t>
      </w:r>
      <w:r w:rsidR="002915CC">
        <w:rPr>
          <w:rFonts w:asciiTheme="minorHAnsi" w:hAnsiTheme="minorHAnsi" w:cstheme="minorHAnsi"/>
          <w:b/>
          <w:i/>
          <w:lang w:val="fr-CH"/>
        </w:rPr>
        <w:t xml:space="preserve"> projet de résolution sur les questions financières et budgétaires</w:t>
      </w:r>
      <w:r w:rsidR="00D02976">
        <w:rPr>
          <w:rFonts w:asciiTheme="minorHAnsi" w:hAnsiTheme="minorHAnsi" w:cstheme="minorHAnsi"/>
          <w:b/>
          <w:i/>
          <w:lang w:val="fr-CH"/>
        </w:rPr>
        <w:t>,</w:t>
      </w:r>
      <w:r w:rsidR="002915CC">
        <w:rPr>
          <w:rFonts w:asciiTheme="minorHAnsi" w:hAnsiTheme="minorHAnsi" w:cstheme="minorHAnsi"/>
          <w:b/>
          <w:i/>
          <w:lang w:val="fr-CH"/>
        </w:rPr>
        <w:t xml:space="preserve"> pour examen à la </w:t>
      </w:r>
      <w:r w:rsidRPr="00D02AAB">
        <w:rPr>
          <w:rFonts w:asciiTheme="minorHAnsi" w:hAnsiTheme="minorHAnsi" w:cstheme="minorHAnsi"/>
          <w:b/>
          <w:i/>
          <w:lang w:val="fr-CH"/>
        </w:rPr>
        <w:t>COP</w:t>
      </w:r>
      <w:r w:rsidR="0077382A" w:rsidRPr="00D02AAB">
        <w:rPr>
          <w:rFonts w:asciiTheme="minorHAnsi" w:hAnsiTheme="minorHAnsi" w:cstheme="minorHAnsi"/>
          <w:b/>
          <w:i/>
          <w:lang w:val="fr-CH"/>
        </w:rPr>
        <w:t>14</w:t>
      </w:r>
      <w:r w:rsidR="00A25736">
        <w:rPr>
          <w:rFonts w:asciiTheme="minorHAnsi" w:hAnsiTheme="minorHAnsi" w:cstheme="minorHAnsi"/>
          <w:b/>
          <w:i/>
          <w:lang w:val="fr-CH"/>
        </w:rPr>
        <w:t>, présenté dans l’Annexe 2 du présent rapport</w:t>
      </w:r>
      <w:r w:rsidRPr="00D02AAB">
        <w:rPr>
          <w:rFonts w:asciiTheme="minorHAnsi" w:hAnsiTheme="minorHAnsi" w:cstheme="minorHAnsi"/>
          <w:b/>
          <w:i/>
          <w:lang w:val="fr-CH"/>
        </w:rPr>
        <w:t>.</w:t>
      </w:r>
    </w:p>
    <w:p w14:paraId="22C692C0" w14:textId="086570F6" w:rsidR="005B5816" w:rsidRPr="00D02AAB" w:rsidRDefault="005B5816" w:rsidP="00711D36">
      <w:pPr>
        <w:widowControl/>
        <w:ind w:left="426" w:hanging="426"/>
        <w:rPr>
          <w:rFonts w:asciiTheme="minorHAnsi" w:hAnsiTheme="minorHAnsi" w:cstheme="minorHAnsi"/>
          <w:lang w:val="fr-CH"/>
        </w:rPr>
      </w:pPr>
    </w:p>
    <w:p w14:paraId="729B18E8" w14:textId="77777777" w:rsidR="00CA2A73" w:rsidRPr="00D02AAB" w:rsidRDefault="00CA2A73" w:rsidP="00711D36">
      <w:pPr>
        <w:widowControl/>
        <w:rPr>
          <w:rFonts w:asciiTheme="minorHAnsi" w:hAnsiTheme="minorHAnsi" w:cstheme="minorHAnsi"/>
          <w:lang w:val="fr-CH"/>
        </w:rPr>
      </w:pPr>
    </w:p>
    <w:p w14:paraId="60F5EB33" w14:textId="7BCEC64F" w:rsidR="00CA2A73" w:rsidRPr="00D02AAB" w:rsidRDefault="001F11ED" w:rsidP="001F11ED">
      <w:pPr>
        <w:widowControl/>
        <w:autoSpaceDE/>
        <w:autoSpaceDN/>
        <w:ind w:left="426" w:hanging="426"/>
        <w:rPr>
          <w:rFonts w:asciiTheme="minorHAnsi" w:hAnsiTheme="minorHAnsi" w:cstheme="minorHAnsi"/>
          <w:b/>
          <w:lang w:val="fr-CH"/>
        </w:rPr>
      </w:pPr>
      <w:r w:rsidRPr="00D02AAB">
        <w:rPr>
          <w:rFonts w:asciiTheme="minorHAnsi" w:hAnsiTheme="minorHAnsi" w:cstheme="minorHAnsi"/>
          <w:b/>
          <w:lang w:val="fr-CH"/>
        </w:rPr>
        <w:t>4.</w:t>
      </w:r>
      <w:r w:rsidRPr="00D02AAB">
        <w:rPr>
          <w:rFonts w:asciiTheme="minorHAnsi" w:hAnsiTheme="minorHAnsi" w:cstheme="minorHAnsi"/>
          <w:b/>
          <w:lang w:val="fr-CH"/>
        </w:rPr>
        <w:tab/>
      </w:r>
      <w:r w:rsidR="002915CC">
        <w:rPr>
          <w:rFonts w:asciiTheme="minorHAnsi" w:hAnsiTheme="minorHAnsi" w:cstheme="minorHAnsi"/>
          <w:b/>
          <w:lang w:val="fr-CH"/>
        </w:rPr>
        <w:t>Incidences financières éventuelles des projets de résolution</w:t>
      </w:r>
      <w:r w:rsidR="003249EC">
        <w:rPr>
          <w:rFonts w:asciiTheme="minorHAnsi" w:hAnsiTheme="minorHAnsi" w:cstheme="minorHAnsi"/>
          <w:b/>
          <w:lang w:val="fr-CH"/>
        </w:rPr>
        <w:t>s</w:t>
      </w:r>
      <w:r w:rsidR="002915CC">
        <w:rPr>
          <w:rFonts w:asciiTheme="minorHAnsi" w:hAnsiTheme="minorHAnsi" w:cstheme="minorHAnsi"/>
          <w:b/>
          <w:lang w:val="fr-CH"/>
        </w:rPr>
        <w:t xml:space="preserve"> </w:t>
      </w:r>
      <w:r w:rsidR="005A32A8" w:rsidRPr="00D02AAB">
        <w:rPr>
          <w:rFonts w:asciiTheme="minorHAnsi" w:hAnsiTheme="minorHAnsi" w:cstheme="minorHAnsi"/>
          <w:b/>
          <w:lang w:val="fr-CH"/>
        </w:rPr>
        <w:t>(</w:t>
      </w:r>
      <w:r w:rsidRPr="00D02AAB">
        <w:rPr>
          <w:rFonts w:asciiTheme="minorHAnsi" w:hAnsiTheme="minorHAnsi" w:cstheme="minorHAnsi"/>
          <w:b/>
          <w:lang w:val="fr-CH"/>
        </w:rPr>
        <w:t xml:space="preserve">document </w:t>
      </w:r>
      <w:r w:rsidR="005A32A8" w:rsidRPr="00D02AAB">
        <w:rPr>
          <w:rFonts w:asciiTheme="minorHAnsi" w:hAnsiTheme="minorHAnsi" w:cstheme="minorHAnsi"/>
          <w:b/>
          <w:lang w:val="fr-CH"/>
        </w:rPr>
        <w:t>SC59/2022 Doc.8.4)</w:t>
      </w:r>
    </w:p>
    <w:p w14:paraId="00CB758A" w14:textId="03839761" w:rsidR="005A32A8" w:rsidRPr="00B049F5" w:rsidRDefault="005A32A8" w:rsidP="00711D36">
      <w:pPr>
        <w:widowControl/>
        <w:rPr>
          <w:rFonts w:asciiTheme="minorHAnsi" w:hAnsiTheme="minorHAnsi" w:cstheme="minorHAnsi"/>
          <w:b/>
          <w:lang w:val="fr-FR"/>
        </w:rPr>
      </w:pPr>
    </w:p>
    <w:p w14:paraId="6A532593" w14:textId="56DA2D71" w:rsidR="005A32A8" w:rsidRPr="00B049F5" w:rsidRDefault="002915CC" w:rsidP="00711D36">
      <w:pPr>
        <w:widowControl/>
        <w:rPr>
          <w:rFonts w:asciiTheme="minorHAnsi" w:hAnsiTheme="minorHAnsi" w:cstheme="minorHAnsi"/>
          <w:lang w:val="fr-FR"/>
        </w:rPr>
      </w:pPr>
      <w:r w:rsidRPr="00B049F5">
        <w:rPr>
          <w:rFonts w:asciiTheme="minorHAnsi" w:hAnsiTheme="minorHAnsi" w:cstheme="minorHAnsi"/>
          <w:lang w:val="fr-FR"/>
        </w:rPr>
        <w:t xml:space="preserve">La Secrétaire générale présente le document et explique qu’il </w:t>
      </w:r>
      <w:r w:rsidR="00A25736" w:rsidRPr="00B049F5">
        <w:rPr>
          <w:rFonts w:asciiTheme="minorHAnsi" w:hAnsiTheme="minorHAnsi" w:cstheme="minorHAnsi"/>
          <w:lang w:val="fr-FR"/>
        </w:rPr>
        <w:t xml:space="preserve">s’agit d’un document préliminaire et que les estimations s’appuient sur celles qui ont été </w:t>
      </w:r>
      <w:r w:rsidR="00301148" w:rsidRPr="00B049F5">
        <w:rPr>
          <w:rFonts w:asciiTheme="minorHAnsi" w:hAnsiTheme="minorHAnsi" w:cstheme="minorHAnsi"/>
          <w:lang w:val="fr-FR"/>
        </w:rPr>
        <w:t>faites par les Parties</w:t>
      </w:r>
      <w:r w:rsidRPr="00B049F5">
        <w:rPr>
          <w:rFonts w:asciiTheme="minorHAnsi" w:hAnsiTheme="minorHAnsi" w:cstheme="minorHAnsi"/>
          <w:lang w:val="fr-FR"/>
        </w:rPr>
        <w:t>.</w:t>
      </w:r>
      <w:r w:rsidR="00B049F5" w:rsidRPr="00B049F5">
        <w:rPr>
          <w:lang w:val="fr-FR"/>
        </w:rPr>
        <w:t xml:space="preserve"> Elle ajoute que le</w:t>
      </w:r>
      <w:r w:rsidR="00B049F5" w:rsidRPr="00B049F5">
        <w:rPr>
          <w:rFonts w:asciiTheme="minorHAnsi" w:hAnsiTheme="minorHAnsi" w:cstheme="minorHAnsi"/>
          <w:lang w:val="fr-FR"/>
        </w:rPr>
        <w:t xml:space="preserve"> Secrétariat </w:t>
      </w:r>
      <w:r w:rsidR="00B049F5">
        <w:rPr>
          <w:rFonts w:asciiTheme="minorHAnsi" w:hAnsiTheme="minorHAnsi" w:cstheme="minorHAnsi"/>
          <w:lang w:val="fr-FR"/>
        </w:rPr>
        <w:t>a contribué lorsque c’était nécessaire et que les journées</w:t>
      </w:r>
      <w:r w:rsidR="00B049F5" w:rsidRPr="00B049F5">
        <w:rPr>
          <w:rFonts w:asciiTheme="minorHAnsi" w:hAnsiTheme="minorHAnsi" w:cstheme="minorHAnsi"/>
          <w:lang w:val="fr-FR"/>
        </w:rPr>
        <w:t xml:space="preserve"> </w:t>
      </w:r>
      <w:r w:rsidR="002E19D1">
        <w:rPr>
          <w:rFonts w:asciiTheme="minorHAnsi" w:hAnsiTheme="minorHAnsi" w:cstheme="minorHAnsi"/>
          <w:lang w:val="fr-FR"/>
        </w:rPr>
        <w:t>de personnel requises pour remplir les activités et les tâches, qui figurent déjà dans les principaux domaines de travail du</w:t>
      </w:r>
      <w:r w:rsidR="00B049F5" w:rsidRPr="00B049F5">
        <w:rPr>
          <w:rFonts w:asciiTheme="minorHAnsi" w:hAnsiTheme="minorHAnsi" w:cstheme="minorHAnsi"/>
          <w:lang w:val="fr-FR"/>
        </w:rPr>
        <w:t xml:space="preserve"> </w:t>
      </w:r>
      <w:r w:rsidR="002E19D1" w:rsidRPr="00B049F5">
        <w:rPr>
          <w:rFonts w:asciiTheme="minorHAnsi" w:hAnsiTheme="minorHAnsi" w:cstheme="minorHAnsi"/>
          <w:lang w:val="fr-FR"/>
        </w:rPr>
        <w:t>Secrétariat</w:t>
      </w:r>
      <w:r w:rsidR="00B049F5" w:rsidRPr="00B049F5">
        <w:rPr>
          <w:rFonts w:asciiTheme="minorHAnsi" w:hAnsiTheme="minorHAnsi" w:cstheme="minorHAnsi"/>
          <w:lang w:val="fr-FR"/>
        </w:rPr>
        <w:t xml:space="preserve"> </w:t>
      </w:r>
      <w:r w:rsidR="002E19D1">
        <w:rPr>
          <w:rFonts w:asciiTheme="minorHAnsi" w:hAnsiTheme="minorHAnsi" w:cstheme="minorHAnsi"/>
          <w:lang w:val="fr-FR"/>
        </w:rPr>
        <w:t xml:space="preserve">et dans son plan de travail ne </w:t>
      </w:r>
      <w:r w:rsidR="002E19D1" w:rsidRPr="00B049F5">
        <w:rPr>
          <w:rFonts w:asciiTheme="minorHAnsi" w:hAnsiTheme="minorHAnsi" w:cstheme="minorHAnsi"/>
          <w:lang w:val="fr-FR"/>
        </w:rPr>
        <w:t>sont</w:t>
      </w:r>
      <w:r w:rsidR="002E19D1">
        <w:rPr>
          <w:rFonts w:asciiTheme="minorHAnsi" w:hAnsiTheme="minorHAnsi" w:cstheme="minorHAnsi"/>
          <w:lang w:val="fr-FR"/>
        </w:rPr>
        <w:t xml:space="preserve"> pas incluses</w:t>
      </w:r>
      <w:r w:rsidR="00B049F5" w:rsidRPr="00B049F5">
        <w:rPr>
          <w:rFonts w:asciiTheme="minorHAnsi" w:hAnsiTheme="minorHAnsi" w:cstheme="minorHAnsi"/>
          <w:lang w:val="fr-FR"/>
        </w:rPr>
        <w:t xml:space="preserve">. </w:t>
      </w:r>
      <w:r w:rsidR="002E19D1" w:rsidRPr="00B049F5">
        <w:rPr>
          <w:rFonts w:asciiTheme="minorHAnsi" w:hAnsiTheme="minorHAnsi" w:cstheme="minorHAnsi"/>
          <w:lang w:val="fr-FR"/>
        </w:rPr>
        <w:t xml:space="preserve">La Secrétaire générale </w:t>
      </w:r>
      <w:r w:rsidR="00B049F5" w:rsidRPr="00B049F5">
        <w:rPr>
          <w:rFonts w:asciiTheme="minorHAnsi" w:hAnsiTheme="minorHAnsi" w:cstheme="minorHAnsi"/>
          <w:lang w:val="fr-FR"/>
        </w:rPr>
        <w:t xml:space="preserve">note </w:t>
      </w:r>
      <w:r w:rsidR="002E19D1">
        <w:rPr>
          <w:rFonts w:asciiTheme="minorHAnsi" w:hAnsiTheme="minorHAnsi" w:cstheme="minorHAnsi"/>
          <w:lang w:val="fr-FR"/>
        </w:rPr>
        <w:t>que les incidences financières et administratives des projets de résolutions dépendront des</w:t>
      </w:r>
      <w:r w:rsidR="00B049F5" w:rsidRPr="00B049F5">
        <w:rPr>
          <w:rFonts w:asciiTheme="minorHAnsi" w:hAnsiTheme="minorHAnsi" w:cstheme="minorHAnsi"/>
          <w:lang w:val="fr-FR"/>
        </w:rPr>
        <w:t xml:space="preserve"> </w:t>
      </w:r>
      <w:r w:rsidR="002E19D1" w:rsidRPr="00B049F5">
        <w:rPr>
          <w:rFonts w:asciiTheme="minorHAnsi" w:hAnsiTheme="minorHAnsi" w:cstheme="minorHAnsi"/>
          <w:lang w:val="fr-FR"/>
        </w:rPr>
        <w:t>décisions</w:t>
      </w:r>
      <w:r w:rsidR="00B049F5" w:rsidRPr="00B049F5">
        <w:rPr>
          <w:rFonts w:asciiTheme="minorHAnsi" w:hAnsiTheme="minorHAnsi" w:cstheme="minorHAnsi"/>
          <w:lang w:val="fr-FR"/>
        </w:rPr>
        <w:t xml:space="preserve"> </w:t>
      </w:r>
      <w:r w:rsidR="002E19D1">
        <w:rPr>
          <w:rFonts w:asciiTheme="minorHAnsi" w:hAnsiTheme="minorHAnsi" w:cstheme="minorHAnsi"/>
          <w:lang w:val="fr-FR"/>
        </w:rPr>
        <w:t>du</w:t>
      </w:r>
      <w:r w:rsidR="00B049F5" w:rsidRPr="00B049F5">
        <w:rPr>
          <w:rFonts w:asciiTheme="minorHAnsi" w:hAnsiTheme="minorHAnsi" w:cstheme="minorHAnsi"/>
          <w:lang w:val="fr-FR"/>
        </w:rPr>
        <w:t xml:space="preserve"> </w:t>
      </w:r>
      <w:r w:rsidR="002E19D1" w:rsidRPr="00B049F5">
        <w:rPr>
          <w:rFonts w:asciiTheme="minorHAnsi" w:hAnsiTheme="minorHAnsi" w:cstheme="minorHAnsi"/>
          <w:lang w:val="fr-FR"/>
        </w:rPr>
        <w:t>Comité</w:t>
      </w:r>
      <w:r w:rsidR="00B049F5" w:rsidRPr="00B049F5">
        <w:rPr>
          <w:rFonts w:asciiTheme="minorHAnsi" w:hAnsiTheme="minorHAnsi" w:cstheme="minorHAnsi"/>
          <w:lang w:val="fr-FR"/>
        </w:rPr>
        <w:t xml:space="preserve"> </w:t>
      </w:r>
      <w:r w:rsidR="002E19D1">
        <w:rPr>
          <w:rFonts w:asciiTheme="minorHAnsi" w:hAnsiTheme="minorHAnsi" w:cstheme="minorHAnsi"/>
          <w:lang w:val="fr-FR"/>
        </w:rPr>
        <w:t>permanent quant à leur contenu</w:t>
      </w:r>
      <w:r w:rsidR="00B049F5" w:rsidRPr="00B049F5">
        <w:rPr>
          <w:rFonts w:asciiTheme="minorHAnsi" w:hAnsiTheme="minorHAnsi" w:cstheme="minorHAnsi"/>
          <w:lang w:val="fr-FR"/>
        </w:rPr>
        <w:t xml:space="preserve">. </w:t>
      </w:r>
      <w:r w:rsidR="005C1074">
        <w:rPr>
          <w:rFonts w:asciiTheme="minorHAnsi" w:hAnsiTheme="minorHAnsi" w:cstheme="minorHAnsi"/>
          <w:lang w:val="fr-FR"/>
        </w:rPr>
        <w:t>Le</w:t>
      </w:r>
      <w:r w:rsidR="00B049F5" w:rsidRPr="00B049F5">
        <w:rPr>
          <w:rFonts w:asciiTheme="minorHAnsi" w:hAnsiTheme="minorHAnsi" w:cstheme="minorHAnsi"/>
          <w:lang w:val="fr-FR"/>
        </w:rPr>
        <w:t xml:space="preserve"> document </w:t>
      </w:r>
      <w:r w:rsidR="005C1074">
        <w:rPr>
          <w:rFonts w:asciiTheme="minorHAnsi" w:hAnsiTheme="minorHAnsi" w:cstheme="minorHAnsi"/>
          <w:lang w:val="fr-FR"/>
        </w:rPr>
        <w:t>devra ensuite être révisé, après la Réunion du</w:t>
      </w:r>
      <w:r w:rsidR="00B049F5" w:rsidRPr="00B049F5">
        <w:rPr>
          <w:rFonts w:asciiTheme="minorHAnsi" w:hAnsiTheme="minorHAnsi" w:cstheme="minorHAnsi"/>
          <w:lang w:val="fr-FR"/>
        </w:rPr>
        <w:t xml:space="preserve"> </w:t>
      </w:r>
      <w:r w:rsidR="005C1074">
        <w:rPr>
          <w:rFonts w:asciiTheme="minorHAnsi" w:hAnsiTheme="minorHAnsi" w:cstheme="minorHAnsi"/>
          <w:lang w:val="fr-FR"/>
        </w:rPr>
        <w:t>C</w:t>
      </w:r>
      <w:r w:rsidR="005C1074" w:rsidRPr="00B049F5">
        <w:rPr>
          <w:rFonts w:asciiTheme="minorHAnsi" w:hAnsiTheme="minorHAnsi" w:cstheme="minorHAnsi"/>
          <w:lang w:val="fr-FR"/>
        </w:rPr>
        <w:t>omité</w:t>
      </w:r>
      <w:r w:rsidR="00B049F5" w:rsidRPr="00B049F5">
        <w:rPr>
          <w:rFonts w:asciiTheme="minorHAnsi" w:hAnsiTheme="minorHAnsi" w:cstheme="minorHAnsi"/>
          <w:lang w:val="fr-FR"/>
        </w:rPr>
        <w:t xml:space="preserve"> </w:t>
      </w:r>
      <w:r w:rsidR="005C1074">
        <w:rPr>
          <w:rFonts w:asciiTheme="minorHAnsi" w:hAnsiTheme="minorHAnsi" w:cstheme="minorHAnsi"/>
          <w:lang w:val="fr-FR"/>
        </w:rPr>
        <w:t>permanent et soumis à la</w:t>
      </w:r>
      <w:r w:rsidR="00B049F5" w:rsidRPr="00B049F5">
        <w:rPr>
          <w:rFonts w:asciiTheme="minorHAnsi" w:hAnsiTheme="minorHAnsi" w:cstheme="minorHAnsi"/>
          <w:lang w:val="fr-FR"/>
        </w:rPr>
        <w:t xml:space="preserve"> COP14.</w:t>
      </w:r>
    </w:p>
    <w:p w14:paraId="18FA96CE" w14:textId="328073D9" w:rsidR="00356EEC" w:rsidRPr="00B049F5" w:rsidRDefault="00356EEC" w:rsidP="00711D36">
      <w:pPr>
        <w:widowControl/>
        <w:rPr>
          <w:rFonts w:asciiTheme="minorHAnsi" w:hAnsiTheme="minorHAnsi" w:cstheme="minorHAnsi"/>
          <w:lang w:val="fr-FR"/>
        </w:rPr>
      </w:pPr>
    </w:p>
    <w:p w14:paraId="3956549D" w14:textId="5AA85131" w:rsidR="001F11ED" w:rsidRPr="00427685" w:rsidRDefault="002915CC" w:rsidP="001F11ED">
      <w:pPr>
        <w:pStyle w:val="NormalWeb"/>
        <w:spacing w:before="0" w:beforeAutospacing="0" w:after="0" w:afterAutospacing="0"/>
        <w:rPr>
          <w:rFonts w:ascii="Calibri" w:hAnsi="Calibri" w:cs="Calibri"/>
          <w:color w:val="002451"/>
          <w:sz w:val="22"/>
          <w:szCs w:val="22"/>
          <w:lang w:val="fr-FR" w:eastAsia="ja-JP"/>
        </w:rPr>
      </w:pPr>
      <w:r w:rsidRPr="00427685">
        <w:rPr>
          <w:rFonts w:asciiTheme="minorHAnsi" w:hAnsiTheme="minorHAnsi" w:cstheme="minorHAnsi"/>
          <w:b/>
          <w:i/>
          <w:sz w:val="22"/>
          <w:szCs w:val="22"/>
          <w:lang w:val="fr-FR" w:eastAsia="en-US"/>
        </w:rPr>
        <w:t xml:space="preserve">Le Sous-groupe sur les finances recommande au Comité permanent : </w:t>
      </w:r>
    </w:p>
    <w:p w14:paraId="04E91245" w14:textId="0D7F0916" w:rsidR="001F11ED" w:rsidRPr="00427685" w:rsidRDefault="001F11ED" w:rsidP="007163B4">
      <w:pPr>
        <w:widowControl/>
        <w:ind w:left="426" w:hanging="426"/>
        <w:rPr>
          <w:rFonts w:asciiTheme="minorHAnsi" w:hAnsiTheme="minorHAnsi" w:cstheme="minorHAnsi"/>
          <w:lang w:val="fr-FR"/>
        </w:rPr>
      </w:pPr>
      <w:r w:rsidRPr="00427685">
        <w:rPr>
          <w:rFonts w:asciiTheme="minorHAnsi" w:hAnsiTheme="minorHAnsi" w:cstheme="minorHAnsi"/>
          <w:b/>
          <w:i/>
          <w:lang w:val="fr-FR"/>
        </w:rPr>
        <w:t>i</w:t>
      </w:r>
      <w:r w:rsidR="002915CC" w:rsidRPr="00427685">
        <w:rPr>
          <w:rFonts w:asciiTheme="minorHAnsi" w:hAnsiTheme="minorHAnsi" w:cstheme="minorHAnsi"/>
          <w:b/>
          <w:i/>
          <w:lang w:val="fr-FR"/>
        </w:rPr>
        <w:t>)</w:t>
      </w:r>
      <w:r w:rsidRPr="00427685">
        <w:rPr>
          <w:rFonts w:asciiTheme="minorHAnsi" w:hAnsiTheme="minorHAnsi" w:cstheme="minorHAnsi"/>
          <w:b/>
          <w:i/>
          <w:lang w:val="fr-FR"/>
        </w:rPr>
        <w:t xml:space="preserve"> </w:t>
      </w:r>
      <w:r w:rsidRPr="00427685">
        <w:rPr>
          <w:rFonts w:asciiTheme="minorHAnsi" w:hAnsiTheme="minorHAnsi" w:cstheme="minorHAnsi"/>
          <w:b/>
          <w:i/>
          <w:lang w:val="fr-FR"/>
        </w:rPr>
        <w:tab/>
      </w:r>
      <w:r w:rsidR="002915CC" w:rsidRPr="00427685">
        <w:rPr>
          <w:rFonts w:asciiTheme="minorHAnsi" w:hAnsiTheme="minorHAnsi" w:cstheme="minorHAnsi"/>
          <w:b/>
          <w:i/>
          <w:lang w:val="fr-FR"/>
        </w:rPr>
        <w:t xml:space="preserve">de prendre note </w:t>
      </w:r>
      <w:r w:rsidR="00427685" w:rsidRPr="00427685">
        <w:rPr>
          <w:rFonts w:asciiTheme="minorHAnsi" w:hAnsiTheme="minorHAnsi" w:cstheme="minorHAnsi"/>
          <w:b/>
          <w:i/>
          <w:lang w:val="fr-FR"/>
        </w:rPr>
        <w:t>des incidences administratives et financières prévues des projets de résolutions soumis à la 59</w:t>
      </w:r>
      <w:r w:rsidR="00427685" w:rsidRPr="007D1A58">
        <w:rPr>
          <w:rFonts w:asciiTheme="minorHAnsi" w:hAnsiTheme="minorHAnsi" w:cstheme="minorHAnsi"/>
          <w:b/>
          <w:i/>
          <w:vertAlign w:val="superscript"/>
          <w:lang w:val="fr-FR"/>
        </w:rPr>
        <w:t>e</w:t>
      </w:r>
      <w:r w:rsidR="00427685" w:rsidRPr="00427685">
        <w:rPr>
          <w:rFonts w:asciiTheme="minorHAnsi" w:hAnsiTheme="minorHAnsi" w:cstheme="minorHAnsi"/>
          <w:b/>
          <w:i/>
          <w:lang w:val="fr-FR"/>
        </w:rPr>
        <w:t xml:space="preserve"> /2022 Réunion du Comité permanent</w:t>
      </w:r>
      <w:r w:rsidR="007D1A58">
        <w:rPr>
          <w:rFonts w:asciiTheme="minorHAnsi" w:hAnsiTheme="minorHAnsi" w:cstheme="minorHAnsi"/>
          <w:b/>
          <w:i/>
          <w:lang w:val="fr-FR"/>
        </w:rPr>
        <w:t xml:space="preserve"> qui seront révisées sur la base </w:t>
      </w:r>
      <w:r w:rsidR="00824771">
        <w:rPr>
          <w:rFonts w:asciiTheme="minorHAnsi" w:hAnsiTheme="minorHAnsi" w:cstheme="minorHAnsi"/>
          <w:b/>
          <w:i/>
          <w:lang w:val="fr-FR"/>
        </w:rPr>
        <w:t>des</w:t>
      </w:r>
      <w:r w:rsidR="007D1A58">
        <w:rPr>
          <w:rFonts w:asciiTheme="minorHAnsi" w:hAnsiTheme="minorHAnsi" w:cstheme="minorHAnsi"/>
          <w:b/>
          <w:i/>
          <w:lang w:val="fr-FR"/>
        </w:rPr>
        <w:t xml:space="preserve"> projets de résolutions approuvés par </w:t>
      </w:r>
      <w:r w:rsidR="007D1A58" w:rsidRPr="00427685">
        <w:rPr>
          <w:rFonts w:asciiTheme="minorHAnsi" w:hAnsiTheme="minorHAnsi" w:cstheme="minorHAnsi"/>
          <w:b/>
          <w:i/>
          <w:lang w:val="fr-FR"/>
        </w:rPr>
        <w:t>la 59</w:t>
      </w:r>
      <w:r w:rsidR="007D1A58" w:rsidRPr="007D1A58">
        <w:rPr>
          <w:rFonts w:asciiTheme="minorHAnsi" w:hAnsiTheme="minorHAnsi" w:cstheme="minorHAnsi"/>
          <w:b/>
          <w:i/>
          <w:vertAlign w:val="superscript"/>
          <w:lang w:val="fr-FR"/>
        </w:rPr>
        <w:t>e</w:t>
      </w:r>
      <w:r w:rsidR="007D1A58" w:rsidRPr="00427685">
        <w:rPr>
          <w:rFonts w:asciiTheme="minorHAnsi" w:hAnsiTheme="minorHAnsi" w:cstheme="minorHAnsi"/>
          <w:b/>
          <w:i/>
          <w:lang w:val="fr-FR"/>
        </w:rPr>
        <w:t xml:space="preserve"> /2022 Réunion du Comité permanent</w:t>
      </w:r>
      <w:r w:rsidR="007163B4" w:rsidRPr="00427685">
        <w:rPr>
          <w:rFonts w:asciiTheme="minorHAnsi" w:hAnsiTheme="minorHAnsi" w:cstheme="minorHAnsi"/>
          <w:b/>
          <w:i/>
          <w:lang w:val="fr-FR"/>
        </w:rPr>
        <w:t>.</w:t>
      </w:r>
    </w:p>
    <w:p w14:paraId="7B35E64A" w14:textId="5DD09905" w:rsidR="00356EEC" w:rsidRPr="00D02AAB" w:rsidRDefault="00356EEC" w:rsidP="00711D36">
      <w:pPr>
        <w:widowControl/>
        <w:rPr>
          <w:rFonts w:asciiTheme="minorHAnsi" w:hAnsiTheme="minorHAnsi" w:cstheme="minorHAnsi"/>
          <w:lang w:val="fr-CH"/>
        </w:rPr>
      </w:pPr>
    </w:p>
    <w:p w14:paraId="268B43A3" w14:textId="62E0FE67" w:rsidR="00356EEC" w:rsidRPr="00D02AAB" w:rsidRDefault="00356EEC" w:rsidP="00711D36">
      <w:pPr>
        <w:widowControl/>
        <w:rPr>
          <w:rFonts w:asciiTheme="minorHAnsi" w:hAnsiTheme="minorHAnsi" w:cstheme="minorHAnsi"/>
          <w:lang w:val="fr-CH"/>
        </w:rPr>
      </w:pPr>
    </w:p>
    <w:p w14:paraId="40A68D2C" w14:textId="7738697A" w:rsidR="00356EEC" w:rsidRPr="00D02AAB" w:rsidRDefault="007163B4" w:rsidP="007163B4">
      <w:pPr>
        <w:widowControl/>
        <w:autoSpaceDE/>
        <w:autoSpaceDN/>
        <w:ind w:left="426" w:hanging="426"/>
        <w:rPr>
          <w:rFonts w:asciiTheme="minorHAnsi" w:hAnsiTheme="minorHAnsi" w:cstheme="minorHAnsi"/>
          <w:b/>
          <w:lang w:val="fr-CH"/>
        </w:rPr>
      </w:pPr>
      <w:r w:rsidRPr="00D02AAB">
        <w:rPr>
          <w:rFonts w:asciiTheme="minorHAnsi" w:hAnsiTheme="minorHAnsi" w:cstheme="minorHAnsi"/>
          <w:b/>
          <w:lang w:val="fr-CH"/>
        </w:rPr>
        <w:t>5.</w:t>
      </w:r>
      <w:r w:rsidRPr="00D02AAB">
        <w:rPr>
          <w:rFonts w:asciiTheme="minorHAnsi" w:hAnsiTheme="minorHAnsi" w:cstheme="minorHAnsi"/>
          <w:b/>
          <w:lang w:val="fr-CH"/>
        </w:rPr>
        <w:tab/>
      </w:r>
      <w:r w:rsidR="002915CC">
        <w:rPr>
          <w:rFonts w:asciiTheme="minorHAnsi" w:hAnsiTheme="minorHAnsi" w:cstheme="minorHAnsi"/>
          <w:b/>
          <w:lang w:val="fr-CH"/>
        </w:rPr>
        <w:t xml:space="preserve">Rapport sur les questions financières pour </w:t>
      </w:r>
      <w:r w:rsidR="00356EEC" w:rsidRPr="00D02AAB">
        <w:rPr>
          <w:rFonts w:asciiTheme="minorHAnsi" w:hAnsiTheme="minorHAnsi" w:cstheme="minorHAnsi"/>
          <w:b/>
          <w:lang w:val="fr-CH"/>
        </w:rPr>
        <w:t xml:space="preserve">2019-2021 </w:t>
      </w:r>
      <w:r w:rsidR="002915CC">
        <w:rPr>
          <w:rFonts w:asciiTheme="minorHAnsi" w:hAnsiTheme="minorHAnsi" w:cstheme="minorHAnsi"/>
          <w:b/>
          <w:lang w:val="fr-CH"/>
        </w:rPr>
        <w:t>et</w:t>
      </w:r>
      <w:r w:rsidR="00356EEC" w:rsidRPr="00D02AAB">
        <w:rPr>
          <w:rFonts w:asciiTheme="minorHAnsi" w:hAnsiTheme="minorHAnsi" w:cstheme="minorHAnsi"/>
          <w:b/>
          <w:lang w:val="fr-CH"/>
        </w:rPr>
        <w:t xml:space="preserve"> 2022 (</w:t>
      </w:r>
      <w:r w:rsidRPr="00D02AAB">
        <w:rPr>
          <w:rFonts w:asciiTheme="minorHAnsi" w:hAnsiTheme="minorHAnsi" w:cstheme="minorHAnsi"/>
          <w:b/>
          <w:lang w:val="fr-CH"/>
        </w:rPr>
        <w:t>d</w:t>
      </w:r>
      <w:r w:rsidR="00356EEC" w:rsidRPr="00D02AAB">
        <w:rPr>
          <w:rFonts w:asciiTheme="minorHAnsi" w:hAnsiTheme="minorHAnsi" w:cstheme="minorHAnsi"/>
          <w:b/>
          <w:lang w:val="fr-CH"/>
        </w:rPr>
        <w:t xml:space="preserve">ocument SC59/2022 Doc.8.1) </w:t>
      </w:r>
      <w:r w:rsidR="002915CC">
        <w:rPr>
          <w:rFonts w:asciiTheme="minorHAnsi" w:hAnsiTheme="minorHAnsi" w:cstheme="minorHAnsi"/>
          <w:b/>
          <w:lang w:val="fr-CH"/>
        </w:rPr>
        <w:t>–</w:t>
      </w:r>
      <w:r w:rsidRPr="00D02AAB">
        <w:rPr>
          <w:rFonts w:asciiTheme="minorHAnsi" w:hAnsiTheme="minorHAnsi" w:cstheme="minorHAnsi"/>
          <w:b/>
          <w:lang w:val="fr-CH"/>
        </w:rPr>
        <w:t xml:space="preserve"> </w:t>
      </w:r>
      <w:r w:rsidR="002915CC">
        <w:rPr>
          <w:rFonts w:asciiTheme="minorHAnsi" w:hAnsiTheme="minorHAnsi" w:cstheme="minorHAnsi"/>
          <w:b/>
          <w:lang w:val="fr-CH"/>
        </w:rPr>
        <w:t>suite</w:t>
      </w:r>
      <w:r w:rsidR="00AD079A" w:rsidRPr="00D02AAB">
        <w:rPr>
          <w:rStyle w:val="FootnoteReference"/>
          <w:rFonts w:asciiTheme="minorHAnsi" w:hAnsiTheme="minorHAnsi" w:cstheme="minorHAnsi"/>
          <w:b/>
          <w:lang w:val="fr-CH"/>
        </w:rPr>
        <w:footnoteReference w:id="3"/>
      </w:r>
    </w:p>
    <w:p w14:paraId="50F43379" w14:textId="000D0A39" w:rsidR="00356EEC" w:rsidRPr="00D02AAB" w:rsidRDefault="00356EEC" w:rsidP="00763865">
      <w:pPr>
        <w:widowControl/>
        <w:rPr>
          <w:rFonts w:asciiTheme="minorHAnsi" w:hAnsiTheme="minorHAnsi" w:cstheme="minorHAnsi"/>
          <w:lang w:val="fr-CH"/>
        </w:rPr>
      </w:pPr>
    </w:p>
    <w:p w14:paraId="0F4DD060" w14:textId="3F051007" w:rsidR="0052223D" w:rsidRPr="00D02AAB" w:rsidRDefault="002915CC" w:rsidP="00763865">
      <w:pPr>
        <w:widowControl/>
        <w:rPr>
          <w:rFonts w:asciiTheme="minorHAnsi" w:hAnsiTheme="minorHAnsi" w:cstheme="minorHAnsi"/>
          <w:lang w:val="fr-CH"/>
        </w:rPr>
      </w:pPr>
      <w:r>
        <w:rPr>
          <w:rFonts w:asciiTheme="minorHAnsi" w:hAnsiTheme="minorHAnsi" w:cstheme="minorHAnsi"/>
          <w:lang w:val="fr-CH"/>
        </w:rPr>
        <w:t>Le Secrétariat présente les éléments de l’excédent du budget administratif à la fin de 2021, comme résumé dans le tableau </w:t>
      </w:r>
      <w:r w:rsidR="007D1A58">
        <w:rPr>
          <w:rFonts w:asciiTheme="minorHAnsi" w:hAnsiTheme="minorHAnsi" w:cstheme="minorHAnsi"/>
          <w:lang w:val="fr-CH"/>
        </w:rPr>
        <w:t>1</w:t>
      </w:r>
      <w:r>
        <w:rPr>
          <w:rFonts w:asciiTheme="minorHAnsi" w:hAnsiTheme="minorHAnsi" w:cstheme="minorHAnsi"/>
          <w:lang w:val="fr-CH"/>
        </w:rPr>
        <w:t xml:space="preserve"> ci</w:t>
      </w:r>
      <w:r>
        <w:rPr>
          <w:rFonts w:asciiTheme="minorHAnsi" w:hAnsiTheme="minorHAnsi" w:cstheme="minorHAnsi"/>
          <w:lang w:val="fr-CH"/>
        </w:rPr>
        <w:noBreakHyphen/>
        <w:t>dessous.</w:t>
      </w:r>
    </w:p>
    <w:p w14:paraId="67375531" w14:textId="77777777" w:rsidR="002E00B9" w:rsidRPr="008516F8" w:rsidRDefault="002E00B9" w:rsidP="00763865">
      <w:pPr>
        <w:widowControl/>
        <w:rPr>
          <w:rFonts w:asciiTheme="minorHAnsi" w:hAnsiTheme="minorHAnsi" w:cstheme="minorHAnsi"/>
          <w:lang w:val="fr-FR"/>
        </w:rPr>
      </w:pPr>
    </w:p>
    <w:p w14:paraId="436781D2" w14:textId="01156417" w:rsidR="00356EEC" w:rsidRPr="00F14F31" w:rsidRDefault="00356EEC" w:rsidP="00711D36">
      <w:pPr>
        <w:rPr>
          <w:rFonts w:cs="Times New Roman"/>
          <w:i/>
          <w:lang w:val="fr-CH"/>
        </w:rPr>
      </w:pPr>
      <w:r w:rsidRPr="00F14F31">
        <w:rPr>
          <w:i/>
          <w:lang w:val="fr-CH"/>
        </w:rPr>
        <w:t>Table</w:t>
      </w:r>
      <w:r w:rsidR="002915CC" w:rsidRPr="00F14F31">
        <w:rPr>
          <w:i/>
          <w:lang w:val="fr-CH"/>
        </w:rPr>
        <w:t>au</w:t>
      </w:r>
      <w:r w:rsidRPr="00F14F31">
        <w:rPr>
          <w:i/>
          <w:lang w:val="fr-CH"/>
        </w:rPr>
        <w:t xml:space="preserve"> </w:t>
      </w:r>
      <w:r w:rsidR="00F30416" w:rsidRPr="00F14F31">
        <w:rPr>
          <w:i/>
          <w:lang w:val="fr-CH"/>
        </w:rPr>
        <w:t>1</w:t>
      </w:r>
      <w:r w:rsidR="002915CC" w:rsidRPr="00F14F31">
        <w:rPr>
          <w:i/>
          <w:lang w:val="fr-CH"/>
        </w:rPr>
        <w:t> </w:t>
      </w:r>
      <w:r w:rsidRPr="00F14F31">
        <w:rPr>
          <w:i/>
          <w:lang w:val="fr-FR"/>
        </w:rPr>
        <w:t xml:space="preserve">: </w:t>
      </w:r>
      <w:r w:rsidR="0058735C" w:rsidRPr="00F14F31">
        <w:rPr>
          <w:i/>
          <w:lang w:val="fr-FR"/>
        </w:rPr>
        <w:t>Excédent du budget administratif 2021 à affecter (en milliers de CHF)</w:t>
      </w:r>
    </w:p>
    <w:tbl>
      <w:tblPr>
        <w:tblW w:w="8926" w:type="dxa"/>
        <w:tblLook w:val="04A0" w:firstRow="1" w:lastRow="0" w:firstColumn="1" w:lastColumn="0" w:noHBand="0" w:noVBand="1"/>
      </w:tblPr>
      <w:tblGrid>
        <w:gridCol w:w="7225"/>
        <w:gridCol w:w="1701"/>
      </w:tblGrid>
      <w:tr w:rsidR="00356EEC" w:rsidRPr="00F14F31" w14:paraId="38A616F3" w14:textId="77777777" w:rsidTr="00A56F47">
        <w:trPr>
          <w:trHeight w:val="780"/>
        </w:trPr>
        <w:tc>
          <w:tcPr>
            <w:tcW w:w="722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EC3F76" w14:textId="17DC1453" w:rsidR="00356EEC" w:rsidRPr="00F14F31" w:rsidRDefault="00356EEC" w:rsidP="001C3C8C">
            <w:pPr>
              <w:rPr>
                <w:b/>
                <w:bCs/>
                <w:color w:val="000000"/>
                <w:lang w:val="fr-CH" w:eastAsia="en-GB"/>
              </w:rPr>
            </w:pPr>
            <w:r w:rsidRPr="00F14F31">
              <w:rPr>
                <w:b/>
                <w:bCs/>
                <w:color w:val="000000"/>
                <w:lang w:val="fr-CH" w:eastAsia="en-GB"/>
              </w:rPr>
              <w:t xml:space="preserve">(I) </w:t>
            </w:r>
            <w:r w:rsidR="00F14F31" w:rsidRPr="00F14F31">
              <w:rPr>
                <w:b/>
                <w:bCs/>
                <w:color w:val="000000"/>
                <w:lang w:val="fr-CH" w:eastAsia="en-GB"/>
              </w:rPr>
              <w:t>Solde du Fonds au 31 décembre 2021 selon les états financiers vérifiés</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14:paraId="264B7A78" w14:textId="74D5E68C" w:rsidR="00356EEC" w:rsidRPr="00F14F31" w:rsidRDefault="00356EEC" w:rsidP="001C3C8C">
            <w:pPr>
              <w:jc w:val="right"/>
              <w:rPr>
                <w:b/>
                <w:bCs/>
                <w:color w:val="000000"/>
                <w:lang w:val="fr-CH" w:eastAsia="en-GB"/>
              </w:rPr>
            </w:pPr>
            <w:r w:rsidRPr="00F14F31">
              <w:rPr>
                <w:b/>
                <w:bCs/>
                <w:color w:val="000000"/>
                <w:lang w:val="fr-CH" w:eastAsia="en-GB"/>
              </w:rPr>
              <w:t>3</w:t>
            </w:r>
            <w:r w:rsidR="001C3C8C" w:rsidRPr="00F14F31">
              <w:rPr>
                <w:b/>
                <w:bCs/>
                <w:color w:val="000000"/>
                <w:lang w:val="fr-CH" w:eastAsia="en-GB"/>
              </w:rPr>
              <w:t xml:space="preserve"> </w:t>
            </w:r>
            <w:r w:rsidRPr="00F14F31">
              <w:rPr>
                <w:b/>
                <w:bCs/>
                <w:color w:val="000000"/>
                <w:lang w:val="fr-CH" w:eastAsia="en-GB"/>
              </w:rPr>
              <w:t>738</w:t>
            </w:r>
          </w:p>
        </w:tc>
      </w:tr>
      <w:tr w:rsidR="00356EEC" w:rsidRPr="00F14F31" w14:paraId="1F22CC29" w14:textId="77777777" w:rsidTr="00A56F47">
        <w:trPr>
          <w:trHeight w:val="375"/>
        </w:trPr>
        <w:tc>
          <w:tcPr>
            <w:tcW w:w="7225" w:type="dxa"/>
            <w:tcBorders>
              <w:top w:val="nil"/>
              <w:left w:val="single" w:sz="4" w:space="0" w:color="auto"/>
              <w:bottom w:val="single" w:sz="4" w:space="0" w:color="auto"/>
              <w:right w:val="single" w:sz="4" w:space="0" w:color="auto"/>
            </w:tcBorders>
            <w:vAlign w:val="center"/>
            <w:hideMark/>
          </w:tcPr>
          <w:p w14:paraId="56CB3B72" w14:textId="1561CE26" w:rsidR="00356EEC" w:rsidRPr="00F14F31" w:rsidRDefault="0058735C" w:rsidP="001C3C8C">
            <w:pPr>
              <w:rPr>
                <w:b/>
                <w:bCs/>
                <w:color w:val="000000"/>
                <w:lang w:val="fr-CH" w:eastAsia="en-GB"/>
              </w:rPr>
            </w:pPr>
            <w:r w:rsidRPr="00F14F31">
              <w:rPr>
                <w:b/>
                <w:bCs/>
                <w:color w:val="000000"/>
                <w:lang w:val="fr-CH" w:eastAsia="en-GB"/>
              </w:rPr>
              <w:t>Réserve, approuvée et préengagée :</w:t>
            </w:r>
          </w:p>
        </w:tc>
        <w:tc>
          <w:tcPr>
            <w:tcW w:w="1701" w:type="dxa"/>
            <w:tcBorders>
              <w:top w:val="nil"/>
              <w:left w:val="nil"/>
              <w:bottom w:val="single" w:sz="4" w:space="0" w:color="auto"/>
              <w:right w:val="single" w:sz="4" w:space="0" w:color="auto"/>
            </w:tcBorders>
            <w:noWrap/>
            <w:vAlign w:val="center"/>
            <w:hideMark/>
          </w:tcPr>
          <w:p w14:paraId="4DB47614" w14:textId="77777777" w:rsidR="00356EEC" w:rsidRPr="00F14F31" w:rsidRDefault="00356EEC" w:rsidP="00711D36">
            <w:pPr>
              <w:jc w:val="right"/>
              <w:rPr>
                <w:color w:val="000000"/>
                <w:lang w:val="fr-CH" w:eastAsia="en-GB"/>
              </w:rPr>
            </w:pPr>
            <w:r w:rsidRPr="00F14F31">
              <w:rPr>
                <w:color w:val="000000"/>
                <w:lang w:val="fr-CH" w:eastAsia="en-GB"/>
              </w:rPr>
              <w:t> </w:t>
            </w:r>
          </w:p>
        </w:tc>
      </w:tr>
      <w:tr w:rsidR="00356EEC" w:rsidRPr="00F14F31" w14:paraId="5EECF01A" w14:textId="77777777" w:rsidTr="00A56F47">
        <w:trPr>
          <w:trHeight w:val="375"/>
        </w:trPr>
        <w:tc>
          <w:tcPr>
            <w:tcW w:w="7225" w:type="dxa"/>
            <w:tcBorders>
              <w:top w:val="nil"/>
              <w:left w:val="single" w:sz="4" w:space="0" w:color="auto"/>
              <w:bottom w:val="single" w:sz="4" w:space="0" w:color="auto"/>
              <w:right w:val="single" w:sz="4" w:space="0" w:color="auto"/>
            </w:tcBorders>
            <w:vAlign w:val="center"/>
            <w:hideMark/>
          </w:tcPr>
          <w:p w14:paraId="14FF1425" w14:textId="055123BF" w:rsidR="00356EEC" w:rsidRPr="00F14F31" w:rsidRDefault="0058735C" w:rsidP="001C3C8C">
            <w:pPr>
              <w:rPr>
                <w:color w:val="000000"/>
                <w:lang w:val="fr-CH" w:eastAsia="en-GB"/>
              </w:rPr>
            </w:pPr>
            <w:r w:rsidRPr="00F14F31">
              <w:rPr>
                <w:color w:val="000000"/>
                <w:lang w:val="fr-CH" w:eastAsia="en-GB"/>
              </w:rPr>
              <w:t>Fonds de réserve à 15% (Résolution XIII.2, paragraphe 33)</w:t>
            </w:r>
          </w:p>
        </w:tc>
        <w:tc>
          <w:tcPr>
            <w:tcW w:w="1701" w:type="dxa"/>
            <w:tcBorders>
              <w:top w:val="nil"/>
              <w:left w:val="nil"/>
              <w:bottom w:val="single" w:sz="4" w:space="0" w:color="auto"/>
              <w:right w:val="single" w:sz="4" w:space="0" w:color="auto"/>
            </w:tcBorders>
            <w:noWrap/>
            <w:vAlign w:val="center"/>
            <w:hideMark/>
          </w:tcPr>
          <w:p w14:paraId="18B47B5A" w14:textId="77777777" w:rsidR="00356EEC" w:rsidRPr="00F14F31" w:rsidRDefault="00356EEC" w:rsidP="00711D36">
            <w:pPr>
              <w:jc w:val="right"/>
              <w:rPr>
                <w:color w:val="000000"/>
                <w:lang w:val="fr-CH" w:eastAsia="en-GB"/>
              </w:rPr>
            </w:pPr>
            <w:r w:rsidRPr="00F14F31">
              <w:rPr>
                <w:color w:val="000000"/>
                <w:lang w:val="fr-CH" w:eastAsia="en-GB"/>
              </w:rPr>
              <w:t>762</w:t>
            </w:r>
          </w:p>
        </w:tc>
      </w:tr>
      <w:tr w:rsidR="00356EEC" w:rsidRPr="00F14F31" w14:paraId="29CAC549" w14:textId="77777777" w:rsidTr="00A56F47">
        <w:trPr>
          <w:trHeight w:val="375"/>
        </w:trPr>
        <w:tc>
          <w:tcPr>
            <w:tcW w:w="7225" w:type="dxa"/>
            <w:tcBorders>
              <w:top w:val="nil"/>
              <w:left w:val="single" w:sz="4" w:space="0" w:color="auto"/>
              <w:bottom w:val="single" w:sz="4" w:space="0" w:color="auto"/>
              <w:right w:val="single" w:sz="4" w:space="0" w:color="auto"/>
            </w:tcBorders>
            <w:vAlign w:val="center"/>
            <w:hideMark/>
          </w:tcPr>
          <w:p w14:paraId="7DCAECCD" w14:textId="77777777" w:rsidR="0058735C" w:rsidRPr="00F14F31" w:rsidRDefault="0058735C" w:rsidP="0058735C">
            <w:pPr>
              <w:rPr>
                <w:lang w:val="fr-CH" w:eastAsia="en-GB"/>
              </w:rPr>
            </w:pPr>
            <w:r w:rsidRPr="00F14F31">
              <w:rPr>
                <w:lang w:val="fr-CH" w:eastAsia="en-GB"/>
              </w:rPr>
              <w:t>Utilisation des économies réalisées sur le budget 2020 approuvée par</w:t>
            </w:r>
          </w:p>
          <w:p w14:paraId="42C40F6E" w14:textId="6CEB7379" w:rsidR="00356EEC" w:rsidRPr="00F14F31" w:rsidRDefault="0058735C" w:rsidP="0058735C">
            <w:pPr>
              <w:rPr>
                <w:lang w:val="fr-CH" w:eastAsia="en-GB"/>
              </w:rPr>
            </w:pPr>
            <w:r w:rsidRPr="00F14F31">
              <w:rPr>
                <w:lang w:val="fr-CH" w:eastAsia="en-GB"/>
              </w:rPr>
              <w:t>l’ExCOP3 (pour combler des déficits et provisionner les impayés)</w:t>
            </w:r>
          </w:p>
        </w:tc>
        <w:tc>
          <w:tcPr>
            <w:tcW w:w="1701" w:type="dxa"/>
            <w:tcBorders>
              <w:top w:val="nil"/>
              <w:left w:val="nil"/>
              <w:bottom w:val="single" w:sz="4" w:space="0" w:color="auto"/>
              <w:right w:val="single" w:sz="4" w:space="0" w:color="auto"/>
            </w:tcBorders>
            <w:noWrap/>
            <w:vAlign w:val="center"/>
            <w:hideMark/>
          </w:tcPr>
          <w:p w14:paraId="7690BDB5" w14:textId="77777777" w:rsidR="00356EEC" w:rsidRPr="00F14F31" w:rsidRDefault="00356EEC" w:rsidP="00711D36">
            <w:pPr>
              <w:jc w:val="right"/>
              <w:rPr>
                <w:color w:val="000000"/>
                <w:lang w:val="fr-CH" w:eastAsia="en-GB"/>
              </w:rPr>
            </w:pPr>
            <w:r w:rsidRPr="00F14F31">
              <w:rPr>
                <w:color w:val="000000"/>
                <w:lang w:val="fr-CH" w:eastAsia="en-GB"/>
              </w:rPr>
              <w:t>196</w:t>
            </w:r>
          </w:p>
        </w:tc>
      </w:tr>
      <w:tr w:rsidR="00356EEC" w:rsidRPr="00F14F31" w14:paraId="6D030A3B" w14:textId="77777777" w:rsidTr="00A56F47">
        <w:trPr>
          <w:trHeight w:val="375"/>
        </w:trPr>
        <w:tc>
          <w:tcPr>
            <w:tcW w:w="7225" w:type="dxa"/>
            <w:tcBorders>
              <w:top w:val="nil"/>
              <w:left w:val="single" w:sz="4" w:space="0" w:color="auto"/>
              <w:bottom w:val="single" w:sz="4" w:space="0" w:color="auto"/>
              <w:right w:val="single" w:sz="4" w:space="0" w:color="auto"/>
            </w:tcBorders>
            <w:vAlign w:val="center"/>
            <w:hideMark/>
          </w:tcPr>
          <w:p w14:paraId="62FF5729" w14:textId="4B8FC43B" w:rsidR="00356EEC" w:rsidRPr="00F14F31" w:rsidRDefault="001C3C8C" w:rsidP="001C3C8C">
            <w:pPr>
              <w:rPr>
                <w:color w:val="000000"/>
                <w:lang w:val="fr-CH" w:eastAsia="en-GB"/>
              </w:rPr>
            </w:pPr>
            <w:r w:rsidRPr="00F14F31">
              <w:rPr>
                <w:color w:val="000000"/>
                <w:lang w:val="fr-CH" w:eastAsia="en-GB"/>
              </w:rPr>
              <w:t>Solde</w:t>
            </w:r>
            <w:r w:rsidR="00F14F31" w:rsidRPr="00F14F31">
              <w:rPr>
                <w:color w:val="000000"/>
                <w:lang w:val="fr-CH" w:eastAsia="en-GB"/>
              </w:rPr>
              <w:t>s</w:t>
            </w:r>
            <w:r w:rsidRPr="00F14F31">
              <w:rPr>
                <w:color w:val="000000"/>
                <w:lang w:val="fr-CH" w:eastAsia="en-GB"/>
              </w:rPr>
              <w:t xml:space="preserve"> préengagé</w:t>
            </w:r>
            <w:r w:rsidR="00F14F31" w:rsidRPr="00F14F31">
              <w:rPr>
                <w:color w:val="000000"/>
                <w:lang w:val="fr-CH" w:eastAsia="en-GB"/>
              </w:rPr>
              <w:t>s</w:t>
            </w:r>
            <w:r w:rsidRPr="00F14F31">
              <w:rPr>
                <w:color w:val="000000"/>
                <w:lang w:val="fr-CH" w:eastAsia="en-GB"/>
              </w:rPr>
              <w:t xml:space="preserve"> (tableau 1 du document </w:t>
            </w:r>
            <w:r w:rsidR="00AD079A" w:rsidRPr="00F14F31">
              <w:rPr>
                <w:color w:val="000000"/>
                <w:lang w:val="fr-CH" w:eastAsia="en-GB"/>
              </w:rPr>
              <w:t>SC59/2022 Doc</w:t>
            </w:r>
            <w:r w:rsidRPr="00F14F31">
              <w:rPr>
                <w:color w:val="000000"/>
                <w:lang w:val="fr-CH" w:eastAsia="en-GB"/>
              </w:rPr>
              <w:t>.</w:t>
            </w:r>
            <w:r w:rsidR="00AD079A" w:rsidRPr="00F14F31">
              <w:rPr>
                <w:color w:val="000000"/>
                <w:lang w:val="fr-CH" w:eastAsia="en-GB"/>
              </w:rPr>
              <w:t>8.1</w:t>
            </w:r>
            <w:r w:rsidR="00356EEC" w:rsidRPr="00F14F31">
              <w:rPr>
                <w:color w:val="000000"/>
                <w:lang w:val="fr-CH" w:eastAsia="en-GB"/>
              </w:rPr>
              <w:t>)</w:t>
            </w:r>
          </w:p>
        </w:tc>
        <w:tc>
          <w:tcPr>
            <w:tcW w:w="1701" w:type="dxa"/>
            <w:tcBorders>
              <w:top w:val="nil"/>
              <w:left w:val="nil"/>
              <w:bottom w:val="single" w:sz="4" w:space="0" w:color="auto"/>
              <w:right w:val="single" w:sz="4" w:space="0" w:color="auto"/>
            </w:tcBorders>
            <w:noWrap/>
            <w:vAlign w:val="center"/>
            <w:hideMark/>
          </w:tcPr>
          <w:p w14:paraId="78BFB155" w14:textId="415FDC20" w:rsidR="00356EEC" w:rsidRPr="00F14F31" w:rsidRDefault="00356EEC" w:rsidP="00F068B4">
            <w:pPr>
              <w:jc w:val="right"/>
              <w:rPr>
                <w:color w:val="000000"/>
                <w:lang w:val="fr-CH" w:eastAsia="en-GB"/>
              </w:rPr>
            </w:pPr>
            <w:r w:rsidRPr="00F14F31">
              <w:rPr>
                <w:color w:val="000000"/>
                <w:lang w:val="fr-CH" w:eastAsia="en-GB"/>
              </w:rPr>
              <w:t xml:space="preserve">767 </w:t>
            </w:r>
          </w:p>
        </w:tc>
      </w:tr>
      <w:tr w:rsidR="00356EEC" w:rsidRPr="00F14F31" w14:paraId="0769AEE2" w14:textId="77777777" w:rsidTr="00A56F47">
        <w:trPr>
          <w:trHeight w:val="375"/>
        </w:trPr>
        <w:tc>
          <w:tcPr>
            <w:tcW w:w="7225" w:type="dxa"/>
            <w:tcBorders>
              <w:top w:val="nil"/>
              <w:left w:val="single" w:sz="4" w:space="0" w:color="auto"/>
              <w:bottom w:val="single" w:sz="4" w:space="0" w:color="auto"/>
              <w:right w:val="single" w:sz="4" w:space="0" w:color="auto"/>
            </w:tcBorders>
            <w:vAlign w:val="center"/>
            <w:hideMark/>
          </w:tcPr>
          <w:p w14:paraId="33D4C708" w14:textId="77777777" w:rsidR="00F14F31" w:rsidRPr="00F14F31" w:rsidRDefault="00F14F31" w:rsidP="00F14F31">
            <w:pPr>
              <w:rPr>
                <w:color w:val="000000"/>
                <w:lang w:val="fr-CH" w:eastAsia="en-GB"/>
              </w:rPr>
            </w:pPr>
            <w:r w:rsidRPr="00F14F31">
              <w:rPr>
                <w:color w:val="000000"/>
                <w:lang w:val="fr-CH" w:eastAsia="en-GB"/>
              </w:rPr>
              <w:t>Recrutement du prochain Secrétaire général approuvé en avril 2022 par le SC</w:t>
            </w:r>
          </w:p>
          <w:p w14:paraId="1CD265AD" w14:textId="04E445C4" w:rsidR="00356EEC" w:rsidRPr="00F14F31" w:rsidRDefault="00F14F31" w:rsidP="00F14F31">
            <w:pPr>
              <w:rPr>
                <w:color w:val="000000"/>
                <w:lang w:val="fr-CH" w:eastAsia="en-GB"/>
              </w:rPr>
            </w:pPr>
            <w:r w:rsidRPr="00F14F31">
              <w:rPr>
                <w:color w:val="000000"/>
                <w:lang w:val="fr-CH" w:eastAsia="en-GB"/>
              </w:rPr>
              <w:t>en intersessions</w:t>
            </w:r>
          </w:p>
        </w:tc>
        <w:tc>
          <w:tcPr>
            <w:tcW w:w="1701" w:type="dxa"/>
            <w:tcBorders>
              <w:top w:val="nil"/>
              <w:left w:val="nil"/>
              <w:bottom w:val="single" w:sz="4" w:space="0" w:color="auto"/>
              <w:right w:val="single" w:sz="4" w:space="0" w:color="auto"/>
            </w:tcBorders>
            <w:noWrap/>
            <w:vAlign w:val="center"/>
            <w:hideMark/>
          </w:tcPr>
          <w:p w14:paraId="4E9363D5" w14:textId="3F949D26" w:rsidR="00356EEC" w:rsidRPr="00F14F31" w:rsidRDefault="00356EEC" w:rsidP="001C3C8C">
            <w:pPr>
              <w:jc w:val="right"/>
              <w:rPr>
                <w:color w:val="000000"/>
                <w:lang w:val="fr-CH" w:eastAsia="en-GB"/>
              </w:rPr>
            </w:pPr>
            <w:r w:rsidRPr="00F14F31">
              <w:rPr>
                <w:color w:val="000000"/>
                <w:lang w:val="fr-CH" w:eastAsia="en-GB"/>
              </w:rPr>
              <w:t>89</w:t>
            </w:r>
            <w:r w:rsidR="001C3C8C" w:rsidRPr="00F14F31">
              <w:rPr>
                <w:color w:val="000000"/>
                <w:lang w:val="fr-CH" w:eastAsia="en-GB"/>
              </w:rPr>
              <w:t>,</w:t>
            </w:r>
            <w:r w:rsidRPr="00F14F31">
              <w:rPr>
                <w:color w:val="000000"/>
                <w:lang w:val="fr-CH" w:eastAsia="en-GB"/>
              </w:rPr>
              <w:t>5</w:t>
            </w:r>
          </w:p>
        </w:tc>
      </w:tr>
      <w:tr w:rsidR="00356EEC" w:rsidRPr="00F14F31" w14:paraId="0D61E4AE" w14:textId="77777777" w:rsidTr="00A56F47">
        <w:trPr>
          <w:trHeight w:val="375"/>
        </w:trPr>
        <w:tc>
          <w:tcPr>
            <w:tcW w:w="7225" w:type="dxa"/>
            <w:tcBorders>
              <w:top w:val="nil"/>
              <w:left w:val="single" w:sz="4" w:space="0" w:color="auto"/>
              <w:bottom w:val="single" w:sz="4" w:space="0" w:color="auto"/>
              <w:right w:val="single" w:sz="4" w:space="0" w:color="auto"/>
            </w:tcBorders>
            <w:shd w:val="clear" w:color="auto" w:fill="DDEBF7"/>
            <w:vAlign w:val="center"/>
            <w:hideMark/>
          </w:tcPr>
          <w:p w14:paraId="7C66D908" w14:textId="2A58E58B" w:rsidR="00356EEC" w:rsidRPr="00F14F31" w:rsidRDefault="00356EEC" w:rsidP="00950CF6">
            <w:pPr>
              <w:rPr>
                <w:b/>
                <w:bCs/>
                <w:color w:val="000000"/>
                <w:lang w:val="fr-CH" w:eastAsia="en-GB"/>
              </w:rPr>
            </w:pPr>
            <w:r w:rsidRPr="00F14F31">
              <w:rPr>
                <w:b/>
                <w:bCs/>
                <w:color w:val="000000"/>
                <w:lang w:val="fr-CH" w:eastAsia="en-GB"/>
              </w:rPr>
              <w:t xml:space="preserve">(II) </w:t>
            </w:r>
            <w:r w:rsidR="00F14F31" w:rsidRPr="00F14F31">
              <w:rPr>
                <w:b/>
                <w:bCs/>
                <w:color w:val="000000"/>
                <w:lang w:val="fr-CH" w:eastAsia="en-GB"/>
              </w:rPr>
              <w:t>Total de la réserve approuvée et préengagée</w:t>
            </w:r>
          </w:p>
        </w:tc>
        <w:tc>
          <w:tcPr>
            <w:tcW w:w="1701" w:type="dxa"/>
            <w:tcBorders>
              <w:top w:val="nil"/>
              <w:left w:val="nil"/>
              <w:bottom w:val="single" w:sz="4" w:space="0" w:color="auto"/>
              <w:right w:val="single" w:sz="4" w:space="0" w:color="auto"/>
            </w:tcBorders>
            <w:shd w:val="clear" w:color="auto" w:fill="DBE5F1"/>
            <w:noWrap/>
            <w:vAlign w:val="center"/>
            <w:hideMark/>
          </w:tcPr>
          <w:p w14:paraId="10A10C4F" w14:textId="797DDFB4" w:rsidR="00356EEC" w:rsidRPr="00F14F31" w:rsidRDefault="00AD079A" w:rsidP="001C3C8C">
            <w:pPr>
              <w:jc w:val="right"/>
              <w:rPr>
                <w:b/>
                <w:bCs/>
                <w:color w:val="000000"/>
                <w:lang w:val="fr-CH" w:eastAsia="en-GB"/>
              </w:rPr>
            </w:pPr>
            <w:r w:rsidRPr="00F14F31">
              <w:rPr>
                <w:b/>
                <w:bCs/>
                <w:color w:val="000000"/>
                <w:lang w:val="fr-CH" w:eastAsia="en-GB"/>
              </w:rPr>
              <w:t>1</w:t>
            </w:r>
            <w:r w:rsidR="001C3C8C" w:rsidRPr="00F14F31">
              <w:rPr>
                <w:b/>
                <w:bCs/>
                <w:color w:val="000000"/>
                <w:lang w:val="fr-CH" w:eastAsia="en-GB"/>
              </w:rPr>
              <w:t xml:space="preserve"> </w:t>
            </w:r>
            <w:r w:rsidRPr="00F14F31">
              <w:rPr>
                <w:b/>
                <w:bCs/>
                <w:color w:val="000000"/>
                <w:lang w:val="fr-CH" w:eastAsia="en-GB"/>
              </w:rPr>
              <w:t>815</w:t>
            </w:r>
          </w:p>
        </w:tc>
      </w:tr>
      <w:tr w:rsidR="00356EEC" w:rsidRPr="002915CC" w14:paraId="260A9E80" w14:textId="77777777" w:rsidTr="00A56F47">
        <w:trPr>
          <w:trHeight w:val="495"/>
        </w:trPr>
        <w:tc>
          <w:tcPr>
            <w:tcW w:w="7225" w:type="dxa"/>
            <w:tcBorders>
              <w:top w:val="nil"/>
              <w:left w:val="single" w:sz="4" w:space="0" w:color="auto"/>
              <w:bottom w:val="single" w:sz="4" w:space="0" w:color="auto"/>
              <w:right w:val="single" w:sz="4" w:space="0" w:color="auto"/>
            </w:tcBorders>
            <w:shd w:val="clear" w:color="auto" w:fill="9BC2E6"/>
            <w:vAlign w:val="center"/>
            <w:hideMark/>
          </w:tcPr>
          <w:p w14:paraId="0083C936" w14:textId="77777777" w:rsidR="00F14F31" w:rsidRPr="00F14F31" w:rsidRDefault="00356EEC" w:rsidP="00F14F31">
            <w:pPr>
              <w:rPr>
                <w:b/>
                <w:bCs/>
                <w:color w:val="000000"/>
                <w:lang w:val="fr-CH" w:eastAsia="en-GB"/>
              </w:rPr>
            </w:pPr>
            <w:r w:rsidRPr="00F14F31">
              <w:rPr>
                <w:b/>
                <w:bCs/>
                <w:color w:val="000000"/>
                <w:lang w:val="fr-CH" w:eastAsia="en-GB"/>
              </w:rPr>
              <w:t xml:space="preserve">(III=I-II) </w:t>
            </w:r>
            <w:r w:rsidR="00F14F31" w:rsidRPr="00F14F31">
              <w:rPr>
                <w:b/>
                <w:bCs/>
                <w:color w:val="000000"/>
                <w:lang w:val="fr-CH" w:eastAsia="en-GB"/>
              </w:rPr>
              <w:t>Excédent administratif 2021 moins réserve approuvée et</w:t>
            </w:r>
          </w:p>
          <w:p w14:paraId="7F8EA09A" w14:textId="5ACAC2FB" w:rsidR="00356EEC" w:rsidRPr="00F14F31" w:rsidRDefault="00F14F31" w:rsidP="00F14F31">
            <w:pPr>
              <w:rPr>
                <w:b/>
                <w:bCs/>
                <w:color w:val="000000"/>
                <w:lang w:val="fr-CH" w:eastAsia="en-GB"/>
              </w:rPr>
            </w:pPr>
            <w:r w:rsidRPr="00F14F31">
              <w:rPr>
                <w:b/>
                <w:bCs/>
                <w:color w:val="000000"/>
                <w:lang w:val="fr-CH" w:eastAsia="en-GB"/>
              </w:rPr>
              <w:t>préengagée - à affecter</w:t>
            </w:r>
          </w:p>
        </w:tc>
        <w:tc>
          <w:tcPr>
            <w:tcW w:w="1701" w:type="dxa"/>
            <w:tcBorders>
              <w:top w:val="nil"/>
              <w:left w:val="nil"/>
              <w:bottom w:val="single" w:sz="4" w:space="0" w:color="auto"/>
              <w:right w:val="single" w:sz="4" w:space="0" w:color="auto"/>
            </w:tcBorders>
            <w:shd w:val="clear" w:color="auto" w:fill="9BC2E6"/>
            <w:noWrap/>
            <w:vAlign w:val="center"/>
            <w:hideMark/>
          </w:tcPr>
          <w:p w14:paraId="1DB43965" w14:textId="54F086DE" w:rsidR="00356EEC" w:rsidRPr="002915CC" w:rsidRDefault="00AD079A" w:rsidP="001C3C8C">
            <w:pPr>
              <w:jc w:val="right"/>
              <w:rPr>
                <w:b/>
                <w:bCs/>
                <w:color w:val="000000"/>
                <w:lang w:val="fr-CH" w:eastAsia="en-GB"/>
              </w:rPr>
            </w:pPr>
            <w:r w:rsidRPr="00F14F31">
              <w:rPr>
                <w:b/>
                <w:bCs/>
                <w:color w:val="000000"/>
                <w:lang w:val="fr-CH" w:eastAsia="en-GB"/>
              </w:rPr>
              <w:t>1</w:t>
            </w:r>
            <w:r w:rsidR="001C3C8C" w:rsidRPr="00F14F31">
              <w:rPr>
                <w:b/>
                <w:bCs/>
                <w:color w:val="000000"/>
                <w:lang w:val="fr-CH" w:eastAsia="en-GB"/>
              </w:rPr>
              <w:t xml:space="preserve"> </w:t>
            </w:r>
            <w:r w:rsidRPr="00F14F31">
              <w:rPr>
                <w:b/>
                <w:bCs/>
                <w:color w:val="000000"/>
                <w:lang w:val="fr-CH" w:eastAsia="en-GB"/>
              </w:rPr>
              <w:t>924</w:t>
            </w:r>
            <w:r w:rsidR="00356EEC" w:rsidRPr="002915CC">
              <w:rPr>
                <w:b/>
                <w:bCs/>
                <w:color w:val="000000"/>
                <w:lang w:val="fr-CH" w:eastAsia="en-GB"/>
              </w:rPr>
              <w:t xml:space="preserve"> </w:t>
            </w:r>
          </w:p>
        </w:tc>
      </w:tr>
    </w:tbl>
    <w:p w14:paraId="006F60EE" w14:textId="77777777" w:rsidR="00356EEC" w:rsidRPr="002915CC" w:rsidRDefault="00356EEC" w:rsidP="00711D36">
      <w:pPr>
        <w:widowControl/>
        <w:ind w:left="426" w:hanging="426"/>
        <w:rPr>
          <w:rFonts w:asciiTheme="minorHAnsi" w:hAnsiTheme="minorHAnsi" w:cstheme="minorHAnsi"/>
          <w:lang w:val="fr-CH"/>
        </w:rPr>
      </w:pPr>
    </w:p>
    <w:p w14:paraId="4BE6486D" w14:textId="5CAA3C22" w:rsidR="00356EEC" w:rsidRPr="002915CC" w:rsidRDefault="00356EEC" w:rsidP="00711D36">
      <w:pPr>
        <w:widowControl/>
        <w:ind w:left="426" w:hanging="426"/>
        <w:rPr>
          <w:rFonts w:asciiTheme="minorHAnsi" w:hAnsiTheme="minorHAnsi" w:cstheme="minorHAnsi"/>
          <w:lang w:val="fr-CH"/>
        </w:rPr>
      </w:pPr>
    </w:p>
    <w:p w14:paraId="09D1D1D3" w14:textId="5D8C461D" w:rsidR="0052223D" w:rsidRPr="002915CC" w:rsidRDefault="00950CF6" w:rsidP="0052223D">
      <w:pPr>
        <w:widowControl/>
        <w:rPr>
          <w:lang w:val="fr-CH"/>
        </w:rPr>
      </w:pPr>
      <w:r>
        <w:rPr>
          <w:rFonts w:asciiTheme="minorHAnsi" w:hAnsiTheme="minorHAnsi" w:cstheme="minorHAnsi"/>
          <w:lang w:val="fr-CH"/>
        </w:rPr>
        <w:lastRenderedPageBreak/>
        <w:t xml:space="preserve">La Secrétaire générale énumère les options d’utilisation possible des économies de 2021 suggérées dans le paragraphe 40 du </w:t>
      </w:r>
      <w:r w:rsidR="0052223D" w:rsidRPr="002915CC">
        <w:rPr>
          <w:rFonts w:asciiTheme="minorHAnsi" w:hAnsiTheme="minorHAnsi" w:cstheme="minorHAnsi"/>
          <w:lang w:val="fr-CH"/>
        </w:rPr>
        <w:t>document SC59/2022 Doc.8.1</w:t>
      </w:r>
      <w:r w:rsidR="008258FC">
        <w:rPr>
          <w:rFonts w:asciiTheme="minorHAnsi" w:hAnsiTheme="minorHAnsi" w:cstheme="minorHAnsi"/>
          <w:lang w:val="fr-CH"/>
        </w:rPr>
        <w:t>.</w:t>
      </w:r>
      <w:r w:rsidR="0052223D" w:rsidRPr="002915CC">
        <w:rPr>
          <w:rFonts w:asciiTheme="minorHAnsi" w:hAnsiTheme="minorHAnsi" w:cstheme="minorHAnsi"/>
          <w:lang w:val="fr-CH"/>
        </w:rPr>
        <w:t xml:space="preserve"> </w:t>
      </w:r>
      <w:r w:rsidR="008258FC">
        <w:rPr>
          <w:rFonts w:asciiTheme="minorHAnsi" w:hAnsiTheme="minorHAnsi" w:cstheme="minorHAnsi"/>
          <w:lang w:val="fr-CH"/>
        </w:rPr>
        <w:t>Concernant l’</w:t>
      </w:r>
      <w:r w:rsidR="008258FC" w:rsidRPr="008258FC">
        <w:rPr>
          <w:rFonts w:asciiTheme="minorHAnsi" w:hAnsiTheme="minorHAnsi" w:cstheme="minorHAnsi"/>
          <w:lang w:val="fr-CH"/>
        </w:rPr>
        <w:t xml:space="preserve">option c) </w:t>
      </w:r>
      <w:r w:rsidR="008258FC">
        <w:rPr>
          <w:rFonts w:asciiTheme="minorHAnsi" w:hAnsiTheme="minorHAnsi" w:cstheme="minorHAnsi"/>
          <w:lang w:val="fr-CH"/>
        </w:rPr>
        <w:t>sur le financement des frais de voyage des délégués parrainés pour la</w:t>
      </w:r>
      <w:r w:rsidR="008258FC" w:rsidRPr="008258FC">
        <w:rPr>
          <w:rFonts w:asciiTheme="minorHAnsi" w:hAnsiTheme="minorHAnsi" w:cstheme="minorHAnsi"/>
          <w:lang w:val="fr-CH"/>
        </w:rPr>
        <w:t xml:space="preserve"> COP14, </w:t>
      </w:r>
      <w:r w:rsidR="008258FC">
        <w:rPr>
          <w:rFonts w:asciiTheme="minorHAnsi" w:hAnsiTheme="minorHAnsi" w:cstheme="minorHAnsi"/>
          <w:lang w:val="fr-CH"/>
        </w:rPr>
        <w:t>le</w:t>
      </w:r>
      <w:r w:rsidR="008258FC" w:rsidRPr="008258FC">
        <w:rPr>
          <w:rFonts w:asciiTheme="minorHAnsi" w:hAnsiTheme="minorHAnsi" w:cstheme="minorHAnsi"/>
          <w:lang w:val="fr-CH"/>
        </w:rPr>
        <w:t xml:space="preserve"> Secrétariat </w:t>
      </w:r>
      <w:r w:rsidR="008258FC">
        <w:rPr>
          <w:rFonts w:asciiTheme="minorHAnsi" w:hAnsiTheme="minorHAnsi" w:cstheme="minorHAnsi"/>
          <w:lang w:val="fr-CH"/>
        </w:rPr>
        <w:t>explique</w:t>
      </w:r>
      <w:r w:rsidR="008258FC" w:rsidRPr="008258FC">
        <w:rPr>
          <w:rFonts w:asciiTheme="minorHAnsi" w:hAnsiTheme="minorHAnsi" w:cstheme="minorHAnsi"/>
          <w:lang w:val="fr-CH"/>
        </w:rPr>
        <w:t xml:space="preserve"> </w:t>
      </w:r>
      <w:r w:rsidR="00A4546B">
        <w:rPr>
          <w:rFonts w:asciiTheme="minorHAnsi" w:hAnsiTheme="minorHAnsi" w:cstheme="minorHAnsi"/>
          <w:lang w:val="fr-CH"/>
        </w:rPr>
        <w:t>que faire une collecte de fonds pour la totalité des coûts serait très difficile compte tenu du nombre de réunions internationales ayant lieu cette année et pour lesquelles d’autres se</w:t>
      </w:r>
      <w:r w:rsidR="008258FC" w:rsidRPr="008258FC">
        <w:rPr>
          <w:rFonts w:asciiTheme="minorHAnsi" w:hAnsiTheme="minorHAnsi" w:cstheme="minorHAnsi"/>
          <w:lang w:val="fr-CH"/>
        </w:rPr>
        <w:t>cr</w:t>
      </w:r>
      <w:r w:rsidR="00A4546B">
        <w:rPr>
          <w:rFonts w:asciiTheme="minorHAnsi" w:hAnsiTheme="minorHAnsi" w:cstheme="minorHAnsi"/>
          <w:lang w:val="fr-CH"/>
        </w:rPr>
        <w:t>é</w:t>
      </w:r>
      <w:r w:rsidR="008258FC" w:rsidRPr="008258FC">
        <w:rPr>
          <w:rFonts w:asciiTheme="minorHAnsi" w:hAnsiTheme="minorHAnsi" w:cstheme="minorHAnsi"/>
          <w:lang w:val="fr-CH"/>
        </w:rPr>
        <w:t xml:space="preserve">tariats </w:t>
      </w:r>
      <w:r w:rsidR="00A4546B">
        <w:rPr>
          <w:rFonts w:asciiTheme="minorHAnsi" w:hAnsiTheme="minorHAnsi" w:cstheme="minorHAnsi"/>
          <w:lang w:val="fr-CH"/>
        </w:rPr>
        <w:t>sont en train de faire des appels de fonds</w:t>
      </w:r>
      <w:r w:rsidR="00824771">
        <w:rPr>
          <w:rFonts w:asciiTheme="minorHAnsi" w:hAnsiTheme="minorHAnsi" w:cstheme="minorHAnsi"/>
          <w:lang w:val="fr-CH"/>
        </w:rPr>
        <w:t>,</w:t>
      </w:r>
      <w:r w:rsidR="00A4546B">
        <w:rPr>
          <w:rFonts w:asciiTheme="minorHAnsi" w:hAnsiTheme="minorHAnsi" w:cstheme="minorHAnsi"/>
          <w:lang w:val="fr-CH"/>
        </w:rPr>
        <w:t xml:space="preserve"> ainsi que des impacts économiques de la pandémie de</w:t>
      </w:r>
      <w:r w:rsidR="008258FC" w:rsidRPr="008258FC">
        <w:rPr>
          <w:rFonts w:asciiTheme="minorHAnsi" w:hAnsiTheme="minorHAnsi" w:cstheme="minorHAnsi"/>
          <w:lang w:val="fr-CH"/>
        </w:rPr>
        <w:t xml:space="preserve"> COVID-19. </w:t>
      </w:r>
      <w:r w:rsidR="00A4546B">
        <w:rPr>
          <w:rFonts w:asciiTheme="minorHAnsi" w:hAnsiTheme="minorHAnsi" w:cstheme="minorHAnsi"/>
          <w:lang w:val="fr-CH"/>
        </w:rPr>
        <w:t>Le</w:t>
      </w:r>
      <w:r w:rsidR="008258FC" w:rsidRPr="008258FC">
        <w:rPr>
          <w:rFonts w:asciiTheme="minorHAnsi" w:hAnsiTheme="minorHAnsi" w:cstheme="minorHAnsi"/>
          <w:lang w:val="fr-CH"/>
        </w:rPr>
        <w:t xml:space="preserve"> S</w:t>
      </w:r>
      <w:r w:rsidR="00A4546B">
        <w:rPr>
          <w:rFonts w:asciiTheme="minorHAnsi" w:hAnsiTheme="minorHAnsi" w:cstheme="minorHAnsi"/>
          <w:lang w:val="fr-CH"/>
        </w:rPr>
        <w:t>o</w:t>
      </w:r>
      <w:r w:rsidR="008258FC" w:rsidRPr="008258FC">
        <w:rPr>
          <w:rFonts w:asciiTheme="minorHAnsi" w:hAnsiTheme="minorHAnsi" w:cstheme="minorHAnsi"/>
          <w:lang w:val="fr-CH"/>
        </w:rPr>
        <w:t>u</w:t>
      </w:r>
      <w:r w:rsidR="00A4546B">
        <w:rPr>
          <w:rFonts w:asciiTheme="minorHAnsi" w:hAnsiTheme="minorHAnsi" w:cstheme="minorHAnsi"/>
          <w:lang w:val="fr-CH"/>
        </w:rPr>
        <w:t>s-</w:t>
      </w:r>
      <w:r w:rsidR="008258FC" w:rsidRPr="008258FC">
        <w:rPr>
          <w:rFonts w:asciiTheme="minorHAnsi" w:hAnsiTheme="minorHAnsi" w:cstheme="minorHAnsi"/>
          <w:lang w:val="fr-CH"/>
        </w:rPr>
        <w:t>group</w:t>
      </w:r>
      <w:r w:rsidR="00A4546B">
        <w:rPr>
          <w:rFonts w:asciiTheme="minorHAnsi" w:hAnsiTheme="minorHAnsi" w:cstheme="minorHAnsi"/>
          <w:lang w:val="fr-CH"/>
        </w:rPr>
        <w:t>e</w:t>
      </w:r>
      <w:r w:rsidR="008258FC" w:rsidRPr="008258FC">
        <w:rPr>
          <w:rFonts w:asciiTheme="minorHAnsi" w:hAnsiTheme="minorHAnsi" w:cstheme="minorHAnsi"/>
          <w:lang w:val="fr-CH"/>
        </w:rPr>
        <w:t xml:space="preserve"> </w:t>
      </w:r>
      <w:r w:rsidR="002C2369">
        <w:rPr>
          <w:rFonts w:asciiTheme="minorHAnsi" w:hAnsiTheme="minorHAnsi" w:cstheme="minorHAnsi"/>
          <w:lang w:val="fr-CH"/>
        </w:rPr>
        <w:t>préfère que</w:t>
      </w:r>
      <w:r w:rsidR="00A4546B">
        <w:rPr>
          <w:rFonts w:asciiTheme="minorHAnsi" w:hAnsiTheme="minorHAnsi" w:cstheme="minorHAnsi"/>
          <w:lang w:val="fr-CH"/>
        </w:rPr>
        <w:t xml:space="preserve"> les lignes du budget non administratif continue</w:t>
      </w:r>
      <w:r w:rsidR="002C2369">
        <w:rPr>
          <w:rFonts w:asciiTheme="minorHAnsi" w:hAnsiTheme="minorHAnsi" w:cstheme="minorHAnsi"/>
          <w:lang w:val="fr-CH"/>
        </w:rPr>
        <w:t>nt</w:t>
      </w:r>
      <w:r w:rsidR="00A4546B">
        <w:rPr>
          <w:rFonts w:asciiTheme="minorHAnsi" w:hAnsiTheme="minorHAnsi" w:cstheme="minorHAnsi"/>
          <w:lang w:val="fr-CH"/>
        </w:rPr>
        <w:t xml:space="preserve"> d’être couvertes par des ressources non administratives</w:t>
      </w:r>
      <w:r w:rsidR="008258FC" w:rsidRPr="008258FC">
        <w:rPr>
          <w:rFonts w:asciiTheme="minorHAnsi" w:hAnsiTheme="minorHAnsi" w:cstheme="minorHAnsi"/>
          <w:lang w:val="fr-CH"/>
        </w:rPr>
        <w:t xml:space="preserve">. </w:t>
      </w:r>
      <w:r w:rsidR="002C2369">
        <w:rPr>
          <w:rFonts w:asciiTheme="minorHAnsi" w:hAnsiTheme="minorHAnsi" w:cstheme="minorHAnsi"/>
          <w:lang w:val="fr-CH"/>
        </w:rPr>
        <w:t>Il ne doute pas que le</w:t>
      </w:r>
      <w:r w:rsidR="008258FC" w:rsidRPr="008258FC">
        <w:rPr>
          <w:rFonts w:asciiTheme="minorHAnsi" w:hAnsiTheme="minorHAnsi" w:cstheme="minorHAnsi"/>
          <w:lang w:val="fr-CH"/>
        </w:rPr>
        <w:t xml:space="preserve"> </w:t>
      </w:r>
      <w:r w:rsidR="002C2369" w:rsidRPr="008258FC">
        <w:rPr>
          <w:rFonts w:asciiTheme="minorHAnsi" w:hAnsiTheme="minorHAnsi" w:cstheme="minorHAnsi"/>
          <w:lang w:val="fr-CH"/>
        </w:rPr>
        <w:t>Secrétariat</w:t>
      </w:r>
      <w:r w:rsidR="008258FC" w:rsidRPr="008258FC">
        <w:rPr>
          <w:rFonts w:asciiTheme="minorHAnsi" w:hAnsiTheme="minorHAnsi" w:cstheme="minorHAnsi"/>
          <w:lang w:val="fr-CH"/>
        </w:rPr>
        <w:t xml:space="preserve"> </w:t>
      </w:r>
      <w:r w:rsidR="002C2369">
        <w:rPr>
          <w:rFonts w:asciiTheme="minorHAnsi" w:hAnsiTheme="minorHAnsi" w:cstheme="minorHAnsi"/>
          <w:lang w:val="fr-CH"/>
        </w:rPr>
        <w:t>fera tout son possible pour continuer de collecter des fonds à cet effet</w:t>
      </w:r>
      <w:r w:rsidR="008258FC" w:rsidRPr="008258FC">
        <w:rPr>
          <w:rFonts w:asciiTheme="minorHAnsi" w:hAnsiTheme="minorHAnsi" w:cstheme="minorHAnsi"/>
          <w:lang w:val="fr-CH"/>
        </w:rPr>
        <w:t>.</w:t>
      </w:r>
    </w:p>
    <w:p w14:paraId="324F3E63" w14:textId="6651C9CC" w:rsidR="00D32871" w:rsidRPr="002915CC" w:rsidRDefault="00D32871" w:rsidP="0052223D">
      <w:pPr>
        <w:widowControl/>
        <w:rPr>
          <w:lang w:val="fr-CH"/>
        </w:rPr>
      </w:pPr>
    </w:p>
    <w:p w14:paraId="2BDD8046" w14:textId="77777777" w:rsidR="00314B87" w:rsidRDefault="00F0671F" w:rsidP="0052223D">
      <w:pPr>
        <w:widowControl/>
        <w:rPr>
          <w:lang w:val="fr-CH"/>
        </w:rPr>
      </w:pPr>
      <w:r>
        <w:rPr>
          <w:lang w:val="fr-CH"/>
        </w:rPr>
        <w:t xml:space="preserve">Le </w:t>
      </w:r>
      <w:r w:rsidR="008258FC">
        <w:rPr>
          <w:lang w:val="fr-CH"/>
        </w:rPr>
        <w:t>Sous-</w:t>
      </w:r>
      <w:r>
        <w:rPr>
          <w:lang w:val="fr-CH"/>
        </w:rPr>
        <w:t xml:space="preserve">groupe </w:t>
      </w:r>
      <w:r w:rsidR="00951128">
        <w:rPr>
          <w:lang w:val="fr-CH"/>
        </w:rPr>
        <w:t>approuve</w:t>
      </w:r>
      <w:r>
        <w:rPr>
          <w:lang w:val="fr-CH"/>
        </w:rPr>
        <w:t xml:space="preserve"> l’option a), consistant à </w:t>
      </w:r>
      <w:r w:rsidR="00951128">
        <w:rPr>
          <w:lang w:val="fr-CH"/>
        </w:rPr>
        <w:t>affecter</w:t>
      </w:r>
      <w:r>
        <w:rPr>
          <w:lang w:val="fr-CH"/>
        </w:rPr>
        <w:t xml:space="preserve"> 228 000 CHF pour couvrir </w:t>
      </w:r>
      <w:r w:rsidR="00951128">
        <w:rPr>
          <w:lang w:val="fr-CH"/>
        </w:rPr>
        <w:t>le déficit</w:t>
      </w:r>
      <w:r>
        <w:rPr>
          <w:lang w:val="fr-CH"/>
        </w:rPr>
        <w:t xml:space="preserve"> pour les activités administratives du Secrétariat</w:t>
      </w:r>
      <w:r w:rsidR="002C2369">
        <w:rPr>
          <w:lang w:val="fr-CH"/>
        </w:rPr>
        <w:t xml:space="preserve"> dans la période triennale 2023-2025</w:t>
      </w:r>
      <w:r w:rsidR="00193A74">
        <w:rPr>
          <w:lang w:val="fr-CH"/>
        </w:rPr>
        <w:t>. Il</w:t>
      </w:r>
      <w:r>
        <w:rPr>
          <w:lang w:val="fr-CH"/>
        </w:rPr>
        <w:t xml:space="preserve"> </w:t>
      </w:r>
      <w:r w:rsidR="00193A74">
        <w:rPr>
          <w:lang w:val="fr-CH"/>
        </w:rPr>
        <w:t>estime</w:t>
      </w:r>
      <w:r>
        <w:rPr>
          <w:lang w:val="fr-CH"/>
        </w:rPr>
        <w:t xml:space="preserve"> qu</w:t>
      </w:r>
      <w:r w:rsidR="00193A74">
        <w:rPr>
          <w:lang w:val="fr-CH"/>
        </w:rPr>
        <w:t>’il est prématuré d’examiner l’option</w:t>
      </w:r>
      <w:r>
        <w:rPr>
          <w:lang w:val="fr-CH"/>
        </w:rPr>
        <w:t xml:space="preserve"> B, </w:t>
      </w:r>
      <w:r w:rsidR="00951128">
        <w:rPr>
          <w:lang w:val="fr-CH"/>
        </w:rPr>
        <w:t>à savoir affecter</w:t>
      </w:r>
      <w:r>
        <w:rPr>
          <w:lang w:val="fr-CH"/>
        </w:rPr>
        <w:t xml:space="preserve"> des ressources </w:t>
      </w:r>
      <w:r w:rsidR="00951128">
        <w:rPr>
          <w:lang w:val="fr-CH"/>
        </w:rPr>
        <w:t>supplémentaires</w:t>
      </w:r>
      <w:r>
        <w:rPr>
          <w:lang w:val="fr-CH"/>
        </w:rPr>
        <w:t xml:space="preserve"> pour le regroupement de</w:t>
      </w:r>
      <w:r w:rsidR="00B33E0F">
        <w:rPr>
          <w:lang w:val="fr-CH"/>
        </w:rPr>
        <w:t>s</w:t>
      </w:r>
      <w:r>
        <w:rPr>
          <w:lang w:val="fr-CH"/>
        </w:rPr>
        <w:t xml:space="preserve"> résolutions</w:t>
      </w:r>
      <w:r w:rsidR="00B33E0F">
        <w:rPr>
          <w:lang w:val="fr-CH"/>
        </w:rPr>
        <w:t xml:space="preserve"> </w:t>
      </w:r>
      <w:r w:rsidR="00193A74">
        <w:rPr>
          <w:lang w:val="fr-CH"/>
        </w:rPr>
        <w:t xml:space="preserve">car celui-ci doit faire l’objet d’autres discussions et d’une décision du </w:t>
      </w:r>
      <w:r w:rsidR="00345FB9">
        <w:rPr>
          <w:lang w:val="fr-CH"/>
        </w:rPr>
        <w:t>Comité permanent.</w:t>
      </w:r>
    </w:p>
    <w:p w14:paraId="60784B2A" w14:textId="77777777" w:rsidR="00314B87" w:rsidRDefault="00314B87" w:rsidP="0052223D">
      <w:pPr>
        <w:widowControl/>
        <w:rPr>
          <w:lang w:val="fr-CH"/>
        </w:rPr>
      </w:pPr>
    </w:p>
    <w:p w14:paraId="6AB78F71" w14:textId="77BC54AC" w:rsidR="00D32871" w:rsidRPr="00F23486" w:rsidRDefault="00314B87" w:rsidP="0052223D">
      <w:pPr>
        <w:widowControl/>
        <w:rPr>
          <w:lang w:val="fr-CH"/>
        </w:rPr>
      </w:pPr>
      <w:r w:rsidRPr="00F23486">
        <w:rPr>
          <w:lang w:val="fr-CH"/>
        </w:rPr>
        <w:t>Le Sous-groupe approuve aussi l’affectation de 3</w:t>
      </w:r>
      <w:r w:rsidR="00824771">
        <w:rPr>
          <w:lang w:val="fr-CH"/>
        </w:rPr>
        <w:t>6</w:t>
      </w:r>
      <w:r w:rsidRPr="00F23486">
        <w:rPr>
          <w:lang w:val="fr-CH"/>
        </w:rPr>
        <w:t>0</w:t>
      </w:r>
      <w:r w:rsidR="00F23486" w:rsidRPr="00F23486">
        <w:rPr>
          <w:lang w:val="fr-CH"/>
        </w:rPr>
        <w:t> 000 CHF pour l’augmentation de</w:t>
      </w:r>
      <w:r w:rsidR="00824771">
        <w:rPr>
          <w:lang w:val="fr-CH"/>
        </w:rPr>
        <w:t xml:space="preserve"> la</w:t>
      </w:r>
      <w:r w:rsidR="00F23486" w:rsidRPr="00F23486">
        <w:rPr>
          <w:lang w:val="fr-CH"/>
        </w:rPr>
        <w:t xml:space="preserve"> provision pour impayés</w:t>
      </w:r>
      <w:r w:rsidR="00345FB9" w:rsidRPr="00F23486">
        <w:rPr>
          <w:lang w:val="fr-CH"/>
        </w:rPr>
        <w:t xml:space="preserve"> </w:t>
      </w:r>
      <w:r w:rsidR="00F23486">
        <w:rPr>
          <w:lang w:val="fr-CH"/>
        </w:rPr>
        <w:t xml:space="preserve">à condition </w:t>
      </w:r>
      <w:bookmarkStart w:id="0" w:name="_Hlk104372790"/>
      <w:r w:rsidR="00F23486">
        <w:rPr>
          <w:lang w:val="fr-CH"/>
        </w:rPr>
        <w:t xml:space="preserve">que toute </w:t>
      </w:r>
      <w:r w:rsidR="00D0228D">
        <w:rPr>
          <w:lang w:val="fr-CH"/>
        </w:rPr>
        <w:t>portion</w:t>
      </w:r>
      <w:r w:rsidR="00F23486">
        <w:rPr>
          <w:lang w:val="fr-CH"/>
        </w:rPr>
        <w:t xml:space="preserve"> non utilisée soit reversée à l’excédent pour affectation à la fin de chaque année de la période triennale 2023-2025</w:t>
      </w:r>
      <w:bookmarkEnd w:id="0"/>
      <w:r w:rsidR="00F23486">
        <w:rPr>
          <w:lang w:val="fr-CH"/>
        </w:rPr>
        <w:t>.</w:t>
      </w:r>
    </w:p>
    <w:p w14:paraId="437CC46B" w14:textId="72D83586" w:rsidR="00763865" w:rsidRPr="00B33E0F" w:rsidRDefault="00763865" w:rsidP="0052223D">
      <w:pPr>
        <w:widowControl/>
        <w:rPr>
          <w:lang w:val="fr-FR"/>
        </w:rPr>
      </w:pPr>
    </w:p>
    <w:p w14:paraId="617A4F0A" w14:textId="16DF3668" w:rsidR="00763865" w:rsidRPr="00B33E0F" w:rsidRDefault="00345FB9" w:rsidP="00763865">
      <w:pPr>
        <w:widowControl/>
        <w:rPr>
          <w:lang w:val="fr-FR"/>
        </w:rPr>
      </w:pPr>
      <w:r w:rsidRPr="00B33E0F">
        <w:rPr>
          <w:lang w:val="fr-FR"/>
        </w:rPr>
        <w:t xml:space="preserve">La Secrétaire générale </w:t>
      </w:r>
      <w:r w:rsidR="00314B87">
        <w:rPr>
          <w:lang w:val="fr-FR"/>
        </w:rPr>
        <w:t>présente</w:t>
      </w:r>
      <w:r w:rsidRPr="00B33E0F">
        <w:rPr>
          <w:lang w:val="fr-FR"/>
        </w:rPr>
        <w:t xml:space="preserve"> la proposition d’a</w:t>
      </w:r>
      <w:r w:rsidR="00D40F89" w:rsidRPr="00B33E0F">
        <w:rPr>
          <w:lang w:val="fr-FR"/>
        </w:rPr>
        <w:t>ffectation</w:t>
      </w:r>
      <w:r w:rsidRPr="00B33E0F">
        <w:rPr>
          <w:lang w:val="fr-FR"/>
        </w:rPr>
        <w:t xml:space="preserve"> du solde restant du </w:t>
      </w:r>
      <w:r w:rsidR="004269C8" w:rsidRPr="00B33E0F">
        <w:rPr>
          <w:lang w:val="fr-FR"/>
        </w:rPr>
        <w:t>« Budget 2020 - SC58 et économies non engagées reportées »</w:t>
      </w:r>
      <w:r w:rsidRPr="00B33E0F">
        <w:rPr>
          <w:lang w:val="fr-FR"/>
        </w:rPr>
        <w:t xml:space="preserve"> comme </w:t>
      </w:r>
      <w:r w:rsidR="004269C8" w:rsidRPr="00B33E0F">
        <w:rPr>
          <w:lang w:val="fr-FR"/>
        </w:rPr>
        <w:t xml:space="preserve">économies </w:t>
      </w:r>
      <w:r w:rsidR="008F641A">
        <w:rPr>
          <w:lang w:val="fr-FR"/>
        </w:rPr>
        <w:t>d</w:t>
      </w:r>
      <w:r w:rsidR="00D40F89" w:rsidRPr="00B33E0F">
        <w:rPr>
          <w:lang w:val="fr-FR"/>
        </w:rPr>
        <w:t>u Fonds de réserve supplémentaire</w:t>
      </w:r>
      <w:r w:rsidRPr="00B33E0F">
        <w:rPr>
          <w:lang w:val="fr-FR"/>
        </w:rPr>
        <w:t>.</w:t>
      </w:r>
      <w:r w:rsidR="008F641A">
        <w:rPr>
          <w:lang w:val="fr-FR"/>
        </w:rPr>
        <w:t xml:space="preserve"> </w:t>
      </w:r>
      <w:r w:rsidR="008F641A">
        <w:rPr>
          <w:lang w:val="fr-CH"/>
        </w:rPr>
        <w:t>Le Sous-groupe déclare qu</w:t>
      </w:r>
      <w:r w:rsidR="00882CEA">
        <w:rPr>
          <w:lang w:val="fr-CH"/>
        </w:rPr>
        <w:t>’en l’absence d’une politique pertinent</w:t>
      </w:r>
      <w:r w:rsidR="00824771">
        <w:rPr>
          <w:lang w:val="fr-CH"/>
        </w:rPr>
        <w:t>e</w:t>
      </w:r>
      <w:r w:rsidR="00882CEA">
        <w:rPr>
          <w:lang w:val="fr-CH"/>
        </w:rPr>
        <w:t xml:space="preserve"> sur les réserves,</w:t>
      </w:r>
      <w:r w:rsidR="008F641A">
        <w:rPr>
          <w:lang w:val="fr-CH"/>
        </w:rPr>
        <w:t xml:space="preserve"> </w:t>
      </w:r>
      <w:r w:rsidR="00882CEA">
        <w:rPr>
          <w:lang w:val="fr-CH"/>
        </w:rPr>
        <w:t xml:space="preserve">il serait bon que </w:t>
      </w:r>
      <w:r w:rsidR="008F641A">
        <w:rPr>
          <w:lang w:val="fr-CH"/>
        </w:rPr>
        <w:t xml:space="preserve">ces ressources </w:t>
      </w:r>
      <w:r w:rsidR="00882CEA">
        <w:rPr>
          <w:lang w:val="fr-CH"/>
        </w:rPr>
        <w:t>soient maintenues dans l’excédent pour affectation par le Comité permanent au lieu de créer une nouvelle réserve opérationnelle.</w:t>
      </w:r>
    </w:p>
    <w:p w14:paraId="3F7CD92E" w14:textId="1DC488FE" w:rsidR="00F068B4" w:rsidRPr="002915CC" w:rsidRDefault="00F068B4" w:rsidP="00763865">
      <w:pPr>
        <w:widowControl/>
        <w:rPr>
          <w:lang w:val="fr-CH"/>
        </w:rPr>
      </w:pPr>
    </w:p>
    <w:p w14:paraId="4AF7BA54" w14:textId="529AB8DA" w:rsidR="00AD079A" w:rsidRPr="002915CC" w:rsidRDefault="00345FB9" w:rsidP="00763865">
      <w:pPr>
        <w:widowControl/>
        <w:rPr>
          <w:lang w:val="fr-CH"/>
        </w:rPr>
      </w:pPr>
      <w:r>
        <w:rPr>
          <w:lang w:val="fr-CH"/>
        </w:rPr>
        <w:t xml:space="preserve">Le Sous-groupe recommande que le Comité permanent approuve </w:t>
      </w:r>
      <w:r w:rsidR="00BB3413">
        <w:rPr>
          <w:lang w:val="fr-CH"/>
        </w:rPr>
        <w:t>l’affectation</w:t>
      </w:r>
      <w:r>
        <w:rPr>
          <w:lang w:val="fr-CH"/>
        </w:rPr>
        <w:t xml:space="preserve"> des excédents de 2021, comme résumé dans le tableau </w:t>
      </w:r>
      <w:r w:rsidR="00882CEA">
        <w:rPr>
          <w:lang w:val="fr-CH"/>
        </w:rPr>
        <w:t>2</w:t>
      </w:r>
      <w:r>
        <w:rPr>
          <w:lang w:val="fr-CH"/>
        </w:rPr>
        <w:t xml:space="preserve"> ci</w:t>
      </w:r>
      <w:r>
        <w:rPr>
          <w:lang w:val="fr-CH"/>
        </w:rPr>
        <w:noBreakHyphen/>
        <w:t>dessous</w:t>
      </w:r>
      <w:r w:rsidR="00882CEA">
        <w:rPr>
          <w:lang w:val="fr-CH"/>
        </w:rPr>
        <w:t xml:space="preserve"> et dans l’Annexe 1 du présent rapport</w:t>
      </w:r>
      <w:r>
        <w:rPr>
          <w:lang w:val="fr-CH"/>
        </w:rPr>
        <w:t> :</w:t>
      </w:r>
    </w:p>
    <w:p w14:paraId="750295F0" w14:textId="3AAE4991" w:rsidR="002E00B9" w:rsidRPr="002915CC" w:rsidRDefault="002E00B9" w:rsidP="00763865">
      <w:pPr>
        <w:widowControl/>
        <w:rPr>
          <w:lang w:val="fr-CH"/>
        </w:rPr>
      </w:pPr>
    </w:p>
    <w:p w14:paraId="4B491984" w14:textId="272EC003" w:rsidR="002E00B9" w:rsidRPr="002915CC" w:rsidRDefault="002E00B9" w:rsidP="00763865">
      <w:pPr>
        <w:widowControl/>
        <w:rPr>
          <w:lang w:val="fr-CH"/>
        </w:rPr>
      </w:pPr>
      <w:r w:rsidRPr="002915CC">
        <w:rPr>
          <w:i/>
          <w:lang w:val="fr-CH"/>
        </w:rPr>
        <w:t>Table</w:t>
      </w:r>
      <w:r w:rsidR="00345FB9">
        <w:rPr>
          <w:i/>
          <w:lang w:val="fr-CH"/>
        </w:rPr>
        <w:t>au</w:t>
      </w:r>
      <w:r w:rsidRPr="002915CC">
        <w:rPr>
          <w:i/>
          <w:lang w:val="fr-CH"/>
        </w:rPr>
        <w:t xml:space="preserve"> </w:t>
      </w:r>
      <w:r w:rsidR="00882CEA">
        <w:rPr>
          <w:i/>
          <w:lang w:val="fr-CH"/>
        </w:rPr>
        <w:t>2</w:t>
      </w:r>
      <w:r w:rsidR="00345FB9">
        <w:rPr>
          <w:i/>
          <w:lang w:val="fr-CH"/>
        </w:rPr>
        <w:t> </w:t>
      </w:r>
      <w:r w:rsidRPr="002915CC">
        <w:rPr>
          <w:i/>
          <w:lang w:val="fr-CH"/>
        </w:rPr>
        <w:t xml:space="preserve">: </w:t>
      </w:r>
      <w:r w:rsidR="00951128">
        <w:rPr>
          <w:i/>
          <w:lang w:val="fr-CH"/>
        </w:rPr>
        <w:t>Affectation</w:t>
      </w:r>
      <w:r w:rsidR="00345FB9">
        <w:rPr>
          <w:i/>
          <w:lang w:val="fr-CH"/>
        </w:rPr>
        <w:t xml:space="preserve"> des excédents du budget administratif</w:t>
      </w:r>
      <w:r w:rsidRPr="002915CC">
        <w:rPr>
          <w:i/>
          <w:lang w:val="fr-CH"/>
        </w:rPr>
        <w:t xml:space="preserve"> 2021 </w:t>
      </w:r>
      <w:r w:rsidR="00345FB9">
        <w:rPr>
          <w:i/>
          <w:lang w:val="fr-CH"/>
        </w:rPr>
        <w:t>(en</w:t>
      </w:r>
      <w:r w:rsidR="00A83446">
        <w:rPr>
          <w:i/>
          <w:lang w:val="fr-CH"/>
        </w:rPr>
        <w:t xml:space="preserve"> milliers de</w:t>
      </w:r>
      <w:r w:rsidRPr="002915CC">
        <w:rPr>
          <w:i/>
          <w:lang w:val="fr-CH"/>
        </w:rPr>
        <w:t xml:space="preserve"> CHF)</w:t>
      </w:r>
    </w:p>
    <w:tbl>
      <w:tblPr>
        <w:tblW w:w="8931" w:type="dxa"/>
        <w:tblInd w:w="-5" w:type="dxa"/>
        <w:tblLook w:val="04A0" w:firstRow="1" w:lastRow="0" w:firstColumn="1" w:lastColumn="0" w:noHBand="0" w:noVBand="1"/>
      </w:tblPr>
      <w:tblGrid>
        <w:gridCol w:w="7797"/>
        <w:gridCol w:w="1134"/>
      </w:tblGrid>
      <w:tr w:rsidR="00AD079A" w:rsidRPr="002915CC" w14:paraId="33ADCE0D" w14:textId="77777777" w:rsidTr="00A56F47">
        <w:trPr>
          <w:trHeight w:val="375"/>
        </w:trPr>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4F3BCCF" w14:textId="1494D807" w:rsidR="00AD079A" w:rsidRPr="002915CC" w:rsidRDefault="002E00B9" w:rsidP="00345FB9">
            <w:pPr>
              <w:widowControl/>
              <w:autoSpaceDE/>
              <w:autoSpaceDN/>
              <w:rPr>
                <w:b/>
                <w:bCs/>
                <w:lang w:val="fr-CH" w:eastAsia="en-GB"/>
              </w:rPr>
            </w:pPr>
            <w:r w:rsidRPr="002915CC" w:rsidDel="002E00B9">
              <w:rPr>
                <w:lang w:val="fr-CH"/>
              </w:rPr>
              <w:t xml:space="preserve"> </w:t>
            </w:r>
            <w:r w:rsidR="00AD079A" w:rsidRPr="002915CC">
              <w:rPr>
                <w:b/>
                <w:bCs/>
                <w:lang w:val="fr-CH" w:eastAsia="en-GB"/>
              </w:rPr>
              <w:t xml:space="preserve">(I) SC59/2022 </w:t>
            </w:r>
            <w:r w:rsidR="00BB3413">
              <w:rPr>
                <w:b/>
                <w:bCs/>
                <w:lang w:val="fr-CH" w:eastAsia="en-GB"/>
              </w:rPr>
              <w:t>Affectation</w:t>
            </w:r>
            <w:r w:rsidR="00345FB9">
              <w:rPr>
                <w:b/>
                <w:bCs/>
                <w:lang w:val="fr-CH" w:eastAsia="en-GB"/>
              </w:rPr>
              <w:t xml:space="preserve"> des excédents du budget administratif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359F19CE" w14:textId="0D6A27C1" w:rsidR="00AD079A" w:rsidRPr="002915CC" w:rsidRDefault="00AD079A" w:rsidP="00345FB9">
            <w:pPr>
              <w:widowControl/>
              <w:autoSpaceDE/>
              <w:autoSpaceDN/>
              <w:jc w:val="right"/>
              <w:rPr>
                <w:b/>
                <w:bCs/>
                <w:color w:val="000000"/>
                <w:lang w:val="fr-CH" w:eastAsia="en-GB"/>
              </w:rPr>
            </w:pPr>
            <w:r w:rsidRPr="002915CC">
              <w:rPr>
                <w:b/>
                <w:bCs/>
                <w:color w:val="000000"/>
                <w:lang w:val="fr-CH" w:eastAsia="en-GB"/>
              </w:rPr>
              <w:t>1</w:t>
            </w:r>
            <w:r w:rsidR="00345FB9">
              <w:rPr>
                <w:b/>
                <w:bCs/>
                <w:color w:val="000000"/>
                <w:lang w:val="fr-CH" w:eastAsia="en-GB"/>
              </w:rPr>
              <w:t xml:space="preserve"> </w:t>
            </w:r>
            <w:r w:rsidRPr="002915CC">
              <w:rPr>
                <w:b/>
                <w:bCs/>
                <w:color w:val="000000"/>
                <w:lang w:val="fr-CH" w:eastAsia="en-GB"/>
              </w:rPr>
              <w:t xml:space="preserve">924 </w:t>
            </w:r>
          </w:p>
        </w:tc>
      </w:tr>
      <w:tr w:rsidR="00AD079A" w:rsidRPr="002915CC" w14:paraId="0D316EEA" w14:textId="77777777" w:rsidTr="007D2773">
        <w:trPr>
          <w:trHeight w:val="57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243E08C8" w14:textId="0E50E784" w:rsidR="00AD079A" w:rsidRPr="002915CC" w:rsidRDefault="00345FB9" w:rsidP="00345FB9">
            <w:pPr>
              <w:widowControl/>
              <w:autoSpaceDE/>
              <w:autoSpaceDN/>
              <w:rPr>
                <w:color w:val="000000"/>
                <w:lang w:val="fr-CH" w:eastAsia="en-GB"/>
              </w:rPr>
            </w:pPr>
            <w:r w:rsidRPr="00D41A11">
              <w:rPr>
                <w:color w:val="FF0000"/>
                <w:lang w:val="fr-CH" w:eastAsia="en-GB"/>
              </w:rPr>
              <w:t>Examen des résolutions</w:t>
            </w:r>
            <w:r w:rsidR="00AD079A" w:rsidRPr="00D41A11">
              <w:rPr>
                <w:color w:val="FF0000"/>
                <w:lang w:val="fr-CH"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7AE3B8B2" w14:textId="2E80A6F4" w:rsidR="00AD079A" w:rsidRPr="002915CC" w:rsidRDefault="00AD079A" w:rsidP="002E00B9">
            <w:pPr>
              <w:widowControl/>
              <w:autoSpaceDE/>
              <w:autoSpaceDN/>
              <w:jc w:val="right"/>
              <w:rPr>
                <w:color w:val="000000"/>
                <w:lang w:val="fr-CH" w:eastAsia="en-GB"/>
              </w:rPr>
            </w:pPr>
            <w:r w:rsidRPr="00D41A11">
              <w:rPr>
                <w:color w:val="FF0000"/>
                <w:lang w:val="fr-CH" w:eastAsia="en-GB"/>
              </w:rPr>
              <w:t>10</w:t>
            </w:r>
            <w:r w:rsidR="00D41A11" w:rsidRPr="00D41A11">
              <w:rPr>
                <w:color w:val="FF0000"/>
                <w:lang w:val="fr-CH" w:eastAsia="en-GB"/>
              </w:rPr>
              <w:t>*</w:t>
            </w:r>
            <w:r w:rsidRPr="002915CC">
              <w:rPr>
                <w:color w:val="000000"/>
                <w:lang w:val="fr-CH" w:eastAsia="en-GB"/>
              </w:rPr>
              <w:t xml:space="preserve"> </w:t>
            </w:r>
          </w:p>
        </w:tc>
      </w:tr>
      <w:tr w:rsidR="00AD079A" w:rsidRPr="002915CC" w14:paraId="567272C7" w14:textId="77777777" w:rsidTr="007D2773">
        <w:trPr>
          <w:trHeight w:val="51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D793B3C" w14:textId="159E0577" w:rsidR="00AD079A" w:rsidRPr="00D41A11" w:rsidRDefault="00D41A11" w:rsidP="00345FB9">
            <w:pPr>
              <w:widowControl/>
              <w:autoSpaceDE/>
              <w:autoSpaceDN/>
              <w:rPr>
                <w:lang w:val="fr-CH" w:eastAsia="en-GB"/>
              </w:rPr>
            </w:pPr>
            <w:r w:rsidRPr="00D41A11">
              <w:rPr>
                <w:lang w:val="fr-CH" w:eastAsia="en-GB"/>
              </w:rPr>
              <w:t>Utilisation autorisée de l’excédent</w:t>
            </w:r>
            <w:r>
              <w:rPr>
                <w:color w:val="000000"/>
                <w:lang w:val="fr-CH" w:eastAsia="en-GB"/>
              </w:rPr>
              <w:t xml:space="preserve"> pour couvrir le déficit du budget administratif dans la période triennale </w:t>
            </w:r>
            <w:r w:rsidRPr="002915CC">
              <w:rPr>
                <w:color w:val="000000"/>
                <w:lang w:val="fr-CH" w:eastAsia="en-GB"/>
              </w:rPr>
              <w:t xml:space="preserve">2023-2025, </w:t>
            </w:r>
            <w:r>
              <w:rPr>
                <w:color w:val="000000"/>
                <w:lang w:val="fr-CH" w:eastAsia="en-GB"/>
              </w:rPr>
              <w:t>comme dans la Résolution</w:t>
            </w:r>
            <w:r w:rsidRPr="002915CC">
              <w:rPr>
                <w:color w:val="000000"/>
                <w:lang w:val="fr-CH" w:eastAsia="en-GB"/>
              </w:rPr>
              <w:t xml:space="preserve"> XIII.2, paragraph</w:t>
            </w:r>
            <w:r>
              <w:rPr>
                <w:color w:val="000000"/>
                <w:lang w:val="fr-CH" w:eastAsia="en-GB"/>
              </w:rPr>
              <w:t>e </w:t>
            </w:r>
            <w:r w:rsidRPr="002915CC">
              <w:rPr>
                <w:color w:val="000000"/>
                <w:lang w:val="fr-CH" w:eastAsia="en-GB"/>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EE230AE" w14:textId="5C0B9281" w:rsidR="00AD079A" w:rsidRPr="002915CC" w:rsidRDefault="00D41A11" w:rsidP="002E00B9">
            <w:pPr>
              <w:widowControl/>
              <w:autoSpaceDE/>
              <w:autoSpaceDN/>
              <w:jc w:val="right"/>
              <w:rPr>
                <w:color w:val="000000"/>
                <w:lang w:val="fr-CH" w:eastAsia="en-GB"/>
              </w:rPr>
            </w:pPr>
            <w:r>
              <w:rPr>
                <w:color w:val="000000"/>
                <w:lang w:val="fr-CH" w:eastAsia="en-GB"/>
              </w:rPr>
              <w:t>228</w:t>
            </w:r>
            <w:r w:rsidR="00AD079A" w:rsidRPr="002915CC">
              <w:rPr>
                <w:color w:val="000000"/>
                <w:lang w:val="fr-CH" w:eastAsia="en-GB"/>
              </w:rPr>
              <w:t> </w:t>
            </w:r>
          </w:p>
        </w:tc>
      </w:tr>
      <w:tr w:rsidR="00AD079A" w:rsidRPr="002915CC" w14:paraId="2D27AB83" w14:textId="77777777" w:rsidTr="007D2773">
        <w:trPr>
          <w:trHeight w:val="60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9795A31" w14:textId="4CC14D0A" w:rsidR="00AD079A" w:rsidRPr="002915CC" w:rsidRDefault="00D41A11" w:rsidP="0000654B">
            <w:pPr>
              <w:widowControl/>
              <w:autoSpaceDE/>
              <w:autoSpaceDN/>
              <w:rPr>
                <w:color w:val="000000"/>
                <w:lang w:val="fr-CH" w:eastAsia="en-GB"/>
              </w:rPr>
            </w:pPr>
            <w:r w:rsidRPr="00D41A11">
              <w:rPr>
                <w:lang w:val="fr-CH" w:eastAsia="en-GB"/>
              </w:rPr>
              <w:t>Utilisation autorisée de l’excédent</w:t>
            </w:r>
            <w:r>
              <w:rPr>
                <w:color w:val="000000"/>
                <w:lang w:val="fr-CH" w:eastAsia="en-GB"/>
              </w:rPr>
              <w:t xml:space="preserve"> </w:t>
            </w:r>
            <w:r w:rsidR="0000654B">
              <w:rPr>
                <w:color w:val="000000"/>
                <w:lang w:val="fr-CH" w:eastAsia="en-GB"/>
              </w:rPr>
              <w:t xml:space="preserve">pour couvrir l’augmentation </w:t>
            </w:r>
            <w:r w:rsidR="004C65D6">
              <w:rPr>
                <w:color w:val="000000"/>
                <w:lang w:val="fr-CH" w:eastAsia="en-GB"/>
              </w:rPr>
              <w:t>de la provision pour contributions</w:t>
            </w:r>
            <w:r>
              <w:rPr>
                <w:color w:val="000000"/>
                <w:lang w:val="fr-CH" w:eastAsia="en-GB"/>
              </w:rPr>
              <w:t xml:space="preserve"> impayé</w:t>
            </w:r>
            <w:r w:rsidR="004C65D6">
              <w:rPr>
                <w:color w:val="000000"/>
                <w:lang w:val="fr-CH" w:eastAsia="en-GB"/>
              </w:rPr>
              <w:t>e</w:t>
            </w:r>
            <w:r>
              <w:rPr>
                <w:color w:val="000000"/>
                <w:lang w:val="fr-CH" w:eastAsia="en-GB"/>
              </w:rPr>
              <w:t>s</w:t>
            </w:r>
            <w:r w:rsidR="0000654B">
              <w:rPr>
                <w:color w:val="000000"/>
                <w:lang w:val="fr-CH" w:eastAsia="en-GB"/>
              </w:rPr>
              <w:t xml:space="preserve"> </w:t>
            </w:r>
            <w:r w:rsidR="004C65D6">
              <w:rPr>
                <w:color w:val="000000"/>
                <w:lang w:val="fr-CH" w:eastAsia="en-GB"/>
              </w:rPr>
              <w:t xml:space="preserve">dans la période triennale </w:t>
            </w:r>
            <w:r w:rsidR="00AD079A" w:rsidRPr="002915CC">
              <w:rPr>
                <w:color w:val="000000"/>
                <w:lang w:val="fr-CH" w:eastAsia="en-GB"/>
              </w:rPr>
              <w:t>2023-2025</w:t>
            </w:r>
            <w:r w:rsidR="0000654B">
              <w:rPr>
                <w:color w:val="000000"/>
                <w:lang w:val="fr-CH" w:eastAsia="en-GB"/>
              </w:rPr>
              <w:t xml:space="preserve">, comme dans la Résolution </w:t>
            </w:r>
            <w:r w:rsidR="00AD079A" w:rsidRPr="002915CC">
              <w:rPr>
                <w:color w:val="000000"/>
                <w:lang w:val="fr-CH" w:eastAsia="en-GB"/>
              </w:rPr>
              <w:t>ExCOP3.2**</w:t>
            </w:r>
          </w:p>
        </w:tc>
        <w:tc>
          <w:tcPr>
            <w:tcW w:w="1134" w:type="dxa"/>
            <w:tcBorders>
              <w:top w:val="nil"/>
              <w:left w:val="nil"/>
              <w:bottom w:val="single" w:sz="4" w:space="0" w:color="auto"/>
              <w:right w:val="single" w:sz="4" w:space="0" w:color="auto"/>
            </w:tcBorders>
            <w:shd w:val="clear" w:color="auto" w:fill="auto"/>
            <w:noWrap/>
            <w:vAlign w:val="center"/>
            <w:hideMark/>
          </w:tcPr>
          <w:p w14:paraId="5F85DACC" w14:textId="6D4B9698" w:rsidR="00AD079A" w:rsidRPr="002915CC" w:rsidRDefault="00AD079A" w:rsidP="002E00B9">
            <w:pPr>
              <w:widowControl/>
              <w:autoSpaceDE/>
              <w:autoSpaceDN/>
              <w:jc w:val="right"/>
              <w:rPr>
                <w:color w:val="000000"/>
                <w:lang w:val="fr-CH" w:eastAsia="en-GB"/>
              </w:rPr>
            </w:pPr>
            <w:r w:rsidRPr="002915CC">
              <w:rPr>
                <w:color w:val="000000"/>
                <w:lang w:val="fr-CH" w:eastAsia="en-GB"/>
              </w:rPr>
              <w:t xml:space="preserve">360 </w:t>
            </w:r>
          </w:p>
        </w:tc>
      </w:tr>
      <w:tr w:rsidR="00AD079A" w:rsidRPr="002915CC" w14:paraId="1396DE0D" w14:textId="77777777" w:rsidTr="007D2773">
        <w:trPr>
          <w:trHeight w:val="360"/>
        </w:trPr>
        <w:tc>
          <w:tcPr>
            <w:tcW w:w="7797" w:type="dxa"/>
            <w:tcBorders>
              <w:top w:val="nil"/>
              <w:left w:val="single" w:sz="4" w:space="0" w:color="auto"/>
              <w:bottom w:val="single" w:sz="4" w:space="0" w:color="auto"/>
              <w:right w:val="single" w:sz="4" w:space="0" w:color="auto"/>
            </w:tcBorders>
            <w:shd w:val="clear" w:color="000000" w:fill="D9E1F2"/>
            <w:vAlign w:val="center"/>
            <w:hideMark/>
          </w:tcPr>
          <w:p w14:paraId="65EB8D8A" w14:textId="2617BE1F" w:rsidR="00AD079A" w:rsidRPr="002915CC" w:rsidRDefault="00AD079A" w:rsidP="00144D3A">
            <w:pPr>
              <w:widowControl/>
              <w:autoSpaceDE/>
              <w:autoSpaceDN/>
              <w:rPr>
                <w:b/>
                <w:bCs/>
                <w:color w:val="000000"/>
                <w:lang w:val="fr-CH" w:eastAsia="en-GB"/>
              </w:rPr>
            </w:pPr>
            <w:r w:rsidRPr="002915CC">
              <w:rPr>
                <w:b/>
                <w:bCs/>
                <w:color w:val="000000"/>
                <w:lang w:val="fr-CH" w:eastAsia="en-GB"/>
              </w:rPr>
              <w:t>(II) S</w:t>
            </w:r>
            <w:r w:rsidR="00144D3A">
              <w:rPr>
                <w:b/>
                <w:bCs/>
                <w:color w:val="000000"/>
                <w:lang w:val="fr-CH" w:eastAsia="en-GB"/>
              </w:rPr>
              <w:t>ous-total</w:t>
            </w:r>
            <w:r w:rsidRPr="002915CC">
              <w:rPr>
                <w:b/>
                <w:bCs/>
                <w:color w:val="000000"/>
                <w:lang w:val="fr-CH" w:eastAsia="en-GB"/>
              </w:rPr>
              <w:t xml:space="preserve"> 2021 </w:t>
            </w:r>
            <w:r w:rsidR="00144D3A">
              <w:rPr>
                <w:b/>
                <w:bCs/>
                <w:color w:val="000000"/>
                <w:lang w:val="fr-CH" w:eastAsia="en-GB"/>
              </w:rPr>
              <w:t xml:space="preserve">de l’excédent </w:t>
            </w:r>
            <w:r w:rsidR="00BB3413">
              <w:rPr>
                <w:b/>
                <w:bCs/>
                <w:color w:val="000000"/>
                <w:lang w:val="fr-CH" w:eastAsia="en-GB"/>
              </w:rPr>
              <w:t>affecté</w:t>
            </w:r>
            <w:r w:rsidR="00144D3A">
              <w:rPr>
                <w:b/>
                <w:bCs/>
                <w:color w:val="000000"/>
                <w:lang w:val="fr-CH" w:eastAsia="en-GB"/>
              </w:rPr>
              <w:t xml:space="preserve"> </w:t>
            </w:r>
          </w:p>
        </w:tc>
        <w:tc>
          <w:tcPr>
            <w:tcW w:w="1134" w:type="dxa"/>
            <w:tcBorders>
              <w:top w:val="nil"/>
              <w:left w:val="nil"/>
              <w:bottom w:val="single" w:sz="4" w:space="0" w:color="auto"/>
              <w:right w:val="single" w:sz="4" w:space="0" w:color="auto"/>
            </w:tcBorders>
            <w:shd w:val="clear" w:color="000000" w:fill="D9E1F2"/>
            <w:noWrap/>
            <w:vAlign w:val="center"/>
            <w:hideMark/>
          </w:tcPr>
          <w:p w14:paraId="18A1D5E1" w14:textId="7928844C" w:rsidR="00AD079A" w:rsidRPr="002915CC" w:rsidRDefault="00AD079A" w:rsidP="002E00B9">
            <w:pPr>
              <w:widowControl/>
              <w:autoSpaceDE/>
              <w:autoSpaceDN/>
              <w:jc w:val="right"/>
              <w:rPr>
                <w:lang w:val="fr-CH" w:eastAsia="en-GB"/>
              </w:rPr>
            </w:pPr>
            <w:r w:rsidRPr="002915CC">
              <w:rPr>
                <w:lang w:val="fr-CH" w:eastAsia="en-GB"/>
              </w:rPr>
              <w:t xml:space="preserve">588 </w:t>
            </w:r>
          </w:p>
        </w:tc>
      </w:tr>
      <w:tr w:rsidR="00AD079A" w:rsidRPr="002915CC" w14:paraId="7DF1C0EE" w14:textId="77777777" w:rsidTr="007D2773">
        <w:trPr>
          <w:trHeight w:val="300"/>
        </w:trPr>
        <w:tc>
          <w:tcPr>
            <w:tcW w:w="7797" w:type="dxa"/>
            <w:tcBorders>
              <w:top w:val="nil"/>
              <w:left w:val="single" w:sz="4" w:space="0" w:color="auto"/>
              <w:bottom w:val="single" w:sz="4" w:space="0" w:color="auto"/>
              <w:right w:val="single" w:sz="4" w:space="0" w:color="auto"/>
            </w:tcBorders>
            <w:shd w:val="clear" w:color="000000" w:fill="8EA9DB"/>
            <w:noWrap/>
            <w:vAlign w:val="center"/>
            <w:hideMark/>
          </w:tcPr>
          <w:p w14:paraId="1DD14CE0" w14:textId="1418EBAB" w:rsidR="00AD079A" w:rsidRPr="002915CC" w:rsidRDefault="00AD079A" w:rsidP="00144D3A">
            <w:pPr>
              <w:widowControl/>
              <w:autoSpaceDE/>
              <w:autoSpaceDN/>
              <w:rPr>
                <w:b/>
                <w:bCs/>
                <w:color w:val="000000"/>
                <w:lang w:val="fr-CH" w:eastAsia="en-GB"/>
              </w:rPr>
            </w:pPr>
            <w:r w:rsidRPr="002915CC">
              <w:rPr>
                <w:b/>
                <w:bCs/>
                <w:color w:val="000000"/>
                <w:lang w:val="fr-CH" w:eastAsia="en-GB"/>
              </w:rPr>
              <w:t>(I</w:t>
            </w:r>
            <w:r w:rsidR="004C65D6">
              <w:rPr>
                <w:b/>
                <w:bCs/>
                <w:color w:val="000000"/>
                <w:lang w:val="fr-CH" w:eastAsia="en-GB"/>
              </w:rPr>
              <w:t>II</w:t>
            </w:r>
            <w:r w:rsidRPr="002915CC">
              <w:rPr>
                <w:b/>
                <w:bCs/>
                <w:color w:val="000000"/>
                <w:lang w:val="fr-CH" w:eastAsia="en-GB"/>
              </w:rPr>
              <w:t xml:space="preserve">=I-II) </w:t>
            </w:r>
            <w:r w:rsidR="00144D3A">
              <w:rPr>
                <w:b/>
                <w:bCs/>
                <w:color w:val="000000"/>
                <w:lang w:val="fr-CH" w:eastAsia="en-GB"/>
              </w:rPr>
              <w:t xml:space="preserve">Solde de l’excédent administratif restant pour des </w:t>
            </w:r>
            <w:r w:rsidR="00BB3413">
              <w:rPr>
                <w:b/>
                <w:bCs/>
                <w:color w:val="000000"/>
                <w:lang w:val="fr-CH" w:eastAsia="en-GB"/>
              </w:rPr>
              <w:t>affectations</w:t>
            </w:r>
            <w:r w:rsidR="00144D3A">
              <w:rPr>
                <w:b/>
                <w:bCs/>
                <w:color w:val="000000"/>
                <w:lang w:val="fr-CH" w:eastAsia="en-GB"/>
              </w:rPr>
              <w:t xml:space="preserve"> futures </w:t>
            </w:r>
          </w:p>
        </w:tc>
        <w:tc>
          <w:tcPr>
            <w:tcW w:w="1134" w:type="dxa"/>
            <w:tcBorders>
              <w:top w:val="nil"/>
              <w:left w:val="nil"/>
              <w:bottom w:val="single" w:sz="4" w:space="0" w:color="auto"/>
              <w:right w:val="single" w:sz="4" w:space="0" w:color="auto"/>
            </w:tcBorders>
            <w:shd w:val="clear" w:color="000000" w:fill="8EA9DB"/>
            <w:noWrap/>
            <w:vAlign w:val="center"/>
            <w:hideMark/>
          </w:tcPr>
          <w:p w14:paraId="017EF10A" w14:textId="279DED6B" w:rsidR="00AD079A" w:rsidRPr="002915CC" w:rsidRDefault="00AD079A" w:rsidP="00345FB9">
            <w:pPr>
              <w:widowControl/>
              <w:autoSpaceDE/>
              <w:autoSpaceDN/>
              <w:jc w:val="right"/>
              <w:rPr>
                <w:b/>
                <w:bCs/>
                <w:color w:val="000000"/>
                <w:lang w:val="fr-CH" w:eastAsia="en-GB"/>
              </w:rPr>
            </w:pPr>
            <w:r w:rsidRPr="002915CC">
              <w:rPr>
                <w:b/>
                <w:bCs/>
                <w:color w:val="000000"/>
                <w:lang w:val="fr-CH" w:eastAsia="en-GB"/>
              </w:rPr>
              <w:t>1</w:t>
            </w:r>
            <w:r w:rsidR="00345FB9">
              <w:rPr>
                <w:b/>
                <w:bCs/>
                <w:color w:val="000000"/>
                <w:lang w:val="fr-CH" w:eastAsia="en-GB"/>
              </w:rPr>
              <w:t xml:space="preserve"> </w:t>
            </w:r>
            <w:r w:rsidRPr="002915CC">
              <w:rPr>
                <w:b/>
                <w:bCs/>
                <w:color w:val="000000"/>
                <w:lang w:val="fr-CH" w:eastAsia="en-GB"/>
              </w:rPr>
              <w:t xml:space="preserve">326 </w:t>
            </w:r>
          </w:p>
        </w:tc>
      </w:tr>
    </w:tbl>
    <w:p w14:paraId="68DBD267" w14:textId="299F92B2" w:rsidR="00AD079A" w:rsidRPr="004C65D6" w:rsidRDefault="00AD079A" w:rsidP="00763865">
      <w:pPr>
        <w:widowControl/>
        <w:rPr>
          <w:color w:val="FF0000"/>
          <w:lang w:val="fr-CH"/>
        </w:rPr>
      </w:pPr>
      <w:r w:rsidRPr="004C65D6">
        <w:rPr>
          <w:color w:val="FF0000"/>
          <w:lang w:val="fr-CH"/>
        </w:rPr>
        <w:t>*S</w:t>
      </w:r>
      <w:r w:rsidR="00345FB9" w:rsidRPr="004C65D6">
        <w:rPr>
          <w:color w:val="FF0000"/>
          <w:lang w:val="fr-CH"/>
        </w:rPr>
        <w:t xml:space="preserve">ous réserve des résultats des discussions de </w:t>
      </w:r>
      <w:r w:rsidRPr="004C65D6">
        <w:rPr>
          <w:color w:val="FF0000"/>
          <w:lang w:val="fr-CH"/>
        </w:rPr>
        <w:t>SC</w:t>
      </w:r>
      <w:r w:rsidR="004C65D6" w:rsidRPr="004C65D6">
        <w:rPr>
          <w:color w:val="FF0000"/>
          <w:lang w:val="fr-CH"/>
        </w:rPr>
        <w:t>59</w:t>
      </w:r>
      <w:r w:rsidR="00345FB9" w:rsidRPr="004C65D6">
        <w:rPr>
          <w:color w:val="FF0000"/>
          <w:lang w:val="fr-CH"/>
        </w:rPr>
        <w:t>/</w:t>
      </w:r>
      <w:r w:rsidRPr="004C65D6">
        <w:rPr>
          <w:color w:val="FF0000"/>
          <w:lang w:val="fr-CH"/>
        </w:rPr>
        <w:t>2022</w:t>
      </w:r>
    </w:p>
    <w:p w14:paraId="7608C7AA" w14:textId="4D446537" w:rsidR="00AD079A" w:rsidRPr="002915CC" w:rsidRDefault="0000654B" w:rsidP="00763865">
      <w:pPr>
        <w:widowControl/>
        <w:rPr>
          <w:lang w:val="fr-CH"/>
        </w:rPr>
      </w:pPr>
      <w:r>
        <w:rPr>
          <w:lang w:val="fr-CH"/>
        </w:rPr>
        <w:t xml:space="preserve">** Toute portion inutilisée sera </w:t>
      </w:r>
      <w:r w:rsidR="004C65D6">
        <w:rPr>
          <w:lang w:val="fr-CH"/>
        </w:rPr>
        <w:t>reversée</w:t>
      </w:r>
      <w:r>
        <w:rPr>
          <w:lang w:val="fr-CH"/>
        </w:rPr>
        <w:t xml:space="preserve"> à l’excédent pour </w:t>
      </w:r>
      <w:r w:rsidR="00BB3413">
        <w:rPr>
          <w:lang w:val="fr-CH"/>
        </w:rPr>
        <w:t>affectation</w:t>
      </w:r>
      <w:r>
        <w:rPr>
          <w:lang w:val="fr-CH"/>
        </w:rPr>
        <w:t xml:space="preserve"> à la fin de chaque année </w:t>
      </w:r>
      <w:r w:rsidR="00BB3413">
        <w:rPr>
          <w:lang w:val="fr-CH"/>
        </w:rPr>
        <w:t>de</w:t>
      </w:r>
      <w:r>
        <w:rPr>
          <w:lang w:val="fr-CH"/>
        </w:rPr>
        <w:t xml:space="preserve"> la période triennale </w:t>
      </w:r>
      <w:r w:rsidR="00AD079A" w:rsidRPr="002915CC">
        <w:rPr>
          <w:lang w:val="fr-CH"/>
        </w:rPr>
        <w:t xml:space="preserve">2023-2025 </w:t>
      </w:r>
    </w:p>
    <w:p w14:paraId="6B8A46E5" w14:textId="77777777" w:rsidR="00763865" w:rsidRPr="002915CC" w:rsidRDefault="00763865" w:rsidP="0052223D">
      <w:pPr>
        <w:widowControl/>
        <w:rPr>
          <w:rFonts w:asciiTheme="minorHAnsi" w:hAnsiTheme="minorHAnsi" w:cstheme="minorHAnsi"/>
          <w:lang w:val="fr-CH"/>
        </w:rPr>
      </w:pPr>
    </w:p>
    <w:p w14:paraId="63A53AED" w14:textId="77777777" w:rsidR="00356EEC" w:rsidRPr="002915CC" w:rsidRDefault="00356EEC" w:rsidP="00711D36">
      <w:pPr>
        <w:widowControl/>
        <w:rPr>
          <w:rFonts w:asciiTheme="minorHAnsi" w:hAnsiTheme="minorHAnsi" w:cstheme="minorHAnsi"/>
          <w:b/>
          <w:i/>
          <w:lang w:val="fr-CH"/>
        </w:rPr>
      </w:pPr>
    </w:p>
    <w:p w14:paraId="54D28AFC" w14:textId="1825263F" w:rsidR="00356EEC" w:rsidRPr="002915CC" w:rsidRDefault="00144D3A" w:rsidP="00711D36">
      <w:pPr>
        <w:widowControl/>
        <w:rPr>
          <w:rFonts w:asciiTheme="minorHAnsi" w:hAnsiTheme="minorHAnsi" w:cstheme="minorHAnsi"/>
          <w:i/>
          <w:iCs/>
          <w:color w:val="0000FF"/>
          <w:lang w:val="fr-CH" w:eastAsia="ja-JP"/>
        </w:rPr>
      </w:pPr>
      <w:r w:rsidRPr="002915CC">
        <w:rPr>
          <w:rFonts w:asciiTheme="minorHAnsi" w:hAnsiTheme="minorHAnsi" w:cstheme="minorHAnsi"/>
          <w:i/>
          <w:color w:val="0000FF"/>
          <w:lang w:val="fr-CH"/>
        </w:rPr>
        <w:t>Recommandation</w:t>
      </w:r>
      <w:r w:rsidR="00356EEC" w:rsidRPr="002915CC">
        <w:rPr>
          <w:rFonts w:asciiTheme="minorHAnsi" w:hAnsiTheme="minorHAnsi" w:cstheme="minorHAnsi"/>
          <w:i/>
          <w:iCs/>
          <w:color w:val="0000FF"/>
          <w:lang w:val="fr-CH" w:eastAsia="ja-JP"/>
        </w:rPr>
        <w:t xml:space="preserve"> </w:t>
      </w:r>
      <w:r>
        <w:rPr>
          <w:rFonts w:asciiTheme="minorHAnsi" w:hAnsiTheme="minorHAnsi" w:cstheme="minorHAnsi"/>
          <w:i/>
          <w:iCs/>
          <w:color w:val="0000FF"/>
          <w:lang w:val="fr-CH" w:eastAsia="ja-JP"/>
        </w:rPr>
        <w:t>pour décision par le Comité permanent :</w:t>
      </w:r>
    </w:p>
    <w:p w14:paraId="2C2ACD2D" w14:textId="77777777" w:rsidR="00356EEC" w:rsidRPr="002915CC" w:rsidRDefault="00356EEC" w:rsidP="00711D36">
      <w:pPr>
        <w:widowControl/>
        <w:rPr>
          <w:rFonts w:asciiTheme="minorHAnsi" w:hAnsiTheme="minorHAnsi" w:cstheme="minorHAnsi"/>
          <w:b/>
          <w:i/>
          <w:lang w:val="fr-CH"/>
        </w:rPr>
      </w:pPr>
    </w:p>
    <w:p w14:paraId="010DF2D8" w14:textId="7112F16D" w:rsidR="00356EEC" w:rsidRPr="002915CC" w:rsidRDefault="00144D3A" w:rsidP="00711D36">
      <w:pPr>
        <w:widowControl/>
        <w:rPr>
          <w:rFonts w:asciiTheme="minorHAnsi" w:hAnsiTheme="minorHAnsi" w:cstheme="minorHAnsi"/>
          <w:b/>
          <w:i/>
          <w:lang w:val="fr-CH"/>
        </w:rPr>
      </w:pPr>
      <w:r>
        <w:rPr>
          <w:rFonts w:asciiTheme="minorHAnsi" w:hAnsiTheme="minorHAnsi" w:cstheme="minorHAnsi"/>
          <w:b/>
          <w:i/>
          <w:lang w:val="fr-CH"/>
        </w:rPr>
        <w:t xml:space="preserve">Le Sous-groupe sur les finances recommande </w:t>
      </w:r>
      <w:r w:rsidR="00017F10">
        <w:rPr>
          <w:rFonts w:asciiTheme="minorHAnsi" w:hAnsiTheme="minorHAnsi" w:cstheme="minorHAnsi"/>
          <w:b/>
          <w:i/>
          <w:lang w:val="fr-CH"/>
        </w:rPr>
        <w:t>que le</w:t>
      </w:r>
      <w:r>
        <w:rPr>
          <w:rFonts w:asciiTheme="minorHAnsi" w:hAnsiTheme="minorHAnsi" w:cstheme="minorHAnsi"/>
          <w:b/>
          <w:i/>
          <w:lang w:val="fr-CH"/>
        </w:rPr>
        <w:t xml:space="preserve"> Comité permanent : </w:t>
      </w:r>
    </w:p>
    <w:p w14:paraId="20D9E013" w14:textId="4B1F3A8A" w:rsidR="007712EC" w:rsidRDefault="00F068B4" w:rsidP="00974A00">
      <w:pPr>
        <w:widowControl/>
        <w:ind w:left="426" w:hanging="426"/>
        <w:rPr>
          <w:rFonts w:asciiTheme="minorHAnsi" w:hAnsiTheme="minorHAnsi" w:cstheme="minorHAnsi"/>
          <w:b/>
          <w:i/>
          <w:lang w:val="fr-FR"/>
        </w:rPr>
      </w:pPr>
      <w:r w:rsidRPr="002915CC">
        <w:rPr>
          <w:rFonts w:asciiTheme="minorHAnsi" w:hAnsiTheme="minorHAnsi" w:cstheme="minorHAnsi"/>
          <w:b/>
          <w:i/>
          <w:lang w:val="fr-CH"/>
        </w:rPr>
        <w:lastRenderedPageBreak/>
        <w:t>i</w:t>
      </w:r>
      <w:r w:rsidR="00144D3A">
        <w:rPr>
          <w:rFonts w:asciiTheme="minorHAnsi" w:hAnsiTheme="minorHAnsi" w:cstheme="minorHAnsi"/>
          <w:b/>
          <w:i/>
          <w:lang w:val="fr-CH"/>
        </w:rPr>
        <w:t>)</w:t>
      </w:r>
      <w:r w:rsidRPr="002915CC">
        <w:rPr>
          <w:rFonts w:asciiTheme="minorHAnsi" w:hAnsiTheme="minorHAnsi" w:cstheme="minorHAnsi"/>
          <w:b/>
          <w:i/>
          <w:lang w:val="fr-CH"/>
        </w:rPr>
        <w:tab/>
      </w:r>
      <w:r w:rsidR="004C65D6">
        <w:rPr>
          <w:rFonts w:asciiTheme="minorHAnsi" w:hAnsiTheme="minorHAnsi" w:cstheme="minorHAnsi"/>
          <w:b/>
          <w:i/>
          <w:lang w:val="fr-FR"/>
        </w:rPr>
        <w:t>approuve l’affectation de</w:t>
      </w:r>
      <w:r w:rsidR="00BB3413" w:rsidRPr="00D26B9A">
        <w:rPr>
          <w:b/>
          <w:bCs/>
          <w:i/>
          <w:iCs/>
          <w:lang w:val="fr-FR"/>
        </w:rPr>
        <w:t xml:space="preserve"> l’excédent </w:t>
      </w:r>
      <w:r w:rsidR="004C65D6">
        <w:rPr>
          <w:b/>
          <w:bCs/>
          <w:i/>
          <w:iCs/>
          <w:lang w:val="fr-FR"/>
        </w:rPr>
        <w:t>de</w:t>
      </w:r>
      <w:r w:rsidR="00BB3413" w:rsidRPr="00D26B9A">
        <w:rPr>
          <w:b/>
          <w:bCs/>
          <w:i/>
          <w:iCs/>
          <w:lang w:val="fr-FR"/>
        </w:rPr>
        <w:t xml:space="preserve"> 2021 et </w:t>
      </w:r>
      <w:r w:rsidR="004C65D6">
        <w:rPr>
          <w:b/>
          <w:bCs/>
          <w:i/>
          <w:iCs/>
          <w:lang w:val="fr-FR"/>
        </w:rPr>
        <w:t xml:space="preserve">approuve </w:t>
      </w:r>
      <w:r w:rsidR="004C65D6" w:rsidRPr="00D26B9A">
        <w:rPr>
          <w:rFonts w:asciiTheme="minorHAnsi" w:hAnsiTheme="minorHAnsi" w:cstheme="minorHAnsi"/>
          <w:b/>
          <w:i/>
          <w:lang w:val="fr-FR"/>
        </w:rPr>
        <w:t xml:space="preserve">l’option a) </w:t>
      </w:r>
      <w:r w:rsidR="004C65D6">
        <w:rPr>
          <w:rFonts w:asciiTheme="minorHAnsi" w:hAnsiTheme="minorHAnsi" w:cstheme="minorHAnsi"/>
          <w:b/>
          <w:i/>
          <w:lang w:val="fr-FR"/>
        </w:rPr>
        <w:t xml:space="preserve">consistant à affecter </w:t>
      </w:r>
      <w:r w:rsidR="007712EC">
        <w:rPr>
          <w:rFonts w:asciiTheme="minorHAnsi" w:hAnsiTheme="minorHAnsi" w:cstheme="minorHAnsi"/>
          <w:b/>
          <w:i/>
          <w:lang w:val="fr-FR"/>
        </w:rPr>
        <w:t xml:space="preserve">228 000 CHF pour couvrir le déficit budgétaire, conformément à la Résolution XIII.2, paragraphe 15 </w:t>
      </w:r>
      <w:r w:rsidR="007712EC" w:rsidRPr="007712EC">
        <w:rPr>
          <w:rFonts w:asciiTheme="minorHAnsi" w:hAnsiTheme="minorHAnsi" w:cstheme="minorHAnsi"/>
          <w:b/>
          <w:i/>
          <w:color w:val="FF0000"/>
          <w:lang w:val="fr-FR"/>
        </w:rPr>
        <w:t xml:space="preserve">et l’option b) consistant à affecter 10 000 CHF (à confirmer) à l’examen des résolutions, sous réserve de l’approbation du Comité permanent, comme décrit au paragraphe 40 </w:t>
      </w:r>
      <w:r w:rsidR="00D26B9A" w:rsidRPr="007712EC">
        <w:rPr>
          <w:rFonts w:asciiTheme="minorHAnsi" w:hAnsiTheme="minorHAnsi" w:cstheme="minorHAnsi"/>
          <w:b/>
          <w:i/>
          <w:color w:val="FF0000"/>
          <w:lang w:val="fr-FR"/>
        </w:rPr>
        <w:t>du</w:t>
      </w:r>
      <w:r w:rsidR="006755C9" w:rsidRPr="007712EC">
        <w:rPr>
          <w:rFonts w:asciiTheme="minorHAnsi" w:hAnsiTheme="minorHAnsi" w:cstheme="minorHAnsi"/>
          <w:b/>
          <w:i/>
          <w:color w:val="FF0000"/>
          <w:lang w:val="fr-FR"/>
        </w:rPr>
        <w:t xml:space="preserve"> </w:t>
      </w:r>
      <w:r w:rsidR="00CE0166" w:rsidRPr="007712EC">
        <w:rPr>
          <w:rFonts w:asciiTheme="minorHAnsi" w:hAnsiTheme="minorHAnsi" w:cstheme="minorHAnsi"/>
          <w:b/>
          <w:i/>
          <w:color w:val="FF0000"/>
          <w:lang w:val="fr-FR"/>
        </w:rPr>
        <w:t>document SC59/2022 Doc</w:t>
      </w:r>
      <w:r w:rsidR="006755C9" w:rsidRPr="007712EC">
        <w:rPr>
          <w:rFonts w:asciiTheme="minorHAnsi" w:hAnsiTheme="minorHAnsi" w:cstheme="minorHAnsi"/>
          <w:b/>
          <w:i/>
          <w:color w:val="FF0000"/>
          <w:lang w:val="fr-FR"/>
        </w:rPr>
        <w:t>.</w:t>
      </w:r>
      <w:r w:rsidR="00CE0166" w:rsidRPr="007712EC">
        <w:rPr>
          <w:rFonts w:asciiTheme="minorHAnsi" w:hAnsiTheme="minorHAnsi" w:cstheme="minorHAnsi"/>
          <w:b/>
          <w:i/>
          <w:color w:val="FF0000"/>
          <w:lang w:val="fr-FR"/>
        </w:rPr>
        <w:t>8.1</w:t>
      </w:r>
      <w:r w:rsidR="007712EC" w:rsidRPr="007712EC">
        <w:rPr>
          <w:rFonts w:asciiTheme="minorHAnsi" w:hAnsiTheme="minorHAnsi" w:cstheme="minorHAnsi"/>
          <w:b/>
          <w:i/>
          <w:color w:val="FF0000"/>
          <w:lang w:val="fr-FR"/>
        </w:rPr>
        <w:t> </w:t>
      </w:r>
      <w:r w:rsidR="007712EC" w:rsidRPr="00A56F47">
        <w:rPr>
          <w:rFonts w:asciiTheme="minorHAnsi" w:hAnsiTheme="minorHAnsi" w:cstheme="minorHAnsi"/>
          <w:b/>
          <w:i/>
          <w:lang w:val="fr-FR"/>
        </w:rPr>
        <w:t>;</w:t>
      </w:r>
    </w:p>
    <w:p w14:paraId="69A86F62" w14:textId="34C86C1C" w:rsidR="000159B6" w:rsidRPr="00951128" w:rsidRDefault="007712EC" w:rsidP="00974A00">
      <w:pPr>
        <w:widowControl/>
        <w:ind w:left="426" w:hanging="426"/>
        <w:rPr>
          <w:rFonts w:asciiTheme="minorHAnsi" w:hAnsiTheme="minorHAnsi" w:cstheme="minorHAnsi"/>
          <w:b/>
          <w:i/>
          <w:lang w:val="fr-FR"/>
        </w:rPr>
      </w:pPr>
      <w:r>
        <w:rPr>
          <w:rFonts w:asciiTheme="minorHAnsi" w:hAnsiTheme="minorHAnsi" w:cstheme="minorHAnsi"/>
          <w:b/>
          <w:i/>
          <w:lang w:val="fr-FR"/>
        </w:rPr>
        <w:t>ii)</w:t>
      </w:r>
      <w:r>
        <w:rPr>
          <w:rFonts w:asciiTheme="minorHAnsi" w:hAnsiTheme="minorHAnsi" w:cstheme="minorHAnsi"/>
          <w:b/>
          <w:i/>
          <w:lang w:val="fr-FR"/>
        </w:rPr>
        <w:tab/>
      </w:r>
      <w:r w:rsidR="00D0228D">
        <w:rPr>
          <w:rFonts w:asciiTheme="minorHAnsi" w:hAnsiTheme="minorHAnsi" w:cstheme="minorHAnsi"/>
          <w:b/>
          <w:i/>
          <w:lang w:val="fr-FR"/>
        </w:rPr>
        <w:t>approuve l’affectation de l’excédent de 2021, de 360 000 CHF, à l’augmentation de la provision pour contributions impayées dans la période triennale 2023-2025,</w:t>
      </w:r>
      <w:r w:rsidR="00017F10">
        <w:rPr>
          <w:rFonts w:asciiTheme="minorHAnsi" w:hAnsiTheme="minorHAnsi" w:cstheme="minorHAnsi"/>
          <w:b/>
          <w:i/>
          <w:lang w:val="fr-FR"/>
        </w:rPr>
        <w:t xml:space="preserve"> à condition </w:t>
      </w:r>
      <w:r w:rsidR="00017F10" w:rsidRPr="00017F10">
        <w:rPr>
          <w:rFonts w:asciiTheme="minorHAnsi" w:hAnsiTheme="minorHAnsi" w:cstheme="minorHAnsi"/>
          <w:b/>
          <w:i/>
          <w:lang w:val="fr-FR"/>
        </w:rPr>
        <w:t>que toute portion non utilisée soit reversée à l’excédent pour affectation à la fin de chaque année de la période triennale 2023-2025</w:t>
      </w:r>
      <w:r w:rsidR="00017F10">
        <w:rPr>
          <w:rFonts w:asciiTheme="minorHAnsi" w:hAnsiTheme="minorHAnsi" w:cstheme="minorHAnsi"/>
          <w:b/>
          <w:i/>
          <w:lang w:val="fr-FR"/>
        </w:rPr>
        <w:t> ; et</w:t>
      </w:r>
      <w:r w:rsidR="00D0228D">
        <w:rPr>
          <w:rFonts w:asciiTheme="minorHAnsi" w:hAnsiTheme="minorHAnsi" w:cstheme="minorHAnsi"/>
          <w:b/>
          <w:i/>
          <w:lang w:val="fr-FR"/>
        </w:rPr>
        <w:t xml:space="preserve"> </w:t>
      </w:r>
      <w:r w:rsidR="006755C9" w:rsidRPr="00951128">
        <w:rPr>
          <w:rFonts w:asciiTheme="minorHAnsi" w:hAnsiTheme="minorHAnsi" w:cstheme="minorHAnsi"/>
          <w:b/>
          <w:i/>
          <w:lang w:val="fr-FR"/>
        </w:rPr>
        <w:t xml:space="preserve"> </w:t>
      </w:r>
    </w:p>
    <w:p w14:paraId="2FF943F5" w14:textId="4995792B" w:rsidR="00356EEC" w:rsidRDefault="00F068B4" w:rsidP="00017F10">
      <w:pPr>
        <w:widowControl/>
        <w:ind w:left="426" w:hanging="426"/>
        <w:rPr>
          <w:rFonts w:asciiTheme="minorHAnsi" w:hAnsiTheme="minorHAnsi" w:cstheme="minorHAnsi"/>
          <w:b/>
          <w:i/>
          <w:lang w:val="fr-FR"/>
        </w:rPr>
      </w:pPr>
      <w:r w:rsidRPr="00951128">
        <w:rPr>
          <w:rFonts w:asciiTheme="minorHAnsi" w:hAnsiTheme="minorHAnsi" w:cstheme="minorHAnsi"/>
          <w:b/>
          <w:i/>
          <w:lang w:val="fr-FR"/>
        </w:rPr>
        <w:t>ii</w:t>
      </w:r>
      <w:r w:rsidR="00144D3A" w:rsidRPr="00951128">
        <w:rPr>
          <w:rFonts w:asciiTheme="minorHAnsi" w:hAnsiTheme="minorHAnsi" w:cstheme="minorHAnsi"/>
          <w:b/>
          <w:i/>
          <w:lang w:val="fr-FR"/>
        </w:rPr>
        <w:t>)</w:t>
      </w:r>
      <w:r w:rsidRPr="00951128">
        <w:rPr>
          <w:rFonts w:asciiTheme="minorHAnsi" w:hAnsiTheme="minorHAnsi" w:cstheme="minorHAnsi"/>
          <w:b/>
          <w:i/>
          <w:lang w:val="fr-FR"/>
        </w:rPr>
        <w:t xml:space="preserve"> </w:t>
      </w:r>
      <w:r w:rsidRPr="00951128">
        <w:rPr>
          <w:rFonts w:asciiTheme="minorHAnsi" w:hAnsiTheme="minorHAnsi" w:cstheme="minorHAnsi"/>
          <w:b/>
          <w:i/>
          <w:lang w:val="fr-FR"/>
        </w:rPr>
        <w:tab/>
      </w:r>
      <w:r w:rsidR="00017F10">
        <w:rPr>
          <w:rFonts w:asciiTheme="minorHAnsi" w:hAnsiTheme="minorHAnsi" w:cstheme="minorHAnsi"/>
          <w:b/>
          <w:i/>
          <w:lang w:val="fr-FR"/>
        </w:rPr>
        <w:t>prenne</w:t>
      </w:r>
      <w:r w:rsidR="00D26B9A" w:rsidRPr="00951128">
        <w:rPr>
          <w:rFonts w:asciiTheme="minorHAnsi" w:hAnsiTheme="minorHAnsi" w:cstheme="minorHAnsi"/>
          <w:b/>
          <w:i/>
          <w:lang w:val="fr-FR"/>
        </w:rPr>
        <w:t xml:space="preserve"> note de l’affectation</w:t>
      </w:r>
      <w:r w:rsidR="006755C9" w:rsidRPr="00951128">
        <w:rPr>
          <w:rFonts w:asciiTheme="minorHAnsi" w:hAnsiTheme="minorHAnsi" w:cstheme="minorHAnsi"/>
          <w:b/>
          <w:i/>
          <w:lang w:val="fr-FR"/>
        </w:rPr>
        <w:t xml:space="preserve"> intersessions de fonds </w:t>
      </w:r>
      <w:r w:rsidR="00D26B9A" w:rsidRPr="00951128">
        <w:rPr>
          <w:rFonts w:asciiTheme="minorHAnsi" w:hAnsiTheme="minorHAnsi" w:cstheme="minorHAnsi"/>
          <w:b/>
          <w:i/>
          <w:lang w:val="fr-FR"/>
        </w:rPr>
        <w:t xml:space="preserve">destinée à s’ajuster au budget administratif approuvé par l’ExCOP3 pour 2022, </w:t>
      </w:r>
      <w:r w:rsidR="00017F10">
        <w:rPr>
          <w:rFonts w:asciiTheme="minorHAnsi" w:hAnsiTheme="minorHAnsi" w:cstheme="minorHAnsi"/>
          <w:b/>
          <w:i/>
          <w:lang w:val="fr-FR"/>
        </w:rPr>
        <w:t>comme décrit</w:t>
      </w:r>
      <w:r w:rsidR="00D26B9A" w:rsidRPr="00951128">
        <w:rPr>
          <w:rFonts w:asciiTheme="minorHAnsi" w:hAnsiTheme="minorHAnsi" w:cstheme="minorHAnsi"/>
          <w:b/>
          <w:i/>
          <w:lang w:val="fr-FR"/>
        </w:rPr>
        <w:t xml:space="preserve"> aux paragraphes 22 et 38</w:t>
      </w:r>
      <w:r w:rsidR="00017F10">
        <w:rPr>
          <w:rFonts w:asciiTheme="minorHAnsi" w:hAnsiTheme="minorHAnsi" w:cstheme="minorHAnsi"/>
          <w:b/>
          <w:i/>
          <w:lang w:val="fr-FR"/>
        </w:rPr>
        <w:t xml:space="preserve"> du</w:t>
      </w:r>
      <w:r w:rsidR="006755C9" w:rsidRPr="00951128">
        <w:rPr>
          <w:rFonts w:asciiTheme="minorHAnsi" w:hAnsiTheme="minorHAnsi" w:cstheme="minorHAnsi"/>
          <w:b/>
          <w:i/>
          <w:lang w:val="fr-FR"/>
        </w:rPr>
        <w:t xml:space="preserve"> </w:t>
      </w:r>
      <w:r w:rsidR="00CE0166" w:rsidRPr="00951128">
        <w:rPr>
          <w:rFonts w:asciiTheme="minorHAnsi" w:hAnsiTheme="minorHAnsi" w:cstheme="minorHAnsi"/>
          <w:b/>
          <w:i/>
          <w:lang w:val="fr-FR"/>
        </w:rPr>
        <w:t>document SC59/2022 Doc</w:t>
      </w:r>
      <w:r w:rsidR="006755C9" w:rsidRPr="00951128">
        <w:rPr>
          <w:rFonts w:asciiTheme="minorHAnsi" w:hAnsiTheme="minorHAnsi" w:cstheme="minorHAnsi"/>
          <w:b/>
          <w:i/>
          <w:lang w:val="fr-FR"/>
        </w:rPr>
        <w:t>.</w:t>
      </w:r>
      <w:r w:rsidR="00CE0166" w:rsidRPr="00951128">
        <w:rPr>
          <w:rFonts w:asciiTheme="minorHAnsi" w:hAnsiTheme="minorHAnsi" w:cstheme="minorHAnsi"/>
          <w:b/>
          <w:i/>
          <w:lang w:val="fr-FR"/>
        </w:rPr>
        <w:t>8.1</w:t>
      </w:r>
      <w:r w:rsidR="006755C9" w:rsidRPr="00951128">
        <w:rPr>
          <w:rFonts w:asciiTheme="minorHAnsi" w:hAnsiTheme="minorHAnsi" w:cstheme="minorHAnsi"/>
          <w:b/>
          <w:i/>
          <w:lang w:val="fr-FR"/>
        </w:rPr>
        <w:t> et</w:t>
      </w:r>
      <w:r w:rsidR="00017F10">
        <w:rPr>
          <w:rFonts w:asciiTheme="minorHAnsi" w:hAnsiTheme="minorHAnsi" w:cstheme="minorHAnsi"/>
          <w:b/>
          <w:i/>
          <w:lang w:val="fr-FR"/>
        </w:rPr>
        <w:t xml:space="preserve"> </w:t>
      </w:r>
      <w:r w:rsidR="006755C9" w:rsidRPr="00951128">
        <w:rPr>
          <w:rFonts w:asciiTheme="minorHAnsi" w:hAnsiTheme="minorHAnsi" w:cstheme="minorHAnsi"/>
          <w:b/>
          <w:i/>
          <w:lang w:val="fr-FR"/>
        </w:rPr>
        <w:t xml:space="preserve">présenté dans l’Annexe 1 du présent rapport. </w:t>
      </w:r>
    </w:p>
    <w:p w14:paraId="0656330D" w14:textId="21F1F7DA" w:rsidR="00A56F47" w:rsidRDefault="00A56F47" w:rsidP="00017F10">
      <w:pPr>
        <w:widowControl/>
        <w:ind w:left="426" w:hanging="426"/>
        <w:rPr>
          <w:rFonts w:asciiTheme="minorHAnsi" w:hAnsiTheme="minorHAnsi" w:cstheme="minorHAnsi"/>
          <w:b/>
          <w:i/>
          <w:lang w:val="fr-FR"/>
        </w:rPr>
      </w:pPr>
    </w:p>
    <w:p w14:paraId="48836597" w14:textId="77777777" w:rsidR="00A56F47" w:rsidRDefault="00A56F47" w:rsidP="00017F10">
      <w:pPr>
        <w:widowControl/>
        <w:ind w:left="426" w:hanging="426"/>
        <w:rPr>
          <w:rFonts w:asciiTheme="minorHAnsi" w:hAnsiTheme="minorHAnsi" w:cstheme="minorHAnsi"/>
          <w:b/>
          <w:i/>
          <w:lang w:val="fr-FR"/>
        </w:rPr>
        <w:sectPr w:rsidR="00A56F47" w:rsidSect="008116E5">
          <w:footerReference w:type="default" r:id="rId11"/>
          <w:pgSz w:w="11906" w:h="16838"/>
          <w:pgMar w:top="1440" w:right="1440" w:bottom="1440" w:left="1440" w:header="708" w:footer="708" w:gutter="0"/>
          <w:cols w:space="708"/>
          <w:titlePg/>
          <w:docGrid w:linePitch="360"/>
        </w:sectPr>
      </w:pPr>
    </w:p>
    <w:p w14:paraId="7EBF924E" w14:textId="77777777" w:rsidR="00A56F47" w:rsidRPr="00941FA7" w:rsidRDefault="00A56F47" w:rsidP="00A56F47">
      <w:pPr>
        <w:rPr>
          <w:rFonts w:asciiTheme="minorHAnsi" w:hAnsiTheme="minorHAnsi" w:cs="Arial"/>
          <w:b/>
          <w:bCs/>
          <w:sz w:val="24"/>
          <w:szCs w:val="24"/>
          <w:lang w:val="fr-FR" w:eastAsia="en-GB"/>
        </w:rPr>
      </w:pPr>
      <w:r w:rsidRPr="00941FA7">
        <w:rPr>
          <w:rFonts w:asciiTheme="minorHAnsi" w:hAnsiTheme="minorHAnsi" w:cs="Arial"/>
          <w:b/>
          <w:bCs/>
          <w:sz w:val="24"/>
          <w:szCs w:val="24"/>
          <w:lang w:val="fr-FR" w:eastAsia="en-GB"/>
        </w:rPr>
        <w:lastRenderedPageBreak/>
        <w:t xml:space="preserve">Annexe </w:t>
      </w:r>
      <w:r>
        <w:rPr>
          <w:rFonts w:asciiTheme="minorHAnsi" w:hAnsiTheme="minorHAnsi" w:cs="Arial"/>
          <w:b/>
          <w:bCs/>
          <w:sz w:val="24"/>
          <w:szCs w:val="24"/>
          <w:lang w:val="fr-FR" w:eastAsia="en-GB"/>
        </w:rPr>
        <w:t>1 au Rapport du Sous-groupe sur les finances</w:t>
      </w:r>
    </w:p>
    <w:p w14:paraId="165CAE2E" w14:textId="77777777" w:rsidR="00A56F47" w:rsidRPr="00941FA7" w:rsidRDefault="00A56F47" w:rsidP="00A56F47">
      <w:pPr>
        <w:rPr>
          <w:rFonts w:asciiTheme="minorHAnsi" w:hAnsiTheme="minorHAnsi" w:cs="Arial"/>
          <w:b/>
          <w:bCs/>
          <w:sz w:val="24"/>
          <w:szCs w:val="24"/>
          <w:lang w:val="fr-FR" w:eastAsia="en-GB"/>
        </w:rPr>
      </w:pPr>
      <w:r w:rsidRPr="00941FA7">
        <w:rPr>
          <w:rFonts w:asciiTheme="minorHAnsi" w:hAnsiTheme="minorHAnsi" w:cs="Arial"/>
          <w:b/>
          <w:bCs/>
          <w:sz w:val="24"/>
          <w:szCs w:val="24"/>
          <w:lang w:val="fr-FR" w:eastAsia="en-GB"/>
        </w:rPr>
        <w:t>Budget administratif pour 2022</w:t>
      </w:r>
    </w:p>
    <w:p w14:paraId="7C92C74A" w14:textId="26DB7B0D" w:rsidR="00A56F47" w:rsidRDefault="00A56F47" w:rsidP="00A56F47">
      <w:pPr>
        <w:rPr>
          <w:rFonts w:asciiTheme="minorHAnsi" w:hAnsiTheme="minorHAnsi" w:cs="Arial"/>
          <w:i/>
          <w:iCs/>
          <w:sz w:val="20"/>
          <w:szCs w:val="20"/>
          <w:lang w:val="fr-FR" w:eastAsia="en-GB"/>
        </w:rPr>
      </w:pPr>
      <w:r w:rsidRPr="008116E5">
        <w:rPr>
          <w:rFonts w:asciiTheme="minorHAnsi" w:hAnsiTheme="minorHAnsi" w:cs="Arial"/>
          <w:i/>
          <w:iCs/>
          <w:sz w:val="20"/>
          <w:szCs w:val="20"/>
          <w:lang w:val="fr-FR" w:eastAsia="en-GB"/>
        </w:rPr>
        <w:t>(en milliers de CHF incluant d’éventuels écarts d’arrondis)</w:t>
      </w:r>
    </w:p>
    <w:p w14:paraId="4D0C7438" w14:textId="77777777" w:rsidR="008116E5" w:rsidRPr="008116E5" w:rsidRDefault="008116E5" w:rsidP="00A56F47">
      <w:pPr>
        <w:rPr>
          <w:rFonts w:asciiTheme="minorHAnsi" w:hAnsiTheme="minorHAnsi" w:cs="Arial"/>
          <w:bCs/>
          <w:i/>
          <w:sz w:val="20"/>
          <w:szCs w:val="20"/>
          <w:lang w:val="fr-FR" w:eastAsia="en-GB"/>
        </w:rPr>
      </w:pPr>
    </w:p>
    <w:tbl>
      <w:tblPr>
        <w:tblW w:w="13858" w:type="dxa"/>
        <w:tblLayout w:type="fixed"/>
        <w:tblLook w:val="04A0" w:firstRow="1" w:lastRow="0" w:firstColumn="1" w:lastColumn="0" w:noHBand="0" w:noVBand="1"/>
      </w:tblPr>
      <w:tblGrid>
        <w:gridCol w:w="4962"/>
        <w:gridCol w:w="1757"/>
        <w:gridCol w:w="1757"/>
        <w:gridCol w:w="1757"/>
        <w:gridCol w:w="1757"/>
        <w:gridCol w:w="1868"/>
      </w:tblGrid>
      <w:tr w:rsidR="00A56F47" w:rsidRPr="00941FA7" w14:paraId="2D0CB21F" w14:textId="77777777" w:rsidTr="008116E5">
        <w:trPr>
          <w:tblHeader/>
        </w:trPr>
        <w:tc>
          <w:tcPr>
            <w:tcW w:w="4962" w:type="dxa"/>
            <w:tcBorders>
              <w:top w:val="single" w:sz="4" w:space="0" w:color="auto"/>
              <w:left w:val="single" w:sz="4" w:space="0" w:color="auto"/>
              <w:right w:val="nil"/>
            </w:tcBorders>
            <w:shd w:val="clear" w:color="auto" w:fill="E2EFD9" w:themeFill="accent6" w:themeFillTint="33"/>
            <w:vAlign w:val="center"/>
            <w:hideMark/>
          </w:tcPr>
          <w:p w14:paraId="25F46502" w14:textId="77777777" w:rsidR="00A56F47" w:rsidRPr="00941FA7" w:rsidRDefault="00A56F47" w:rsidP="00A56F47">
            <w:pPr>
              <w:jc w:val="center"/>
              <w:rPr>
                <w:b/>
                <w:bCs/>
                <w:sz w:val="20"/>
                <w:szCs w:val="20"/>
                <w:lang w:val="fr-FR" w:eastAsia="en-GB"/>
              </w:rPr>
            </w:pPr>
            <w:r w:rsidRPr="00941FA7">
              <w:rPr>
                <w:b/>
                <w:bCs/>
                <w:sz w:val="20"/>
                <w:szCs w:val="20"/>
                <w:lang w:val="fr-FR" w:eastAsia="en-GB"/>
              </w:rPr>
              <w:t xml:space="preserve">Budget Ramsar 2022 </w:t>
            </w:r>
            <w:r w:rsidRPr="00941FA7">
              <w:rPr>
                <w:b/>
                <w:bCs/>
                <w:sz w:val="20"/>
                <w:szCs w:val="20"/>
                <w:lang w:val="fr-FR" w:eastAsia="en-GB"/>
              </w:rPr>
              <w:br/>
            </w:r>
            <w:r w:rsidRPr="00941FA7">
              <w:rPr>
                <w:b/>
                <w:bCs/>
                <w:sz w:val="20"/>
                <w:szCs w:val="20"/>
                <w:lang w:val="fr-FR" w:eastAsia="en-GB"/>
              </w:rPr>
              <w:br/>
              <w:t>Approuvé par l’ExCOP3</w:t>
            </w:r>
          </w:p>
        </w:tc>
        <w:tc>
          <w:tcPr>
            <w:tcW w:w="1757" w:type="dxa"/>
            <w:tcBorders>
              <w:top w:val="single" w:sz="4" w:space="0" w:color="auto"/>
              <w:left w:val="single" w:sz="4" w:space="0" w:color="auto"/>
              <w:bottom w:val="nil"/>
              <w:right w:val="single" w:sz="4" w:space="0" w:color="auto"/>
            </w:tcBorders>
            <w:shd w:val="clear" w:color="auto" w:fill="E2EFD9" w:themeFill="accent6" w:themeFillTint="33"/>
            <w:vAlign w:val="center"/>
            <w:hideMark/>
          </w:tcPr>
          <w:p w14:paraId="2BD3D2C6" w14:textId="77777777" w:rsidR="00A56F47" w:rsidRPr="00941FA7" w:rsidRDefault="00A56F47" w:rsidP="00A56F47">
            <w:pPr>
              <w:jc w:val="center"/>
              <w:rPr>
                <w:b/>
                <w:bCs/>
                <w:sz w:val="20"/>
                <w:szCs w:val="20"/>
                <w:lang w:val="fr-FR" w:eastAsia="en-GB"/>
              </w:rPr>
            </w:pPr>
            <w:r w:rsidRPr="00941FA7">
              <w:rPr>
                <w:b/>
                <w:bCs/>
                <w:color w:val="000000"/>
                <w:sz w:val="20"/>
                <w:szCs w:val="20"/>
                <w:lang w:val="fr-FR" w:eastAsia="en-GB"/>
              </w:rPr>
              <w:t xml:space="preserve">Budget approuvé </w:t>
            </w:r>
            <w:r w:rsidRPr="00941FA7">
              <w:rPr>
                <w:b/>
                <w:bCs/>
                <w:sz w:val="20"/>
                <w:szCs w:val="20"/>
                <w:lang w:val="fr-FR" w:eastAsia="en-GB"/>
              </w:rPr>
              <w:t>(approuvé par l’ExCOP3)</w:t>
            </w:r>
          </w:p>
        </w:tc>
        <w:tc>
          <w:tcPr>
            <w:tcW w:w="1757" w:type="dxa"/>
            <w:tcBorders>
              <w:top w:val="single" w:sz="4" w:space="0" w:color="auto"/>
              <w:left w:val="nil"/>
              <w:bottom w:val="nil"/>
              <w:right w:val="single" w:sz="4" w:space="0" w:color="auto"/>
            </w:tcBorders>
            <w:shd w:val="clear" w:color="auto" w:fill="E2EFD9" w:themeFill="accent6" w:themeFillTint="33"/>
            <w:vAlign w:val="center"/>
            <w:hideMark/>
          </w:tcPr>
          <w:p w14:paraId="7849AF9F" w14:textId="77777777" w:rsidR="00A56F47" w:rsidRPr="00941FA7" w:rsidRDefault="00A56F47" w:rsidP="00A56F47">
            <w:pPr>
              <w:jc w:val="center"/>
              <w:rPr>
                <w:b/>
                <w:bCs/>
                <w:sz w:val="20"/>
                <w:szCs w:val="20"/>
                <w:lang w:val="fr-FR" w:eastAsia="en-GB"/>
              </w:rPr>
            </w:pPr>
            <w:r w:rsidRPr="00941FA7">
              <w:rPr>
                <w:b/>
                <w:bCs/>
                <w:sz w:val="20"/>
                <w:szCs w:val="20"/>
                <w:lang w:val="fr-FR" w:eastAsia="en-GB"/>
              </w:rPr>
              <w:t>Utilisation autorisée par la SC59 des économies sur le budget 2020 (approuvée par l’ExCOP3)</w:t>
            </w:r>
          </w:p>
        </w:tc>
        <w:tc>
          <w:tcPr>
            <w:tcW w:w="1757" w:type="dxa"/>
            <w:tcBorders>
              <w:top w:val="single" w:sz="4" w:space="0" w:color="auto"/>
              <w:left w:val="single" w:sz="4" w:space="0" w:color="auto"/>
              <w:bottom w:val="nil"/>
              <w:right w:val="single" w:sz="4" w:space="0" w:color="auto"/>
            </w:tcBorders>
            <w:shd w:val="clear" w:color="auto" w:fill="E2EFD9" w:themeFill="accent6" w:themeFillTint="33"/>
            <w:vAlign w:val="center"/>
            <w:hideMark/>
          </w:tcPr>
          <w:p w14:paraId="3DE361B8" w14:textId="77777777" w:rsidR="00A56F47" w:rsidRPr="00941FA7" w:rsidRDefault="00A56F47" w:rsidP="00A56F47">
            <w:pPr>
              <w:jc w:val="center"/>
              <w:rPr>
                <w:b/>
                <w:bCs/>
                <w:sz w:val="20"/>
                <w:szCs w:val="20"/>
                <w:lang w:val="fr-FR" w:eastAsia="en-GB"/>
              </w:rPr>
            </w:pPr>
            <w:r w:rsidRPr="00941FA7">
              <w:rPr>
                <w:b/>
                <w:bCs/>
                <w:sz w:val="20"/>
                <w:szCs w:val="20"/>
                <w:lang w:val="fr-FR" w:eastAsia="en-GB"/>
              </w:rPr>
              <w:t>Fonds préengagés de 2021 à dépenser en 2022</w:t>
            </w:r>
          </w:p>
        </w:tc>
        <w:tc>
          <w:tcPr>
            <w:tcW w:w="1757" w:type="dxa"/>
            <w:tcBorders>
              <w:top w:val="single" w:sz="4" w:space="0" w:color="auto"/>
              <w:left w:val="nil"/>
              <w:bottom w:val="nil"/>
              <w:right w:val="single" w:sz="4" w:space="0" w:color="auto"/>
            </w:tcBorders>
            <w:shd w:val="clear" w:color="auto" w:fill="E2EFD9" w:themeFill="accent6" w:themeFillTint="33"/>
            <w:vAlign w:val="center"/>
            <w:hideMark/>
          </w:tcPr>
          <w:p w14:paraId="5728AC87" w14:textId="77777777" w:rsidR="00A56F47" w:rsidRPr="00941FA7" w:rsidRDefault="00A56F47" w:rsidP="00A56F47">
            <w:pPr>
              <w:jc w:val="center"/>
              <w:rPr>
                <w:b/>
                <w:bCs/>
                <w:sz w:val="20"/>
                <w:szCs w:val="20"/>
                <w:lang w:val="fr-FR" w:eastAsia="en-GB"/>
              </w:rPr>
            </w:pPr>
            <w:r w:rsidRPr="00941FA7">
              <w:rPr>
                <w:b/>
                <w:bCs/>
                <w:sz w:val="20"/>
                <w:szCs w:val="20"/>
                <w:lang w:val="fr-FR" w:eastAsia="en-GB"/>
              </w:rPr>
              <w:t>Ajustements</w:t>
            </w:r>
            <w:r>
              <w:rPr>
                <w:b/>
                <w:bCs/>
                <w:sz w:val="20"/>
                <w:szCs w:val="20"/>
                <w:lang w:val="fr-FR" w:eastAsia="en-GB"/>
              </w:rPr>
              <w:t xml:space="preserve"> par SC59/2022</w:t>
            </w:r>
            <w:r w:rsidRPr="00941FA7">
              <w:rPr>
                <w:b/>
                <w:bCs/>
                <w:sz w:val="20"/>
                <w:szCs w:val="20"/>
                <w:lang w:val="fr-FR" w:eastAsia="en-GB"/>
              </w:rPr>
              <w:t xml:space="preserve"> au budget 2022 approuvé à l’ExCOP3 *</w:t>
            </w:r>
          </w:p>
        </w:tc>
        <w:tc>
          <w:tcPr>
            <w:tcW w:w="1868" w:type="dxa"/>
            <w:tcBorders>
              <w:top w:val="single" w:sz="4" w:space="0" w:color="auto"/>
              <w:left w:val="nil"/>
              <w:bottom w:val="nil"/>
              <w:right w:val="single" w:sz="4" w:space="0" w:color="auto"/>
            </w:tcBorders>
            <w:shd w:val="clear" w:color="auto" w:fill="E2EFD9" w:themeFill="accent6" w:themeFillTint="33"/>
            <w:vAlign w:val="center"/>
            <w:hideMark/>
          </w:tcPr>
          <w:p w14:paraId="4E6FAB55" w14:textId="77777777" w:rsidR="00A56F47" w:rsidRPr="00941FA7" w:rsidRDefault="00A56F47" w:rsidP="00A56F47">
            <w:pPr>
              <w:jc w:val="center"/>
              <w:rPr>
                <w:b/>
                <w:bCs/>
                <w:sz w:val="20"/>
                <w:szCs w:val="20"/>
                <w:lang w:val="fr-FR" w:eastAsia="en-GB"/>
              </w:rPr>
            </w:pPr>
            <w:r w:rsidRPr="00941FA7">
              <w:rPr>
                <w:b/>
                <w:bCs/>
                <w:sz w:val="20"/>
                <w:szCs w:val="20"/>
                <w:lang w:val="fr-FR" w:eastAsia="en-GB"/>
              </w:rPr>
              <w:t>Total du budget 2022</w:t>
            </w:r>
          </w:p>
        </w:tc>
      </w:tr>
      <w:tr w:rsidR="008116E5" w:rsidRPr="0014156A" w14:paraId="2764DB15" w14:textId="77777777" w:rsidTr="008116E5">
        <w:trPr>
          <w:trHeight w:val="314"/>
          <w:tblHeader/>
        </w:trPr>
        <w:tc>
          <w:tcPr>
            <w:tcW w:w="4962" w:type="dxa"/>
            <w:tcBorders>
              <w:top w:val="nil"/>
              <w:left w:val="single" w:sz="4" w:space="0" w:color="auto"/>
              <w:bottom w:val="single" w:sz="4" w:space="0" w:color="auto"/>
              <w:right w:val="nil"/>
            </w:tcBorders>
            <w:shd w:val="clear" w:color="auto" w:fill="E2EFD9" w:themeFill="accent6" w:themeFillTint="33"/>
            <w:vAlign w:val="center"/>
            <w:hideMark/>
          </w:tcPr>
          <w:p w14:paraId="5B1A2BB9" w14:textId="77777777" w:rsidR="008116E5" w:rsidRPr="00941FA7" w:rsidRDefault="008116E5" w:rsidP="00A56F47">
            <w:pPr>
              <w:jc w:val="center"/>
              <w:rPr>
                <w:b/>
                <w:bCs/>
                <w:color w:val="000000"/>
                <w:sz w:val="20"/>
                <w:szCs w:val="20"/>
                <w:lang w:val="fr-FR" w:eastAsia="en-GB"/>
              </w:rPr>
            </w:pPr>
            <w:r w:rsidRPr="00941FA7">
              <w:rPr>
                <w:b/>
                <w:bCs/>
                <w:color w:val="000000"/>
                <w:sz w:val="20"/>
                <w:szCs w:val="20"/>
                <w:lang w:val="fr-FR" w:eastAsia="en-GB"/>
              </w:rPr>
              <w:t>en milliers de francs suisses (CHF)</w:t>
            </w:r>
          </w:p>
        </w:tc>
        <w:tc>
          <w:tcPr>
            <w:tcW w:w="175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60C3798" w14:textId="77777777" w:rsidR="008116E5" w:rsidRPr="00941FA7" w:rsidRDefault="008116E5" w:rsidP="00A56F47">
            <w:pPr>
              <w:jc w:val="center"/>
              <w:rPr>
                <w:b/>
                <w:bCs/>
                <w:color w:val="000000"/>
                <w:sz w:val="20"/>
                <w:szCs w:val="20"/>
                <w:lang w:val="fr-FR" w:eastAsia="en-GB"/>
              </w:rPr>
            </w:pPr>
            <w:r w:rsidRPr="00941FA7">
              <w:rPr>
                <w:b/>
                <w:bCs/>
                <w:color w:val="000000"/>
                <w:sz w:val="20"/>
                <w:szCs w:val="20"/>
                <w:lang w:val="fr-FR" w:eastAsia="en-GB"/>
              </w:rPr>
              <w:t>(A)</w:t>
            </w:r>
          </w:p>
        </w:tc>
        <w:tc>
          <w:tcPr>
            <w:tcW w:w="175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DBD7E75" w14:textId="77777777" w:rsidR="008116E5" w:rsidRPr="00941FA7" w:rsidRDefault="008116E5" w:rsidP="00A56F47">
            <w:pPr>
              <w:jc w:val="center"/>
              <w:rPr>
                <w:b/>
                <w:bCs/>
                <w:color w:val="000000"/>
                <w:sz w:val="20"/>
                <w:szCs w:val="20"/>
                <w:lang w:val="fr-FR" w:eastAsia="en-GB"/>
              </w:rPr>
            </w:pPr>
            <w:r w:rsidRPr="00941FA7">
              <w:rPr>
                <w:b/>
                <w:bCs/>
                <w:color w:val="000000"/>
                <w:sz w:val="20"/>
                <w:szCs w:val="20"/>
                <w:lang w:val="fr-FR" w:eastAsia="en-GB"/>
              </w:rPr>
              <w:t>(B)</w:t>
            </w:r>
          </w:p>
        </w:tc>
        <w:tc>
          <w:tcPr>
            <w:tcW w:w="175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9A95035" w14:textId="77777777" w:rsidR="008116E5" w:rsidRPr="00941FA7" w:rsidRDefault="008116E5" w:rsidP="00A56F47">
            <w:pPr>
              <w:jc w:val="center"/>
              <w:rPr>
                <w:b/>
                <w:bCs/>
                <w:color w:val="000000"/>
                <w:sz w:val="20"/>
                <w:szCs w:val="20"/>
                <w:lang w:val="fr-FR" w:eastAsia="en-GB"/>
              </w:rPr>
            </w:pPr>
            <w:r w:rsidRPr="00941FA7">
              <w:rPr>
                <w:b/>
                <w:bCs/>
                <w:color w:val="000000"/>
                <w:sz w:val="20"/>
                <w:szCs w:val="20"/>
                <w:lang w:val="fr-FR" w:eastAsia="en-GB"/>
              </w:rPr>
              <w:t>(C)</w:t>
            </w:r>
          </w:p>
        </w:tc>
        <w:tc>
          <w:tcPr>
            <w:tcW w:w="1757" w:type="dxa"/>
            <w:tcBorders>
              <w:top w:val="nil"/>
              <w:left w:val="nil"/>
              <w:bottom w:val="single" w:sz="4" w:space="0" w:color="auto"/>
              <w:right w:val="single" w:sz="4" w:space="0" w:color="auto"/>
            </w:tcBorders>
            <w:shd w:val="clear" w:color="auto" w:fill="E2EFD9" w:themeFill="accent6" w:themeFillTint="33"/>
            <w:vAlign w:val="center"/>
            <w:hideMark/>
          </w:tcPr>
          <w:p w14:paraId="0F76C4EB" w14:textId="77777777" w:rsidR="008116E5" w:rsidRPr="00941FA7" w:rsidRDefault="008116E5" w:rsidP="00A56F47">
            <w:pPr>
              <w:jc w:val="center"/>
              <w:rPr>
                <w:b/>
                <w:bCs/>
                <w:color w:val="000000"/>
                <w:sz w:val="20"/>
                <w:szCs w:val="20"/>
                <w:lang w:val="fr-FR" w:eastAsia="en-GB"/>
              </w:rPr>
            </w:pPr>
            <w:r w:rsidRPr="00941FA7">
              <w:rPr>
                <w:b/>
                <w:bCs/>
                <w:color w:val="000000"/>
                <w:sz w:val="20"/>
                <w:szCs w:val="20"/>
                <w:lang w:val="fr-FR" w:eastAsia="en-GB"/>
              </w:rPr>
              <w:t>(D)</w:t>
            </w:r>
          </w:p>
        </w:tc>
        <w:tc>
          <w:tcPr>
            <w:tcW w:w="1868" w:type="dxa"/>
            <w:tcBorders>
              <w:top w:val="nil"/>
              <w:left w:val="nil"/>
              <w:bottom w:val="single" w:sz="4" w:space="0" w:color="auto"/>
              <w:right w:val="single" w:sz="4" w:space="0" w:color="auto"/>
            </w:tcBorders>
            <w:shd w:val="clear" w:color="auto" w:fill="E2EFD9" w:themeFill="accent6" w:themeFillTint="33"/>
            <w:vAlign w:val="center"/>
            <w:hideMark/>
          </w:tcPr>
          <w:p w14:paraId="5A6D1FAB" w14:textId="77777777" w:rsidR="008116E5" w:rsidRPr="00941FA7" w:rsidRDefault="008116E5" w:rsidP="00A56F47">
            <w:pPr>
              <w:jc w:val="center"/>
              <w:rPr>
                <w:b/>
                <w:bCs/>
                <w:color w:val="000000"/>
                <w:sz w:val="20"/>
                <w:szCs w:val="20"/>
                <w:lang w:val="fr-FR" w:eastAsia="en-GB"/>
              </w:rPr>
            </w:pPr>
            <w:r w:rsidRPr="00941FA7">
              <w:rPr>
                <w:b/>
                <w:bCs/>
                <w:color w:val="000000"/>
                <w:sz w:val="20"/>
                <w:szCs w:val="20"/>
                <w:lang w:val="fr-FR" w:eastAsia="en-GB"/>
              </w:rPr>
              <w:t>(E)=(A)+(B)+(C)+(D)</w:t>
            </w:r>
          </w:p>
        </w:tc>
      </w:tr>
      <w:tr w:rsidR="00A56F47" w:rsidRPr="0014156A" w14:paraId="05845C70" w14:textId="77777777" w:rsidTr="008116E5">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713C05DC" w14:textId="77777777" w:rsidR="00A56F47" w:rsidRDefault="00A56F47" w:rsidP="00A56F47">
            <w:pPr>
              <w:rPr>
                <w:rFonts w:asciiTheme="minorHAnsi" w:hAnsiTheme="minorHAnsi" w:cstheme="minorHAnsi"/>
                <w:b/>
                <w:bCs/>
                <w:color w:val="000000"/>
                <w:sz w:val="20"/>
                <w:szCs w:val="20"/>
                <w:lang w:val="fr-FR" w:eastAsia="en-GB"/>
              </w:rPr>
            </w:pPr>
          </w:p>
          <w:p w14:paraId="26B9BFFC" w14:textId="77777777" w:rsidR="00A56F47" w:rsidRPr="00941FA7" w:rsidRDefault="00A56F47" w:rsidP="00A56F47">
            <w:pPr>
              <w:rPr>
                <w:rFonts w:asciiTheme="minorHAnsi" w:hAnsiTheme="minorHAnsi" w:cstheme="minorHAnsi"/>
                <w:b/>
                <w:bCs/>
                <w:color w:val="000000"/>
                <w:sz w:val="20"/>
                <w:szCs w:val="20"/>
                <w:lang w:val="fr-FR" w:eastAsia="en-GB"/>
              </w:rPr>
            </w:pPr>
            <w:r w:rsidRPr="00941FA7">
              <w:rPr>
                <w:rFonts w:asciiTheme="minorHAnsi" w:hAnsiTheme="minorHAnsi" w:cstheme="minorHAnsi"/>
                <w:b/>
                <w:bCs/>
                <w:color w:val="000000"/>
                <w:sz w:val="20"/>
                <w:szCs w:val="20"/>
                <w:lang w:val="fr-FR" w:eastAsia="en-GB"/>
              </w:rPr>
              <w:t>RECETTES</w:t>
            </w:r>
          </w:p>
        </w:tc>
        <w:tc>
          <w:tcPr>
            <w:tcW w:w="1757" w:type="dxa"/>
            <w:tcBorders>
              <w:top w:val="single" w:sz="4" w:space="0" w:color="auto"/>
              <w:left w:val="nil"/>
              <w:bottom w:val="single" w:sz="4" w:space="0" w:color="auto"/>
              <w:right w:val="nil"/>
            </w:tcBorders>
            <w:shd w:val="clear" w:color="auto" w:fill="auto"/>
            <w:noWrap/>
            <w:vAlign w:val="center"/>
            <w:hideMark/>
          </w:tcPr>
          <w:p w14:paraId="3F06F226" w14:textId="77777777" w:rsidR="00A56F47" w:rsidRPr="00941FA7" w:rsidRDefault="00A56F47" w:rsidP="00A56F47">
            <w:pPr>
              <w:rPr>
                <w:b/>
                <w:bCs/>
                <w:color w:val="000000"/>
                <w:sz w:val="20"/>
                <w:szCs w:val="20"/>
                <w:lang w:val="fr-FR" w:eastAsia="en-GB"/>
              </w:rPr>
            </w:pPr>
          </w:p>
        </w:tc>
        <w:tc>
          <w:tcPr>
            <w:tcW w:w="1757" w:type="dxa"/>
            <w:tcBorders>
              <w:top w:val="single" w:sz="4" w:space="0" w:color="auto"/>
              <w:left w:val="nil"/>
              <w:bottom w:val="single" w:sz="4" w:space="0" w:color="auto"/>
              <w:right w:val="nil"/>
            </w:tcBorders>
            <w:shd w:val="clear" w:color="auto" w:fill="auto"/>
            <w:noWrap/>
            <w:vAlign w:val="center"/>
            <w:hideMark/>
          </w:tcPr>
          <w:p w14:paraId="08848036" w14:textId="77777777" w:rsidR="00A56F47" w:rsidRPr="00941FA7" w:rsidRDefault="00A56F47" w:rsidP="00A56F47">
            <w:pPr>
              <w:rPr>
                <w:rFonts w:ascii="Times New Roman" w:hAnsi="Times New Roman"/>
                <w:sz w:val="20"/>
                <w:szCs w:val="20"/>
                <w:lang w:val="fr-FR" w:eastAsia="en-GB"/>
              </w:rPr>
            </w:pPr>
          </w:p>
        </w:tc>
        <w:tc>
          <w:tcPr>
            <w:tcW w:w="1757" w:type="dxa"/>
            <w:tcBorders>
              <w:top w:val="single" w:sz="4" w:space="0" w:color="auto"/>
              <w:left w:val="single" w:sz="4" w:space="0" w:color="auto"/>
              <w:bottom w:val="single" w:sz="4" w:space="0" w:color="auto"/>
              <w:right w:val="nil"/>
            </w:tcBorders>
            <w:shd w:val="clear" w:color="auto" w:fill="auto"/>
            <w:noWrap/>
            <w:vAlign w:val="bottom"/>
            <w:hideMark/>
          </w:tcPr>
          <w:p w14:paraId="5E375A60" w14:textId="77777777" w:rsidR="00A56F47" w:rsidRPr="00941FA7" w:rsidRDefault="00A56F47" w:rsidP="00A56F47">
            <w:pPr>
              <w:rPr>
                <w:rFonts w:ascii="Arial" w:hAnsi="Arial" w:cs="Arial"/>
                <w:color w:val="000000"/>
                <w:sz w:val="20"/>
                <w:szCs w:val="20"/>
                <w:lang w:val="fr-FR" w:eastAsia="en-GB"/>
              </w:rPr>
            </w:pPr>
            <w:r w:rsidRPr="00941FA7">
              <w:rPr>
                <w:rFonts w:ascii="Arial" w:hAnsi="Arial" w:cs="Arial"/>
                <w:color w:val="000000"/>
                <w:sz w:val="20"/>
                <w:szCs w:val="20"/>
                <w:lang w:val="fr-FR" w:eastAsia="en-GB"/>
              </w:rPr>
              <w:t> </w:t>
            </w:r>
          </w:p>
        </w:tc>
        <w:tc>
          <w:tcPr>
            <w:tcW w:w="1757" w:type="dxa"/>
            <w:tcBorders>
              <w:top w:val="single" w:sz="4" w:space="0" w:color="auto"/>
              <w:left w:val="nil"/>
              <w:bottom w:val="single" w:sz="4" w:space="0" w:color="auto"/>
              <w:right w:val="nil"/>
            </w:tcBorders>
            <w:shd w:val="clear" w:color="auto" w:fill="auto"/>
            <w:noWrap/>
            <w:vAlign w:val="bottom"/>
            <w:hideMark/>
          </w:tcPr>
          <w:p w14:paraId="0C930F03" w14:textId="77777777" w:rsidR="00A56F47" w:rsidRPr="00941FA7" w:rsidRDefault="00A56F47" w:rsidP="00A56F47">
            <w:pPr>
              <w:rPr>
                <w:rFonts w:ascii="Arial" w:hAnsi="Arial" w:cs="Arial"/>
                <w:color w:val="000000"/>
                <w:sz w:val="20"/>
                <w:szCs w:val="20"/>
                <w:lang w:val="fr-FR" w:eastAsia="en-GB"/>
              </w:rPr>
            </w:pP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00B39C6B" w14:textId="77777777" w:rsidR="00A56F47" w:rsidRPr="00941FA7" w:rsidRDefault="00A56F47" w:rsidP="00A56F47">
            <w:pPr>
              <w:rPr>
                <w:rFonts w:ascii="Times New Roman" w:hAnsi="Times New Roman"/>
                <w:sz w:val="20"/>
                <w:szCs w:val="20"/>
                <w:lang w:val="fr-FR" w:eastAsia="en-GB"/>
              </w:rPr>
            </w:pPr>
          </w:p>
        </w:tc>
      </w:tr>
      <w:tr w:rsidR="00A56F47" w:rsidRPr="0014156A" w14:paraId="7FA3AA0F" w14:textId="77777777" w:rsidTr="008116E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E491"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sz w:val="20"/>
                <w:szCs w:val="20"/>
                <w:lang w:val="fr-FR"/>
              </w:rPr>
              <w:t>Contributions des Parties</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057F76A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3,779</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05F70B4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883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380FB07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4CF21F32"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3,779</w:t>
            </w:r>
          </w:p>
        </w:tc>
      </w:tr>
      <w:tr w:rsidR="00A56F47" w:rsidRPr="0014156A" w14:paraId="30663BF0"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4C00D0A"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sz w:val="20"/>
                <w:szCs w:val="20"/>
                <w:lang w:val="fr-FR"/>
              </w:rPr>
              <w:t>Contributions volontaires</w:t>
            </w:r>
          </w:p>
        </w:tc>
        <w:tc>
          <w:tcPr>
            <w:tcW w:w="1757" w:type="dxa"/>
            <w:tcBorders>
              <w:top w:val="nil"/>
              <w:left w:val="nil"/>
              <w:bottom w:val="single" w:sz="4" w:space="0" w:color="auto"/>
              <w:right w:val="single" w:sz="4" w:space="0" w:color="auto"/>
            </w:tcBorders>
            <w:shd w:val="clear" w:color="auto" w:fill="auto"/>
            <w:noWrap/>
            <w:vAlign w:val="center"/>
            <w:hideMark/>
          </w:tcPr>
          <w:p w14:paraId="16C121C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1,065</w:t>
            </w:r>
          </w:p>
        </w:tc>
        <w:tc>
          <w:tcPr>
            <w:tcW w:w="1757" w:type="dxa"/>
            <w:tcBorders>
              <w:top w:val="nil"/>
              <w:left w:val="nil"/>
              <w:bottom w:val="single" w:sz="4" w:space="0" w:color="auto"/>
              <w:right w:val="single" w:sz="4" w:space="0" w:color="auto"/>
            </w:tcBorders>
            <w:shd w:val="clear" w:color="auto" w:fill="auto"/>
            <w:noWrap/>
            <w:vAlign w:val="center"/>
            <w:hideMark/>
          </w:tcPr>
          <w:p w14:paraId="0A38E340"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4372C49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4EC0954"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auto"/>
            <w:noWrap/>
            <w:vAlign w:val="center"/>
            <w:hideMark/>
          </w:tcPr>
          <w:p w14:paraId="0E2EB1C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1,065</w:t>
            </w:r>
          </w:p>
        </w:tc>
      </w:tr>
      <w:tr w:rsidR="00A56F47" w:rsidRPr="00941FA7" w14:paraId="42A7845C"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D164592"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sz w:val="20"/>
                <w:szCs w:val="20"/>
                <w:lang w:val="fr-FR"/>
              </w:rPr>
              <w:t>Impôts sur le revenu</w:t>
            </w:r>
          </w:p>
        </w:tc>
        <w:tc>
          <w:tcPr>
            <w:tcW w:w="1757" w:type="dxa"/>
            <w:tcBorders>
              <w:top w:val="nil"/>
              <w:left w:val="nil"/>
              <w:bottom w:val="single" w:sz="4" w:space="0" w:color="auto"/>
              <w:right w:val="single" w:sz="4" w:space="0" w:color="auto"/>
            </w:tcBorders>
            <w:shd w:val="clear" w:color="auto" w:fill="auto"/>
            <w:noWrap/>
            <w:vAlign w:val="center"/>
            <w:hideMark/>
          </w:tcPr>
          <w:p w14:paraId="3A77D4A5"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225</w:t>
            </w:r>
          </w:p>
        </w:tc>
        <w:tc>
          <w:tcPr>
            <w:tcW w:w="1757" w:type="dxa"/>
            <w:tcBorders>
              <w:top w:val="nil"/>
              <w:left w:val="nil"/>
              <w:bottom w:val="single" w:sz="4" w:space="0" w:color="auto"/>
              <w:right w:val="single" w:sz="4" w:space="0" w:color="auto"/>
            </w:tcBorders>
            <w:shd w:val="clear" w:color="auto" w:fill="auto"/>
            <w:noWrap/>
            <w:vAlign w:val="center"/>
            <w:hideMark/>
          </w:tcPr>
          <w:p w14:paraId="2225994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77622B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A1FA6B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auto"/>
            <w:noWrap/>
            <w:vAlign w:val="center"/>
            <w:hideMark/>
          </w:tcPr>
          <w:p w14:paraId="1B4BB690"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225</w:t>
            </w:r>
          </w:p>
        </w:tc>
      </w:tr>
      <w:tr w:rsidR="00A56F47" w:rsidRPr="00941FA7" w14:paraId="5A10759A"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8D934B"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sz w:val="20"/>
                <w:szCs w:val="20"/>
                <w:lang w:val="fr-FR"/>
              </w:rPr>
              <w:t>Autres revenus (y compris revenus d’intérêts)</w:t>
            </w:r>
          </w:p>
        </w:tc>
        <w:tc>
          <w:tcPr>
            <w:tcW w:w="1757" w:type="dxa"/>
            <w:tcBorders>
              <w:top w:val="nil"/>
              <w:left w:val="nil"/>
              <w:bottom w:val="single" w:sz="4" w:space="0" w:color="auto"/>
              <w:right w:val="single" w:sz="4" w:space="0" w:color="auto"/>
            </w:tcBorders>
            <w:shd w:val="clear" w:color="auto" w:fill="auto"/>
            <w:noWrap/>
            <w:vAlign w:val="center"/>
            <w:hideMark/>
          </w:tcPr>
          <w:p w14:paraId="65585DDD"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12</w:t>
            </w:r>
          </w:p>
        </w:tc>
        <w:tc>
          <w:tcPr>
            <w:tcW w:w="1757" w:type="dxa"/>
            <w:tcBorders>
              <w:top w:val="nil"/>
              <w:left w:val="nil"/>
              <w:bottom w:val="single" w:sz="4" w:space="0" w:color="auto"/>
              <w:right w:val="single" w:sz="4" w:space="0" w:color="auto"/>
            </w:tcBorders>
            <w:shd w:val="clear" w:color="auto" w:fill="auto"/>
            <w:noWrap/>
            <w:vAlign w:val="center"/>
            <w:hideMark/>
          </w:tcPr>
          <w:p w14:paraId="0A15DB47"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0389ED2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5D5C2AD7"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auto"/>
            <w:noWrap/>
            <w:vAlign w:val="center"/>
            <w:hideMark/>
          </w:tcPr>
          <w:p w14:paraId="33E457F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12</w:t>
            </w:r>
          </w:p>
        </w:tc>
      </w:tr>
      <w:tr w:rsidR="00A56F47" w:rsidRPr="00941FA7" w14:paraId="5B7E88E7" w14:textId="77777777" w:rsidTr="008116E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47C75FA" w14:textId="77777777" w:rsidR="00A56F47" w:rsidRPr="00941FA7" w:rsidRDefault="00A56F47" w:rsidP="00A56F47">
            <w:pPr>
              <w:rPr>
                <w:rFonts w:asciiTheme="minorHAnsi" w:hAnsiTheme="minorHAnsi" w:cstheme="minorHAnsi"/>
                <w:b/>
                <w:bCs/>
                <w:color w:val="000000"/>
                <w:sz w:val="20"/>
                <w:szCs w:val="20"/>
                <w:lang w:val="fr-FR" w:eastAsia="en-GB"/>
              </w:rPr>
            </w:pPr>
            <w:r w:rsidRPr="00941FA7">
              <w:rPr>
                <w:rFonts w:asciiTheme="minorHAnsi" w:hAnsiTheme="minorHAnsi" w:cstheme="minorHAnsi"/>
                <w:b/>
                <w:bCs/>
                <w:color w:val="000000"/>
                <w:sz w:val="20"/>
                <w:szCs w:val="20"/>
                <w:lang w:val="fr-FR" w:eastAsia="en-GB"/>
              </w:rPr>
              <w:t>TOTAL RECETTES</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5C6DA46"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5,081</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68B0A331"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B718111"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2C71431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1027A200"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5,081</w:t>
            </w:r>
          </w:p>
        </w:tc>
      </w:tr>
      <w:tr w:rsidR="00A56F47" w:rsidRPr="00941FA7" w14:paraId="4D3E3A1B" w14:textId="77777777" w:rsidTr="00A56F47">
        <w:trPr>
          <w:trHeight w:val="270"/>
        </w:trPr>
        <w:tc>
          <w:tcPr>
            <w:tcW w:w="4962" w:type="dxa"/>
            <w:tcBorders>
              <w:top w:val="single" w:sz="4" w:space="0" w:color="auto"/>
              <w:left w:val="single" w:sz="4" w:space="0" w:color="auto"/>
            </w:tcBorders>
            <w:shd w:val="clear" w:color="auto" w:fill="auto"/>
            <w:noWrap/>
            <w:vAlign w:val="center"/>
            <w:hideMark/>
          </w:tcPr>
          <w:p w14:paraId="2056FAE2" w14:textId="77777777" w:rsidR="00A56F47" w:rsidRPr="00941FA7" w:rsidRDefault="00A56F47" w:rsidP="00A56F47">
            <w:pPr>
              <w:rPr>
                <w:rFonts w:asciiTheme="minorHAnsi" w:hAnsiTheme="minorHAnsi" w:cstheme="minorHAnsi"/>
                <w:b/>
                <w:bCs/>
                <w:color w:val="000000"/>
                <w:sz w:val="20"/>
                <w:szCs w:val="20"/>
                <w:lang w:val="fr-FR" w:eastAsia="en-GB"/>
              </w:rPr>
            </w:pPr>
            <w:r w:rsidRPr="00941FA7">
              <w:rPr>
                <w:rFonts w:asciiTheme="minorHAnsi" w:hAnsiTheme="minorHAnsi" w:cstheme="minorHAnsi"/>
                <w:b/>
                <w:bCs/>
                <w:color w:val="000000"/>
                <w:sz w:val="20"/>
                <w:szCs w:val="20"/>
                <w:lang w:val="fr-FR" w:eastAsia="en-GB"/>
              </w:rPr>
              <w:t> </w:t>
            </w:r>
          </w:p>
        </w:tc>
        <w:tc>
          <w:tcPr>
            <w:tcW w:w="1757" w:type="dxa"/>
            <w:tcBorders>
              <w:top w:val="nil"/>
              <w:left w:val="nil"/>
              <w:bottom w:val="nil"/>
              <w:right w:val="nil"/>
            </w:tcBorders>
            <w:shd w:val="clear" w:color="auto" w:fill="auto"/>
            <w:noWrap/>
            <w:vAlign w:val="bottom"/>
            <w:hideMark/>
          </w:tcPr>
          <w:p w14:paraId="43E37855" w14:textId="77777777" w:rsidR="00A56F47" w:rsidRPr="00941FA7" w:rsidRDefault="00A56F47" w:rsidP="00A56F47">
            <w:pPr>
              <w:rPr>
                <w:b/>
                <w:bCs/>
                <w:color w:val="000000"/>
                <w:sz w:val="20"/>
                <w:szCs w:val="20"/>
                <w:lang w:val="fr-FR" w:eastAsia="en-GB"/>
              </w:rPr>
            </w:pPr>
          </w:p>
        </w:tc>
        <w:tc>
          <w:tcPr>
            <w:tcW w:w="1757" w:type="dxa"/>
            <w:tcBorders>
              <w:top w:val="nil"/>
              <w:left w:val="nil"/>
              <w:right w:val="nil"/>
            </w:tcBorders>
            <w:shd w:val="clear" w:color="auto" w:fill="auto"/>
            <w:noWrap/>
            <w:vAlign w:val="bottom"/>
            <w:hideMark/>
          </w:tcPr>
          <w:p w14:paraId="088C329E" w14:textId="77777777" w:rsidR="00A56F47" w:rsidRPr="00941FA7" w:rsidRDefault="00A56F47" w:rsidP="00A56F47">
            <w:pPr>
              <w:rPr>
                <w:rFonts w:ascii="Times New Roman" w:hAnsi="Times New Roman"/>
                <w:sz w:val="20"/>
                <w:szCs w:val="20"/>
                <w:lang w:val="fr-FR" w:eastAsia="en-GB"/>
              </w:rPr>
            </w:pPr>
          </w:p>
        </w:tc>
        <w:tc>
          <w:tcPr>
            <w:tcW w:w="1757" w:type="dxa"/>
            <w:tcBorders>
              <w:top w:val="nil"/>
              <w:left w:val="nil"/>
              <w:bottom w:val="nil"/>
              <w:right w:val="nil"/>
            </w:tcBorders>
            <w:shd w:val="clear" w:color="auto" w:fill="auto"/>
            <w:noWrap/>
            <w:vAlign w:val="bottom"/>
            <w:hideMark/>
          </w:tcPr>
          <w:p w14:paraId="057E93CB" w14:textId="77777777" w:rsidR="00A56F47" w:rsidRPr="00941FA7" w:rsidRDefault="00A56F47" w:rsidP="00A56F47">
            <w:pPr>
              <w:rPr>
                <w:rFonts w:ascii="Times New Roman" w:hAnsi="Times New Roman"/>
                <w:sz w:val="20"/>
                <w:szCs w:val="20"/>
                <w:lang w:val="fr-FR" w:eastAsia="en-GB"/>
              </w:rPr>
            </w:pPr>
          </w:p>
        </w:tc>
        <w:tc>
          <w:tcPr>
            <w:tcW w:w="1757" w:type="dxa"/>
            <w:tcBorders>
              <w:top w:val="nil"/>
              <w:left w:val="nil"/>
              <w:bottom w:val="nil"/>
              <w:right w:val="nil"/>
            </w:tcBorders>
            <w:shd w:val="clear" w:color="auto" w:fill="auto"/>
            <w:noWrap/>
            <w:vAlign w:val="bottom"/>
            <w:hideMark/>
          </w:tcPr>
          <w:p w14:paraId="63F895A8" w14:textId="77777777" w:rsidR="00A56F47" w:rsidRPr="00941FA7" w:rsidRDefault="00A56F47" w:rsidP="00A56F47">
            <w:pPr>
              <w:rPr>
                <w:rFonts w:ascii="Times New Roman" w:hAnsi="Times New Roman"/>
                <w:sz w:val="20"/>
                <w:szCs w:val="20"/>
                <w:lang w:val="fr-FR" w:eastAsia="en-GB"/>
              </w:rPr>
            </w:pPr>
          </w:p>
        </w:tc>
        <w:tc>
          <w:tcPr>
            <w:tcW w:w="1868" w:type="dxa"/>
            <w:tcBorders>
              <w:top w:val="single" w:sz="4" w:space="0" w:color="auto"/>
              <w:left w:val="nil"/>
              <w:right w:val="single" w:sz="4" w:space="0" w:color="auto"/>
            </w:tcBorders>
            <w:shd w:val="clear" w:color="auto" w:fill="auto"/>
            <w:noWrap/>
            <w:vAlign w:val="bottom"/>
            <w:hideMark/>
          </w:tcPr>
          <w:p w14:paraId="52922FBD" w14:textId="77777777" w:rsidR="00A56F47" w:rsidRPr="00941FA7" w:rsidRDefault="00A56F47" w:rsidP="00A56F47">
            <w:pPr>
              <w:rPr>
                <w:rFonts w:ascii="Times New Roman" w:hAnsi="Times New Roman"/>
                <w:sz w:val="20"/>
                <w:szCs w:val="20"/>
                <w:lang w:val="fr-FR" w:eastAsia="en-GB"/>
              </w:rPr>
            </w:pPr>
          </w:p>
        </w:tc>
      </w:tr>
      <w:tr w:rsidR="00A56F47" w:rsidRPr="00941FA7" w14:paraId="093B4072" w14:textId="77777777" w:rsidTr="00A56F47">
        <w:trPr>
          <w:trHeight w:val="270"/>
        </w:trPr>
        <w:tc>
          <w:tcPr>
            <w:tcW w:w="4962" w:type="dxa"/>
            <w:tcBorders>
              <w:left w:val="single" w:sz="4" w:space="0" w:color="auto"/>
              <w:bottom w:val="single" w:sz="4" w:space="0" w:color="auto"/>
              <w:right w:val="nil"/>
            </w:tcBorders>
            <w:shd w:val="clear" w:color="auto" w:fill="auto"/>
            <w:noWrap/>
            <w:vAlign w:val="center"/>
            <w:hideMark/>
          </w:tcPr>
          <w:p w14:paraId="6747EC7B" w14:textId="77777777" w:rsidR="00A56F47" w:rsidRPr="00941FA7" w:rsidRDefault="00A56F47" w:rsidP="00A56F47">
            <w:pPr>
              <w:rPr>
                <w:rFonts w:asciiTheme="minorHAnsi" w:hAnsiTheme="minorHAnsi" w:cstheme="minorHAnsi"/>
                <w:b/>
                <w:bCs/>
                <w:color w:val="000000"/>
                <w:sz w:val="20"/>
                <w:szCs w:val="20"/>
                <w:lang w:val="fr-FR" w:eastAsia="en-GB"/>
              </w:rPr>
            </w:pPr>
            <w:r w:rsidRPr="00941FA7">
              <w:rPr>
                <w:rFonts w:asciiTheme="minorHAnsi" w:hAnsiTheme="minorHAnsi" w:cstheme="minorHAnsi"/>
                <w:b/>
                <w:bCs/>
                <w:color w:val="000000"/>
                <w:sz w:val="20"/>
                <w:szCs w:val="20"/>
                <w:lang w:val="fr-FR" w:eastAsia="en-GB"/>
              </w:rPr>
              <w:t>DÉPENSES</w:t>
            </w:r>
          </w:p>
        </w:tc>
        <w:tc>
          <w:tcPr>
            <w:tcW w:w="1757" w:type="dxa"/>
            <w:tcBorders>
              <w:top w:val="nil"/>
              <w:left w:val="nil"/>
              <w:bottom w:val="nil"/>
              <w:right w:val="nil"/>
            </w:tcBorders>
            <w:shd w:val="clear" w:color="auto" w:fill="auto"/>
            <w:noWrap/>
            <w:vAlign w:val="bottom"/>
            <w:hideMark/>
          </w:tcPr>
          <w:p w14:paraId="4D48203F" w14:textId="77777777" w:rsidR="00A56F47" w:rsidRPr="00941FA7" w:rsidRDefault="00A56F47" w:rsidP="00A56F47">
            <w:pPr>
              <w:rPr>
                <w:b/>
                <w:bCs/>
                <w:color w:val="000000"/>
                <w:sz w:val="20"/>
                <w:szCs w:val="20"/>
                <w:lang w:val="fr-FR" w:eastAsia="en-GB"/>
              </w:rPr>
            </w:pPr>
          </w:p>
        </w:tc>
        <w:tc>
          <w:tcPr>
            <w:tcW w:w="1757" w:type="dxa"/>
            <w:tcBorders>
              <w:top w:val="nil"/>
              <w:left w:val="nil"/>
              <w:bottom w:val="nil"/>
            </w:tcBorders>
            <w:shd w:val="clear" w:color="auto" w:fill="auto"/>
            <w:noWrap/>
            <w:vAlign w:val="bottom"/>
            <w:hideMark/>
          </w:tcPr>
          <w:p w14:paraId="6309EA80" w14:textId="77777777" w:rsidR="00A56F47" w:rsidRPr="00941FA7" w:rsidRDefault="00A56F47" w:rsidP="00A56F47">
            <w:pPr>
              <w:rPr>
                <w:rFonts w:ascii="Times New Roman" w:hAnsi="Times New Roman"/>
                <w:sz w:val="20"/>
                <w:szCs w:val="20"/>
                <w:lang w:val="fr-FR" w:eastAsia="en-GB"/>
              </w:rPr>
            </w:pPr>
          </w:p>
        </w:tc>
        <w:tc>
          <w:tcPr>
            <w:tcW w:w="1757" w:type="dxa"/>
            <w:tcBorders>
              <w:top w:val="nil"/>
              <w:left w:val="nil"/>
              <w:bottom w:val="nil"/>
              <w:right w:val="nil"/>
            </w:tcBorders>
            <w:shd w:val="clear" w:color="auto" w:fill="auto"/>
            <w:noWrap/>
            <w:vAlign w:val="bottom"/>
            <w:hideMark/>
          </w:tcPr>
          <w:p w14:paraId="0E7613A2" w14:textId="77777777" w:rsidR="00A56F47" w:rsidRPr="00941FA7" w:rsidRDefault="00A56F47" w:rsidP="00A56F47">
            <w:pPr>
              <w:rPr>
                <w:rFonts w:ascii="Arial" w:hAnsi="Arial" w:cs="Arial"/>
                <w:color w:val="000000"/>
                <w:sz w:val="20"/>
                <w:szCs w:val="20"/>
                <w:lang w:val="fr-FR" w:eastAsia="en-GB"/>
              </w:rPr>
            </w:pPr>
            <w:r w:rsidRPr="00941FA7">
              <w:rPr>
                <w:rFonts w:ascii="Arial" w:hAnsi="Arial" w:cs="Arial"/>
                <w:color w:val="000000"/>
                <w:sz w:val="20"/>
                <w:szCs w:val="20"/>
                <w:lang w:val="fr-FR" w:eastAsia="en-GB"/>
              </w:rPr>
              <w:t> </w:t>
            </w:r>
          </w:p>
        </w:tc>
        <w:tc>
          <w:tcPr>
            <w:tcW w:w="1757" w:type="dxa"/>
            <w:tcBorders>
              <w:top w:val="nil"/>
              <w:left w:val="nil"/>
              <w:bottom w:val="nil"/>
              <w:right w:val="nil"/>
            </w:tcBorders>
            <w:shd w:val="clear" w:color="auto" w:fill="auto"/>
            <w:noWrap/>
            <w:vAlign w:val="bottom"/>
            <w:hideMark/>
          </w:tcPr>
          <w:p w14:paraId="62DBED3D" w14:textId="77777777" w:rsidR="00A56F47" w:rsidRPr="00941FA7" w:rsidRDefault="00A56F47" w:rsidP="00A56F47">
            <w:pPr>
              <w:rPr>
                <w:rFonts w:ascii="Arial" w:hAnsi="Arial" w:cs="Arial"/>
                <w:color w:val="000000"/>
                <w:sz w:val="20"/>
                <w:szCs w:val="20"/>
                <w:lang w:val="fr-FR" w:eastAsia="en-GB"/>
              </w:rPr>
            </w:pPr>
          </w:p>
        </w:tc>
        <w:tc>
          <w:tcPr>
            <w:tcW w:w="1868" w:type="dxa"/>
            <w:tcBorders>
              <w:top w:val="nil"/>
              <w:left w:val="nil"/>
              <w:bottom w:val="single" w:sz="4" w:space="0" w:color="auto"/>
              <w:right w:val="single" w:sz="4" w:space="0" w:color="auto"/>
            </w:tcBorders>
            <w:shd w:val="clear" w:color="auto" w:fill="auto"/>
            <w:noWrap/>
            <w:vAlign w:val="bottom"/>
            <w:hideMark/>
          </w:tcPr>
          <w:p w14:paraId="2A2930A0" w14:textId="77777777" w:rsidR="00A56F47" w:rsidRPr="00941FA7" w:rsidRDefault="00A56F47" w:rsidP="00A56F47">
            <w:pPr>
              <w:rPr>
                <w:rFonts w:ascii="Times New Roman" w:hAnsi="Times New Roman"/>
                <w:sz w:val="20"/>
                <w:szCs w:val="20"/>
                <w:lang w:val="fr-FR" w:eastAsia="en-GB"/>
              </w:rPr>
            </w:pPr>
          </w:p>
        </w:tc>
      </w:tr>
      <w:tr w:rsidR="00A56F47" w:rsidRPr="00941FA7" w14:paraId="28681A27" w14:textId="77777777" w:rsidTr="008116E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24127B"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color w:val="000000"/>
                <w:sz w:val="20"/>
                <w:szCs w:val="20"/>
                <w:lang w:val="fr-FR" w:eastAsia="en-GB"/>
              </w:rPr>
              <w:t>A.  Cadres supérieurs du Secrétariat</w:t>
            </w:r>
          </w:p>
        </w:tc>
        <w:tc>
          <w:tcPr>
            <w:tcW w:w="175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FE5D3F3"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1,030</w:t>
            </w:r>
          </w:p>
        </w:tc>
        <w:tc>
          <w:tcPr>
            <w:tcW w:w="175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F00CDE5"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5</w:t>
            </w:r>
          </w:p>
        </w:tc>
        <w:tc>
          <w:tcPr>
            <w:tcW w:w="175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CE7A201"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75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D3EFC13"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459142F"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1,035</w:t>
            </w:r>
          </w:p>
        </w:tc>
      </w:tr>
      <w:tr w:rsidR="00A56F47" w:rsidRPr="00941FA7" w14:paraId="7B0E8C9E" w14:textId="77777777" w:rsidTr="00A56F47">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3CC02428"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3237F224" w14:textId="77777777" w:rsidR="00A56F47" w:rsidRPr="00941FA7" w:rsidRDefault="00A56F47" w:rsidP="00A56F47">
            <w:pPr>
              <w:jc w:val="right"/>
              <w:rPr>
                <w:sz w:val="20"/>
                <w:szCs w:val="20"/>
                <w:lang w:val="fr-FR" w:eastAsia="en-GB"/>
              </w:rPr>
            </w:pPr>
            <w:r w:rsidRPr="00941FA7">
              <w:rPr>
                <w:sz w:val="20"/>
                <w:szCs w:val="20"/>
                <w:lang w:val="fr-FR" w:eastAsia="en-GB"/>
              </w:rPr>
              <w:t>990</w:t>
            </w:r>
          </w:p>
        </w:tc>
        <w:tc>
          <w:tcPr>
            <w:tcW w:w="1757" w:type="dxa"/>
            <w:tcBorders>
              <w:top w:val="nil"/>
              <w:left w:val="nil"/>
              <w:bottom w:val="single" w:sz="4" w:space="0" w:color="auto"/>
              <w:right w:val="single" w:sz="4" w:space="0" w:color="auto"/>
            </w:tcBorders>
            <w:shd w:val="clear" w:color="auto" w:fill="auto"/>
            <w:noWrap/>
            <w:vAlign w:val="center"/>
            <w:hideMark/>
          </w:tcPr>
          <w:p w14:paraId="2751203A"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E4E200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46303112"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41D748B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990</w:t>
            </w:r>
          </w:p>
        </w:tc>
      </w:tr>
      <w:tr w:rsidR="00A56F47" w:rsidRPr="00941FA7" w14:paraId="0A178576" w14:textId="77777777" w:rsidTr="00A56F4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834E"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14:paraId="37FB358E" w14:textId="77777777" w:rsidR="00A56F47" w:rsidRPr="00941FA7" w:rsidRDefault="00A56F47" w:rsidP="00A56F47">
            <w:pPr>
              <w:jc w:val="right"/>
              <w:rPr>
                <w:sz w:val="20"/>
                <w:szCs w:val="20"/>
                <w:lang w:val="fr-FR" w:eastAsia="en-GB"/>
              </w:rPr>
            </w:pPr>
            <w:r w:rsidRPr="00941FA7">
              <w:rPr>
                <w:sz w:val="20"/>
                <w:szCs w:val="20"/>
                <w:lang w:val="fr-FR" w:eastAsia="en-GB"/>
              </w:rPr>
              <w:t>40</w:t>
            </w:r>
          </w:p>
        </w:tc>
        <w:tc>
          <w:tcPr>
            <w:tcW w:w="1757" w:type="dxa"/>
            <w:tcBorders>
              <w:top w:val="nil"/>
              <w:left w:val="nil"/>
              <w:bottom w:val="single" w:sz="4" w:space="0" w:color="auto"/>
              <w:right w:val="single" w:sz="4" w:space="0" w:color="auto"/>
            </w:tcBorders>
            <w:shd w:val="clear" w:color="auto" w:fill="auto"/>
            <w:noWrap/>
            <w:vAlign w:val="center"/>
            <w:hideMark/>
          </w:tcPr>
          <w:p w14:paraId="3B4269EB" w14:textId="77777777" w:rsidR="00A56F47" w:rsidRPr="00941FA7" w:rsidRDefault="00A56F47" w:rsidP="00A56F47">
            <w:pPr>
              <w:jc w:val="right"/>
              <w:rPr>
                <w:sz w:val="20"/>
                <w:szCs w:val="20"/>
                <w:lang w:val="fr-FR" w:eastAsia="en-GB"/>
              </w:rPr>
            </w:pPr>
            <w:r w:rsidRPr="00941FA7">
              <w:rPr>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DE63455"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0372AA87"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104A414"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45</w:t>
            </w:r>
          </w:p>
        </w:tc>
      </w:tr>
      <w:tr w:rsidR="00A56F47" w:rsidRPr="00941FA7" w14:paraId="173A4DD6"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367AC73"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color w:val="000000"/>
                <w:sz w:val="20"/>
                <w:szCs w:val="20"/>
                <w:lang w:val="fr-FR" w:eastAsia="en-GB"/>
              </w:rPr>
              <w:t xml:space="preserve">B.  </w:t>
            </w:r>
            <w:r w:rsidRPr="00941FA7">
              <w:rPr>
                <w:rFonts w:asciiTheme="minorHAnsi" w:hAnsiTheme="minorHAnsi" w:cstheme="minorHAnsi"/>
                <w:sz w:val="20"/>
                <w:szCs w:val="20"/>
                <w:lang w:val="fr-FR"/>
              </w:rPr>
              <w:t>Mobilisation des ressources et sensibilisation</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B4F9489"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594</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3702470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45</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D6BA9BD"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211</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565B9B7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1367FBF9"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850</w:t>
            </w:r>
          </w:p>
        </w:tc>
      </w:tr>
      <w:tr w:rsidR="00A56F47" w:rsidRPr="00941FA7" w14:paraId="38E99B68" w14:textId="77777777" w:rsidTr="00A56F47">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32C8BE12"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A307C46" w14:textId="77777777" w:rsidR="00A56F47" w:rsidRPr="00941FA7" w:rsidRDefault="00A56F47" w:rsidP="00A56F47">
            <w:pPr>
              <w:jc w:val="right"/>
              <w:rPr>
                <w:sz w:val="20"/>
                <w:szCs w:val="20"/>
                <w:lang w:val="fr-FR" w:eastAsia="en-GB"/>
              </w:rPr>
            </w:pPr>
            <w:r w:rsidRPr="00941FA7">
              <w:rPr>
                <w:sz w:val="20"/>
                <w:szCs w:val="20"/>
                <w:lang w:val="fr-FR" w:eastAsia="en-GB"/>
              </w:rPr>
              <w:t>438</w:t>
            </w:r>
          </w:p>
        </w:tc>
        <w:tc>
          <w:tcPr>
            <w:tcW w:w="1757" w:type="dxa"/>
            <w:tcBorders>
              <w:top w:val="nil"/>
              <w:left w:val="nil"/>
              <w:bottom w:val="single" w:sz="4" w:space="0" w:color="auto"/>
              <w:right w:val="single" w:sz="4" w:space="0" w:color="auto"/>
            </w:tcBorders>
            <w:shd w:val="clear" w:color="auto" w:fill="auto"/>
            <w:noWrap/>
            <w:vAlign w:val="center"/>
            <w:hideMark/>
          </w:tcPr>
          <w:p w14:paraId="111C6B10"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0A44124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707E73AD"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3E28A90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438</w:t>
            </w:r>
          </w:p>
        </w:tc>
      </w:tr>
      <w:tr w:rsidR="00A56F47" w:rsidRPr="00941FA7" w14:paraId="15A92BF8" w14:textId="77777777" w:rsidTr="00A56F47">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B627"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Programme de CESP</w:t>
            </w:r>
          </w:p>
        </w:tc>
        <w:tc>
          <w:tcPr>
            <w:tcW w:w="1757" w:type="dxa"/>
            <w:tcBorders>
              <w:top w:val="nil"/>
              <w:left w:val="nil"/>
              <w:bottom w:val="single" w:sz="4" w:space="0" w:color="auto"/>
              <w:right w:val="single" w:sz="4" w:space="0" w:color="auto"/>
            </w:tcBorders>
            <w:shd w:val="clear" w:color="auto" w:fill="auto"/>
            <w:noWrap/>
            <w:vAlign w:val="center"/>
            <w:hideMark/>
          </w:tcPr>
          <w:p w14:paraId="7787DA0B" w14:textId="77777777" w:rsidR="00A56F47" w:rsidRPr="00941FA7" w:rsidRDefault="00A56F47" w:rsidP="00A56F47">
            <w:pPr>
              <w:jc w:val="right"/>
              <w:rPr>
                <w:sz w:val="20"/>
                <w:szCs w:val="20"/>
                <w:lang w:val="fr-FR" w:eastAsia="en-GB"/>
              </w:rPr>
            </w:pPr>
            <w:r w:rsidRPr="00941FA7">
              <w:rPr>
                <w:sz w:val="20"/>
                <w:szCs w:val="20"/>
                <w:lang w:val="fr-FR" w:eastAsia="en-GB"/>
              </w:rPr>
              <w:t>30</w:t>
            </w:r>
          </w:p>
        </w:tc>
        <w:tc>
          <w:tcPr>
            <w:tcW w:w="1757" w:type="dxa"/>
            <w:tcBorders>
              <w:top w:val="nil"/>
              <w:left w:val="nil"/>
              <w:bottom w:val="single" w:sz="4" w:space="0" w:color="auto"/>
              <w:right w:val="single" w:sz="4" w:space="0" w:color="auto"/>
            </w:tcBorders>
            <w:shd w:val="clear" w:color="auto" w:fill="auto"/>
            <w:noWrap/>
            <w:vAlign w:val="center"/>
            <w:hideMark/>
          </w:tcPr>
          <w:p w14:paraId="31C4DD25"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864A5BD" w14:textId="77777777" w:rsidR="00A56F47" w:rsidRPr="00941FA7" w:rsidRDefault="00A56F47" w:rsidP="00A56F47">
            <w:pPr>
              <w:jc w:val="right"/>
              <w:rPr>
                <w:sz w:val="20"/>
                <w:szCs w:val="20"/>
                <w:lang w:val="fr-FR" w:eastAsia="en-GB"/>
              </w:rPr>
            </w:pPr>
            <w:r w:rsidRPr="00941FA7">
              <w:rPr>
                <w:sz w:val="20"/>
                <w:szCs w:val="20"/>
                <w:lang w:val="fr-FR" w:eastAsia="en-GB"/>
              </w:rPr>
              <w:t>56</w:t>
            </w:r>
          </w:p>
        </w:tc>
        <w:tc>
          <w:tcPr>
            <w:tcW w:w="1757" w:type="dxa"/>
            <w:tcBorders>
              <w:top w:val="nil"/>
              <w:left w:val="nil"/>
              <w:bottom w:val="single" w:sz="4" w:space="0" w:color="auto"/>
              <w:right w:val="single" w:sz="4" w:space="0" w:color="auto"/>
            </w:tcBorders>
            <w:shd w:val="clear" w:color="auto" w:fill="auto"/>
            <w:noWrap/>
            <w:vAlign w:val="center"/>
            <w:hideMark/>
          </w:tcPr>
          <w:p w14:paraId="78372091" w14:textId="77777777" w:rsidR="00A56F47" w:rsidRPr="00941FA7" w:rsidRDefault="00A56F47" w:rsidP="00A56F47">
            <w:pPr>
              <w:rPr>
                <w:color w:val="0070C0"/>
                <w:sz w:val="20"/>
                <w:szCs w:val="20"/>
                <w:lang w:val="fr-FR" w:eastAsia="en-GB"/>
              </w:rPr>
            </w:pPr>
            <w:r w:rsidRPr="00941FA7">
              <w:rPr>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75E963D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86</w:t>
            </w:r>
          </w:p>
        </w:tc>
      </w:tr>
      <w:tr w:rsidR="00A56F47" w:rsidRPr="00941FA7" w14:paraId="0363E8C0" w14:textId="77777777" w:rsidTr="00A56F47">
        <w:trPr>
          <w:trHeight w:val="52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1608875D"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Communications, traductions, publications et rapports</w:t>
            </w:r>
          </w:p>
        </w:tc>
        <w:tc>
          <w:tcPr>
            <w:tcW w:w="1757" w:type="dxa"/>
            <w:tcBorders>
              <w:top w:val="nil"/>
              <w:left w:val="nil"/>
              <w:bottom w:val="single" w:sz="4" w:space="0" w:color="auto"/>
              <w:right w:val="single" w:sz="4" w:space="0" w:color="auto"/>
            </w:tcBorders>
            <w:shd w:val="clear" w:color="auto" w:fill="auto"/>
            <w:noWrap/>
            <w:vAlign w:val="center"/>
            <w:hideMark/>
          </w:tcPr>
          <w:p w14:paraId="603DAC16" w14:textId="77777777" w:rsidR="00A56F47" w:rsidRPr="00941FA7" w:rsidRDefault="00A56F47" w:rsidP="00A56F47">
            <w:pPr>
              <w:jc w:val="right"/>
              <w:rPr>
                <w:sz w:val="20"/>
                <w:szCs w:val="20"/>
                <w:lang w:val="fr-FR" w:eastAsia="en-GB"/>
              </w:rPr>
            </w:pPr>
            <w:r w:rsidRPr="00941FA7">
              <w:rPr>
                <w:sz w:val="20"/>
                <w:szCs w:val="20"/>
                <w:lang w:val="fr-FR" w:eastAsia="en-GB"/>
              </w:rPr>
              <w:t>60</w:t>
            </w:r>
          </w:p>
        </w:tc>
        <w:tc>
          <w:tcPr>
            <w:tcW w:w="1757" w:type="dxa"/>
            <w:tcBorders>
              <w:top w:val="nil"/>
              <w:left w:val="nil"/>
              <w:bottom w:val="single" w:sz="4" w:space="0" w:color="auto"/>
              <w:right w:val="single" w:sz="4" w:space="0" w:color="auto"/>
            </w:tcBorders>
            <w:shd w:val="clear" w:color="auto" w:fill="auto"/>
            <w:noWrap/>
            <w:vAlign w:val="center"/>
            <w:hideMark/>
          </w:tcPr>
          <w:p w14:paraId="38FFB5C3" w14:textId="77777777" w:rsidR="00A56F47" w:rsidRPr="00941FA7" w:rsidRDefault="00A56F47" w:rsidP="00A56F47">
            <w:pPr>
              <w:jc w:val="right"/>
              <w:rPr>
                <w:sz w:val="20"/>
                <w:szCs w:val="20"/>
                <w:lang w:val="fr-FR" w:eastAsia="en-GB"/>
              </w:rPr>
            </w:pPr>
            <w:r w:rsidRPr="00941FA7">
              <w:rPr>
                <w:sz w:val="20"/>
                <w:szCs w:val="20"/>
                <w:lang w:val="fr-FR" w:eastAsia="en-GB"/>
              </w:rPr>
              <w:t>40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44ECD7A6" w14:textId="77777777" w:rsidR="00A56F47" w:rsidRPr="00941FA7" w:rsidRDefault="00A56F47" w:rsidP="00A56F47">
            <w:pPr>
              <w:jc w:val="right"/>
              <w:rPr>
                <w:sz w:val="20"/>
                <w:szCs w:val="20"/>
                <w:lang w:val="fr-FR" w:eastAsia="en-GB"/>
              </w:rPr>
            </w:pPr>
            <w:r w:rsidRPr="00941FA7">
              <w:rPr>
                <w:sz w:val="20"/>
                <w:szCs w:val="20"/>
                <w:lang w:val="fr-FR" w:eastAsia="en-GB"/>
              </w:rPr>
              <w:t>57</w:t>
            </w:r>
          </w:p>
        </w:tc>
        <w:tc>
          <w:tcPr>
            <w:tcW w:w="1757" w:type="dxa"/>
            <w:tcBorders>
              <w:top w:val="nil"/>
              <w:left w:val="nil"/>
              <w:bottom w:val="single" w:sz="4" w:space="0" w:color="auto"/>
              <w:right w:val="single" w:sz="4" w:space="0" w:color="auto"/>
            </w:tcBorders>
            <w:shd w:val="clear" w:color="auto" w:fill="auto"/>
            <w:noWrap/>
            <w:vAlign w:val="center"/>
            <w:hideMark/>
          </w:tcPr>
          <w:p w14:paraId="4D19E507"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757422B1"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157</w:t>
            </w:r>
          </w:p>
        </w:tc>
      </w:tr>
      <w:tr w:rsidR="00A56F47" w:rsidRPr="00941FA7" w14:paraId="18BA74B0" w14:textId="77777777" w:rsidTr="00A56F47">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2AE4B863"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Journée mondiale des zones humides</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23826F01"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5DE94650"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93B59CE" w14:textId="77777777" w:rsidR="00A56F47" w:rsidRPr="00941FA7" w:rsidRDefault="00A56F47" w:rsidP="00A56F47">
            <w:pPr>
              <w:jc w:val="right"/>
              <w:rPr>
                <w:sz w:val="20"/>
                <w:szCs w:val="20"/>
                <w:lang w:val="fr-FR" w:eastAsia="en-GB"/>
              </w:rPr>
            </w:pPr>
            <w:r w:rsidRPr="00941FA7">
              <w:rPr>
                <w:sz w:val="20"/>
                <w:szCs w:val="20"/>
                <w:lang w:val="fr-FR" w:eastAsia="en-GB"/>
              </w:rPr>
              <w:t>12</w:t>
            </w:r>
          </w:p>
        </w:tc>
        <w:tc>
          <w:tcPr>
            <w:tcW w:w="1757" w:type="dxa"/>
            <w:tcBorders>
              <w:top w:val="nil"/>
              <w:left w:val="nil"/>
              <w:bottom w:val="single" w:sz="4" w:space="0" w:color="auto"/>
              <w:right w:val="single" w:sz="4" w:space="0" w:color="auto"/>
            </w:tcBorders>
            <w:shd w:val="clear" w:color="auto" w:fill="auto"/>
            <w:noWrap/>
            <w:vAlign w:val="center"/>
            <w:hideMark/>
          </w:tcPr>
          <w:p w14:paraId="54F11F82" w14:textId="77777777" w:rsidR="00A56F47" w:rsidRPr="00941FA7" w:rsidRDefault="00A56F47" w:rsidP="00A56F47">
            <w:pPr>
              <w:rPr>
                <w:color w:val="0070C0"/>
                <w:sz w:val="20"/>
                <w:szCs w:val="20"/>
                <w:lang w:val="fr-FR" w:eastAsia="en-GB"/>
              </w:rPr>
            </w:pPr>
            <w:r w:rsidRPr="00941FA7">
              <w:rPr>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415298BD"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12</w:t>
            </w:r>
          </w:p>
        </w:tc>
      </w:tr>
      <w:tr w:rsidR="00A56F47" w:rsidRPr="00941FA7" w14:paraId="7B77D34B"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41B383D"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Appui et développement Web/TI</w:t>
            </w:r>
          </w:p>
        </w:tc>
        <w:tc>
          <w:tcPr>
            <w:tcW w:w="1757" w:type="dxa"/>
            <w:tcBorders>
              <w:top w:val="nil"/>
              <w:left w:val="nil"/>
              <w:bottom w:val="single" w:sz="4" w:space="0" w:color="auto"/>
              <w:right w:val="single" w:sz="4" w:space="0" w:color="auto"/>
            </w:tcBorders>
            <w:shd w:val="clear" w:color="auto" w:fill="auto"/>
            <w:noWrap/>
            <w:vAlign w:val="center"/>
            <w:hideMark/>
          </w:tcPr>
          <w:p w14:paraId="63494DC1" w14:textId="77777777" w:rsidR="00A56F47" w:rsidRPr="00941FA7" w:rsidRDefault="00A56F47" w:rsidP="00A56F47">
            <w:pPr>
              <w:jc w:val="right"/>
              <w:rPr>
                <w:sz w:val="20"/>
                <w:szCs w:val="20"/>
                <w:lang w:val="fr-FR" w:eastAsia="en-GB"/>
              </w:rPr>
            </w:pPr>
            <w:r w:rsidRPr="00941FA7">
              <w:rPr>
                <w:sz w:val="20"/>
                <w:szCs w:val="20"/>
                <w:lang w:val="fr-FR" w:eastAsia="en-GB"/>
              </w:rPr>
              <w:t>56</w:t>
            </w:r>
          </w:p>
        </w:tc>
        <w:tc>
          <w:tcPr>
            <w:tcW w:w="1757" w:type="dxa"/>
            <w:tcBorders>
              <w:top w:val="nil"/>
              <w:left w:val="nil"/>
              <w:bottom w:val="single" w:sz="4" w:space="0" w:color="auto"/>
              <w:right w:val="single" w:sz="4" w:space="0" w:color="auto"/>
            </w:tcBorders>
            <w:shd w:val="clear" w:color="auto" w:fill="auto"/>
            <w:noWrap/>
            <w:vAlign w:val="center"/>
            <w:hideMark/>
          </w:tcPr>
          <w:p w14:paraId="0E38DDE7"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36A592E7"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0901734D" w14:textId="77777777" w:rsidR="00A56F47" w:rsidRPr="00941FA7" w:rsidRDefault="00A56F47" w:rsidP="00A56F47">
            <w:pPr>
              <w:rPr>
                <w:color w:val="0070C0"/>
                <w:sz w:val="20"/>
                <w:szCs w:val="20"/>
                <w:lang w:val="fr-FR" w:eastAsia="en-GB"/>
              </w:rPr>
            </w:pPr>
            <w:r w:rsidRPr="00941FA7">
              <w:rPr>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17B0FA1C"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56</w:t>
            </w:r>
          </w:p>
        </w:tc>
      </w:tr>
      <w:tr w:rsidR="00A56F47" w:rsidRPr="00941FA7" w14:paraId="4F6CFBA1" w14:textId="77777777" w:rsidTr="008116E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DD41"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lastRenderedPageBreak/>
              <w:t>Redéveloppement Web</w:t>
            </w:r>
          </w:p>
        </w:tc>
        <w:tc>
          <w:tcPr>
            <w:tcW w:w="1757" w:type="dxa"/>
            <w:tcBorders>
              <w:top w:val="nil"/>
              <w:left w:val="nil"/>
              <w:bottom w:val="single" w:sz="4" w:space="0" w:color="auto"/>
              <w:right w:val="single" w:sz="4" w:space="0" w:color="auto"/>
            </w:tcBorders>
            <w:shd w:val="clear" w:color="auto" w:fill="auto"/>
            <w:noWrap/>
            <w:vAlign w:val="center"/>
            <w:hideMark/>
          </w:tcPr>
          <w:p w14:paraId="5FC1EDF0"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DD1FC89"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BD1E045" w14:textId="77777777" w:rsidR="00A56F47" w:rsidRPr="00941FA7" w:rsidRDefault="00A56F47" w:rsidP="00A56F47">
            <w:pPr>
              <w:jc w:val="right"/>
              <w:rPr>
                <w:sz w:val="20"/>
                <w:szCs w:val="20"/>
                <w:lang w:val="fr-FR" w:eastAsia="en-GB"/>
              </w:rPr>
            </w:pPr>
            <w:r w:rsidRPr="00941FA7">
              <w:rPr>
                <w:sz w:val="20"/>
                <w:szCs w:val="20"/>
                <w:lang w:val="fr-FR" w:eastAsia="en-GB"/>
              </w:rPr>
              <w:t>86</w:t>
            </w:r>
          </w:p>
        </w:tc>
        <w:tc>
          <w:tcPr>
            <w:tcW w:w="1757" w:type="dxa"/>
            <w:tcBorders>
              <w:top w:val="nil"/>
              <w:left w:val="nil"/>
              <w:bottom w:val="single" w:sz="4" w:space="0" w:color="auto"/>
              <w:right w:val="single" w:sz="4" w:space="0" w:color="auto"/>
            </w:tcBorders>
            <w:shd w:val="clear" w:color="auto" w:fill="auto"/>
            <w:noWrap/>
            <w:vAlign w:val="center"/>
            <w:hideMark/>
          </w:tcPr>
          <w:p w14:paraId="6D95A25C" w14:textId="77777777" w:rsidR="00A56F47" w:rsidRPr="00941FA7" w:rsidRDefault="00A56F47" w:rsidP="00A56F47">
            <w:pPr>
              <w:rPr>
                <w:color w:val="0070C0"/>
                <w:sz w:val="20"/>
                <w:szCs w:val="20"/>
                <w:lang w:val="fr-FR" w:eastAsia="en-GB"/>
              </w:rPr>
            </w:pPr>
            <w:r w:rsidRPr="00941FA7">
              <w:rPr>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2082A7D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86</w:t>
            </w:r>
          </w:p>
        </w:tc>
      </w:tr>
      <w:tr w:rsidR="00A56F47" w:rsidRPr="00941FA7" w14:paraId="6A8B078A"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2FE2F40"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14:paraId="0C6762F9" w14:textId="77777777" w:rsidR="00A56F47" w:rsidRPr="00941FA7" w:rsidRDefault="00A56F47" w:rsidP="00A56F47">
            <w:pPr>
              <w:jc w:val="right"/>
              <w:rPr>
                <w:sz w:val="20"/>
                <w:szCs w:val="20"/>
                <w:lang w:val="fr-FR" w:eastAsia="en-GB"/>
              </w:rPr>
            </w:pPr>
            <w:r w:rsidRPr="00941FA7">
              <w:rPr>
                <w:sz w:val="20"/>
                <w:szCs w:val="20"/>
                <w:lang w:val="fr-FR" w:eastAsia="en-GB"/>
              </w:rPr>
              <w:t>10</w:t>
            </w:r>
          </w:p>
        </w:tc>
        <w:tc>
          <w:tcPr>
            <w:tcW w:w="1757" w:type="dxa"/>
            <w:tcBorders>
              <w:top w:val="nil"/>
              <w:left w:val="nil"/>
              <w:bottom w:val="single" w:sz="4" w:space="0" w:color="auto"/>
              <w:right w:val="single" w:sz="4" w:space="0" w:color="auto"/>
            </w:tcBorders>
            <w:shd w:val="clear" w:color="auto" w:fill="auto"/>
            <w:noWrap/>
            <w:vAlign w:val="center"/>
            <w:hideMark/>
          </w:tcPr>
          <w:p w14:paraId="754CB130" w14:textId="77777777" w:rsidR="00A56F47" w:rsidRPr="00941FA7" w:rsidRDefault="00A56F47" w:rsidP="00A56F47">
            <w:pPr>
              <w:jc w:val="right"/>
              <w:rPr>
                <w:sz w:val="20"/>
                <w:szCs w:val="20"/>
                <w:lang w:val="fr-FR" w:eastAsia="en-GB"/>
              </w:rPr>
            </w:pPr>
            <w:r w:rsidRPr="00941FA7">
              <w:rPr>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A366A4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34974E81"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2BAB6D40"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15</w:t>
            </w:r>
          </w:p>
        </w:tc>
      </w:tr>
      <w:tr w:rsidR="00A56F47" w:rsidRPr="00941FA7" w14:paraId="3A13B45F"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2AD2A6C"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 xml:space="preserve">C.  </w:t>
            </w:r>
            <w:r w:rsidRPr="00941FA7">
              <w:rPr>
                <w:rFonts w:asciiTheme="minorHAnsi" w:hAnsiTheme="minorHAnsi" w:cstheme="minorHAnsi"/>
                <w:sz w:val="20"/>
                <w:szCs w:val="20"/>
                <w:lang w:val="fr-FR"/>
              </w:rPr>
              <w:t>Appui et conseils aux Régions</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84163A6" w14:textId="77777777" w:rsidR="00A56F47" w:rsidRPr="00941FA7" w:rsidRDefault="00A56F47" w:rsidP="00A56F47">
            <w:pPr>
              <w:jc w:val="right"/>
              <w:rPr>
                <w:b/>
                <w:bCs/>
                <w:sz w:val="20"/>
                <w:szCs w:val="20"/>
                <w:lang w:val="fr-FR" w:eastAsia="en-GB"/>
              </w:rPr>
            </w:pPr>
            <w:r w:rsidRPr="00941FA7">
              <w:rPr>
                <w:b/>
                <w:bCs/>
                <w:sz w:val="20"/>
                <w:szCs w:val="20"/>
                <w:lang w:val="fr-FR" w:eastAsia="en-GB"/>
              </w:rPr>
              <w:t>1,237</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F98BF3A" w14:textId="77777777" w:rsidR="00A56F47" w:rsidRPr="00941FA7" w:rsidRDefault="00A56F47" w:rsidP="00A56F47">
            <w:pPr>
              <w:jc w:val="right"/>
              <w:rPr>
                <w:b/>
                <w:bCs/>
                <w:sz w:val="20"/>
                <w:szCs w:val="20"/>
                <w:lang w:val="fr-FR" w:eastAsia="en-GB"/>
              </w:rPr>
            </w:pPr>
            <w:r w:rsidRPr="00941FA7">
              <w:rPr>
                <w:b/>
                <w:bCs/>
                <w:sz w:val="20"/>
                <w:szCs w:val="20"/>
                <w:lang w:val="fr-FR" w:eastAsia="en-GB"/>
              </w:rPr>
              <w:t>10</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1ED11E1"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96</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ED39751"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3660C935"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1,343</w:t>
            </w:r>
          </w:p>
        </w:tc>
      </w:tr>
      <w:tr w:rsidR="00A56F47" w:rsidRPr="00941FA7" w14:paraId="221FB9D4" w14:textId="77777777" w:rsidTr="00A56F47">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20FB6A3E"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8279C2C" w14:textId="77777777" w:rsidR="00A56F47" w:rsidRPr="00941FA7" w:rsidRDefault="00A56F47" w:rsidP="00A56F47">
            <w:pPr>
              <w:jc w:val="right"/>
              <w:rPr>
                <w:sz w:val="20"/>
                <w:szCs w:val="20"/>
                <w:lang w:val="fr-FR" w:eastAsia="en-GB"/>
              </w:rPr>
            </w:pPr>
            <w:r w:rsidRPr="00941FA7">
              <w:rPr>
                <w:sz w:val="20"/>
                <w:szCs w:val="20"/>
                <w:lang w:val="fr-FR" w:eastAsia="en-GB"/>
              </w:rPr>
              <w:t>1,170</w:t>
            </w:r>
          </w:p>
        </w:tc>
        <w:tc>
          <w:tcPr>
            <w:tcW w:w="1757" w:type="dxa"/>
            <w:tcBorders>
              <w:top w:val="nil"/>
              <w:left w:val="nil"/>
              <w:bottom w:val="single" w:sz="4" w:space="0" w:color="auto"/>
              <w:right w:val="single" w:sz="4" w:space="0" w:color="auto"/>
            </w:tcBorders>
            <w:shd w:val="clear" w:color="auto" w:fill="auto"/>
            <w:noWrap/>
            <w:vAlign w:val="center"/>
            <w:hideMark/>
          </w:tcPr>
          <w:p w14:paraId="529F210B"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3DC393C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130887D8"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49502171"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1,170</w:t>
            </w:r>
          </w:p>
        </w:tc>
      </w:tr>
      <w:tr w:rsidR="00A56F47" w:rsidRPr="00941FA7" w14:paraId="35C1047E" w14:textId="77777777" w:rsidTr="00A56F4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C253"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14:paraId="54B3A87E" w14:textId="77777777" w:rsidR="00A56F47" w:rsidRPr="00941FA7" w:rsidRDefault="00A56F47" w:rsidP="00A56F47">
            <w:pPr>
              <w:jc w:val="right"/>
              <w:rPr>
                <w:sz w:val="20"/>
                <w:szCs w:val="20"/>
                <w:lang w:val="fr-FR" w:eastAsia="en-GB"/>
              </w:rPr>
            </w:pPr>
            <w:r w:rsidRPr="00941FA7">
              <w:rPr>
                <w:sz w:val="20"/>
                <w:szCs w:val="20"/>
                <w:lang w:val="fr-FR" w:eastAsia="en-GB"/>
              </w:rPr>
              <w:t>67</w:t>
            </w:r>
          </w:p>
        </w:tc>
        <w:tc>
          <w:tcPr>
            <w:tcW w:w="1757" w:type="dxa"/>
            <w:tcBorders>
              <w:top w:val="nil"/>
              <w:left w:val="nil"/>
              <w:bottom w:val="single" w:sz="4" w:space="0" w:color="auto"/>
              <w:right w:val="single" w:sz="4" w:space="0" w:color="auto"/>
            </w:tcBorders>
            <w:shd w:val="clear" w:color="auto" w:fill="auto"/>
            <w:noWrap/>
            <w:vAlign w:val="center"/>
            <w:hideMark/>
          </w:tcPr>
          <w:p w14:paraId="0B53C869" w14:textId="77777777" w:rsidR="00A56F47" w:rsidRPr="00941FA7" w:rsidRDefault="00A56F47" w:rsidP="00A56F47">
            <w:pPr>
              <w:jc w:val="right"/>
              <w:rPr>
                <w:sz w:val="20"/>
                <w:szCs w:val="20"/>
                <w:lang w:val="fr-FR" w:eastAsia="en-GB"/>
              </w:rPr>
            </w:pPr>
            <w:r w:rsidRPr="00941FA7">
              <w:rPr>
                <w:sz w:val="20"/>
                <w:szCs w:val="20"/>
                <w:lang w:val="fr-FR" w:eastAsia="en-GB"/>
              </w:rPr>
              <w:t>10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283C276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6C18526"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91DC2A4"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77</w:t>
            </w:r>
          </w:p>
        </w:tc>
      </w:tr>
      <w:tr w:rsidR="00A56F47" w:rsidRPr="00941FA7" w14:paraId="666F446C"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8D6135D"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Missions consultatives Ramsar</w:t>
            </w:r>
          </w:p>
        </w:tc>
        <w:tc>
          <w:tcPr>
            <w:tcW w:w="1757" w:type="dxa"/>
            <w:tcBorders>
              <w:top w:val="nil"/>
              <w:left w:val="nil"/>
              <w:bottom w:val="single" w:sz="4" w:space="0" w:color="auto"/>
              <w:right w:val="single" w:sz="4" w:space="0" w:color="auto"/>
            </w:tcBorders>
            <w:shd w:val="clear" w:color="auto" w:fill="auto"/>
            <w:noWrap/>
            <w:vAlign w:val="center"/>
            <w:hideMark/>
          </w:tcPr>
          <w:p w14:paraId="57B1BC76"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5897E75D"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693B53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96</w:t>
            </w:r>
          </w:p>
        </w:tc>
        <w:tc>
          <w:tcPr>
            <w:tcW w:w="1757" w:type="dxa"/>
            <w:tcBorders>
              <w:top w:val="nil"/>
              <w:left w:val="nil"/>
              <w:bottom w:val="single" w:sz="4" w:space="0" w:color="auto"/>
              <w:right w:val="single" w:sz="4" w:space="0" w:color="auto"/>
            </w:tcBorders>
            <w:shd w:val="clear" w:color="auto" w:fill="auto"/>
            <w:noWrap/>
            <w:vAlign w:val="center"/>
            <w:hideMark/>
          </w:tcPr>
          <w:p w14:paraId="7B9C2EC2"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31BACDA0"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96</w:t>
            </w:r>
          </w:p>
        </w:tc>
      </w:tr>
      <w:tr w:rsidR="00A56F47" w:rsidRPr="00941FA7" w14:paraId="3756B56F"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5A0C025"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 xml:space="preserve">D.  </w:t>
            </w:r>
            <w:r w:rsidRPr="00941FA7">
              <w:rPr>
                <w:rFonts w:asciiTheme="minorHAnsi" w:hAnsiTheme="minorHAnsi" w:cstheme="minorHAnsi"/>
                <w:sz w:val="20"/>
                <w:szCs w:val="20"/>
                <w:lang w:val="fr-FR"/>
              </w:rPr>
              <w:t>Appui aux Initiatives régionales (IR)</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2F82E46" w14:textId="77777777" w:rsidR="00A56F47" w:rsidRPr="00941FA7" w:rsidRDefault="00A56F47" w:rsidP="00A56F47">
            <w:pPr>
              <w:jc w:val="right"/>
              <w:rPr>
                <w:b/>
                <w:bCs/>
                <w:sz w:val="20"/>
                <w:szCs w:val="20"/>
                <w:lang w:val="fr-FR" w:eastAsia="en-GB"/>
              </w:rPr>
            </w:pPr>
            <w:r w:rsidRPr="00941FA7">
              <w:rPr>
                <w:b/>
                <w:bCs/>
                <w:sz w:val="20"/>
                <w:szCs w:val="20"/>
                <w:lang w:val="fr-FR" w:eastAsia="en-GB"/>
              </w:rPr>
              <w:t>100</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5613FD4F" w14:textId="77777777" w:rsidR="00A56F47" w:rsidRPr="00941FA7" w:rsidRDefault="00A56F47" w:rsidP="00A56F47">
            <w:pPr>
              <w:jc w:val="right"/>
              <w:rPr>
                <w:b/>
                <w:bCs/>
                <w:sz w:val="20"/>
                <w:szCs w:val="20"/>
                <w:lang w:val="fr-FR" w:eastAsia="en-GB"/>
              </w:rPr>
            </w:pPr>
            <w:r w:rsidRPr="00941FA7">
              <w:rPr>
                <w:b/>
                <w:bCs/>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7E99D49"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76</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3843CE5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1C4FAAC3"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176</w:t>
            </w:r>
          </w:p>
        </w:tc>
      </w:tr>
      <w:tr w:rsidR="00A56F47" w:rsidRPr="00941FA7" w14:paraId="2028A4BF" w14:textId="77777777" w:rsidTr="00A56F47">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147B3ED1"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Réseaux et centres régionaux **</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7258315" w14:textId="77777777" w:rsidR="00A56F47" w:rsidRPr="00941FA7" w:rsidRDefault="00A56F47" w:rsidP="00A56F47">
            <w:pPr>
              <w:jc w:val="right"/>
              <w:rPr>
                <w:sz w:val="20"/>
                <w:szCs w:val="20"/>
                <w:lang w:val="fr-FR" w:eastAsia="en-GB"/>
              </w:rPr>
            </w:pPr>
            <w:r w:rsidRPr="00941FA7">
              <w:rPr>
                <w:sz w:val="20"/>
                <w:szCs w:val="20"/>
                <w:lang w:val="fr-FR" w:eastAsia="en-GB"/>
              </w:rPr>
              <w:t>100</w:t>
            </w:r>
          </w:p>
        </w:tc>
        <w:tc>
          <w:tcPr>
            <w:tcW w:w="1757" w:type="dxa"/>
            <w:tcBorders>
              <w:top w:val="nil"/>
              <w:left w:val="nil"/>
              <w:bottom w:val="single" w:sz="4" w:space="0" w:color="auto"/>
              <w:right w:val="single" w:sz="4" w:space="0" w:color="auto"/>
            </w:tcBorders>
            <w:shd w:val="clear" w:color="auto" w:fill="auto"/>
            <w:noWrap/>
            <w:vAlign w:val="center"/>
            <w:hideMark/>
          </w:tcPr>
          <w:p w14:paraId="5522AE72"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2E8B21E2"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A9FA61B"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49B42CD4"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100</w:t>
            </w:r>
          </w:p>
        </w:tc>
      </w:tr>
      <w:tr w:rsidR="00A56F47" w:rsidRPr="00941FA7" w14:paraId="39A95FF6"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2450429"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Report Bassin de l’Amazone 2021</w:t>
            </w:r>
          </w:p>
        </w:tc>
        <w:tc>
          <w:tcPr>
            <w:tcW w:w="1757" w:type="dxa"/>
            <w:tcBorders>
              <w:top w:val="nil"/>
              <w:left w:val="nil"/>
              <w:bottom w:val="single" w:sz="4" w:space="0" w:color="auto"/>
              <w:right w:val="single" w:sz="4" w:space="0" w:color="auto"/>
            </w:tcBorders>
            <w:shd w:val="clear" w:color="auto" w:fill="auto"/>
            <w:noWrap/>
            <w:vAlign w:val="center"/>
            <w:hideMark/>
          </w:tcPr>
          <w:p w14:paraId="3CBD6B64"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49CDB4A4"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397E532" w14:textId="77777777" w:rsidR="00A56F47" w:rsidRPr="00941FA7" w:rsidRDefault="00A56F47" w:rsidP="00A56F47">
            <w:pPr>
              <w:jc w:val="right"/>
              <w:rPr>
                <w:sz w:val="20"/>
                <w:szCs w:val="20"/>
                <w:lang w:val="fr-FR" w:eastAsia="en-GB"/>
              </w:rPr>
            </w:pPr>
            <w:r w:rsidRPr="00941FA7">
              <w:rPr>
                <w:sz w:val="20"/>
                <w:szCs w:val="20"/>
                <w:lang w:val="fr-FR" w:eastAsia="en-GB"/>
              </w:rPr>
              <w:t>76</w:t>
            </w:r>
          </w:p>
        </w:tc>
        <w:tc>
          <w:tcPr>
            <w:tcW w:w="1757" w:type="dxa"/>
            <w:tcBorders>
              <w:top w:val="nil"/>
              <w:left w:val="nil"/>
              <w:bottom w:val="single" w:sz="4" w:space="0" w:color="auto"/>
              <w:right w:val="single" w:sz="4" w:space="0" w:color="auto"/>
            </w:tcBorders>
            <w:shd w:val="clear" w:color="auto" w:fill="auto"/>
            <w:noWrap/>
            <w:vAlign w:val="center"/>
            <w:hideMark/>
          </w:tcPr>
          <w:p w14:paraId="2540A567" w14:textId="77777777" w:rsidR="00A56F47" w:rsidRPr="00941FA7" w:rsidRDefault="00A56F47" w:rsidP="00A56F47">
            <w:pPr>
              <w:rPr>
                <w:color w:val="0070C0"/>
                <w:sz w:val="20"/>
                <w:szCs w:val="20"/>
                <w:lang w:val="fr-FR" w:eastAsia="en-GB"/>
              </w:rPr>
            </w:pPr>
            <w:r w:rsidRPr="00941FA7">
              <w:rPr>
                <w:color w:val="0070C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3C162C2C"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76</w:t>
            </w:r>
          </w:p>
        </w:tc>
      </w:tr>
      <w:tr w:rsidR="00A56F47" w:rsidRPr="00941FA7" w14:paraId="53E66171"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1D34140"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 xml:space="preserve">E.  </w:t>
            </w:r>
            <w:r w:rsidRPr="00941FA7">
              <w:rPr>
                <w:rFonts w:asciiTheme="minorHAnsi" w:hAnsiTheme="minorHAnsi" w:cstheme="minorHAnsi"/>
                <w:sz w:val="20"/>
                <w:szCs w:val="20"/>
                <w:lang w:val="fr-FR"/>
              </w:rPr>
              <w:t>Services scientifiques et techniques</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07B08C6" w14:textId="77777777" w:rsidR="00A56F47" w:rsidRPr="00941FA7" w:rsidRDefault="00A56F47" w:rsidP="00A56F47">
            <w:pPr>
              <w:jc w:val="right"/>
              <w:rPr>
                <w:b/>
                <w:bCs/>
                <w:sz w:val="20"/>
                <w:szCs w:val="20"/>
                <w:lang w:val="fr-FR" w:eastAsia="en-GB"/>
              </w:rPr>
            </w:pPr>
            <w:r w:rsidRPr="00941FA7">
              <w:rPr>
                <w:b/>
                <w:bCs/>
                <w:sz w:val="20"/>
                <w:szCs w:val="20"/>
                <w:lang w:val="fr-FR" w:eastAsia="en-GB"/>
              </w:rPr>
              <w:t>839</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5B0C4335" w14:textId="77777777" w:rsidR="00A56F47" w:rsidRPr="00941FA7" w:rsidRDefault="00A56F47" w:rsidP="00A56F47">
            <w:pPr>
              <w:jc w:val="right"/>
              <w:rPr>
                <w:b/>
                <w:bCs/>
                <w:sz w:val="20"/>
                <w:szCs w:val="20"/>
                <w:lang w:val="fr-FR" w:eastAsia="en-GB"/>
              </w:rPr>
            </w:pPr>
            <w:r w:rsidRPr="00941FA7">
              <w:rPr>
                <w:b/>
                <w:bCs/>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07B39B3"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224</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2613BA8"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373A554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1,068</w:t>
            </w:r>
          </w:p>
        </w:tc>
      </w:tr>
      <w:tr w:rsidR="00A56F47" w:rsidRPr="00941FA7" w14:paraId="00A68D49" w14:textId="77777777" w:rsidTr="00A56F47">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483509B6"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35C266E8" w14:textId="77777777" w:rsidR="00A56F47" w:rsidRPr="00941FA7" w:rsidRDefault="00A56F47" w:rsidP="00A56F47">
            <w:pPr>
              <w:jc w:val="right"/>
              <w:rPr>
                <w:sz w:val="20"/>
                <w:szCs w:val="20"/>
                <w:lang w:val="fr-FR" w:eastAsia="en-GB"/>
              </w:rPr>
            </w:pPr>
            <w:r w:rsidRPr="00941FA7">
              <w:rPr>
                <w:sz w:val="20"/>
                <w:szCs w:val="20"/>
                <w:lang w:val="fr-FR" w:eastAsia="en-GB"/>
              </w:rPr>
              <w:t>651</w:t>
            </w:r>
          </w:p>
        </w:tc>
        <w:tc>
          <w:tcPr>
            <w:tcW w:w="1757" w:type="dxa"/>
            <w:tcBorders>
              <w:top w:val="nil"/>
              <w:left w:val="nil"/>
              <w:bottom w:val="single" w:sz="4" w:space="0" w:color="auto"/>
              <w:right w:val="single" w:sz="4" w:space="0" w:color="auto"/>
            </w:tcBorders>
            <w:shd w:val="clear" w:color="auto" w:fill="auto"/>
            <w:noWrap/>
            <w:vAlign w:val="center"/>
            <w:hideMark/>
          </w:tcPr>
          <w:p w14:paraId="7DF2994F"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EF07365"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4987C1BB"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78200D2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651</w:t>
            </w:r>
          </w:p>
        </w:tc>
      </w:tr>
      <w:tr w:rsidR="00A56F47" w:rsidRPr="00941FA7" w14:paraId="67211118" w14:textId="77777777" w:rsidTr="00A56F4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6C878"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Déplacements</w:t>
            </w:r>
          </w:p>
        </w:tc>
        <w:tc>
          <w:tcPr>
            <w:tcW w:w="1757" w:type="dxa"/>
            <w:tcBorders>
              <w:top w:val="nil"/>
              <w:left w:val="nil"/>
              <w:bottom w:val="single" w:sz="4" w:space="0" w:color="auto"/>
              <w:right w:val="single" w:sz="4" w:space="0" w:color="auto"/>
            </w:tcBorders>
            <w:shd w:val="clear" w:color="auto" w:fill="auto"/>
            <w:noWrap/>
            <w:vAlign w:val="center"/>
            <w:hideMark/>
          </w:tcPr>
          <w:p w14:paraId="1DC557BF" w14:textId="77777777" w:rsidR="00A56F47" w:rsidRPr="00941FA7" w:rsidRDefault="00A56F47" w:rsidP="00A56F47">
            <w:pPr>
              <w:jc w:val="right"/>
              <w:rPr>
                <w:sz w:val="20"/>
                <w:szCs w:val="20"/>
                <w:lang w:val="fr-FR" w:eastAsia="en-GB"/>
              </w:rPr>
            </w:pPr>
            <w:r w:rsidRPr="00941FA7">
              <w:rPr>
                <w:sz w:val="20"/>
                <w:szCs w:val="20"/>
                <w:lang w:val="fr-FR" w:eastAsia="en-GB"/>
              </w:rPr>
              <w:t>18</w:t>
            </w:r>
          </w:p>
        </w:tc>
        <w:tc>
          <w:tcPr>
            <w:tcW w:w="1757" w:type="dxa"/>
            <w:tcBorders>
              <w:top w:val="nil"/>
              <w:left w:val="nil"/>
              <w:bottom w:val="single" w:sz="4" w:space="0" w:color="auto"/>
              <w:right w:val="single" w:sz="4" w:space="0" w:color="auto"/>
            </w:tcBorders>
            <w:shd w:val="clear" w:color="auto" w:fill="auto"/>
            <w:noWrap/>
            <w:vAlign w:val="center"/>
            <w:hideMark/>
          </w:tcPr>
          <w:p w14:paraId="36C4098D"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9AF292C"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10</w:t>
            </w:r>
          </w:p>
        </w:tc>
        <w:tc>
          <w:tcPr>
            <w:tcW w:w="1757" w:type="dxa"/>
            <w:tcBorders>
              <w:top w:val="nil"/>
              <w:left w:val="nil"/>
              <w:bottom w:val="single" w:sz="4" w:space="0" w:color="auto"/>
              <w:right w:val="single" w:sz="4" w:space="0" w:color="auto"/>
            </w:tcBorders>
            <w:shd w:val="clear" w:color="auto" w:fill="auto"/>
            <w:noWrap/>
            <w:vAlign w:val="center"/>
            <w:hideMark/>
          </w:tcPr>
          <w:p w14:paraId="6FCB4EF4"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5A0DBE7"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28</w:t>
            </w:r>
          </w:p>
        </w:tc>
      </w:tr>
      <w:tr w:rsidR="00A56F47" w:rsidRPr="00941FA7" w14:paraId="741BF847"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A99C04C"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Déplacements Président du GEST</w:t>
            </w:r>
          </w:p>
        </w:tc>
        <w:tc>
          <w:tcPr>
            <w:tcW w:w="1757" w:type="dxa"/>
            <w:tcBorders>
              <w:top w:val="nil"/>
              <w:left w:val="nil"/>
              <w:bottom w:val="single" w:sz="4" w:space="0" w:color="auto"/>
              <w:right w:val="single" w:sz="4" w:space="0" w:color="auto"/>
            </w:tcBorders>
            <w:shd w:val="clear" w:color="auto" w:fill="auto"/>
            <w:noWrap/>
            <w:vAlign w:val="center"/>
            <w:hideMark/>
          </w:tcPr>
          <w:p w14:paraId="77732A1A" w14:textId="77777777" w:rsidR="00A56F47" w:rsidRPr="00941FA7" w:rsidRDefault="00A56F47" w:rsidP="00A56F47">
            <w:pPr>
              <w:jc w:val="right"/>
              <w:rPr>
                <w:sz w:val="20"/>
                <w:szCs w:val="20"/>
                <w:lang w:val="fr-FR" w:eastAsia="en-GB"/>
              </w:rPr>
            </w:pPr>
            <w:r w:rsidRPr="00941FA7">
              <w:rPr>
                <w:sz w:val="20"/>
                <w:szCs w:val="20"/>
                <w:lang w:val="fr-FR" w:eastAsia="en-GB"/>
              </w:rPr>
              <w:t>5</w:t>
            </w:r>
          </w:p>
        </w:tc>
        <w:tc>
          <w:tcPr>
            <w:tcW w:w="1757" w:type="dxa"/>
            <w:tcBorders>
              <w:top w:val="nil"/>
              <w:left w:val="nil"/>
              <w:bottom w:val="single" w:sz="4" w:space="0" w:color="auto"/>
              <w:right w:val="single" w:sz="4" w:space="0" w:color="auto"/>
            </w:tcBorders>
            <w:shd w:val="clear" w:color="auto" w:fill="auto"/>
            <w:noWrap/>
            <w:vAlign w:val="center"/>
            <w:hideMark/>
          </w:tcPr>
          <w:p w14:paraId="18232973"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7F9D9F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12</w:t>
            </w:r>
          </w:p>
        </w:tc>
        <w:tc>
          <w:tcPr>
            <w:tcW w:w="1757" w:type="dxa"/>
            <w:tcBorders>
              <w:top w:val="nil"/>
              <w:left w:val="nil"/>
              <w:bottom w:val="single" w:sz="4" w:space="0" w:color="auto"/>
              <w:right w:val="single" w:sz="4" w:space="0" w:color="auto"/>
            </w:tcBorders>
            <w:shd w:val="clear" w:color="auto" w:fill="auto"/>
            <w:noWrap/>
            <w:vAlign w:val="center"/>
            <w:hideMark/>
          </w:tcPr>
          <w:p w14:paraId="672B0974"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7916A09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17</w:t>
            </w:r>
          </w:p>
        </w:tc>
      </w:tr>
      <w:tr w:rsidR="00A56F47" w:rsidRPr="00941FA7" w14:paraId="4672933D"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010AECE"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Mise en œuvre du GEST</w:t>
            </w:r>
          </w:p>
        </w:tc>
        <w:tc>
          <w:tcPr>
            <w:tcW w:w="1757" w:type="dxa"/>
            <w:tcBorders>
              <w:top w:val="nil"/>
              <w:left w:val="nil"/>
              <w:bottom w:val="single" w:sz="4" w:space="0" w:color="auto"/>
              <w:right w:val="single" w:sz="4" w:space="0" w:color="auto"/>
            </w:tcBorders>
            <w:shd w:val="clear" w:color="auto" w:fill="auto"/>
            <w:noWrap/>
            <w:vAlign w:val="center"/>
            <w:hideMark/>
          </w:tcPr>
          <w:p w14:paraId="4B0F0E25" w14:textId="77777777" w:rsidR="00A56F47" w:rsidRPr="00941FA7" w:rsidRDefault="00A56F47" w:rsidP="00A56F47">
            <w:pPr>
              <w:jc w:val="right"/>
              <w:rPr>
                <w:sz w:val="20"/>
                <w:szCs w:val="20"/>
                <w:lang w:val="fr-FR" w:eastAsia="en-GB"/>
              </w:rPr>
            </w:pPr>
            <w:r w:rsidRPr="00941FA7">
              <w:rPr>
                <w:sz w:val="20"/>
                <w:szCs w:val="20"/>
                <w:lang w:val="fr-FR" w:eastAsia="en-GB"/>
              </w:rPr>
              <w:t>35</w:t>
            </w:r>
          </w:p>
        </w:tc>
        <w:tc>
          <w:tcPr>
            <w:tcW w:w="1757" w:type="dxa"/>
            <w:tcBorders>
              <w:top w:val="nil"/>
              <w:left w:val="nil"/>
              <w:bottom w:val="single" w:sz="4" w:space="0" w:color="auto"/>
              <w:right w:val="single" w:sz="4" w:space="0" w:color="auto"/>
            </w:tcBorders>
            <w:shd w:val="clear" w:color="auto" w:fill="auto"/>
            <w:noWrap/>
            <w:vAlign w:val="center"/>
            <w:hideMark/>
          </w:tcPr>
          <w:p w14:paraId="1B9E7E48" w14:textId="77777777" w:rsidR="00A56F47" w:rsidRPr="00941FA7" w:rsidRDefault="00A56F47" w:rsidP="00A56F47">
            <w:pPr>
              <w:jc w:val="right"/>
              <w:rPr>
                <w:sz w:val="20"/>
                <w:szCs w:val="20"/>
                <w:lang w:val="fr-FR" w:eastAsia="en-GB"/>
              </w:rPr>
            </w:pPr>
            <w:r w:rsidRPr="00941FA7">
              <w:rPr>
                <w:sz w:val="20"/>
                <w:szCs w:val="20"/>
                <w:lang w:val="fr-FR" w:eastAsia="en-GB"/>
              </w:rPr>
              <w:t>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2A5F45A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40</w:t>
            </w:r>
          </w:p>
        </w:tc>
        <w:tc>
          <w:tcPr>
            <w:tcW w:w="1757" w:type="dxa"/>
            <w:tcBorders>
              <w:top w:val="nil"/>
              <w:left w:val="nil"/>
              <w:bottom w:val="single" w:sz="4" w:space="0" w:color="auto"/>
              <w:right w:val="single" w:sz="4" w:space="0" w:color="auto"/>
            </w:tcBorders>
            <w:shd w:val="clear" w:color="auto" w:fill="auto"/>
            <w:noWrap/>
            <w:vAlign w:val="center"/>
            <w:hideMark/>
          </w:tcPr>
          <w:p w14:paraId="24000C09"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30DA6C1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80</w:t>
            </w:r>
          </w:p>
        </w:tc>
      </w:tr>
      <w:tr w:rsidR="00A56F47" w:rsidRPr="00941FA7" w14:paraId="31C99B57"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876AEB"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Réunions du GEST</w:t>
            </w:r>
          </w:p>
        </w:tc>
        <w:tc>
          <w:tcPr>
            <w:tcW w:w="1757" w:type="dxa"/>
            <w:tcBorders>
              <w:top w:val="nil"/>
              <w:left w:val="nil"/>
              <w:bottom w:val="single" w:sz="4" w:space="0" w:color="auto"/>
              <w:right w:val="single" w:sz="4" w:space="0" w:color="auto"/>
            </w:tcBorders>
            <w:shd w:val="clear" w:color="auto" w:fill="auto"/>
            <w:noWrap/>
            <w:vAlign w:val="center"/>
            <w:hideMark/>
          </w:tcPr>
          <w:p w14:paraId="4A1D9874" w14:textId="77777777" w:rsidR="00A56F47" w:rsidRPr="00941FA7" w:rsidRDefault="00A56F47" w:rsidP="00A56F47">
            <w:pPr>
              <w:jc w:val="right"/>
              <w:rPr>
                <w:sz w:val="20"/>
                <w:szCs w:val="20"/>
                <w:lang w:val="fr-FR" w:eastAsia="en-GB"/>
              </w:rPr>
            </w:pPr>
            <w:r w:rsidRPr="00941FA7">
              <w:rPr>
                <w:sz w:val="20"/>
                <w:szCs w:val="20"/>
                <w:lang w:val="fr-FR" w:eastAsia="en-GB"/>
              </w:rPr>
              <w:t>50</w:t>
            </w:r>
          </w:p>
        </w:tc>
        <w:tc>
          <w:tcPr>
            <w:tcW w:w="1757" w:type="dxa"/>
            <w:tcBorders>
              <w:top w:val="nil"/>
              <w:left w:val="nil"/>
              <w:bottom w:val="single" w:sz="4" w:space="0" w:color="auto"/>
              <w:right w:val="single" w:sz="4" w:space="0" w:color="auto"/>
            </w:tcBorders>
            <w:shd w:val="clear" w:color="auto" w:fill="auto"/>
            <w:noWrap/>
            <w:vAlign w:val="center"/>
            <w:hideMark/>
          </w:tcPr>
          <w:p w14:paraId="6C6E873C"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746F49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82339ED"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A71FB7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50</w:t>
            </w:r>
          </w:p>
        </w:tc>
      </w:tr>
      <w:tr w:rsidR="00A56F47" w:rsidRPr="00941FA7" w14:paraId="7B9E36A3"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592389"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Plan stratégique SP5 (2022 - 2024)</w:t>
            </w:r>
          </w:p>
        </w:tc>
        <w:tc>
          <w:tcPr>
            <w:tcW w:w="1757" w:type="dxa"/>
            <w:tcBorders>
              <w:top w:val="nil"/>
              <w:left w:val="nil"/>
              <w:bottom w:val="single" w:sz="4" w:space="0" w:color="auto"/>
              <w:right w:val="single" w:sz="4" w:space="0" w:color="auto"/>
            </w:tcBorders>
            <w:shd w:val="clear" w:color="auto" w:fill="auto"/>
            <w:noWrap/>
            <w:vAlign w:val="center"/>
            <w:hideMark/>
          </w:tcPr>
          <w:p w14:paraId="5CB50AD2"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86D0224"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8F7EF7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90</w:t>
            </w:r>
          </w:p>
        </w:tc>
        <w:tc>
          <w:tcPr>
            <w:tcW w:w="1757" w:type="dxa"/>
            <w:tcBorders>
              <w:top w:val="nil"/>
              <w:left w:val="nil"/>
              <w:bottom w:val="single" w:sz="4" w:space="0" w:color="auto"/>
              <w:right w:val="single" w:sz="4" w:space="0" w:color="auto"/>
            </w:tcBorders>
            <w:shd w:val="clear" w:color="auto" w:fill="auto"/>
            <w:noWrap/>
            <w:vAlign w:val="center"/>
            <w:hideMark/>
          </w:tcPr>
          <w:p w14:paraId="5AAAF156" w14:textId="77777777" w:rsidR="00A56F47" w:rsidRPr="00941FA7" w:rsidRDefault="00A56F47" w:rsidP="00A56F47">
            <w:pPr>
              <w:rPr>
                <w:rFonts w:ascii="Calibri Light" w:hAnsi="Calibri Light" w:cs="Calibri Light"/>
                <w:color w:val="FF0000"/>
                <w:sz w:val="20"/>
                <w:szCs w:val="20"/>
                <w:lang w:val="fr-FR" w:eastAsia="en-GB"/>
              </w:rPr>
            </w:pPr>
            <w:r w:rsidRPr="00941FA7">
              <w:rPr>
                <w:rFonts w:ascii="Calibri Light" w:hAnsi="Calibri Light" w:cs="Calibri Light"/>
                <w:strike/>
                <w:color w:val="FF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AF95E2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90</w:t>
            </w:r>
          </w:p>
        </w:tc>
      </w:tr>
      <w:tr w:rsidR="00A56F47" w:rsidRPr="00941FA7" w14:paraId="1E124009"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FA31335"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ODD 6.61 (Inventaires)</w:t>
            </w:r>
          </w:p>
        </w:tc>
        <w:tc>
          <w:tcPr>
            <w:tcW w:w="1757" w:type="dxa"/>
            <w:tcBorders>
              <w:top w:val="nil"/>
              <w:left w:val="nil"/>
              <w:bottom w:val="single" w:sz="4" w:space="0" w:color="auto"/>
              <w:right w:val="single" w:sz="4" w:space="0" w:color="auto"/>
            </w:tcBorders>
            <w:shd w:val="clear" w:color="auto" w:fill="auto"/>
            <w:noWrap/>
            <w:vAlign w:val="center"/>
            <w:hideMark/>
          </w:tcPr>
          <w:p w14:paraId="2E24CC2B"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54B96776"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7C2EB8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72</w:t>
            </w:r>
          </w:p>
        </w:tc>
        <w:tc>
          <w:tcPr>
            <w:tcW w:w="1757" w:type="dxa"/>
            <w:tcBorders>
              <w:top w:val="nil"/>
              <w:left w:val="nil"/>
              <w:bottom w:val="single" w:sz="4" w:space="0" w:color="auto"/>
              <w:right w:val="single" w:sz="4" w:space="0" w:color="auto"/>
            </w:tcBorders>
            <w:shd w:val="clear" w:color="auto" w:fill="auto"/>
            <w:noWrap/>
            <w:vAlign w:val="center"/>
            <w:hideMark/>
          </w:tcPr>
          <w:p w14:paraId="3BD2E686"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24E270E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72</w:t>
            </w:r>
          </w:p>
        </w:tc>
      </w:tr>
      <w:tr w:rsidR="00A56F47" w:rsidRPr="00941FA7" w14:paraId="5E89297B"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D2F653F"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Service d’information sur les Sites Ramsar (entretien et développement)</w:t>
            </w:r>
          </w:p>
        </w:tc>
        <w:tc>
          <w:tcPr>
            <w:tcW w:w="1757" w:type="dxa"/>
            <w:tcBorders>
              <w:top w:val="nil"/>
              <w:left w:val="nil"/>
              <w:bottom w:val="single" w:sz="4" w:space="0" w:color="auto"/>
              <w:right w:val="single" w:sz="4" w:space="0" w:color="auto"/>
            </w:tcBorders>
            <w:shd w:val="clear" w:color="auto" w:fill="auto"/>
            <w:noWrap/>
            <w:vAlign w:val="center"/>
            <w:hideMark/>
          </w:tcPr>
          <w:p w14:paraId="5E4C02C4" w14:textId="77777777" w:rsidR="00A56F47" w:rsidRPr="00941FA7" w:rsidRDefault="00A56F47" w:rsidP="00A56F47">
            <w:pPr>
              <w:jc w:val="right"/>
              <w:rPr>
                <w:sz w:val="20"/>
                <w:szCs w:val="20"/>
                <w:lang w:val="fr-FR" w:eastAsia="en-GB"/>
              </w:rPr>
            </w:pPr>
            <w:r w:rsidRPr="00941FA7">
              <w:rPr>
                <w:sz w:val="20"/>
                <w:szCs w:val="20"/>
                <w:lang w:val="fr-FR" w:eastAsia="en-GB"/>
              </w:rPr>
              <w:t>80</w:t>
            </w:r>
          </w:p>
        </w:tc>
        <w:tc>
          <w:tcPr>
            <w:tcW w:w="1757" w:type="dxa"/>
            <w:tcBorders>
              <w:top w:val="nil"/>
              <w:left w:val="nil"/>
              <w:bottom w:val="single" w:sz="4" w:space="0" w:color="auto"/>
              <w:right w:val="single" w:sz="4" w:space="0" w:color="auto"/>
            </w:tcBorders>
            <w:shd w:val="clear" w:color="auto" w:fill="auto"/>
            <w:noWrap/>
            <w:vAlign w:val="center"/>
            <w:hideMark/>
          </w:tcPr>
          <w:p w14:paraId="25131416"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7F665A2"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72A5E94A"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1F3BC3C"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80</w:t>
            </w:r>
          </w:p>
        </w:tc>
      </w:tr>
      <w:tr w:rsidR="00A56F47" w:rsidRPr="00941FA7" w14:paraId="387616C8"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F092BCC"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G</w:t>
            </w:r>
            <w:r w:rsidRPr="00941FA7">
              <w:rPr>
                <w:rFonts w:asciiTheme="minorHAnsi" w:hAnsiTheme="minorHAnsi" w:cstheme="minorHAnsi"/>
                <w:sz w:val="20"/>
                <w:szCs w:val="20"/>
                <w:lang w:val="fr-FR"/>
              </w:rPr>
              <w:t>. Administration/Web</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2DE22254" w14:textId="77777777" w:rsidR="00A56F47" w:rsidRPr="00941FA7" w:rsidRDefault="00A56F47" w:rsidP="00A56F47">
            <w:pPr>
              <w:jc w:val="right"/>
              <w:rPr>
                <w:b/>
                <w:bCs/>
                <w:sz w:val="20"/>
                <w:szCs w:val="20"/>
                <w:lang w:val="fr-FR" w:eastAsia="en-GB"/>
              </w:rPr>
            </w:pPr>
            <w:r w:rsidRPr="00941FA7">
              <w:rPr>
                <w:b/>
                <w:bCs/>
                <w:sz w:val="20"/>
                <w:szCs w:val="20"/>
                <w:lang w:val="fr-FR" w:eastAsia="en-GB"/>
              </w:rPr>
              <w:t>481</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574BB599" w14:textId="77777777" w:rsidR="00A56F47" w:rsidRPr="00941FA7" w:rsidRDefault="00A56F47" w:rsidP="00A56F47">
            <w:pPr>
              <w:jc w:val="right"/>
              <w:rPr>
                <w:b/>
                <w:bCs/>
                <w:sz w:val="20"/>
                <w:szCs w:val="20"/>
                <w:lang w:val="fr-FR" w:eastAsia="en-GB"/>
              </w:rPr>
            </w:pPr>
            <w:r w:rsidRPr="00941FA7">
              <w:rPr>
                <w:b/>
                <w:bCs/>
                <w:sz w:val="20"/>
                <w:szCs w:val="20"/>
                <w:lang w:val="fr-FR" w:eastAsia="en-GB"/>
              </w:rPr>
              <w:t>11</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E829A8F"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73</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4370099C"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89.5</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3C2D7F36"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65</w:t>
            </w:r>
            <w:r>
              <w:rPr>
                <w:b/>
                <w:bCs/>
                <w:color w:val="000000"/>
                <w:sz w:val="20"/>
                <w:szCs w:val="20"/>
                <w:lang w:val="fr-FR" w:eastAsia="en-GB"/>
              </w:rPr>
              <w:t>5</w:t>
            </w:r>
          </w:p>
        </w:tc>
      </w:tr>
      <w:tr w:rsidR="00A56F47" w:rsidRPr="00941FA7" w14:paraId="56E2BA66" w14:textId="77777777" w:rsidTr="00A56F47">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2554BA2B"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Salaires, charges sociales et autres prestations liées à l’emploi</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3E76D059" w14:textId="77777777" w:rsidR="00A56F47" w:rsidRPr="00941FA7" w:rsidRDefault="00A56F47" w:rsidP="00A56F47">
            <w:pPr>
              <w:jc w:val="right"/>
              <w:rPr>
                <w:sz w:val="20"/>
                <w:szCs w:val="20"/>
                <w:lang w:val="fr-FR" w:eastAsia="en-GB"/>
              </w:rPr>
            </w:pPr>
            <w:r w:rsidRPr="00941FA7">
              <w:rPr>
                <w:sz w:val="20"/>
                <w:szCs w:val="20"/>
                <w:lang w:val="fr-FR" w:eastAsia="en-GB"/>
              </w:rPr>
              <w:t>337</w:t>
            </w:r>
          </w:p>
        </w:tc>
        <w:tc>
          <w:tcPr>
            <w:tcW w:w="1757" w:type="dxa"/>
            <w:tcBorders>
              <w:top w:val="nil"/>
              <w:left w:val="nil"/>
              <w:bottom w:val="single" w:sz="4" w:space="0" w:color="auto"/>
              <w:right w:val="single" w:sz="4" w:space="0" w:color="auto"/>
            </w:tcBorders>
            <w:shd w:val="clear" w:color="auto" w:fill="auto"/>
            <w:noWrap/>
            <w:vAlign w:val="center"/>
            <w:hideMark/>
          </w:tcPr>
          <w:p w14:paraId="6F23C02B"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499029A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3A9AEB92"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44C1C3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337</w:t>
            </w:r>
          </w:p>
        </w:tc>
      </w:tr>
      <w:tr w:rsidR="00A56F47" w:rsidRPr="00941FA7" w14:paraId="6935B6BC" w14:textId="77777777" w:rsidTr="00A56F47">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CE25"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Recrutement et indemnités de départ</w:t>
            </w:r>
          </w:p>
        </w:tc>
        <w:tc>
          <w:tcPr>
            <w:tcW w:w="1757" w:type="dxa"/>
            <w:tcBorders>
              <w:top w:val="nil"/>
              <w:left w:val="nil"/>
              <w:bottom w:val="single" w:sz="4" w:space="0" w:color="auto"/>
              <w:right w:val="single" w:sz="4" w:space="0" w:color="auto"/>
            </w:tcBorders>
            <w:shd w:val="clear" w:color="auto" w:fill="auto"/>
            <w:noWrap/>
            <w:vAlign w:val="center"/>
            <w:hideMark/>
          </w:tcPr>
          <w:p w14:paraId="06923B49" w14:textId="77777777" w:rsidR="00A56F47" w:rsidRPr="00941FA7" w:rsidRDefault="00A56F47" w:rsidP="00A56F47">
            <w:pPr>
              <w:jc w:val="right"/>
              <w:rPr>
                <w:sz w:val="20"/>
                <w:szCs w:val="20"/>
                <w:lang w:val="fr-FR" w:eastAsia="en-GB"/>
              </w:rPr>
            </w:pPr>
            <w:r w:rsidRPr="00941FA7">
              <w:rPr>
                <w:sz w:val="20"/>
                <w:szCs w:val="20"/>
                <w:lang w:val="fr-FR" w:eastAsia="en-GB"/>
              </w:rPr>
              <w:t>49</w:t>
            </w:r>
          </w:p>
        </w:tc>
        <w:tc>
          <w:tcPr>
            <w:tcW w:w="1757" w:type="dxa"/>
            <w:tcBorders>
              <w:top w:val="nil"/>
              <w:left w:val="nil"/>
              <w:bottom w:val="single" w:sz="4" w:space="0" w:color="auto"/>
              <w:right w:val="single" w:sz="4" w:space="0" w:color="auto"/>
            </w:tcBorders>
            <w:shd w:val="clear" w:color="auto" w:fill="auto"/>
            <w:noWrap/>
            <w:vAlign w:val="center"/>
            <w:hideMark/>
          </w:tcPr>
          <w:p w14:paraId="32F90AD4"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721406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71B0A401"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89.5</w:t>
            </w:r>
          </w:p>
        </w:tc>
        <w:tc>
          <w:tcPr>
            <w:tcW w:w="1868" w:type="dxa"/>
            <w:tcBorders>
              <w:top w:val="nil"/>
              <w:left w:val="nil"/>
              <w:bottom w:val="single" w:sz="4" w:space="0" w:color="auto"/>
              <w:right w:val="single" w:sz="4" w:space="0" w:color="auto"/>
            </w:tcBorders>
            <w:shd w:val="clear" w:color="auto" w:fill="auto"/>
            <w:noWrap/>
            <w:vAlign w:val="center"/>
            <w:hideMark/>
          </w:tcPr>
          <w:p w14:paraId="2090AC7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13</w:t>
            </w:r>
            <w:r>
              <w:rPr>
                <w:color w:val="000000"/>
                <w:sz w:val="20"/>
                <w:szCs w:val="20"/>
                <w:lang w:val="fr-FR" w:eastAsia="en-GB"/>
              </w:rPr>
              <w:t>9</w:t>
            </w:r>
          </w:p>
        </w:tc>
      </w:tr>
      <w:tr w:rsidR="00A56F47" w:rsidRPr="00941FA7" w14:paraId="58BA5C8C"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CB03226"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lastRenderedPageBreak/>
              <w:t>Déplacements</w:t>
            </w:r>
          </w:p>
        </w:tc>
        <w:tc>
          <w:tcPr>
            <w:tcW w:w="1757" w:type="dxa"/>
            <w:tcBorders>
              <w:top w:val="nil"/>
              <w:left w:val="nil"/>
              <w:bottom w:val="single" w:sz="4" w:space="0" w:color="auto"/>
              <w:right w:val="single" w:sz="4" w:space="0" w:color="auto"/>
            </w:tcBorders>
            <w:shd w:val="clear" w:color="auto" w:fill="auto"/>
            <w:noWrap/>
            <w:vAlign w:val="center"/>
            <w:hideMark/>
          </w:tcPr>
          <w:p w14:paraId="1E80AC35"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495B1CE8"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4770DE3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50093646"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0C73FCEA"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r>
      <w:tr w:rsidR="00A56F47" w:rsidRPr="00941FA7" w14:paraId="6786BB38" w14:textId="77777777" w:rsidTr="008116E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D41E7"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Équipements/fournitures de bureau</w:t>
            </w:r>
          </w:p>
        </w:tc>
        <w:tc>
          <w:tcPr>
            <w:tcW w:w="1757" w:type="dxa"/>
            <w:tcBorders>
              <w:top w:val="nil"/>
              <w:left w:val="nil"/>
              <w:bottom w:val="single" w:sz="4" w:space="0" w:color="auto"/>
              <w:right w:val="single" w:sz="4" w:space="0" w:color="auto"/>
            </w:tcBorders>
            <w:shd w:val="clear" w:color="auto" w:fill="auto"/>
            <w:noWrap/>
            <w:vAlign w:val="center"/>
            <w:hideMark/>
          </w:tcPr>
          <w:p w14:paraId="6055E2A1" w14:textId="77777777" w:rsidR="00A56F47" w:rsidRPr="00941FA7" w:rsidRDefault="00A56F47" w:rsidP="00A56F47">
            <w:pPr>
              <w:jc w:val="right"/>
              <w:rPr>
                <w:sz w:val="20"/>
                <w:szCs w:val="20"/>
                <w:lang w:val="fr-FR" w:eastAsia="en-GB"/>
              </w:rPr>
            </w:pPr>
            <w:r w:rsidRPr="00941FA7">
              <w:rPr>
                <w:sz w:val="20"/>
                <w:szCs w:val="20"/>
                <w:lang w:val="fr-FR" w:eastAsia="en-GB"/>
              </w:rPr>
              <w:t>95</w:t>
            </w:r>
          </w:p>
        </w:tc>
        <w:tc>
          <w:tcPr>
            <w:tcW w:w="1757" w:type="dxa"/>
            <w:tcBorders>
              <w:top w:val="nil"/>
              <w:left w:val="nil"/>
              <w:bottom w:val="single" w:sz="4" w:space="0" w:color="auto"/>
              <w:right w:val="single" w:sz="4" w:space="0" w:color="auto"/>
            </w:tcBorders>
            <w:shd w:val="clear" w:color="auto" w:fill="auto"/>
            <w:noWrap/>
            <w:vAlign w:val="center"/>
            <w:hideMark/>
          </w:tcPr>
          <w:p w14:paraId="59E41EAB"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F7965C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0F4367F4"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27F7C67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95</w:t>
            </w:r>
          </w:p>
        </w:tc>
      </w:tr>
      <w:tr w:rsidR="00A56F47" w:rsidRPr="00941FA7" w14:paraId="41374737"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6C93F51"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rPr>
              <w:t>Planification et renforcement des capacités</w:t>
            </w:r>
          </w:p>
        </w:tc>
        <w:tc>
          <w:tcPr>
            <w:tcW w:w="1757" w:type="dxa"/>
            <w:tcBorders>
              <w:top w:val="nil"/>
              <w:left w:val="nil"/>
              <w:bottom w:val="single" w:sz="4" w:space="0" w:color="auto"/>
              <w:right w:val="single" w:sz="4" w:space="0" w:color="auto"/>
            </w:tcBorders>
            <w:shd w:val="clear" w:color="auto" w:fill="auto"/>
            <w:noWrap/>
            <w:vAlign w:val="center"/>
            <w:hideMark/>
          </w:tcPr>
          <w:p w14:paraId="618ED673"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3FC5D351" w14:textId="77777777" w:rsidR="00A56F47" w:rsidRPr="00941FA7" w:rsidRDefault="00A56F47" w:rsidP="00A56F47">
            <w:pPr>
              <w:jc w:val="right"/>
              <w:rPr>
                <w:sz w:val="20"/>
                <w:szCs w:val="20"/>
                <w:lang w:val="fr-FR" w:eastAsia="en-GB"/>
              </w:rPr>
            </w:pPr>
            <w:r w:rsidRPr="00941FA7">
              <w:rPr>
                <w:sz w:val="20"/>
                <w:szCs w:val="20"/>
                <w:lang w:val="fr-FR" w:eastAsia="en-GB"/>
              </w:rPr>
              <w:t>11</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2348A697" w14:textId="77777777" w:rsidR="00A56F47" w:rsidRPr="00941FA7" w:rsidRDefault="00A56F47" w:rsidP="00A56F47">
            <w:pPr>
              <w:jc w:val="right"/>
              <w:rPr>
                <w:sz w:val="20"/>
                <w:szCs w:val="20"/>
                <w:lang w:val="fr-FR" w:eastAsia="en-GB"/>
              </w:rPr>
            </w:pPr>
            <w:r w:rsidRPr="00941FA7">
              <w:rPr>
                <w:sz w:val="20"/>
                <w:szCs w:val="20"/>
                <w:lang w:val="fr-FR" w:eastAsia="en-GB"/>
              </w:rPr>
              <w:t>73</w:t>
            </w:r>
          </w:p>
        </w:tc>
        <w:tc>
          <w:tcPr>
            <w:tcW w:w="1757" w:type="dxa"/>
            <w:tcBorders>
              <w:top w:val="nil"/>
              <w:left w:val="nil"/>
              <w:bottom w:val="single" w:sz="4" w:space="0" w:color="auto"/>
              <w:right w:val="single" w:sz="4" w:space="0" w:color="auto"/>
            </w:tcBorders>
            <w:shd w:val="clear" w:color="auto" w:fill="auto"/>
            <w:noWrap/>
            <w:vAlign w:val="center"/>
            <w:hideMark/>
          </w:tcPr>
          <w:p w14:paraId="352BB25E"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68668CD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84</w:t>
            </w:r>
          </w:p>
        </w:tc>
      </w:tr>
      <w:tr w:rsidR="00A56F47" w:rsidRPr="00941FA7" w14:paraId="6733A51B"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0B3DAA8"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 xml:space="preserve">H. </w:t>
            </w:r>
            <w:r w:rsidRPr="00941FA7">
              <w:rPr>
                <w:sz w:val="20"/>
                <w:szCs w:val="20"/>
                <w:lang w:val="fr-FR"/>
              </w:rPr>
              <w:t>Services au Comité permanent</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0ED81210" w14:textId="77777777" w:rsidR="00A56F47" w:rsidRPr="00941FA7" w:rsidRDefault="00A56F47" w:rsidP="00A56F47">
            <w:pPr>
              <w:jc w:val="right"/>
              <w:rPr>
                <w:b/>
                <w:bCs/>
                <w:sz w:val="20"/>
                <w:szCs w:val="20"/>
                <w:lang w:val="fr-FR" w:eastAsia="en-GB"/>
              </w:rPr>
            </w:pPr>
            <w:r w:rsidRPr="00941FA7">
              <w:rPr>
                <w:b/>
                <w:bCs/>
                <w:sz w:val="20"/>
                <w:szCs w:val="20"/>
                <w:lang w:val="fr-FR" w:eastAsia="en-GB"/>
              </w:rPr>
              <w:t>150</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23997AE" w14:textId="77777777" w:rsidR="00A56F47" w:rsidRPr="00941FA7" w:rsidRDefault="00A56F47" w:rsidP="00A56F47">
            <w:pPr>
              <w:jc w:val="right"/>
              <w:rPr>
                <w:b/>
                <w:bCs/>
                <w:sz w:val="20"/>
                <w:szCs w:val="20"/>
                <w:lang w:val="fr-FR" w:eastAsia="en-GB"/>
              </w:rPr>
            </w:pPr>
            <w:r w:rsidRPr="00941FA7">
              <w:rPr>
                <w:b/>
                <w:bCs/>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67C9F1A"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25</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35F08312" w14:textId="77777777" w:rsidR="00A56F47" w:rsidRPr="00941FA7" w:rsidRDefault="00A56F47" w:rsidP="00A56F47">
            <w:pPr>
              <w:jc w:val="right"/>
              <w:rPr>
                <w:b/>
                <w:bCs/>
                <w:color w:val="000000"/>
                <w:sz w:val="20"/>
                <w:szCs w:val="20"/>
                <w:lang w:val="fr-FR" w:eastAsia="en-GB"/>
              </w:rPr>
            </w:pPr>
            <w:r>
              <w:rPr>
                <w:b/>
                <w:bCs/>
                <w:color w:val="000000"/>
                <w:sz w:val="20"/>
                <w:szCs w:val="20"/>
                <w:lang w:val="fr-FR" w:eastAsia="en-GB"/>
              </w:rPr>
              <w:t>1</w:t>
            </w: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66E12ACB"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w:t>
            </w:r>
            <w:r>
              <w:rPr>
                <w:b/>
                <w:bCs/>
                <w:color w:val="000000"/>
                <w:sz w:val="20"/>
                <w:szCs w:val="20"/>
                <w:lang w:val="fr-FR" w:eastAsia="en-GB"/>
              </w:rPr>
              <w:t>8</w:t>
            </w:r>
            <w:r w:rsidRPr="00941FA7">
              <w:rPr>
                <w:b/>
                <w:bCs/>
                <w:color w:val="000000"/>
                <w:sz w:val="20"/>
                <w:szCs w:val="20"/>
                <w:lang w:val="fr-FR" w:eastAsia="en-GB"/>
              </w:rPr>
              <w:t>5</w:t>
            </w:r>
          </w:p>
        </w:tc>
      </w:tr>
      <w:tr w:rsidR="00A56F47" w:rsidRPr="00941FA7" w14:paraId="7D68244D"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351E436" w14:textId="77777777" w:rsidR="00A56F47" w:rsidRPr="00941FA7" w:rsidRDefault="00A56F47" w:rsidP="00A56F47">
            <w:pPr>
              <w:rPr>
                <w:rFonts w:asciiTheme="minorHAnsi" w:hAnsiTheme="minorHAnsi" w:cstheme="minorHAnsi"/>
                <w:sz w:val="20"/>
                <w:szCs w:val="20"/>
                <w:lang w:val="fr-FR" w:eastAsia="en-GB"/>
              </w:rPr>
            </w:pPr>
            <w:r w:rsidRPr="00941FA7">
              <w:rPr>
                <w:sz w:val="20"/>
                <w:szCs w:val="20"/>
                <w:lang w:val="fr-FR"/>
              </w:rPr>
              <w:t>Appui aux délégués du CP</w:t>
            </w:r>
          </w:p>
        </w:tc>
        <w:tc>
          <w:tcPr>
            <w:tcW w:w="1757" w:type="dxa"/>
            <w:tcBorders>
              <w:top w:val="nil"/>
              <w:left w:val="nil"/>
              <w:bottom w:val="single" w:sz="4" w:space="0" w:color="auto"/>
              <w:right w:val="single" w:sz="4" w:space="0" w:color="auto"/>
            </w:tcBorders>
            <w:shd w:val="clear" w:color="auto" w:fill="auto"/>
            <w:noWrap/>
            <w:vAlign w:val="center"/>
            <w:hideMark/>
          </w:tcPr>
          <w:p w14:paraId="37ACB892" w14:textId="77777777" w:rsidR="00A56F47" w:rsidRPr="00941FA7" w:rsidRDefault="00A56F47" w:rsidP="00A56F47">
            <w:pPr>
              <w:jc w:val="right"/>
              <w:rPr>
                <w:sz w:val="20"/>
                <w:szCs w:val="20"/>
                <w:lang w:val="fr-FR" w:eastAsia="en-GB"/>
              </w:rPr>
            </w:pPr>
            <w:r w:rsidRPr="00941FA7">
              <w:rPr>
                <w:sz w:val="20"/>
                <w:szCs w:val="20"/>
                <w:lang w:val="fr-FR" w:eastAsia="en-GB"/>
              </w:rPr>
              <w:t>45</w:t>
            </w:r>
          </w:p>
        </w:tc>
        <w:tc>
          <w:tcPr>
            <w:tcW w:w="1757" w:type="dxa"/>
            <w:tcBorders>
              <w:top w:val="nil"/>
              <w:left w:val="nil"/>
              <w:bottom w:val="single" w:sz="4" w:space="0" w:color="auto"/>
              <w:right w:val="single" w:sz="4" w:space="0" w:color="auto"/>
            </w:tcBorders>
            <w:shd w:val="clear" w:color="auto" w:fill="auto"/>
            <w:noWrap/>
            <w:vAlign w:val="center"/>
            <w:hideMark/>
          </w:tcPr>
          <w:p w14:paraId="7831816B"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E3ED18C"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6AF99C15"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04E5C2A0"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45</w:t>
            </w:r>
          </w:p>
        </w:tc>
      </w:tr>
      <w:tr w:rsidR="00A56F47" w:rsidRPr="00941FA7" w14:paraId="57152A20"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F45964F"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Réunions du CP</w:t>
            </w:r>
          </w:p>
        </w:tc>
        <w:tc>
          <w:tcPr>
            <w:tcW w:w="1757" w:type="dxa"/>
            <w:tcBorders>
              <w:top w:val="nil"/>
              <w:left w:val="nil"/>
              <w:bottom w:val="single" w:sz="4" w:space="0" w:color="auto"/>
              <w:right w:val="single" w:sz="4" w:space="0" w:color="auto"/>
            </w:tcBorders>
            <w:shd w:val="clear" w:color="auto" w:fill="auto"/>
            <w:noWrap/>
            <w:vAlign w:val="center"/>
            <w:hideMark/>
          </w:tcPr>
          <w:p w14:paraId="4BA423C0" w14:textId="77777777" w:rsidR="00A56F47" w:rsidRPr="00941FA7" w:rsidRDefault="00A56F47" w:rsidP="00A56F47">
            <w:pPr>
              <w:jc w:val="right"/>
              <w:rPr>
                <w:sz w:val="20"/>
                <w:szCs w:val="20"/>
                <w:lang w:val="fr-FR" w:eastAsia="en-GB"/>
              </w:rPr>
            </w:pPr>
            <w:r w:rsidRPr="00941FA7">
              <w:rPr>
                <w:sz w:val="20"/>
                <w:szCs w:val="20"/>
                <w:lang w:val="fr-FR" w:eastAsia="en-GB"/>
              </w:rPr>
              <w:t>10</w:t>
            </w:r>
          </w:p>
        </w:tc>
        <w:tc>
          <w:tcPr>
            <w:tcW w:w="1757" w:type="dxa"/>
            <w:tcBorders>
              <w:top w:val="nil"/>
              <w:left w:val="nil"/>
              <w:bottom w:val="single" w:sz="4" w:space="0" w:color="auto"/>
              <w:right w:val="single" w:sz="4" w:space="0" w:color="auto"/>
            </w:tcBorders>
            <w:shd w:val="clear" w:color="auto" w:fill="auto"/>
            <w:noWrap/>
            <w:vAlign w:val="center"/>
            <w:hideMark/>
          </w:tcPr>
          <w:p w14:paraId="72FC486D"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37368F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9</w:t>
            </w:r>
          </w:p>
        </w:tc>
        <w:tc>
          <w:tcPr>
            <w:tcW w:w="1757" w:type="dxa"/>
            <w:tcBorders>
              <w:top w:val="nil"/>
              <w:left w:val="nil"/>
              <w:bottom w:val="single" w:sz="4" w:space="0" w:color="auto"/>
              <w:right w:val="single" w:sz="4" w:space="0" w:color="auto"/>
            </w:tcBorders>
            <w:shd w:val="clear" w:color="auto" w:fill="auto"/>
            <w:noWrap/>
            <w:vAlign w:val="center"/>
            <w:hideMark/>
          </w:tcPr>
          <w:p w14:paraId="0D8ED72D"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3BE18E1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19</w:t>
            </w:r>
          </w:p>
        </w:tc>
      </w:tr>
      <w:tr w:rsidR="00A56F47" w:rsidRPr="00941FA7" w14:paraId="74830993"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1FDEDAE" w14:textId="77777777" w:rsidR="00A56F47" w:rsidRPr="00941FA7" w:rsidRDefault="00A56F47" w:rsidP="00A56F47">
            <w:pPr>
              <w:rPr>
                <w:rFonts w:asciiTheme="minorHAnsi" w:hAnsiTheme="minorHAnsi" w:cstheme="minorHAnsi"/>
                <w:sz w:val="20"/>
                <w:szCs w:val="20"/>
                <w:lang w:val="fr-FR" w:eastAsia="en-GB"/>
              </w:rPr>
            </w:pPr>
            <w:r w:rsidRPr="00941FA7">
              <w:rPr>
                <w:sz w:val="20"/>
                <w:szCs w:val="20"/>
                <w:lang w:val="fr-FR"/>
              </w:rPr>
              <w:t>Services de traduction pour le CP</w:t>
            </w:r>
          </w:p>
        </w:tc>
        <w:tc>
          <w:tcPr>
            <w:tcW w:w="1757" w:type="dxa"/>
            <w:tcBorders>
              <w:top w:val="nil"/>
              <w:left w:val="nil"/>
              <w:bottom w:val="single" w:sz="4" w:space="0" w:color="auto"/>
              <w:right w:val="single" w:sz="4" w:space="0" w:color="auto"/>
            </w:tcBorders>
            <w:shd w:val="clear" w:color="auto" w:fill="auto"/>
            <w:noWrap/>
            <w:vAlign w:val="center"/>
            <w:hideMark/>
          </w:tcPr>
          <w:p w14:paraId="6594272B" w14:textId="77777777" w:rsidR="00A56F47" w:rsidRPr="00941FA7" w:rsidRDefault="00A56F47" w:rsidP="00A56F47">
            <w:pPr>
              <w:jc w:val="right"/>
              <w:rPr>
                <w:sz w:val="20"/>
                <w:szCs w:val="20"/>
                <w:lang w:val="fr-FR" w:eastAsia="en-GB"/>
              </w:rPr>
            </w:pPr>
            <w:r w:rsidRPr="00941FA7">
              <w:rPr>
                <w:sz w:val="20"/>
                <w:szCs w:val="20"/>
                <w:lang w:val="fr-FR" w:eastAsia="en-GB"/>
              </w:rPr>
              <w:t>60</w:t>
            </w:r>
          </w:p>
        </w:tc>
        <w:tc>
          <w:tcPr>
            <w:tcW w:w="1757" w:type="dxa"/>
            <w:tcBorders>
              <w:top w:val="nil"/>
              <w:left w:val="nil"/>
              <w:bottom w:val="single" w:sz="4" w:space="0" w:color="auto"/>
              <w:right w:val="single" w:sz="4" w:space="0" w:color="auto"/>
            </w:tcBorders>
            <w:shd w:val="clear" w:color="auto" w:fill="auto"/>
            <w:noWrap/>
            <w:vAlign w:val="center"/>
            <w:hideMark/>
          </w:tcPr>
          <w:p w14:paraId="7FAF793B"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09CAB9C2"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4144FB8D"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0E733348"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60</w:t>
            </w:r>
          </w:p>
        </w:tc>
      </w:tr>
      <w:tr w:rsidR="00A56F47" w:rsidRPr="00941FA7" w14:paraId="7428219E"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21343FC" w14:textId="77777777" w:rsidR="00A56F47" w:rsidRPr="00941FA7" w:rsidRDefault="00A56F47" w:rsidP="00A56F47">
            <w:pPr>
              <w:rPr>
                <w:rFonts w:asciiTheme="minorHAnsi" w:hAnsiTheme="minorHAnsi" w:cstheme="minorHAnsi"/>
                <w:sz w:val="20"/>
                <w:szCs w:val="20"/>
                <w:lang w:val="fr-FR" w:eastAsia="en-GB"/>
              </w:rPr>
            </w:pPr>
            <w:r w:rsidRPr="00941FA7">
              <w:rPr>
                <w:sz w:val="20"/>
                <w:szCs w:val="20"/>
                <w:lang w:val="fr-FR"/>
              </w:rPr>
              <w:t>Interprétation simultanée aux réunions du CP</w:t>
            </w:r>
          </w:p>
        </w:tc>
        <w:tc>
          <w:tcPr>
            <w:tcW w:w="1757" w:type="dxa"/>
            <w:tcBorders>
              <w:top w:val="nil"/>
              <w:left w:val="nil"/>
              <w:bottom w:val="single" w:sz="4" w:space="0" w:color="auto"/>
              <w:right w:val="single" w:sz="4" w:space="0" w:color="auto"/>
            </w:tcBorders>
            <w:shd w:val="clear" w:color="auto" w:fill="auto"/>
            <w:noWrap/>
            <w:vAlign w:val="center"/>
            <w:hideMark/>
          </w:tcPr>
          <w:p w14:paraId="182416DB" w14:textId="77777777" w:rsidR="00A56F47" w:rsidRPr="00941FA7" w:rsidRDefault="00A56F47" w:rsidP="00A56F47">
            <w:pPr>
              <w:jc w:val="right"/>
              <w:rPr>
                <w:sz w:val="20"/>
                <w:szCs w:val="20"/>
                <w:lang w:val="fr-FR" w:eastAsia="en-GB"/>
              </w:rPr>
            </w:pPr>
            <w:r w:rsidRPr="00941FA7">
              <w:rPr>
                <w:sz w:val="20"/>
                <w:szCs w:val="20"/>
                <w:lang w:val="fr-FR" w:eastAsia="en-GB"/>
              </w:rPr>
              <w:t>35</w:t>
            </w:r>
          </w:p>
        </w:tc>
        <w:tc>
          <w:tcPr>
            <w:tcW w:w="1757" w:type="dxa"/>
            <w:tcBorders>
              <w:top w:val="nil"/>
              <w:left w:val="nil"/>
              <w:bottom w:val="single" w:sz="4" w:space="0" w:color="auto"/>
              <w:right w:val="single" w:sz="4" w:space="0" w:color="auto"/>
            </w:tcBorders>
            <w:shd w:val="clear" w:color="auto" w:fill="auto"/>
            <w:noWrap/>
            <w:vAlign w:val="center"/>
            <w:hideMark/>
          </w:tcPr>
          <w:p w14:paraId="3B8D9026"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40DFCB4F"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648776CE"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3BE5A643"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35</w:t>
            </w:r>
          </w:p>
        </w:tc>
      </w:tr>
      <w:tr w:rsidR="00A56F47" w:rsidRPr="00941FA7" w14:paraId="39967815"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29E9CF7" w14:textId="77777777" w:rsidR="00A56F47" w:rsidRPr="00941FA7" w:rsidRDefault="00A56F47" w:rsidP="00A56F47">
            <w:pPr>
              <w:rPr>
                <w:rFonts w:asciiTheme="minorHAnsi" w:hAnsiTheme="minorHAnsi" w:cstheme="minorHAnsi"/>
                <w:sz w:val="20"/>
                <w:szCs w:val="20"/>
                <w:lang w:val="fr-FR" w:eastAsia="en-GB"/>
              </w:rPr>
            </w:pPr>
            <w:r w:rsidRPr="00941FA7">
              <w:rPr>
                <w:sz w:val="20"/>
                <w:szCs w:val="20"/>
                <w:lang w:val="fr-FR"/>
              </w:rPr>
              <w:t>Groupe de travail sur l’efficacité</w:t>
            </w:r>
          </w:p>
        </w:tc>
        <w:tc>
          <w:tcPr>
            <w:tcW w:w="1757" w:type="dxa"/>
            <w:tcBorders>
              <w:top w:val="nil"/>
              <w:left w:val="nil"/>
              <w:bottom w:val="single" w:sz="4" w:space="0" w:color="auto"/>
              <w:right w:val="single" w:sz="4" w:space="0" w:color="auto"/>
            </w:tcBorders>
            <w:shd w:val="clear" w:color="auto" w:fill="auto"/>
            <w:noWrap/>
            <w:vAlign w:val="center"/>
            <w:hideMark/>
          </w:tcPr>
          <w:p w14:paraId="59F87F3A"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D35C98F"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0382459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14</w:t>
            </w:r>
          </w:p>
        </w:tc>
        <w:tc>
          <w:tcPr>
            <w:tcW w:w="1757" w:type="dxa"/>
            <w:tcBorders>
              <w:top w:val="nil"/>
              <w:left w:val="nil"/>
              <w:bottom w:val="single" w:sz="4" w:space="0" w:color="auto"/>
              <w:right w:val="single" w:sz="4" w:space="0" w:color="auto"/>
            </w:tcBorders>
            <w:shd w:val="clear" w:color="auto" w:fill="auto"/>
            <w:noWrap/>
            <w:vAlign w:val="center"/>
            <w:hideMark/>
          </w:tcPr>
          <w:p w14:paraId="37B4BF79"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2C2243F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14</w:t>
            </w:r>
          </w:p>
        </w:tc>
      </w:tr>
      <w:tr w:rsidR="00A56F47" w:rsidRPr="00941FA7" w14:paraId="46AA06F8"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C898230" w14:textId="77777777" w:rsidR="00A56F47" w:rsidRPr="00941FA7" w:rsidRDefault="00A56F47" w:rsidP="00A56F47">
            <w:pPr>
              <w:rPr>
                <w:rFonts w:asciiTheme="minorHAnsi" w:hAnsiTheme="minorHAnsi" w:cstheme="minorHAnsi"/>
                <w:sz w:val="20"/>
                <w:szCs w:val="20"/>
                <w:lang w:val="fr-FR" w:eastAsia="en-GB"/>
              </w:rPr>
            </w:pPr>
            <w:r w:rsidRPr="00941FA7">
              <w:rPr>
                <w:sz w:val="20"/>
                <w:szCs w:val="20"/>
                <w:lang w:val="fr-FR"/>
              </w:rPr>
              <w:t xml:space="preserve">Examen des résolutions </w:t>
            </w:r>
            <w:r w:rsidRPr="00941FA7">
              <w:rPr>
                <w:rFonts w:asciiTheme="minorHAnsi" w:hAnsiTheme="minorHAnsi" w:cstheme="minorHAnsi"/>
                <w:sz w:val="20"/>
                <w:szCs w:val="20"/>
                <w:lang w:val="fr-FR" w:eastAsia="en-GB"/>
              </w:rPr>
              <w:t>(Res. XIII.4)</w:t>
            </w:r>
          </w:p>
        </w:tc>
        <w:tc>
          <w:tcPr>
            <w:tcW w:w="1757" w:type="dxa"/>
            <w:tcBorders>
              <w:top w:val="nil"/>
              <w:left w:val="nil"/>
              <w:bottom w:val="single" w:sz="4" w:space="0" w:color="auto"/>
              <w:right w:val="single" w:sz="4" w:space="0" w:color="auto"/>
            </w:tcBorders>
            <w:shd w:val="clear" w:color="auto" w:fill="auto"/>
            <w:noWrap/>
            <w:vAlign w:val="center"/>
            <w:hideMark/>
          </w:tcPr>
          <w:p w14:paraId="22544CFF"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171A9926"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271F75B" w14:textId="77777777" w:rsidR="00A56F47" w:rsidRPr="00941FA7" w:rsidRDefault="00A56F47" w:rsidP="00A56F47">
            <w:pPr>
              <w:jc w:val="right"/>
              <w:rPr>
                <w:sz w:val="20"/>
                <w:szCs w:val="20"/>
                <w:lang w:val="fr-FR" w:eastAsia="en-GB"/>
              </w:rPr>
            </w:pPr>
            <w:r w:rsidRPr="00941FA7">
              <w:rPr>
                <w:sz w:val="20"/>
                <w:szCs w:val="20"/>
                <w:lang w:val="fr-FR" w:eastAsia="en-GB"/>
              </w:rPr>
              <w:t>2</w:t>
            </w:r>
          </w:p>
        </w:tc>
        <w:tc>
          <w:tcPr>
            <w:tcW w:w="1757" w:type="dxa"/>
            <w:tcBorders>
              <w:top w:val="nil"/>
              <w:left w:val="nil"/>
              <w:bottom w:val="single" w:sz="4" w:space="0" w:color="auto"/>
              <w:right w:val="single" w:sz="4" w:space="0" w:color="auto"/>
            </w:tcBorders>
            <w:shd w:val="clear" w:color="auto" w:fill="auto"/>
            <w:noWrap/>
            <w:vAlign w:val="center"/>
            <w:hideMark/>
          </w:tcPr>
          <w:p w14:paraId="192B52E0" w14:textId="77777777" w:rsidR="00A56F47" w:rsidRPr="00941FA7" w:rsidRDefault="00A56F47" w:rsidP="00A56F47">
            <w:pPr>
              <w:jc w:val="right"/>
              <w:rPr>
                <w:color w:val="0070C0"/>
                <w:sz w:val="20"/>
                <w:szCs w:val="20"/>
                <w:lang w:val="fr-FR" w:eastAsia="en-GB"/>
              </w:rPr>
            </w:pPr>
            <w:r w:rsidRPr="00941FA7">
              <w:rPr>
                <w:color w:val="0070C0"/>
                <w:sz w:val="20"/>
                <w:szCs w:val="20"/>
                <w:lang w:val="fr-FR" w:eastAsia="en-GB"/>
              </w:rPr>
              <w:t> </w:t>
            </w:r>
            <w:r w:rsidRPr="00A32AF0">
              <w:rPr>
                <w:color w:val="FF0000"/>
                <w:sz w:val="20"/>
                <w:szCs w:val="20"/>
                <w:lang w:val="fr-FR" w:eastAsia="en-GB"/>
              </w:rPr>
              <w:t>10***</w:t>
            </w:r>
          </w:p>
        </w:tc>
        <w:tc>
          <w:tcPr>
            <w:tcW w:w="1868" w:type="dxa"/>
            <w:tcBorders>
              <w:top w:val="nil"/>
              <w:left w:val="nil"/>
              <w:bottom w:val="single" w:sz="4" w:space="0" w:color="auto"/>
              <w:right w:val="single" w:sz="4" w:space="0" w:color="auto"/>
            </w:tcBorders>
            <w:shd w:val="clear" w:color="auto" w:fill="auto"/>
            <w:noWrap/>
            <w:vAlign w:val="center"/>
            <w:hideMark/>
          </w:tcPr>
          <w:p w14:paraId="2E1715BF" w14:textId="77777777" w:rsidR="00A56F47" w:rsidRPr="00941FA7" w:rsidRDefault="00A56F47" w:rsidP="00A56F47">
            <w:pPr>
              <w:jc w:val="right"/>
              <w:rPr>
                <w:color w:val="000000"/>
                <w:sz w:val="20"/>
                <w:szCs w:val="20"/>
                <w:lang w:val="fr-FR" w:eastAsia="en-GB"/>
              </w:rPr>
            </w:pPr>
            <w:r>
              <w:rPr>
                <w:color w:val="000000"/>
                <w:sz w:val="20"/>
                <w:szCs w:val="20"/>
                <w:lang w:val="fr-FR" w:eastAsia="en-GB"/>
              </w:rPr>
              <w:t>1</w:t>
            </w:r>
            <w:r w:rsidRPr="00941FA7">
              <w:rPr>
                <w:color w:val="000000"/>
                <w:sz w:val="20"/>
                <w:szCs w:val="20"/>
                <w:lang w:val="fr-FR" w:eastAsia="en-GB"/>
              </w:rPr>
              <w:t>2</w:t>
            </w:r>
          </w:p>
        </w:tc>
      </w:tr>
      <w:tr w:rsidR="00A56F47" w:rsidRPr="00941FA7" w14:paraId="304280CC" w14:textId="77777777" w:rsidTr="008116E5">
        <w:trPr>
          <w:trHeight w:val="255"/>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3DA35FC"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 xml:space="preserve">J.  </w:t>
            </w:r>
            <w:r w:rsidRPr="00941FA7">
              <w:rPr>
                <w:sz w:val="20"/>
                <w:szCs w:val="20"/>
                <w:lang w:val="fr-FR"/>
              </w:rPr>
              <w:t>Coûts des services administratifs de l’UICN (maximum)</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6555A883" w14:textId="77777777" w:rsidR="00A56F47" w:rsidRPr="00941FA7" w:rsidRDefault="00A56F47" w:rsidP="00A56F47">
            <w:pPr>
              <w:jc w:val="right"/>
              <w:rPr>
                <w:b/>
                <w:bCs/>
                <w:sz w:val="20"/>
                <w:szCs w:val="20"/>
                <w:lang w:val="fr-FR" w:eastAsia="en-GB"/>
              </w:rPr>
            </w:pPr>
            <w:r w:rsidRPr="00941FA7">
              <w:rPr>
                <w:b/>
                <w:bCs/>
                <w:sz w:val="20"/>
                <w:szCs w:val="20"/>
                <w:lang w:val="fr-FR" w:eastAsia="en-GB"/>
              </w:rPr>
              <w:t>541</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222E8AA0" w14:textId="77777777" w:rsidR="00A56F47" w:rsidRPr="00941FA7" w:rsidRDefault="00A56F47" w:rsidP="00A56F47">
            <w:pPr>
              <w:jc w:val="right"/>
              <w:rPr>
                <w:b/>
                <w:bCs/>
                <w:sz w:val="20"/>
                <w:szCs w:val="20"/>
                <w:lang w:val="fr-FR" w:eastAsia="en-GB"/>
              </w:rPr>
            </w:pPr>
            <w:r w:rsidRPr="00941FA7">
              <w:rPr>
                <w:b/>
                <w:bCs/>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E88D83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2DBA9BF"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100BD04B" w14:textId="77777777" w:rsidR="00A56F47" w:rsidRPr="00941FA7" w:rsidRDefault="00A56F47" w:rsidP="00A56F47">
            <w:pPr>
              <w:jc w:val="right"/>
              <w:rPr>
                <w:b/>
                <w:bCs/>
                <w:color w:val="000000"/>
                <w:sz w:val="20"/>
                <w:szCs w:val="20"/>
                <w:lang w:val="fr-FR" w:eastAsia="en-GB"/>
              </w:rPr>
            </w:pPr>
            <w:r>
              <w:rPr>
                <w:b/>
                <w:bCs/>
                <w:color w:val="000000"/>
                <w:sz w:val="20"/>
                <w:szCs w:val="20"/>
                <w:lang w:val="fr-FR" w:eastAsia="en-GB"/>
              </w:rPr>
              <w:t>291</w:t>
            </w:r>
          </w:p>
        </w:tc>
      </w:tr>
      <w:tr w:rsidR="00A56F47" w:rsidRPr="00941FA7" w14:paraId="1231AEC2"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253EAC1" w14:textId="77777777" w:rsidR="00A56F47" w:rsidRPr="00941FA7" w:rsidRDefault="00A56F47" w:rsidP="00A56F47">
            <w:pPr>
              <w:rPr>
                <w:rFonts w:asciiTheme="minorHAnsi" w:hAnsiTheme="minorHAnsi" w:cstheme="minorHAnsi"/>
                <w:sz w:val="20"/>
                <w:szCs w:val="20"/>
                <w:lang w:val="fr-FR" w:eastAsia="en-GB"/>
              </w:rPr>
            </w:pPr>
            <w:r w:rsidRPr="00941FA7">
              <w:rPr>
                <w:sz w:val="20"/>
                <w:lang w:val="fr-FR"/>
              </w:rPr>
              <w:t>Administration, ressources humaines, services financiers et services informatiques</w:t>
            </w:r>
          </w:p>
        </w:tc>
        <w:tc>
          <w:tcPr>
            <w:tcW w:w="1757" w:type="dxa"/>
            <w:tcBorders>
              <w:top w:val="nil"/>
              <w:left w:val="nil"/>
              <w:bottom w:val="single" w:sz="4" w:space="0" w:color="auto"/>
              <w:right w:val="single" w:sz="4" w:space="0" w:color="auto"/>
            </w:tcBorders>
            <w:shd w:val="clear" w:color="auto" w:fill="auto"/>
            <w:noWrap/>
            <w:vAlign w:val="center"/>
            <w:hideMark/>
          </w:tcPr>
          <w:p w14:paraId="68619D04" w14:textId="77777777" w:rsidR="00A56F47" w:rsidRPr="00941FA7" w:rsidRDefault="00A56F47" w:rsidP="00A56F47">
            <w:pPr>
              <w:jc w:val="right"/>
              <w:rPr>
                <w:sz w:val="20"/>
                <w:szCs w:val="20"/>
                <w:lang w:val="fr-FR" w:eastAsia="en-GB"/>
              </w:rPr>
            </w:pPr>
            <w:r w:rsidRPr="00941FA7">
              <w:rPr>
                <w:sz w:val="20"/>
                <w:szCs w:val="20"/>
                <w:lang w:val="fr-FR" w:eastAsia="en-GB"/>
              </w:rPr>
              <w:t>541</w:t>
            </w:r>
          </w:p>
        </w:tc>
        <w:tc>
          <w:tcPr>
            <w:tcW w:w="1757" w:type="dxa"/>
            <w:tcBorders>
              <w:top w:val="nil"/>
              <w:left w:val="nil"/>
              <w:bottom w:val="single" w:sz="4" w:space="0" w:color="auto"/>
              <w:right w:val="single" w:sz="4" w:space="0" w:color="auto"/>
            </w:tcBorders>
            <w:shd w:val="clear" w:color="auto" w:fill="auto"/>
            <w:noWrap/>
            <w:vAlign w:val="center"/>
            <w:hideMark/>
          </w:tcPr>
          <w:p w14:paraId="03D1976C"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AAAC31C"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40BB77B"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708AA6E6"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541</w:t>
            </w:r>
          </w:p>
        </w:tc>
      </w:tr>
      <w:tr w:rsidR="00A56F47" w:rsidRPr="00941FA7" w14:paraId="268C3522" w14:textId="77777777" w:rsidTr="008116E5">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709FCDB"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K.  Divers - Fonds de réserve</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5360FC2" w14:textId="77777777" w:rsidR="00A56F47" w:rsidRPr="00941FA7" w:rsidRDefault="00A56F47" w:rsidP="00A56F47">
            <w:pPr>
              <w:jc w:val="right"/>
              <w:rPr>
                <w:b/>
                <w:bCs/>
                <w:sz w:val="20"/>
                <w:szCs w:val="20"/>
                <w:lang w:val="fr-FR" w:eastAsia="en-GB"/>
              </w:rPr>
            </w:pPr>
            <w:r w:rsidRPr="00941FA7">
              <w:rPr>
                <w:b/>
                <w:bCs/>
                <w:sz w:val="20"/>
                <w:szCs w:val="20"/>
                <w:lang w:val="fr-FR" w:eastAsia="en-GB"/>
              </w:rPr>
              <w:t>109</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36077A24" w14:textId="77777777" w:rsidR="00A56F47" w:rsidRPr="00941FA7" w:rsidRDefault="00A56F47" w:rsidP="00A56F47">
            <w:pPr>
              <w:jc w:val="right"/>
              <w:rPr>
                <w:b/>
                <w:bCs/>
                <w:sz w:val="20"/>
                <w:szCs w:val="20"/>
                <w:lang w:val="fr-FR" w:eastAsia="en-GB"/>
              </w:rPr>
            </w:pPr>
            <w:r w:rsidRPr="00941FA7">
              <w:rPr>
                <w:b/>
                <w:bCs/>
                <w:sz w:val="20"/>
                <w:szCs w:val="20"/>
                <w:lang w:val="fr-FR" w:eastAsia="en-GB"/>
              </w:rPr>
              <w:t>120</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7E589DF"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62</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BE72534" w14:textId="77777777" w:rsidR="00A56F47" w:rsidRPr="00941FA7" w:rsidRDefault="00A56F47" w:rsidP="00A56F47">
            <w:pPr>
              <w:jc w:val="right"/>
              <w:rPr>
                <w:b/>
                <w:bCs/>
                <w:color w:val="000000"/>
                <w:sz w:val="20"/>
                <w:szCs w:val="20"/>
                <w:lang w:val="fr-FR" w:eastAsia="en-GB"/>
              </w:rPr>
            </w:pPr>
            <w:r>
              <w:rPr>
                <w:b/>
                <w:bCs/>
                <w:color w:val="000000"/>
                <w:sz w:val="20"/>
                <w:szCs w:val="20"/>
                <w:lang w:val="fr-FR" w:eastAsia="en-GB"/>
              </w:rPr>
              <w:t>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0D8AF2AB" w14:textId="77777777" w:rsidR="00A56F47" w:rsidRPr="00941FA7" w:rsidRDefault="00A56F47" w:rsidP="00A56F47">
            <w:pPr>
              <w:jc w:val="right"/>
              <w:rPr>
                <w:b/>
                <w:bCs/>
                <w:color w:val="000000"/>
                <w:sz w:val="20"/>
                <w:szCs w:val="20"/>
                <w:lang w:val="fr-FR" w:eastAsia="en-GB"/>
              </w:rPr>
            </w:pPr>
            <w:r>
              <w:rPr>
                <w:b/>
                <w:bCs/>
                <w:color w:val="000000"/>
                <w:sz w:val="20"/>
                <w:szCs w:val="20"/>
                <w:lang w:val="fr-FR" w:eastAsia="en-GB"/>
              </w:rPr>
              <w:t>291</w:t>
            </w:r>
          </w:p>
        </w:tc>
      </w:tr>
      <w:tr w:rsidR="00A56F47" w:rsidRPr="00941FA7" w14:paraId="760AFD83"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F16DE"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Provisions pour les personnels</w:t>
            </w:r>
          </w:p>
        </w:tc>
        <w:tc>
          <w:tcPr>
            <w:tcW w:w="1757" w:type="dxa"/>
            <w:tcBorders>
              <w:top w:val="nil"/>
              <w:left w:val="nil"/>
              <w:bottom w:val="single" w:sz="4" w:space="0" w:color="auto"/>
              <w:right w:val="single" w:sz="4" w:space="0" w:color="auto"/>
            </w:tcBorders>
            <w:shd w:val="clear" w:color="auto" w:fill="auto"/>
            <w:noWrap/>
            <w:vAlign w:val="center"/>
            <w:hideMark/>
          </w:tcPr>
          <w:p w14:paraId="687D215B" w14:textId="77777777" w:rsidR="00A56F47" w:rsidRPr="00941FA7" w:rsidRDefault="00A56F47" w:rsidP="00A56F47">
            <w:pPr>
              <w:jc w:val="right"/>
              <w:rPr>
                <w:sz w:val="20"/>
                <w:szCs w:val="20"/>
                <w:lang w:val="fr-FR" w:eastAsia="en-GB"/>
              </w:rPr>
            </w:pPr>
            <w:r w:rsidRPr="00941FA7">
              <w:rPr>
                <w:sz w:val="20"/>
                <w:szCs w:val="20"/>
                <w:lang w:val="fr-FR" w:eastAsia="en-GB"/>
              </w:rPr>
              <w:t>20</w:t>
            </w:r>
          </w:p>
        </w:tc>
        <w:tc>
          <w:tcPr>
            <w:tcW w:w="1757" w:type="dxa"/>
            <w:tcBorders>
              <w:top w:val="nil"/>
              <w:left w:val="nil"/>
              <w:bottom w:val="single" w:sz="4" w:space="0" w:color="auto"/>
              <w:right w:val="single" w:sz="4" w:space="0" w:color="auto"/>
            </w:tcBorders>
            <w:shd w:val="clear" w:color="auto" w:fill="auto"/>
            <w:noWrap/>
            <w:vAlign w:val="center"/>
            <w:hideMark/>
          </w:tcPr>
          <w:p w14:paraId="237590AE"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703C16E9"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4C47CF39"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79E58ACE"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20</w:t>
            </w:r>
          </w:p>
        </w:tc>
      </w:tr>
      <w:tr w:rsidR="00A56F47" w:rsidRPr="00941FA7" w14:paraId="7BF546A2" w14:textId="77777777" w:rsidTr="00A56F47">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1EAC9463"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Provision au titre des contributions impayées</w:t>
            </w:r>
            <w:r>
              <w:rPr>
                <w:rFonts w:asciiTheme="minorHAnsi" w:hAnsiTheme="minorHAnsi" w:cstheme="minorHAnsi"/>
                <w:sz w:val="20"/>
                <w:szCs w:val="20"/>
                <w:lang w:val="fr-FR" w:eastAsia="en-GB"/>
              </w:rPr>
              <w:t>*</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DC54EF0" w14:textId="77777777" w:rsidR="00A56F47" w:rsidRPr="00941FA7" w:rsidRDefault="00A56F47" w:rsidP="00A56F47">
            <w:pPr>
              <w:jc w:val="right"/>
              <w:rPr>
                <w:sz w:val="20"/>
                <w:szCs w:val="20"/>
                <w:lang w:val="fr-FR" w:eastAsia="en-GB"/>
              </w:rPr>
            </w:pPr>
            <w:r w:rsidRPr="00941FA7">
              <w:rPr>
                <w:sz w:val="20"/>
                <w:szCs w:val="20"/>
                <w:lang w:val="fr-FR" w:eastAsia="en-GB"/>
              </w:rPr>
              <w:t>30</w:t>
            </w:r>
          </w:p>
        </w:tc>
        <w:tc>
          <w:tcPr>
            <w:tcW w:w="1757" w:type="dxa"/>
            <w:tcBorders>
              <w:top w:val="nil"/>
              <w:left w:val="nil"/>
              <w:bottom w:val="single" w:sz="4" w:space="0" w:color="auto"/>
              <w:right w:val="single" w:sz="4" w:space="0" w:color="auto"/>
            </w:tcBorders>
            <w:shd w:val="clear" w:color="auto" w:fill="auto"/>
            <w:noWrap/>
            <w:vAlign w:val="center"/>
            <w:hideMark/>
          </w:tcPr>
          <w:p w14:paraId="75723722" w14:textId="77777777" w:rsidR="00A56F47" w:rsidRPr="00941FA7" w:rsidRDefault="00A56F47" w:rsidP="00A56F47">
            <w:pPr>
              <w:jc w:val="right"/>
              <w:rPr>
                <w:sz w:val="20"/>
                <w:szCs w:val="20"/>
                <w:lang w:val="fr-FR" w:eastAsia="en-GB"/>
              </w:rPr>
            </w:pPr>
            <w:r w:rsidRPr="00941FA7">
              <w:rPr>
                <w:sz w:val="20"/>
                <w:szCs w:val="20"/>
                <w:lang w:val="fr-FR" w:eastAsia="en-GB"/>
              </w:rPr>
              <w:t>120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39BA0D69"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31A14AF0" w14:textId="77777777" w:rsidR="00A56F47" w:rsidRPr="00941FA7" w:rsidRDefault="00A56F47" w:rsidP="00A56F47">
            <w:pPr>
              <w:rPr>
                <w:sz w:val="20"/>
                <w:szCs w:val="20"/>
                <w:lang w:val="fr-FR" w:eastAsia="en-GB"/>
              </w:rPr>
            </w:pPr>
            <w:r w:rsidRPr="00941FA7">
              <w:rPr>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13C4B235"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150</w:t>
            </w:r>
          </w:p>
        </w:tc>
      </w:tr>
      <w:tr w:rsidR="00A56F47" w:rsidRPr="00941FA7" w14:paraId="6F0AE9DC"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BA3BB93" w14:textId="77777777" w:rsidR="00A56F47" w:rsidRPr="00941FA7" w:rsidRDefault="00A56F47" w:rsidP="00A56F47">
            <w:pPr>
              <w:rPr>
                <w:rFonts w:asciiTheme="minorHAnsi" w:hAnsiTheme="minorHAnsi" w:cstheme="minorHAnsi"/>
                <w:sz w:val="20"/>
                <w:szCs w:val="20"/>
                <w:lang w:val="fr-FR" w:eastAsia="en-GB"/>
              </w:rPr>
            </w:pPr>
            <w:r w:rsidRPr="00941FA7">
              <w:rPr>
                <w:sz w:val="20"/>
                <w:lang w:val="fr-FR"/>
              </w:rPr>
              <w:t>Gains/pertes liés au change</w:t>
            </w:r>
          </w:p>
        </w:tc>
        <w:tc>
          <w:tcPr>
            <w:tcW w:w="1757" w:type="dxa"/>
            <w:tcBorders>
              <w:top w:val="nil"/>
              <w:left w:val="nil"/>
              <w:bottom w:val="single" w:sz="4" w:space="0" w:color="auto"/>
              <w:right w:val="single" w:sz="4" w:space="0" w:color="auto"/>
            </w:tcBorders>
            <w:shd w:val="clear" w:color="auto" w:fill="auto"/>
            <w:noWrap/>
            <w:vAlign w:val="center"/>
            <w:hideMark/>
          </w:tcPr>
          <w:p w14:paraId="235FC0A9"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2B6EC719"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53D8CA4B"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c>
          <w:tcPr>
            <w:tcW w:w="1757" w:type="dxa"/>
            <w:tcBorders>
              <w:top w:val="nil"/>
              <w:left w:val="nil"/>
              <w:bottom w:val="single" w:sz="4" w:space="0" w:color="auto"/>
              <w:right w:val="single" w:sz="4" w:space="0" w:color="auto"/>
            </w:tcBorders>
            <w:shd w:val="clear" w:color="auto" w:fill="auto"/>
            <w:noWrap/>
            <w:vAlign w:val="center"/>
            <w:hideMark/>
          </w:tcPr>
          <w:p w14:paraId="3ED592A3"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22674691"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0</w:t>
            </w:r>
          </w:p>
        </w:tc>
      </w:tr>
      <w:tr w:rsidR="00A56F47" w:rsidRPr="00941FA7" w14:paraId="12DF2584" w14:textId="77777777" w:rsidTr="00A56F47">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0BA9E2D" w14:textId="77777777" w:rsidR="00A56F47" w:rsidRPr="00941FA7" w:rsidRDefault="00A56F47" w:rsidP="00A56F47">
            <w:pPr>
              <w:rPr>
                <w:rFonts w:asciiTheme="minorHAnsi" w:hAnsiTheme="minorHAnsi" w:cstheme="minorHAnsi"/>
                <w:sz w:val="20"/>
                <w:szCs w:val="20"/>
                <w:lang w:val="fr-FR" w:eastAsia="en-GB"/>
              </w:rPr>
            </w:pPr>
            <w:r w:rsidRPr="00941FA7">
              <w:rPr>
                <w:rFonts w:asciiTheme="minorHAnsi" w:hAnsiTheme="minorHAnsi" w:cstheme="minorHAnsi"/>
                <w:sz w:val="20"/>
                <w:szCs w:val="20"/>
                <w:lang w:val="fr-FR" w:eastAsia="en-GB"/>
              </w:rPr>
              <w:t>Services juridiques</w:t>
            </w:r>
          </w:p>
        </w:tc>
        <w:tc>
          <w:tcPr>
            <w:tcW w:w="1757" w:type="dxa"/>
            <w:tcBorders>
              <w:top w:val="nil"/>
              <w:left w:val="nil"/>
              <w:bottom w:val="single" w:sz="4" w:space="0" w:color="auto"/>
              <w:right w:val="single" w:sz="4" w:space="0" w:color="auto"/>
            </w:tcBorders>
            <w:shd w:val="clear" w:color="auto" w:fill="auto"/>
            <w:noWrap/>
            <w:vAlign w:val="center"/>
            <w:hideMark/>
          </w:tcPr>
          <w:p w14:paraId="6252E48F" w14:textId="77777777" w:rsidR="00A56F47" w:rsidRPr="00941FA7" w:rsidRDefault="00A56F47" w:rsidP="00A56F47">
            <w:pPr>
              <w:jc w:val="right"/>
              <w:rPr>
                <w:sz w:val="20"/>
                <w:szCs w:val="20"/>
                <w:lang w:val="fr-FR" w:eastAsia="en-GB"/>
              </w:rPr>
            </w:pPr>
            <w:r w:rsidRPr="00941FA7">
              <w:rPr>
                <w:sz w:val="20"/>
                <w:szCs w:val="20"/>
                <w:lang w:val="fr-FR" w:eastAsia="en-GB"/>
              </w:rPr>
              <w:t>59</w:t>
            </w:r>
          </w:p>
        </w:tc>
        <w:tc>
          <w:tcPr>
            <w:tcW w:w="1757" w:type="dxa"/>
            <w:tcBorders>
              <w:top w:val="nil"/>
              <w:left w:val="nil"/>
              <w:bottom w:val="single" w:sz="4" w:space="0" w:color="auto"/>
              <w:right w:val="single" w:sz="4" w:space="0" w:color="auto"/>
            </w:tcBorders>
            <w:shd w:val="clear" w:color="auto" w:fill="auto"/>
            <w:noWrap/>
            <w:vAlign w:val="center"/>
            <w:hideMark/>
          </w:tcPr>
          <w:p w14:paraId="21173557" w14:textId="77777777" w:rsidR="00A56F47" w:rsidRPr="00941FA7" w:rsidRDefault="00A56F47" w:rsidP="00A56F47">
            <w:pPr>
              <w:jc w:val="right"/>
              <w:rPr>
                <w:sz w:val="20"/>
                <w:szCs w:val="20"/>
                <w:lang w:val="fr-FR" w:eastAsia="en-GB"/>
              </w:rPr>
            </w:pPr>
            <w:r w:rsidRPr="00941FA7">
              <w:rPr>
                <w:sz w:val="20"/>
                <w:szCs w:val="20"/>
                <w:lang w:val="fr-FR" w:eastAsia="en-GB"/>
              </w:rPr>
              <w:t>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26619F5"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62</w:t>
            </w:r>
          </w:p>
        </w:tc>
        <w:tc>
          <w:tcPr>
            <w:tcW w:w="1757" w:type="dxa"/>
            <w:tcBorders>
              <w:top w:val="nil"/>
              <w:left w:val="nil"/>
              <w:bottom w:val="single" w:sz="4" w:space="0" w:color="auto"/>
              <w:right w:val="single" w:sz="4" w:space="0" w:color="auto"/>
            </w:tcBorders>
            <w:shd w:val="clear" w:color="auto" w:fill="auto"/>
            <w:noWrap/>
            <w:vAlign w:val="center"/>
            <w:hideMark/>
          </w:tcPr>
          <w:p w14:paraId="71FE8D30" w14:textId="77777777" w:rsidR="00A56F47" w:rsidRPr="00941FA7" w:rsidRDefault="00A56F47" w:rsidP="00A56F47">
            <w:pPr>
              <w:rPr>
                <w:color w:val="000000"/>
                <w:sz w:val="20"/>
                <w:szCs w:val="20"/>
                <w:lang w:val="fr-FR" w:eastAsia="en-GB"/>
              </w:rPr>
            </w:pPr>
            <w:r w:rsidRPr="00941FA7">
              <w:rPr>
                <w:color w:val="000000"/>
                <w:sz w:val="20"/>
                <w:szCs w:val="20"/>
                <w:lang w:val="fr-FR" w:eastAsia="en-GB"/>
              </w:rPr>
              <w:t> </w:t>
            </w:r>
          </w:p>
        </w:tc>
        <w:tc>
          <w:tcPr>
            <w:tcW w:w="1868" w:type="dxa"/>
            <w:tcBorders>
              <w:top w:val="nil"/>
              <w:left w:val="nil"/>
              <w:bottom w:val="single" w:sz="4" w:space="0" w:color="auto"/>
              <w:right w:val="single" w:sz="4" w:space="0" w:color="auto"/>
            </w:tcBorders>
            <w:shd w:val="clear" w:color="auto" w:fill="auto"/>
            <w:noWrap/>
            <w:vAlign w:val="center"/>
            <w:hideMark/>
          </w:tcPr>
          <w:p w14:paraId="4D7B6BB0" w14:textId="77777777" w:rsidR="00A56F47" w:rsidRPr="00941FA7" w:rsidRDefault="00A56F47" w:rsidP="00A56F47">
            <w:pPr>
              <w:jc w:val="right"/>
              <w:rPr>
                <w:color w:val="000000"/>
                <w:sz w:val="20"/>
                <w:szCs w:val="20"/>
                <w:lang w:val="fr-FR" w:eastAsia="en-GB"/>
              </w:rPr>
            </w:pPr>
            <w:r w:rsidRPr="00941FA7">
              <w:rPr>
                <w:color w:val="000000"/>
                <w:sz w:val="20"/>
                <w:szCs w:val="20"/>
                <w:lang w:val="fr-FR" w:eastAsia="en-GB"/>
              </w:rPr>
              <w:t>121</w:t>
            </w:r>
          </w:p>
        </w:tc>
      </w:tr>
      <w:tr w:rsidR="00A56F47" w:rsidRPr="00941FA7" w14:paraId="4EAA7DF4" w14:textId="77777777" w:rsidTr="008116E5">
        <w:trPr>
          <w:trHeight w:val="300"/>
        </w:trPr>
        <w:tc>
          <w:tcPr>
            <w:tcW w:w="496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5AF05FB" w14:textId="77777777" w:rsidR="00A56F47" w:rsidRPr="00941FA7" w:rsidRDefault="00A56F47" w:rsidP="00A56F47">
            <w:pPr>
              <w:rPr>
                <w:b/>
                <w:bCs/>
                <w:color w:val="000000"/>
                <w:sz w:val="20"/>
                <w:szCs w:val="20"/>
                <w:lang w:val="fr-FR" w:eastAsia="en-GB"/>
              </w:rPr>
            </w:pPr>
            <w:r w:rsidRPr="00941FA7">
              <w:rPr>
                <w:b/>
                <w:bCs/>
                <w:color w:val="000000"/>
                <w:sz w:val="20"/>
                <w:szCs w:val="20"/>
                <w:lang w:val="fr-FR" w:eastAsia="en-GB"/>
              </w:rPr>
              <w:t>TOTAL DÉPENSES</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6853D88"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5,081</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709671F4"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196</w:t>
            </w:r>
          </w:p>
        </w:tc>
        <w:tc>
          <w:tcPr>
            <w:tcW w:w="175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69E9F0A"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767</w:t>
            </w:r>
          </w:p>
        </w:tc>
        <w:tc>
          <w:tcPr>
            <w:tcW w:w="1757" w:type="dxa"/>
            <w:tcBorders>
              <w:top w:val="nil"/>
              <w:left w:val="nil"/>
              <w:bottom w:val="single" w:sz="4" w:space="0" w:color="auto"/>
              <w:right w:val="single" w:sz="4" w:space="0" w:color="auto"/>
            </w:tcBorders>
            <w:shd w:val="clear" w:color="auto" w:fill="E2EFD9" w:themeFill="accent6" w:themeFillTint="33"/>
            <w:noWrap/>
            <w:vAlign w:val="center"/>
            <w:hideMark/>
          </w:tcPr>
          <w:p w14:paraId="1E483726" w14:textId="77777777" w:rsidR="00A56F47" w:rsidRPr="00941FA7" w:rsidRDefault="00A56F47" w:rsidP="00A56F47">
            <w:pPr>
              <w:jc w:val="right"/>
              <w:rPr>
                <w:b/>
                <w:bCs/>
                <w:color w:val="000000"/>
                <w:sz w:val="20"/>
                <w:szCs w:val="20"/>
                <w:lang w:val="fr-FR" w:eastAsia="en-GB"/>
              </w:rPr>
            </w:pPr>
            <w:r>
              <w:rPr>
                <w:b/>
                <w:bCs/>
                <w:color w:val="000000"/>
                <w:sz w:val="20"/>
                <w:szCs w:val="20"/>
                <w:lang w:val="fr-FR" w:eastAsia="en-GB"/>
              </w:rPr>
              <w:t>100</w:t>
            </w:r>
          </w:p>
        </w:tc>
        <w:tc>
          <w:tcPr>
            <w:tcW w:w="1868" w:type="dxa"/>
            <w:tcBorders>
              <w:top w:val="nil"/>
              <w:left w:val="nil"/>
              <w:bottom w:val="single" w:sz="4" w:space="0" w:color="auto"/>
              <w:right w:val="single" w:sz="4" w:space="0" w:color="auto"/>
            </w:tcBorders>
            <w:shd w:val="clear" w:color="auto" w:fill="E2EFD9" w:themeFill="accent6" w:themeFillTint="33"/>
            <w:noWrap/>
            <w:vAlign w:val="center"/>
            <w:hideMark/>
          </w:tcPr>
          <w:p w14:paraId="53787197" w14:textId="77777777" w:rsidR="00A56F47" w:rsidRPr="00941FA7" w:rsidRDefault="00A56F47" w:rsidP="00A56F47">
            <w:pPr>
              <w:jc w:val="right"/>
              <w:rPr>
                <w:b/>
                <w:bCs/>
                <w:color w:val="000000"/>
                <w:sz w:val="20"/>
                <w:szCs w:val="20"/>
                <w:lang w:val="fr-FR" w:eastAsia="en-GB"/>
              </w:rPr>
            </w:pPr>
            <w:r w:rsidRPr="00941FA7">
              <w:rPr>
                <w:b/>
                <w:bCs/>
                <w:color w:val="000000"/>
                <w:sz w:val="20"/>
                <w:szCs w:val="20"/>
                <w:lang w:val="fr-FR" w:eastAsia="en-GB"/>
              </w:rPr>
              <w:t>6,</w:t>
            </w:r>
            <w:r>
              <w:rPr>
                <w:b/>
                <w:bCs/>
                <w:color w:val="000000"/>
                <w:sz w:val="20"/>
                <w:szCs w:val="20"/>
                <w:lang w:val="fr-FR" w:eastAsia="en-GB"/>
              </w:rPr>
              <w:t>144</w:t>
            </w:r>
          </w:p>
        </w:tc>
      </w:tr>
    </w:tbl>
    <w:p w14:paraId="7DAEDA25" w14:textId="77777777" w:rsidR="00A56F47" w:rsidRPr="00941FA7" w:rsidRDefault="00A56F47" w:rsidP="00A56F47">
      <w:pPr>
        <w:rPr>
          <w:rFonts w:asciiTheme="minorHAnsi" w:hAnsiTheme="minorHAnsi" w:cstheme="minorHAnsi"/>
          <w:b/>
          <w:bCs/>
          <w:lang w:val="fr-FR" w:eastAsia="en-GB"/>
        </w:rPr>
      </w:pPr>
      <w:r w:rsidRPr="00941FA7">
        <w:rPr>
          <w:rFonts w:asciiTheme="minorHAnsi" w:hAnsiTheme="minorHAnsi" w:cstheme="minorHAnsi"/>
          <w:b/>
          <w:bCs/>
          <w:color w:val="000000"/>
          <w:sz w:val="20"/>
          <w:szCs w:val="20"/>
          <w:lang w:val="fr-FR" w:eastAsia="en-GB"/>
        </w:rPr>
        <w:t>Notes :</w:t>
      </w:r>
    </w:p>
    <w:p w14:paraId="37F3BBD9" w14:textId="77777777" w:rsidR="00A56F47" w:rsidRPr="00941FA7" w:rsidRDefault="00A56F47" w:rsidP="00A56F47">
      <w:pPr>
        <w:rPr>
          <w:rFonts w:asciiTheme="minorHAnsi" w:hAnsiTheme="minorHAnsi" w:cstheme="minorHAnsi"/>
          <w:color w:val="000000"/>
          <w:sz w:val="20"/>
          <w:szCs w:val="20"/>
          <w:lang w:val="fr-FR" w:eastAsia="en-GB"/>
        </w:rPr>
      </w:pPr>
      <w:r w:rsidRPr="00941FA7">
        <w:rPr>
          <w:rFonts w:asciiTheme="minorHAnsi" w:hAnsiTheme="minorHAnsi" w:cstheme="minorHAnsi"/>
          <w:color w:val="000000"/>
          <w:sz w:val="20"/>
          <w:szCs w:val="20"/>
          <w:lang w:val="fr-FR" w:eastAsia="en-GB"/>
        </w:rPr>
        <w:t>*</w:t>
      </w:r>
      <w:r>
        <w:rPr>
          <w:rFonts w:asciiTheme="minorHAnsi" w:hAnsiTheme="minorHAnsi" w:cstheme="minorHAnsi"/>
          <w:color w:val="000000"/>
          <w:sz w:val="20"/>
          <w:szCs w:val="20"/>
          <w:lang w:val="fr-FR" w:eastAsia="en-GB"/>
        </w:rPr>
        <w:t>toute portion inutilisée est reversée aux économies</w:t>
      </w:r>
      <w:r w:rsidRPr="00941FA7">
        <w:rPr>
          <w:rFonts w:asciiTheme="minorHAnsi" w:hAnsiTheme="minorHAnsi" w:cstheme="minorHAnsi"/>
          <w:color w:val="000000"/>
          <w:sz w:val="20"/>
          <w:szCs w:val="20"/>
          <w:lang w:val="fr-FR" w:eastAsia="en-GB"/>
        </w:rPr>
        <w:t xml:space="preserve"> </w:t>
      </w:r>
    </w:p>
    <w:p w14:paraId="1C7A37CB" w14:textId="77777777" w:rsidR="00A56F47" w:rsidRPr="00941FA7" w:rsidRDefault="00A56F47" w:rsidP="00A56F47">
      <w:pPr>
        <w:rPr>
          <w:sz w:val="20"/>
          <w:szCs w:val="20"/>
          <w:lang w:val="fr-FR"/>
        </w:rPr>
      </w:pPr>
      <w:r w:rsidRPr="00941FA7">
        <w:rPr>
          <w:sz w:val="20"/>
          <w:szCs w:val="20"/>
          <w:lang w:val="fr-FR"/>
        </w:rPr>
        <w:t xml:space="preserve">** pour examen par la SC62 (mai-juin 2023) pour toute nouvelle Initiative régionale approuvée par la COP14. </w:t>
      </w:r>
    </w:p>
    <w:p w14:paraId="17BB36EC" w14:textId="77777777" w:rsidR="00A56F47" w:rsidRPr="008116E5" w:rsidRDefault="00A56F47" w:rsidP="00A56F47">
      <w:pPr>
        <w:rPr>
          <w:color w:val="FF0000"/>
          <w:sz w:val="20"/>
          <w:szCs w:val="20"/>
          <w:lang w:val="fr-FR"/>
        </w:rPr>
      </w:pPr>
      <w:bookmarkStart w:id="1" w:name="_GoBack"/>
      <w:r w:rsidRPr="008116E5">
        <w:rPr>
          <w:color w:val="FF0000"/>
          <w:sz w:val="20"/>
          <w:szCs w:val="20"/>
          <w:lang w:val="fr-FR"/>
        </w:rPr>
        <w:t>*** sous réserve de l’approbation du Comité permanent ; si le Comité permanent décide que ce n’est pas nécessaire, l’affectation sera reversée à l’excédent de 2021 pour de futures affectations</w:t>
      </w:r>
    </w:p>
    <w:bookmarkEnd w:id="1"/>
    <w:p w14:paraId="5ABE30D3" w14:textId="7F4812ED" w:rsidR="00A56F47" w:rsidRDefault="00A56F47" w:rsidP="00017F10">
      <w:pPr>
        <w:widowControl/>
        <w:ind w:left="426" w:hanging="426"/>
        <w:rPr>
          <w:rFonts w:asciiTheme="minorHAnsi" w:hAnsiTheme="minorHAnsi" w:cstheme="minorHAnsi"/>
          <w:b/>
          <w:i/>
          <w:lang w:val="fr-FR"/>
        </w:rPr>
      </w:pPr>
    </w:p>
    <w:p w14:paraId="7581A58A" w14:textId="77777777" w:rsidR="00A56F47" w:rsidRDefault="00A56F47" w:rsidP="00017F10">
      <w:pPr>
        <w:widowControl/>
        <w:ind w:left="426" w:hanging="426"/>
        <w:rPr>
          <w:rFonts w:asciiTheme="minorHAnsi" w:hAnsiTheme="minorHAnsi" w:cstheme="minorHAnsi"/>
          <w:b/>
          <w:i/>
          <w:lang w:val="fr-FR"/>
        </w:rPr>
        <w:sectPr w:rsidR="00A56F47" w:rsidSect="00A56F47">
          <w:footerReference w:type="default" r:id="rId12"/>
          <w:pgSz w:w="16838" w:h="11906" w:orient="landscape" w:code="9"/>
          <w:pgMar w:top="1440" w:right="1440" w:bottom="1440" w:left="1440" w:header="709" w:footer="709" w:gutter="0"/>
          <w:cols w:space="708"/>
          <w:docGrid w:linePitch="360"/>
        </w:sectPr>
      </w:pPr>
    </w:p>
    <w:p w14:paraId="512DBC5E" w14:textId="77777777" w:rsidR="00A56F47" w:rsidRPr="00A56F47" w:rsidRDefault="00A56F47" w:rsidP="00A56F47">
      <w:pPr>
        <w:ind w:left="540" w:hanging="540"/>
        <w:rPr>
          <w:rFonts w:asciiTheme="minorHAnsi" w:hAnsiTheme="minorHAnsi"/>
          <w:b/>
          <w:sz w:val="24"/>
          <w:lang w:val="fr-FR"/>
        </w:rPr>
      </w:pPr>
      <w:bookmarkStart w:id="2" w:name="OLE_LINK3"/>
      <w:r w:rsidRPr="00A56F47">
        <w:rPr>
          <w:rFonts w:asciiTheme="minorHAnsi" w:hAnsiTheme="minorHAnsi"/>
          <w:b/>
          <w:sz w:val="24"/>
          <w:lang w:val="fr-FR"/>
        </w:rPr>
        <w:lastRenderedPageBreak/>
        <w:t>Annexe 2 au Rapport du Sous-groupe sur les finances</w:t>
      </w:r>
    </w:p>
    <w:p w14:paraId="62A0444D" w14:textId="77777777" w:rsidR="00A56F47" w:rsidRPr="00A56F47" w:rsidRDefault="00A56F47" w:rsidP="00A56F47">
      <w:pPr>
        <w:ind w:left="540" w:hanging="540"/>
        <w:rPr>
          <w:rFonts w:asciiTheme="minorHAnsi" w:hAnsiTheme="minorHAnsi"/>
          <w:b/>
          <w:sz w:val="24"/>
          <w:szCs w:val="24"/>
          <w:lang w:val="fr-FR"/>
        </w:rPr>
      </w:pPr>
      <w:r w:rsidRPr="00A56F47">
        <w:rPr>
          <w:rFonts w:asciiTheme="minorHAnsi" w:hAnsiTheme="minorHAnsi"/>
          <w:b/>
          <w:sz w:val="24"/>
          <w:lang w:val="fr-FR"/>
        </w:rPr>
        <w:t>Projet de Résolution 14.xx</w:t>
      </w:r>
    </w:p>
    <w:bookmarkEnd w:id="2"/>
    <w:p w14:paraId="39693C3A" w14:textId="77777777" w:rsidR="00A56F47" w:rsidRPr="00A56F47" w:rsidRDefault="00A56F47" w:rsidP="00A56F47">
      <w:pPr>
        <w:rPr>
          <w:rFonts w:asciiTheme="minorHAnsi" w:hAnsiTheme="minorHAnsi"/>
          <w:b/>
          <w:sz w:val="24"/>
          <w:szCs w:val="24"/>
          <w:lang w:val="fr-FR"/>
        </w:rPr>
      </w:pPr>
      <w:r w:rsidRPr="00A56F47">
        <w:rPr>
          <w:rFonts w:asciiTheme="minorHAnsi" w:hAnsiTheme="minorHAnsi"/>
          <w:b/>
          <w:sz w:val="24"/>
          <w:lang w:val="fr-FR"/>
        </w:rPr>
        <w:t>Questions financières et budgétaires</w:t>
      </w:r>
    </w:p>
    <w:p w14:paraId="15385963" w14:textId="77777777" w:rsidR="00A56F47" w:rsidRPr="00A56F47" w:rsidRDefault="00A56F47" w:rsidP="00A56F47">
      <w:pPr>
        <w:rPr>
          <w:rFonts w:asciiTheme="minorHAnsi" w:hAnsiTheme="minorHAnsi"/>
          <w:b/>
          <w:lang w:val="fr-FR"/>
        </w:rPr>
      </w:pPr>
    </w:p>
    <w:p w14:paraId="2DC9D60D" w14:textId="77777777" w:rsidR="00A56F47" w:rsidRPr="00A56F47" w:rsidRDefault="00A56F47" w:rsidP="00A56F47">
      <w:pPr>
        <w:pStyle w:val="ListParagraph"/>
        <w:widowControl/>
        <w:numPr>
          <w:ilvl w:val="0"/>
          <w:numId w:val="7"/>
        </w:numPr>
        <w:autoSpaceDE/>
        <w:autoSpaceDN/>
        <w:ind w:left="425" w:hanging="425"/>
        <w:rPr>
          <w:rFonts w:asciiTheme="minorHAnsi" w:hAnsiTheme="minorHAnsi"/>
          <w:lang w:val="fr-FR"/>
        </w:rPr>
      </w:pPr>
      <w:r w:rsidRPr="00A56F47">
        <w:rPr>
          <w:rFonts w:asciiTheme="minorHAnsi" w:hAnsiTheme="minorHAnsi"/>
          <w:lang w:val="fr-FR"/>
        </w:rPr>
        <w:t>RAPPELANT les dispositions budgétaires établies par l’Article 6, alinéas 5 et 6, de la Convention ;</w:t>
      </w:r>
    </w:p>
    <w:p w14:paraId="33257535" w14:textId="77777777" w:rsidR="00A56F47" w:rsidRPr="00A56F47" w:rsidRDefault="00A56F47" w:rsidP="00A56F47">
      <w:pPr>
        <w:pStyle w:val="ListParagraph"/>
        <w:ind w:left="425"/>
        <w:rPr>
          <w:rFonts w:asciiTheme="minorHAnsi" w:hAnsiTheme="minorHAnsi"/>
          <w:lang w:val="fr-FR"/>
        </w:rPr>
      </w:pPr>
    </w:p>
    <w:p w14:paraId="3F0E4CD8" w14:textId="77777777" w:rsidR="00A56F47" w:rsidRPr="00A56F47" w:rsidRDefault="00A56F47" w:rsidP="00A56F47">
      <w:pPr>
        <w:rPr>
          <w:rFonts w:asciiTheme="minorHAnsi" w:hAnsiTheme="minorHAnsi"/>
          <w:lang w:val="fr-FR"/>
        </w:rPr>
      </w:pPr>
      <w:r w:rsidRPr="00A56F47">
        <w:rPr>
          <w:rFonts w:asciiTheme="minorHAnsi" w:hAnsiTheme="minorHAnsi"/>
          <w:lang w:val="fr-FR"/>
        </w:rPr>
        <w:t>2.</w:t>
      </w:r>
      <w:r w:rsidRPr="00A56F47">
        <w:rPr>
          <w:rFonts w:asciiTheme="minorHAnsi" w:hAnsiTheme="minorHAnsi"/>
          <w:lang w:val="fr-FR"/>
        </w:rPr>
        <w:tab/>
      </w:r>
      <w:r w:rsidRPr="00A56F47">
        <w:rPr>
          <w:lang w:val="fr-FR"/>
        </w:rPr>
        <w:t xml:space="preserve">RAPPELANT la Résolution XII.7, </w:t>
      </w:r>
      <w:r w:rsidRPr="00A56F47">
        <w:rPr>
          <w:i/>
          <w:lang w:val="fr-FR"/>
        </w:rPr>
        <w:t xml:space="preserve">Cadre de la Convention de Ramsar pour la mobilisation de ressources et les partenariats </w:t>
      </w:r>
      <w:r w:rsidRPr="00A56F47">
        <w:rPr>
          <w:lang w:val="fr-FR"/>
        </w:rPr>
        <w:t xml:space="preserve">et les dispositions connexes de la Résolution XIII.2 </w:t>
      </w:r>
      <w:r w:rsidRPr="00A56F47">
        <w:rPr>
          <w:i/>
          <w:lang w:val="fr-FR"/>
        </w:rPr>
        <w:t>Questions financières et budgétaires</w:t>
      </w:r>
      <w:r w:rsidRPr="00A56F47">
        <w:rPr>
          <w:lang w:val="fr-FR"/>
        </w:rPr>
        <w:t xml:space="preserve"> et la Résolution ExCOP3.2 </w:t>
      </w:r>
      <w:r w:rsidRPr="00A56F47">
        <w:rPr>
          <w:i/>
          <w:lang w:val="fr-FR"/>
        </w:rPr>
        <w:t>Questions financières et budgétaires</w:t>
      </w:r>
      <w:r w:rsidRPr="00A56F47">
        <w:rPr>
          <w:lang w:val="fr-FR"/>
        </w:rPr>
        <w:t> :</w:t>
      </w:r>
      <w:r w:rsidRPr="00A56F47">
        <w:rPr>
          <w:i/>
          <w:lang w:val="fr-FR"/>
        </w:rPr>
        <w:t xml:space="preserve"> budget administratif 2022 </w:t>
      </w:r>
      <w:r w:rsidRPr="00A56F47">
        <w:rPr>
          <w:lang w:val="fr-FR"/>
        </w:rPr>
        <w:t>;</w:t>
      </w:r>
      <w:r w:rsidRPr="00A56F47">
        <w:rPr>
          <w:rFonts w:asciiTheme="minorHAnsi" w:hAnsiTheme="minorHAnsi"/>
          <w:lang w:val="fr-FR"/>
        </w:rPr>
        <w:t xml:space="preserve"> </w:t>
      </w:r>
    </w:p>
    <w:p w14:paraId="22A6C519" w14:textId="77777777" w:rsidR="00A56F47" w:rsidRPr="00A56F47" w:rsidRDefault="00A56F47" w:rsidP="00A56F47">
      <w:pPr>
        <w:rPr>
          <w:rFonts w:asciiTheme="minorHAnsi" w:hAnsiTheme="minorHAnsi"/>
          <w:lang w:val="fr-FR"/>
        </w:rPr>
      </w:pPr>
    </w:p>
    <w:p w14:paraId="72E4269F" w14:textId="77777777" w:rsidR="00A56F47" w:rsidRPr="00A56F47" w:rsidRDefault="00A56F47" w:rsidP="00A56F47">
      <w:pPr>
        <w:rPr>
          <w:rFonts w:asciiTheme="minorHAnsi" w:hAnsiTheme="minorHAnsi"/>
          <w:lang w:val="fr-FR"/>
        </w:rPr>
      </w:pPr>
      <w:r w:rsidRPr="00A56F47">
        <w:rPr>
          <w:rFonts w:asciiTheme="minorHAnsi" w:hAnsiTheme="minorHAnsi"/>
          <w:lang w:val="fr-FR"/>
        </w:rPr>
        <w:t>3.</w:t>
      </w:r>
      <w:r w:rsidRPr="00A56F47">
        <w:rPr>
          <w:rFonts w:asciiTheme="minorHAnsi" w:hAnsiTheme="minorHAnsi"/>
          <w:lang w:val="fr-FR"/>
        </w:rPr>
        <w:tab/>
      </w:r>
      <w:r w:rsidRPr="00A56F47">
        <w:rPr>
          <w:lang w:val="fr-FR"/>
        </w:rPr>
        <w:t xml:space="preserve">RECONNAISSANT AVEC SATISFACTION que la majorité des Parties contractantes ont versé promptement leurs contributions au budget administratif de la Convention ; mais CONSTATANT AVEC PRÉOCCUPATION que plusieurs Parties contractantes ont encore d’importants arriérés de contributions (voir document COP14 Doc.xx, </w:t>
      </w:r>
      <w:r w:rsidRPr="00A56F47">
        <w:rPr>
          <w:i/>
          <w:iCs/>
          <w:lang w:val="fr-FR"/>
        </w:rPr>
        <w:t>Rapport sur les questions financières et budgétaires</w:t>
      </w:r>
      <w:r w:rsidRPr="00A56F47">
        <w:rPr>
          <w:lang w:val="fr-FR"/>
        </w:rPr>
        <w:t>) ;</w:t>
      </w:r>
    </w:p>
    <w:p w14:paraId="35AA9A19" w14:textId="77777777" w:rsidR="00A56F47" w:rsidRPr="00A56F47" w:rsidRDefault="00A56F47" w:rsidP="00A56F47">
      <w:pPr>
        <w:rPr>
          <w:rFonts w:asciiTheme="minorHAnsi" w:hAnsiTheme="minorHAnsi"/>
          <w:lang w:val="fr-FR"/>
        </w:rPr>
      </w:pPr>
    </w:p>
    <w:p w14:paraId="6CE68021" w14:textId="77777777" w:rsidR="00A56F47" w:rsidRPr="00A56F47" w:rsidRDefault="00A56F47" w:rsidP="00A56F47">
      <w:pPr>
        <w:rPr>
          <w:rFonts w:asciiTheme="minorHAnsi" w:hAnsiTheme="minorHAnsi"/>
          <w:lang w:val="fr-FR"/>
        </w:rPr>
      </w:pPr>
      <w:r w:rsidRPr="00A56F47">
        <w:rPr>
          <w:rFonts w:asciiTheme="minorHAnsi" w:hAnsiTheme="minorHAnsi"/>
          <w:lang w:val="fr-FR"/>
        </w:rPr>
        <w:t>4.</w:t>
      </w:r>
      <w:r w:rsidRPr="00A56F47">
        <w:rPr>
          <w:rFonts w:asciiTheme="minorHAnsi" w:hAnsiTheme="minorHAnsi"/>
          <w:lang w:val="fr-FR"/>
        </w:rPr>
        <w:tab/>
      </w:r>
      <w:r w:rsidRPr="00A56F47">
        <w:rPr>
          <w:lang w:val="fr-FR"/>
        </w:rPr>
        <w:t xml:space="preserve">NOTANT AVEC GRATITUDE les contributions financières supplémentaires versées volontairement par nombre de Parties contractantes, notamment celles de Parties contractantes d’Afrique spécifiquement affectées aux Initiatives régionales africaines (conformément au paragraphe 23 de la Résolution X.2, </w:t>
      </w:r>
      <w:r w:rsidRPr="00A56F47">
        <w:rPr>
          <w:i/>
          <w:lang w:val="fr-FR"/>
        </w:rPr>
        <w:t>Questions financières et budgétaires</w:t>
      </w:r>
      <w:r w:rsidRPr="00A56F47">
        <w:rPr>
          <w:lang w:val="fr-FR"/>
        </w:rPr>
        <w:t>), ainsi que les contributions d’organisations non gouvernementales et du secteur privé destinées aux activités du Secrétariat ;</w:t>
      </w:r>
    </w:p>
    <w:p w14:paraId="61CE6407" w14:textId="77777777" w:rsidR="00A56F47" w:rsidRPr="00A56F47" w:rsidRDefault="00A56F47" w:rsidP="00A56F47">
      <w:pPr>
        <w:rPr>
          <w:rFonts w:asciiTheme="minorHAnsi" w:hAnsiTheme="minorHAnsi"/>
          <w:lang w:val="fr-FR"/>
        </w:rPr>
      </w:pPr>
    </w:p>
    <w:p w14:paraId="45E04C11" w14:textId="77777777" w:rsidR="00A56F47" w:rsidRPr="00A56F47" w:rsidRDefault="00A56F47" w:rsidP="00A56F47">
      <w:pPr>
        <w:rPr>
          <w:rFonts w:asciiTheme="minorHAnsi" w:hAnsiTheme="minorHAnsi"/>
          <w:lang w:val="fr-FR"/>
        </w:rPr>
      </w:pPr>
      <w:r w:rsidRPr="00A56F47">
        <w:rPr>
          <w:rFonts w:asciiTheme="minorHAnsi" w:hAnsiTheme="minorHAnsi"/>
          <w:lang w:val="fr-FR"/>
        </w:rPr>
        <w:t>5.</w:t>
      </w:r>
      <w:r w:rsidRPr="00A56F47">
        <w:rPr>
          <w:rFonts w:asciiTheme="minorHAnsi" w:hAnsiTheme="minorHAnsi"/>
          <w:lang w:val="fr-FR"/>
        </w:rPr>
        <w:tab/>
        <w:t xml:space="preserve">RAPPELANT la </w:t>
      </w:r>
      <w:r w:rsidRPr="00A56F47">
        <w:rPr>
          <w:rFonts w:asciiTheme="minorHAnsi" w:hAnsiTheme="minorHAnsi"/>
          <w:i/>
          <w:lang w:val="fr-FR"/>
        </w:rPr>
        <w:t xml:space="preserve">Délégation d’autorité au Secrétaire général de la Convention sur les zones humides </w:t>
      </w:r>
      <w:r w:rsidRPr="00A56F47">
        <w:rPr>
          <w:rFonts w:asciiTheme="minorHAnsi" w:hAnsiTheme="minorHAnsi"/>
          <w:lang w:val="fr-FR"/>
        </w:rPr>
        <w:t xml:space="preserve">signée par le Directeur général de l’Union internationale pour la conservation de la nature (UICN) et le Président du Comité permanent de la Convention, le 29 janvier 1993, et la </w:t>
      </w:r>
      <w:r w:rsidRPr="00A56F47">
        <w:rPr>
          <w:rFonts w:asciiTheme="minorHAnsi" w:hAnsiTheme="minorHAnsi"/>
          <w:i/>
          <w:lang w:val="fr-FR"/>
        </w:rPr>
        <w:t xml:space="preserve">Note supplémentaire à la délégation d’autorité </w:t>
      </w:r>
      <w:r w:rsidRPr="00A56F47">
        <w:rPr>
          <w:rFonts w:asciiTheme="minorHAnsi" w:hAnsiTheme="minorHAnsi"/>
          <w:lang w:val="fr-FR"/>
        </w:rPr>
        <w:t>signée à la même date ;</w:t>
      </w:r>
    </w:p>
    <w:p w14:paraId="48D2F4C1" w14:textId="77777777" w:rsidR="00A56F47" w:rsidRPr="00A56F47" w:rsidRDefault="00A56F47" w:rsidP="00A56F47">
      <w:pPr>
        <w:rPr>
          <w:rFonts w:asciiTheme="minorHAnsi" w:hAnsiTheme="minorHAnsi"/>
          <w:lang w:val="fr-FR"/>
        </w:rPr>
      </w:pPr>
    </w:p>
    <w:p w14:paraId="60045C04" w14:textId="77777777" w:rsidR="00A56F47" w:rsidRPr="00A56F47" w:rsidRDefault="00A56F47" w:rsidP="00A56F47">
      <w:pPr>
        <w:rPr>
          <w:rFonts w:asciiTheme="minorHAnsi" w:hAnsiTheme="minorHAnsi"/>
          <w:lang w:val="fr-FR"/>
        </w:rPr>
      </w:pPr>
      <w:r w:rsidRPr="00A56F47">
        <w:rPr>
          <w:rFonts w:asciiTheme="minorHAnsi" w:hAnsiTheme="minorHAnsi"/>
          <w:lang w:val="fr-FR"/>
        </w:rPr>
        <w:t>6.</w:t>
      </w:r>
      <w:r w:rsidRPr="00A56F47">
        <w:rPr>
          <w:rFonts w:asciiTheme="minorHAnsi" w:hAnsiTheme="minorHAnsi"/>
          <w:lang w:val="fr-FR"/>
        </w:rPr>
        <w:tab/>
        <w:t>SE FÉLICITANT des services financiers et administratifs fournis au Secrétariat Ramsar par l’UICN, conformément à l’Accord de services conclu entre la Convention de Ramsar et l’UICN et révisé en 2009 ;</w:t>
      </w:r>
    </w:p>
    <w:p w14:paraId="224ADF5F" w14:textId="77777777" w:rsidR="00A56F47" w:rsidRPr="00A56F47" w:rsidRDefault="00A56F47" w:rsidP="00A56F47">
      <w:pPr>
        <w:pStyle w:val="ListParagraph"/>
        <w:ind w:left="425"/>
        <w:rPr>
          <w:rFonts w:asciiTheme="minorHAnsi" w:hAnsiTheme="minorHAnsi"/>
          <w:lang w:val="fr-FR"/>
        </w:rPr>
      </w:pPr>
    </w:p>
    <w:p w14:paraId="2D67F1CA" w14:textId="77777777" w:rsidR="00A56F47" w:rsidRPr="00A56F47" w:rsidRDefault="00A56F47" w:rsidP="00A56F47">
      <w:pPr>
        <w:rPr>
          <w:rFonts w:asciiTheme="minorHAnsi" w:hAnsiTheme="minorHAnsi"/>
          <w:lang w:val="fr-FR"/>
        </w:rPr>
      </w:pPr>
      <w:r w:rsidRPr="00A56F47">
        <w:rPr>
          <w:rFonts w:asciiTheme="minorHAnsi" w:hAnsiTheme="minorHAnsi"/>
          <w:lang w:val="fr-FR"/>
        </w:rPr>
        <w:t>7.</w:t>
      </w:r>
      <w:r w:rsidRPr="00A56F47">
        <w:rPr>
          <w:rFonts w:asciiTheme="minorHAnsi" w:hAnsiTheme="minorHAnsi"/>
          <w:lang w:val="fr-FR"/>
        </w:rPr>
        <w:tab/>
        <w:t>NOTANT que les Parties contractantes ont été tenues informées de la situation financière du Secrétariat de la Convention dans les rapports financiers annuels vérifiés pour les exercices 2018 à 2021 et les procès-verbaux des réunions du Comité permanent de 2019 à 2022 ; et</w:t>
      </w:r>
    </w:p>
    <w:p w14:paraId="07B3A7A8" w14:textId="77777777" w:rsidR="00A56F47" w:rsidRPr="00A56F47" w:rsidRDefault="00A56F47" w:rsidP="00A56F47">
      <w:pPr>
        <w:rPr>
          <w:rFonts w:asciiTheme="minorHAnsi" w:hAnsiTheme="minorHAnsi"/>
          <w:lang w:val="fr-FR"/>
        </w:rPr>
      </w:pPr>
    </w:p>
    <w:p w14:paraId="12338045" w14:textId="77777777" w:rsidR="00A56F47" w:rsidRPr="00A56F47" w:rsidRDefault="00A56F47" w:rsidP="00A56F47">
      <w:pPr>
        <w:rPr>
          <w:rFonts w:asciiTheme="minorHAnsi" w:hAnsiTheme="minorHAnsi"/>
          <w:lang w:val="fr-FR"/>
        </w:rPr>
      </w:pPr>
      <w:r w:rsidRPr="00A56F47">
        <w:rPr>
          <w:rFonts w:asciiTheme="minorHAnsi" w:hAnsiTheme="minorHAnsi"/>
          <w:lang w:val="fr-FR"/>
        </w:rPr>
        <w:t>8.</w:t>
      </w:r>
      <w:r w:rsidRPr="00A56F47">
        <w:rPr>
          <w:rFonts w:asciiTheme="minorHAnsi" w:hAnsiTheme="minorHAnsi"/>
          <w:lang w:val="fr-FR"/>
        </w:rPr>
        <w:tab/>
        <w:t>CONSCIENTE de la nécessité de poursuivre le renforcement des partenariats financiers avec les organisations internationales et autres organismes concernés et de réfléchir à de nouvelles possibilités de financement par le biais de leurs mécanismes financiers ;</w:t>
      </w:r>
    </w:p>
    <w:p w14:paraId="5CCC9F4C" w14:textId="77777777" w:rsidR="00A56F47" w:rsidRPr="00A56F47" w:rsidRDefault="00A56F47" w:rsidP="00A56F47">
      <w:pPr>
        <w:ind w:left="426" w:hanging="426"/>
        <w:rPr>
          <w:rFonts w:asciiTheme="minorHAnsi" w:hAnsiTheme="minorHAnsi"/>
          <w:lang w:val="fr-FR"/>
        </w:rPr>
      </w:pPr>
    </w:p>
    <w:p w14:paraId="31080459" w14:textId="77777777" w:rsidR="00A56F47" w:rsidRPr="00A56F47" w:rsidRDefault="00A56F47" w:rsidP="00A56F47">
      <w:pPr>
        <w:keepNext/>
        <w:ind w:left="426" w:hanging="426"/>
        <w:jc w:val="center"/>
        <w:rPr>
          <w:rFonts w:asciiTheme="minorHAnsi" w:hAnsiTheme="minorHAnsi"/>
          <w:lang w:val="fr-FR"/>
        </w:rPr>
      </w:pPr>
      <w:r w:rsidRPr="00A56F47">
        <w:rPr>
          <w:rFonts w:asciiTheme="minorHAnsi" w:hAnsiTheme="minorHAnsi"/>
          <w:lang w:val="fr-FR"/>
        </w:rPr>
        <w:t>LA CONFÉRENCE DES PARTIES CONTRACTANTES</w:t>
      </w:r>
    </w:p>
    <w:p w14:paraId="1B9B86BA" w14:textId="77777777" w:rsidR="00A56F47" w:rsidRPr="00A56F47" w:rsidRDefault="00A56F47" w:rsidP="00A56F47">
      <w:pPr>
        <w:keepNext/>
        <w:ind w:left="567" w:hanging="567"/>
        <w:rPr>
          <w:rFonts w:asciiTheme="minorHAnsi" w:hAnsiTheme="minorHAnsi"/>
          <w:lang w:val="fr-FR"/>
        </w:rPr>
      </w:pPr>
    </w:p>
    <w:p w14:paraId="388C507B" w14:textId="77777777" w:rsidR="00A56F47" w:rsidRPr="00A56F47" w:rsidRDefault="00A56F47" w:rsidP="00A56F47">
      <w:pPr>
        <w:rPr>
          <w:rFonts w:asciiTheme="minorHAnsi" w:hAnsiTheme="minorHAnsi"/>
          <w:lang w:val="fr-FR"/>
        </w:rPr>
      </w:pPr>
      <w:r w:rsidRPr="00A56F47">
        <w:rPr>
          <w:rFonts w:asciiTheme="minorHAnsi" w:hAnsiTheme="minorHAnsi"/>
          <w:lang w:val="fr-FR"/>
        </w:rPr>
        <w:t>9.</w:t>
      </w:r>
      <w:r w:rsidRPr="00A56F47">
        <w:rPr>
          <w:rFonts w:asciiTheme="minorHAnsi" w:hAnsiTheme="minorHAnsi"/>
          <w:lang w:val="fr-FR"/>
        </w:rPr>
        <w:tab/>
        <w:t>PREND NOTE que depuis la 13</w:t>
      </w:r>
      <w:r w:rsidRPr="00A56F47">
        <w:rPr>
          <w:rFonts w:asciiTheme="minorHAnsi" w:hAnsiTheme="minorHAnsi"/>
          <w:vertAlign w:val="superscript"/>
          <w:lang w:val="fr-FR"/>
        </w:rPr>
        <w:t>e</w:t>
      </w:r>
      <w:r w:rsidRPr="00A56F47">
        <w:rPr>
          <w:rFonts w:asciiTheme="minorHAnsi" w:hAnsiTheme="minorHAnsi"/>
          <w:lang w:val="fr-FR"/>
        </w:rPr>
        <w:t> Session de la Conférence des Parties contractantes (COP13), en 2018, le Secrétariat a continué à améliorer considérablement sa gestion des fonds de la Convention avec prudence, efficacité et transparence.</w:t>
      </w:r>
    </w:p>
    <w:p w14:paraId="79F86063" w14:textId="77777777" w:rsidR="00A56F47" w:rsidRPr="00A56F47" w:rsidRDefault="00A56F47" w:rsidP="00A56F47">
      <w:pPr>
        <w:rPr>
          <w:rFonts w:asciiTheme="minorHAnsi" w:hAnsiTheme="minorHAnsi"/>
          <w:lang w:val="fr-FR"/>
        </w:rPr>
      </w:pPr>
    </w:p>
    <w:p w14:paraId="4896B0C6" w14:textId="77777777" w:rsidR="00A56F47" w:rsidRPr="00A56F47" w:rsidRDefault="00A56F47" w:rsidP="00A56F47">
      <w:pPr>
        <w:rPr>
          <w:rFonts w:asciiTheme="minorHAnsi" w:hAnsiTheme="minorHAnsi"/>
          <w:lang w:val="fr-FR"/>
        </w:rPr>
      </w:pPr>
      <w:r w:rsidRPr="00A56F47">
        <w:rPr>
          <w:rFonts w:asciiTheme="minorHAnsi" w:hAnsiTheme="minorHAnsi"/>
          <w:lang w:val="fr-FR"/>
        </w:rPr>
        <w:t>10.</w:t>
      </w:r>
      <w:r w:rsidRPr="00A56F47">
        <w:rPr>
          <w:rFonts w:asciiTheme="minorHAnsi" w:hAnsiTheme="minorHAnsi"/>
          <w:lang w:val="fr-FR"/>
        </w:rPr>
        <w:tab/>
        <w:t>EXPRIME SA RECONNAISSANCE aux Parties contractantes qui ont siégé au Sous-groupe sur les finances du Comité permanent durant la période triennale 2019-2021 et en 2022, en particulier, au Mexique, qui en a assuré la présidence.</w:t>
      </w:r>
    </w:p>
    <w:p w14:paraId="58086AAE" w14:textId="77777777" w:rsidR="00A56F47" w:rsidRPr="00A56F47" w:rsidRDefault="00A56F47" w:rsidP="00A56F47">
      <w:pPr>
        <w:rPr>
          <w:rFonts w:asciiTheme="minorHAnsi" w:hAnsiTheme="minorHAnsi"/>
          <w:lang w:val="fr-FR"/>
        </w:rPr>
      </w:pPr>
    </w:p>
    <w:p w14:paraId="55F16B61" w14:textId="77777777" w:rsidR="00A56F47" w:rsidRPr="00A56F47" w:rsidRDefault="00A56F47" w:rsidP="00A56F47">
      <w:pPr>
        <w:rPr>
          <w:rFonts w:asciiTheme="minorHAnsi" w:hAnsiTheme="minorHAnsi"/>
          <w:lang w:val="fr-FR"/>
        </w:rPr>
      </w:pPr>
      <w:r w:rsidRPr="00A56F47">
        <w:rPr>
          <w:rFonts w:asciiTheme="minorHAnsi" w:hAnsiTheme="minorHAnsi"/>
          <w:lang w:val="fr-FR"/>
        </w:rPr>
        <w:t>11.</w:t>
      </w:r>
      <w:r w:rsidRPr="00A56F47">
        <w:rPr>
          <w:rFonts w:asciiTheme="minorHAnsi" w:hAnsiTheme="minorHAnsi"/>
          <w:lang w:val="fr-FR"/>
        </w:rPr>
        <w:tab/>
        <w:t xml:space="preserve">DÉCIDE que les </w:t>
      </w:r>
      <w:r w:rsidRPr="00A56F47">
        <w:rPr>
          <w:rFonts w:asciiTheme="minorHAnsi" w:hAnsiTheme="minorHAnsi"/>
          <w:i/>
          <w:lang w:val="fr-FR"/>
        </w:rPr>
        <w:t>Dispositions relatives à l’administration financière de la Convention</w:t>
      </w:r>
      <w:r w:rsidRPr="00A56F47">
        <w:rPr>
          <w:rFonts w:asciiTheme="minorHAnsi" w:hAnsiTheme="minorHAnsi"/>
          <w:lang w:val="fr-FR"/>
        </w:rPr>
        <w:t xml:space="preserve">, énoncées à l’annexe 3 de la Résolution 5.2, </w:t>
      </w:r>
      <w:r w:rsidRPr="00A56F47">
        <w:rPr>
          <w:rFonts w:asciiTheme="minorHAnsi" w:hAnsiTheme="minorHAnsi"/>
          <w:i/>
          <w:lang w:val="fr-FR"/>
        </w:rPr>
        <w:t xml:space="preserve">Questions financières et budgétaires </w:t>
      </w:r>
      <w:r w:rsidRPr="00A56F47">
        <w:rPr>
          <w:rFonts w:asciiTheme="minorHAnsi" w:hAnsiTheme="minorHAnsi"/>
          <w:lang w:val="fr-FR"/>
        </w:rPr>
        <w:t xml:space="preserve">(1993), seront </w:t>
      </w:r>
      <w:r w:rsidRPr="00A56F47">
        <w:rPr>
          <w:rFonts w:asciiTheme="minorHAnsi" w:hAnsiTheme="minorHAnsi"/>
          <w:lang w:val="fr-FR"/>
        </w:rPr>
        <w:lastRenderedPageBreak/>
        <w:t>intégralement appliquées pendant la période triennale 2023-2025.</w:t>
      </w:r>
    </w:p>
    <w:p w14:paraId="29B13DBC" w14:textId="77777777" w:rsidR="00A56F47" w:rsidRPr="00A56F47" w:rsidRDefault="00A56F47" w:rsidP="00A56F47">
      <w:pPr>
        <w:rPr>
          <w:rFonts w:asciiTheme="minorHAnsi" w:hAnsiTheme="minorHAnsi"/>
          <w:lang w:val="fr-FR"/>
        </w:rPr>
      </w:pPr>
    </w:p>
    <w:p w14:paraId="0F9A1271" w14:textId="77777777" w:rsidR="00A56F47" w:rsidRPr="00A56F47" w:rsidRDefault="00A56F47" w:rsidP="00A56F47">
      <w:pPr>
        <w:rPr>
          <w:rFonts w:asciiTheme="minorHAnsi" w:hAnsiTheme="minorHAnsi"/>
          <w:lang w:val="fr-FR"/>
        </w:rPr>
      </w:pPr>
      <w:r w:rsidRPr="00A56F47">
        <w:rPr>
          <w:rFonts w:asciiTheme="minorHAnsi" w:hAnsiTheme="minorHAnsi"/>
          <w:lang w:val="fr-FR"/>
        </w:rPr>
        <w:t>12.</w:t>
      </w:r>
      <w:r w:rsidRPr="00A56F47">
        <w:rPr>
          <w:rFonts w:asciiTheme="minorHAnsi" w:hAnsiTheme="minorHAnsi"/>
          <w:lang w:val="fr-FR"/>
        </w:rPr>
        <w:tab/>
        <w:t xml:space="preserve">DÉCIDE EN OUTRE que le Sous-groupe sur les finances, tel qu’établi par la Résolution VI.17, </w:t>
      </w:r>
      <w:r w:rsidRPr="00A56F47">
        <w:rPr>
          <w:rFonts w:asciiTheme="minorHAnsi" w:hAnsiTheme="minorHAnsi"/>
          <w:i/>
          <w:lang w:val="fr-FR"/>
        </w:rPr>
        <w:t xml:space="preserve">Questions financières et budgétaires </w:t>
      </w:r>
      <w:r w:rsidRPr="00A56F47">
        <w:rPr>
          <w:rFonts w:asciiTheme="minorHAnsi" w:hAnsiTheme="minorHAnsi"/>
          <w:lang w:val="fr-FR"/>
        </w:rPr>
        <w:t>(1996), sera prorogé et continuera de fonctionner sous les auspices du Comité permanent, en assumant les rôles et responsabilités énoncés dans ladite résolution, et comprendra un représentant au Comité permanent de chaque région Ramsar plus le président sortant du Sous-groupe sur les finances, ainsi que toute autre Partie contractante intéressée, compte tenu du fait qu’il est souhaitable d’avoir une participation régionale équitable et nécessaire de s’assurer que le groupe est d’une taille gérable, et désignera un de ses membres comme président; et NOTE que l’aide aux déplacements des Parties contractantes éligibles pour assister aux réunions du Sous-groupe sera limitée aux représentants régionaux du Comité permanent.</w:t>
      </w:r>
    </w:p>
    <w:p w14:paraId="24C234EC" w14:textId="77777777" w:rsidR="00A56F47" w:rsidRPr="00A56F47" w:rsidRDefault="00A56F47" w:rsidP="00A56F47">
      <w:pPr>
        <w:pStyle w:val="ListParagraph"/>
        <w:ind w:left="425"/>
        <w:rPr>
          <w:rFonts w:asciiTheme="minorHAnsi" w:hAnsiTheme="minorHAnsi"/>
          <w:lang w:val="fr-FR"/>
        </w:rPr>
      </w:pPr>
    </w:p>
    <w:p w14:paraId="4974FA3B" w14:textId="77777777" w:rsidR="00A56F47" w:rsidRPr="00A56F47" w:rsidRDefault="00A56F47" w:rsidP="00A56F47">
      <w:pPr>
        <w:rPr>
          <w:rFonts w:asciiTheme="minorHAnsi" w:hAnsiTheme="minorHAnsi"/>
          <w:lang w:val="fr-FR"/>
        </w:rPr>
      </w:pPr>
      <w:r w:rsidRPr="00A56F47">
        <w:rPr>
          <w:rFonts w:asciiTheme="minorHAnsi" w:hAnsiTheme="minorHAnsi"/>
          <w:lang w:val="fr-FR"/>
        </w:rPr>
        <w:t>13.</w:t>
      </w:r>
      <w:r w:rsidRPr="00A56F47">
        <w:rPr>
          <w:rFonts w:asciiTheme="minorHAnsi" w:hAnsiTheme="minorHAnsi"/>
          <w:lang w:val="fr-FR"/>
        </w:rPr>
        <w:tab/>
        <w:t>NOTE que le budget 2023-2025 comprend un élément administratif financé par les contributions des Parties contractantes et que le Secrétariat recherchera des ressources non administratives supplémentaires conformément aux priorités identifiées par la Conférence des Parties ; et DEMANDE que le Secrétariat continue à rechercher de nouvelles approches et à élaborer des outils pour garantir un soutien financier volontaire aux projets prioritaires n’ayant pas actuellement de financement.</w:t>
      </w:r>
    </w:p>
    <w:p w14:paraId="27B081A0" w14:textId="77777777" w:rsidR="00A56F47" w:rsidRPr="00930651" w:rsidRDefault="00A56F47" w:rsidP="00A56F47">
      <w:pPr>
        <w:pStyle w:val="MGfulltext"/>
        <w:spacing w:after="0"/>
        <w:ind w:left="425" w:hanging="425"/>
        <w:rPr>
          <w:rFonts w:asciiTheme="minorHAnsi" w:hAnsiTheme="minorHAnsi"/>
        </w:rPr>
      </w:pPr>
    </w:p>
    <w:p w14:paraId="3969A8F3" w14:textId="77777777" w:rsidR="00A56F47" w:rsidRPr="00A56F47" w:rsidRDefault="00A56F47" w:rsidP="00A56F47">
      <w:pPr>
        <w:rPr>
          <w:rFonts w:asciiTheme="minorHAnsi" w:hAnsiTheme="minorHAnsi"/>
          <w:lang w:val="fr-FR"/>
        </w:rPr>
      </w:pPr>
      <w:r w:rsidRPr="00A56F47">
        <w:rPr>
          <w:rFonts w:asciiTheme="minorHAnsi" w:hAnsiTheme="minorHAnsi"/>
          <w:lang w:val="fr-FR"/>
        </w:rPr>
        <w:t>14.</w:t>
      </w:r>
      <w:r w:rsidRPr="00A56F47">
        <w:rPr>
          <w:rFonts w:asciiTheme="minorHAnsi" w:hAnsiTheme="minorHAnsi"/>
          <w:lang w:val="fr-FR"/>
        </w:rPr>
        <w:tab/>
        <w:t>APPROUVE le budget administratif pour la période triennale 2023-2025 tel qu’il figure à l’annexe 1 de la présente Résolution, pour permettre l’application du Plan stratégique Ramsar 2016-2024.</w:t>
      </w:r>
    </w:p>
    <w:p w14:paraId="2583333E" w14:textId="77777777" w:rsidR="00A56F47" w:rsidRPr="00A56F47" w:rsidRDefault="00A56F47" w:rsidP="00A56F47">
      <w:pPr>
        <w:rPr>
          <w:rFonts w:asciiTheme="minorHAnsi" w:hAnsiTheme="minorHAnsi"/>
          <w:lang w:val="fr-FR"/>
        </w:rPr>
      </w:pPr>
    </w:p>
    <w:p w14:paraId="35519782" w14:textId="77777777" w:rsidR="00A56F47" w:rsidRPr="00A56F47" w:rsidRDefault="00A56F47" w:rsidP="00A56F47">
      <w:pPr>
        <w:rPr>
          <w:rFonts w:asciiTheme="minorHAnsi" w:hAnsiTheme="minorHAnsi"/>
          <w:lang w:val="fr-FR"/>
        </w:rPr>
      </w:pPr>
      <w:r w:rsidRPr="00A56F47">
        <w:rPr>
          <w:rFonts w:asciiTheme="minorHAnsi" w:hAnsiTheme="minorHAnsi"/>
          <w:lang w:val="fr-FR"/>
        </w:rPr>
        <w:t>15.</w:t>
      </w:r>
      <w:r w:rsidRPr="00A56F47">
        <w:rPr>
          <w:rFonts w:asciiTheme="minorHAnsi" w:hAnsiTheme="minorHAnsi"/>
          <w:lang w:val="fr-FR"/>
        </w:rPr>
        <w:tab/>
        <w:t>APPROUVE l’utilisation d’un montant de 228 000 CHF de l’excédent administratif pour la période triennale 2019-2021, pour compléter le budget triennal 2023-2025 approuvé dans les domaines suivants : 120 000 CHF pour la communication, la traduction, les publications et rapports; 60 000 CHF pour les déplacements du personnel (15 000 CHF pour les voyages des cadres supérieurs du Secrétariat, 15 000 CHF pour les voyages Mobilisation des ressources et sensibilisation et 30 000 CHF pour les voyages Appui et conseils aux régions) ; 15 000 CHF pour l’application du GEST et 33 000 CHF pour la Planification et le renforcement des capacités ; et DEMANDE au Secrétariat de parvenir à l’équilibre budgétaire avant la fin de la période triennale 2023-2025</w:t>
      </w:r>
      <w:r w:rsidRPr="00930651">
        <w:rPr>
          <w:rStyle w:val="FootnoteReference"/>
          <w:rFonts w:asciiTheme="minorHAnsi" w:hAnsiTheme="minorHAnsi"/>
        </w:rPr>
        <w:footnoteReference w:id="4"/>
      </w:r>
      <w:r w:rsidRPr="00A56F47">
        <w:rPr>
          <w:rFonts w:asciiTheme="minorHAnsi" w:hAnsiTheme="minorHAnsi"/>
          <w:lang w:val="fr-FR"/>
        </w:rPr>
        <w:t>.</w:t>
      </w:r>
    </w:p>
    <w:p w14:paraId="162E22BB" w14:textId="77777777" w:rsidR="00A56F47" w:rsidRPr="00A56F47" w:rsidRDefault="00A56F47" w:rsidP="00A56F47">
      <w:pPr>
        <w:rPr>
          <w:rFonts w:asciiTheme="minorHAnsi" w:hAnsiTheme="minorHAnsi"/>
          <w:lang w:val="fr-FR"/>
        </w:rPr>
      </w:pPr>
    </w:p>
    <w:p w14:paraId="02F724DF" w14:textId="77777777" w:rsidR="00A56F47" w:rsidRPr="00A56F47" w:rsidRDefault="00A56F47" w:rsidP="00A56F47">
      <w:pPr>
        <w:tabs>
          <w:tab w:val="left" w:pos="3665"/>
        </w:tabs>
        <w:rPr>
          <w:rFonts w:asciiTheme="minorHAnsi" w:hAnsiTheme="minorHAnsi"/>
          <w:lang w:val="fr-FR"/>
        </w:rPr>
      </w:pPr>
      <w:r w:rsidRPr="00A56F47">
        <w:rPr>
          <w:rFonts w:asciiTheme="minorHAnsi" w:hAnsiTheme="minorHAnsi"/>
          <w:lang w:val="fr-FR"/>
        </w:rPr>
        <w:t>16.</w:t>
      </w:r>
      <w:r w:rsidRPr="00A56F47">
        <w:rPr>
          <w:rFonts w:asciiTheme="minorHAnsi" w:hAnsiTheme="minorHAnsi"/>
          <w:lang w:val="fr-FR"/>
        </w:rPr>
        <w:tab/>
        <w:t>APPROUVE l’utilisation d’un montant de 360 000 CHF de l’excédent de la période triennale 2019-2021, pour augmenter la provision pour les contributions impayées de la période triennale 2023-2025.</w:t>
      </w:r>
    </w:p>
    <w:p w14:paraId="5E4E36AF" w14:textId="77777777" w:rsidR="00A56F47" w:rsidRPr="00A56F47" w:rsidRDefault="00A56F47" w:rsidP="00A56F47">
      <w:pPr>
        <w:tabs>
          <w:tab w:val="left" w:pos="3665"/>
        </w:tabs>
        <w:rPr>
          <w:rFonts w:asciiTheme="minorHAnsi" w:hAnsiTheme="minorHAnsi"/>
          <w:lang w:val="fr-FR"/>
        </w:rPr>
      </w:pPr>
      <w:r w:rsidRPr="00A56F47">
        <w:rPr>
          <w:rFonts w:asciiTheme="minorHAnsi" w:hAnsiTheme="minorHAnsi"/>
          <w:lang w:val="fr-FR"/>
        </w:rPr>
        <w:tab/>
      </w:r>
    </w:p>
    <w:p w14:paraId="7994AFD7" w14:textId="77777777" w:rsidR="00A56F47" w:rsidRPr="00A56F47" w:rsidRDefault="00A56F47" w:rsidP="00A56F47">
      <w:pPr>
        <w:rPr>
          <w:rFonts w:asciiTheme="minorHAnsi" w:hAnsiTheme="minorHAnsi"/>
          <w:lang w:val="fr-FR"/>
        </w:rPr>
      </w:pPr>
      <w:r w:rsidRPr="00A56F47">
        <w:rPr>
          <w:rFonts w:asciiTheme="minorHAnsi" w:hAnsiTheme="minorHAnsi"/>
          <w:lang w:val="fr-FR"/>
        </w:rPr>
        <w:t>17.</w:t>
      </w:r>
      <w:r w:rsidRPr="00A56F47">
        <w:rPr>
          <w:rFonts w:asciiTheme="minorHAnsi" w:hAnsiTheme="minorHAnsi"/>
          <w:lang w:val="fr-FR"/>
        </w:rPr>
        <w:tab/>
        <w:t>EXHORTE les Parties contractantes ayant des arriérés de contributions à redoubler d’efforts pour les régler le plus rapidement possible afin de renforcer la viabilité financière de la Convention grâce aux contributions de toutes les Parties contractantes.</w:t>
      </w:r>
    </w:p>
    <w:p w14:paraId="582ABAE6" w14:textId="77777777" w:rsidR="00A56F47" w:rsidRPr="00A56F47" w:rsidRDefault="00A56F47" w:rsidP="00A56F47">
      <w:pPr>
        <w:rPr>
          <w:rFonts w:asciiTheme="minorHAnsi" w:hAnsiTheme="minorHAnsi"/>
          <w:lang w:val="fr-FR"/>
        </w:rPr>
      </w:pPr>
    </w:p>
    <w:p w14:paraId="7A50E3B1" w14:textId="77777777" w:rsidR="00A56F47" w:rsidRPr="00A56F47" w:rsidRDefault="00A56F47" w:rsidP="00A56F47">
      <w:pPr>
        <w:rPr>
          <w:rFonts w:asciiTheme="minorHAnsi" w:hAnsiTheme="minorHAnsi"/>
          <w:lang w:val="fr-FR"/>
        </w:rPr>
      </w:pPr>
      <w:r w:rsidRPr="00A56F47">
        <w:rPr>
          <w:rFonts w:asciiTheme="minorHAnsi" w:hAnsiTheme="minorHAnsi"/>
          <w:lang w:val="fr-FR"/>
        </w:rPr>
        <w:t>18.</w:t>
      </w:r>
      <w:r w:rsidRPr="00A56F47">
        <w:rPr>
          <w:rFonts w:asciiTheme="minorHAnsi" w:hAnsiTheme="minorHAnsi"/>
          <w:lang w:val="fr-FR"/>
        </w:rPr>
        <w:tab/>
        <w:t>CHARGE le Secrétariat de contacter 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contractantes sur les mesures prises à cet égard et les résultats obtenus ; et DÉCIDE que le Comité permanent continuera d’étudier les mesures appropriées concernant les Parties n’ayant pas réglé́ leurs arriérés de contributions ni soumis de plan de paiement à cet effet.</w:t>
      </w:r>
    </w:p>
    <w:p w14:paraId="0C3BEAD9" w14:textId="77777777" w:rsidR="00A56F47" w:rsidRPr="00A56F47" w:rsidRDefault="00A56F47" w:rsidP="00A56F47">
      <w:pPr>
        <w:rPr>
          <w:rFonts w:asciiTheme="minorHAnsi" w:hAnsiTheme="minorHAnsi"/>
          <w:lang w:val="fr-FR"/>
        </w:rPr>
      </w:pPr>
    </w:p>
    <w:p w14:paraId="71AD4FE2" w14:textId="77777777" w:rsidR="00A56F47" w:rsidRPr="00A56F47" w:rsidRDefault="00A56F47" w:rsidP="00A56F47">
      <w:pPr>
        <w:rPr>
          <w:rFonts w:asciiTheme="minorHAnsi" w:hAnsiTheme="minorHAnsi"/>
          <w:lang w:val="fr-FR"/>
        </w:rPr>
      </w:pPr>
      <w:r w:rsidRPr="00A56F47">
        <w:rPr>
          <w:rFonts w:asciiTheme="minorHAnsi" w:hAnsiTheme="minorHAnsi"/>
          <w:lang w:val="fr-FR"/>
        </w:rPr>
        <w:lastRenderedPageBreak/>
        <w:t>19.</w:t>
      </w:r>
      <w:r w:rsidRPr="00A56F47">
        <w:rPr>
          <w:rFonts w:asciiTheme="minorHAnsi" w:hAnsiTheme="minorHAnsi"/>
          <w:lang w:val="fr-FR"/>
        </w:rPr>
        <w:tab/>
        <w:t>DEMANDE aux représentants régionaux siégeant au Comité permanent d’approcher les Parties contractantes de leurs régions respectives qui ont des arriérés de contributions pour les encourager à définir des solutions appropriées afin de rectifier la situation.</w:t>
      </w:r>
    </w:p>
    <w:p w14:paraId="20DE9521" w14:textId="77777777" w:rsidR="00A56F47" w:rsidRPr="00A56F47" w:rsidRDefault="00A56F47" w:rsidP="00A56F47">
      <w:pPr>
        <w:rPr>
          <w:rFonts w:asciiTheme="minorHAnsi" w:hAnsiTheme="minorHAnsi"/>
          <w:lang w:val="fr-FR"/>
        </w:rPr>
      </w:pPr>
    </w:p>
    <w:p w14:paraId="160BC891" w14:textId="77777777" w:rsidR="00A56F47" w:rsidRPr="00A56F47" w:rsidRDefault="00A56F47" w:rsidP="00A56F47">
      <w:pPr>
        <w:rPr>
          <w:rFonts w:asciiTheme="minorHAnsi" w:hAnsiTheme="minorHAnsi"/>
          <w:lang w:val="fr-FR"/>
        </w:rPr>
      </w:pPr>
      <w:r w:rsidRPr="00A56F47">
        <w:rPr>
          <w:rFonts w:asciiTheme="minorHAnsi" w:hAnsiTheme="minorHAnsi"/>
          <w:lang w:val="fr-FR"/>
        </w:rPr>
        <w:t>20.</w:t>
      </w:r>
      <w:r w:rsidRPr="00A56F47">
        <w:rPr>
          <w:rFonts w:asciiTheme="minorHAnsi" w:hAnsiTheme="minorHAnsi"/>
          <w:lang w:val="fr-FR"/>
        </w:rPr>
        <w:tab/>
        <w:t>NOTE AVEC PRÉOCCUPATION la situation des contributions non administratives des Parties contractantes ; et ENCOURAGE les Parties contractantes, entre autres, à augmenter ces contributions.</w:t>
      </w:r>
    </w:p>
    <w:p w14:paraId="5D1A1148" w14:textId="77777777" w:rsidR="00A56F47" w:rsidRPr="00A56F47" w:rsidRDefault="00A56F47" w:rsidP="00A56F47">
      <w:pPr>
        <w:rPr>
          <w:rFonts w:asciiTheme="minorHAnsi" w:hAnsiTheme="minorHAnsi"/>
          <w:lang w:val="fr-FR"/>
        </w:rPr>
      </w:pPr>
    </w:p>
    <w:p w14:paraId="4C15D03F" w14:textId="77777777" w:rsidR="00A56F47" w:rsidRPr="00A56F47" w:rsidRDefault="00A56F47" w:rsidP="00A56F47">
      <w:pPr>
        <w:rPr>
          <w:rFonts w:asciiTheme="minorHAnsi" w:hAnsiTheme="minorHAnsi"/>
          <w:lang w:val="fr-FR"/>
        </w:rPr>
      </w:pPr>
      <w:r w:rsidRPr="00A56F47">
        <w:rPr>
          <w:rFonts w:asciiTheme="minorHAnsi" w:hAnsiTheme="minorHAnsi"/>
          <w:lang w:val="fr-FR"/>
        </w:rPr>
        <w:t>21.</w:t>
      </w:r>
      <w:r w:rsidRPr="00A56F47">
        <w:rPr>
          <w:rFonts w:asciiTheme="minorHAnsi" w:hAnsiTheme="minorHAnsi"/>
          <w:lang w:val="fr-FR"/>
        </w:rPr>
        <w:tab/>
        <w:t>ENCOURAGE les Parties contractantes et INVITE d’autres gouvernements, les institutions financières, les Organisations internationales partenaires et autres partenaires d’exécution, à soutenir l’application de la Convention de Ramsar.</w:t>
      </w:r>
    </w:p>
    <w:p w14:paraId="7BE2D999" w14:textId="77777777" w:rsidR="00A56F47" w:rsidRPr="00A56F47" w:rsidRDefault="00A56F47" w:rsidP="00A56F47">
      <w:pPr>
        <w:rPr>
          <w:rFonts w:asciiTheme="minorHAnsi" w:hAnsiTheme="minorHAnsi"/>
          <w:lang w:val="fr-FR"/>
        </w:rPr>
      </w:pPr>
    </w:p>
    <w:p w14:paraId="48C2C52F" w14:textId="77777777" w:rsidR="00A56F47" w:rsidRPr="00A56F47" w:rsidRDefault="00A56F47" w:rsidP="00A56F47">
      <w:pPr>
        <w:rPr>
          <w:rFonts w:asciiTheme="minorHAnsi" w:hAnsiTheme="minorHAnsi"/>
          <w:lang w:val="fr-FR"/>
        </w:rPr>
      </w:pPr>
      <w:r w:rsidRPr="00A56F47">
        <w:rPr>
          <w:rFonts w:asciiTheme="minorHAnsi" w:hAnsiTheme="minorHAnsi"/>
          <w:lang w:val="fr-FR"/>
        </w:rPr>
        <w:t>22.</w:t>
      </w:r>
      <w:r w:rsidRPr="00A56F47">
        <w:rPr>
          <w:rFonts w:asciiTheme="minorHAnsi" w:hAnsiTheme="minorHAnsi"/>
          <w:lang w:val="fr-FR"/>
        </w:rPr>
        <w:tab/>
        <w:t>PREND NOTE du plan de travail de mobilisation des ressources pour la Convention approuvée par le Comité permanent et PRIE le Secrétariat de la mettre à jour pour tenir compte des priorités identifiées par les Parties contractantes à la COP14 et de la communiquer, pour examen, au Comité permanent à sa 62</w:t>
      </w:r>
      <w:r w:rsidRPr="00A56F47">
        <w:rPr>
          <w:rFonts w:asciiTheme="minorHAnsi" w:hAnsiTheme="minorHAnsi"/>
          <w:vertAlign w:val="superscript"/>
          <w:lang w:val="fr-FR"/>
        </w:rPr>
        <w:t>e</w:t>
      </w:r>
      <w:r w:rsidRPr="00A56F47">
        <w:rPr>
          <w:rFonts w:asciiTheme="minorHAnsi" w:hAnsiTheme="minorHAnsi"/>
          <w:lang w:val="fr-FR"/>
        </w:rPr>
        <w:t> Réunion.</w:t>
      </w:r>
    </w:p>
    <w:p w14:paraId="731366A0" w14:textId="77777777" w:rsidR="00A56F47" w:rsidRPr="00A56F47" w:rsidRDefault="00A56F47" w:rsidP="00A56F47">
      <w:pPr>
        <w:pStyle w:val="ListParagraph"/>
        <w:ind w:left="425"/>
        <w:rPr>
          <w:rFonts w:asciiTheme="minorHAnsi" w:hAnsiTheme="minorHAnsi"/>
          <w:lang w:val="fr-FR"/>
        </w:rPr>
      </w:pPr>
    </w:p>
    <w:p w14:paraId="4A54FE10" w14:textId="77777777" w:rsidR="00A56F47" w:rsidRPr="00A56F47" w:rsidRDefault="00A56F47" w:rsidP="00A56F47">
      <w:pPr>
        <w:rPr>
          <w:rFonts w:asciiTheme="minorHAnsi" w:hAnsiTheme="minorHAnsi"/>
          <w:lang w:val="fr-FR"/>
        </w:rPr>
      </w:pPr>
      <w:r w:rsidRPr="00A56F47">
        <w:rPr>
          <w:rFonts w:asciiTheme="minorHAnsi" w:hAnsiTheme="minorHAnsi"/>
          <w:lang w:val="fr-FR"/>
        </w:rPr>
        <w:t>23.</w:t>
      </w:r>
      <w:r w:rsidRPr="00A56F47">
        <w:rPr>
          <w:rFonts w:asciiTheme="minorHAnsi" w:hAnsiTheme="minorHAnsi"/>
          <w:lang w:val="fr-FR"/>
        </w:rPr>
        <w:tab/>
        <w:t>SE FÉLICITE de l’alignement du Secrétariat sur les politiques et procédures de l’Union internationale pour la conservation de la nature (UICN) pour la gestion des fonds non administratifs.</w:t>
      </w:r>
    </w:p>
    <w:p w14:paraId="39A3820E" w14:textId="77777777" w:rsidR="00A56F47" w:rsidRPr="00A56F47" w:rsidRDefault="00A56F47" w:rsidP="00A56F47">
      <w:pPr>
        <w:rPr>
          <w:rFonts w:asciiTheme="minorHAnsi" w:hAnsiTheme="minorHAnsi"/>
          <w:lang w:val="fr-FR"/>
        </w:rPr>
      </w:pPr>
    </w:p>
    <w:p w14:paraId="50C12F8C" w14:textId="77777777" w:rsidR="00A56F47" w:rsidRPr="00A56F47" w:rsidRDefault="00A56F47" w:rsidP="00A56F47">
      <w:pPr>
        <w:rPr>
          <w:rFonts w:asciiTheme="minorHAnsi" w:hAnsiTheme="minorHAnsi"/>
          <w:lang w:val="fr-FR"/>
        </w:rPr>
      </w:pPr>
      <w:r w:rsidRPr="00A56F47">
        <w:rPr>
          <w:rFonts w:asciiTheme="minorHAnsi" w:hAnsiTheme="minorHAnsi"/>
          <w:lang w:val="fr-FR"/>
        </w:rPr>
        <w:t>24.</w:t>
      </w:r>
      <w:r w:rsidRPr="00A56F47">
        <w:rPr>
          <w:rFonts w:asciiTheme="minorHAnsi" w:hAnsiTheme="minorHAnsi"/>
          <w:lang w:val="fr-FR"/>
        </w:rPr>
        <w:tab/>
      </w:r>
      <w:r w:rsidRPr="00A56F47">
        <w:rPr>
          <w:lang w:val="fr-FR"/>
        </w:rPr>
        <w:t xml:space="preserve">CHARGE le Secrétariat de fournir aux Initiatives régionales Ramsar (IRR) en Afrique, sur une base annuelle, le solde disponible du fonds africain de contributions volontaires ; et INVITE ces IRR à soumettre au Secrétariat, dans leurs rapports, des demandes d’accès aux fonds disponibles, conformément aux dispositions de la Résolution 14.xx, </w:t>
      </w:r>
      <w:r w:rsidRPr="00A56F47">
        <w:rPr>
          <w:i/>
          <w:lang w:val="fr-FR"/>
        </w:rPr>
        <w:t>Les Initiatives régionales Ramsar 2023-2025</w:t>
      </w:r>
      <w:r w:rsidRPr="00A56F47">
        <w:rPr>
          <w:lang w:val="fr-FR"/>
        </w:rPr>
        <w:t>.</w:t>
      </w:r>
    </w:p>
    <w:p w14:paraId="1E49ED3F" w14:textId="77777777" w:rsidR="00A56F47" w:rsidRPr="00A56F47" w:rsidRDefault="00A56F47" w:rsidP="00A56F47">
      <w:pPr>
        <w:rPr>
          <w:rFonts w:asciiTheme="minorHAnsi" w:hAnsiTheme="minorHAnsi"/>
          <w:lang w:val="fr-FR"/>
        </w:rPr>
      </w:pPr>
    </w:p>
    <w:p w14:paraId="151F4622" w14:textId="77777777" w:rsidR="00A56F47" w:rsidRPr="00A56F47" w:rsidRDefault="00A56F47" w:rsidP="00A56F47">
      <w:pPr>
        <w:rPr>
          <w:rFonts w:asciiTheme="minorHAnsi" w:hAnsiTheme="minorHAnsi"/>
          <w:lang w:val="fr-FR"/>
        </w:rPr>
      </w:pPr>
      <w:r w:rsidRPr="00A56F47">
        <w:rPr>
          <w:rFonts w:asciiTheme="minorHAnsi" w:hAnsiTheme="minorHAnsi"/>
          <w:lang w:val="fr-FR"/>
        </w:rPr>
        <w:t>25.</w:t>
      </w:r>
      <w:r w:rsidRPr="00A56F47">
        <w:rPr>
          <w:rFonts w:asciiTheme="minorHAnsi" w:hAnsiTheme="minorHAnsi"/>
          <w:lang w:val="fr-FR"/>
        </w:rPr>
        <w:tab/>
        <w:t>INVITE les représentants régionaux africains au Comité́ permanent à décider de l’utilisation de ces fonds mentionnés au paragraphe 24 de la présente Résolution, en fonction des demandes soumises par les IRR et à informer le Secrétariat en conséquence.</w:t>
      </w:r>
    </w:p>
    <w:p w14:paraId="6BD23B53" w14:textId="77777777" w:rsidR="00A56F47" w:rsidRPr="00A56F47" w:rsidRDefault="00A56F47" w:rsidP="00A56F47">
      <w:pPr>
        <w:rPr>
          <w:rFonts w:asciiTheme="minorHAnsi" w:hAnsiTheme="minorHAnsi"/>
          <w:lang w:val="fr-FR"/>
        </w:rPr>
      </w:pPr>
    </w:p>
    <w:p w14:paraId="7B3AC919" w14:textId="77777777" w:rsidR="00A56F47" w:rsidRPr="00A56F47" w:rsidRDefault="00A56F47" w:rsidP="00A56F47">
      <w:pPr>
        <w:rPr>
          <w:lang w:val="fr-FR"/>
        </w:rPr>
      </w:pPr>
      <w:r w:rsidRPr="00A56F47">
        <w:rPr>
          <w:color w:val="262626"/>
          <w:lang w:val="fr-FR"/>
        </w:rPr>
        <w:t>26.</w:t>
      </w:r>
      <w:r w:rsidRPr="00A56F47">
        <w:rPr>
          <w:color w:val="262626"/>
          <w:lang w:val="fr-FR"/>
        </w:rPr>
        <w:tab/>
        <w:t>RÉAFFIRME la décision prise lors de la 13</w:t>
      </w:r>
      <w:r w:rsidRPr="00A56F47">
        <w:rPr>
          <w:color w:val="262626"/>
          <w:vertAlign w:val="superscript"/>
          <w:lang w:val="fr-FR"/>
        </w:rPr>
        <w:t>e</w:t>
      </w:r>
      <w:r w:rsidRPr="00A56F47">
        <w:rPr>
          <w:color w:val="262626"/>
          <w:lang w:val="fr-FR"/>
        </w:rPr>
        <w:t> Session de la Conférence des Parties contractantes qui charge le Secrétariat, dans le cadre juridique et dans les limites de son mandat actuels d’aider, comme il convient, les Parties contractantes à administrer les projets financés par des fonds non administratifs, y compris, sans toutefois s’y limiter, les appels de fonds pour les IRR ; et qui donne instruction au personnel du Secrétariat décrit dans l’annexe 3, rémunéré́ par des fonds administratifs, de ne pas prendre part à l’administration quotidienne des projets financés par des fonds non administratifs, car ce rôle incombe au personnel du Secrétariat rémunéré à ces fins par des fonds non administratifs.</w:t>
      </w:r>
    </w:p>
    <w:p w14:paraId="1941BE4B" w14:textId="77777777" w:rsidR="00A56F47" w:rsidRPr="00A56F47" w:rsidRDefault="00A56F47" w:rsidP="00A56F47">
      <w:pPr>
        <w:rPr>
          <w:rFonts w:asciiTheme="minorHAnsi" w:hAnsiTheme="minorHAnsi"/>
          <w:lang w:val="fr-FR"/>
        </w:rPr>
      </w:pPr>
    </w:p>
    <w:p w14:paraId="0A2E009E" w14:textId="77777777" w:rsidR="00A56F47" w:rsidRPr="00A56F47" w:rsidRDefault="00A56F47" w:rsidP="00A56F47">
      <w:pPr>
        <w:rPr>
          <w:rFonts w:asciiTheme="minorHAnsi" w:hAnsiTheme="minorHAnsi"/>
          <w:lang w:val="fr-FR"/>
        </w:rPr>
      </w:pPr>
      <w:r w:rsidRPr="00A56F47">
        <w:rPr>
          <w:rFonts w:asciiTheme="minorHAnsi" w:hAnsiTheme="minorHAnsi"/>
          <w:lang w:val="fr-FR"/>
        </w:rPr>
        <w:t>27.</w:t>
      </w:r>
      <w:r w:rsidRPr="00A56F47">
        <w:rPr>
          <w:rFonts w:asciiTheme="minorHAnsi" w:hAnsiTheme="minorHAnsi"/>
          <w:lang w:val="fr-FR"/>
        </w:rPr>
        <w:tab/>
        <w:t>AUTORISE le Comité permanent, après consultation de son Sous-groupe sur les finances, à revoir les affectations budgétaires administratives d’un poste budgétaire à l’autre en fonction des fluctuations importantes, à la hausse ou à la baisse, durant la période concernée, des coûts, du taux d’inflation, des revenus d’intérêts ou d’impôts prévus au budget sans augmenter les contributions des Parties ou les charges payées à l’UICN au-dessus du maximum de 13 % prévu au budget.</w:t>
      </w:r>
    </w:p>
    <w:p w14:paraId="21DA57CF" w14:textId="77777777" w:rsidR="00A56F47" w:rsidRPr="00A56F47" w:rsidRDefault="00A56F47" w:rsidP="00A56F47">
      <w:pPr>
        <w:rPr>
          <w:rFonts w:asciiTheme="minorHAnsi" w:hAnsiTheme="minorHAnsi"/>
          <w:lang w:val="fr-FR"/>
        </w:rPr>
      </w:pPr>
    </w:p>
    <w:p w14:paraId="506772B2" w14:textId="77777777" w:rsidR="00A56F47" w:rsidRPr="00A56F47" w:rsidRDefault="00A56F47" w:rsidP="00A56F47">
      <w:pPr>
        <w:rPr>
          <w:rFonts w:asciiTheme="minorHAnsi" w:hAnsiTheme="minorHAnsi"/>
          <w:lang w:val="fr-FR"/>
        </w:rPr>
      </w:pPr>
      <w:r w:rsidRPr="00A56F47">
        <w:rPr>
          <w:rFonts w:asciiTheme="minorHAnsi" w:hAnsiTheme="minorHAnsi"/>
          <w:lang w:val="fr-FR"/>
        </w:rPr>
        <w:t>28.</w:t>
      </w:r>
      <w:r w:rsidRPr="00A56F47">
        <w:rPr>
          <w:rFonts w:asciiTheme="minorHAnsi" w:hAnsiTheme="minorHAnsi"/>
          <w:lang w:val="fr-FR"/>
        </w:rPr>
        <w:tab/>
        <w:t>RECONNAÎT les avantages de la flexibilité des lignes budgétaires au titre des déplacements afin de mettre en œuvre le plan de travail du Secrétariat pour la période triennale ; et RÉAFFIRME la décision prise à la 13</w:t>
      </w:r>
      <w:r w:rsidRPr="00A56F47">
        <w:rPr>
          <w:rFonts w:asciiTheme="minorHAnsi" w:hAnsiTheme="minorHAnsi"/>
          <w:vertAlign w:val="superscript"/>
          <w:lang w:val="fr-FR"/>
        </w:rPr>
        <w:t>e</w:t>
      </w:r>
      <w:r w:rsidRPr="00A56F47">
        <w:rPr>
          <w:rFonts w:asciiTheme="minorHAnsi" w:hAnsiTheme="minorHAnsi"/>
          <w:lang w:val="fr-FR"/>
        </w:rPr>
        <w:t> Session de la Conférence des Parties contractantes qui autorise la Secrétaire générale à transférer des ressources d’une ligne budgétaire allouée aux déplacements à l’autre en veillant à informer le Sous-groupe sur les finances et à rendre compte de ces transferts au Comité permanent à sa réunion suivante.</w:t>
      </w:r>
    </w:p>
    <w:p w14:paraId="2BA7EFFB" w14:textId="77777777" w:rsidR="00A56F47" w:rsidRPr="00A56F47" w:rsidRDefault="00A56F47" w:rsidP="00A56F47">
      <w:pPr>
        <w:pStyle w:val="ListParagraph"/>
        <w:ind w:left="425"/>
        <w:rPr>
          <w:rFonts w:asciiTheme="minorHAnsi" w:hAnsiTheme="minorHAnsi"/>
          <w:lang w:val="fr-FR"/>
        </w:rPr>
      </w:pPr>
    </w:p>
    <w:p w14:paraId="64AE3770" w14:textId="77777777" w:rsidR="00A56F47" w:rsidRPr="00A56F47" w:rsidRDefault="00A56F47" w:rsidP="00A56F47">
      <w:pPr>
        <w:rPr>
          <w:rFonts w:asciiTheme="minorHAnsi" w:hAnsiTheme="minorHAnsi"/>
          <w:lang w:val="fr-FR"/>
        </w:rPr>
      </w:pPr>
      <w:r w:rsidRPr="00A56F47">
        <w:rPr>
          <w:rFonts w:asciiTheme="minorHAnsi" w:hAnsiTheme="minorHAnsi"/>
          <w:lang w:val="fr-FR"/>
        </w:rPr>
        <w:lastRenderedPageBreak/>
        <w:t>29.</w:t>
      </w:r>
      <w:r w:rsidRPr="00A56F47">
        <w:rPr>
          <w:rFonts w:asciiTheme="minorHAnsi" w:hAnsiTheme="minorHAnsi"/>
          <w:lang w:val="fr-FR"/>
        </w:rPr>
        <w:tab/>
        <w:t xml:space="preserve">DÉCIDE que la contribution de chaque Partie contractante au budget administratif devra être conforme au barème des quotes-parts le plus récent applicable aux contributions versées par les États Membres au budget des Nations Unies, tel qu’approuvé par l’Assemblée générale des Nations Unies, sauf pour les Parties contractantes dont les contributions annuelles au budget administratif de la Convention de Ramsar seraient inférieures à 1 000 CHF une fois appliqué le barème des Nations Unies, auquel cas leur contribution annuelle sera de ce même montant. Les contributions estimées au budget administratif pour la période triennale 2023-2025 sont présentées à l’annexe 2 de la présente Résolution. </w:t>
      </w:r>
    </w:p>
    <w:p w14:paraId="0A91B9EE" w14:textId="77777777" w:rsidR="00A56F47" w:rsidRPr="00A56F47" w:rsidRDefault="00A56F47" w:rsidP="00A56F47">
      <w:pPr>
        <w:rPr>
          <w:rFonts w:asciiTheme="minorHAnsi" w:hAnsiTheme="minorHAnsi"/>
          <w:lang w:val="fr-FR"/>
        </w:rPr>
      </w:pPr>
    </w:p>
    <w:p w14:paraId="139684B4" w14:textId="77777777" w:rsidR="00A56F47" w:rsidRPr="00A56F47" w:rsidRDefault="00A56F47" w:rsidP="00A56F47">
      <w:pPr>
        <w:rPr>
          <w:rFonts w:asciiTheme="minorHAnsi" w:hAnsiTheme="minorHAnsi"/>
          <w:lang w:val="fr-FR"/>
        </w:rPr>
      </w:pPr>
      <w:r w:rsidRPr="00A56F47">
        <w:rPr>
          <w:rFonts w:asciiTheme="minorHAnsi" w:hAnsiTheme="minorHAnsi"/>
          <w:lang w:val="fr-FR"/>
        </w:rPr>
        <w:t>30.</w:t>
      </w:r>
      <w:r w:rsidRPr="00A56F47">
        <w:rPr>
          <w:rFonts w:asciiTheme="minorHAnsi" w:hAnsiTheme="minorHAnsi"/>
          <w:lang w:val="fr-FR"/>
        </w:rPr>
        <w:tab/>
        <w:t>PRIE INSTAMMENT toutes les Parties contractantes de s’acquitter promptement de leur contribution avant le 1</w:t>
      </w:r>
      <w:r w:rsidRPr="00A56F47">
        <w:rPr>
          <w:rFonts w:asciiTheme="minorHAnsi" w:hAnsiTheme="minorHAnsi"/>
          <w:vertAlign w:val="superscript"/>
          <w:lang w:val="fr-FR"/>
        </w:rPr>
        <w:t>er</w:t>
      </w:r>
      <w:r w:rsidRPr="00A56F47">
        <w:rPr>
          <w:rFonts w:asciiTheme="minorHAnsi" w:hAnsiTheme="minorHAnsi"/>
          <w:lang w:val="fr-FR"/>
        </w:rPr>
        <w:t> janvier de chaque année, ou dès que le cycle budgétaire des pays concernés le permettra.</w:t>
      </w:r>
    </w:p>
    <w:p w14:paraId="106DAB6F" w14:textId="77777777" w:rsidR="00A56F47" w:rsidRPr="00A56F47" w:rsidRDefault="00A56F47" w:rsidP="00A56F47">
      <w:pPr>
        <w:rPr>
          <w:rFonts w:asciiTheme="minorHAnsi" w:hAnsiTheme="minorHAnsi"/>
          <w:lang w:val="fr-FR"/>
        </w:rPr>
      </w:pPr>
    </w:p>
    <w:p w14:paraId="5A568416" w14:textId="77777777" w:rsidR="00A56F47" w:rsidRPr="00A56F47" w:rsidRDefault="00A56F47" w:rsidP="00A56F47">
      <w:pPr>
        <w:rPr>
          <w:rFonts w:asciiTheme="minorHAnsi" w:hAnsiTheme="minorHAnsi"/>
          <w:lang w:val="fr-FR"/>
        </w:rPr>
      </w:pPr>
      <w:r w:rsidRPr="00A56F47">
        <w:rPr>
          <w:rFonts w:asciiTheme="minorHAnsi" w:hAnsiTheme="minorHAnsi"/>
          <w:lang w:val="fr-FR"/>
        </w:rPr>
        <w:t>31.</w:t>
      </w:r>
      <w:r w:rsidRPr="00A56F47">
        <w:rPr>
          <w:rFonts w:asciiTheme="minorHAnsi" w:hAnsiTheme="minorHAnsi"/>
          <w:lang w:val="fr-FR"/>
        </w:rPr>
        <w:tab/>
        <w:t>EXPRIME sa gratitude aux gouvernements de l’Allemagne, de la Fédération de Russie, de la Finlande, de la Norvège, ainsi qu’aux États-Unis d’Amérique et à Danone, à la Nagao Natural Environment Foundation pour leurs contributions volontaires aux activités non administratives</w:t>
      </w:r>
    </w:p>
    <w:p w14:paraId="441613C3" w14:textId="77777777" w:rsidR="00A56F47" w:rsidRPr="00A56F47" w:rsidRDefault="00A56F47" w:rsidP="00A56F47">
      <w:pPr>
        <w:rPr>
          <w:rFonts w:asciiTheme="minorHAnsi" w:hAnsiTheme="minorHAnsi"/>
          <w:lang w:val="fr-FR"/>
        </w:rPr>
      </w:pPr>
    </w:p>
    <w:p w14:paraId="1E00FC87" w14:textId="77777777" w:rsidR="00A56F47" w:rsidRPr="00A56F47" w:rsidRDefault="00A56F47" w:rsidP="00A56F47">
      <w:pPr>
        <w:rPr>
          <w:rFonts w:asciiTheme="minorHAnsi" w:hAnsiTheme="minorHAnsi"/>
          <w:lang w:val="fr-FR"/>
        </w:rPr>
      </w:pPr>
      <w:r w:rsidRPr="00A56F47">
        <w:rPr>
          <w:rFonts w:asciiTheme="minorHAnsi" w:hAnsiTheme="minorHAnsi"/>
          <w:lang w:val="fr-FR"/>
        </w:rPr>
        <w:t>32.</w:t>
      </w:r>
      <w:r w:rsidRPr="00A56F47">
        <w:rPr>
          <w:rFonts w:asciiTheme="minorHAnsi" w:hAnsiTheme="minorHAnsi"/>
          <w:lang w:val="fr-FR"/>
        </w:rPr>
        <w:tab/>
        <w:t>RÉAFFIRME la décision prise à la 11</w:t>
      </w:r>
      <w:r w:rsidRPr="00A56F47">
        <w:rPr>
          <w:rFonts w:asciiTheme="minorHAnsi" w:hAnsiTheme="minorHAnsi"/>
          <w:vertAlign w:val="superscript"/>
          <w:lang w:val="fr-FR"/>
        </w:rPr>
        <w:t>e</w:t>
      </w:r>
      <w:r w:rsidRPr="00A56F47">
        <w:rPr>
          <w:rFonts w:asciiTheme="minorHAnsi" w:hAnsiTheme="minorHAnsi"/>
          <w:lang w:val="fr-FR"/>
        </w:rPr>
        <w:t xml:space="preserve"> Session de la Conférence des Parties contractantes (dans la Résolution XI.2, </w:t>
      </w:r>
      <w:r w:rsidRPr="00A56F47">
        <w:rPr>
          <w:rFonts w:asciiTheme="minorHAnsi" w:hAnsiTheme="minorHAnsi"/>
          <w:i/>
          <w:lang w:val="fr-FR"/>
        </w:rPr>
        <w:t>Questions financières et budgétaires</w:t>
      </w:r>
      <w:r w:rsidRPr="00A56F47">
        <w:rPr>
          <w:rFonts w:asciiTheme="minorHAnsi" w:hAnsiTheme="minorHAnsi"/>
          <w:lang w:val="fr-FR"/>
        </w:rPr>
        <w:t>) selon laquelle le Fonds de réserve :</w:t>
      </w:r>
    </w:p>
    <w:p w14:paraId="26E494F8" w14:textId="77777777" w:rsidR="00A56F47" w:rsidRPr="00930651" w:rsidRDefault="00A56F47" w:rsidP="00A56F47">
      <w:pPr>
        <w:pStyle w:val="MGfulltext"/>
        <w:numPr>
          <w:ilvl w:val="1"/>
          <w:numId w:val="6"/>
        </w:numPr>
        <w:spacing w:after="0"/>
        <w:ind w:left="850" w:hanging="425"/>
        <w:rPr>
          <w:rFonts w:asciiTheme="minorHAnsi" w:eastAsia="Batang" w:hAnsiTheme="minorHAnsi" w:cs="Times New Roman"/>
          <w:sz w:val="22"/>
          <w:szCs w:val="22"/>
        </w:rPr>
      </w:pPr>
      <w:r w:rsidRPr="00930651">
        <w:rPr>
          <w:rFonts w:asciiTheme="minorHAnsi" w:hAnsiTheme="minorHAnsi"/>
          <w:sz w:val="22"/>
        </w:rPr>
        <w:t>pare aux dépenses imprévues et inévitables ;</w:t>
      </w:r>
    </w:p>
    <w:p w14:paraId="2A33C456" w14:textId="77777777" w:rsidR="00A56F47" w:rsidRPr="00930651" w:rsidRDefault="00A56F47" w:rsidP="00A56F47">
      <w:pPr>
        <w:pStyle w:val="MGfulltext"/>
        <w:numPr>
          <w:ilvl w:val="1"/>
          <w:numId w:val="6"/>
        </w:numPr>
        <w:spacing w:after="0"/>
        <w:ind w:left="850" w:hanging="425"/>
        <w:rPr>
          <w:rFonts w:asciiTheme="minorHAnsi" w:eastAsia="Batang" w:hAnsiTheme="minorHAnsi" w:cs="Times New Roman"/>
          <w:sz w:val="22"/>
          <w:szCs w:val="22"/>
        </w:rPr>
      </w:pPr>
      <w:r w:rsidRPr="00930651">
        <w:rPr>
          <w:rFonts w:asciiTheme="minorHAnsi" w:hAnsiTheme="minorHAnsi"/>
          <w:sz w:val="22"/>
        </w:rPr>
        <w:t>absorbe les excédents (ou les déficits) du budget administratif de la période triennale ;</w:t>
      </w:r>
    </w:p>
    <w:p w14:paraId="1EFFF3B5" w14:textId="77777777" w:rsidR="00A56F47" w:rsidRPr="00930651" w:rsidRDefault="00A56F47" w:rsidP="00A56F47">
      <w:pPr>
        <w:pStyle w:val="MGfulltext"/>
        <w:numPr>
          <w:ilvl w:val="1"/>
          <w:numId w:val="6"/>
        </w:numPr>
        <w:spacing w:after="0"/>
        <w:ind w:left="850" w:hanging="425"/>
        <w:rPr>
          <w:rFonts w:asciiTheme="minorHAnsi" w:eastAsia="Batang" w:hAnsiTheme="minorHAnsi" w:cs="Times New Roman"/>
          <w:sz w:val="22"/>
          <w:szCs w:val="22"/>
        </w:rPr>
      </w:pPr>
      <w:r w:rsidRPr="00930651">
        <w:rPr>
          <w:rFonts w:asciiTheme="minorHAnsi" w:hAnsiTheme="minorHAnsi"/>
          <w:sz w:val="22"/>
        </w:rPr>
        <w:t>s</w:t>
      </w:r>
      <w:r>
        <w:rPr>
          <w:rFonts w:asciiTheme="minorHAnsi" w:hAnsiTheme="minorHAnsi"/>
          <w:sz w:val="22"/>
        </w:rPr>
        <w:t>’</w:t>
      </w:r>
      <w:r w:rsidRPr="00930651">
        <w:rPr>
          <w:rFonts w:asciiTheme="minorHAnsi" w:hAnsiTheme="minorHAnsi"/>
          <w:sz w:val="22"/>
        </w:rPr>
        <w:t>établit à 6 % au minimum et 15 % au maximum du budget administratif annuel de la Convention ; et</w:t>
      </w:r>
    </w:p>
    <w:p w14:paraId="5C351FC6" w14:textId="77777777" w:rsidR="00A56F47" w:rsidRPr="00930651" w:rsidRDefault="00A56F47" w:rsidP="00A56F47">
      <w:pPr>
        <w:pStyle w:val="MGfulltext"/>
        <w:numPr>
          <w:ilvl w:val="1"/>
          <w:numId w:val="6"/>
        </w:numPr>
        <w:spacing w:after="0"/>
        <w:ind w:left="850" w:hanging="425"/>
        <w:rPr>
          <w:rFonts w:asciiTheme="minorHAnsi" w:eastAsia="Batang" w:hAnsiTheme="minorHAnsi" w:cs="Times New Roman"/>
          <w:sz w:val="22"/>
          <w:szCs w:val="22"/>
        </w:rPr>
      </w:pPr>
      <w:r w:rsidRPr="00930651">
        <w:rPr>
          <w:rFonts w:asciiTheme="minorHAnsi" w:hAnsiTheme="minorHAnsi"/>
          <w:sz w:val="22"/>
        </w:rPr>
        <w:t>est administré par la Secrétaire générale avec l</w:t>
      </w:r>
      <w:r>
        <w:rPr>
          <w:rFonts w:asciiTheme="minorHAnsi" w:hAnsiTheme="minorHAnsi"/>
          <w:sz w:val="22"/>
        </w:rPr>
        <w:t>’</w:t>
      </w:r>
      <w:r w:rsidRPr="00930651">
        <w:rPr>
          <w:rFonts w:asciiTheme="minorHAnsi" w:hAnsiTheme="minorHAnsi"/>
          <w:sz w:val="22"/>
        </w:rPr>
        <w:t>approbation du Sous-groupe sur les finances établi par le Comité permanent.</w:t>
      </w:r>
    </w:p>
    <w:p w14:paraId="7D10D188" w14:textId="77777777" w:rsidR="00A56F47" w:rsidRPr="00A56F47" w:rsidRDefault="00A56F47" w:rsidP="00A56F47">
      <w:pPr>
        <w:ind w:left="426" w:hanging="426"/>
        <w:rPr>
          <w:rFonts w:asciiTheme="minorHAnsi" w:hAnsiTheme="minorHAnsi"/>
          <w:lang w:val="fr-FR"/>
        </w:rPr>
      </w:pPr>
    </w:p>
    <w:p w14:paraId="0943501C" w14:textId="77777777" w:rsidR="00A56F47" w:rsidRPr="00A56F47" w:rsidRDefault="00A56F47" w:rsidP="00A56F47">
      <w:pPr>
        <w:rPr>
          <w:rFonts w:asciiTheme="minorHAnsi" w:hAnsiTheme="minorHAnsi"/>
          <w:lang w:val="fr-FR"/>
        </w:rPr>
      </w:pPr>
      <w:r w:rsidRPr="00A56F47">
        <w:rPr>
          <w:rFonts w:asciiTheme="minorHAnsi" w:hAnsiTheme="minorHAnsi"/>
          <w:lang w:val="fr-FR"/>
        </w:rPr>
        <w:t>33.</w:t>
      </w:r>
      <w:r w:rsidRPr="00A56F47">
        <w:rPr>
          <w:rFonts w:asciiTheme="minorHAnsi" w:hAnsiTheme="minorHAnsi"/>
          <w:lang w:val="fr-FR"/>
        </w:rPr>
        <w:tab/>
        <w:t>DEMANDE au Secrétariat de tout mettre en œuvre pour maintenir le Fonds de réserve pendant la période triennale 2023-2025, de rendre compte une fois par an de la situation du Fonds au Comité permanent et de demander son accord au Sous-groupe sur les finances avant toute utilisation du Fonds.</w:t>
      </w:r>
    </w:p>
    <w:p w14:paraId="766505D4" w14:textId="77777777" w:rsidR="00A56F47" w:rsidRPr="00A56F47" w:rsidRDefault="00A56F47" w:rsidP="00A56F47">
      <w:pPr>
        <w:rPr>
          <w:rFonts w:asciiTheme="minorHAnsi" w:hAnsiTheme="minorHAnsi"/>
          <w:lang w:val="fr-FR"/>
        </w:rPr>
      </w:pPr>
    </w:p>
    <w:p w14:paraId="1C9D970B" w14:textId="77777777" w:rsidR="00A56F47" w:rsidRPr="00A56F47" w:rsidRDefault="00A56F47" w:rsidP="00A56F47">
      <w:pPr>
        <w:rPr>
          <w:rFonts w:asciiTheme="minorHAnsi" w:hAnsiTheme="minorHAnsi"/>
          <w:lang w:val="fr-FR"/>
        </w:rPr>
      </w:pPr>
      <w:r w:rsidRPr="00A56F47">
        <w:rPr>
          <w:rFonts w:asciiTheme="minorHAnsi" w:hAnsiTheme="minorHAnsi"/>
          <w:lang w:val="fr-FR"/>
        </w:rPr>
        <w:t>34.</w:t>
      </w:r>
      <w:r w:rsidRPr="00A56F47">
        <w:rPr>
          <w:rFonts w:asciiTheme="minorHAnsi" w:hAnsiTheme="minorHAnsi"/>
          <w:lang w:val="fr-FR"/>
        </w:rPr>
        <w:tab/>
        <w:t>RÉAFFIRME la décision prise lors de la 13</w:t>
      </w:r>
      <w:r w:rsidRPr="00A56F47">
        <w:rPr>
          <w:rFonts w:asciiTheme="minorHAnsi" w:hAnsiTheme="minorHAnsi"/>
          <w:vertAlign w:val="superscript"/>
          <w:lang w:val="fr-FR"/>
        </w:rPr>
        <w:t>e</w:t>
      </w:r>
      <w:r w:rsidRPr="00A56F47">
        <w:rPr>
          <w:rFonts w:asciiTheme="minorHAnsi" w:hAnsiTheme="minorHAnsi"/>
          <w:lang w:val="fr-FR"/>
        </w:rPr>
        <w:t xml:space="preserve"> Session de la Conférence des Parties contractantes (dans la Résolution XII.2 </w:t>
      </w:r>
      <w:r w:rsidRPr="00A56F47">
        <w:rPr>
          <w:rFonts w:asciiTheme="minorHAnsi" w:hAnsiTheme="minorHAnsi"/>
          <w:i/>
          <w:lang w:val="fr-FR"/>
        </w:rPr>
        <w:t>Questions financières et budgétaires</w:t>
      </w:r>
      <w:r w:rsidRPr="00A56F47">
        <w:rPr>
          <w:rFonts w:asciiTheme="minorHAnsi" w:hAnsiTheme="minorHAnsi"/>
          <w:lang w:val="fr-FR"/>
        </w:rPr>
        <w:t xml:space="preserve">) qui autorise la Secrétaire générale, dans les limites des règles de l’UICN, à ajuster les niveaux des effectifs, les chiffres et la structure du Secrétariat figurant à l’annexe 3 de la présente Résolution, à condition que ces ajustements se situent dans les limites des coûts indiqués et soient conformes à la </w:t>
      </w:r>
      <w:r w:rsidRPr="00A56F47">
        <w:rPr>
          <w:rFonts w:asciiTheme="minorHAnsi" w:hAnsiTheme="minorHAnsi"/>
          <w:i/>
          <w:lang w:val="fr-FR"/>
        </w:rPr>
        <w:t xml:space="preserve">Délégation d’autorité au Secrétaire général de la Convention sur les zones humides </w:t>
      </w:r>
      <w:r w:rsidRPr="00A56F47">
        <w:rPr>
          <w:rFonts w:asciiTheme="minorHAnsi" w:hAnsiTheme="minorHAnsi"/>
          <w:lang w:val="fr-FR"/>
        </w:rPr>
        <w:t xml:space="preserve">de 1993 et à sa </w:t>
      </w:r>
      <w:r w:rsidRPr="00A56F47">
        <w:rPr>
          <w:rFonts w:asciiTheme="minorHAnsi" w:hAnsiTheme="minorHAnsi"/>
          <w:i/>
          <w:lang w:val="fr-FR"/>
        </w:rPr>
        <w:t>Note supplémentaire</w:t>
      </w:r>
      <w:r w:rsidRPr="00A56F47">
        <w:rPr>
          <w:rFonts w:asciiTheme="minorHAnsi" w:hAnsiTheme="minorHAnsi"/>
          <w:lang w:val="fr-FR"/>
        </w:rPr>
        <w:t>.</w:t>
      </w:r>
    </w:p>
    <w:p w14:paraId="64B852BE" w14:textId="77777777" w:rsidR="00A56F47" w:rsidRPr="00A56F47" w:rsidRDefault="00A56F47" w:rsidP="00A56F47">
      <w:pPr>
        <w:rPr>
          <w:rFonts w:asciiTheme="minorHAnsi" w:hAnsiTheme="minorHAnsi"/>
          <w:lang w:val="fr-FR"/>
        </w:rPr>
      </w:pPr>
    </w:p>
    <w:p w14:paraId="0E4B2362" w14:textId="77777777" w:rsidR="00A56F47" w:rsidRPr="00A56F47" w:rsidRDefault="00A56F47" w:rsidP="00A56F47">
      <w:pPr>
        <w:rPr>
          <w:rFonts w:asciiTheme="minorHAnsi" w:hAnsiTheme="minorHAnsi"/>
          <w:lang w:val="fr-FR"/>
        </w:rPr>
      </w:pPr>
      <w:r w:rsidRPr="00A56F47">
        <w:rPr>
          <w:rFonts w:asciiTheme="minorHAnsi" w:hAnsiTheme="minorHAnsi"/>
          <w:lang w:val="fr-FR"/>
        </w:rPr>
        <w:t>35.</w:t>
      </w:r>
      <w:r w:rsidRPr="00A56F47">
        <w:rPr>
          <w:rFonts w:asciiTheme="minorHAnsi" w:hAnsiTheme="minorHAnsi"/>
          <w:lang w:val="fr-FR"/>
        </w:rPr>
        <w:tab/>
        <w:t>NOTE AVEC SATISFACTION la transparence et la responsabilité concernant les opérations du Secrétariat que la Secrétaire générale a encouragées au cours de la période triennale écoulée ; et NOTE ÉGALEMENT que, afin de renforcer encore ces efforts, le Secrétariat a établi une section sur le site web de la Convention pour publier des informations visant à garantir la transparence et la responsabilité, notamment les rapports d’audit achevés et acceptés ; les règles et règlements financiers ; les rapports annuels de la Secrétaire générale au Comité permanent ; les procédures d’engagement avec le secteur privé ; les documents relatifs aux codes de conduite et à l’éthique professionnelle du personnel ; la Délégation de pouvoir de 1993 et sa Note supplémentaire ; les politiques de lutte contre la fraude et contre le harcèlement ; les règles et protections relatives aux lanceurs d’alarme ; les politiques sur les conflits d’intérêts ; les politiques d’équité et d’égalité entre les sexes ; ainsi que toutes autres informations pertinentes ; et DEMANDE que le Secrétariat poursuive des efforts pendant la période 2023- 2025.</w:t>
      </w:r>
    </w:p>
    <w:p w14:paraId="739930B4" w14:textId="77777777" w:rsidR="00A56F47" w:rsidRPr="00A56F47" w:rsidRDefault="00A56F47" w:rsidP="00A56F47">
      <w:pPr>
        <w:rPr>
          <w:rFonts w:asciiTheme="minorHAnsi" w:hAnsiTheme="minorHAnsi"/>
          <w:lang w:val="fr-FR"/>
        </w:rPr>
      </w:pPr>
    </w:p>
    <w:p w14:paraId="56EE5BE1" w14:textId="77777777" w:rsidR="00A56F47" w:rsidRPr="00A56F47" w:rsidRDefault="00A56F47" w:rsidP="00A56F47">
      <w:pPr>
        <w:rPr>
          <w:rFonts w:asciiTheme="minorHAnsi" w:hAnsiTheme="minorHAnsi"/>
          <w:lang w:val="fr-FR"/>
        </w:rPr>
      </w:pPr>
      <w:r w:rsidRPr="00A56F47">
        <w:rPr>
          <w:rFonts w:asciiTheme="minorHAnsi" w:hAnsiTheme="minorHAnsi"/>
          <w:lang w:val="fr-FR"/>
        </w:rPr>
        <w:lastRenderedPageBreak/>
        <w:t>36.</w:t>
      </w:r>
      <w:r w:rsidRPr="00A56F47">
        <w:rPr>
          <w:rFonts w:asciiTheme="minorHAnsi" w:hAnsiTheme="minorHAnsi"/>
          <w:lang w:val="fr-FR"/>
        </w:rPr>
        <w:tab/>
        <w:t>PRIE le Secrétariat de considérer les Parties contractantes qui sont sur la liste des petits États insulaires en développement (PEID) de la Conférence des Nations Unies sur le commerce et le développement comme étant éligibles à l’aide au voyage de délégués, que ces États soient ou non classés officiellement comme tels pour des motifs économiques sur la liste du Comité d’aide au développement (CAD) de l’Organisation de coopération et de développement économiques (OCDE).</w:t>
      </w:r>
    </w:p>
    <w:p w14:paraId="1147B58F" w14:textId="77777777" w:rsidR="00A56F47" w:rsidRPr="00A56F47" w:rsidRDefault="00A56F47" w:rsidP="00A56F47">
      <w:pPr>
        <w:rPr>
          <w:rFonts w:asciiTheme="minorHAnsi" w:hAnsiTheme="minorHAnsi"/>
          <w:lang w:val="fr-FR"/>
        </w:rPr>
      </w:pPr>
    </w:p>
    <w:p w14:paraId="0B0B199E" w14:textId="41740B46" w:rsidR="00A56F47" w:rsidRPr="00A56F47" w:rsidRDefault="00A56F47" w:rsidP="00A56F47">
      <w:pPr>
        <w:rPr>
          <w:rFonts w:asciiTheme="minorHAnsi" w:hAnsiTheme="minorHAnsi"/>
          <w:lang w:val="fr-FR"/>
        </w:rPr>
      </w:pPr>
      <w:r w:rsidRPr="00A56F47">
        <w:rPr>
          <w:rFonts w:asciiTheme="minorHAnsi" w:hAnsiTheme="minorHAnsi"/>
          <w:lang w:val="fr-FR"/>
        </w:rPr>
        <w:t>37.</w:t>
      </w:r>
      <w:r w:rsidRPr="00A56F47">
        <w:rPr>
          <w:rFonts w:asciiTheme="minorHAnsi" w:hAnsiTheme="minorHAnsi"/>
          <w:lang w:val="fr-FR"/>
        </w:rPr>
        <w:tab/>
        <w:t xml:space="preserve">CONFIRME que la présente Résolution et ses annexes remplacent la Résolution XIII.2, </w:t>
      </w:r>
      <w:r w:rsidRPr="00A56F47">
        <w:rPr>
          <w:rFonts w:asciiTheme="minorHAnsi" w:hAnsiTheme="minorHAnsi"/>
          <w:i/>
          <w:lang w:val="fr-FR"/>
        </w:rPr>
        <w:t xml:space="preserve">Questions financières et budgétaires, </w:t>
      </w:r>
      <w:r w:rsidRPr="00A56F47">
        <w:rPr>
          <w:rFonts w:asciiTheme="minorHAnsi" w:hAnsiTheme="minorHAnsi"/>
          <w:lang w:val="fr-FR"/>
        </w:rPr>
        <w:t xml:space="preserve">Résolution ExCOP3.2, </w:t>
      </w:r>
      <w:r w:rsidRPr="00A56F47">
        <w:rPr>
          <w:rFonts w:asciiTheme="minorHAnsi" w:hAnsiTheme="minorHAnsi"/>
          <w:i/>
          <w:iCs/>
          <w:lang w:val="fr-FR"/>
        </w:rPr>
        <w:t>Questions financières et budgétaires :</w:t>
      </w:r>
      <w:r w:rsidRPr="00A56F47">
        <w:rPr>
          <w:rFonts w:asciiTheme="minorHAnsi" w:hAnsiTheme="minorHAnsi"/>
          <w:i/>
          <w:lang w:val="fr-FR"/>
        </w:rPr>
        <w:t xml:space="preserve"> </w:t>
      </w:r>
      <w:r w:rsidRPr="00A56F47">
        <w:rPr>
          <w:rFonts w:asciiTheme="minorHAnsi" w:hAnsiTheme="minorHAnsi"/>
          <w:i/>
          <w:iCs/>
          <w:lang w:val="fr-FR"/>
        </w:rPr>
        <w:t>budget administratif 2022</w:t>
      </w:r>
      <w:r w:rsidRPr="00A56F47">
        <w:rPr>
          <w:rFonts w:asciiTheme="minorHAnsi" w:hAnsiTheme="minorHAnsi"/>
          <w:lang w:val="fr-FR"/>
        </w:rPr>
        <w:t xml:space="preserve"> et le paragraphe 11 a) de la Résolution VI.17, </w:t>
      </w:r>
      <w:r w:rsidRPr="00A56F47">
        <w:rPr>
          <w:rFonts w:asciiTheme="minorHAnsi" w:hAnsiTheme="minorHAnsi"/>
          <w:i/>
          <w:iCs/>
          <w:lang w:val="fr-FR"/>
        </w:rPr>
        <w:t>Questions financières et budgétaires</w:t>
      </w:r>
      <w:r w:rsidRPr="00A56F47">
        <w:rPr>
          <w:rFonts w:asciiTheme="minorHAnsi" w:hAnsiTheme="minorHAnsi"/>
          <w:lang w:val="fr-FR"/>
        </w:rPr>
        <w:t>.</w:t>
      </w:r>
    </w:p>
    <w:sectPr w:rsidR="00A56F47" w:rsidRPr="00A56F47" w:rsidSect="00A56F47">
      <w:footerReference w:type="defaul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028E9" w14:textId="77777777" w:rsidR="00A56F47" w:rsidRDefault="00A56F47" w:rsidP="00A50555">
      <w:r>
        <w:separator/>
      </w:r>
    </w:p>
  </w:endnote>
  <w:endnote w:type="continuationSeparator" w:id="0">
    <w:p w14:paraId="281A105C" w14:textId="77777777" w:rsidR="00A56F47" w:rsidRDefault="00A56F47"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7EB1" w14:textId="622781BF" w:rsidR="00A56F47" w:rsidRPr="00A50555" w:rsidRDefault="00A56F47">
    <w:pPr>
      <w:pStyle w:val="Footer"/>
      <w:rPr>
        <w:sz w:val="20"/>
        <w:szCs w:val="20"/>
        <w:lang w:val="en-GB"/>
      </w:rPr>
    </w:pPr>
    <w:r>
      <w:rPr>
        <w:sz w:val="20"/>
        <w:szCs w:val="20"/>
        <w:lang w:val="fr-CH"/>
      </w:rPr>
      <w:t>SC59/2022 Com.2</w:t>
    </w:r>
    <w:r w:rsidRPr="00A50555">
      <w:rPr>
        <w:sz w:val="20"/>
        <w:szCs w:val="20"/>
        <w:lang w:val="en-GB"/>
      </w:rPr>
      <w:tab/>
    </w:r>
    <w:r>
      <w:rPr>
        <w:sz w:val="20"/>
        <w:szCs w:val="20"/>
        <w:lang w:val="en-GB"/>
      </w:rPr>
      <w:tab/>
    </w:r>
    <w:r w:rsidRPr="00A50555">
      <w:rPr>
        <w:sz w:val="20"/>
        <w:szCs w:val="20"/>
        <w:lang w:val="en-GB"/>
      </w:rPr>
      <w:fldChar w:fldCharType="begin"/>
    </w:r>
    <w:r w:rsidRPr="00A50555">
      <w:rPr>
        <w:sz w:val="20"/>
        <w:szCs w:val="20"/>
        <w:lang w:val="en-GB"/>
      </w:rPr>
      <w:instrText xml:space="preserve"> PAGE   \* MERGEFORMAT </w:instrText>
    </w:r>
    <w:r w:rsidRPr="00A50555">
      <w:rPr>
        <w:sz w:val="20"/>
        <w:szCs w:val="20"/>
        <w:lang w:val="en-GB"/>
      </w:rPr>
      <w:fldChar w:fldCharType="separate"/>
    </w:r>
    <w:r w:rsidR="008116E5">
      <w:rPr>
        <w:noProof/>
        <w:sz w:val="20"/>
        <w:szCs w:val="20"/>
        <w:lang w:val="en-GB"/>
      </w:rPr>
      <w:t>6</w:t>
    </w:r>
    <w:r w:rsidRPr="00A50555">
      <w:rPr>
        <w:noProof/>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BCDA" w14:textId="53A394E6" w:rsidR="00A56F47" w:rsidRDefault="00A56F47" w:rsidP="00A56F47">
    <w:pPr>
      <w:pStyle w:val="Header"/>
      <w:tabs>
        <w:tab w:val="clear" w:pos="9026"/>
        <w:tab w:val="right" w:pos="13892"/>
      </w:tabs>
      <w:rPr>
        <w:noProof/>
      </w:rPr>
    </w:pPr>
    <w:r>
      <w:rPr>
        <w:sz w:val="20"/>
        <w:szCs w:val="20"/>
      </w:rPr>
      <w:t>SC59/2022 Com.2</w:t>
    </w:r>
    <w:r>
      <w:tab/>
    </w:r>
    <w:r>
      <w:tab/>
    </w:r>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8116E5">
      <w:rPr>
        <w:noProof/>
        <w:sz w:val="20"/>
        <w:szCs w:val="20"/>
      </w:rPr>
      <w:t>9</w:t>
    </w:r>
    <w:r w:rsidRPr="00F344DE">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82D9" w14:textId="4BCD0D63" w:rsidR="00A56F47" w:rsidRPr="007A30C5" w:rsidRDefault="00A56F47" w:rsidP="00A56F47">
    <w:pPr>
      <w:pStyle w:val="Header"/>
      <w:rPr>
        <w:noProof/>
        <w:sz w:val="20"/>
        <w:szCs w:val="20"/>
      </w:rPr>
    </w:pPr>
    <w:r w:rsidRPr="00333314">
      <w:rPr>
        <w:sz w:val="20"/>
        <w:szCs w:val="20"/>
      </w:rPr>
      <w:t xml:space="preserve">SC59/2022 </w:t>
    </w:r>
    <w:r>
      <w:rPr>
        <w:sz w:val="20"/>
        <w:szCs w:val="20"/>
      </w:rPr>
      <w:t>Com.2</w:t>
    </w:r>
    <w:r w:rsidRPr="00333314">
      <w:rPr>
        <w:sz w:val="20"/>
        <w:szCs w:val="20"/>
      </w:rPr>
      <w:tab/>
    </w:r>
    <w:r w:rsidRPr="00333314">
      <w:rPr>
        <w:sz w:val="20"/>
        <w:szCs w:val="20"/>
      </w:rPr>
      <w:tab/>
    </w:r>
    <w:sdt>
      <w:sdtPr>
        <w:rPr>
          <w:sz w:val="20"/>
          <w:szCs w:val="20"/>
        </w:rPr>
        <w:id w:val="-167756295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sidR="008116E5">
          <w:rPr>
            <w:noProof/>
            <w:sz w:val="20"/>
            <w:szCs w:val="20"/>
          </w:rPr>
          <w:t>14</w:t>
        </w:r>
        <w:r w:rsidRPr="00333314">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21F3" w14:textId="7F14DE6F" w:rsidR="00A56F47" w:rsidRDefault="00A56F47" w:rsidP="00A56F47">
    <w:pPr>
      <w:pStyle w:val="Header"/>
      <w:rPr>
        <w:noProof/>
      </w:rPr>
    </w:pPr>
    <w:r>
      <w:t>SC59/2022 Com.2</w:t>
    </w:r>
    <w:r>
      <w:tab/>
    </w:r>
    <w:r>
      <w:tab/>
    </w:r>
    <w:sdt>
      <w:sdtPr>
        <w:id w:val="-19777698"/>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8116E5">
          <w:rPr>
            <w:noProof/>
            <w:sz w:val="20"/>
          </w:rPr>
          <w:t>10</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51405" w14:textId="77777777" w:rsidR="00A56F47" w:rsidRDefault="00A56F47" w:rsidP="00A50555">
      <w:r>
        <w:separator/>
      </w:r>
    </w:p>
  </w:footnote>
  <w:footnote w:type="continuationSeparator" w:id="0">
    <w:p w14:paraId="29CF34F8" w14:textId="77777777" w:rsidR="00A56F47" w:rsidRDefault="00A56F47" w:rsidP="00A50555">
      <w:r>
        <w:continuationSeparator/>
      </w:r>
    </w:p>
  </w:footnote>
  <w:footnote w:id="1">
    <w:p w14:paraId="75EBE957" w14:textId="389CAB1B" w:rsidR="00A56F47" w:rsidRPr="001F4456" w:rsidRDefault="00A56F47">
      <w:pPr>
        <w:pStyle w:val="FootnoteText"/>
        <w:rPr>
          <w:lang w:val="fr-CH"/>
        </w:rPr>
      </w:pPr>
      <w:r>
        <w:rPr>
          <w:rStyle w:val="FootnoteReference"/>
        </w:rPr>
        <w:footnoteRef/>
      </w:r>
      <w:r w:rsidRPr="008516F8">
        <w:rPr>
          <w:lang w:val="fr-FR"/>
        </w:rPr>
        <w:t xml:space="preserve"> </w:t>
      </w:r>
      <w:r>
        <w:rPr>
          <w:lang w:val="fr-CH"/>
        </w:rPr>
        <w:t>Suite au point 5 ci</w:t>
      </w:r>
      <w:r>
        <w:rPr>
          <w:lang w:val="fr-CH"/>
        </w:rPr>
        <w:noBreakHyphen/>
        <w:t>après.</w:t>
      </w:r>
    </w:p>
  </w:footnote>
  <w:footnote w:id="2">
    <w:p w14:paraId="6B3CA270" w14:textId="7BA807AF" w:rsidR="00A56F47" w:rsidRPr="001F4456" w:rsidRDefault="00A56F47">
      <w:pPr>
        <w:pStyle w:val="FootnoteText"/>
        <w:rPr>
          <w:lang w:val="fr-CH"/>
        </w:rPr>
      </w:pPr>
      <w:r w:rsidRPr="001F4456">
        <w:rPr>
          <w:rStyle w:val="FootnoteReference"/>
          <w:lang w:val="fr-CH"/>
        </w:rPr>
        <w:footnoteRef/>
      </w:r>
      <w:r>
        <w:rPr>
          <w:lang w:val="fr-CH"/>
        </w:rPr>
        <w:t xml:space="preserve"> Il s’agit d’une correction apportée au </w:t>
      </w:r>
      <w:r w:rsidRPr="001F4456">
        <w:rPr>
          <w:lang w:val="fr-CH"/>
        </w:rPr>
        <w:t>document SC59/</w:t>
      </w:r>
      <w:r>
        <w:rPr>
          <w:lang w:val="fr-CH"/>
        </w:rPr>
        <w:t>2</w:t>
      </w:r>
      <w:r w:rsidRPr="001F4456">
        <w:rPr>
          <w:lang w:val="fr-CH"/>
        </w:rPr>
        <w:t>022 Doc.8.3.</w:t>
      </w:r>
    </w:p>
  </w:footnote>
  <w:footnote w:id="3">
    <w:p w14:paraId="73AABD7D" w14:textId="78D179EB" w:rsidR="00A56F47" w:rsidRPr="002915CC" w:rsidRDefault="00A56F47">
      <w:pPr>
        <w:pStyle w:val="FootnoteText"/>
        <w:rPr>
          <w:lang w:val="fr-CH"/>
        </w:rPr>
      </w:pPr>
      <w:r>
        <w:rPr>
          <w:rStyle w:val="FootnoteReference"/>
        </w:rPr>
        <w:footnoteRef/>
      </w:r>
      <w:r w:rsidRPr="008516F8">
        <w:rPr>
          <w:lang w:val="fr-FR"/>
        </w:rPr>
        <w:t xml:space="preserve"> </w:t>
      </w:r>
      <w:r>
        <w:rPr>
          <w:lang w:val="fr-CH"/>
        </w:rPr>
        <w:t>Suite du point 2 ci</w:t>
      </w:r>
      <w:r>
        <w:rPr>
          <w:lang w:val="fr-CH"/>
        </w:rPr>
        <w:noBreakHyphen/>
        <w:t>dessus.</w:t>
      </w:r>
    </w:p>
  </w:footnote>
  <w:footnote w:id="4">
    <w:p w14:paraId="077AB745" w14:textId="77777777" w:rsidR="00A56F47" w:rsidRPr="00A56F47" w:rsidRDefault="00A56F47" w:rsidP="00A56F47">
      <w:pPr>
        <w:pStyle w:val="FootnoteText"/>
        <w:rPr>
          <w:lang w:val="fr-FR"/>
        </w:rPr>
      </w:pPr>
      <w:r>
        <w:rPr>
          <w:rStyle w:val="FootnoteReference"/>
        </w:rPr>
        <w:footnoteRef/>
      </w:r>
      <w:r w:rsidRPr="00A56F47">
        <w:rPr>
          <w:lang w:val="fr-FR"/>
        </w:rPr>
        <w:t xml:space="preserve"> Ce paragraphe est proposé pour le scénario budgétaire A et adopte la même approche que le paragraphe 15 de la Résolution XIII.2.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0357F"/>
    <w:rsid w:val="0000654B"/>
    <w:rsid w:val="00013129"/>
    <w:rsid w:val="000159B6"/>
    <w:rsid w:val="00017F10"/>
    <w:rsid w:val="0002451C"/>
    <w:rsid w:val="00030C94"/>
    <w:rsid w:val="00046139"/>
    <w:rsid w:val="00061146"/>
    <w:rsid w:val="0007473E"/>
    <w:rsid w:val="00075BDC"/>
    <w:rsid w:val="00080D2B"/>
    <w:rsid w:val="0009289B"/>
    <w:rsid w:val="00093528"/>
    <w:rsid w:val="000B2E06"/>
    <w:rsid w:val="000D2798"/>
    <w:rsid w:val="000E645B"/>
    <w:rsid w:val="000F1B8C"/>
    <w:rsid w:val="000F46B6"/>
    <w:rsid w:val="000F77DA"/>
    <w:rsid w:val="001019BA"/>
    <w:rsid w:val="001118B5"/>
    <w:rsid w:val="0011723D"/>
    <w:rsid w:val="00143B34"/>
    <w:rsid w:val="00144D3A"/>
    <w:rsid w:val="00170B75"/>
    <w:rsid w:val="00187E32"/>
    <w:rsid w:val="00193A74"/>
    <w:rsid w:val="00195AC9"/>
    <w:rsid w:val="00196236"/>
    <w:rsid w:val="001A6241"/>
    <w:rsid w:val="001B5313"/>
    <w:rsid w:val="001C3C8C"/>
    <w:rsid w:val="001C794F"/>
    <w:rsid w:val="001D2175"/>
    <w:rsid w:val="001D29C3"/>
    <w:rsid w:val="001E583C"/>
    <w:rsid w:val="001F0201"/>
    <w:rsid w:val="001F1060"/>
    <w:rsid w:val="001F11ED"/>
    <w:rsid w:val="001F4456"/>
    <w:rsid w:val="002050D5"/>
    <w:rsid w:val="00213D29"/>
    <w:rsid w:val="002261FB"/>
    <w:rsid w:val="002275AA"/>
    <w:rsid w:val="00261AFB"/>
    <w:rsid w:val="00273A11"/>
    <w:rsid w:val="002761E2"/>
    <w:rsid w:val="002855B3"/>
    <w:rsid w:val="002915CC"/>
    <w:rsid w:val="002965DA"/>
    <w:rsid w:val="002B0987"/>
    <w:rsid w:val="002B56FE"/>
    <w:rsid w:val="002C2369"/>
    <w:rsid w:val="002C2CCE"/>
    <w:rsid w:val="002E00B9"/>
    <w:rsid w:val="002E19D1"/>
    <w:rsid w:val="002E1C17"/>
    <w:rsid w:val="002E2BC5"/>
    <w:rsid w:val="002E6E44"/>
    <w:rsid w:val="00301148"/>
    <w:rsid w:val="00302AF5"/>
    <w:rsid w:val="00305939"/>
    <w:rsid w:val="0031045A"/>
    <w:rsid w:val="00310F61"/>
    <w:rsid w:val="003120C7"/>
    <w:rsid w:val="00312AAB"/>
    <w:rsid w:val="00314B87"/>
    <w:rsid w:val="0031773D"/>
    <w:rsid w:val="003249EC"/>
    <w:rsid w:val="003367DB"/>
    <w:rsid w:val="00345FB9"/>
    <w:rsid w:val="00347815"/>
    <w:rsid w:val="00356EEC"/>
    <w:rsid w:val="003621B6"/>
    <w:rsid w:val="003636C0"/>
    <w:rsid w:val="00370162"/>
    <w:rsid w:val="003752B0"/>
    <w:rsid w:val="00381076"/>
    <w:rsid w:val="003836D6"/>
    <w:rsid w:val="003857D7"/>
    <w:rsid w:val="003A3C66"/>
    <w:rsid w:val="003A4BC6"/>
    <w:rsid w:val="003B1DC5"/>
    <w:rsid w:val="003C0BB1"/>
    <w:rsid w:val="003C0CBD"/>
    <w:rsid w:val="003C3176"/>
    <w:rsid w:val="003C5B18"/>
    <w:rsid w:val="003E1E49"/>
    <w:rsid w:val="003F688F"/>
    <w:rsid w:val="00401F37"/>
    <w:rsid w:val="004105EF"/>
    <w:rsid w:val="00413A35"/>
    <w:rsid w:val="004269C8"/>
    <w:rsid w:val="00427685"/>
    <w:rsid w:val="0042785D"/>
    <w:rsid w:val="00443D01"/>
    <w:rsid w:val="00443D18"/>
    <w:rsid w:val="00450D67"/>
    <w:rsid w:val="004576D6"/>
    <w:rsid w:val="004638A7"/>
    <w:rsid w:val="00464A2A"/>
    <w:rsid w:val="00470552"/>
    <w:rsid w:val="00477F88"/>
    <w:rsid w:val="0049087F"/>
    <w:rsid w:val="00497B52"/>
    <w:rsid w:val="004B2D3E"/>
    <w:rsid w:val="004C2818"/>
    <w:rsid w:val="004C2A35"/>
    <w:rsid w:val="004C65D6"/>
    <w:rsid w:val="004D5C37"/>
    <w:rsid w:val="004E5174"/>
    <w:rsid w:val="004E5DC4"/>
    <w:rsid w:val="004E6BCE"/>
    <w:rsid w:val="00503237"/>
    <w:rsid w:val="00513537"/>
    <w:rsid w:val="0051680D"/>
    <w:rsid w:val="0052223D"/>
    <w:rsid w:val="00522262"/>
    <w:rsid w:val="00537C58"/>
    <w:rsid w:val="005410AA"/>
    <w:rsid w:val="005439A5"/>
    <w:rsid w:val="00543D97"/>
    <w:rsid w:val="00544F74"/>
    <w:rsid w:val="00574D80"/>
    <w:rsid w:val="0058735C"/>
    <w:rsid w:val="005965AE"/>
    <w:rsid w:val="005A32A8"/>
    <w:rsid w:val="005B2011"/>
    <w:rsid w:val="005B2C0F"/>
    <w:rsid w:val="005B5816"/>
    <w:rsid w:val="005B727D"/>
    <w:rsid w:val="005C1074"/>
    <w:rsid w:val="005E2688"/>
    <w:rsid w:val="005E3F07"/>
    <w:rsid w:val="005E5094"/>
    <w:rsid w:val="005E6F4B"/>
    <w:rsid w:val="005F25FF"/>
    <w:rsid w:val="005F38A9"/>
    <w:rsid w:val="005F39F0"/>
    <w:rsid w:val="006267CC"/>
    <w:rsid w:val="006302C1"/>
    <w:rsid w:val="00630581"/>
    <w:rsid w:val="00632CDE"/>
    <w:rsid w:val="00636C04"/>
    <w:rsid w:val="00641B45"/>
    <w:rsid w:val="00642406"/>
    <w:rsid w:val="00656511"/>
    <w:rsid w:val="00662D91"/>
    <w:rsid w:val="0066724B"/>
    <w:rsid w:val="006755C9"/>
    <w:rsid w:val="00687B72"/>
    <w:rsid w:val="006A1295"/>
    <w:rsid w:val="006A43CF"/>
    <w:rsid w:val="006B7A8C"/>
    <w:rsid w:val="006C211A"/>
    <w:rsid w:val="006D71F2"/>
    <w:rsid w:val="006E66E0"/>
    <w:rsid w:val="006F417C"/>
    <w:rsid w:val="006F4234"/>
    <w:rsid w:val="006F7F31"/>
    <w:rsid w:val="007019C8"/>
    <w:rsid w:val="00711D36"/>
    <w:rsid w:val="007163B4"/>
    <w:rsid w:val="007221BA"/>
    <w:rsid w:val="00743F0F"/>
    <w:rsid w:val="00755019"/>
    <w:rsid w:val="00763805"/>
    <w:rsid w:val="00763865"/>
    <w:rsid w:val="00766ED0"/>
    <w:rsid w:val="00770408"/>
    <w:rsid w:val="007712EC"/>
    <w:rsid w:val="0077382A"/>
    <w:rsid w:val="0078596A"/>
    <w:rsid w:val="00791E82"/>
    <w:rsid w:val="007A324B"/>
    <w:rsid w:val="007A4062"/>
    <w:rsid w:val="007B6E89"/>
    <w:rsid w:val="007C1B17"/>
    <w:rsid w:val="007D1A58"/>
    <w:rsid w:val="007D2773"/>
    <w:rsid w:val="007D5226"/>
    <w:rsid w:val="007E32B3"/>
    <w:rsid w:val="007E6D5B"/>
    <w:rsid w:val="008116E5"/>
    <w:rsid w:val="008224CD"/>
    <w:rsid w:val="00824771"/>
    <w:rsid w:val="008258FC"/>
    <w:rsid w:val="00830F1D"/>
    <w:rsid w:val="00840681"/>
    <w:rsid w:val="008516F8"/>
    <w:rsid w:val="00856F7B"/>
    <w:rsid w:val="00871B5A"/>
    <w:rsid w:val="008758DC"/>
    <w:rsid w:val="00882CEA"/>
    <w:rsid w:val="00885BBC"/>
    <w:rsid w:val="008A1322"/>
    <w:rsid w:val="008A6071"/>
    <w:rsid w:val="008C133D"/>
    <w:rsid w:val="008D132B"/>
    <w:rsid w:val="008D7EEE"/>
    <w:rsid w:val="008E1AA5"/>
    <w:rsid w:val="008E3818"/>
    <w:rsid w:val="008F3ABA"/>
    <w:rsid w:val="008F5229"/>
    <w:rsid w:val="008F52B8"/>
    <w:rsid w:val="008F641A"/>
    <w:rsid w:val="008F6EDE"/>
    <w:rsid w:val="0090668D"/>
    <w:rsid w:val="00912996"/>
    <w:rsid w:val="00913612"/>
    <w:rsid w:val="0092323A"/>
    <w:rsid w:val="009261DF"/>
    <w:rsid w:val="0094344E"/>
    <w:rsid w:val="00950CF6"/>
    <w:rsid w:val="00951128"/>
    <w:rsid w:val="00957482"/>
    <w:rsid w:val="00972660"/>
    <w:rsid w:val="0097443C"/>
    <w:rsid w:val="00974A00"/>
    <w:rsid w:val="0098108D"/>
    <w:rsid w:val="009850A6"/>
    <w:rsid w:val="00986D94"/>
    <w:rsid w:val="00995583"/>
    <w:rsid w:val="0099573B"/>
    <w:rsid w:val="009A732E"/>
    <w:rsid w:val="009B2FA5"/>
    <w:rsid w:val="009B30CB"/>
    <w:rsid w:val="009B7E58"/>
    <w:rsid w:val="009C4830"/>
    <w:rsid w:val="009D079C"/>
    <w:rsid w:val="009D2CB4"/>
    <w:rsid w:val="009D4211"/>
    <w:rsid w:val="009D60D2"/>
    <w:rsid w:val="009F5EF8"/>
    <w:rsid w:val="00A00F0F"/>
    <w:rsid w:val="00A0399C"/>
    <w:rsid w:val="00A13A7F"/>
    <w:rsid w:val="00A2462B"/>
    <w:rsid w:val="00A25736"/>
    <w:rsid w:val="00A2640A"/>
    <w:rsid w:val="00A40CF7"/>
    <w:rsid w:val="00A4546B"/>
    <w:rsid w:val="00A464D1"/>
    <w:rsid w:val="00A50555"/>
    <w:rsid w:val="00A51A5D"/>
    <w:rsid w:val="00A56F47"/>
    <w:rsid w:val="00A71988"/>
    <w:rsid w:val="00A83446"/>
    <w:rsid w:val="00AA15E8"/>
    <w:rsid w:val="00AC03CD"/>
    <w:rsid w:val="00AC086D"/>
    <w:rsid w:val="00AD079A"/>
    <w:rsid w:val="00AD15B6"/>
    <w:rsid w:val="00AF4B37"/>
    <w:rsid w:val="00B00120"/>
    <w:rsid w:val="00B0237C"/>
    <w:rsid w:val="00B049F5"/>
    <w:rsid w:val="00B07F57"/>
    <w:rsid w:val="00B15073"/>
    <w:rsid w:val="00B1795F"/>
    <w:rsid w:val="00B17B8E"/>
    <w:rsid w:val="00B24305"/>
    <w:rsid w:val="00B24FC7"/>
    <w:rsid w:val="00B33E0F"/>
    <w:rsid w:val="00B45EE7"/>
    <w:rsid w:val="00B46640"/>
    <w:rsid w:val="00B4675C"/>
    <w:rsid w:val="00B47F4D"/>
    <w:rsid w:val="00B501A6"/>
    <w:rsid w:val="00B633CD"/>
    <w:rsid w:val="00B736CC"/>
    <w:rsid w:val="00B93A4E"/>
    <w:rsid w:val="00B94F63"/>
    <w:rsid w:val="00BB3413"/>
    <w:rsid w:val="00BB5461"/>
    <w:rsid w:val="00BC35EB"/>
    <w:rsid w:val="00BD015F"/>
    <w:rsid w:val="00BD381C"/>
    <w:rsid w:val="00BD3891"/>
    <w:rsid w:val="00C07ED3"/>
    <w:rsid w:val="00C2780B"/>
    <w:rsid w:val="00C4108F"/>
    <w:rsid w:val="00C71068"/>
    <w:rsid w:val="00C72496"/>
    <w:rsid w:val="00C726E1"/>
    <w:rsid w:val="00C76EEE"/>
    <w:rsid w:val="00C76FD5"/>
    <w:rsid w:val="00C80233"/>
    <w:rsid w:val="00C90EA0"/>
    <w:rsid w:val="00C910A1"/>
    <w:rsid w:val="00CA2A73"/>
    <w:rsid w:val="00CB1281"/>
    <w:rsid w:val="00CB19B5"/>
    <w:rsid w:val="00CC7060"/>
    <w:rsid w:val="00CD1507"/>
    <w:rsid w:val="00CE0166"/>
    <w:rsid w:val="00CE1C6A"/>
    <w:rsid w:val="00CE5A38"/>
    <w:rsid w:val="00D0228D"/>
    <w:rsid w:val="00D02976"/>
    <w:rsid w:val="00D02AAB"/>
    <w:rsid w:val="00D04062"/>
    <w:rsid w:val="00D21AB0"/>
    <w:rsid w:val="00D26B9A"/>
    <w:rsid w:val="00D32871"/>
    <w:rsid w:val="00D36F88"/>
    <w:rsid w:val="00D40F89"/>
    <w:rsid w:val="00D41A11"/>
    <w:rsid w:val="00D434D9"/>
    <w:rsid w:val="00D44FEA"/>
    <w:rsid w:val="00D53211"/>
    <w:rsid w:val="00D55468"/>
    <w:rsid w:val="00D62B36"/>
    <w:rsid w:val="00D729E2"/>
    <w:rsid w:val="00D74D71"/>
    <w:rsid w:val="00D955BF"/>
    <w:rsid w:val="00D972D2"/>
    <w:rsid w:val="00DA7A62"/>
    <w:rsid w:val="00DB0BED"/>
    <w:rsid w:val="00DB76E9"/>
    <w:rsid w:val="00DC7DF5"/>
    <w:rsid w:val="00DD473F"/>
    <w:rsid w:val="00DF3B7A"/>
    <w:rsid w:val="00E04963"/>
    <w:rsid w:val="00E1293D"/>
    <w:rsid w:val="00E15918"/>
    <w:rsid w:val="00E36717"/>
    <w:rsid w:val="00E41F24"/>
    <w:rsid w:val="00E523A5"/>
    <w:rsid w:val="00E56E08"/>
    <w:rsid w:val="00E842B7"/>
    <w:rsid w:val="00E9401C"/>
    <w:rsid w:val="00E96FBF"/>
    <w:rsid w:val="00EB3C86"/>
    <w:rsid w:val="00EB4C55"/>
    <w:rsid w:val="00EC10F2"/>
    <w:rsid w:val="00EC1418"/>
    <w:rsid w:val="00EC34F8"/>
    <w:rsid w:val="00EC44E1"/>
    <w:rsid w:val="00EC5FE9"/>
    <w:rsid w:val="00ED15B4"/>
    <w:rsid w:val="00ED4BF2"/>
    <w:rsid w:val="00EE5232"/>
    <w:rsid w:val="00F0671F"/>
    <w:rsid w:val="00F068B4"/>
    <w:rsid w:val="00F10FCB"/>
    <w:rsid w:val="00F14F31"/>
    <w:rsid w:val="00F23486"/>
    <w:rsid w:val="00F30416"/>
    <w:rsid w:val="00F30DD3"/>
    <w:rsid w:val="00F41DAF"/>
    <w:rsid w:val="00F430ED"/>
    <w:rsid w:val="00F517A5"/>
    <w:rsid w:val="00F60AB1"/>
    <w:rsid w:val="00F63469"/>
    <w:rsid w:val="00F71148"/>
    <w:rsid w:val="00F837E1"/>
    <w:rsid w:val="00F91FE6"/>
    <w:rsid w:val="00FA0892"/>
    <w:rsid w:val="00FB512A"/>
    <w:rsid w:val="00FC5734"/>
    <w:rsid w:val="00FC5C2F"/>
    <w:rsid w:val="00FD2A06"/>
    <w:rsid w:val="00FD57CF"/>
    <w:rsid w:val="00FF19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docId w15:val="{CE734E3F-7718-4085-9750-060894DE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A56F47"/>
    <w:pPr>
      <w:widowControl/>
      <w:autoSpaceDE/>
      <w:autoSpaceDN/>
      <w:spacing w:after="120"/>
    </w:pPr>
    <w:rPr>
      <w:rFonts w:ascii="Arial" w:hAnsi="Arial" w:cs="Arial"/>
      <w:sz w:val="24"/>
      <w:szCs w:val="24"/>
      <w:lang w:val="fr-FR"/>
    </w:rPr>
  </w:style>
  <w:style w:type="character" w:customStyle="1" w:styleId="MGfulltextChar">
    <w:name w:val="MG_fulltext Char"/>
    <w:basedOn w:val="DefaultParagraphFont"/>
    <w:link w:val="MGfulltext"/>
    <w:rsid w:val="00A56F47"/>
    <w:rPr>
      <w:rFonts w:ascii="Arial" w:eastAsia="Times New Roman" w:hAnsi="Arial" w:cs="Arial"/>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1846B956E9834EA94B2422C6533E66" ma:contentTypeVersion="12" ma:contentTypeDescription="Create a new document." ma:contentTypeScope="" ma:versionID="c04f076e067621cdc23d74f4982666fe">
  <xsd:schema xmlns:xsd="http://www.w3.org/2001/XMLSchema" xmlns:xs="http://www.w3.org/2001/XMLSchema" xmlns:p="http://schemas.microsoft.com/office/2006/metadata/properties" xmlns:ns3="fe166545-64fa-4e5d-a666-3f6f9d77430d" xmlns:ns4="77f9b079-6f48-4aa1-af8a-0476918bcea3" targetNamespace="http://schemas.microsoft.com/office/2006/metadata/properties" ma:root="true" ma:fieldsID="2070eb42dd43331a99ad02582772aabf" ns3:_="" ns4:_="">
    <xsd:import namespace="fe166545-64fa-4e5d-a666-3f6f9d77430d"/>
    <xsd:import namespace="77f9b079-6f48-4aa1-af8a-0476918bce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6545-64fa-4e5d-a666-3f6f9d774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b079-6f48-4aa1-af8a-0476918bc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39E6-AACE-44B3-8AC1-70F9BED8C53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77f9b079-6f48-4aa1-af8a-0476918bcea3"/>
    <ds:schemaRef ds:uri="fe166545-64fa-4e5d-a666-3f6f9d77430d"/>
    <ds:schemaRef ds:uri="http://purl.org/dc/terms/"/>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990679F8-E22D-4983-B6C2-0810E9E5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6545-64fa-4e5d-a666-3f6f9d77430d"/>
    <ds:schemaRef ds:uri="77f9b079-6f48-4aa1-af8a-0476918b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595F8-6C4F-4325-9EE5-77667A5A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5061</Words>
  <Characters>28850</Characters>
  <Application>Microsoft Office Word</Application>
  <DocSecurity>4</DocSecurity>
  <Lines>240</Lines>
  <Paragraphs>67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
    </vt:vector>
  </TitlesOfParts>
  <Company>IUCN</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Jennings</dc:creator>
  <cp:lastModifiedBy>Ed Jennings</cp:lastModifiedBy>
  <cp:revision>2</cp:revision>
  <cp:lastPrinted>2022-05-23T19:34:00Z</cp:lastPrinted>
  <dcterms:created xsi:type="dcterms:W3CDTF">2022-05-26T07:17:00Z</dcterms:created>
  <dcterms:modified xsi:type="dcterms:W3CDTF">2022-05-26T07:17:00Z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0x010100551846B956E9834EA94B2422C6533E66</vt:lpwstr>
  </property>
</Properties>
</file>